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63837A" w14:textId="11EBB0A5" w:rsidR="00C566D9" w:rsidRPr="001004B9" w:rsidRDefault="000463E2" w:rsidP="00C566D9">
      <w:pPr>
        <w:pStyle w:val="10"/>
        <w:rPr>
          <w:rFonts w:eastAsia="Calibri"/>
        </w:rPr>
      </w:pPr>
      <w:r w:rsidRPr="000463E2">
        <w:rPr>
          <w:rFonts w:eastAsia="Calibri"/>
        </w:rPr>
        <w:t>The Role of Marketing Interventions in Fostering the Diffusion of Green Energy Technologies</w:t>
      </w:r>
    </w:p>
    <w:p w14:paraId="27B7E43F" w14:textId="1AA6650A" w:rsidR="00C566D9" w:rsidRPr="00853066" w:rsidRDefault="000463E2" w:rsidP="00C566D9">
      <w:pPr>
        <w:pStyle w:val="Author0"/>
        <w:rPr>
          <w:sz w:val="26"/>
          <w:szCs w:val="26"/>
        </w:rPr>
      </w:pPr>
      <w:r>
        <w:t>CHARALAMPOS TZIOGAS</w:t>
      </w:r>
      <w:r w:rsidR="00C566D9" w:rsidRPr="008D265C">
        <w:rPr>
          <w:vertAlign w:val="superscript"/>
        </w:rPr>
        <w:t>1</w:t>
      </w:r>
      <w:proofErr w:type="gramStart"/>
      <w:r w:rsidR="00C566D9" w:rsidRPr="008D265C">
        <w:rPr>
          <w:vertAlign w:val="superscript"/>
        </w:rPr>
        <w:t>,</w:t>
      </w:r>
      <w:r w:rsidR="00C3716B">
        <w:rPr>
          <w:caps w:val="0"/>
          <w:sz w:val="20"/>
          <w:vertAlign w:val="superscript"/>
        </w:rPr>
        <w:t>a</w:t>
      </w:r>
      <w:proofErr w:type="gramEnd"/>
      <w:r w:rsidR="00C566D9" w:rsidRPr="00047637">
        <w:t xml:space="preserve">, </w:t>
      </w:r>
      <w:r w:rsidR="00BE1710">
        <w:t>naoum tsolakis</w:t>
      </w:r>
      <w:r w:rsidR="00BE1710" w:rsidRPr="008D265C">
        <w:rPr>
          <w:vertAlign w:val="superscript"/>
        </w:rPr>
        <w:t>1</w:t>
      </w:r>
      <w:r w:rsidR="00BE1710">
        <w:t>, patroklos georgiadis</w:t>
      </w:r>
      <w:r w:rsidR="00BE1710" w:rsidRPr="008D265C">
        <w:rPr>
          <w:vertAlign w:val="superscript"/>
        </w:rPr>
        <w:t>1</w:t>
      </w:r>
      <w:r w:rsidR="00BE1710">
        <w:t>, charalampos yakinthos</w:t>
      </w:r>
      <w:r w:rsidR="00C566D9" w:rsidRPr="008D265C">
        <w:rPr>
          <w:vertAlign w:val="superscript"/>
        </w:rPr>
        <w:t>2</w:t>
      </w:r>
    </w:p>
    <w:p w14:paraId="54BC015A" w14:textId="2CFFEA3D" w:rsidR="00C566D9" w:rsidRPr="00C566D9" w:rsidRDefault="00C566D9" w:rsidP="00C566D9">
      <w:pPr>
        <w:pStyle w:val="Affiliation0"/>
        <w:rPr>
          <w:rFonts w:eastAsia="Calibri"/>
        </w:rPr>
      </w:pPr>
      <w:r w:rsidRPr="00C566D9">
        <w:t>1</w:t>
      </w:r>
      <w:r w:rsidR="00BE1710">
        <w:t>Mechanical Engineering</w:t>
      </w:r>
      <w:r w:rsidRPr="00C566D9">
        <w:t xml:space="preserve">, </w:t>
      </w:r>
      <w:r w:rsidR="00BE1710">
        <w:t>Aristotle University</w:t>
      </w:r>
      <w:r w:rsidRPr="00C566D9">
        <w:t xml:space="preserve">, </w:t>
      </w:r>
      <w:r w:rsidR="00BE1710">
        <w:rPr>
          <w:rFonts w:eastAsia="Calibri"/>
        </w:rPr>
        <w:t>Thessaloniki</w:t>
      </w:r>
      <w:r w:rsidRPr="00C566D9">
        <w:rPr>
          <w:rFonts w:eastAsia="Calibri"/>
        </w:rPr>
        <w:t xml:space="preserve">, </w:t>
      </w:r>
      <w:r w:rsidR="00BE1710">
        <w:rPr>
          <w:rFonts w:eastAsia="Calibri"/>
        </w:rPr>
        <w:t>Greece</w:t>
      </w:r>
    </w:p>
    <w:p w14:paraId="4B8CC9F0" w14:textId="11C34280" w:rsidR="00C566D9" w:rsidRPr="00C566D9" w:rsidRDefault="00C566D9" w:rsidP="00C566D9">
      <w:pPr>
        <w:pStyle w:val="Affiliation0"/>
      </w:pPr>
      <w:r w:rsidRPr="00C566D9">
        <w:t>2</w:t>
      </w:r>
      <w:r w:rsidR="00D37EFA" w:rsidRPr="00D37EFA">
        <w:t>Merchant Marine Academy</w:t>
      </w:r>
      <w:r w:rsidR="00D37EFA">
        <w:t xml:space="preserve"> of Macedonia</w:t>
      </w:r>
      <w:r w:rsidRPr="00C566D9">
        <w:t>,</w:t>
      </w:r>
      <w:r w:rsidR="00D37EFA">
        <w:t xml:space="preserve"> Thessaloniki</w:t>
      </w:r>
      <w:r w:rsidRPr="00C566D9">
        <w:t>,</w:t>
      </w:r>
      <w:r w:rsidR="003325B4">
        <w:t xml:space="preserve"> </w:t>
      </w:r>
      <w:r w:rsidR="00D37EFA">
        <w:t>Greece</w:t>
      </w:r>
    </w:p>
    <w:p w14:paraId="732BD9C5" w14:textId="765C15DC" w:rsidR="00C566D9" w:rsidRPr="00667DEB" w:rsidRDefault="00C566D9" w:rsidP="00667DEB">
      <w:pPr>
        <w:pStyle w:val="Affiliation0"/>
        <w:rPr>
          <w:rFonts w:ascii="Bookman Old Style" w:hAnsi="Bookman Old Style"/>
        </w:rPr>
      </w:pPr>
      <w:proofErr w:type="gramStart"/>
      <w:r w:rsidRPr="008D265C">
        <w:rPr>
          <w:rFonts w:ascii="Bookman Old Style" w:hAnsi="Bookman Old Style"/>
          <w:vertAlign w:val="superscript"/>
        </w:rPr>
        <w:t>a</w:t>
      </w:r>
      <w:proofErr w:type="gramEnd"/>
      <w:r w:rsidRPr="008D265C">
        <w:rPr>
          <w:rFonts w:ascii="Bookman Old Style" w:hAnsi="Bookman Old Style"/>
          <w:vertAlign w:val="superscript"/>
        </w:rPr>
        <w:t>)</w:t>
      </w:r>
      <w:hyperlink r:id="rId8" w:history="1">
        <w:r w:rsidR="000463E2" w:rsidRPr="004F4ED0">
          <w:rPr>
            <w:rStyle w:val="-"/>
            <w:rFonts w:ascii="Bookman Old Style" w:hAnsi="Bookman Old Style"/>
          </w:rPr>
          <w:t>ctziogas@auth.gr</w:t>
        </w:r>
      </w:hyperlink>
      <w:r w:rsidR="000463E2">
        <w:rPr>
          <w:rFonts w:ascii="Bookman Old Style" w:hAnsi="Bookman Old Style"/>
        </w:rPr>
        <w:t xml:space="preserve"> </w:t>
      </w:r>
    </w:p>
    <w:p w14:paraId="744E55BF" w14:textId="3FF32004" w:rsidR="00C566D9" w:rsidRPr="00F362B3" w:rsidRDefault="00C566D9" w:rsidP="00C566D9">
      <w:pPr>
        <w:pStyle w:val="Abstract0"/>
        <w:rPr>
          <w:rFonts w:eastAsia="Calibri"/>
        </w:rPr>
      </w:pPr>
      <w:r w:rsidRPr="001004B9">
        <w:rPr>
          <w:rFonts w:eastAsia="Calibri"/>
          <w:b/>
        </w:rPr>
        <w:t>Abstract</w:t>
      </w:r>
      <w:r>
        <w:rPr>
          <w:rFonts w:eastAsia="Calibri"/>
        </w:rPr>
        <w:t>:</w:t>
      </w:r>
      <w:r w:rsidRPr="00FE0507">
        <w:rPr>
          <w:rFonts w:eastAsia="Calibri"/>
        </w:rPr>
        <w:t xml:space="preserve"> </w:t>
      </w:r>
      <w:r w:rsidR="000463E2" w:rsidRPr="000463E2">
        <w:rPr>
          <w:rFonts w:eastAsia="Calibri"/>
        </w:rPr>
        <w:t xml:space="preserve">The energy landscape of the 21st century is dominated by ramifications necessitating critically low carbon emissions and efficient utilization of renewable energy sources. Therefore, in order to support the transition to the green energy era a myriad of policies </w:t>
      </w:r>
      <w:r w:rsidR="003325B4">
        <w:rPr>
          <w:rFonts w:eastAsia="Calibri"/>
        </w:rPr>
        <w:t>is</w:t>
      </w:r>
      <w:r w:rsidR="000463E2" w:rsidRPr="000463E2">
        <w:rPr>
          <w:rFonts w:eastAsia="Calibri"/>
        </w:rPr>
        <w:t xml:space="preserve"> drafted and implemented with the most notable being the “20-20-20” European directive. </w:t>
      </w:r>
      <w:r w:rsidR="00EA7E14">
        <w:rPr>
          <w:rFonts w:eastAsia="Calibri"/>
        </w:rPr>
        <w:t>Therefore</w:t>
      </w:r>
      <w:r w:rsidR="000463E2" w:rsidRPr="000463E2">
        <w:rPr>
          <w:rFonts w:eastAsia="Calibri"/>
        </w:rPr>
        <w:t xml:space="preserve">, effective marketing strategies could assist in </w:t>
      </w:r>
      <w:r w:rsidR="00EA7E14">
        <w:rPr>
          <w:rFonts w:eastAsia="Calibri"/>
        </w:rPr>
        <w:t>the transition</w:t>
      </w:r>
      <w:r w:rsidR="000463E2" w:rsidRPr="000463E2">
        <w:rPr>
          <w:rFonts w:eastAsia="Calibri"/>
        </w:rPr>
        <w:t xml:space="preserve"> from fossil fuel based to clean energy production technologies. Thus far, the existing body of marketing literature tackling the adoption of green energy systems is rather limited. In addition, innovation diffusion models in the energy sector are case-depended and can only provide myopic managerial insights. To that end, well-designed intervention policies </w:t>
      </w:r>
      <w:r w:rsidR="003325B4">
        <w:rPr>
          <w:rFonts w:eastAsia="Calibri"/>
        </w:rPr>
        <w:t xml:space="preserve">in the marketing domain </w:t>
      </w:r>
      <w:r w:rsidR="000463E2" w:rsidRPr="000463E2">
        <w:rPr>
          <w:rFonts w:eastAsia="Calibri"/>
        </w:rPr>
        <w:t xml:space="preserve">could </w:t>
      </w:r>
      <w:r w:rsidR="00EA7E14">
        <w:rPr>
          <w:rFonts w:eastAsia="Calibri"/>
        </w:rPr>
        <w:t>stimulate</w:t>
      </w:r>
      <w:r w:rsidR="000463E2" w:rsidRPr="000463E2">
        <w:rPr>
          <w:rFonts w:eastAsia="Calibri"/>
        </w:rPr>
        <w:t xml:space="preserve"> the environmental awareness of consumers and </w:t>
      </w:r>
      <w:r w:rsidR="00EA7E14">
        <w:rPr>
          <w:rFonts w:eastAsia="Calibri"/>
        </w:rPr>
        <w:t xml:space="preserve">further </w:t>
      </w:r>
      <w:r w:rsidR="000463E2" w:rsidRPr="000463E2">
        <w:rPr>
          <w:rFonts w:eastAsia="Calibri"/>
        </w:rPr>
        <w:t xml:space="preserve">foster the diffusion of renewable sources </w:t>
      </w:r>
      <w:r w:rsidR="003325B4">
        <w:rPr>
          <w:rFonts w:eastAsia="Calibri"/>
        </w:rPr>
        <w:t>in</w:t>
      </w:r>
      <w:r w:rsidR="000463E2" w:rsidRPr="000463E2">
        <w:rPr>
          <w:rFonts w:eastAsia="Calibri"/>
        </w:rPr>
        <w:t xml:space="preserve"> the </w:t>
      </w:r>
      <w:r w:rsidR="003325B4">
        <w:rPr>
          <w:rFonts w:eastAsia="Calibri"/>
        </w:rPr>
        <w:t>energy</w:t>
      </w:r>
      <w:r w:rsidR="000463E2" w:rsidRPr="000463E2">
        <w:rPr>
          <w:rFonts w:eastAsia="Calibri"/>
        </w:rPr>
        <w:t xml:space="preserve"> sector. </w:t>
      </w:r>
      <w:r w:rsidR="00EA7E14" w:rsidRPr="000463E2">
        <w:rPr>
          <w:rFonts w:eastAsia="Calibri"/>
        </w:rPr>
        <w:t>Hence</w:t>
      </w:r>
      <w:r w:rsidR="000463E2" w:rsidRPr="000463E2">
        <w:rPr>
          <w:rFonts w:eastAsia="Calibri"/>
        </w:rPr>
        <w:t xml:space="preserve">, in this study we propose a System Dynamics (SD) methodological approach to assess marketing interventions that could </w:t>
      </w:r>
      <w:r w:rsidR="00EA7E14">
        <w:rPr>
          <w:rFonts w:eastAsia="Calibri"/>
        </w:rPr>
        <w:t>promote</w:t>
      </w:r>
      <w:r w:rsidR="000463E2" w:rsidRPr="000463E2">
        <w:rPr>
          <w:rFonts w:eastAsia="Calibri"/>
        </w:rPr>
        <w:t xml:space="preserve"> the diffusion of </w:t>
      </w:r>
      <w:r w:rsidR="003325B4">
        <w:rPr>
          <w:rFonts w:eastAsia="Calibri"/>
        </w:rPr>
        <w:t>clean</w:t>
      </w:r>
      <w:r w:rsidR="000463E2" w:rsidRPr="000463E2">
        <w:rPr>
          <w:rFonts w:eastAsia="Calibri"/>
        </w:rPr>
        <w:t xml:space="preserve"> </w:t>
      </w:r>
      <w:r w:rsidR="00EA7E14">
        <w:rPr>
          <w:rFonts w:eastAsia="Calibri"/>
        </w:rPr>
        <w:t xml:space="preserve">energy </w:t>
      </w:r>
      <w:r w:rsidR="003325B4">
        <w:rPr>
          <w:rFonts w:eastAsia="Calibri"/>
        </w:rPr>
        <w:t>production</w:t>
      </w:r>
      <w:r w:rsidR="000463E2" w:rsidRPr="000463E2">
        <w:rPr>
          <w:rFonts w:eastAsia="Calibri"/>
        </w:rPr>
        <w:t xml:space="preserve">. Such modelling could provide important managerial insights </w:t>
      </w:r>
      <w:r w:rsidR="00EA7E14">
        <w:rPr>
          <w:rFonts w:eastAsia="Calibri"/>
        </w:rPr>
        <w:t>with regard to</w:t>
      </w:r>
      <w:r w:rsidR="000463E2" w:rsidRPr="000463E2">
        <w:rPr>
          <w:rFonts w:eastAsia="Calibri"/>
        </w:rPr>
        <w:t xml:space="preserve"> the merit of effective marketing </w:t>
      </w:r>
      <w:r w:rsidR="003325B4">
        <w:rPr>
          <w:rFonts w:eastAsia="Calibri"/>
        </w:rPr>
        <w:t>operations</w:t>
      </w:r>
      <w:r w:rsidR="000463E2" w:rsidRPr="000463E2">
        <w:rPr>
          <w:rFonts w:eastAsia="Calibri"/>
        </w:rPr>
        <w:t xml:space="preserve"> towards a robust and sustainable future </w:t>
      </w:r>
      <w:r w:rsidR="003325B4">
        <w:rPr>
          <w:rFonts w:eastAsia="Calibri"/>
        </w:rPr>
        <w:t>in</w:t>
      </w:r>
      <w:r w:rsidR="000463E2" w:rsidRPr="000463E2">
        <w:rPr>
          <w:rFonts w:eastAsia="Calibri"/>
        </w:rPr>
        <w:t xml:space="preserve"> the energy </w:t>
      </w:r>
      <w:r w:rsidR="003325B4">
        <w:rPr>
          <w:rFonts w:eastAsia="Calibri"/>
        </w:rPr>
        <w:t>landscape.</w:t>
      </w:r>
    </w:p>
    <w:p w14:paraId="7C3C71E6" w14:textId="4C0FC052" w:rsidR="00C566D9" w:rsidRPr="00C36D0E" w:rsidRDefault="00C566D9" w:rsidP="00C566D9">
      <w:pPr>
        <w:pStyle w:val="Abstract0"/>
        <w:rPr>
          <w:rFonts w:eastAsia="Calibri"/>
          <w:b/>
        </w:rPr>
      </w:pPr>
      <w:r w:rsidRPr="00853066">
        <w:rPr>
          <w:rFonts w:cs="Times-Italic"/>
          <w:i/>
          <w:iCs/>
          <w:lang w:eastAsia="el-GR"/>
        </w:rPr>
        <w:t xml:space="preserve">Keywords: </w:t>
      </w:r>
      <w:r w:rsidR="00BE1710">
        <w:rPr>
          <w:rFonts w:eastAsia="Calibri"/>
          <w:b/>
        </w:rPr>
        <w:t>Energy, Green Technologies, Marketing Interventions, System Dynamics</w:t>
      </w:r>
      <w:r>
        <w:rPr>
          <w:rFonts w:eastAsia="Calibri"/>
          <w:b/>
        </w:rPr>
        <w:t>.</w:t>
      </w:r>
      <w:r w:rsidRPr="00C36D0E">
        <w:rPr>
          <w:rFonts w:eastAsia="Calibri"/>
          <w:b/>
        </w:rPr>
        <w:t xml:space="preserve"> </w:t>
      </w:r>
    </w:p>
    <w:p w14:paraId="35EA8BF3" w14:textId="32235B75" w:rsidR="00C566D9" w:rsidRPr="00853066" w:rsidRDefault="006F5C00" w:rsidP="00C566D9">
      <w:pPr>
        <w:pStyle w:val="1"/>
        <w:keepLines/>
        <w:suppressAutoHyphens/>
        <w:overflowPunct/>
        <w:autoSpaceDE/>
        <w:autoSpaceDN/>
        <w:adjustRightInd/>
        <w:spacing w:before="240" w:after="120" w:line="260" w:lineRule="exact"/>
        <w:ind w:left="360" w:right="360" w:hanging="360"/>
        <w:jc w:val="left"/>
        <w:textAlignment w:val="auto"/>
        <w:rPr>
          <w:rFonts w:ascii="Bookman Old Style" w:hAnsi="Bookman Old Style"/>
        </w:rPr>
      </w:pPr>
      <w:r>
        <w:rPr>
          <w:rFonts w:ascii="Bookman Old Style" w:hAnsi="Bookman Old Style"/>
        </w:rPr>
        <w:t xml:space="preserve">1. </w:t>
      </w:r>
      <w:r w:rsidR="008357B4" w:rsidRPr="008357B4">
        <w:rPr>
          <w:rFonts w:ascii="Bookman Old Style" w:hAnsi="Bookman Old Style"/>
        </w:rPr>
        <w:t>Introduction</w:t>
      </w:r>
    </w:p>
    <w:p w14:paraId="00229893" w14:textId="644F1B18" w:rsidR="00C566D9" w:rsidRDefault="008357B4" w:rsidP="00C566D9">
      <w:pPr>
        <w:pStyle w:val="Els-body-text"/>
      </w:pPr>
      <w:r w:rsidRPr="008357B4">
        <w:t xml:space="preserve">Global warming and climate change have accentuated </w:t>
      </w:r>
      <w:r w:rsidR="00CA650F">
        <w:t>international</w:t>
      </w:r>
      <w:r w:rsidRPr="008357B4">
        <w:t xml:space="preserve"> environmental concerns, thus enhancing consumers’ ecological</w:t>
      </w:r>
      <w:r w:rsidR="00BF440F">
        <w:t xml:space="preserve"> attitude </w:t>
      </w:r>
      <w:r w:rsidR="00CA650F">
        <w:t xml:space="preserve">towards environmental friendly products and services </w:t>
      </w:r>
      <w:r w:rsidR="00BF440F">
        <w:t>(Fuentes</w:t>
      </w:r>
      <w:r w:rsidRPr="008357B4">
        <w:t xml:space="preserve"> 2015). To that end, in order for organizations to </w:t>
      </w:r>
      <w:r w:rsidR="00601C02">
        <w:t>harness the environmental sensitivity dynamics of local and international markets i</w:t>
      </w:r>
      <w:r w:rsidRPr="008357B4">
        <w:t xml:space="preserve">n an </w:t>
      </w:r>
      <w:r w:rsidR="00CA650F">
        <w:t>efficient and profitable manner</w:t>
      </w:r>
      <w:r w:rsidRPr="008357B4">
        <w:t xml:space="preserve"> </w:t>
      </w:r>
      <w:r w:rsidR="00601C02">
        <w:t xml:space="preserve">they </w:t>
      </w:r>
      <w:r w:rsidR="00CA650F">
        <w:t>continuously</w:t>
      </w:r>
      <w:r w:rsidRPr="008357B4">
        <w:t xml:space="preserve"> </w:t>
      </w:r>
      <w:r w:rsidR="00CA650F">
        <w:t>elaborate innovative</w:t>
      </w:r>
      <w:r w:rsidRPr="008357B4">
        <w:t xml:space="preserve"> “green” marketing strategies</w:t>
      </w:r>
      <w:r w:rsidR="00CA650F">
        <w:t xml:space="preserve"> to communicate their environmental sustainability initiatives to consumers</w:t>
      </w:r>
      <w:r w:rsidR="00601C02">
        <w:t xml:space="preserve">. </w:t>
      </w:r>
      <w:r w:rsidR="00CA650F">
        <w:t>In addition, m</w:t>
      </w:r>
      <w:r w:rsidR="00601C02">
        <w:t>ain aim is to shift stakeholders’</w:t>
      </w:r>
      <w:r w:rsidRPr="008357B4">
        <w:t xml:space="preserve"> mindset towards environmental friendly operations throughout the entire products’ and serv</w:t>
      </w:r>
      <w:r w:rsidR="00BF440F">
        <w:t>ices’ value chain (</w:t>
      </w:r>
      <w:proofErr w:type="spellStart"/>
      <w:r w:rsidR="00BF440F">
        <w:t>Laari</w:t>
      </w:r>
      <w:proofErr w:type="spellEnd"/>
      <w:r w:rsidR="00BF440F">
        <w:t xml:space="preserve"> et al.</w:t>
      </w:r>
      <w:r w:rsidRPr="008357B4">
        <w:t xml:space="preserve"> 2015). Specifically, environmental concerns stem from the increased CO2 emissions related to conventional energy sources hence necessitating the growth of cleaner energy options to meet the global demand for r</w:t>
      </w:r>
      <w:r w:rsidR="00BF440F">
        <w:t>enewable energy (</w:t>
      </w:r>
      <w:proofErr w:type="spellStart"/>
      <w:r w:rsidR="00BF440F">
        <w:t>Edeseyi</w:t>
      </w:r>
      <w:proofErr w:type="spellEnd"/>
      <w:r w:rsidR="00BF440F">
        <w:t xml:space="preserve"> et al.</w:t>
      </w:r>
      <w:r w:rsidRPr="008357B4">
        <w:t xml:space="preserve"> 2015)</w:t>
      </w:r>
      <w:r w:rsidR="00C566D9" w:rsidRPr="00853066">
        <w:t>.</w:t>
      </w:r>
    </w:p>
    <w:p w14:paraId="18056968" w14:textId="704E523D" w:rsidR="008357B4" w:rsidRDefault="008357B4" w:rsidP="00C566D9">
      <w:pPr>
        <w:pStyle w:val="Els-body-text"/>
      </w:pPr>
      <w:r w:rsidRPr="008357B4">
        <w:t xml:space="preserve">However, despite the key role of renewable energy sources towards ensuring environmental sustainability in the European Union, the share of clean energy supply </w:t>
      </w:r>
      <w:r w:rsidRPr="008357B4">
        <w:lastRenderedPageBreak/>
        <w:t>to the total energy consumption in the respective region is</w:t>
      </w:r>
      <w:r w:rsidR="00BF440F">
        <w:t xml:space="preserve"> estimated to only 8% (Eurostat</w:t>
      </w:r>
      <w:r w:rsidRPr="008357B4">
        <w:t xml:space="preserve"> 2010</w:t>
      </w:r>
      <w:r w:rsidR="00F32208">
        <w:t>,</w:t>
      </w:r>
      <w:r w:rsidR="00BF440F">
        <w:t xml:space="preserve"> </w:t>
      </w:r>
      <w:proofErr w:type="spellStart"/>
      <w:r w:rsidR="00BF440F">
        <w:t>Menegaki</w:t>
      </w:r>
      <w:proofErr w:type="spellEnd"/>
      <w:r w:rsidRPr="008357B4">
        <w:t xml:space="preserve"> 2012). The latter observation can be attributed to the </w:t>
      </w:r>
      <w:r w:rsidR="00801707">
        <w:t xml:space="preserve">significant </w:t>
      </w:r>
      <w:r w:rsidRPr="008357B4">
        <w:t xml:space="preserve">required </w:t>
      </w:r>
      <w:r w:rsidR="00801707" w:rsidRPr="008357B4">
        <w:t xml:space="preserve">investments </w:t>
      </w:r>
      <w:r w:rsidR="00801707">
        <w:t xml:space="preserve">in </w:t>
      </w:r>
      <w:r w:rsidRPr="008357B4">
        <w:t xml:space="preserve">infrastructure and the </w:t>
      </w:r>
      <w:r w:rsidR="00801707">
        <w:t xml:space="preserve">inherent </w:t>
      </w:r>
      <w:r w:rsidRPr="008357B4">
        <w:t xml:space="preserve">consumers’ reluctance in directly or indirectly paying a higher price for </w:t>
      </w:r>
      <w:r w:rsidR="00801707">
        <w:t xml:space="preserve">the supply of </w:t>
      </w:r>
      <w:r w:rsidRPr="008357B4">
        <w:t>green energy (</w:t>
      </w:r>
      <w:proofErr w:type="spellStart"/>
      <w:r w:rsidRPr="008357B4">
        <w:t>Sundt</w:t>
      </w:r>
      <w:proofErr w:type="spellEnd"/>
      <w:r w:rsidRPr="008357B4">
        <w:t xml:space="preserve"> and </w:t>
      </w:r>
      <w:proofErr w:type="spellStart"/>
      <w:r w:rsidRPr="008357B4">
        <w:t>Rehdanz</w:t>
      </w:r>
      <w:proofErr w:type="spellEnd"/>
      <w:r w:rsidRPr="008357B4">
        <w:t xml:space="preserve"> 2015)</w:t>
      </w:r>
      <w:r>
        <w:t>.</w:t>
      </w:r>
    </w:p>
    <w:p w14:paraId="715DFD96" w14:textId="7AA2667C" w:rsidR="008357B4" w:rsidRDefault="008357B4" w:rsidP="00121EA3">
      <w:pPr>
        <w:pStyle w:val="Els-body-text"/>
      </w:pPr>
      <w:r w:rsidRPr="00DA179A">
        <w:t xml:space="preserve">To that end, marketing strategies and </w:t>
      </w:r>
      <w:proofErr w:type="spellStart"/>
      <w:r w:rsidRPr="00DA179A">
        <w:t>programmes</w:t>
      </w:r>
      <w:proofErr w:type="spellEnd"/>
      <w:r w:rsidRPr="00DA179A">
        <w:t xml:space="preserve"> could have a positive impact on shifting the consumers’ preference and willingness to pay towards clean energ</w:t>
      </w:r>
      <w:r w:rsidR="00BF440F">
        <w:t>y options (</w:t>
      </w:r>
      <w:proofErr w:type="spellStart"/>
      <w:r w:rsidR="00BF440F">
        <w:t>Carrigan</w:t>
      </w:r>
      <w:proofErr w:type="spellEnd"/>
      <w:r w:rsidR="00BF440F">
        <w:t xml:space="preserve"> and Attalla 2001,</w:t>
      </w:r>
      <w:r w:rsidRPr="00DA179A">
        <w:t xml:space="preserve"> Harper and </w:t>
      </w:r>
      <w:proofErr w:type="spellStart"/>
      <w:r w:rsidRPr="00DA179A">
        <w:t>Makatouni</w:t>
      </w:r>
      <w:proofErr w:type="spellEnd"/>
      <w:r w:rsidRPr="00DA179A">
        <w:t xml:space="preserve"> 2002</w:t>
      </w:r>
      <w:r w:rsidR="00BF440F">
        <w:t>,</w:t>
      </w:r>
      <w:r w:rsidRPr="00DA179A">
        <w:t xml:space="preserve"> Kim et al. 2013</w:t>
      </w:r>
      <w:r w:rsidR="00BF440F">
        <w:t>,</w:t>
      </w:r>
      <w:r w:rsidRPr="00DA179A">
        <w:t xml:space="preserve"> </w:t>
      </w:r>
      <w:proofErr w:type="spellStart"/>
      <w:r w:rsidRPr="00DA179A">
        <w:t>Leonidou</w:t>
      </w:r>
      <w:proofErr w:type="spellEnd"/>
      <w:r w:rsidRPr="00DA179A">
        <w:t xml:space="preserve"> </w:t>
      </w:r>
      <w:r w:rsidR="00BF440F">
        <w:t>et al.</w:t>
      </w:r>
      <w:bookmarkStart w:id="0" w:name="_GoBack"/>
      <w:bookmarkEnd w:id="0"/>
      <w:r w:rsidRPr="00DA179A">
        <w:t xml:space="preserve"> 2010</w:t>
      </w:r>
      <w:r w:rsidR="00BF440F">
        <w:t>,</w:t>
      </w:r>
      <w:r w:rsidRPr="00DA179A">
        <w:t xml:space="preserve"> </w:t>
      </w:r>
      <w:proofErr w:type="spellStart"/>
      <w:r w:rsidRPr="00DA179A">
        <w:t>Schröder</w:t>
      </w:r>
      <w:proofErr w:type="spellEnd"/>
      <w:r w:rsidRPr="00DA179A">
        <w:t xml:space="preserve"> and </w:t>
      </w:r>
      <w:proofErr w:type="spellStart"/>
      <w:r w:rsidRPr="00DA179A">
        <w:t>McEachern</w:t>
      </w:r>
      <w:proofErr w:type="spellEnd"/>
      <w:r w:rsidRPr="00DA179A">
        <w:t xml:space="preserve"> 2004), thus promoting investments </w:t>
      </w:r>
      <w:r w:rsidR="00801707">
        <w:t xml:space="preserve">in the field along with </w:t>
      </w:r>
      <w:r w:rsidRPr="00DA179A">
        <w:t>the considerable adoption of renewable energy sources in the energy production mix.</w:t>
      </w:r>
      <w:r w:rsidR="00121EA3" w:rsidRPr="00DA179A">
        <w:t xml:space="preserve"> </w:t>
      </w:r>
      <w:r w:rsidR="00801707">
        <w:t>Nevertheless</w:t>
      </w:r>
      <w:r w:rsidR="00121EA3" w:rsidRPr="00DA179A">
        <w:t xml:space="preserve">, existing studies fail to capture the complex nexus of marketing dynamics </w:t>
      </w:r>
      <w:r w:rsidR="00801707">
        <w:t>governing</w:t>
      </w:r>
      <w:r w:rsidR="00121EA3" w:rsidRPr="00DA179A">
        <w:t xml:space="preserve"> the energy market. To that end, </w:t>
      </w:r>
      <w:r w:rsidR="00801707">
        <w:t xml:space="preserve">the </w:t>
      </w:r>
      <w:r w:rsidRPr="00DA179A">
        <w:t>System Dynamics (SD)</w:t>
      </w:r>
      <w:r w:rsidR="00121EA3" w:rsidRPr="00DA179A">
        <w:t xml:space="preserve"> methodology could be elaborated to provide a realistic representation of the total marketing effect and its </w:t>
      </w:r>
      <w:r w:rsidR="00CC0AF6">
        <w:t xml:space="preserve">component </w:t>
      </w:r>
      <w:r w:rsidR="00121EA3" w:rsidRPr="00DA179A">
        <w:t>factors in the diffusion of clean energy production</w:t>
      </w:r>
      <w:r w:rsidR="00CC0AF6">
        <w:t xml:space="preserve"> in the respective market</w:t>
      </w:r>
      <w:r w:rsidR="00121EA3" w:rsidRPr="00DA179A">
        <w:t>.</w:t>
      </w:r>
    </w:p>
    <w:p w14:paraId="1178632F" w14:textId="64A374B6" w:rsidR="006F5C00" w:rsidRDefault="008357B4" w:rsidP="00C566D9">
      <w:pPr>
        <w:pStyle w:val="Els-body-text"/>
      </w:pPr>
      <w:r w:rsidRPr="008357B4">
        <w:t xml:space="preserve">The structure of our paper is as follows. In Section 2 we provide a rather short review of the literature regarding </w:t>
      </w:r>
      <w:r w:rsidR="00CC0AF6">
        <w:t xml:space="preserve">the </w:t>
      </w:r>
      <w:r w:rsidRPr="008357B4">
        <w:t xml:space="preserve">marketing of clean energy and consumers’ </w:t>
      </w:r>
      <w:r w:rsidR="00CC0AF6">
        <w:t>traits shaping their willingness to pay</w:t>
      </w:r>
      <w:r w:rsidRPr="008357B4">
        <w:t xml:space="preserve"> </w:t>
      </w:r>
      <w:r w:rsidR="00CC0AF6">
        <w:t>for the supply of clean</w:t>
      </w:r>
      <w:r w:rsidRPr="008357B4">
        <w:t xml:space="preserve"> energy. Following, in Section 3 we </w:t>
      </w:r>
      <w:r w:rsidR="00CC0AF6">
        <w:t>propose a</w:t>
      </w:r>
      <w:r w:rsidRPr="008357B4">
        <w:t xml:space="preserve"> SD model </w:t>
      </w:r>
      <w:r w:rsidR="00CC0AF6">
        <w:t>for the diffusion of green energy in the market, while in Section 4 we present</w:t>
      </w:r>
      <w:r w:rsidRPr="008357B4">
        <w:t xml:space="preserve"> preliminary </w:t>
      </w:r>
      <w:r w:rsidR="00CC0AF6" w:rsidRPr="00CC0AF6">
        <w:t xml:space="preserve">numerical </w:t>
      </w:r>
      <w:r w:rsidR="00CC0AF6">
        <w:t>results</w:t>
      </w:r>
      <w:r w:rsidRPr="008357B4">
        <w:t xml:space="preserve">. Finally, Section 5 discusses the outcomes of our </w:t>
      </w:r>
      <w:r w:rsidR="00CC0AF6">
        <w:t>study</w:t>
      </w:r>
      <w:r w:rsidRPr="008357B4">
        <w:t xml:space="preserve"> and conclude</w:t>
      </w:r>
      <w:r w:rsidR="00CC0AF6">
        <w:t>s</w:t>
      </w:r>
      <w:r w:rsidRPr="008357B4">
        <w:t xml:space="preserve"> with future research implications</w:t>
      </w:r>
      <w:r>
        <w:t>.</w:t>
      </w:r>
    </w:p>
    <w:p w14:paraId="2DAF60D4" w14:textId="69672CCE" w:rsidR="006F5C00" w:rsidRPr="00853066" w:rsidRDefault="006F5C00" w:rsidP="006F5C00">
      <w:pPr>
        <w:pStyle w:val="1"/>
        <w:keepLines/>
        <w:suppressAutoHyphens/>
        <w:overflowPunct/>
        <w:autoSpaceDE/>
        <w:autoSpaceDN/>
        <w:adjustRightInd/>
        <w:spacing w:before="240" w:after="120" w:line="260" w:lineRule="exact"/>
        <w:ind w:left="360" w:right="360" w:hanging="360"/>
        <w:jc w:val="left"/>
        <w:textAlignment w:val="auto"/>
        <w:rPr>
          <w:rFonts w:ascii="Bookman Old Style" w:hAnsi="Bookman Old Style"/>
        </w:rPr>
      </w:pPr>
      <w:r>
        <w:rPr>
          <w:rFonts w:ascii="Bookman Old Style" w:hAnsi="Bookman Old Style"/>
        </w:rPr>
        <w:t xml:space="preserve">2. </w:t>
      </w:r>
      <w:r w:rsidR="001D6E4A">
        <w:rPr>
          <w:rFonts w:ascii="Bookman Old Style" w:hAnsi="Bookman Old Style"/>
        </w:rPr>
        <w:t>Literature r</w:t>
      </w:r>
      <w:r w:rsidRPr="006F5C00">
        <w:rPr>
          <w:rFonts w:ascii="Bookman Old Style" w:hAnsi="Bookman Old Style"/>
        </w:rPr>
        <w:t>eview</w:t>
      </w:r>
    </w:p>
    <w:p w14:paraId="22982352" w14:textId="277738A4" w:rsidR="006F5C00" w:rsidRPr="00853066" w:rsidRDefault="006F5C00" w:rsidP="006F5C00">
      <w:pPr>
        <w:pStyle w:val="Els-body-text"/>
      </w:pPr>
      <w:r w:rsidRPr="006F5C00">
        <w:t xml:space="preserve">Existing research on the marketing of green products and services focuses on both intrinsic and extrinsic factors influencing consumers’ purchasing decisions. Marketers develop their proposed strategies and </w:t>
      </w:r>
      <w:proofErr w:type="spellStart"/>
      <w:r w:rsidRPr="006F5C00">
        <w:t>programmes</w:t>
      </w:r>
      <w:proofErr w:type="spellEnd"/>
      <w:r w:rsidRPr="006F5C00">
        <w:t xml:space="preserve"> based upon these factors</w:t>
      </w:r>
      <w:r w:rsidR="00C67015">
        <w:t xml:space="preserve">. </w:t>
      </w:r>
      <w:r w:rsidRPr="006F5C00">
        <w:t xml:space="preserve">Intrinsic factors refer to the psychological values of consumers that shape their attitude towards clean energy. Considering that the aforesaid psychological </w:t>
      </w:r>
      <w:r w:rsidR="00570B2E">
        <w:t xml:space="preserve">traits </w:t>
      </w:r>
      <w:r w:rsidRPr="006F5C00">
        <w:t>are rooted on the social and demographic background of consumers, marketing practices focusing on the consumers’ intrinsic characteristics aim only at amplifying their purchasing attitudes. Indicatively, it is documented that marketing effects upon green energy tend to be more evident in case consumers have high</w:t>
      </w:r>
      <w:r w:rsidR="00BF440F">
        <w:t xml:space="preserve"> income (Diaz-Rainey and Ashton</w:t>
      </w:r>
      <w:r w:rsidRPr="006F5C00">
        <w:t xml:space="preserve"> 2011), are highly-educated and are better info</w:t>
      </w:r>
      <w:r w:rsidR="00BF440F">
        <w:t>rmed about energy issues (Ozaki</w:t>
      </w:r>
      <w:r w:rsidRPr="006F5C00">
        <w:t xml:space="preserve"> 2011).</w:t>
      </w:r>
      <w:r w:rsidR="00C67015">
        <w:t xml:space="preserve"> </w:t>
      </w:r>
      <w:r w:rsidR="00570B2E">
        <w:t>On the other hand, e</w:t>
      </w:r>
      <w:r w:rsidRPr="006F5C00">
        <w:t xml:space="preserve">xtrinsic consumer characteristics can be influenced by marketers through effectively </w:t>
      </w:r>
      <w:r w:rsidR="00570B2E" w:rsidRPr="006F5C00">
        <w:t xml:space="preserve">communicating </w:t>
      </w:r>
      <w:r w:rsidRPr="006F5C00">
        <w:t>information and educating prosp</w:t>
      </w:r>
      <w:r w:rsidR="00570B2E">
        <w:t>ective consumers on green energy issues</w:t>
      </w:r>
      <w:r w:rsidRPr="006F5C00">
        <w:t xml:space="preserve"> (</w:t>
      </w:r>
      <w:proofErr w:type="spellStart"/>
      <w:r w:rsidRPr="006F5C00">
        <w:t>Herbes</w:t>
      </w:r>
      <w:proofErr w:type="spellEnd"/>
      <w:r w:rsidRPr="006F5C00">
        <w:t xml:space="preserve"> and </w:t>
      </w:r>
      <w:proofErr w:type="spellStart"/>
      <w:r w:rsidRPr="006F5C00">
        <w:t>Ramm</w:t>
      </w:r>
      <w:proofErr w:type="spellEnd"/>
      <w:r w:rsidRPr="006F5C00">
        <w:t xml:space="preserve"> 2015).</w:t>
      </w:r>
    </w:p>
    <w:p w14:paraId="7BD18686" w14:textId="785BD2C1" w:rsidR="006F5C00" w:rsidRPr="00853066" w:rsidRDefault="006F5C00" w:rsidP="006F5C00">
      <w:pPr>
        <w:pStyle w:val="1"/>
        <w:keepLines/>
        <w:suppressAutoHyphens/>
        <w:overflowPunct/>
        <w:autoSpaceDE/>
        <w:autoSpaceDN/>
        <w:adjustRightInd/>
        <w:spacing w:before="240" w:after="120" w:line="260" w:lineRule="exact"/>
        <w:ind w:left="360" w:right="360" w:hanging="360"/>
        <w:jc w:val="left"/>
        <w:textAlignment w:val="auto"/>
        <w:rPr>
          <w:rFonts w:ascii="Bookman Old Style" w:hAnsi="Bookman Old Style"/>
        </w:rPr>
      </w:pPr>
      <w:r>
        <w:rPr>
          <w:rFonts w:ascii="Bookman Old Style" w:hAnsi="Bookman Old Style"/>
        </w:rPr>
        <w:t xml:space="preserve">3. </w:t>
      </w:r>
      <w:r w:rsidRPr="006F5C00">
        <w:rPr>
          <w:rFonts w:ascii="Bookman Old Style" w:hAnsi="Bookman Old Style"/>
        </w:rPr>
        <w:t xml:space="preserve">System </w:t>
      </w:r>
      <w:r w:rsidR="001D6E4A">
        <w:rPr>
          <w:rFonts w:ascii="Bookman Old Style" w:hAnsi="Bookman Old Style"/>
        </w:rPr>
        <w:t>d</w:t>
      </w:r>
      <w:r w:rsidRPr="006F5C00">
        <w:rPr>
          <w:rFonts w:ascii="Bookman Old Style" w:hAnsi="Bookman Old Style"/>
        </w:rPr>
        <w:t xml:space="preserve">ynamics </w:t>
      </w:r>
      <w:r w:rsidR="001D6E4A">
        <w:rPr>
          <w:rFonts w:ascii="Bookman Old Style" w:hAnsi="Bookman Old Style"/>
        </w:rPr>
        <w:t>f</w:t>
      </w:r>
      <w:r w:rsidRPr="006F5C00">
        <w:rPr>
          <w:rFonts w:ascii="Bookman Old Style" w:hAnsi="Bookman Old Style"/>
        </w:rPr>
        <w:t>ramework</w:t>
      </w:r>
    </w:p>
    <w:p w14:paraId="339525A2" w14:textId="2D786A1D" w:rsidR="006F5C00" w:rsidRDefault="006F5C00" w:rsidP="00667DEB">
      <w:pPr>
        <w:pStyle w:val="Els-body-text"/>
      </w:pPr>
      <w:r w:rsidRPr="006F5C00">
        <w:t xml:space="preserve">In this section we present a modeling approach for investigating the role of marketing in the diffusion of clean energy technologies in terms of the total consumed energy generated by renewable energy sources. Specifically, we solely focus on the impact of marketing practices on the total adoption rate of clean energy. In this </w:t>
      </w:r>
      <w:r w:rsidRPr="006F5C00">
        <w:lastRenderedPageBreak/>
        <w:t xml:space="preserve">context, we utilize the Bass diffusion theory describing the adoption of a new product or service in time. Thereafter, capitalizing on the study provided by </w:t>
      </w:r>
      <w:proofErr w:type="spellStart"/>
      <w:r w:rsidRPr="006F5C00">
        <w:t>Toka</w:t>
      </w:r>
      <w:proofErr w:type="spellEnd"/>
      <w:r w:rsidRPr="006F5C00">
        <w:t xml:space="preserve"> et al. (2014), we propose a SD modeling framework that could be employed by marketers as a strategic decision-making tool for investigating the impact of several marketing interventions on the adoption of renewable </w:t>
      </w:r>
      <w:r w:rsidR="00A714B7">
        <w:t xml:space="preserve">sourced energy </w:t>
      </w:r>
      <w:r w:rsidRPr="006F5C00">
        <w:t>by consumers.</w:t>
      </w:r>
    </w:p>
    <w:p w14:paraId="6892D12D" w14:textId="6982D480" w:rsidR="006F5C00" w:rsidRDefault="00F50A2D" w:rsidP="00667DEB">
      <w:pPr>
        <w:pStyle w:val="Els-body-text"/>
      </w:pPr>
      <w:r w:rsidRPr="00F50A2D">
        <w:t xml:space="preserve">Developed by Jay W. Forrester </w:t>
      </w:r>
      <w:r w:rsidR="00D37C72">
        <w:t>about five decades ago</w:t>
      </w:r>
      <w:r w:rsidRPr="00F50A2D">
        <w:t>, the theory of SD is a tool for designing policies in order to manage complex business problems. The dynamic complexity arises because systems are dynamic, tightly coupled, governed by feedback, nonlinear, history-dependent, self-organizing, adaptive, counter-intuitive, policy-resistant, and characterized by trade-offs (</w:t>
      </w:r>
      <w:proofErr w:type="spellStart"/>
      <w:r w:rsidRPr="00F50A2D">
        <w:t>Sterman</w:t>
      </w:r>
      <w:proofErr w:type="spellEnd"/>
      <w:r w:rsidRPr="00F50A2D">
        <w:t xml:space="preserve"> 2000). The structure of a system in SD methodology is based on causal loop diagrams</w:t>
      </w:r>
      <w:r w:rsidR="00796940">
        <w:t>, where a</w:t>
      </w:r>
      <w:r w:rsidRPr="00F50A2D">
        <w:t xml:space="preserve"> causal loop diagram represents the major feedback mechanism</w:t>
      </w:r>
      <w:r w:rsidR="00796940">
        <w:t xml:space="preserve"> governing the system under study</w:t>
      </w:r>
      <w:r w:rsidRPr="00F50A2D">
        <w:t xml:space="preserve">. These mechanisms have either a negative (balancing loop) or positive (reinforcing loop) effect. A balancing loop exhibits goal-seeking behavior: after a disturbance, the system seeks to return </w:t>
      </w:r>
      <w:r w:rsidR="00796940">
        <w:t>in</w:t>
      </w:r>
      <w:r w:rsidRPr="00F50A2D">
        <w:t xml:space="preserve"> an equilibrium state. In a reinforcing loop an initial disturbance leads to further change, suggesting the presence of an unstable equilibrium. The direction of the influence (causal links) displays the direction of the effect. </w:t>
      </w:r>
      <w:r w:rsidR="00796940">
        <w:t>A</w:t>
      </w:r>
      <w:r w:rsidRPr="00F50A2D">
        <w:t xml:space="preserve"> positive (+) or </w:t>
      </w:r>
      <w:r w:rsidR="00796940">
        <w:t xml:space="preserve">a </w:t>
      </w:r>
      <w:r w:rsidRPr="00F50A2D">
        <w:t>negative (-) polarity demonstrates the direction of the effect. In positive causal links, the variables change in the same direction, having positive</w:t>
      </w:r>
      <w:r w:rsidR="00BF440F">
        <w:t xml:space="preserve"> or negative </w:t>
      </w:r>
      <w:r w:rsidR="00796940">
        <w:t>impact</w:t>
      </w:r>
      <w:r w:rsidR="00BF440F">
        <w:t xml:space="preserve"> (</w:t>
      </w:r>
      <w:proofErr w:type="spellStart"/>
      <w:r w:rsidR="00BF440F">
        <w:t>Sterman</w:t>
      </w:r>
      <w:proofErr w:type="spellEnd"/>
      <w:r w:rsidRPr="00F50A2D">
        <w:t xml:space="preserve"> 2000). Finally, a negative causal link demonstrates a change at the opposite direction.</w:t>
      </w:r>
    </w:p>
    <w:p w14:paraId="4F8567D1" w14:textId="2D985C3A" w:rsidR="006F5C00" w:rsidRPr="00C3716B" w:rsidRDefault="006F5C00" w:rsidP="006F5C00">
      <w:pPr>
        <w:pStyle w:val="3"/>
        <w:rPr>
          <w:rFonts w:ascii="Bookman Old Style" w:hAnsi="Bookman Old Style"/>
        </w:rPr>
      </w:pPr>
      <w:r>
        <w:rPr>
          <w:rFonts w:ascii="Bookman Old Style" w:hAnsi="Bookman Old Style"/>
        </w:rPr>
        <w:t xml:space="preserve">3.1. </w:t>
      </w:r>
      <w:r w:rsidRPr="006F5C00">
        <w:rPr>
          <w:rFonts w:ascii="Bookman Old Style" w:hAnsi="Bookman Old Style"/>
        </w:rPr>
        <w:t>System under study</w:t>
      </w:r>
    </w:p>
    <w:p w14:paraId="46D12DDA" w14:textId="439239E4" w:rsidR="00CA15F8" w:rsidRDefault="00963440" w:rsidP="00572271">
      <w:pPr>
        <w:pStyle w:val="Els-body-text"/>
      </w:pPr>
      <w:r w:rsidRPr="00963440">
        <w:t xml:space="preserve">We consider an energy market (in MWh) that entirely consumes a fixed amount of energy generated </w:t>
      </w:r>
      <w:r w:rsidR="00985DCA">
        <w:t xml:space="preserve">entirely </w:t>
      </w:r>
      <w:r w:rsidRPr="00963440">
        <w:t xml:space="preserve">by conventional production </w:t>
      </w:r>
      <w:r w:rsidR="00985DCA">
        <w:t>technologies</w:t>
      </w:r>
      <w:r w:rsidRPr="00963440">
        <w:t xml:space="preserve">. We expect to completely satisfy the energy </w:t>
      </w:r>
      <w:r w:rsidR="00985DCA">
        <w:t>demand</w:t>
      </w:r>
      <w:r w:rsidRPr="00963440">
        <w:t xml:space="preserve"> of the target market by </w:t>
      </w:r>
      <w:r w:rsidR="00985DCA">
        <w:t xml:space="preserve">employing </w:t>
      </w:r>
      <w:r w:rsidRPr="00963440">
        <w:t xml:space="preserve">renewable energy sources over a time horizon of </w:t>
      </w:r>
      <w:r>
        <w:t>1</w:t>
      </w:r>
      <w:r w:rsidRPr="00963440">
        <w:t>0 years. Furthermore, we assume that the adoption of clean energy requires significant investments, thus the adoption rate represents the expected MWh generated by clean technologies for the first time. The adoption rate of clean energy represents the total marketing effect and is influenced by three factors, namely: (</w:t>
      </w:r>
      <w:proofErr w:type="spellStart"/>
      <w:r w:rsidRPr="00963440">
        <w:t>i</w:t>
      </w:r>
      <w:proofErr w:type="spellEnd"/>
      <w:r w:rsidRPr="00963440">
        <w:t xml:space="preserve">) advertising effectiveness, (ii) word-of-mouth effect, and (iii) market environmental </w:t>
      </w:r>
      <w:r w:rsidR="00572271">
        <w:t>awareness</w:t>
      </w:r>
      <w:r w:rsidR="00B12CAA">
        <w:t xml:space="preserve"> in terms of ton</w:t>
      </w:r>
      <w:r w:rsidRPr="00963440">
        <w:t>s of CO2 emissions</w:t>
      </w:r>
      <w:r w:rsidR="00CA15F8">
        <w:t>.</w:t>
      </w:r>
    </w:p>
    <w:p w14:paraId="4510A7F6" w14:textId="65319F82" w:rsidR="00CA15F8" w:rsidRPr="00C3716B" w:rsidRDefault="00CA15F8" w:rsidP="00CA15F8">
      <w:pPr>
        <w:pStyle w:val="3"/>
        <w:rPr>
          <w:rFonts w:ascii="Bookman Old Style" w:hAnsi="Bookman Old Style"/>
        </w:rPr>
      </w:pPr>
      <w:r>
        <w:rPr>
          <w:rFonts w:ascii="Bookman Old Style" w:hAnsi="Bookman Old Style"/>
        </w:rPr>
        <w:t xml:space="preserve">3.2. </w:t>
      </w:r>
      <w:r w:rsidRPr="00CA15F8">
        <w:rPr>
          <w:rFonts w:ascii="Bookman Old Style" w:hAnsi="Bookman Old Style"/>
        </w:rPr>
        <w:t xml:space="preserve">Model </w:t>
      </w:r>
      <w:r>
        <w:rPr>
          <w:rFonts w:ascii="Bookman Old Style" w:hAnsi="Bookman Old Style"/>
        </w:rPr>
        <w:t>d</w:t>
      </w:r>
      <w:r w:rsidRPr="00CA15F8">
        <w:rPr>
          <w:rFonts w:ascii="Bookman Old Style" w:hAnsi="Bookman Old Style"/>
        </w:rPr>
        <w:t>escription</w:t>
      </w:r>
    </w:p>
    <w:p w14:paraId="61D8CC59" w14:textId="10BF24B6" w:rsidR="00CA15F8" w:rsidRDefault="00CA15F8" w:rsidP="00CA15F8">
      <w:pPr>
        <w:pStyle w:val="Els-body-text"/>
      </w:pPr>
      <w:r w:rsidRPr="00CA15F8">
        <w:t>The proposed modeling framework is developed by applying the SD theory. The causal loop diagram encapsulating the overall diffusion mec</w:t>
      </w:r>
      <w:r w:rsidR="004717C0">
        <w:t xml:space="preserve">hanism is illustrated in Fig 1. </w:t>
      </w:r>
      <w:r w:rsidR="00136275">
        <w:t xml:space="preserve">The depicted mechanism encapsulates the idea of the size of the energy market in terms of energy </w:t>
      </w:r>
      <w:r w:rsidR="00BF4F35">
        <w:t>demand</w:t>
      </w:r>
      <w:r w:rsidR="00136275">
        <w:t xml:space="preserve"> (in c</w:t>
      </w:r>
      <w:r w:rsidR="003E2506">
        <w:t>onsumed MWh</w:t>
      </w:r>
      <w:r w:rsidR="00136275">
        <w:t>).</w:t>
      </w:r>
      <w:r w:rsidR="00C67015">
        <w:t xml:space="preserve"> Our aim is to investigate the effect of marketing efforts towards replacing the conventionally generated energy by clean energy production in a fixed market.</w:t>
      </w:r>
    </w:p>
    <w:p w14:paraId="41E5B30F" w14:textId="58788413" w:rsidR="00136275" w:rsidRDefault="00A52B17" w:rsidP="00CA15F8">
      <w:pPr>
        <w:pStyle w:val="Els-body-text"/>
      </w:pPr>
      <w:r>
        <w:t>Our model captures the Marketing Effect (ME) dynamics in the energy market resulting from three identified feedback loops capturing</w:t>
      </w:r>
      <w:r w:rsidRPr="00F96913">
        <w:t xml:space="preserve"> Environmental Awareness</w:t>
      </w:r>
      <w:r>
        <w:t>, Word-of-Mouth</w:t>
      </w:r>
      <w:r w:rsidR="00896909">
        <w:t xml:space="preserve"> </w:t>
      </w:r>
      <w:r>
        <w:t>and Market Saturation factors respectively.</w:t>
      </w:r>
    </w:p>
    <w:p w14:paraId="47DF385A" w14:textId="5F546FC6" w:rsidR="00C566D9" w:rsidRPr="00281EC8" w:rsidRDefault="006B53E9" w:rsidP="00850399">
      <w:pPr>
        <w:pStyle w:val="tablenotes"/>
        <w:jc w:val="center"/>
        <w:rPr>
          <w:rFonts w:eastAsia="BIG5黑体"/>
          <w:szCs w:val="19"/>
          <w:lang w:eastAsia="zh-CN"/>
        </w:rPr>
      </w:pPr>
      <w:r w:rsidRPr="006B53E9">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A52B17" w:rsidRPr="00A52B17">
        <w:rPr>
          <w:noProof/>
          <w:lang w:val="el-GR" w:eastAsia="el-GR"/>
        </w:rPr>
        <w:drawing>
          <wp:inline distT="0" distB="0" distL="0" distR="0" wp14:anchorId="4550E37C" wp14:editId="2B6174D2">
            <wp:extent cx="4033284" cy="4371975"/>
            <wp:effectExtent l="0" t="0" r="571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72175" cy="4414132"/>
                    </a:xfrm>
                    <a:prstGeom prst="rect">
                      <a:avLst/>
                    </a:prstGeom>
                  </pic:spPr>
                </pic:pic>
              </a:graphicData>
            </a:graphic>
          </wp:inline>
        </w:drawing>
      </w:r>
    </w:p>
    <w:p w14:paraId="59819D14" w14:textId="405F6608" w:rsidR="00C566D9" w:rsidRDefault="009B508E" w:rsidP="00850399">
      <w:pPr>
        <w:pStyle w:val="tablelegend"/>
        <w:jc w:val="center"/>
      </w:pPr>
      <w:r>
        <w:t>Fig</w:t>
      </w:r>
      <w:r w:rsidR="00C566D9" w:rsidRPr="00853066">
        <w:t xml:space="preserve"> 1. </w:t>
      </w:r>
      <w:r w:rsidR="006B53E9">
        <w:t>Causal loop diagram of the system under study</w:t>
      </w:r>
      <w:r w:rsidR="00C566D9" w:rsidRPr="00853066">
        <w:t>.</w:t>
      </w:r>
    </w:p>
    <w:p w14:paraId="524163A8" w14:textId="77777777" w:rsidR="00083783" w:rsidRPr="00083783" w:rsidRDefault="00083783" w:rsidP="00083783"/>
    <w:p w14:paraId="6481C066" w14:textId="2260763C" w:rsidR="00572271" w:rsidRPr="00572271" w:rsidRDefault="007E3272" w:rsidP="00572271">
      <w:r>
        <w:t xml:space="preserve">Firstly, the Environmental Awareness reinforcing loop </w:t>
      </w:r>
      <w:r w:rsidR="00AD6950">
        <w:t xml:space="preserve">(R1) </w:t>
      </w:r>
      <w:r>
        <w:t xml:space="preserve">embraces the CO2 emissions (in </w:t>
      </w:r>
      <w:r w:rsidR="00F24E52">
        <w:t>tons of</w:t>
      </w:r>
      <w:r>
        <w:t xml:space="preserve"> emissions) and the market environmental sensitivity (in MWh) factors. The greater the </w:t>
      </w:r>
      <w:r w:rsidR="00F24E52">
        <w:t>amount of energy generated by conventional sources</w:t>
      </w:r>
      <w:r>
        <w:t>, the higher the CO2 emissions</w:t>
      </w:r>
      <w:r w:rsidR="00F24E52">
        <w:t xml:space="preserve"> in the atmosphere</w:t>
      </w:r>
      <w:r>
        <w:t xml:space="preserve">. Following, the </w:t>
      </w:r>
      <w:r w:rsidR="00F24E52">
        <w:t xml:space="preserve">increased </w:t>
      </w:r>
      <w:r w:rsidR="00F96913">
        <w:t xml:space="preserve">concentration of </w:t>
      </w:r>
      <w:r w:rsidR="00F24E52">
        <w:t>C</w:t>
      </w:r>
      <w:r>
        <w:t>O2 emissions</w:t>
      </w:r>
      <w:r w:rsidR="00F24E52">
        <w:t xml:space="preserve"> stimulate</w:t>
      </w:r>
      <w:r w:rsidR="00535CAA">
        <w:t>s</w:t>
      </w:r>
      <w:r w:rsidR="00F24E52">
        <w:t xml:space="preserve"> consumers’ environmental </w:t>
      </w:r>
      <w:r>
        <w:t>sensitiv</w:t>
      </w:r>
      <w:r w:rsidR="00F24E52">
        <w:t>ity</w:t>
      </w:r>
      <w:r>
        <w:t xml:space="preserve"> </w:t>
      </w:r>
      <w:r w:rsidR="00F24E52">
        <w:t>thus enhancing the effectiveness and the need for potential marketing practices regarding the supply of clean energy.</w:t>
      </w:r>
      <w:r>
        <w:t xml:space="preserve"> </w:t>
      </w:r>
      <w:r w:rsidR="00F24E52">
        <w:t xml:space="preserve">Secondly, </w:t>
      </w:r>
      <w:r w:rsidR="00136275">
        <w:t xml:space="preserve">stimulated by the </w:t>
      </w:r>
      <w:r w:rsidR="00BF4F35">
        <w:t>positive environmental</w:t>
      </w:r>
      <w:r w:rsidR="00136275">
        <w:t xml:space="preserve"> </w:t>
      </w:r>
      <w:r w:rsidR="00BF4F35">
        <w:t>impact</w:t>
      </w:r>
      <w:r w:rsidR="00136275">
        <w:t xml:space="preserve"> of green energy production systems, the </w:t>
      </w:r>
      <w:r w:rsidR="00BF4F35">
        <w:t xml:space="preserve">World-of-Mouth </w:t>
      </w:r>
      <w:r w:rsidR="00136275">
        <w:t xml:space="preserve">concept </w:t>
      </w:r>
      <w:r w:rsidR="00BF4F35">
        <w:t xml:space="preserve">is activated thus having a positive marketing effect </w:t>
      </w:r>
      <w:r w:rsidR="00136275">
        <w:t>(reinforcing loop</w:t>
      </w:r>
      <w:r w:rsidR="00AD6950">
        <w:t>, R2</w:t>
      </w:r>
      <w:r w:rsidR="00136275">
        <w:t xml:space="preserve">). </w:t>
      </w:r>
      <w:r w:rsidR="00BF4F35">
        <w:t xml:space="preserve">Finally, given the fixed size of the energy market under consideration, market saturation </w:t>
      </w:r>
      <w:r w:rsidR="00E01E46">
        <w:t>decreases</w:t>
      </w:r>
      <w:r w:rsidR="00BF4F35">
        <w:t xml:space="preserve"> the </w:t>
      </w:r>
      <w:r w:rsidR="00BD53E7">
        <w:t xml:space="preserve">effectiveness of advertising thus limiting the </w:t>
      </w:r>
      <w:r w:rsidR="00BF4F35">
        <w:t>adoption rate of green energ</w:t>
      </w:r>
      <w:r w:rsidR="00F449FF">
        <w:t>ies</w:t>
      </w:r>
      <w:r w:rsidR="00BF4F35">
        <w:t xml:space="preserve"> (balancing loop, B).</w:t>
      </w:r>
    </w:p>
    <w:p w14:paraId="3D372248" w14:textId="2B46CA1F" w:rsidR="006B53E9" w:rsidRPr="00853066" w:rsidRDefault="006B53E9" w:rsidP="006B53E9">
      <w:pPr>
        <w:pStyle w:val="1"/>
        <w:keepLines/>
        <w:suppressAutoHyphens/>
        <w:overflowPunct/>
        <w:autoSpaceDE/>
        <w:autoSpaceDN/>
        <w:adjustRightInd/>
        <w:spacing w:before="240" w:after="120" w:line="260" w:lineRule="exact"/>
        <w:ind w:left="360" w:right="360" w:hanging="360"/>
        <w:jc w:val="left"/>
        <w:textAlignment w:val="auto"/>
        <w:rPr>
          <w:rFonts w:ascii="Bookman Old Style" w:hAnsi="Bookman Old Style"/>
        </w:rPr>
      </w:pPr>
      <w:r>
        <w:rPr>
          <w:rFonts w:ascii="Bookman Old Style" w:hAnsi="Bookman Old Style"/>
        </w:rPr>
        <w:lastRenderedPageBreak/>
        <w:t xml:space="preserve">4. </w:t>
      </w:r>
      <w:r w:rsidRPr="006B53E9">
        <w:rPr>
          <w:rFonts w:ascii="Bookman Old Style" w:hAnsi="Bookman Old Style"/>
        </w:rPr>
        <w:t xml:space="preserve">Research </w:t>
      </w:r>
      <w:r w:rsidR="001D6E4A">
        <w:rPr>
          <w:rFonts w:ascii="Bookman Old Style" w:hAnsi="Bookman Old Style"/>
        </w:rPr>
        <w:t>r</w:t>
      </w:r>
      <w:r w:rsidRPr="006B53E9">
        <w:rPr>
          <w:rFonts w:ascii="Bookman Old Style" w:hAnsi="Bookman Old Style"/>
        </w:rPr>
        <w:t>esults</w:t>
      </w:r>
    </w:p>
    <w:p w14:paraId="5C73E493" w14:textId="7D7C2ABA" w:rsidR="00C566D9" w:rsidRDefault="006B53E9" w:rsidP="006B53E9">
      <w:pPr>
        <w:pStyle w:val="spara"/>
        <w:ind w:firstLine="284"/>
      </w:pPr>
      <w:r w:rsidRPr="006F5C00">
        <w:t xml:space="preserve">In this section we </w:t>
      </w:r>
      <w:r w:rsidR="006C5BA2">
        <w:t>demonstrate the behavior of the proposed model through an indicative numerical example. At first, Fig 2</w:t>
      </w:r>
      <w:r w:rsidR="00F44017">
        <w:t xml:space="preserve"> presents the fixed size of the considered energy market that </w:t>
      </w:r>
      <w:r w:rsidR="00535CAA">
        <w:t>is</w:t>
      </w:r>
      <w:r w:rsidR="00F44017">
        <w:t xml:space="preserve"> initially satisfied by conventional energy production systems. Following, through the strategic horizon of 10 years we observe the</w:t>
      </w:r>
      <w:r w:rsidR="00F96913">
        <w:t xml:space="preserve"> annual</w:t>
      </w:r>
      <w:r w:rsidR="00F44017">
        <w:t xml:space="preserve"> trend in energy demand satisfaction (in MWh) through utilizing both conventional and green energy </w:t>
      </w:r>
      <w:r w:rsidR="003E2506">
        <w:t>production technologies</w:t>
      </w:r>
      <w:r w:rsidR="00F44017">
        <w:t xml:space="preserve">. </w:t>
      </w:r>
      <w:r w:rsidR="00F96913">
        <w:t>Furthermore, t</w:t>
      </w:r>
      <w:r w:rsidR="00F44017">
        <w:t xml:space="preserve">he </w:t>
      </w:r>
      <w:r w:rsidR="00F96913">
        <w:t xml:space="preserve">clean energy </w:t>
      </w:r>
      <w:r w:rsidR="00F44017">
        <w:t>adoption rate</w:t>
      </w:r>
      <w:r w:rsidR="00F96913">
        <w:t xml:space="preserve"> (in annual MW</w:t>
      </w:r>
      <w:r w:rsidR="003E2506">
        <w:t>h</w:t>
      </w:r>
      <w:r w:rsidR="00F96913">
        <w:t>) corresponding to each of the identified marketing factors is presented in Fig 3.</w:t>
      </w:r>
    </w:p>
    <w:p w14:paraId="5B2D3D75" w14:textId="77777777" w:rsidR="00F44017" w:rsidRPr="00F44017" w:rsidRDefault="00F44017" w:rsidP="00F44017">
      <w:pPr>
        <w:rPr>
          <w:lang w:eastAsia="en-US"/>
        </w:rPr>
      </w:pPr>
    </w:p>
    <w:p w14:paraId="5975B0FD" w14:textId="78025B67" w:rsidR="00705462" w:rsidRPr="00281EC8" w:rsidRDefault="00A52B17" w:rsidP="00705462">
      <w:pPr>
        <w:pStyle w:val="tablenotes"/>
        <w:jc w:val="center"/>
        <w:rPr>
          <w:rFonts w:eastAsia="BIG5黑体"/>
          <w:szCs w:val="19"/>
          <w:lang w:eastAsia="zh-CN"/>
        </w:rPr>
      </w:pPr>
      <w:r w:rsidRPr="00A52B17">
        <w:rPr>
          <w:rFonts w:eastAsia="BIG5黑体"/>
          <w:noProof/>
          <w:szCs w:val="19"/>
          <w:lang w:val="el-GR" w:eastAsia="el-GR"/>
        </w:rPr>
        <w:drawing>
          <wp:inline distT="0" distB="0" distL="0" distR="0" wp14:anchorId="066DE292" wp14:editId="243218F8">
            <wp:extent cx="3476625" cy="1429577"/>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8337" cy="1442617"/>
                    </a:xfrm>
                    <a:prstGeom prst="rect">
                      <a:avLst/>
                    </a:prstGeom>
                    <a:noFill/>
                    <a:ln>
                      <a:noFill/>
                    </a:ln>
                  </pic:spPr>
                </pic:pic>
              </a:graphicData>
            </a:graphic>
          </wp:inline>
        </w:drawing>
      </w:r>
    </w:p>
    <w:p w14:paraId="1313D240" w14:textId="173E2DBB" w:rsidR="00705462" w:rsidRPr="00853066" w:rsidRDefault="00705462" w:rsidP="00705462">
      <w:pPr>
        <w:pStyle w:val="tablelegend"/>
        <w:jc w:val="center"/>
      </w:pPr>
      <w:r>
        <w:t>Fig 2</w:t>
      </w:r>
      <w:r w:rsidRPr="00853066">
        <w:t xml:space="preserve">. </w:t>
      </w:r>
      <w:r w:rsidR="00083783">
        <w:t>Total energy adoption</w:t>
      </w:r>
      <w:r w:rsidRPr="00853066">
        <w:t>.</w:t>
      </w:r>
    </w:p>
    <w:p w14:paraId="07015710" w14:textId="77777777" w:rsidR="00705462" w:rsidRDefault="00705462" w:rsidP="00705462">
      <w:pPr>
        <w:rPr>
          <w:lang w:eastAsia="en-US"/>
        </w:rPr>
      </w:pPr>
    </w:p>
    <w:p w14:paraId="284D5C6E" w14:textId="37BBA666" w:rsidR="00705462" w:rsidRPr="00281EC8" w:rsidRDefault="00A52B17" w:rsidP="00705462">
      <w:pPr>
        <w:pStyle w:val="tablenotes"/>
        <w:jc w:val="center"/>
        <w:rPr>
          <w:rFonts w:eastAsia="BIG5黑体"/>
          <w:szCs w:val="19"/>
          <w:lang w:eastAsia="zh-CN"/>
        </w:rPr>
      </w:pPr>
      <w:r w:rsidRPr="00A52B17">
        <w:rPr>
          <w:rFonts w:eastAsia="BIG5黑体"/>
          <w:noProof/>
          <w:szCs w:val="19"/>
          <w:lang w:val="el-GR" w:eastAsia="el-GR"/>
        </w:rPr>
        <w:drawing>
          <wp:inline distT="0" distB="0" distL="0" distR="0" wp14:anchorId="504E3CB9" wp14:editId="7608CDC4">
            <wp:extent cx="3505200" cy="1440121"/>
            <wp:effectExtent l="0" t="0" r="0" b="825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264" cy="1468085"/>
                    </a:xfrm>
                    <a:prstGeom prst="rect">
                      <a:avLst/>
                    </a:prstGeom>
                    <a:noFill/>
                    <a:ln>
                      <a:noFill/>
                    </a:ln>
                  </pic:spPr>
                </pic:pic>
              </a:graphicData>
            </a:graphic>
          </wp:inline>
        </w:drawing>
      </w:r>
    </w:p>
    <w:p w14:paraId="3ADF9DC3" w14:textId="44A29A11" w:rsidR="00705462" w:rsidRDefault="00705462" w:rsidP="00705462">
      <w:pPr>
        <w:pStyle w:val="tablelegend"/>
        <w:jc w:val="center"/>
      </w:pPr>
      <w:r>
        <w:t>Fig</w:t>
      </w:r>
      <w:r w:rsidRPr="00853066">
        <w:t xml:space="preserve"> </w:t>
      </w:r>
      <w:r>
        <w:t>3</w:t>
      </w:r>
      <w:r w:rsidRPr="00853066">
        <w:t xml:space="preserve">. </w:t>
      </w:r>
      <w:r w:rsidR="00083783">
        <w:t>Energy adoption rates</w:t>
      </w:r>
      <w:r w:rsidRPr="00853066">
        <w:t>.</w:t>
      </w:r>
    </w:p>
    <w:p w14:paraId="2CFD55D8" w14:textId="77777777" w:rsidR="00083783" w:rsidRPr="00083783" w:rsidRDefault="00083783" w:rsidP="00083783"/>
    <w:p w14:paraId="7E3963F8" w14:textId="3245FE15" w:rsidR="006B53E9" w:rsidRPr="00853066" w:rsidRDefault="006B53E9" w:rsidP="006B53E9">
      <w:pPr>
        <w:pStyle w:val="1"/>
        <w:keepLines/>
        <w:suppressAutoHyphens/>
        <w:overflowPunct/>
        <w:autoSpaceDE/>
        <w:autoSpaceDN/>
        <w:adjustRightInd/>
        <w:spacing w:before="240" w:after="120" w:line="260" w:lineRule="exact"/>
        <w:ind w:left="360" w:right="360" w:hanging="360"/>
        <w:jc w:val="left"/>
        <w:textAlignment w:val="auto"/>
        <w:rPr>
          <w:rFonts w:ascii="Bookman Old Style" w:hAnsi="Bookman Old Style"/>
        </w:rPr>
      </w:pPr>
      <w:r>
        <w:rPr>
          <w:rFonts w:ascii="Bookman Old Style" w:hAnsi="Bookman Old Style"/>
        </w:rPr>
        <w:t xml:space="preserve">5. </w:t>
      </w:r>
      <w:r w:rsidRPr="006B53E9">
        <w:rPr>
          <w:rFonts w:ascii="Bookman Old Style" w:hAnsi="Bookman Old Style"/>
        </w:rPr>
        <w:t>Conclusions</w:t>
      </w:r>
    </w:p>
    <w:p w14:paraId="6AD9CECC" w14:textId="159B867C" w:rsidR="006B53E9" w:rsidRDefault="006B53E9" w:rsidP="00DA179A">
      <w:r w:rsidRPr="006B53E9">
        <w:t xml:space="preserve">The design and management of marketing operations could positively affect the adoption of renewable energy sources </w:t>
      </w:r>
      <w:r w:rsidR="00DA179A">
        <w:t>in the energy</w:t>
      </w:r>
      <w:r w:rsidRPr="006B53E9">
        <w:t xml:space="preserve"> sector. Particularly, investments have to be directed towards the ecological education of the targeted market and </w:t>
      </w:r>
      <w:r w:rsidR="00596E55">
        <w:t xml:space="preserve">the </w:t>
      </w:r>
      <w:r w:rsidRPr="006B53E9">
        <w:t xml:space="preserve">dissemination of information about the environmental and social merits of clean </w:t>
      </w:r>
      <w:r w:rsidRPr="006B53E9">
        <w:lastRenderedPageBreak/>
        <w:t>energy (</w:t>
      </w:r>
      <w:proofErr w:type="spellStart"/>
      <w:r w:rsidRPr="006B53E9">
        <w:t>Anda</w:t>
      </w:r>
      <w:proofErr w:type="spellEnd"/>
      <w:r w:rsidRPr="006B53E9">
        <w:t xml:space="preserve"> and </w:t>
      </w:r>
      <w:proofErr w:type="spellStart"/>
      <w:r w:rsidRPr="006B53E9">
        <w:t>Temment</w:t>
      </w:r>
      <w:proofErr w:type="spellEnd"/>
      <w:r w:rsidRPr="006B53E9">
        <w:t xml:space="preserve"> 2014</w:t>
      </w:r>
      <w:r w:rsidR="00BF440F">
        <w:t>,</w:t>
      </w:r>
      <w:r w:rsidRPr="006B53E9">
        <w:t xml:space="preserve"> Wassermann</w:t>
      </w:r>
      <w:r w:rsidR="00BF440F">
        <w:t xml:space="preserve"> </w:t>
      </w:r>
      <w:r w:rsidR="00BF440F">
        <w:rPr>
          <w:rFonts w:ascii="Times New Roman" w:hAnsi="Times New Roman"/>
        </w:rPr>
        <w:t>et al.</w:t>
      </w:r>
      <w:r w:rsidRPr="006B53E9">
        <w:t xml:space="preserve"> 2015)</w:t>
      </w:r>
      <w:r>
        <w:t>.</w:t>
      </w:r>
      <w:r w:rsidR="005E0D8D">
        <w:t xml:space="preserve"> </w:t>
      </w:r>
      <w:r w:rsidR="005E0D8D" w:rsidRPr="005E0D8D">
        <w:t xml:space="preserve">Therefore, </w:t>
      </w:r>
      <w:r w:rsidR="005E0D8D">
        <w:t>our proposed</w:t>
      </w:r>
      <w:r w:rsidR="005E0D8D" w:rsidRPr="005E0D8D">
        <w:t xml:space="preserve"> SD</w:t>
      </w:r>
      <w:r w:rsidR="005E0D8D">
        <w:t xml:space="preserve"> methodological ap</w:t>
      </w:r>
      <w:r w:rsidR="005E0D8D" w:rsidRPr="005E0D8D">
        <w:t xml:space="preserve">proach could </w:t>
      </w:r>
      <w:r w:rsidR="005E0D8D">
        <w:t xml:space="preserve">be used as a decision-making tool to monitor </w:t>
      </w:r>
      <w:r w:rsidR="005E0D8D" w:rsidRPr="005E0D8D">
        <w:t xml:space="preserve">the </w:t>
      </w:r>
      <w:r w:rsidR="005E0D8D">
        <w:t xml:space="preserve">impact of </w:t>
      </w:r>
      <w:r w:rsidR="005E0D8D" w:rsidRPr="005E0D8D">
        <w:t xml:space="preserve">marketing operations </w:t>
      </w:r>
      <w:r w:rsidR="005E0D8D">
        <w:t xml:space="preserve">to </w:t>
      </w:r>
      <w:r w:rsidR="005E0D8D" w:rsidRPr="005E0D8D">
        <w:t xml:space="preserve">the diffusion of </w:t>
      </w:r>
      <w:r w:rsidR="005100C3">
        <w:t>green energy</w:t>
      </w:r>
      <w:r w:rsidR="005E0D8D" w:rsidRPr="005E0D8D">
        <w:t xml:space="preserve"> in the </w:t>
      </w:r>
      <w:r w:rsidR="005100C3">
        <w:t xml:space="preserve">respective </w:t>
      </w:r>
      <w:r w:rsidR="005E0D8D" w:rsidRPr="005E0D8D">
        <w:t>market</w:t>
      </w:r>
      <w:r w:rsidR="005E0D8D">
        <w:t xml:space="preserve">, therefore providing </w:t>
      </w:r>
      <w:r w:rsidR="005E0D8D" w:rsidRPr="005E0D8D">
        <w:t xml:space="preserve">managerial </w:t>
      </w:r>
      <w:r w:rsidR="005E0D8D">
        <w:t>implication</w:t>
      </w:r>
      <w:r w:rsidR="005100C3">
        <w:t>s</w:t>
      </w:r>
      <w:r w:rsidR="005E0D8D">
        <w:t xml:space="preserve"> for</w:t>
      </w:r>
      <w:r w:rsidR="005E0D8D" w:rsidRPr="005E0D8D">
        <w:t xml:space="preserve"> a robust and sustainable future in the energy </w:t>
      </w:r>
      <w:r w:rsidR="003C7847">
        <w:t>sector</w:t>
      </w:r>
      <w:r w:rsidR="005E0D8D" w:rsidRPr="005E0D8D">
        <w:t>.</w:t>
      </w:r>
    </w:p>
    <w:p w14:paraId="7CD7DE23" w14:textId="77777777" w:rsidR="00667DEB" w:rsidRPr="007515D7" w:rsidRDefault="00667DEB" w:rsidP="00667DEB">
      <w:pPr>
        <w:pStyle w:val="references"/>
      </w:pPr>
    </w:p>
    <w:p w14:paraId="0071EB71" w14:textId="77777777" w:rsidR="00C566D9" w:rsidRPr="00E34EE2" w:rsidRDefault="00C566D9" w:rsidP="00667DEB">
      <w:pPr>
        <w:pStyle w:val="references"/>
        <w:rPr>
          <w:b/>
          <w:sz w:val="20"/>
        </w:rPr>
      </w:pPr>
      <w:r w:rsidRPr="00C3716B">
        <w:rPr>
          <w:b/>
          <w:sz w:val="20"/>
        </w:rPr>
        <w:t>References</w:t>
      </w:r>
    </w:p>
    <w:p w14:paraId="2D61F1F1" w14:textId="77777777" w:rsidR="00667DEB" w:rsidRPr="00E34EE2" w:rsidRDefault="00667DEB" w:rsidP="00667DEB">
      <w:pPr>
        <w:pStyle w:val="references"/>
      </w:pPr>
    </w:p>
    <w:p w14:paraId="1800CF59" w14:textId="7BCB1B18" w:rsidR="00DA179A" w:rsidRPr="00F40578" w:rsidRDefault="00BF440F" w:rsidP="00E34EE2">
      <w:pPr>
        <w:pStyle w:val="reference"/>
        <w:rPr>
          <w:szCs w:val="19"/>
        </w:rPr>
      </w:pPr>
      <w:proofErr w:type="spellStart"/>
      <w:r>
        <w:rPr>
          <w:szCs w:val="19"/>
        </w:rPr>
        <w:t>Anda</w:t>
      </w:r>
      <w:proofErr w:type="spellEnd"/>
      <w:r w:rsidR="00DA179A" w:rsidRPr="00E34EE2">
        <w:rPr>
          <w:szCs w:val="19"/>
        </w:rPr>
        <w:t xml:space="preserve"> M.</w:t>
      </w:r>
      <w:r>
        <w:rPr>
          <w:szCs w:val="19"/>
        </w:rPr>
        <w:t>,</w:t>
      </w:r>
      <w:r w:rsidR="00DA179A" w:rsidRPr="00E34EE2">
        <w:rPr>
          <w:szCs w:val="19"/>
        </w:rPr>
        <w:t xml:space="preserve"> </w:t>
      </w:r>
      <w:proofErr w:type="spellStart"/>
      <w:r w:rsidR="00DA179A" w:rsidRPr="00E34EE2">
        <w:rPr>
          <w:szCs w:val="19"/>
        </w:rPr>
        <w:t>Temmen</w:t>
      </w:r>
      <w:proofErr w:type="spellEnd"/>
      <w:r>
        <w:rPr>
          <w:szCs w:val="19"/>
        </w:rPr>
        <w:t xml:space="preserve"> J.</w:t>
      </w:r>
      <w:r w:rsidR="00DA179A" w:rsidRPr="00E34EE2">
        <w:rPr>
          <w:szCs w:val="19"/>
        </w:rPr>
        <w:t xml:space="preserve"> </w:t>
      </w:r>
      <w:r>
        <w:rPr>
          <w:szCs w:val="19"/>
        </w:rPr>
        <w:t>(</w:t>
      </w:r>
      <w:r w:rsidR="00DA179A" w:rsidRPr="00E34EE2">
        <w:rPr>
          <w:szCs w:val="19"/>
        </w:rPr>
        <w:t>2014</w:t>
      </w:r>
      <w:r>
        <w:rPr>
          <w:szCs w:val="19"/>
        </w:rPr>
        <w:t>)</w:t>
      </w:r>
      <w:r w:rsidR="00DA179A" w:rsidRPr="00E34EE2">
        <w:rPr>
          <w:szCs w:val="19"/>
        </w:rPr>
        <w:t xml:space="preserve">. Smart metering for residential energy efficiency: The use of community based social marketing for </w:t>
      </w:r>
      <w:proofErr w:type="spellStart"/>
      <w:r w:rsidR="00DA179A" w:rsidRPr="00E34EE2">
        <w:rPr>
          <w:szCs w:val="19"/>
        </w:rPr>
        <w:t>behavioural</w:t>
      </w:r>
      <w:proofErr w:type="spellEnd"/>
      <w:r w:rsidR="00DA179A" w:rsidRPr="00E34EE2">
        <w:rPr>
          <w:szCs w:val="19"/>
        </w:rPr>
        <w:t xml:space="preserve"> change and smart grid introduction. </w:t>
      </w:r>
      <w:r w:rsidR="00DA179A" w:rsidRPr="00BF440F">
        <w:rPr>
          <w:i/>
          <w:szCs w:val="19"/>
        </w:rPr>
        <w:t>Renewable Energy</w:t>
      </w:r>
      <w:r w:rsidR="00DA179A" w:rsidRPr="00E34EE2">
        <w:rPr>
          <w:szCs w:val="19"/>
        </w:rPr>
        <w:t>, 67, pp. 119-127</w:t>
      </w:r>
    </w:p>
    <w:p w14:paraId="721F5A2D" w14:textId="3232178D" w:rsidR="00DA179A" w:rsidRPr="00E34EE2" w:rsidRDefault="00DA179A" w:rsidP="00E34EE2">
      <w:pPr>
        <w:pStyle w:val="reference"/>
        <w:rPr>
          <w:szCs w:val="19"/>
        </w:rPr>
      </w:pPr>
      <w:proofErr w:type="spellStart"/>
      <w:r w:rsidRPr="00E34EE2">
        <w:rPr>
          <w:szCs w:val="19"/>
        </w:rPr>
        <w:t>Carrigan</w:t>
      </w:r>
      <w:proofErr w:type="spellEnd"/>
      <w:r w:rsidRPr="00E34EE2">
        <w:rPr>
          <w:szCs w:val="19"/>
        </w:rPr>
        <w:t xml:space="preserve"> M.</w:t>
      </w:r>
      <w:r w:rsidR="00BF440F">
        <w:rPr>
          <w:szCs w:val="19"/>
        </w:rPr>
        <w:t xml:space="preserve">, </w:t>
      </w:r>
      <w:r w:rsidRPr="00E34EE2">
        <w:rPr>
          <w:szCs w:val="19"/>
        </w:rPr>
        <w:t>Attalla</w:t>
      </w:r>
      <w:r w:rsidR="00BF440F">
        <w:rPr>
          <w:szCs w:val="19"/>
        </w:rPr>
        <w:t xml:space="preserve"> A.</w:t>
      </w:r>
      <w:r w:rsidRPr="00E34EE2">
        <w:rPr>
          <w:szCs w:val="19"/>
        </w:rPr>
        <w:t xml:space="preserve"> </w:t>
      </w:r>
      <w:r w:rsidR="00BF440F">
        <w:rPr>
          <w:szCs w:val="19"/>
        </w:rPr>
        <w:t>(</w:t>
      </w:r>
      <w:r w:rsidRPr="00E34EE2">
        <w:rPr>
          <w:szCs w:val="19"/>
        </w:rPr>
        <w:t>2001</w:t>
      </w:r>
      <w:r w:rsidR="00BF440F">
        <w:rPr>
          <w:szCs w:val="19"/>
        </w:rPr>
        <w:t>).</w:t>
      </w:r>
      <w:r w:rsidRPr="00E34EE2">
        <w:rPr>
          <w:szCs w:val="19"/>
        </w:rPr>
        <w:t xml:space="preserve"> The myth of the ethical consumer: Do ethics matter in purchase </w:t>
      </w:r>
      <w:proofErr w:type="spellStart"/>
      <w:r w:rsidRPr="00E34EE2">
        <w:rPr>
          <w:szCs w:val="19"/>
        </w:rPr>
        <w:t>behaviour</w:t>
      </w:r>
      <w:proofErr w:type="spellEnd"/>
      <w:r w:rsidRPr="00E34EE2">
        <w:rPr>
          <w:szCs w:val="19"/>
        </w:rPr>
        <w:t xml:space="preserve">? </w:t>
      </w:r>
      <w:r w:rsidRPr="00BF440F">
        <w:rPr>
          <w:i/>
          <w:szCs w:val="19"/>
        </w:rPr>
        <w:t>Journal of Consumer Marketing</w:t>
      </w:r>
      <w:r w:rsidRPr="00E34EE2">
        <w:rPr>
          <w:szCs w:val="19"/>
        </w:rPr>
        <w:t>, 18 (7), pp. 560-577.</w:t>
      </w:r>
    </w:p>
    <w:p w14:paraId="37D3702D" w14:textId="09FCDF57" w:rsidR="00DA179A" w:rsidRPr="00E34EE2" w:rsidRDefault="00BF440F" w:rsidP="00E34EE2">
      <w:pPr>
        <w:pStyle w:val="reference"/>
        <w:rPr>
          <w:szCs w:val="19"/>
        </w:rPr>
      </w:pPr>
      <w:r>
        <w:rPr>
          <w:szCs w:val="19"/>
        </w:rPr>
        <w:t xml:space="preserve">Diaz-Rainey I., </w:t>
      </w:r>
      <w:r w:rsidR="00DA179A" w:rsidRPr="00E34EE2">
        <w:rPr>
          <w:szCs w:val="19"/>
        </w:rPr>
        <w:t>Ashton</w:t>
      </w:r>
      <w:r>
        <w:rPr>
          <w:szCs w:val="19"/>
        </w:rPr>
        <w:t xml:space="preserve"> J.</w:t>
      </w:r>
      <w:r w:rsidR="00DA179A" w:rsidRPr="00E34EE2">
        <w:rPr>
          <w:szCs w:val="19"/>
        </w:rPr>
        <w:t xml:space="preserve"> </w:t>
      </w:r>
      <w:r>
        <w:rPr>
          <w:szCs w:val="19"/>
        </w:rPr>
        <w:t>(</w:t>
      </w:r>
      <w:r w:rsidR="00DA179A" w:rsidRPr="00E34EE2">
        <w:rPr>
          <w:szCs w:val="19"/>
        </w:rPr>
        <w:t>2011</w:t>
      </w:r>
      <w:r>
        <w:rPr>
          <w:szCs w:val="19"/>
        </w:rPr>
        <w:t>)</w:t>
      </w:r>
      <w:r w:rsidR="00DA179A" w:rsidRPr="00E34EE2">
        <w:rPr>
          <w:szCs w:val="19"/>
        </w:rPr>
        <w:t xml:space="preserve">. Profiling potential green electricity tariff adopters: green consumerism as an environmental policy tool? </w:t>
      </w:r>
      <w:r w:rsidR="00DA179A" w:rsidRPr="00BF440F">
        <w:rPr>
          <w:i/>
          <w:szCs w:val="19"/>
        </w:rPr>
        <w:t>Business Strategy and the Environment</w:t>
      </w:r>
      <w:r w:rsidR="00DA179A" w:rsidRPr="00E34EE2">
        <w:rPr>
          <w:szCs w:val="19"/>
        </w:rPr>
        <w:t>, 20</w:t>
      </w:r>
      <w:r w:rsidR="005B28FC">
        <w:rPr>
          <w:szCs w:val="19"/>
        </w:rPr>
        <w:t xml:space="preserve"> </w:t>
      </w:r>
      <w:r w:rsidR="00DA179A" w:rsidRPr="00E34EE2">
        <w:rPr>
          <w:szCs w:val="19"/>
        </w:rPr>
        <w:t>(7), pp. 456-470.</w:t>
      </w:r>
    </w:p>
    <w:p w14:paraId="458343B1" w14:textId="56B3829F" w:rsidR="00DA179A" w:rsidRPr="00E34EE2" w:rsidRDefault="00CF3CD3" w:rsidP="00E34EE2">
      <w:pPr>
        <w:pStyle w:val="reference"/>
        <w:rPr>
          <w:szCs w:val="19"/>
        </w:rPr>
      </w:pPr>
      <w:proofErr w:type="spellStart"/>
      <w:r>
        <w:rPr>
          <w:szCs w:val="19"/>
        </w:rPr>
        <w:t>Edeseyi</w:t>
      </w:r>
      <w:proofErr w:type="spellEnd"/>
      <w:r>
        <w:rPr>
          <w:szCs w:val="19"/>
        </w:rPr>
        <w:t xml:space="preserve"> M.E., </w:t>
      </w:r>
      <w:proofErr w:type="spellStart"/>
      <w:r>
        <w:rPr>
          <w:szCs w:val="19"/>
        </w:rPr>
        <w:t>Kaita</w:t>
      </w:r>
      <w:proofErr w:type="spellEnd"/>
      <w:r>
        <w:rPr>
          <w:szCs w:val="19"/>
        </w:rPr>
        <w:t xml:space="preserve"> A.Y.,</w:t>
      </w:r>
      <w:r w:rsidR="00DA179A" w:rsidRPr="00E34EE2">
        <w:rPr>
          <w:szCs w:val="19"/>
        </w:rPr>
        <w:t xml:space="preserve"> Harun</w:t>
      </w:r>
      <w:r>
        <w:rPr>
          <w:szCs w:val="19"/>
        </w:rPr>
        <w:t xml:space="preserve"> R., </w:t>
      </w:r>
      <w:proofErr w:type="spellStart"/>
      <w:r>
        <w:rPr>
          <w:szCs w:val="19"/>
        </w:rPr>
        <w:t>Danquah</w:t>
      </w:r>
      <w:proofErr w:type="spellEnd"/>
      <w:r>
        <w:rPr>
          <w:szCs w:val="19"/>
        </w:rPr>
        <w:t xml:space="preserve"> M.K., </w:t>
      </w:r>
      <w:proofErr w:type="spellStart"/>
      <w:r>
        <w:rPr>
          <w:szCs w:val="19"/>
        </w:rPr>
        <w:t>Acquah</w:t>
      </w:r>
      <w:proofErr w:type="spellEnd"/>
      <w:r w:rsidR="00DA179A" w:rsidRPr="00E34EE2">
        <w:rPr>
          <w:szCs w:val="19"/>
        </w:rPr>
        <w:t xml:space="preserve"> C.</w:t>
      </w:r>
      <w:r>
        <w:rPr>
          <w:szCs w:val="19"/>
        </w:rPr>
        <w:t xml:space="preserve">, </w:t>
      </w:r>
      <w:r w:rsidR="00DA179A" w:rsidRPr="00E34EE2">
        <w:rPr>
          <w:szCs w:val="19"/>
        </w:rPr>
        <w:t xml:space="preserve"> </w:t>
      </w:r>
      <w:proofErr w:type="spellStart"/>
      <w:r w:rsidR="00DA179A" w:rsidRPr="00E34EE2">
        <w:rPr>
          <w:szCs w:val="19"/>
        </w:rPr>
        <w:t>Sia</w:t>
      </w:r>
      <w:proofErr w:type="spellEnd"/>
      <w:r>
        <w:rPr>
          <w:szCs w:val="19"/>
        </w:rPr>
        <w:t xml:space="preserve"> J.K.M.</w:t>
      </w:r>
      <w:r w:rsidR="00DA179A" w:rsidRPr="00E34EE2">
        <w:rPr>
          <w:szCs w:val="19"/>
        </w:rPr>
        <w:t xml:space="preserve"> </w:t>
      </w:r>
      <w:r>
        <w:rPr>
          <w:szCs w:val="19"/>
        </w:rPr>
        <w:t>(</w:t>
      </w:r>
      <w:r w:rsidR="00DA179A" w:rsidRPr="00E34EE2">
        <w:rPr>
          <w:szCs w:val="19"/>
        </w:rPr>
        <w:t>2015</w:t>
      </w:r>
      <w:r>
        <w:rPr>
          <w:szCs w:val="19"/>
        </w:rPr>
        <w:t>)</w:t>
      </w:r>
      <w:r w:rsidR="00DA179A" w:rsidRPr="00E34EE2">
        <w:rPr>
          <w:szCs w:val="19"/>
        </w:rPr>
        <w:t xml:space="preserve">. Rethinking sustainable biofuel marketing to titivate commercial interests. </w:t>
      </w:r>
      <w:r w:rsidR="00DA179A" w:rsidRPr="00CF3CD3">
        <w:rPr>
          <w:i/>
          <w:szCs w:val="19"/>
        </w:rPr>
        <w:t>Renewable and Sustainable Energy Reviews</w:t>
      </w:r>
      <w:r w:rsidR="00DA179A" w:rsidRPr="00E34EE2">
        <w:rPr>
          <w:szCs w:val="19"/>
        </w:rPr>
        <w:t>, 52, pp. 781-792.</w:t>
      </w:r>
    </w:p>
    <w:p w14:paraId="57C8B2DE" w14:textId="0F4A5581" w:rsidR="00DA179A" w:rsidRPr="00E34EE2" w:rsidRDefault="00CF3CD3" w:rsidP="00E34EE2">
      <w:pPr>
        <w:pStyle w:val="reference"/>
        <w:rPr>
          <w:szCs w:val="19"/>
        </w:rPr>
      </w:pPr>
      <w:r>
        <w:rPr>
          <w:szCs w:val="19"/>
        </w:rPr>
        <w:t>Eurostat</w:t>
      </w:r>
      <w:r w:rsidR="00DA179A" w:rsidRPr="00E34EE2">
        <w:rPr>
          <w:szCs w:val="19"/>
        </w:rPr>
        <w:t xml:space="preserve"> </w:t>
      </w:r>
      <w:r>
        <w:rPr>
          <w:szCs w:val="19"/>
        </w:rPr>
        <w:t>(</w:t>
      </w:r>
      <w:r w:rsidR="00DA179A" w:rsidRPr="00E34EE2">
        <w:rPr>
          <w:szCs w:val="19"/>
        </w:rPr>
        <w:t>2010</w:t>
      </w:r>
      <w:r>
        <w:rPr>
          <w:szCs w:val="19"/>
        </w:rPr>
        <w:t>)</w:t>
      </w:r>
      <w:r w:rsidR="00DA179A" w:rsidRPr="00E34EE2">
        <w:rPr>
          <w:szCs w:val="19"/>
        </w:rPr>
        <w:t>. Eurostat Statistics Database. Available at: &lt;http://epp.eurostat.ec.europa.eu/portal/page/portal/statistics/search-database&gt;. [Accessed 28.08.15].</w:t>
      </w:r>
    </w:p>
    <w:p w14:paraId="4982D91F" w14:textId="0F7799E6" w:rsidR="00DA179A" w:rsidRPr="00E34EE2" w:rsidRDefault="00CF3CD3" w:rsidP="00E34EE2">
      <w:pPr>
        <w:pStyle w:val="reference"/>
        <w:rPr>
          <w:szCs w:val="19"/>
        </w:rPr>
      </w:pPr>
      <w:r>
        <w:rPr>
          <w:szCs w:val="19"/>
        </w:rPr>
        <w:t>Fuentes C.</w:t>
      </w:r>
      <w:r w:rsidR="00DA179A" w:rsidRPr="00E34EE2">
        <w:rPr>
          <w:szCs w:val="19"/>
        </w:rPr>
        <w:t xml:space="preserve"> </w:t>
      </w:r>
      <w:r>
        <w:rPr>
          <w:szCs w:val="19"/>
        </w:rPr>
        <w:t>(</w:t>
      </w:r>
      <w:r w:rsidR="00DA179A" w:rsidRPr="00E34EE2">
        <w:rPr>
          <w:szCs w:val="19"/>
        </w:rPr>
        <w:t>2015</w:t>
      </w:r>
      <w:r>
        <w:rPr>
          <w:szCs w:val="19"/>
        </w:rPr>
        <w:t>)</w:t>
      </w:r>
      <w:r w:rsidR="00DA179A" w:rsidRPr="00E34EE2">
        <w:rPr>
          <w:szCs w:val="19"/>
        </w:rPr>
        <w:t xml:space="preserve">. How green marketing works: Practices, </w:t>
      </w:r>
      <w:proofErr w:type="spellStart"/>
      <w:r w:rsidR="00DA179A" w:rsidRPr="00E34EE2">
        <w:rPr>
          <w:szCs w:val="19"/>
        </w:rPr>
        <w:t>materialities</w:t>
      </w:r>
      <w:proofErr w:type="spellEnd"/>
      <w:r w:rsidR="00DA179A" w:rsidRPr="00E34EE2">
        <w:rPr>
          <w:szCs w:val="19"/>
        </w:rPr>
        <w:t xml:space="preserve">, and images. </w:t>
      </w:r>
      <w:r w:rsidR="00DA179A" w:rsidRPr="00CF3CD3">
        <w:rPr>
          <w:i/>
          <w:szCs w:val="19"/>
        </w:rPr>
        <w:t>Scandinavian Journal of Management</w:t>
      </w:r>
      <w:r w:rsidR="00DA179A" w:rsidRPr="00E34EE2">
        <w:rPr>
          <w:szCs w:val="19"/>
        </w:rPr>
        <w:t>, 31</w:t>
      </w:r>
      <w:r w:rsidR="005B28FC">
        <w:rPr>
          <w:szCs w:val="19"/>
        </w:rPr>
        <w:t xml:space="preserve"> </w:t>
      </w:r>
      <w:r w:rsidR="00DA179A" w:rsidRPr="00E34EE2">
        <w:rPr>
          <w:szCs w:val="19"/>
        </w:rPr>
        <w:t>(2), pp. 192-205.</w:t>
      </w:r>
    </w:p>
    <w:p w14:paraId="3BD0585F" w14:textId="11FBF544" w:rsidR="00DA179A" w:rsidRPr="00E34EE2" w:rsidRDefault="00DA179A" w:rsidP="00E34EE2">
      <w:pPr>
        <w:pStyle w:val="reference"/>
        <w:rPr>
          <w:szCs w:val="19"/>
        </w:rPr>
      </w:pPr>
      <w:r w:rsidRPr="00E34EE2">
        <w:rPr>
          <w:szCs w:val="19"/>
        </w:rPr>
        <w:t>Harper</w:t>
      </w:r>
      <w:r w:rsidR="00CF3CD3">
        <w:rPr>
          <w:szCs w:val="19"/>
        </w:rPr>
        <w:t xml:space="preserve"> G.C., </w:t>
      </w:r>
      <w:proofErr w:type="spellStart"/>
      <w:r w:rsidRPr="00E34EE2">
        <w:rPr>
          <w:szCs w:val="19"/>
        </w:rPr>
        <w:t>Makatouni</w:t>
      </w:r>
      <w:proofErr w:type="spellEnd"/>
      <w:r w:rsidR="00CF3CD3">
        <w:rPr>
          <w:szCs w:val="19"/>
        </w:rPr>
        <w:t xml:space="preserve"> </w:t>
      </w:r>
      <w:r w:rsidRPr="00E34EE2">
        <w:rPr>
          <w:szCs w:val="19"/>
        </w:rPr>
        <w:t xml:space="preserve">A. </w:t>
      </w:r>
      <w:r w:rsidR="00CF3CD3">
        <w:rPr>
          <w:szCs w:val="19"/>
        </w:rPr>
        <w:t>(</w:t>
      </w:r>
      <w:r w:rsidRPr="00E34EE2">
        <w:rPr>
          <w:szCs w:val="19"/>
        </w:rPr>
        <w:t>2002</w:t>
      </w:r>
      <w:r w:rsidR="00CF3CD3">
        <w:rPr>
          <w:szCs w:val="19"/>
        </w:rPr>
        <w:t>)</w:t>
      </w:r>
      <w:r w:rsidRPr="00E34EE2">
        <w:rPr>
          <w:szCs w:val="19"/>
        </w:rPr>
        <w:t xml:space="preserve">. Consumer perception of organic food production and farm animal welfare. </w:t>
      </w:r>
      <w:r w:rsidRPr="00CF3CD3">
        <w:rPr>
          <w:i/>
          <w:szCs w:val="19"/>
        </w:rPr>
        <w:t>British Food Journal</w:t>
      </w:r>
      <w:r w:rsidRPr="00E34EE2">
        <w:rPr>
          <w:szCs w:val="19"/>
        </w:rPr>
        <w:t>, 104</w:t>
      </w:r>
      <w:r w:rsidR="005B28FC">
        <w:rPr>
          <w:szCs w:val="19"/>
        </w:rPr>
        <w:t xml:space="preserve"> </w:t>
      </w:r>
      <w:r w:rsidRPr="00E34EE2">
        <w:rPr>
          <w:szCs w:val="19"/>
        </w:rPr>
        <w:t>(3–5), pp. 287-299.</w:t>
      </w:r>
    </w:p>
    <w:p w14:paraId="42DB13BF" w14:textId="6DE72F8C" w:rsidR="00DA179A" w:rsidRPr="00E34EE2" w:rsidRDefault="00CF3CD3" w:rsidP="00E34EE2">
      <w:pPr>
        <w:pStyle w:val="reference"/>
        <w:rPr>
          <w:szCs w:val="19"/>
        </w:rPr>
      </w:pPr>
      <w:r>
        <w:rPr>
          <w:szCs w:val="19"/>
        </w:rPr>
        <w:t>Kim J., Park</w:t>
      </w:r>
      <w:r w:rsidR="00DA179A" w:rsidRPr="00E34EE2">
        <w:rPr>
          <w:szCs w:val="19"/>
        </w:rPr>
        <w:t xml:space="preserve"> J., Kim J. and </w:t>
      </w:r>
      <w:proofErr w:type="spellStart"/>
      <w:r w:rsidR="00DA179A" w:rsidRPr="00E34EE2">
        <w:rPr>
          <w:szCs w:val="19"/>
        </w:rPr>
        <w:t>Heo</w:t>
      </w:r>
      <w:proofErr w:type="spellEnd"/>
      <w:r w:rsidR="00DA179A" w:rsidRPr="00E34EE2">
        <w:rPr>
          <w:szCs w:val="19"/>
        </w:rPr>
        <w:t xml:space="preserve"> E. </w:t>
      </w:r>
      <w:r>
        <w:rPr>
          <w:szCs w:val="19"/>
        </w:rPr>
        <w:t>(</w:t>
      </w:r>
      <w:r w:rsidR="00DA179A" w:rsidRPr="00E34EE2">
        <w:rPr>
          <w:szCs w:val="19"/>
        </w:rPr>
        <w:t>2013</w:t>
      </w:r>
      <w:r>
        <w:rPr>
          <w:szCs w:val="19"/>
        </w:rPr>
        <w:t>)</w:t>
      </w:r>
      <w:r w:rsidR="00DA179A" w:rsidRPr="00E34EE2">
        <w:rPr>
          <w:szCs w:val="19"/>
        </w:rPr>
        <w:t xml:space="preserve">. Renewable electricity as a differentiated good? The case of the Republic of Korea. </w:t>
      </w:r>
      <w:r w:rsidR="00DA179A" w:rsidRPr="00CF3CD3">
        <w:rPr>
          <w:i/>
          <w:szCs w:val="19"/>
        </w:rPr>
        <w:t>Energy Policy</w:t>
      </w:r>
      <w:r w:rsidR="00DA179A" w:rsidRPr="00E34EE2">
        <w:rPr>
          <w:szCs w:val="19"/>
        </w:rPr>
        <w:t>, 54, pp. 327-334.</w:t>
      </w:r>
    </w:p>
    <w:p w14:paraId="69915B0E" w14:textId="3B1DA022" w:rsidR="00DA179A" w:rsidRPr="00E34EE2" w:rsidRDefault="00DA179A" w:rsidP="00E34EE2">
      <w:pPr>
        <w:pStyle w:val="reference"/>
        <w:rPr>
          <w:szCs w:val="19"/>
        </w:rPr>
      </w:pPr>
      <w:proofErr w:type="spellStart"/>
      <w:r w:rsidRPr="00E34EE2">
        <w:rPr>
          <w:szCs w:val="19"/>
        </w:rPr>
        <w:t>Laari</w:t>
      </w:r>
      <w:proofErr w:type="spellEnd"/>
      <w:r w:rsidRPr="00E34EE2">
        <w:rPr>
          <w:szCs w:val="19"/>
        </w:rPr>
        <w:t xml:space="preserve"> S., </w:t>
      </w:r>
      <w:proofErr w:type="spellStart"/>
      <w:r w:rsidRPr="00E34EE2">
        <w:rPr>
          <w:szCs w:val="19"/>
        </w:rPr>
        <w:t>Töyli</w:t>
      </w:r>
      <w:proofErr w:type="spellEnd"/>
      <w:r w:rsidRPr="00E34EE2">
        <w:rPr>
          <w:szCs w:val="19"/>
        </w:rPr>
        <w:t xml:space="preserve"> J., </w:t>
      </w:r>
      <w:proofErr w:type="spellStart"/>
      <w:r w:rsidRPr="00E34EE2">
        <w:rPr>
          <w:szCs w:val="19"/>
        </w:rPr>
        <w:t>Solakivi</w:t>
      </w:r>
      <w:proofErr w:type="spellEnd"/>
      <w:r w:rsidRPr="00E34EE2">
        <w:rPr>
          <w:szCs w:val="19"/>
        </w:rPr>
        <w:t xml:space="preserve"> T.</w:t>
      </w:r>
      <w:r w:rsidR="00CF3CD3">
        <w:rPr>
          <w:szCs w:val="19"/>
        </w:rPr>
        <w:t>,</w:t>
      </w:r>
      <w:r w:rsidRPr="00E34EE2">
        <w:rPr>
          <w:szCs w:val="19"/>
        </w:rPr>
        <w:t xml:space="preserve"> </w:t>
      </w:r>
      <w:proofErr w:type="spellStart"/>
      <w:r w:rsidRPr="00E34EE2">
        <w:rPr>
          <w:szCs w:val="19"/>
        </w:rPr>
        <w:t>Ojala</w:t>
      </w:r>
      <w:proofErr w:type="spellEnd"/>
      <w:r w:rsidRPr="00E34EE2">
        <w:rPr>
          <w:szCs w:val="19"/>
        </w:rPr>
        <w:t xml:space="preserve"> L. </w:t>
      </w:r>
      <w:r w:rsidR="00CF3CD3">
        <w:rPr>
          <w:szCs w:val="19"/>
        </w:rPr>
        <w:t>(</w:t>
      </w:r>
      <w:r w:rsidRPr="00E34EE2">
        <w:rPr>
          <w:szCs w:val="19"/>
        </w:rPr>
        <w:t>2015</w:t>
      </w:r>
      <w:r w:rsidR="00CF3CD3">
        <w:rPr>
          <w:szCs w:val="19"/>
        </w:rPr>
        <w:t>)</w:t>
      </w:r>
      <w:r w:rsidRPr="00E34EE2">
        <w:rPr>
          <w:szCs w:val="19"/>
        </w:rPr>
        <w:t xml:space="preserve">. Firm performance and customer-driven green supply chain management. </w:t>
      </w:r>
      <w:r w:rsidRPr="00CF3CD3">
        <w:rPr>
          <w:i/>
          <w:szCs w:val="19"/>
        </w:rPr>
        <w:t>Journal of Cleaner Production</w:t>
      </w:r>
      <w:r w:rsidRPr="00E34EE2">
        <w:rPr>
          <w:szCs w:val="19"/>
        </w:rPr>
        <w:t xml:space="preserve">, Article </w:t>
      </w:r>
      <w:proofErr w:type="gramStart"/>
      <w:r w:rsidRPr="00E34EE2">
        <w:rPr>
          <w:szCs w:val="19"/>
        </w:rPr>
        <w:t>In</w:t>
      </w:r>
      <w:proofErr w:type="gramEnd"/>
      <w:r w:rsidRPr="00E34EE2">
        <w:rPr>
          <w:szCs w:val="19"/>
        </w:rPr>
        <w:t xml:space="preserve"> Press.</w:t>
      </w:r>
    </w:p>
    <w:p w14:paraId="085F0BAB" w14:textId="33BA32B6" w:rsidR="00DA179A" w:rsidRPr="00E34EE2" w:rsidRDefault="00DA179A" w:rsidP="00E34EE2">
      <w:pPr>
        <w:pStyle w:val="reference"/>
        <w:rPr>
          <w:szCs w:val="19"/>
        </w:rPr>
      </w:pPr>
      <w:proofErr w:type="spellStart"/>
      <w:r w:rsidRPr="00E34EE2">
        <w:rPr>
          <w:szCs w:val="19"/>
        </w:rPr>
        <w:t>Leonidou</w:t>
      </w:r>
      <w:proofErr w:type="spellEnd"/>
      <w:r w:rsidRPr="00E34EE2">
        <w:rPr>
          <w:szCs w:val="19"/>
        </w:rPr>
        <w:t xml:space="preserve"> L.C., </w:t>
      </w:r>
      <w:proofErr w:type="spellStart"/>
      <w:r w:rsidRPr="00E34EE2">
        <w:rPr>
          <w:szCs w:val="19"/>
        </w:rPr>
        <w:t>Leonidou</w:t>
      </w:r>
      <w:proofErr w:type="spellEnd"/>
      <w:r w:rsidRPr="00E34EE2">
        <w:rPr>
          <w:szCs w:val="19"/>
        </w:rPr>
        <w:t xml:space="preserve"> C.N.</w:t>
      </w:r>
      <w:r w:rsidR="00CF3CD3">
        <w:rPr>
          <w:szCs w:val="19"/>
        </w:rPr>
        <w:t>,</w:t>
      </w:r>
      <w:r w:rsidRPr="00E34EE2">
        <w:rPr>
          <w:szCs w:val="19"/>
        </w:rPr>
        <w:t xml:space="preserve"> </w:t>
      </w:r>
      <w:proofErr w:type="spellStart"/>
      <w:r w:rsidR="00CF3CD3">
        <w:rPr>
          <w:szCs w:val="19"/>
        </w:rPr>
        <w:t>Kvasova</w:t>
      </w:r>
      <w:proofErr w:type="spellEnd"/>
      <w:r w:rsidR="00CF3CD3">
        <w:rPr>
          <w:szCs w:val="19"/>
        </w:rPr>
        <w:t xml:space="preserve"> O.</w:t>
      </w:r>
      <w:r w:rsidRPr="00E34EE2">
        <w:rPr>
          <w:szCs w:val="19"/>
        </w:rPr>
        <w:t xml:space="preserve"> </w:t>
      </w:r>
      <w:r w:rsidR="00CF3CD3">
        <w:rPr>
          <w:szCs w:val="19"/>
        </w:rPr>
        <w:t>(</w:t>
      </w:r>
      <w:r w:rsidRPr="00E34EE2">
        <w:rPr>
          <w:szCs w:val="19"/>
        </w:rPr>
        <w:t>2010</w:t>
      </w:r>
      <w:r w:rsidR="00CF3CD3">
        <w:rPr>
          <w:szCs w:val="19"/>
        </w:rPr>
        <w:t>)</w:t>
      </w:r>
      <w:r w:rsidRPr="00E34EE2">
        <w:rPr>
          <w:szCs w:val="19"/>
        </w:rPr>
        <w:t xml:space="preserve">. Antecedents and outcomes of consumer environmentally friendly attitudes and behavior. </w:t>
      </w:r>
      <w:r w:rsidRPr="00CF3CD3">
        <w:rPr>
          <w:i/>
          <w:szCs w:val="19"/>
        </w:rPr>
        <w:t>Journal of Marketing Management</w:t>
      </w:r>
      <w:r w:rsidRPr="00E34EE2">
        <w:rPr>
          <w:szCs w:val="19"/>
        </w:rPr>
        <w:t>, 26 (13–14), pp. 1319-1344.</w:t>
      </w:r>
    </w:p>
    <w:p w14:paraId="414F61F5" w14:textId="7A57B65D" w:rsidR="00DA179A" w:rsidRPr="00E34EE2" w:rsidRDefault="00DA179A" w:rsidP="00E34EE2">
      <w:pPr>
        <w:pStyle w:val="reference"/>
        <w:rPr>
          <w:szCs w:val="19"/>
        </w:rPr>
      </w:pPr>
      <w:proofErr w:type="spellStart"/>
      <w:r w:rsidRPr="00E34EE2">
        <w:rPr>
          <w:szCs w:val="19"/>
        </w:rPr>
        <w:t>Menegaki</w:t>
      </w:r>
      <w:proofErr w:type="spellEnd"/>
      <w:r w:rsidRPr="00E34EE2">
        <w:rPr>
          <w:szCs w:val="19"/>
        </w:rPr>
        <w:t xml:space="preserve"> A.N. </w:t>
      </w:r>
      <w:r w:rsidR="00CF3CD3">
        <w:rPr>
          <w:szCs w:val="19"/>
        </w:rPr>
        <w:t>(</w:t>
      </w:r>
      <w:r w:rsidRPr="00E34EE2">
        <w:rPr>
          <w:szCs w:val="19"/>
        </w:rPr>
        <w:t>2012</w:t>
      </w:r>
      <w:r w:rsidR="00CF3CD3">
        <w:rPr>
          <w:szCs w:val="19"/>
        </w:rPr>
        <w:t>)</w:t>
      </w:r>
      <w:r w:rsidRPr="00E34EE2">
        <w:rPr>
          <w:szCs w:val="19"/>
        </w:rPr>
        <w:t xml:space="preserve">. A social marketing mix for renewable energy in Europe based on consumer stated preference surveys. </w:t>
      </w:r>
      <w:r w:rsidRPr="00CF3CD3">
        <w:rPr>
          <w:i/>
          <w:szCs w:val="19"/>
        </w:rPr>
        <w:t>Renewable Energy</w:t>
      </w:r>
      <w:r w:rsidRPr="00E34EE2">
        <w:rPr>
          <w:szCs w:val="19"/>
        </w:rPr>
        <w:t>, 39</w:t>
      </w:r>
      <w:r w:rsidR="005B28FC">
        <w:rPr>
          <w:szCs w:val="19"/>
        </w:rPr>
        <w:t xml:space="preserve"> </w:t>
      </w:r>
      <w:r w:rsidRPr="00E34EE2">
        <w:rPr>
          <w:szCs w:val="19"/>
        </w:rPr>
        <w:t>(1), pp. 30-39.</w:t>
      </w:r>
    </w:p>
    <w:p w14:paraId="1D6DCEBF" w14:textId="6D2F07A7" w:rsidR="00DA179A" w:rsidRPr="00E34EE2" w:rsidRDefault="00DA179A" w:rsidP="00E34EE2">
      <w:pPr>
        <w:pStyle w:val="reference"/>
        <w:rPr>
          <w:szCs w:val="19"/>
        </w:rPr>
      </w:pPr>
      <w:r w:rsidRPr="00E34EE2">
        <w:rPr>
          <w:szCs w:val="19"/>
        </w:rPr>
        <w:t xml:space="preserve">Ozaki R. </w:t>
      </w:r>
      <w:r w:rsidR="00CF3CD3">
        <w:rPr>
          <w:szCs w:val="19"/>
        </w:rPr>
        <w:t>(</w:t>
      </w:r>
      <w:r w:rsidRPr="00E34EE2">
        <w:rPr>
          <w:szCs w:val="19"/>
        </w:rPr>
        <w:t>2011</w:t>
      </w:r>
      <w:r w:rsidR="00CF3CD3">
        <w:rPr>
          <w:szCs w:val="19"/>
        </w:rPr>
        <w:t>)</w:t>
      </w:r>
      <w:r w:rsidRPr="00E34EE2">
        <w:rPr>
          <w:szCs w:val="19"/>
        </w:rPr>
        <w:t xml:space="preserve">. Adopting sustainable innovation: what makes consumers sign up to green electricity? </w:t>
      </w:r>
      <w:r w:rsidRPr="00CF3CD3">
        <w:rPr>
          <w:i/>
          <w:szCs w:val="19"/>
        </w:rPr>
        <w:t>Business Strategy and the Environment</w:t>
      </w:r>
      <w:r w:rsidRPr="00E34EE2">
        <w:rPr>
          <w:szCs w:val="19"/>
        </w:rPr>
        <w:t>, 20, pp. 1-17.</w:t>
      </w:r>
    </w:p>
    <w:p w14:paraId="18A12797" w14:textId="00A12F5B" w:rsidR="00DA179A" w:rsidRDefault="00DA179A" w:rsidP="00E34EE2">
      <w:pPr>
        <w:pStyle w:val="reference"/>
        <w:rPr>
          <w:szCs w:val="19"/>
        </w:rPr>
      </w:pPr>
      <w:proofErr w:type="spellStart"/>
      <w:r w:rsidRPr="00E34EE2">
        <w:rPr>
          <w:szCs w:val="19"/>
        </w:rPr>
        <w:t>Schröder</w:t>
      </w:r>
      <w:proofErr w:type="spellEnd"/>
      <w:r w:rsidRPr="00E34EE2">
        <w:rPr>
          <w:szCs w:val="19"/>
        </w:rPr>
        <w:t xml:space="preserve"> M.J.A.</w:t>
      </w:r>
      <w:r w:rsidR="00CF3CD3">
        <w:rPr>
          <w:szCs w:val="19"/>
        </w:rPr>
        <w:t>,</w:t>
      </w:r>
      <w:r w:rsidRPr="00E34EE2">
        <w:rPr>
          <w:szCs w:val="19"/>
        </w:rPr>
        <w:t xml:space="preserve"> </w:t>
      </w:r>
      <w:proofErr w:type="spellStart"/>
      <w:r w:rsidRPr="00E34EE2">
        <w:rPr>
          <w:szCs w:val="19"/>
        </w:rPr>
        <w:t>McEachern</w:t>
      </w:r>
      <w:proofErr w:type="spellEnd"/>
      <w:r w:rsidRPr="00E34EE2">
        <w:rPr>
          <w:szCs w:val="19"/>
        </w:rPr>
        <w:t xml:space="preserve"> M.G. </w:t>
      </w:r>
      <w:r w:rsidR="00B93453">
        <w:rPr>
          <w:szCs w:val="19"/>
        </w:rPr>
        <w:t>(</w:t>
      </w:r>
      <w:r w:rsidRPr="00E34EE2">
        <w:rPr>
          <w:szCs w:val="19"/>
        </w:rPr>
        <w:t>2004</w:t>
      </w:r>
      <w:r w:rsidR="00B93453">
        <w:rPr>
          <w:szCs w:val="19"/>
        </w:rPr>
        <w:t>)</w:t>
      </w:r>
      <w:r w:rsidRPr="00E34EE2">
        <w:rPr>
          <w:szCs w:val="19"/>
        </w:rPr>
        <w:t xml:space="preserve">. Consumer value conflicts surrounding ethical food purchase decisions: A focus on animal welfare. </w:t>
      </w:r>
      <w:r w:rsidRPr="00B93453">
        <w:rPr>
          <w:i/>
          <w:szCs w:val="19"/>
        </w:rPr>
        <w:t>International Journal of Consumer Studies</w:t>
      </w:r>
      <w:r w:rsidRPr="00E34EE2">
        <w:rPr>
          <w:szCs w:val="19"/>
        </w:rPr>
        <w:t>, 28 (2), pp. 168-177.</w:t>
      </w:r>
    </w:p>
    <w:p w14:paraId="79789A27" w14:textId="158450D0" w:rsidR="00DA179A" w:rsidRPr="00E34EE2" w:rsidRDefault="00DA179A" w:rsidP="00E34EE2">
      <w:pPr>
        <w:pStyle w:val="reference"/>
        <w:rPr>
          <w:szCs w:val="19"/>
        </w:rPr>
      </w:pPr>
      <w:proofErr w:type="spellStart"/>
      <w:r w:rsidRPr="00705462">
        <w:rPr>
          <w:szCs w:val="19"/>
        </w:rPr>
        <w:t>Sterman</w:t>
      </w:r>
      <w:proofErr w:type="spellEnd"/>
      <w:r w:rsidRPr="00705462">
        <w:rPr>
          <w:szCs w:val="19"/>
        </w:rPr>
        <w:t xml:space="preserve"> J. D. </w:t>
      </w:r>
      <w:r w:rsidR="00B93453">
        <w:rPr>
          <w:szCs w:val="19"/>
        </w:rPr>
        <w:t>(</w:t>
      </w:r>
      <w:r w:rsidRPr="00705462">
        <w:rPr>
          <w:szCs w:val="19"/>
        </w:rPr>
        <w:t>2000</w:t>
      </w:r>
      <w:r w:rsidR="00B93453">
        <w:rPr>
          <w:szCs w:val="19"/>
        </w:rPr>
        <w:t>).</w:t>
      </w:r>
      <w:r w:rsidRPr="00705462">
        <w:rPr>
          <w:szCs w:val="19"/>
        </w:rPr>
        <w:t xml:space="preserve"> Business dynamics: systems thinking and modeling for a complex world, McGraw-Hill, New York</w:t>
      </w:r>
      <w:r w:rsidR="00B93453">
        <w:rPr>
          <w:szCs w:val="19"/>
        </w:rPr>
        <w:t>.</w:t>
      </w:r>
    </w:p>
    <w:p w14:paraId="22BEC341" w14:textId="0939EE5E" w:rsidR="00DA179A" w:rsidRPr="00E34EE2" w:rsidRDefault="00B93453" w:rsidP="00E34EE2">
      <w:pPr>
        <w:pStyle w:val="reference"/>
        <w:rPr>
          <w:szCs w:val="19"/>
        </w:rPr>
      </w:pPr>
      <w:proofErr w:type="spellStart"/>
      <w:r>
        <w:rPr>
          <w:szCs w:val="19"/>
        </w:rPr>
        <w:t>Sundt</w:t>
      </w:r>
      <w:proofErr w:type="spellEnd"/>
      <w:r>
        <w:rPr>
          <w:szCs w:val="19"/>
        </w:rPr>
        <w:t xml:space="preserve"> S.,</w:t>
      </w:r>
      <w:r w:rsidR="00DA179A" w:rsidRPr="00E34EE2">
        <w:rPr>
          <w:szCs w:val="19"/>
        </w:rPr>
        <w:t xml:space="preserve"> </w:t>
      </w:r>
      <w:proofErr w:type="spellStart"/>
      <w:r w:rsidR="00DA179A" w:rsidRPr="00E34EE2">
        <w:rPr>
          <w:szCs w:val="19"/>
        </w:rPr>
        <w:t>Rehdanz</w:t>
      </w:r>
      <w:proofErr w:type="spellEnd"/>
      <w:r w:rsidR="00DA179A" w:rsidRPr="00E34EE2">
        <w:rPr>
          <w:szCs w:val="19"/>
        </w:rPr>
        <w:t xml:space="preserve"> K. </w:t>
      </w:r>
      <w:r>
        <w:rPr>
          <w:szCs w:val="19"/>
        </w:rPr>
        <w:t>(</w:t>
      </w:r>
      <w:r w:rsidR="00DA179A" w:rsidRPr="00E34EE2">
        <w:rPr>
          <w:szCs w:val="19"/>
        </w:rPr>
        <w:t>2015</w:t>
      </w:r>
      <w:r>
        <w:rPr>
          <w:szCs w:val="19"/>
        </w:rPr>
        <w:t>)</w:t>
      </w:r>
      <w:r w:rsidR="00DA179A" w:rsidRPr="00E34EE2">
        <w:rPr>
          <w:szCs w:val="19"/>
        </w:rPr>
        <w:t xml:space="preserve">. Consumers’ willingness to pay for green electricity: A meta-analysis of the literature. </w:t>
      </w:r>
      <w:r w:rsidR="00DA179A" w:rsidRPr="00B93453">
        <w:rPr>
          <w:i/>
          <w:szCs w:val="19"/>
        </w:rPr>
        <w:t>Energy Economics</w:t>
      </w:r>
      <w:r w:rsidR="00DA179A" w:rsidRPr="00E34EE2">
        <w:rPr>
          <w:szCs w:val="19"/>
        </w:rPr>
        <w:t>, 51, pp. 1-8.</w:t>
      </w:r>
    </w:p>
    <w:p w14:paraId="0B555C79" w14:textId="4D075769" w:rsidR="00DA179A" w:rsidRPr="00E34EE2" w:rsidRDefault="00DA179A" w:rsidP="00E34EE2">
      <w:pPr>
        <w:pStyle w:val="reference"/>
        <w:rPr>
          <w:szCs w:val="19"/>
        </w:rPr>
      </w:pPr>
      <w:proofErr w:type="spellStart"/>
      <w:r w:rsidRPr="00E34EE2">
        <w:rPr>
          <w:szCs w:val="19"/>
        </w:rPr>
        <w:t>Toka</w:t>
      </w:r>
      <w:proofErr w:type="spellEnd"/>
      <w:r w:rsidRPr="00E34EE2">
        <w:rPr>
          <w:szCs w:val="19"/>
        </w:rPr>
        <w:t xml:space="preserve"> A., </w:t>
      </w:r>
      <w:proofErr w:type="spellStart"/>
      <w:r w:rsidRPr="00E34EE2">
        <w:rPr>
          <w:szCs w:val="19"/>
        </w:rPr>
        <w:t>Iakovou</w:t>
      </w:r>
      <w:proofErr w:type="spellEnd"/>
      <w:r w:rsidRPr="00E34EE2">
        <w:rPr>
          <w:szCs w:val="19"/>
        </w:rPr>
        <w:t xml:space="preserve"> E., Vlachos D., Tsolakis N.</w:t>
      </w:r>
      <w:r w:rsidR="00B93453">
        <w:rPr>
          <w:szCs w:val="19"/>
        </w:rPr>
        <w:t>,</w:t>
      </w:r>
      <w:r w:rsidRPr="00E34EE2">
        <w:rPr>
          <w:szCs w:val="19"/>
        </w:rPr>
        <w:t xml:space="preserve"> </w:t>
      </w:r>
      <w:proofErr w:type="spellStart"/>
      <w:r w:rsidRPr="00E34EE2">
        <w:rPr>
          <w:szCs w:val="19"/>
        </w:rPr>
        <w:t>Grigoriadou</w:t>
      </w:r>
      <w:proofErr w:type="spellEnd"/>
      <w:r w:rsidRPr="00E34EE2">
        <w:rPr>
          <w:szCs w:val="19"/>
        </w:rPr>
        <w:t xml:space="preserve"> A.-L. </w:t>
      </w:r>
      <w:r w:rsidR="00B93453">
        <w:rPr>
          <w:szCs w:val="19"/>
        </w:rPr>
        <w:t>(</w:t>
      </w:r>
      <w:r w:rsidRPr="00E34EE2">
        <w:rPr>
          <w:szCs w:val="19"/>
        </w:rPr>
        <w:t>2014</w:t>
      </w:r>
      <w:r w:rsidR="00B93453">
        <w:rPr>
          <w:szCs w:val="19"/>
        </w:rPr>
        <w:t>)</w:t>
      </w:r>
      <w:r w:rsidRPr="00E34EE2">
        <w:rPr>
          <w:szCs w:val="19"/>
        </w:rPr>
        <w:t xml:space="preserve">. </w:t>
      </w:r>
      <w:proofErr w:type="gramStart"/>
      <w:r w:rsidRPr="00E34EE2">
        <w:rPr>
          <w:szCs w:val="19"/>
        </w:rPr>
        <w:t>Managing</w:t>
      </w:r>
      <w:proofErr w:type="gramEnd"/>
      <w:r w:rsidRPr="00E34EE2">
        <w:rPr>
          <w:szCs w:val="19"/>
        </w:rPr>
        <w:t xml:space="preserve"> the diffusion of biomass in the residential energy sector: An illustrative real-world case study. </w:t>
      </w:r>
      <w:r w:rsidRPr="00B93453">
        <w:rPr>
          <w:i/>
          <w:szCs w:val="19"/>
        </w:rPr>
        <w:t>Applied Energy</w:t>
      </w:r>
      <w:r w:rsidRPr="00E34EE2">
        <w:rPr>
          <w:szCs w:val="19"/>
        </w:rPr>
        <w:t>, 129, pp. 56-69.</w:t>
      </w:r>
    </w:p>
    <w:p w14:paraId="0392A126" w14:textId="089E4DE8" w:rsidR="00C566D9" w:rsidRDefault="00DA179A" w:rsidP="00B93453">
      <w:pPr>
        <w:pStyle w:val="reference"/>
        <w:rPr>
          <w:szCs w:val="19"/>
        </w:rPr>
      </w:pPr>
      <w:r w:rsidRPr="00E34EE2">
        <w:rPr>
          <w:szCs w:val="19"/>
        </w:rPr>
        <w:t xml:space="preserve">Wassermann S., </w:t>
      </w:r>
      <w:proofErr w:type="spellStart"/>
      <w:r w:rsidRPr="00E34EE2">
        <w:rPr>
          <w:szCs w:val="19"/>
        </w:rPr>
        <w:t>Reeg</w:t>
      </w:r>
      <w:proofErr w:type="spellEnd"/>
      <w:r w:rsidRPr="00E34EE2">
        <w:rPr>
          <w:szCs w:val="19"/>
        </w:rPr>
        <w:t xml:space="preserve"> M.</w:t>
      </w:r>
      <w:r w:rsidR="00B93453">
        <w:rPr>
          <w:szCs w:val="19"/>
        </w:rPr>
        <w:t>,</w:t>
      </w:r>
      <w:r w:rsidRPr="00E34EE2">
        <w:rPr>
          <w:szCs w:val="19"/>
        </w:rPr>
        <w:t xml:space="preserve"> </w:t>
      </w:r>
      <w:proofErr w:type="spellStart"/>
      <w:r w:rsidRPr="00E34EE2">
        <w:rPr>
          <w:szCs w:val="19"/>
        </w:rPr>
        <w:t>Nienhaus</w:t>
      </w:r>
      <w:proofErr w:type="spellEnd"/>
      <w:r w:rsidRPr="00E34EE2">
        <w:rPr>
          <w:szCs w:val="19"/>
        </w:rPr>
        <w:t xml:space="preserve"> K. </w:t>
      </w:r>
      <w:r w:rsidR="00B93453">
        <w:rPr>
          <w:szCs w:val="19"/>
        </w:rPr>
        <w:t>(</w:t>
      </w:r>
      <w:r w:rsidRPr="00E34EE2">
        <w:rPr>
          <w:szCs w:val="19"/>
        </w:rPr>
        <w:t>2015</w:t>
      </w:r>
      <w:r w:rsidR="00B93453">
        <w:rPr>
          <w:szCs w:val="19"/>
        </w:rPr>
        <w:t>)</w:t>
      </w:r>
      <w:r w:rsidRPr="00E34EE2">
        <w:rPr>
          <w:szCs w:val="19"/>
        </w:rPr>
        <w:t xml:space="preserve">. Current challenges of Germany’s energy transition project and competing strategies of challengers and incumbents: The case of direct marketing of electricity from renewable energy sources. </w:t>
      </w:r>
      <w:r w:rsidRPr="00FA5378">
        <w:rPr>
          <w:i/>
          <w:szCs w:val="19"/>
        </w:rPr>
        <w:t>Energy Policy</w:t>
      </w:r>
      <w:r w:rsidRPr="00E34EE2">
        <w:rPr>
          <w:szCs w:val="19"/>
        </w:rPr>
        <w:t>, 76, pp. 66-75.</w:t>
      </w:r>
    </w:p>
    <w:sectPr w:rsidR="00C566D9">
      <w:headerReference w:type="even" r:id="rId12"/>
      <w:headerReference w:type="default" r:id="rId13"/>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D24D8" w14:textId="77777777" w:rsidR="003B2DE5" w:rsidRDefault="003B2DE5">
      <w:r>
        <w:separator/>
      </w:r>
    </w:p>
  </w:endnote>
  <w:endnote w:type="continuationSeparator" w:id="0">
    <w:p w14:paraId="0684A6D5" w14:textId="77777777" w:rsidR="003B2DE5" w:rsidRDefault="003B2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A1"/>
    <w:family w:val="roman"/>
    <w:pitch w:val="variable"/>
    <w:sig w:usb0="E0002AFF" w:usb1="C0007841" w:usb2="00000009" w:usb3="00000000" w:csb0="000001FF" w:csb1="00000000"/>
    <w:embedRegular r:id="rId1" w:fontKey="{67F786E4-3D97-4A0D-B0FC-6CB49F286346}"/>
    <w:embedBold r:id="rId2" w:fontKey="{D3B03B61-16B4-4B5A-A9F8-CFF6A1043A24}"/>
    <w:embedItalic r:id="rId3" w:fontKey="{6505B05B-5AF2-4506-A43A-AD13107B9666}"/>
    <w:embedBoldItalic r:id="rId4" w:fontKey="{B9097690-EE61-444A-AD2B-CE956E757BA9}"/>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ucida Grande">
    <w:altName w:val="Arial"/>
    <w:charset w:val="00"/>
    <w:family w:val="auto"/>
    <w:pitch w:val="variable"/>
    <w:sig w:usb0="00000000" w:usb1="5000A1FF" w:usb2="00000000" w:usb3="00000000" w:csb0="000001BF" w:csb1="00000000"/>
  </w:font>
  <w:font w:name="Calibri">
    <w:panose1 w:val="020F0502020204030204"/>
    <w:charset w:val="A1"/>
    <w:family w:val="swiss"/>
    <w:pitch w:val="variable"/>
    <w:sig w:usb0="E00002FF" w:usb1="4000ACFF" w:usb2="00000001" w:usb3="00000000" w:csb0="0000019F" w:csb1="00000000"/>
    <w:embedRegular r:id="rId5" w:fontKey="{E2511319-55A4-4B73-BD45-DA347E14365D}"/>
    <w:embedBold r:id="rId6" w:fontKey="{9FED0D86-ECE2-4BC0-8C04-7773576D16A6}"/>
    <w:embedItalic r:id="rId7" w:fontKey="{05B2D537-B0D9-41E1-9CAB-54C632ED2A59}"/>
  </w:font>
  <w:font w:name="Bookman Old Style">
    <w:panose1 w:val="02050604050505020204"/>
    <w:charset w:val="A1"/>
    <w:family w:val="roman"/>
    <w:pitch w:val="variable"/>
    <w:sig w:usb0="00000287" w:usb1="00000000" w:usb2="00000000" w:usb3="00000000" w:csb0="0000009F" w:csb1="00000000"/>
    <w:embedBold r:id="rId8" w:fontKey="{CFAC3312-9C16-43EF-B5E6-3964D6EFD759}"/>
    <w:embedItalic r:id="rId9" w:fontKey="{40A1E8B3-CCB2-42C7-9CF2-7B4E0176A3A8}"/>
  </w:font>
  <w:font w:name="Times-Italic">
    <w:altName w:val="Times New Roman"/>
    <w:panose1 w:val="00000000000000000000"/>
    <w:charset w:val="00"/>
    <w:family w:val="roman"/>
    <w:notTrueType/>
    <w:pitch w:val="default"/>
    <w:sig w:usb0="00000003" w:usb1="00000000" w:usb2="00000000" w:usb3="00000000" w:csb0="00000001" w:csb1="00000000"/>
  </w:font>
  <w:font w:name="BIG5黑体">
    <w:altName w:val="Arial Unicode MS"/>
    <w:charset w:val="86"/>
    <w:family w:val="roman"/>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embedRegular r:id="rId10" w:fontKey="{24D6C17F-7F36-483D-B4C5-D6C86999C62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5C567" w14:textId="77777777" w:rsidR="003B2DE5" w:rsidRDefault="003B2DE5">
      <w:pPr>
        <w:pStyle w:val="p1a"/>
      </w:pPr>
      <w:r>
        <w:separator/>
      </w:r>
    </w:p>
  </w:footnote>
  <w:footnote w:type="continuationSeparator" w:id="0">
    <w:p w14:paraId="48EB9B08" w14:textId="77777777" w:rsidR="003B2DE5" w:rsidRDefault="003B2D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C02DA" w14:textId="77777777" w:rsidR="00C3716B" w:rsidRDefault="00C3716B">
    <w:pPr>
      <w:pStyle w:val="Runninghead-left"/>
    </w:pPr>
    <w:r>
      <w:fldChar w:fldCharType="begin"/>
    </w:r>
    <w:r>
      <w:instrText xml:space="preserve"> PAGE  \* MERGEFORMAT </w:instrText>
    </w:r>
    <w:r>
      <w:fldChar w:fldCharType="separate"/>
    </w:r>
    <w:r w:rsidR="00BC15DA">
      <w:rPr>
        <w:noProof/>
      </w:rPr>
      <w:t>6</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F6709" w14:textId="77777777" w:rsidR="00C3716B" w:rsidRDefault="00C3716B">
    <w:pPr>
      <w:pStyle w:val="Runninghead-right"/>
    </w:pPr>
    <w:r>
      <w:fldChar w:fldCharType="begin"/>
    </w:r>
    <w:r>
      <w:instrText xml:space="preserve"> PAGE  \* MERGEFORMAT </w:instrText>
    </w:r>
    <w:r>
      <w:fldChar w:fldCharType="separate"/>
    </w:r>
    <w:r w:rsidR="00BC15DA">
      <w:rPr>
        <w:noProof/>
      </w:rPr>
      <w:t>5</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1A7C64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2" w15:restartNumberingAfterBreak="0">
    <w:nsid w:val="FFFFFFFE"/>
    <w:multiLevelType w:val="singleLevel"/>
    <w:tmpl w:val="7A8E2DA8"/>
    <w:lvl w:ilvl="0">
      <w:numFmt w:val="decimal"/>
      <w:lvlText w:val="*"/>
      <w:lvlJc w:val="left"/>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4C436AB0"/>
    <w:multiLevelType w:val="hybridMultilevel"/>
    <w:tmpl w:val="6B202B24"/>
    <w:lvl w:ilvl="0" w:tplc="4E3842CA">
      <w:start w:val="1"/>
      <w:numFmt w:val="bullet"/>
      <w:lvlText w:val=""/>
      <w:lvlJc w:val="left"/>
      <w:pPr>
        <w:tabs>
          <w:tab w:val="num" w:pos="720"/>
        </w:tabs>
        <w:ind w:left="720" w:hanging="360"/>
      </w:pPr>
      <w:rPr>
        <w:rFonts w:ascii="Symbol" w:hAnsi="Symbol" w:hint="default"/>
      </w:rPr>
    </w:lvl>
    <w:lvl w:ilvl="1" w:tplc="A5DA04DE" w:tentative="1">
      <w:start w:val="1"/>
      <w:numFmt w:val="bullet"/>
      <w:lvlText w:val="o"/>
      <w:lvlJc w:val="left"/>
      <w:pPr>
        <w:tabs>
          <w:tab w:val="num" w:pos="1440"/>
        </w:tabs>
        <w:ind w:left="1440" w:hanging="360"/>
      </w:pPr>
      <w:rPr>
        <w:rFonts w:ascii="Courier New" w:hAnsi="Courier New" w:hint="default"/>
      </w:rPr>
    </w:lvl>
    <w:lvl w:ilvl="2" w:tplc="F584494E" w:tentative="1">
      <w:start w:val="1"/>
      <w:numFmt w:val="bullet"/>
      <w:lvlText w:val=""/>
      <w:lvlJc w:val="left"/>
      <w:pPr>
        <w:tabs>
          <w:tab w:val="num" w:pos="2160"/>
        </w:tabs>
        <w:ind w:left="2160" w:hanging="360"/>
      </w:pPr>
      <w:rPr>
        <w:rFonts w:ascii="Wingdings" w:hAnsi="Wingdings" w:hint="default"/>
      </w:rPr>
    </w:lvl>
    <w:lvl w:ilvl="3" w:tplc="C9D6B404" w:tentative="1">
      <w:start w:val="1"/>
      <w:numFmt w:val="bullet"/>
      <w:lvlText w:val=""/>
      <w:lvlJc w:val="left"/>
      <w:pPr>
        <w:tabs>
          <w:tab w:val="num" w:pos="2880"/>
        </w:tabs>
        <w:ind w:left="2880" w:hanging="360"/>
      </w:pPr>
      <w:rPr>
        <w:rFonts w:ascii="Symbol" w:hAnsi="Symbol" w:hint="default"/>
      </w:rPr>
    </w:lvl>
    <w:lvl w:ilvl="4" w:tplc="9A64589E" w:tentative="1">
      <w:start w:val="1"/>
      <w:numFmt w:val="bullet"/>
      <w:lvlText w:val="o"/>
      <w:lvlJc w:val="left"/>
      <w:pPr>
        <w:tabs>
          <w:tab w:val="num" w:pos="3600"/>
        </w:tabs>
        <w:ind w:left="3600" w:hanging="360"/>
      </w:pPr>
      <w:rPr>
        <w:rFonts w:ascii="Courier New" w:hAnsi="Courier New" w:hint="default"/>
      </w:rPr>
    </w:lvl>
    <w:lvl w:ilvl="5" w:tplc="34AE5A08" w:tentative="1">
      <w:start w:val="1"/>
      <w:numFmt w:val="bullet"/>
      <w:lvlText w:val=""/>
      <w:lvlJc w:val="left"/>
      <w:pPr>
        <w:tabs>
          <w:tab w:val="num" w:pos="4320"/>
        </w:tabs>
        <w:ind w:left="4320" w:hanging="360"/>
      </w:pPr>
      <w:rPr>
        <w:rFonts w:ascii="Wingdings" w:hAnsi="Wingdings" w:hint="default"/>
      </w:rPr>
    </w:lvl>
    <w:lvl w:ilvl="6" w:tplc="70F499D2" w:tentative="1">
      <w:start w:val="1"/>
      <w:numFmt w:val="bullet"/>
      <w:lvlText w:val=""/>
      <w:lvlJc w:val="left"/>
      <w:pPr>
        <w:tabs>
          <w:tab w:val="num" w:pos="5040"/>
        </w:tabs>
        <w:ind w:left="5040" w:hanging="360"/>
      </w:pPr>
      <w:rPr>
        <w:rFonts w:ascii="Symbol" w:hAnsi="Symbol" w:hint="default"/>
      </w:rPr>
    </w:lvl>
    <w:lvl w:ilvl="7" w:tplc="75327A30" w:tentative="1">
      <w:start w:val="1"/>
      <w:numFmt w:val="bullet"/>
      <w:lvlText w:val="o"/>
      <w:lvlJc w:val="left"/>
      <w:pPr>
        <w:tabs>
          <w:tab w:val="num" w:pos="5760"/>
        </w:tabs>
        <w:ind w:left="5760" w:hanging="360"/>
      </w:pPr>
      <w:rPr>
        <w:rFonts w:ascii="Courier New" w:hAnsi="Courier New" w:hint="default"/>
      </w:rPr>
    </w:lvl>
    <w:lvl w:ilvl="8" w:tplc="0D54C8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48470FA"/>
    <w:multiLevelType w:val="multilevel"/>
    <w:tmpl w:val="08BC81BA"/>
    <w:lvl w:ilvl="0">
      <w:start w:val="1"/>
      <w:numFmt w:val="upperLetter"/>
      <w:pStyle w:val="Appendix1"/>
      <w:suff w:val="nothing"/>
      <w:lvlText w:val="Appendix %1.   "/>
      <w:lvlJc w:val="left"/>
      <w:pPr>
        <w:ind w:left="300" w:hanging="300"/>
      </w:pPr>
      <w:rPr>
        <w:rFonts w:hint="default"/>
        <w:color w:val="auto"/>
      </w:rPr>
    </w:lvl>
    <w:lvl w:ilvl="1">
      <w:start w:val="1"/>
      <w:numFmt w:val="decimal"/>
      <w:pStyle w:val="Appendix2"/>
      <w:suff w:val="nothing"/>
      <w:lvlText w:val="%1.%2.   "/>
      <w:lvlJc w:val="left"/>
      <w:pPr>
        <w:ind w:left="510" w:hanging="510"/>
      </w:pPr>
      <w:rPr>
        <w:rFonts w:ascii="Times New Roman" w:hAnsi="Times New Roman" w:hint="default"/>
        <w:b/>
        <w:i w:val="0"/>
        <w:sz w:val="20"/>
      </w:rPr>
    </w:lvl>
    <w:lvl w:ilvl="2">
      <w:start w:val="1"/>
      <w:numFmt w:val="decimal"/>
      <w:pStyle w:val="Appendix3"/>
      <w:suff w:val="nothing"/>
      <w:lvlText w:val="%1.%2.%3.   "/>
      <w:lvlJc w:val="left"/>
      <w:pPr>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9" w15:restartNumberingAfterBreak="0">
    <w:nsid w:val="7E5259C0"/>
    <w:multiLevelType w:val="hybridMultilevel"/>
    <w:tmpl w:val="CD9ECA3C"/>
    <w:lvl w:ilvl="0" w:tplc="963AC4EA">
      <w:start w:val="1"/>
      <w:numFmt w:val="bullet"/>
      <w:lvlText w:val="-"/>
      <w:lvlJc w:val="left"/>
      <w:pPr>
        <w:tabs>
          <w:tab w:val="num" w:pos="587"/>
        </w:tabs>
        <w:ind w:left="454" w:hanging="227"/>
      </w:pPr>
      <w:rPr>
        <w:rFonts w:hint="default"/>
        <w:sz w:val="16"/>
      </w:rPr>
    </w:lvl>
    <w:lvl w:ilvl="1" w:tplc="F5D0D1E0" w:tentative="1">
      <w:start w:val="1"/>
      <w:numFmt w:val="bullet"/>
      <w:lvlText w:val="o"/>
      <w:lvlJc w:val="left"/>
      <w:pPr>
        <w:tabs>
          <w:tab w:val="num" w:pos="1440"/>
        </w:tabs>
        <w:ind w:left="1440" w:hanging="360"/>
      </w:pPr>
      <w:rPr>
        <w:rFonts w:ascii="Courier New" w:hAnsi="Courier New" w:hint="default"/>
      </w:rPr>
    </w:lvl>
    <w:lvl w:ilvl="2" w:tplc="14A68CC2" w:tentative="1">
      <w:start w:val="1"/>
      <w:numFmt w:val="bullet"/>
      <w:lvlText w:val=""/>
      <w:lvlJc w:val="left"/>
      <w:pPr>
        <w:tabs>
          <w:tab w:val="num" w:pos="2160"/>
        </w:tabs>
        <w:ind w:left="2160" w:hanging="360"/>
      </w:pPr>
      <w:rPr>
        <w:rFonts w:ascii="Wingdings" w:hAnsi="Wingdings" w:hint="default"/>
      </w:rPr>
    </w:lvl>
    <w:lvl w:ilvl="3" w:tplc="5C689356" w:tentative="1">
      <w:start w:val="1"/>
      <w:numFmt w:val="bullet"/>
      <w:lvlText w:val=""/>
      <w:lvlJc w:val="left"/>
      <w:pPr>
        <w:tabs>
          <w:tab w:val="num" w:pos="2880"/>
        </w:tabs>
        <w:ind w:left="2880" w:hanging="360"/>
      </w:pPr>
      <w:rPr>
        <w:rFonts w:ascii="Symbol" w:hAnsi="Symbol" w:hint="default"/>
      </w:rPr>
    </w:lvl>
    <w:lvl w:ilvl="4" w:tplc="ADD65790" w:tentative="1">
      <w:start w:val="1"/>
      <w:numFmt w:val="bullet"/>
      <w:lvlText w:val="o"/>
      <w:lvlJc w:val="left"/>
      <w:pPr>
        <w:tabs>
          <w:tab w:val="num" w:pos="3600"/>
        </w:tabs>
        <w:ind w:left="3600" w:hanging="360"/>
      </w:pPr>
      <w:rPr>
        <w:rFonts w:ascii="Courier New" w:hAnsi="Courier New" w:hint="default"/>
      </w:rPr>
    </w:lvl>
    <w:lvl w:ilvl="5" w:tplc="9822D14C" w:tentative="1">
      <w:start w:val="1"/>
      <w:numFmt w:val="bullet"/>
      <w:lvlText w:val=""/>
      <w:lvlJc w:val="left"/>
      <w:pPr>
        <w:tabs>
          <w:tab w:val="num" w:pos="4320"/>
        </w:tabs>
        <w:ind w:left="4320" w:hanging="360"/>
      </w:pPr>
      <w:rPr>
        <w:rFonts w:ascii="Wingdings" w:hAnsi="Wingdings" w:hint="default"/>
      </w:rPr>
    </w:lvl>
    <w:lvl w:ilvl="6" w:tplc="E7F2D942" w:tentative="1">
      <w:start w:val="1"/>
      <w:numFmt w:val="bullet"/>
      <w:lvlText w:val=""/>
      <w:lvlJc w:val="left"/>
      <w:pPr>
        <w:tabs>
          <w:tab w:val="num" w:pos="5040"/>
        </w:tabs>
        <w:ind w:left="5040" w:hanging="360"/>
      </w:pPr>
      <w:rPr>
        <w:rFonts w:ascii="Symbol" w:hAnsi="Symbol" w:hint="default"/>
      </w:rPr>
    </w:lvl>
    <w:lvl w:ilvl="7" w:tplc="62EEB7BA" w:tentative="1">
      <w:start w:val="1"/>
      <w:numFmt w:val="bullet"/>
      <w:lvlText w:val="o"/>
      <w:lvlJc w:val="left"/>
      <w:pPr>
        <w:tabs>
          <w:tab w:val="num" w:pos="5760"/>
        </w:tabs>
        <w:ind w:left="5760" w:hanging="360"/>
      </w:pPr>
      <w:rPr>
        <w:rFonts w:ascii="Courier New" w:hAnsi="Courier New" w:hint="default"/>
      </w:rPr>
    </w:lvl>
    <w:lvl w:ilvl="8" w:tplc="001CA4C6"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8"/>
  </w:num>
  <w:num w:numId="4">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9"/>
  </w:num>
  <w:num w:numId="8">
    <w:abstractNumId w:val="5"/>
  </w:num>
  <w:num w:numId="9">
    <w:abstractNumId w:val="3"/>
  </w:num>
  <w:num w:numId="10">
    <w:abstractNumId w:val="9"/>
  </w:num>
  <w:num w:numId="11">
    <w:abstractNumId w:val="6"/>
  </w:num>
  <w:num w:numId="12">
    <w:abstractNumId w:val="1"/>
  </w:num>
  <w:num w:numId="13">
    <w:abstractNumId w:val="6"/>
  </w:num>
  <w:num w:numId="14">
    <w:abstractNumId w:val="1"/>
  </w:num>
  <w:num w:numId="15">
    <w:abstractNumId w:val="1"/>
  </w:num>
  <w:num w:numId="16">
    <w:abstractNumId w:val="6"/>
  </w:num>
  <w:num w:numId="17">
    <w:abstractNumId w:val="1"/>
  </w:num>
  <w:num w:numId="18">
    <w:abstractNumId w:val="1"/>
  </w:num>
  <w:num w:numId="19">
    <w:abstractNumId w:val="9"/>
  </w:num>
  <w:num w:numId="20">
    <w:abstractNumId w:val="9"/>
  </w:num>
  <w:num w:numId="21">
    <w:abstractNumId w:val="9"/>
  </w:num>
  <w:num w:numId="22">
    <w:abstractNumId w:val="4"/>
  </w:num>
  <w:num w:numId="23">
    <w:abstractNumId w:val="4"/>
  </w:num>
  <w:num w:numId="24">
    <w:abstractNumId w:val="4"/>
  </w:num>
  <w:num w:numId="25">
    <w:abstractNumId w:val="4"/>
  </w:num>
  <w:num w:numId="26">
    <w:abstractNumId w:val="7"/>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399"/>
    <w:rsid w:val="00005F1B"/>
    <w:rsid w:val="0002633F"/>
    <w:rsid w:val="00044A53"/>
    <w:rsid w:val="000463E2"/>
    <w:rsid w:val="00083783"/>
    <w:rsid w:val="000E0820"/>
    <w:rsid w:val="000E34FF"/>
    <w:rsid w:val="00103A73"/>
    <w:rsid w:val="00121EA3"/>
    <w:rsid w:val="00136275"/>
    <w:rsid w:val="001B5AA2"/>
    <w:rsid w:val="001D0B49"/>
    <w:rsid w:val="001D6E4A"/>
    <w:rsid w:val="001D73DE"/>
    <w:rsid w:val="00226F60"/>
    <w:rsid w:val="00236209"/>
    <w:rsid w:val="002528EC"/>
    <w:rsid w:val="002F2934"/>
    <w:rsid w:val="003071AD"/>
    <w:rsid w:val="003325B4"/>
    <w:rsid w:val="00360E7F"/>
    <w:rsid w:val="0036251B"/>
    <w:rsid w:val="00365E15"/>
    <w:rsid w:val="003A5DFB"/>
    <w:rsid w:val="003B2DE5"/>
    <w:rsid w:val="003C7847"/>
    <w:rsid w:val="003E2506"/>
    <w:rsid w:val="00403A6F"/>
    <w:rsid w:val="00405E55"/>
    <w:rsid w:val="00410267"/>
    <w:rsid w:val="004552DA"/>
    <w:rsid w:val="0046154C"/>
    <w:rsid w:val="004717C0"/>
    <w:rsid w:val="0049022C"/>
    <w:rsid w:val="00493C8D"/>
    <w:rsid w:val="0049726D"/>
    <w:rsid w:val="004B0A0E"/>
    <w:rsid w:val="004B684F"/>
    <w:rsid w:val="004F12B1"/>
    <w:rsid w:val="005100C3"/>
    <w:rsid w:val="00534053"/>
    <w:rsid w:val="00535CAA"/>
    <w:rsid w:val="00544A38"/>
    <w:rsid w:val="00570B2E"/>
    <w:rsid w:val="00572271"/>
    <w:rsid w:val="00583E41"/>
    <w:rsid w:val="00594390"/>
    <w:rsid w:val="00596E55"/>
    <w:rsid w:val="005B28FC"/>
    <w:rsid w:val="005D679A"/>
    <w:rsid w:val="005E0D8D"/>
    <w:rsid w:val="00601C02"/>
    <w:rsid w:val="006139F1"/>
    <w:rsid w:val="006620E7"/>
    <w:rsid w:val="00667DEB"/>
    <w:rsid w:val="00680383"/>
    <w:rsid w:val="006829A3"/>
    <w:rsid w:val="006A574A"/>
    <w:rsid w:val="006B53E9"/>
    <w:rsid w:val="006C5BA2"/>
    <w:rsid w:val="006D6414"/>
    <w:rsid w:val="006E3B89"/>
    <w:rsid w:val="006E723D"/>
    <w:rsid w:val="006F5C00"/>
    <w:rsid w:val="00705462"/>
    <w:rsid w:val="00722F8A"/>
    <w:rsid w:val="00723352"/>
    <w:rsid w:val="007515D7"/>
    <w:rsid w:val="007563ED"/>
    <w:rsid w:val="00763CA8"/>
    <w:rsid w:val="00772BBE"/>
    <w:rsid w:val="00787896"/>
    <w:rsid w:val="00791BDF"/>
    <w:rsid w:val="00796940"/>
    <w:rsid w:val="007A2AD6"/>
    <w:rsid w:val="007E3272"/>
    <w:rsid w:val="00801707"/>
    <w:rsid w:val="008357B4"/>
    <w:rsid w:val="00850399"/>
    <w:rsid w:val="008603F5"/>
    <w:rsid w:val="008662CD"/>
    <w:rsid w:val="00896909"/>
    <w:rsid w:val="008C0390"/>
    <w:rsid w:val="008E2B14"/>
    <w:rsid w:val="0090334B"/>
    <w:rsid w:val="0090556A"/>
    <w:rsid w:val="0091061C"/>
    <w:rsid w:val="00931DBE"/>
    <w:rsid w:val="00954D64"/>
    <w:rsid w:val="00963440"/>
    <w:rsid w:val="00976926"/>
    <w:rsid w:val="00981089"/>
    <w:rsid w:val="00985DCA"/>
    <w:rsid w:val="009960F7"/>
    <w:rsid w:val="009A5235"/>
    <w:rsid w:val="009B508E"/>
    <w:rsid w:val="009D04DB"/>
    <w:rsid w:val="009F50B2"/>
    <w:rsid w:val="00A1344F"/>
    <w:rsid w:val="00A522EE"/>
    <w:rsid w:val="00A52B17"/>
    <w:rsid w:val="00A57B00"/>
    <w:rsid w:val="00A7006D"/>
    <w:rsid w:val="00A714B7"/>
    <w:rsid w:val="00A72563"/>
    <w:rsid w:val="00A86683"/>
    <w:rsid w:val="00AC078B"/>
    <w:rsid w:val="00AC38BA"/>
    <w:rsid w:val="00AD6950"/>
    <w:rsid w:val="00AE70F8"/>
    <w:rsid w:val="00B065E8"/>
    <w:rsid w:val="00B12CAA"/>
    <w:rsid w:val="00B5108A"/>
    <w:rsid w:val="00B5459D"/>
    <w:rsid w:val="00B61139"/>
    <w:rsid w:val="00B7566D"/>
    <w:rsid w:val="00B93453"/>
    <w:rsid w:val="00B97ED3"/>
    <w:rsid w:val="00BC15DA"/>
    <w:rsid w:val="00BC4F7F"/>
    <w:rsid w:val="00BC51B6"/>
    <w:rsid w:val="00BD3DBF"/>
    <w:rsid w:val="00BD53E7"/>
    <w:rsid w:val="00BE1710"/>
    <w:rsid w:val="00BF2C5E"/>
    <w:rsid w:val="00BF440F"/>
    <w:rsid w:val="00BF4F35"/>
    <w:rsid w:val="00C22245"/>
    <w:rsid w:val="00C22F76"/>
    <w:rsid w:val="00C3716B"/>
    <w:rsid w:val="00C566D9"/>
    <w:rsid w:val="00C67015"/>
    <w:rsid w:val="00C7344F"/>
    <w:rsid w:val="00C921ED"/>
    <w:rsid w:val="00C9597D"/>
    <w:rsid w:val="00CA15F8"/>
    <w:rsid w:val="00CA650F"/>
    <w:rsid w:val="00CC0309"/>
    <w:rsid w:val="00CC0AF6"/>
    <w:rsid w:val="00CD548C"/>
    <w:rsid w:val="00CD61DA"/>
    <w:rsid w:val="00CF3CD3"/>
    <w:rsid w:val="00D27CCD"/>
    <w:rsid w:val="00D37C72"/>
    <w:rsid w:val="00D37EFA"/>
    <w:rsid w:val="00D4758B"/>
    <w:rsid w:val="00D52D3D"/>
    <w:rsid w:val="00D648B7"/>
    <w:rsid w:val="00D879C4"/>
    <w:rsid w:val="00DA179A"/>
    <w:rsid w:val="00DB6263"/>
    <w:rsid w:val="00DC05FD"/>
    <w:rsid w:val="00E01E46"/>
    <w:rsid w:val="00E1415F"/>
    <w:rsid w:val="00E34EE2"/>
    <w:rsid w:val="00E359E3"/>
    <w:rsid w:val="00E35DEA"/>
    <w:rsid w:val="00EA44D1"/>
    <w:rsid w:val="00EA7E14"/>
    <w:rsid w:val="00EB6306"/>
    <w:rsid w:val="00ED6CDE"/>
    <w:rsid w:val="00EF1555"/>
    <w:rsid w:val="00F04559"/>
    <w:rsid w:val="00F24E52"/>
    <w:rsid w:val="00F32208"/>
    <w:rsid w:val="00F44017"/>
    <w:rsid w:val="00F449FF"/>
    <w:rsid w:val="00F50A2D"/>
    <w:rsid w:val="00F75922"/>
    <w:rsid w:val="00F843DC"/>
    <w:rsid w:val="00F96913"/>
    <w:rsid w:val="00FA40D3"/>
    <w:rsid w:val="00FA53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FE5C4B"/>
  <w14:defaultImageDpi w14:val="300"/>
  <w15:docId w15:val="{BFDE9FFB-8672-4802-B86A-DA577CB9F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1">
    <w:name w:val="heading 1"/>
    <w:basedOn w:val="a"/>
    <w:next w:val="a"/>
    <w:qFormat/>
    <w:pPr>
      <w:keepNext/>
      <w:spacing w:after="240"/>
      <w:outlineLvl w:val="0"/>
    </w:pPr>
    <w:rPr>
      <w:rFonts w:ascii="Arial" w:hAnsi="Arial"/>
      <w:b/>
      <w:bCs/>
      <w:sz w:val="28"/>
      <w:szCs w:val="24"/>
    </w:rPr>
  </w:style>
  <w:style w:type="paragraph" w:styleId="2">
    <w:name w:val="heading 2"/>
    <w:basedOn w:val="a"/>
    <w:next w:val="a"/>
    <w:qFormat/>
    <w:pPr>
      <w:keepNext/>
      <w:spacing w:before="240" w:after="120"/>
      <w:outlineLvl w:val="1"/>
    </w:pPr>
    <w:rPr>
      <w:rFonts w:ascii="Arial" w:hAnsi="Arial"/>
      <w:b/>
    </w:rPr>
  </w:style>
  <w:style w:type="paragraph" w:styleId="3">
    <w:name w:val="heading 3"/>
    <w:basedOn w:val="a"/>
    <w:next w:val="a"/>
    <w:link w:val="3Char"/>
    <w:qFormat/>
    <w:pPr>
      <w:keepNext/>
      <w:spacing w:before="180" w:after="120"/>
      <w:outlineLvl w:val="2"/>
    </w:pPr>
    <w:rPr>
      <w:rFonts w:ascii="Arial" w:hAnsi="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536"/>
        <w:tab w:val="right" w:pos="9072"/>
      </w:tabs>
    </w:pPr>
  </w:style>
  <w:style w:type="paragraph" w:styleId="a4">
    <w:name w:val="footer"/>
    <w:basedOn w:val="a"/>
    <w:pPr>
      <w:tabs>
        <w:tab w:val="center" w:pos="4536"/>
        <w:tab w:val="right" w:pos="9072"/>
      </w:tabs>
    </w:pPr>
  </w:style>
  <w:style w:type="character" w:styleId="a5">
    <w:name w:val="page number"/>
    <w:basedOn w:val="a0"/>
    <w:rPr>
      <w:sz w:val="20"/>
    </w:rPr>
  </w:style>
  <w:style w:type="paragraph" w:customStyle="1" w:styleId="Runninghead-left">
    <w:name w:val="Running head - left"/>
    <w:basedOn w:val="a"/>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a"/>
    <w:next w:val="a"/>
    <w:rsid w:val="00583E41"/>
    <w:pPr>
      <w:suppressAutoHyphens/>
      <w:spacing w:before="480" w:after="220"/>
      <w:ind w:firstLine="0"/>
      <w:jc w:val="left"/>
    </w:pPr>
    <w:rPr>
      <w:b/>
    </w:rPr>
  </w:style>
  <w:style w:type="paragraph" w:customStyle="1" w:styleId="table">
    <w:name w:val="table"/>
    <w:basedOn w:val="a"/>
    <w:rsid w:val="00D52D3D"/>
    <w:pPr>
      <w:spacing w:before="60" w:line="200" w:lineRule="atLeast"/>
      <w:ind w:firstLine="0"/>
      <w:jc w:val="left"/>
    </w:pPr>
    <w:rPr>
      <w:sz w:val="17"/>
      <w:szCs w:val="18"/>
    </w:rPr>
  </w:style>
  <w:style w:type="paragraph" w:customStyle="1" w:styleId="equation">
    <w:name w:val="equation"/>
    <w:basedOn w:val="a"/>
    <w:next w:val="a"/>
    <w:rsid w:val="00B97ED3"/>
    <w:pPr>
      <w:tabs>
        <w:tab w:val="center" w:pos="3204"/>
        <w:tab w:val="right" w:pos="6634"/>
      </w:tabs>
      <w:spacing w:before="240" w:after="240"/>
      <w:ind w:firstLine="0"/>
      <w:jc w:val="left"/>
    </w:pPr>
  </w:style>
  <w:style w:type="paragraph" w:customStyle="1" w:styleId="figlegend">
    <w:name w:val="figlegend"/>
    <w:basedOn w:val="a"/>
    <w:next w:val="a"/>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a"/>
    <w:next w:val="a"/>
    <w:pPr>
      <w:ind w:firstLine="0"/>
    </w:pPr>
  </w:style>
  <w:style w:type="character" w:styleId="a6">
    <w:name w:val="footnote reference"/>
    <w:basedOn w:val="a0"/>
    <w:semiHidden/>
    <w:rPr>
      <w:position w:val="6"/>
      <w:sz w:val="12"/>
      <w:vertAlign w:val="baseline"/>
    </w:rPr>
  </w:style>
  <w:style w:type="paragraph" w:customStyle="1" w:styleId="heading1">
    <w:name w:val="heading1"/>
    <w:basedOn w:val="a"/>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a"/>
    <w:rsid w:val="00EA44D1"/>
    <w:pPr>
      <w:numPr>
        <w:numId w:val="25"/>
      </w:numPr>
      <w:spacing w:before="120" w:after="120"/>
      <w:contextualSpacing/>
    </w:pPr>
  </w:style>
  <w:style w:type="paragraph" w:customStyle="1" w:styleId="petit">
    <w:name w:val="petit"/>
    <w:basedOn w:val="a"/>
    <w:rsid w:val="00D27CCD"/>
    <w:pPr>
      <w:spacing w:before="120" w:after="120" w:line="200" w:lineRule="atLeast"/>
    </w:pPr>
    <w:rPr>
      <w:sz w:val="17"/>
    </w:rPr>
  </w:style>
  <w:style w:type="paragraph" w:customStyle="1" w:styleId="reference">
    <w:name w:val="reference"/>
    <w:basedOn w:val="a"/>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a"/>
    <w:next w:val="a"/>
    <w:rsid w:val="00D52D3D"/>
    <w:pPr>
      <w:keepNext/>
      <w:keepLines/>
      <w:spacing w:before="240" w:after="120" w:line="200" w:lineRule="atLeast"/>
      <w:ind w:firstLine="0"/>
    </w:pPr>
    <w:rPr>
      <w:sz w:val="17"/>
    </w:rPr>
  </w:style>
  <w:style w:type="paragraph" w:customStyle="1" w:styleId="tablenotes">
    <w:name w:val="tablenotes"/>
    <w:basedOn w:val="a"/>
    <w:next w:val="a"/>
    <w:rsid w:val="00D52D3D"/>
    <w:pPr>
      <w:widowControl w:val="0"/>
      <w:spacing w:before="20" w:line="200" w:lineRule="atLeast"/>
      <w:ind w:firstLine="0"/>
      <w:jc w:val="left"/>
    </w:pPr>
    <w:rPr>
      <w:sz w:val="17"/>
    </w:rPr>
  </w:style>
  <w:style w:type="paragraph" w:customStyle="1" w:styleId="10">
    <w:name w:val="Τίτλος1"/>
    <w:basedOn w:val="a"/>
    <w:next w:val="p1a"/>
    <w:rsid w:val="000E0820"/>
    <w:pPr>
      <w:keepNext/>
      <w:keepLines/>
      <w:pageBreakBefore/>
      <w:tabs>
        <w:tab w:val="left" w:pos="284"/>
      </w:tabs>
      <w:suppressAutoHyphens/>
      <w:spacing w:line="360" w:lineRule="atLeast"/>
      <w:ind w:firstLine="0"/>
      <w:jc w:val="left"/>
    </w:pPr>
    <w:rPr>
      <w:b/>
      <w:sz w:val="32"/>
    </w:rPr>
  </w:style>
  <w:style w:type="paragraph" w:styleId="11">
    <w:name w:val="toc 1"/>
    <w:basedOn w:val="a"/>
    <w:next w:val="petit"/>
    <w:uiPriority w:val="39"/>
    <w:pPr>
      <w:tabs>
        <w:tab w:val="right" w:leader="dot" w:pos="6634"/>
      </w:tabs>
      <w:spacing w:before="240"/>
      <w:ind w:firstLine="0"/>
      <w:jc w:val="left"/>
    </w:pPr>
    <w:rPr>
      <w:b/>
    </w:rPr>
  </w:style>
  <w:style w:type="paragraph" w:styleId="20">
    <w:name w:val="toc 2"/>
    <w:basedOn w:val="11"/>
    <w:semiHidden/>
    <w:pPr>
      <w:spacing w:before="0"/>
      <w:ind w:left="284"/>
    </w:pPr>
    <w:rPr>
      <w:b w:val="0"/>
    </w:rPr>
  </w:style>
  <w:style w:type="paragraph" w:styleId="30">
    <w:name w:val="toc 3"/>
    <w:basedOn w:val="11"/>
    <w:uiPriority w:val="39"/>
    <w:pPr>
      <w:spacing w:before="0"/>
      <w:ind w:left="510"/>
    </w:pPr>
    <w:rPr>
      <w:b w:val="0"/>
    </w:rPr>
  </w:style>
  <w:style w:type="paragraph" w:styleId="12">
    <w:name w:val="index 1"/>
    <w:basedOn w:val="petit"/>
    <w:semiHidden/>
    <w:rsid w:val="009960F7"/>
    <w:pPr>
      <w:spacing w:before="0" w:after="0"/>
      <w:ind w:left="720" w:hanging="720"/>
      <w:jc w:val="left"/>
    </w:pPr>
    <w:rPr>
      <w:szCs w:val="21"/>
    </w:rPr>
  </w:style>
  <w:style w:type="paragraph" w:styleId="21">
    <w:name w:val="index 2"/>
    <w:basedOn w:val="12"/>
    <w:semiHidden/>
    <w:rsid w:val="009960F7"/>
    <w:pPr>
      <w:ind w:left="958"/>
    </w:pPr>
  </w:style>
  <w:style w:type="paragraph" w:styleId="31">
    <w:name w:val="index 3"/>
    <w:basedOn w:val="a"/>
    <w:next w:val="a"/>
    <w:semiHidden/>
    <w:pPr>
      <w:ind w:left="660" w:hanging="220"/>
      <w:jc w:val="left"/>
    </w:pPr>
    <w:rPr>
      <w:szCs w:val="21"/>
    </w:rPr>
  </w:style>
  <w:style w:type="paragraph" w:styleId="a7">
    <w:name w:val="footnote text"/>
    <w:basedOn w:val="a"/>
    <w:semiHidden/>
  </w:style>
  <w:style w:type="paragraph" w:styleId="4">
    <w:name w:val="toc 4"/>
    <w:basedOn w:val="30"/>
    <w:next w:val="a"/>
    <w:semiHidden/>
    <w:rsid w:val="00772BBE"/>
    <w:pPr>
      <w:ind w:left="737"/>
    </w:pPr>
  </w:style>
  <w:style w:type="character" w:styleId="-">
    <w:name w:val="Hyperlink"/>
    <w:basedOn w:val="a0"/>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13">
    <w:name w:val="Υπότιτλος1"/>
    <w:basedOn w:val="10"/>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a"/>
    <w:next w:val="a"/>
    <w:rsid w:val="00B065E8"/>
    <w:pPr>
      <w:suppressAutoHyphens/>
      <w:spacing w:before="120" w:line="200" w:lineRule="atLeast"/>
      <w:ind w:left="238" w:firstLine="0"/>
      <w:jc w:val="left"/>
    </w:pPr>
    <w:rPr>
      <w:sz w:val="17"/>
    </w:rPr>
  </w:style>
  <w:style w:type="paragraph" w:customStyle="1" w:styleId="abstract">
    <w:name w:val="abstract"/>
    <w:basedOn w:val="a"/>
    <w:next w:val="a"/>
    <w:rsid w:val="00B61139"/>
    <w:pPr>
      <w:spacing w:before="480" w:after="480"/>
      <w:ind w:firstLine="0"/>
    </w:pPr>
  </w:style>
  <w:style w:type="paragraph" w:customStyle="1" w:styleId="quotation">
    <w:name w:val="quotation"/>
    <w:basedOn w:val="affiliation"/>
    <w:next w:val="a"/>
    <w:rsid w:val="00044A53"/>
    <w:pPr>
      <w:spacing w:after="120"/>
      <w:ind w:right="238"/>
      <w:contextualSpacing/>
    </w:pPr>
  </w:style>
  <w:style w:type="paragraph" w:customStyle="1" w:styleId="acknowledgements">
    <w:name w:val="acknowledgements"/>
    <w:basedOn w:val="affiliation"/>
    <w:next w:val="a"/>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a"/>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spara">
    <w:name w:val="spara"/>
    <w:basedOn w:val="a"/>
    <w:next w:val="a"/>
    <w:rsid w:val="00C566D9"/>
    <w:pPr>
      <w:overflowPunct/>
      <w:autoSpaceDE/>
      <w:autoSpaceDN/>
      <w:adjustRightInd/>
      <w:spacing w:line="260" w:lineRule="exact"/>
      <w:ind w:firstLine="0"/>
      <w:textAlignment w:val="auto"/>
    </w:pPr>
    <w:rPr>
      <w:rFonts w:ascii="Times New Roman" w:hAnsi="Times New Roman"/>
      <w:lang w:eastAsia="en-US"/>
    </w:rPr>
  </w:style>
  <w:style w:type="paragraph" w:customStyle="1" w:styleId="BodyText0">
    <w:name w:val="Body Text 0"/>
    <w:basedOn w:val="a8"/>
    <w:next w:val="a8"/>
    <w:rsid w:val="00C566D9"/>
  </w:style>
  <w:style w:type="paragraph" w:customStyle="1" w:styleId="Author0">
    <w:name w:val="Author"/>
    <w:basedOn w:val="a"/>
    <w:next w:val="Affiliation0"/>
    <w:rsid w:val="00C566D9"/>
    <w:pPr>
      <w:keepNext/>
      <w:keepLines/>
      <w:suppressAutoHyphens/>
      <w:overflowPunct/>
      <w:autoSpaceDE/>
      <w:autoSpaceDN/>
      <w:adjustRightInd/>
      <w:spacing w:line="240" w:lineRule="auto"/>
      <w:ind w:firstLine="0"/>
      <w:jc w:val="center"/>
      <w:textAlignment w:val="auto"/>
    </w:pPr>
    <w:rPr>
      <w:rFonts w:ascii="Times New Roman" w:hAnsi="Times New Roman"/>
      <w:caps/>
      <w:sz w:val="18"/>
      <w:lang w:eastAsia="en-US"/>
    </w:rPr>
  </w:style>
  <w:style w:type="paragraph" w:customStyle="1" w:styleId="Affiliation0">
    <w:name w:val="Affiliation"/>
    <w:basedOn w:val="a"/>
    <w:next w:val="Abstract0"/>
    <w:rsid w:val="00C566D9"/>
    <w:pPr>
      <w:overflowPunct/>
      <w:autoSpaceDE/>
      <w:autoSpaceDN/>
      <w:adjustRightInd/>
      <w:spacing w:before="60" w:after="320" w:line="240" w:lineRule="auto"/>
      <w:ind w:firstLine="0"/>
      <w:jc w:val="center"/>
      <w:textAlignment w:val="auto"/>
    </w:pPr>
    <w:rPr>
      <w:rFonts w:ascii="Times New Roman" w:hAnsi="Times New Roman"/>
      <w:i/>
      <w:sz w:val="18"/>
      <w:lang w:eastAsia="en-US"/>
    </w:rPr>
  </w:style>
  <w:style w:type="paragraph" w:customStyle="1" w:styleId="Abstract0">
    <w:name w:val="Abstract"/>
    <w:basedOn w:val="a"/>
    <w:next w:val="1"/>
    <w:rsid w:val="00C566D9"/>
    <w:pPr>
      <w:overflowPunct/>
      <w:autoSpaceDE/>
      <w:autoSpaceDN/>
      <w:adjustRightInd/>
      <w:spacing w:before="120" w:after="120" w:line="200" w:lineRule="atLeast"/>
      <w:ind w:left="360" w:right="360" w:firstLine="0"/>
      <w:textAlignment w:val="auto"/>
    </w:pPr>
    <w:rPr>
      <w:rFonts w:ascii="Times New Roman" w:hAnsi="Times New Roman"/>
      <w:sz w:val="16"/>
      <w:lang w:eastAsia="en-US"/>
    </w:rPr>
  </w:style>
  <w:style w:type="paragraph" w:styleId="a9">
    <w:name w:val="caption"/>
    <w:basedOn w:val="a"/>
    <w:next w:val="a"/>
    <w:qFormat/>
    <w:rsid w:val="00C566D9"/>
    <w:pPr>
      <w:overflowPunct/>
      <w:autoSpaceDE/>
      <w:autoSpaceDN/>
      <w:adjustRightInd/>
      <w:spacing w:line="200" w:lineRule="exact"/>
      <w:ind w:firstLine="0"/>
      <w:textAlignment w:val="auto"/>
    </w:pPr>
    <w:rPr>
      <w:rFonts w:ascii="Times New Roman" w:hAnsi="Times New Roman"/>
      <w:sz w:val="16"/>
      <w:lang w:eastAsia="en-US"/>
    </w:rPr>
  </w:style>
  <w:style w:type="paragraph" w:customStyle="1" w:styleId="NonumHead-1">
    <w:name w:val="NonumHead-1"/>
    <w:basedOn w:val="a"/>
    <w:next w:val="a"/>
    <w:rsid w:val="00C566D9"/>
    <w:pPr>
      <w:keepNext/>
      <w:suppressAutoHyphens/>
      <w:overflowPunct/>
      <w:autoSpaceDE/>
      <w:autoSpaceDN/>
      <w:adjustRightInd/>
      <w:spacing w:before="240" w:after="120" w:line="260" w:lineRule="exact"/>
      <w:ind w:right="360" w:firstLine="0"/>
      <w:jc w:val="left"/>
      <w:textAlignment w:val="auto"/>
    </w:pPr>
    <w:rPr>
      <w:rFonts w:ascii="Times New Roman" w:hAnsi="Times New Roman"/>
      <w:b/>
      <w:lang w:eastAsia="en-US"/>
    </w:rPr>
  </w:style>
  <w:style w:type="paragraph" w:customStyle="1" w:styleId="bibitem">
    <w:name w:val="bibitem"/>
    <w:basedOn w:val="aa"/>
    <w:rsid w:val="00C566D9"/>
    <w:pPr>
      <w:overflowPunct/>
      <w:autoSpaceDE/>
      <w:autoSpaceDN/>
      <w:adjustRightInd/>
      <w:spacing w:line="240" w:lineRule="auto"/>
      <w:ind w:left="360" w:hanging="360"/>
      <w:contextualSpacing w:val="0"/>
      <w:textAlignment w:val="auto"/>
    </w:pPr>
    <w:rPr>
      <w:rFonts w:ascii="Times New Roman" w:hAnsi="Times New Roman"/>
      <w:lang w:eastAsia="en-US"/>
    </w:rPr>
  </w:style>
  <w:style w:type="paragraph" w:customStyle="1" w:styleId="TextIndent">
    <w:name w:val="Text Indent"/>
    <w:rsid w:val="00C566D9"/>
    <w:pPr>
      <w:spacing w:line="260" w:lineRule="exact"/>
      <w:ind w:firstLine="360"/>
      <w:jc w:val="both"/>
    </w:pPr>
  </w:style>
  <w:style w:type="paragraph" w:customStyle="1" w:styleId="Appendix1">
    <w:name w:val="Appendix 1"/>
    <w:basedOn w:val="a"/>
    <w:next w:val="BodyText0"/>
    <w:rsid w:val="00C566D9"/>
    <w:pPr>
      <w:keepNext/>
      <w:keepLines/>
      <w:numPr>
        <w:numId w:val="26"/>
      </w:numPr>
      <w:suppressAutoHyphens/>
      <w:overflowPunct/>
      <w:adjustRightInd/>
      <w:spacing w:before="240" w:after="120" w:line="260" w:lineRule="exact"/>
      <w:ind w:left="302" w:hanging="302"/>
      <w:jc w:val="left"/>
      <w:textAlignment w:val="auto"/>
      <w:outlineLvl w:val="0"/>
    </w:pPr>
    <w:rPr>
      <w:rFonts w:ascii="Times New Roman" w:hAnsi="Times New Roman"/>
      <w:b/>
      <w:szCs w:val="24"/>
      <w:lang w:eastAsia="en-US"/>
    </w:rPr>
  </w:style>
  <w:style w:type="paragraph" w:customStyle="1" w:styleId="Appendix2">
    <w:name w:val="Appendix 2"/>
    <w:basedOn w:val="Appendix1"/>
    <w:next w:val="BodyText0"/>
    <w:rsid w:val="00C566D9"/>
    <w:pPr>
      <w:numPr>
        <w:ilvl w:val="1"/>
      </w:numPr>
      <w:ind w:left="360" w:hanging="360"/>
      <w:outlineLvl w:val="1"/>
    </w:pPr>
    <w:rPr>
      <w:i/>
    </w:rPr>
  </w:style>
  <w:style w:type="paragraph" w:customStyle="1" w:styleId="Appendix3">
    <w:name w:val="Appendix 3"/>
    <w:basedOn w:val="Appendix2"/>
    <w:next w:val="BodyText0"/>
    <w:rsid w:val="00C566D9"/>
    <w:pPr>
      <w:numPr>
        <w:ilvl w:val="2"/>
      </w:numPr>
      <w:ind w:left="605" w:hanging="605"/>
      <w:outlineLvl w:val="2"/>
    </w:pPr>
    <w:rPr>
      <w:b w:val="0"/>
    </w:rPr>
  </w:style>
  <w:style w:type="paragraph" w:customStyle="1" w:styleId="Els-body-text">
    <w:name w:val="Els-body-text"/>
    <w:rsid w:val="00C566D9"/>
    <w:pPr>
      <w:spacing w:line="240" w:lineRule="exact"/>
      <w:ind w:firstLine="238"/>
      <w:jc w:val="both"/>
    </w:pPr>
    <w:rPr>
      <w:rFonts w:eastAsia="SimSun"/>
    </w:rPr>
  </w:style>
  <w:style w:type="character" w:customStyle="1" w:styleId="3Char">
    <w:name w:val="Επικεφαλίδα 3 Char"/>
    <w:link w:val="3"/>
    <w:rsid w:val="00C566D9"/>
    <w:rPr>
      <w:rFonts w:ascii="Arial" w:hAnsi="Arial" w:cs="Arial"/>
      <w:b/>
      <w:bCs/>
      <w:szCs w:val="26"/>
      <w:lang w:val="en-US" w:eastAsia="de-DE"/>
    </w:rPr>
  </w:style>
  <w:style w:type="paragraph" w:styleId="a8">
    <w:name w:val="Body Text"/>
    <w:basedOn w:val="a"/>
    <w:link w:val="Char"/>
    <w:rsid w:val="00C566D9"/>
    <w:pPr>
      <w:spacing w:after="120"/>
    </w:pPr>
  </w:style>
  <w:style w:type="character" w:customStyle="1" w:styleId="Char">
    <w:name w:val="Σώμα κειμένου Char"/>
    <w:basedOn w:val="a0"/>
    <w:link w:val="a8"/>
    <w:rsid w:val="00C566D9"/>
    <w:rPr>
      <w:rFonts w:ascii="Times" w:hAnsi="Times"/>
      <w:lang w:val="en-US" w:eastAsia="de-DE"/>
    </w:rPr>
  </w:style>
  <w:style w:type="paragraph" w:styleId="aa">
    <w:name w:val="List Number"/>
    <w:basedOn w:val="a"/>
    <w:rsid w:val="00C566D9"/>
    <w:pPr>
      <w:ind w:left="300" w:hanging="300"/>
      <w:contextualSpacing/>
    </w:pPr>
  </w:style>
  <w:style w:type="paragraph" w:styleId="ab">
    <w:name w:val="Balloon Text"/>
    <w:basedOn w:val="a"/>
    <w:link w:val="Char0"/>
    <w:rsid w:val="00A522EE"/>
    <w:pPr>
      <w:spacing w:line="240" w:lineRule="auto"/>
    </w:pPr>
    <w:rPr>
      <w:rFonts w:ascii="Lucida Grande" w:hAnsi="Lucida Grande" w:cs="Lucida Grande"/>
      <w:sz w:val="18"/>
      <w:szCs w:val="18"/>
    </w:rPr>
  </w:style>
  <w:style w:type="character" w:customStyle="1" w:styleId="Char0">
    <w:name w:val="Κείμενο πλαισίου Char"/>
    <w:basedOn w:val="a0"/>
    <w:link w:val="ab"/>
    <w:rsid w:val="00A522EE"/>
    <w:rPr>
      <w:rFonts w:ascii="Lucida Grande"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ctziogas@auth.g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15A5DD-9A39-4A2A-BA72-548717918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2060</Words>
  <Characters>12346</Characters>
  <Application>Microsoft Office Word</Application>
  <DocSecurity>0</DocSecurity>
  <Lines>205</Lines>
  <Paragraphs>56</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14350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CTZIOGAS</dc:creator>
  <cp:keywords/>
  <cp:lastModifiedBy>Charalampos Tziogas</cp:lastModifiedBy>
  <cp:revision>4</cp:revision>
  <dcterms:created xsi:type="dcterms:W3CDTF">2015-09-19T18:22:00Z</dcterms:created>
  <dcterms:modified xsi:type="dcterms:W3CDTF">2015-09-21T09:25:00Z</dcterms:modified>
</cp:coreProperties>
</file>