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D6282" w14:textId="5C80502E" w:rsidR="00155E76" w:rsidRPr="00B91501" w:rsidRDefault="004531E2" w:rsidP="008714C5">
      <w:pPr>
        <w:pStyle w:val="Title"/>
        <w:jc w:val="center"/>
        <w:rPr>
          <w:rFonts w:ascii="Times New Roman" w:hAnsi="Times New Roman" w:cs="Times New Roman"/>
          <w:b/>
          <w:sz w:val="40"/>
          <w:szCs w:val="40"/>
        </w:rPr>
      </w:pPr>
      <w:r w:rsidRPr="00B91501">
        <w:rPr>
          <w:rFonts w:ascii="Times New Roman" w:hAnsi="Times New Roman" w:cs="Times New Roman"/>
          <w:b/>
          <w:sz w:val="40"/>
          <w:szCs w:val="40"/>
        </w:rPr>
        <w:t>Current approaches and new directions in lithic analysis: defining, identifyi</w:t>
      </w:r>
      <w:r w:rsidR="005E6640">
        <w:rPr>
          <w:rFonts w:ascii="Times New Roman" w:hAnsi="Times New Roman" w:cs="Times New Roman"/>
          <w:b/>
          <w:sz w:val="40"/>
          <w:szCs w:val="40"/>
        </w:rPr>
        <w:t>ng and interpreting variability</w:t>
      </w:r>
    </w:p>
    <w:p w14:paraId="4758C435" w14:textId="77777777" w:rsidR="00554D64" w:rsidRDefault="00554D64" w:rsidP="00554D64">
      <w:pPr>
        <w:rPr>
          <w:sz w:val="40"/>
          <w:szCs w:val="40"/>
        </w:rPr>
      </w:pPr>
    </w:p>
    <w:p w14:paraId="697ED5D9" w14:textId="5E6FE9D0" w:rsidR="00CF0C69" w:rsidRDefault="00CF0C69" w:rsidP="00CF0C69">
      <w:pPr>
        <w:jc w:val="center"/>
      </w:pPr>
      <w:r>
        <w:t>Alice Leplongeon</w:t>
      </w:r>
      <w:r w:rsidRPr="00CF0C69">
        <w:rPr>
          <w:vertAlign w:val="superscript"/>
        </w:rPr>
        <w:t>*,1,2</w:t>
      </w:r>
    </w:p>
    <w:p w14:paraId="05464E10" w14:textId="77777777" w:rsidR="00CF0C69" w:rsidRDefault="00CF0C69" w:rsidP="00A169C9"/>
    <w:p w14:paraId="04C906B2" w14:textId="77777777" w:rsidR="00CF0C69" w:rsidRDefault="00CF0C69" w:rsidP="00CF0C69">
      <w:pPr>
        <w:spacing w:line="259" w:lineRule="auto"/>
      </w:pPr>
      <w:r w:rsidRPr="00CF0C69">
        <w:rPr>
          <w:vertAlign w:val="superscript"/>
        </w:rPr>
        <w:t>*</w:t>
      </w:r>
      <w:r>
        <w:t xml:space="preserve">corresponding author: </w:t>
      </w:r>
      <w:hyperlink r:id="rId8" w:history="1">
        <w:r w:rsidRPr="00D43284">
          <w:rPr>
            <w:rStyle w:val="Hyperlink"/>
          </w:rPr>
          <w:t>amgl2@cam.ac.uk</w:t>
        </w:r>
      </w:hyperlink>
    </w:p>
    <w:p w14:paraId="13346E33" w14:textId="77777777" w:rsidR="00CF0C69" w:rsidRDefault="00CF0C69" w:rsidP="00CF0C69">
      <w:pPr>
        <w:spacing w:line="259" w:lineRule="auto"/>
      </w:pPr>
      <w:r w:rsidRPr="00CF0C69">
        <w:rPr>
          <w:vertAlign w:val="superscript"/>
        </w:rPr>
        <w:t>1</w:t>
      </w:r>
      <w:r>
        <w:t xml:space="preserve"> Marie Sk</w:t>
      </w:r>
      <w:r w:rsidRPr="00CF0C69">
        <w:t>ł</w:t>
      </w:r>
      <w:r>
        <w:t>odowska-Curie postdoctoral fellow – McDonald Institute for Archaeological Research – Downing Street – CB2 3ER Cambridge (UK)</w:t>
      </w:r>
    </w:p>
    <w:p w14:paraId="1B1E6FD5" w14:textId="64B35969" w:rsidR="00CF0C69" w:rsidRPr="00CF0C69" w:rsidRDefault="00CF0C69" w:rsidP="00CF0C69">
      <w:pPr>
        <w:spacing w:line="259" w:lineRule="auto"/>
        <w:rPr>
          <w:lang w:val="fr-FR"/>
        </w:rPr>
      </w:pPr>
      <w:r w:rsidRPr="00CF0C69">
        <w:rPr>
          <w:vertAlign w:val="superscript"/>
          <w:lang w:val="fr-FR"/>
        </w:rPr>
        <w:t>2</w:t>
      </w:r>
      <w:r w:rsidRPr="00CF0C69">
        <w:rPr>
          <w:lang w:val="fr-FR"/>
        </w:rPr>
        <w:t xml:space="preserve"> Départemen</w:t>
      </w:r>
      <w:r>
        <w:rPr>
          <w:lang w:val="fr-FR"/>
        </w:rPr>
        <w:t>t de Préhistoire, UMR 7194 CNRS –</w:t>
      </w:r>
      <w:r w:rsidRPr="00CF0C69">
        <w:rPr>
          <w:lang w:val="fr-FR"/>
        </w:rPr>
        <w:t xml:space="preserve"> Muséum</w:t>
      </w:r>
      <w:r>
        <w:rPr>
          <w:lang w:val="fr-FR"/>
        </w:rPr>
        <w:t xml:space="preserve"> national d'Histoire naturelle </w:t>
      </w:r>
      <w:r w:rsidRPr="00CF0C69">
        <w:rPr>
          <w:lang w:val="fr-FR"/>
        </w:rPr>
        <w:t>Sorbonne</w:t>
      </w:r>
      <w:r>
        <w:rPr>
          <w:lang w:val="fr-FR"/>
        </w:rPr>
        <w:t xml:space="preserve"> Universités – </w:t>
      </w:r>
      <w:r w:rsidRPr="00CF0C69">
        <w:rPr>
          <w:lang w:val="fr-FR"/>
        </w:rPr>
        <w:t>1</w:t>
      </w:r>
      <w:r>
        <w:rPr>
          <w:lang w:val="fr-FR"/>
        </w:rPr>
        <w:t xml:space="preserve"> rue René Panhard – </w:t>
      </w:r>
      <w:r w:rsidRPr="00CF0C69">
        <w:rPr>
          <w:lang w:val="fr-FR"/>
        </w:rPr>
        <w:t>75013 Paris</w:t>
      </w:r>
      <w:r>
        <w:rPr>
          <w:lang w:val="fr-FR"/>
        </w:rPr>
        <w:t xml:space="preserve"> (France)</w:t>
      </w:r>
    </w:p>
    <w:p w14:paraId="08EAB2D3" w14:textId="77777777" w:rsidR="00204B9A" w:rsidRDefault="00CF0C69" w:rsidP="00CF0C69">
      <w:pPr>
        <w:spacing w:line="259" w:lineRule="auto"/>
        <w:rPr>
          <w:lang w:val="fr-FR"/>
        </w:rPr>
      </w:pPr>
      <w:r w:rsidRPr="00CF0C69">
        <w:rPr>
          <w:lang w:val="fr-FR"/>
        </w:rPr>
        <w:t xml:space="preserve"> </w:t>
      </w:r>
    </w:p>
    <w:p w14:paraId="6C82A966" w14:textId="108ACC32" w:rsidR="004D1018" w:rsidRDefault="004D1018" w:rsidP="00CF0C69">
      <w:pPr>
        <w:spacing w:line="259" w:lineRule="auto"/>
      </w:pPr>
      <w:r w:rsidRPr="004D1018">
        <w:t>Text pages = 10, inclu</w:t>
      </w:r>
      <w:r>
        <w:t>ding</w:t>
      </w:r>
      <w:r w:rsidR="00E35D7D">
        <w:t xml:space="preserve"> references and one</w:t>
      </w:r>
      <w:r>
        <w:t xml:space="preserve"> table</w:t>
      </w:r>
    </w:p>
    <w:p w14:paraId="2337103D" w14:textId="77777777" w:rsidR="004D1018" w:rsidRDefault="004D1018" w:rsidP="00CF0C69">
      <w:pPr>
        <w:spacing w:line="259" w:lineRule="auto"/>
      </w:pPr>
      <w:r>
        <w:t>Total words (excluding references) = 1996.</w:t>
      </w:r>
    </w:p>
    <w:p w14:paraId="7E638C70" w14:textId="77777777" w:rsidR="000F0A65" w:rsidRDefault="000F0A65" w:rsidP="00CF0C69">
      <w:pPr>
        <w:spacing w:line="259" w:lineRule="auto"/>
      </w:pPr>
    </w:p>
    <w:p w14:paraId="4C0FADA8" w14:textId="6AE5E8B1" w:rsidR="000F0A65" w:rsidRDefault="00A43FF5" w:rsidP="00CF0C69">
      <w:pPr>
        <w:spacing w:line="259" w:lineRule="auto"/>
        <w:rPr>
          <w:rFonts w:cs="Arial"/>
          <w:bCs/>
          <w:iCs/>
          <w:color w:val="000000"/>
          <w:szCs w:val="24"/>
        </w:rPr>
      </w:pPr>
      <w:r w:rsidRPr="002F1833">
        <w:rPr>
          <w:rFonts w:cs="Arial"/>
          <w:bCs/>
          <w:iCs/>
          <w:color w:val="000000"/>
          <w:szCs w:val="24"/>
        </w:rPr>
        <w:t xml:space="preserve">This </w:t>
      </w:r>
      <w:r w:rsidR="00C3257D">
        <w:rPr>
          <w:rFonts w:cs="Arial"/>
          <w:bCs/>
          <w:iCs/>
          <w:color w:val="000000"/>
          <w:szCs w:val="24"/>
        </w:rPr>
        <w:t>workshop</w:t>
      </w:r>
      <w:r w:rsidRPr="002F1833">
        <w:rPr>
          <w:rFonts w:cs="Arial"/>
          <w:bCs/>
          <w:iCs/>
          <w:color w:val="000000"/>
          <w:szCs w:val="24"/>
        </w:rPr>
        <w:t xml:space="preserve"> was supported by </w:t>
      </w:r>
      <w:r>
        <w:rPr>
          <w:rFonts w:cs="Arial"/>
          <w:bCs/>
          <w:iCs/>
          <w:color w:val="000000"/>
          <w:szCs w:val="24"/>
        </w:rPr>
        <w:t>a DM McDonald Grant from the McDonald Institute for Archaeological Research (Cambridge, UK) and</w:t>
      </w:r>
      <w:r w:rsidR="002A467C">
        <w:rPr>
          <w:rFonts w:cs="Arial"/>
          <w:bCs/>
          <w:iCs/>
          <w:color w:val="000000"/>
          <w:szCs w:val="24"/>
        </w:rPr>
        <w:t xml:space="preserve"> by</w:t>
      </w:r>
      <w:r>
        <w:rPr>
          <w:rFonts w:cs="Arial"/>
          <w:bCs/>
          <w:iCs/>
          <w:color w:val="000000"/>
          <w:szCs w:val="24"/>
        </w:rPr>
        <w:t xml:space="preserve"> </w:t>
      </w:r>
      <w:r w:rsidRPr="00084893">
        <w:t>the European Union's Horizon 2020 research and</w:t>
      </w:r>
      <w:r>
        <w:t xml:space="preserve"> </w:t>
      </w:r>
      <w:r w:rsidRPr="00084893">
        <w:t>innovatio</w:t>
      </w:r>
      <w:r w:rsidR="00333062">
        <w:t>n programme under the Marie Sk</w:t>
      </w:r>
      <w:r w:rsidR="00333062" w:rsidRPr="00CF0C69">
        <w:t>ł</w:t>
      </w:r>
      <w:r w:rsidR="00333062">
        <w:t>od</w:t>
      </w:r>
      <w:r w:rsidRPr="00084893">
        <w:t>owska-Curie grant agreement No 655459</w:t>
      </w:r>
      <w:r w:rsidRPr="002F1833">
        <w:rPr>
          <w:rFonts w:cs="Arial"/>
          <w:bCs/>
          <w:iCs/>
          <w:color w:val="000000"/>
          <w:szCs w:val="24"/>
        </w:rPr>
        <w:t>.</w:t>
      </w:r>
    </w:p>
    <w:p w14:paraId="22646CCB" w14:textId="77777777" w:rsidR="00576A7D" w:rsidRDefault="00576A7D" w:rsidP="00CF0C69">
      <w:pPr>
        <w:spacing w:line="259" w:lineRule="auto"/>
        <w:rPr>
          <w:rFonts w:cs="Arial"/>
          <w:bCs/>
          <w:iCs/>
          <w:color w:val="000000"/>
          <w:szCs w:val="24"/>
        </w:rPr>
      </w:pPr>
    </w:p>
    <w:p w14:paraId="01AE6557" w14:textId="77777777" w:rsidR="00576A7D" w:rsidRDefault="00576A7D" w:rsidP="00CF0C69">
      <w:pPr>
        <w:spacing w:line="259" w:lineRule="auto"/>
        <w:rPr>
          <w:rFonts w:cs="Arial"/>
          <w:bCs/>
          <w:iCs/>
          <w:color w:val="000000"/>
          <w:szCs w:val="24"/>
        </w:rPr>
      </w:pPr>
    </w:p>
    <w:p w14:paraId="062E6E99" w14:textId="20742105" w:rsidR="00576A7D" w:rsidRPr="00576A7D" w:rsidRDefault="00576A7D" w:rsidP="00576A7D">
      <w:pPr>
        <w:spacing w:line="259" w:lineRule="auto"/>
      </w:pPr>
      <w:r w:rsidRPr="00576A7D">
        <w:t>This is the accepted version of the following article: Leplo</w:t>
      </w:r>
      <w:r>
        <w:t xml:space="preserve">ngeon A. Current approaches and </w:t>
      </w:r>
      <w:r w:rsidRPr="00576A7D">
        <w:t>new directions in lithic analysis: d</w:t>
      </w:r>
      <w:r>
        <w:t>efining, identifying and inter</w:t>
      </w:r>
      <w:r w:rsidRPr="00576A7D">
        <w:t xml:space="preserve">preting variability. </w:t>
      </w:r>
      <w:r>
        <w:t>E</w:t>
      </w:r>
      <w:r w:rsidRPr="00576A7D">
        <w:t>volutionary Anthropo</w:t>
      </w:r>
      <w:r>
        <w:t>logy. 2017;00:000–000.</w:t>
      </w:r>
      <w:r w:rsidRPr="00576A7D">
        <w:t>, which has been published in final</w:t>
      </w:r>
      <w:r>
        <w:t xml:space="preserve"> </w:t>
      </w:r>
      <w:r w:rsidRPr="00576A7D">
        <w:t xml:space="preserve">form at </w:t>
      </w:r>
      <w:r w:rsidRPr="00576A7D">
        <w:t>https://doi.org/10.1002/evan.21530</w:t>
      </w:r>
      <w:r w:rsidRPr="00576A7D">
        <w:t>. This article may be used for non-commercial purposes in accordance with</w:t>
      </w:r>
      <w:r>
        <w:t xml:space="preserve"> </w:t>
      </w:r>
      <w:r w:rsidRPr="00576A7D">
        <w:t>th</w:t>
      </w:r>
      <w:r>
        <w:t>e Wiley Self-Archiving Policy [</w:t>
      </w:r>
      <w:bookmarkStart w:id="0" w:name="_GoBack"/>
      <w:bookmarkEnd w:id="0"/>
      <w:r w:rsidRPr="00576A7D">
        <w:t>http://olabout.wiley.com/WileyCDA/Section/id-828039.html ].</w:t>
      </w:r>
    </w:p>
    <w:p w14:paraId="1A7279EC" w14:textId="77777777" w:rsidR="00576A7D" w:rsidRDefault="00576A7D" w:rsidP="00CF0C69">
      <w:pPr>
        <w:spacing w:line="259" w:lineRule="auto"/>
      </w:pPr>
    </w:p>
    <w:p w14:paraId="6D04852E" w14:textId="1276AA90" w:rsidR="00CF0C69" w:rsidRPr="004D1018" w:rsidRDefault="00CF0C69" w:rsidP="00CF0C69">
      <w:pPr>
        <w:spacing w:line="259" w:lineRule="auto"/>
      </w:pPr>
      <w:r w:rsidRPr="004D1018">
        <w:br w:type="page"/>
      </w:r>
    </w:p>
    <w:p w14:paraId="336BFAD3" w14:textId="752D7C3F" w:rsidR="00BF47A5" w:rsidRPr="00A169C9" w:rsidRDefault="00BF47A5" w:rsidP="00A169C9">
      <w:r w:rsidRPr="00A169C9">
        <w:lastRenderedPageBreak/>
        <w:t>In recent years, much attention has been given to questions such as cultural and technical</w:t>
      </w:r>
      <w:r w:rsidR="00F243E7" w:rsidRPr="00A169C9">
        <w:t xml:space="preserve"> </w:t>
      </w:r>
      <w:r w:rsidRPr="00A169C9">
        <w:t>transitions (</w:t>
      </w:r>
      <w:r w:rsidR="00F344C5" w:rsidRPr="00A169C9">
        <w:t>e.g.</w:t>
      </w:r>
      <w:r w:rsidRPr="00A169C9">
        <w:t xml:space="preserve"> the transition from the Middle</w:t>
      </w:r>
      <w:r w:rsidR="00CE2C98" w:rsidRPr="00A169C9">
        <w:t xml:space="preserve"> (MSA)</w:t>
      </w:r>
      <w:r w:rsidRPr="00A169C9">
        <w:t xml:space="preserve"> to the Late Stone Age</w:t>
      </w:r>
      <w:r w:rsidR="00CE2C98" w:rsidRPr="00A169C9">
        <w:t xml:space="preserve"> (LSA)</w:t>
      </w:r>
      <w:r w:rsidRPr="00A169C9">
        <w:t xml:space="preserve"> in Africa</w:t>
      </w:r>
      <w:r w:rsidR="006669B1" w:rsidRPr="00A169C9">
        <w:t xml:space="preserve"> or from the Middle</w:t>
      </w:r>
      <w:r w:rsidR="00CE2C98" w:rsidRPr="00A169C9">
        <w:t xml:space="preserve"> (MP)</w:t>
      </w:r>
      <w:r w:rsidR="006669B1" w:rsidRPr="00A169C9">
        <w:t xml:space="preserve"> to the Upper Palaeolithic</w:t>
      </w:r>
      <w:r w:rsidR="00CE2C98" w:rsidRPr="00A169C9">
        <w:t xml:space="preserve"> (UP)</w:t>
      </w:r>
      <w:r w:rsidR="006669B1" w:rsidRPr="00A169C9">
        <w:t xml:space="preserve"> in western Eurasia</w:t>
      </w:r>
      <w:r w:rsidRPr="00A169C9">
        <w:t xml:space="preserve">), as well as how the archaeological record may help us </w:t>
      </w:r>
      <w:r w:rsidR="00EF5E0C" w:rsidRPr="00A169C9">
        <w:t>trace</w:t>
      </w:r>
      <w:r w:rsidRPr="00A169C9">
        <w:t xml:space="preserve"> dispersals</w:t>
      </w:r>
      <w:r w:rsidR="002A7C9B" w:rsidRPr="00A169C9">
        <w:t xml:space="preserve"> and cultural connections across space and over time.  </w:t>
      </w:r>
      <w:r w:rsidRPr="00A169C9">
        <w:t xml:space="preserve">Key to these questions is the issue of interpreting </w:t>
      </w:r>
      <w:r w:rsidR="004759F5" w:rsidRPr="00A169C9">
        <w:t>what causes</w:t>
      </w:r>
      <w:r w:rsidRPr="00A169C9">
        <w:t xml:space="preserve"> variability within lithic assemblages</w:t>
      </w:r>
      <w:r w:rsidR="00F243E7" w:rsidRPr="00A169C9">
        <w:t xml:space="preserve">, in order to </w:t>
      </w:r>
      <w:r w:rsidR="004759F5" w:rsidRPr="00A169C9">
        <w:t xml:space="preserve">distinguish cultural diffusion </w:t>
      </w:r>
      <w:r w:rsidR="00F243E7" w:rsidRPr="00A169C9">
        <w:t>from convergence</w:t>
      </w:r>
      <w:r w:rsidRPr="00A169C9">
        <w:t xml:space="preserve">. </w:t>
      </w:r>
      <w:r w:rsidR="00F243E7" w:rsidRPr="00A169C9">
        <w:t>R</w:t>
      </w:r>
      <w:r w:rsidRPr="00A169C9">
        <w:t>esearchers are applying different approaches to the analysis of lithic assemblages in order to best highlight differences and similarities</w:t>
      </w:r>
      <w:r w:rsidR="002A7C9B" w:rsidRPr="00A169C9">
        <w:t xml:space="preserve">. These can be placed within theoretical and conceptual frameworks that may inform us about the </w:t>
      </w:r>
      <w:r w:rsidRPr="00A169C9">
        <w:t>contact</w:t>
      </w:r>
      <w:r w:rsidR="002A7C9B" w:rsidRPr="00A169C9">
        <w:t>s</w:t>
      </w:r>
      <w:r w:rsidRPr="00A169C9">
        <w:t xml:space="preserve"> between human populations, either in time (vertical cultural transmission) or in space (horizontal cultural transmission).</w:t>
      </w:r>
    </w:p>
    <w:p w14:paraId="508234C3" w14:textId="77777777" w:rsidR="00BF47A5" w:rsidRPr="00A169C9" w:rsidRDefault="00BF47A5" w:rsidP="00A169C9"/>
    <w:p w14:paraId="2E2EFAF4" w14:textId="30501DA2" w:rsidR="00835444" w:rsidRPr="00A169C9" w:rsidRDefault="00F243E7" w:rsidP="00A169C9">
      <w:r w:rsidRPr="00A169C9">
        <w:t>T</w:t>
      </w:r>
      <w:r w:rsidR="004759F5" w:rsidRPr="00A169C9">
        <w:t xml:space="preserve">he </w:t>
      </w:r>
      <w:r w:rsidR="00727ECE" w:rsidRPr="00A169C9">
        <w:t>“Mousterian debate”</w:t>
      </w:r>
      <w:r w:rsidRPr="00A169C9">
        <w:t xml:space="preserve"> </w:t>
      </w:r>
      <w:r w:rsidR="00CA205F" w:rsidRPr="00A169C9">
        <w:t>is</w:t>
      </w:r>
      <w:r w:rsidR="004759F5" w:rsidRPr="00A169C9">
        <w:t xml:space="preserve"> a</w:t>
      </w:r>
      <w:r w:rsidR="00727ECE" w:rsidRPr="00A169C9">
        <w:t xml:space="preserve"> classic example</w:t>
      </w:r>
      <w:r w:rsidR="004759F5" w:rsidRPr="00A169C9">
        <w:t xml:space="preserve"> of how different approaches</w:t>
      </w:r>
      <w:r w:rsidR="001229D9" w:rsidRPr="00A169C9">
        <w:t xml:space="preserve"> to lithic variability</w:t>
      </w:r>
      <w:r w:rsidR="004759F5" w:rsidRPr="00A169C9">
        <w:t xml:space="preserve"> le</w:t>
      </w:r>
      <w:r w:rsidR="00727ECE" w:rsidRPr="00A169C9">
        <w:t xml:space="preserve">d to </w:t>
      </w:r>
      <w:r w:rsidR="004759F5" w:rsidRPr="00A169C9">
        <w:t>d</w:t>
      </w:r>
      <w:r w:rsidR="00727ECE" w:rsidRPr="00A169C9">
        <w:t xml:space="preserve">iverse </w:t>
      </w:r>
      <w:r w:rsidR="00B50F47" w:rsidRPr="00A169C9">
        <w:t xml:space="preserve">(sometimes opposed) </w:t>
      </w:r>
      <w:r w:rsidR="00727ECE" w:rsidRPr="00A169C9">
        <w:t>interpretations of the lithic record</w:t>
      </w:r>
      <w:r w:rsidR="00CA205F" w:rsidRPr="00A169C9">
        <w:t xml:space="preserve"> </w:t>
      </w:r>
      <w:r w:rsidR="00CA205F" w:rsidRPr="00A169C9">
        <w:fldChar w:fldCharType="begin"/>
      </w:r>
      <w:r w:rsidR="001D2F79" w:rsidRPr="00A169C9">
        <w:instrText xml:space="preserve"> ADDIN ZOTERO_ITEM CSL_CITATION {"citationID":"3TJjvhDA","properties":{"formattedCitation":"{\\rtf (e.g. Binford, 1973; Bordes, 1950; Bordes &amp; Sonneville\\uc0\\u8208{}Bordes, 1970; and see Dibble, 1987; Rolland &amp; Dibble, 1990 for another facet of the debate)}","plainCitation":"(e.g. Binford, 1973; Bordes, 1950; Bordes &amp; Sonneville‐Bordes, 1970; and see Dibble, 1987; Rolland &amp; Dibble, 1990 for another facet of the debate)"},"citationItems":[{"id":601,"uris":["http://zotero.org/users/389416/items/KEMJSZJW"],"uri":["http://zotero.org/users/389416/items/KEMJSZJW"],"itemData":{"id":601,"type":"article-journal","title":"Interassemblage variability: The Mousterian and the functional argument","container-title":"The explanation of culture change","page":"227–254","source":"Google Scholar","shortTitle":"Interassemblage variability","author":[{"family":"Binford","given":"Lewis R."}],"issued":{"date-parts":[["1973"]]}},"label":"page","prefix":"e.g."},{"id":1289,"uris":["http://zotero.org/users/389416/items/4VTKFCCT"],"uri":["http://zotero.org/users/389416/items/4VTKFCCT"],"itemData":{"id":1289,"type":"article-journal","title":"L'évolution buissonnante des industries en Europe occidentale: considérations théoriques sur le Paléolithique ancien et moyen","container-title":"L'Anthropologie","page":"393-420","volume":"54","source":"Google Scholar","shortTitle":"L'évolution buissonnante des industries en Europe occidentale","author":[{"family":"Bordes","given":"Francois"}],"issued":{"date-parts":[["1950"]]}},"label":"page"},{"id":1283,"uris":["http://zotero.org/users/389416/items/AK2KA2PP"],"uri":["http://zotero.org/users/389416/items/AK2KA2PP"],"itemData":{"id":1283,"type":"article-journal","title":"The significance of variability in Palaeolithic assemblages","container-title":"World Archaeology","page":"61-73","volume":"2","issue":"1","source":"Taylor and Francis+NEJM","abstract":"Statistical analysis of Mousterian assemblages shows that they can be classified into several discrete types. It remains to explain the reasons for these differences. Two main points of view are possible: either they represent different traditions, or they represent different activities carried on at different places or times by essentially the same kind of people. The authors give their reasons for favouring the former interpretation.","DOI":"10.1080/00438243.1970.9979464","ISSN":"0043-8243","author":[{"family":"Bordes","given":"Francois"},{"family":"Sonneville‐Bordes","given":"Denise","dropping-particle":"de"}],"issued":{"date-parts":[["1970",6,1]]}},"label":"page"},{"id":1333,"uris":["http://zotero.org/users/389416/items/FB4UX6XJ"],"uri":["http://zotero.org/users/389416/items/FB4UX6XJ"],"itemData":{"id":1333,"type":"article-journal","title":"The interpretation of Middle Paleolithic scraper morphology","container-title":"American antiquity","page":"109–117","source":"Google Scholar","author":[{"family":"Dibble","given":"Harold L."}],"issued":{"date-parts":[["1987"]]}},"label":"page","prefix":"and see"},{"id":1293,"uris":["http://zotero.org/users/389416/items/9PXNSTKX"],"uri":["http://zotero.org/users/389416/items/9PXNSTKX"],"itemData":{"id":1293,"type":"article-journal","title":"A New Synthesis of Middle Paleolithic Variability","container-title":"American Antiquity","page":"480-499","volume":"55","issue":"3","source":"JSTOR","abstract":"The familiar debate concerning Middle Paleolithic variability has opposed stylistic vs. functional explanations based on the assumption that tool types and assemblage groups represent discrete, invariant entities. Middle Paleolithic variability, however, actually occurs continuously. Further, recent research shows that raw-material constraints and different degrees of artifact-reduction intensity constitute more basic and observable factors of variability than function and style. Thus, much of the variability in these assemblages appears to have been caused by toolmaking and tool-rejuvenation processes and/or by differential occupation intensity induced by environmental circumstances. The correct interpretation of these Middle Paleolithic assemblages must therefore consider these factors, as well as interregional stylistic drift, function, and diachronic change.","DOI":"10.2307/281279","ISSN":"0002-7316","journalAbbreviation":"American Antiquity","author":[{"family":"Rolland","given":"Nicolas"},{"family":"Dibble","given":"Harold L."}],"issued":{"date-parts":[["1990"]]}},"label":"page","suffix":"for another facet of the debate"}],"schema":"https://github.com/citation-style-language/schema/raw/master/csl-citation.json"} </w:instrText>
      </w:r>
      <w:r w:rsidR="00CA205F" w:rsidRPr="00A169C9">
        <w:fldChar w:fldCharType="separate"/>
      </w:r>
      <w:r w:rsidR="001D2F79" w:rsidRPr="00A169C9">
        <w:t>(e.g.</w:t>
      </w:r>
      <w:r w:rsidR="000A5935">
        <w:t>,</w:t>
      </w:r>
      <w:r w:rsidR="001D2F79" w:rsidRPr="00A169C9">
        <w:t xml:space="preserve"> Binford, 1973; Bordes, 1950; Bordes &amp; Sonneville</w:t>
      </w:r>
      <w:r w:rsidR="00084893">
        <w:t>-</w:t>
      </w:r>
      <w:r w:rsidR="001D2F79" w:rsidRPr="00A169C9">
        <w:t xml:space="preserve">Bordes, 1970; and see Dibble, 1987; Rolland &amp; Dibble, 1990 for another </w:t>
      </w:r>
      <w:r w:rsidR="0064117A" w:rsidRPr="00A169C9">
        <w:t>aspect</w:t>
      </w:r>
      <w:r w:rsidR="001D2F79" w:rsidRPr="00A169C9">
        <w:t xml:space="preserve"> of the debate)</w:t>
      </w:r>
      <w:r w:rsidR="00CA205F" w:rsidRPr="00A169C9">
        <w:fldChar w:fldCharType="end"/>
      </w:r>
      <w:r w:rsidR="00727ECE" w:rsidRPr="00A169C9">
        <w:t xml:space="preserve">. </w:t>
      </w:r>
      <w:r w:rsidR="005B6016" w:rsidRPr="00A169C9">
        <w:t xml:space="preserve">Nowadays, lithic analyses are still, </w:t>
      </w:r>
      <w:r w:rsidR="00727ECE" w:rsidRPr="00A169C9">
        <w:t>to some extent, divided into two broad groups</w:t>
      </w:r>
      <w:r w:rsidR="004759F5" w:rsidRPr="00A169C9">
        <w:t>:</w:t>
      </w:r>
      <w:r w:rsidR="00727ECE" w:rsidRPr="00A169C9">
        <w:t xml:space="preserve"> the qualitative </w:t>
      </w:r>
      <w:r w:rsidR="00727ECE" w:rsidRPr="004D1018">
        <w:rPr>
          <w:i/>
        </w:rPr>
        <w:t>chaîne opératoire</w:t>
      </w:r>
      <w:r w:rsidR="00727ECE" w:rsidRPr="00A169C9">
        <w:t xml:space="preserve"> approach</w:t>
      </w:r>
      <w:r w:rsidR="00F62B0F" w:rsidRPr="00A169C9">
        <w:t xml:space="preserve">, which </w:t>
      </w:r>
      <w:r w:rsidR="002A7C9B" w:rsidRPr="00A169C9">
        <w:t xml:space="preserve">has </w:t>
      </w:r>
      <w:r w:rsidR="0007554D" w:rsidRPr="00A169C9">
        <w:t xml:space="preserve">been built in part against </w:t>
      </w:r>
      <w:r w:rsidR="00C245A2" w:rsidRPr="00A169C9">
        <w:t>the use of the Bordian typology</w:t>
      </w:r>
      <w:r w:rsidR="002A7C9B" w:rsidRPr="00A169C9">
        <w:t xml:space="preserve"> leading to</w:t>
      </w:r>
      <w:r w:rsidR="00C245A2" w:rsidRPr="00A169C9">
        <w:t xml:space="preserve"> a rejection of piece-by-piece analysis and formal quantification </w:t>
      </w:r>
      <w:r w:rsidR="002D6E50" w:rsidRPr="00A169C9">
        <w:fldChar w:fldCharType="begin"/>
      </w:r>
      <w:r w:rsidR="0064117A" w:rsidRPr="00A169C9">
        <w:instrText xml:space="preserve"> ADDIN ZOTERO_ITEM CSL_CITATION {"citationID":"AzhcZXPh","properties":{"formattedCitation":"(Soressi &amp; Geneste, 2011)","plainCitation":"(Soressi &amp; Geneste, 2011)"},"citationItems":[{"id":1318,"uris":["http://zotero.org/users/389416/items/ABCZVGWI"],"uri":["http://zotero.org/users/389416/items/ABCZVGWI"],"itemData":{"id":1318,"type":"article-journal","title":"Special Issue: Reduction Sequence, Chaîne Opératoire, and Other Methods: The Epistemologies of Different Approaches to Lithic Analysis. The History and Efficacy of the Chaîne Opératoire Approach to Lithic Analysis: Studying Techniques to Reveal Past Societies in an Evolutionary Perspective.","container-title":"PaleoAnthropology","page":"334-350","author":[{"family":"Soressi","given":"M."},{"family":"Geneste","given":"J.M."}],"issued":{"date-parts":[["2011"]]}},"label":"page"}],"schema":"https://github.com/citation-style-language/schema/raw/master/csl-citation.json"} </w:instrText>
      </w:r>
      <w:r w:rsidR="002D6E50" w:rsidRPr="00A169C9">
        <w:fldChar w:fldCharType="separate"/>
      </w:r>
      <w:r w:rsidR="0064117A" w:rsidRPr="00A169C9">
        <w:t>(Soressi &amp; Geneste, 2011)</w:t>
      </w:r>
      <w:r w:rsidR="002D6E50" w:rsidRPr="00A169C9">
        <w:fldChar w:fldCharType="end"/>
      </w:r>
      <w:r w:rsidR="00C245A2" w:rsidRPr="00A169C9">
        <w:t>,</w:t>
      </w:r>
      <w:r w:rsidR="00727ECE" w:rsidRPr="00A169C9">
        <w:t xml:space="preserve"> and the quantitative attribute analysis approach</w:t>
      </w:r>
      <w:r w:rsidR="00C262A7" w:rsidRPr="00A169C9">
        <w:t xml:space="preserve"> </w:t>
      </w:r>
      <w:r w:rsidR="00C262A7" w:rsidRPr="00A169C9">
        <w:fldChar w:fldCharType="begin"/>
      </w:r>
      <w:r w:rsidR="00C831F6" w:rsidRPr="00A169C9">
        <w:instrText xml:space="preserve"> ADDIN ZOTERO_ITEM CSL_CITATION {"citationID":"AsH1DvsY","properties":{"formattedCitation":"(e.g. Andrefsky, 2005; Clarke, 1968; Shott, 1994)","plainCitation":"(e.g. Andrefsky, 2005; Clarke, 1968; Shott, 1994)"},"citationItems":[{"id":1404,"uris":["http://zotero.org/users/389416/items/BAGJQK9X"],"uri":["http://zotero.org/users/389416/items/BAGJQK9X"],"itemData":{"id":1404,"type":"book","title":"Lithics: Macroscopic Approaches to Analysis (Cambridge Manuals in Archaeology)","publisher":"Cambridge University Press","publisher-place":"Cambridge","edition":"1st ed 1998","source":"Google Scholar","event-place":"Cambridge","shortTitle":"Lithics","author":[{"family":"Andrefsky","given":"W."}],"issued":{"date-parts":[["2005"]]}},"label":"page","prefix":"e.g."},{"id":1360,"uris":["http://zotero.org/users/389416/items/I4W8KC8T"],"uri":["http://zotero.org/users/389416/items/I4W8KC8T"],"itemData":{"id":1360,"type":"book","title":"Analytical Archaeology","publisher":"Routledge","number-of-pages":"551","source":"Google Books","abstract":"This study was well-established as a pioneer work on archaeological methodology, the theoretical basis of all archaeological analysis whatever the period or era. The first edition of the book presented and evaluated the radical changes in methodology which derived from developments in other disciplines, such as cybernetics, computer science and geography, during the 1950s and ‘60s. It argued that archaeology was a coherent discipline with its own methods and procedures and attempted to define the entities (attributes, artefacts, types, assemblages, cultures and culture groups) rigorously and consistently so that they could be applied to archaeological data. The later edition continued the same general theory, which is unparalleled in its scope and depth, adding notes to help understanding of the advances in method and theory to support the student and professional archaeologist.  Review of the original publication: \"One might venture that this is the most important archaeological work for twenty or thirty years, and it will undoubtedly influence several future generations of archaeologists.\" The Times Literary Supplement","ISBN":"978-1-317-60621-5","note":"Google-Books-ID: 8BQcBQAAQBAJ","language":"en","author":[{"family":"Clarke","given":"David L."}],"issued":{"date-parts":[["1968"]]}},"label":"page"},{"id":1405,"uris":["http://zotero.org/users/389416/items/DVI4S3DN"],"uri":["http://zotero.org/users/389416/items/DVI4S3DN"],"itemData":{"id":1405,"type":"article-journal","title":"Size and form in the analysis of flake debris: Review and recent approaches","container-title":"Journal of Archaeological Method and Theory","page":"69-110","volume":"1","issue":"1","source":"link.springer.com","abstract":"Flake debris — the by-product of lithic reduction — is abundant, not subject to uncontrolled collection, and sometimes culturally diagnostic. Its greatest virtue, however, is in registering the kinds and amounts of toolmaking and tool-using behavior that curated tools themselves may not. Most debris studies emphasize formal dimensions, yet even the best approaches assume rather than demonstrate a relationship between behavior and formal variation. Moreover, the diversity of formal typologies hinders interassemblage comparison. Progress in debris analysis has two prerequisites: (1) a minimum attribute set for individual flakes and (2) the combination of formal and continuous approaches to variation. Preliminary study suggests that Ahler's mass-analysis model and log skew Laplace functions hold particular promise for behavioral interpretation from debris assemblages.","DOI":"10.1007/BF02229424","ISSN":"1072-5369, 1573-7764","shortTitle":"Size and form in the analysis of flake debris","journalAbbreviation":"J Archaeol Method Theory","language":"en","author":[{"family":"Shott","given":"Michael J."}],"issued":{"date-parts":[["1994",3,1]]}},"label":"page"}],"schema":"https://github.com/citation-style-language/schema/raw/master/csl-citation.json"} </w:instrText>
      </w:r>
      <w:r w:rsidR="00C262A7" w:rsidRPr="00A169C9">
        <w:fldChar w:fldCharType="separate"/>
      </w:r>
      <w:r w:rsidR="00C831F6" w:rsidRPr="00A169C9">
        <w:t>(e.g.</w:t>
      </w:r>
      <w:r w:rsidR="000A5935">
        <w:t>,</w:t>
      </w:r>
      <w:r w:rsidR="00C831F6" w:rsidRPr="00A169C9">
        <w:t xml:space="preserve"> Andrefsky, 2005; Clarke, 1968; Shott, 1994)</w:t>
      </w:r>
      <w:r w:rsidR="00C262A7" w:rsidRPr="00A169C9">
        <w:fldChar w:fldCharType="end"/>
      </w:r>
      <w:r w:rsidR="00CB7625" w:rsidRPr="00A169C9">
        <w:t>, which relies on a piece-by-piece study following a predetermined grid</w:t>
      </w:r>
      <w:r w:rsidR="00727ECE" w:rsidRPr="00A169C9">
        <w:t>.</w:t>
      </w:r>
      <w:r w:rsidR="00CB7625" w:rsidRPr="00A169C9">
        <w:t xml:space="preserve"> </w:t>
      </w:r>
      <w:r w:rsidR="00835444" w:rsidRPr="00A169C9">
        <w:t xml:space="preserve">Recently however, </w:t>
      </w:r>
      <w:r w:rsidR="004531E2" w:rsidRPr="00A169C9">
        <w:t>other approaches were added</w:t>
      </w:r>
      <w:r w:rsidR="00835444" w:rsidRPr="00A169C9">
        <w:t xml:space="preserve">, combining the two types of analyses </w:t>
      </w:r>
      <w:r w:rsidR="00204B40" w:rsidRPr="00A169C9">
        <w:fldChar w:fldCharType="begin"/>
      </w:r>
      <w:r w:rsidR="0015796B" w:rsidRPr="00A169C9">
        <w:instrText xml:space="preserve"> ADDIN ZOTERO_ITEM CSL_CITATION {"citationID":"VaRdMorT","properties":{"formattedCitation":"(e.g. Hovers, 2009; Nigst, 2012; Scerri, Gravina, Blinkhorn, &amp; Delagnes, 2016; Tostevin, 2012)","plainCitation":"(e.g. Hovers, 2009; Nigst, 2012; Scerri, Gravina, Blinkhorn, &amp; Delagnes, 2016; Tostevin, 2012)"},"citationItems":[{"id":908,"uris":["http://zotero.org/users/389416/items/VFCAMANT"],"uri":["http://zotero.org/users/389416/items/VFCAMANT"],"itemData":{"id":908,"type":"book","title":"The lithic assemblages of Qafzeh Cave","publisher":"Oxford University Press","source":"Google Scholar","author":[{"family":"Hovers","given":"Erella"}],"issued":{"date-parts":[["2009"]]}},"label":"page","prefix":"e.g."},{"id":1402,"uris":["http://zotero.org/users/389416/items/HQUKK8WN"],"uri":["http://zotero.org/users/389416/items/HQUKK8WN"],"itemData":{"id":1402,"type":"book","title":"The Early Upper Palaeolithic of the Middle Danube Region","publisher":"Leiden University Press","publisher-place":"Leiden","event-place":"Leiden","abstract":"The Early Upper Palaeolithic (EUP) record throughout Europe is characterized by major changes in human behaviour. Different models explaining these changes and the emergence of the EUP have been proposed over the past decades. The research presented in this volume focuses on answering the question of whether the EUP changes in human behaviour are due to local evolution or diffusion processes. Using a methodology that includes an attribute analysis and quantifies the differences between assemblages the models of local evolution, diffusion, and stimulus diffusion are tested against the archaeological record of the Middle Danube region that shows a variability of EUP technocomplexes (Szeletian, Bohunician, Aurignacian). The results suggest that the development of the Szeletian is not an independent process but rather results from diffusion at the time of the modern human dispersal into Europe as manifested by the Bohunician.","URL":"https://openaccess.leidenuniv.nl/handle/1887/33996","language":"en","author":[{"family":"Nigst","given":"Philip R."}],"issued":{"date-parts":[["2012"]]},"accessed":{"date-parts":[["2016",12,22]]}},"label":"page"},{"id":1323,"uris":["http://zotero.org/users/389416/items/HDM724VS"],"uri":["http://zotero.org/users/389416/items/HDM724VS"],"itemData":{"id":1323,"type":"article-journal","title":"Can Lithic Attribute Analyses Identify Discrete Reduction Trajectories? A Quantitative Study Using Refitted Lithic Sets","container-title":"Journal of Archaeological Method and Theory","page":"669-691","volume":"23","issue":"2","source":"link.springer.com","abstract":"Quantitative, attribute-based analyses of stone tools (lithics) have been frequently used to facilitate large-scale comparative studies, attempt to mitigate problems of assemblage completeness and address interpretations of the co-occurrence of unrelated technological processes. However, a major barrier to the widespread acceptance of such methods has been the lack of quantified experiments that can be externally validated by theoretically distinct approaches in order to guide analysis and confidence in results. Given that quantitative, attribute-based studies now underpin several major interpretations of the archaeological record, the requirement to test the accuracy of such methods has become critical. In this paper, we test the utility of 31 commonly used flake attribute measurements for identifying discrete reduction trajectories through three refitted lithic sets from the Middle Palaeolithic open-air site of Le Pucheuil, in northern France. The experiment had three aims: (1) to determine which, if any, attribute measurements could be used to separate individual refitted sets, (2) to determine whether variability inherent in the assemblage was primarily driven by different reduction trajectories, as represented by the refitted sets, or other factors, and (3) to determine which multivariate tests were most suitable for these analyses. In order to test the sensitivity of the sample, we ran all analyses twice, the first time with all the available lithics pertaining to each refitted set and the second time with randomly generated 75 % subsamples of each set. All results revealed the consistent accuracy of 16 attribute measurements in quadratic and linear discriminant analyses, principal component analyses and dissimilarity matrices. These results therefore provide the first quantified attribute formula for comparative analyses of Levallois reduction methods and a basis from which further experiments testing core and retouch attributes may be conducted.","DOI":"10.1007/s10816-015-9255-x","ISSN":"1072-5369, 1573-7764","shortTitle":"Can Lithic Attribute Analyses Identify Discrete Reduction Trajectories?","journalAbbreviation":"J Archaeol Method Theory","language":"en","author":[{"family":"Scerri","given":"Eleanor M. L."},{"family":"Gravina","given":"Brad"},{"family":"Blinkhorn","given":"James"},{"family":"Delagnes","given":"Anne"}],"issued":{"date-parts":[["2016",6,1]]}},"label":"page"},{"id":1159,"uris":["http://zotero.org/users/389416/items/WZWJ6SDN"],"uri":["http://zotero.org/users/389416/items/WZWJ6SDN"],"itemData":{"id":1159,"type":"book","title":"Seeing Lithics: A Middle-Range Theory for Testing for Cultural Transmission in the Pleistocene","publisher":"Oxbow Books","publisher-place":"Oxford","number-of-pages":"608","source":"Amazon","event-place":"Oxford","abstract":"There is substantial debate over the extent to which the Middle to Upper Paleolithic transition and the dispersal of anatomically modern humans from Africa into Eurasia at the end of the Pleistocene were the result of the same process, related processes, or unrelated but coincident processes. The current debate shows a gap in archaeological method and theory for understanding how different cultural transmission processes create patterning in the material culture of foragers at the resolution of Paleolithic palimpsests. This research project attempts to bridge this gap with a middle-range theory connecting cultural transmission and dual inheritance theory with the archaeological study of flintknappers flake-by-flake choices in the production of lithic assemblages. The project thus combines a new middle-range theory as well as a new approach to characterizing Paleolithic assemblages for systematic comparison of units of analysis appropriate to distinguishing forces of change in cultural evolution.","ISBN":"978-1-84217-527-9","shortTitle":"Seeing Lithics","language":"English","author":[{"family":"Tostevin","given":"Gilbert B."}],"issued":{"date-parts":[["2012"]]}},"label":"page"}],"schema":"https://github.com/citation-style-language/schema/raw/master/csl-citation.json"} </w:instrText>
      </w:r>
      <w:r w:rsidR="00204B40" w:rsidRPr="00A169C9">
        <w:fldChar w:fldCharType="separate"/>
      </w:r>
      <w:r w:rsidR="0015796B" w:rsidRPr="00A169C9">
        <w:t>(e.g.</w:t>
      </w:r>
      <w:r w:rsidR="00084893">
        <w:t>,</w:t>
      </w:r>
      <w:r w:rsidR="0015796B" w:rsidRPr="00A169C9">
        <w:t xml:space="preserve"> Hovers, 2009; Nigst, 2012; Scerri et al., 2016; Tostevin, 2012)</w:t>
      </w:r>
      <w:r w:rsidR="00204B40" w:rsidRPr="00A169C9">
        <w:fldChar w:fldCharType="end"/>
      </w:r>
      <w:r w:rsidR="00835444" w:rsidRPr="00A169C9">
        <w:t xml:space="preserve">. At the same </w:t>
      </w:r>
      <w:r w:rsidR="00300314" w:rsidRPr="00A169C9">
        <w:t>time, new technologies such as the use of 2</w:t>
      </w:r>
      <w:r w:rsidR="00835444" w:rsidRPr="00A169C9">
        <w:t xml:space="preserve">D </w:t>
      </w:r>
      <w:r w:rsidR="00300314" w:rsidRPr="00A169C9">
        <w:t xml:space="preserve">and 3D digital images </w:t>
      </w:r>
      <w:r w:rsidR="00835444" w:rsidRPr="00A169C9">
        <w:t>of artefacts</w:t>
      </w:r>
      <w:r w:rsidR="00394D21" w:rsidRPr="00A169C9">
        <w:t xml:space="preserve"> </w:t>
      </w:r>
      <w:r w:rsidR="00C70647" w:rsidRPr="00A169C9">
        <w:fldChar w:fldCharType="begin"/>
      </w:r>
      <w:r w:rsidR="001E13DC" w:rsidRPr="00A169C9">
        <w:instrText xml:space="preserve"> ADDIN ZOTERO_ITEM CSL_CITATION {"citationID":"mEoDiHWK","properties":{"formattedCitation":"{\\rtf (e.g. Bretzke &amp; Conard, 2012; Chac\\uc0\\u243{}n, D\\uc0\\u233{}troit, Coudenneau, &amp; Moncel, 2016; Dogand\\uc0\\u382{}i\\uc0\\u263{}, Braun, &amp; McPherron, 2015; Grosman, 2016)}","plainCitation":"(e.g. Bretzke &amp; Conard, 2012; Chacón, Détroit, Coudenneau, &amp; Moncel, 2016; Dogandžić, Braun, &amp; McPherron, 2015; Grosman, 2016)"},"citationItems":[{"id":1095,"uris":["http://zotero.org/users/389416/items/5HJ2G8UJ"],"uri":["http://zotero.org/users/389416/items/5HJ2G8UJ"],"itemData":{"id":1095,"type":"article-journal","title":"Evaluating morphological variability in lithic assemblages using 3D models of stone artifacts","container-title":"Journal of Archaeological Science","page":"3741-3749","volume":"39","issue":"12","source":"ScienceDirect","abstract":"Technological and morphological variability in lithic artifacts is commonly used to identify taxonomic entities in Paleolithic research contexts. Assemblages are mainly studied using either linear distance measurements or qualitative assessments of morphologies. Here, we present a method to quantify morphological variability in lithic artifacts using 3D models of stone artifacts. Our study on the sequence of the Upper Paleolithic layers V–I from the site Yabroud II in western Syria, demonstrates that utilizing 3D models provides a new insight into the variability of lithic technologies. We use quantitative data on convexities, twist and scar patterns on cores and blades, attributes previously not readily quantifiable, to trace technological change through the archaeological sequence. We are able to identify differences and translate these findings into a grouping of the layers. While layers VI–II are characterized by technological continuity and were grouped together, layers V and I can be separated from this group and represent technologically different groups chronologically before and after. Our results demonstrate the potential of 3D models for studying morphological variability in lithic assemblages.","DOI":"10.1016/j.jas.2012.06.039","ISSN":"0305-4403","journalAbbreviation":"Journal of Archaeological Science","author":[{"family":"Bretzke","given":"Knut"},{"family":"Conard","given":"Nicholas J."}],"issued":{"date-parts":[["2012",12]]}},"label":"page","prefix":"e.g."},{"id":1104,"uris":["http://zotero.org/users/389416/items/ITVAFQTU"],"uri":["http://zotero.org/users/389416/items/ITVAFQTU"],"itemData":{"id":1104,"type":"article-journal","title":"Morphometric Assessment of Convergent Tool Technology and Function during the Early Middle Palaeolithic: The Case of Payre, France","container-title":"PLOS ONE","page":"e0155316","volume":"11","issue":"5","source":"PLoS Journals","abstract":"There appears to be little doubt as to the existence of an intentional technological resolve to produce convergent tools during the Middle Palaeolithic. However, the use of these pieces as pointed tools is still subject to debate: i.e., handheld tool vs. hafted tool. Present-day technological analysis has begun to apply new methodologies in order to quantify shape variability and to decipher the role of the morphology of these pieces in relation to function; for instance, geometric morphometric analyses have recently been applied with successful results. This paper presents a study of this type of analysis on 37 convergent tools from level Ga of Payre site (France), dated to MIS 8–7. These pieces are non-standardized knapping products produced by discoidal and orthogonal core technologies. Moreover, macro-wear studies attest to various activities on diverse materials with no evidence of hafting or projectile use. The aim of this paper is to test the geometric morphometric approach on non-standardized artefacts applying the Elliptical Fourier analysis (EFA) to 3D contours and to assess the potential relationship between size and shape, technology and function. This study is innovative in that it is the first time that this method, considered to be a valuable complement for describing technological and functional attributes, is applied to 3D contours of lithic products. Our results show that this methodology ensures a very good degree of accuracy in describing shape variations of the sharp edges of technologically non-standardized convergent tools. EFA on 3D contours indicates variations in deviations of the outline along the third dimension (i.e., dorso-ventrally) and yields quantitative and insightful information on the actual shape variations of tools. Several statistically significant relationships are found between shape variation and use-wear attributes, though the results emphasize the large variability of the shape of the convergent tools, which, in general, does not show a strong direct association with technological features and function. This is in good agreement with the technological context of this chronological period, characterized by a wide diversity of non-standardized tools adapted to multipurpose functions for varied subsistence activities.","DOI":"10.1371/journal.pone.0155316","ISSN":"1932-6203","shortTitle":"Morphometric Assessment of Convergent Tool Technology and Function during the Early Middle Palaeolithic","journalAbbreviation":"PLOS ONE","author":[{"family":"Chacón","given":"M. Gema"},{"family":"Détroit","given":"Florent"},{"family":"Coudenneau","given":"Aude"},{"family":"Moncel","given":"Marie-Hélène"}],"issued":{"date-parts":[["2016",5,18]]}},"label":"page"},{"id":1359,"uris":["http://zotero.org/users/389416/items/SPK8C92B"],"uri":["http://zotero.org/users/389416/items/SPK8C92B"],"itemData":{"id":1359,"type":"article-journal","title":"Edge Length and Surface Area of a Blank: Experimental Assessment of Measures, Size Predictions and Utility","container-title":"PLOS ONE","page":"e0133984","volume":"10","issue":"9","source":"PLoS Journals","abstract":"Blank size and form represent one of the main sources of variation in lithic assemblages. They reflect economic properties of blanks and factors such as efficiency and use life. These properties require reliable measures of size, namely edge length and surface area. These measures, however, are not easily captured with calipers. Most attempts to quantify these features employ estimates; however, the efficacy of these estimations for measuring critical features such as blank surface area and edge length has never been properly evaluated. In addition, these parameters are even more difficult to acquire for retouched implements as their original size and hence indication of their previous utility have been lost. It has been suggested, in controlled experimental conditions, that two platform variables, platform thickness and exterior platform angle, are crucial in determining blank size and shape meaning that knappers can control the interaction between size and efficiency by selecting specific core angles and controlling where fracture is initiated. The robustness of these models has rarely been tested and confirmed in context other than controlled experiments. In this paper, we evaluate which currently employed caliper measurement methods result in the highest accuracy of size estimations of blanks, and we evaluate how platform variables can be used to indirectly infer aspects of size on retouched artifacts. Furthermore, we investigate measures of different platform management strategies that control the shape and size of artifacts. To investigate these questions, we created an experimental lithic assemblage, we digitized images to calculate 2D surface area and edge length, which are used as a point of comparison for the caliper measurements and additional analyses. The analysis of aspects of size determinations and the utility of blanks contributes to our understanding of the technological strategies of prehistoric knappers and what economic decisions they made during process of blank production.","DOI":"10.1371/journal.pone.0133984","ISSN":"1932-6203","shortTitle":"Edge Length and Surface Area of a Blank","journalAbbreviation":"PLOS ONE","author":[{"family":"Dogandžić","given":"Tamara"},{"family":"Braun","given":"David R."},{"family":"McPherron","given":"Shannon P."}],"issued":{"date-parts":[["2015",9,2]]}},"label":"page"},{"id":1324,"uris":["http://zotero.org/users/389416/items/MSRFEA2A"],"uri":["http://zotero.org/users/389416/items/MSRFEA2A"],"itemData":{"id":1324,"type":"article-journal","title":"Reaching the Point of No Return: The Computational Revolution in Archaeology","container-title":"Annual Review of Anthropology","page":"129-145","volume":"45","issue":"1","source":"Annual Reviews","abstract":"Archaeologists generally agree that high-power computer technology constitutes the most efficient venue for addressing many issues in archaeological research. Digital techniques have become indispensable components of archaeological surveys, fieldwork, lab work, and communication between researchers. One of the greatest advantages of the digital approach is its ability to examine large assemblages of items using advanced statistical methods. Digital documentation has reached the point of no return in archaeological research, and reverting to traditional methods is highly improbable. However, digital data may also contain additional information that has yet to be extracted by computer analysis. In this arena, new computer algorithms can be triggered by research questions that cannot be addressed without digital models.","DOI":"10.1146/annurev-anthro-102215-095946","shortTitle":"Reaching the Point of No Return","author":[{"family":"Grosman","given":"Leore"}],"issued":{"date-parts":[["2016"]]}},"label":"page"}],"schema":"https://github.com/citation-style-language/schema/raw/master/csl-citation.json"} </w:instrText>
      </w:r>
      <w:r w:rsidR="00C70647" w:rsidRPr="00A169C9">
        <w:fldChar w:fldCharType="separate"/>
      </w:r>
      <w:r w:rsidR="001E13DC" w:rsidRPr="00A169C9">
        <w:t>(e.g.</w:t>
      </w:r>
      <w:r w:rsidR="00084893">
        <w:t>,</w:t>
      </w:r>
      <w:r w:rsidR="001E13DC" w:rsidRPr="00A169C9">
        <w:t xml:space="preserve"> Bretzke &amp; Conard, 2012; Chacón et al., 2016; Dogandžić, Braun, &amp; McPherron, 2015; Grosman, 2016)</w:t>
      </w:r>
      <w:r w:rsidR="00C70647" w:rsidRPr="00A169C9">
        <w:fldChar w:fldCharType="end"/>
      </w:r>
      <w:r w:rsidR="00835444" w:rsidRPr="00A169C9">
        <w:t xml:space="preserve">, have opened new perspectives in the field of lithic analysis. However, the use of these very different methods has sometimes contributed </w:t>
      </w:r>
      <w:r w:rsidR="00835444" w:rsidRPr="00A169C9">
        <w:lastRenderedPageBreak/>
        <w:t xml:space="preserve">to </w:t>
      </w:r>
      <w:r w:rsidR="003634E7" w:rsidRPr="00A169C9">
        <w:t xml:space="preserve">impeding </w:t>
      </w:r>
      <w:r w:rsidR="00835444" w:rsidRPr="00A169C9">
        <w:t>communication between researchers as well</w:t>
      </w:r>
      <w:r w:rsidR="004759F5" w:rsidRPr="00A169C9">
        <w:t xml:space="preserve"> </w:t>
      </w:r>
      <w:r w:rsidR="00835444" w:rsidRPr="00A169C9">
        <w:t xml:space="preserve">as </w:t>
      </w:r>
      <w:r w:rsidR="003634E7" w:rsidRPr="00A169C9">
        <w:t xml:space="preserve">restricting </w:t>
      </w:r>
      <w:r w:rsidR="00835444" w:rsidRPr="00A169C9">
        <w:t xml:space="preserve">comparisons between stone tool assemblages. It has therefore become critical to increase communication between stone tool analysts. </w:t>
      </w:r>
    </w:p>
    <w:p w14:paraId="5B5E1B83" w14:textId="77777777" w:rsidR="00242A33" w:rsidRPr="00A169C9" w:rsidRDefault="00242A33" w:rsidP="00A169C9"/>
    <w:p w14:paraId="44524542" w14:textId="77777777" w:rsidR="00242A33" w:rsidRPr="00084893" w:rsidRDefault="00242A33" w:rsidP="00A169C9">
      <w:pPr>
        <w:rPr>
          <w:b/>
          <w:u w:val="single"/>
        </w:rPr>
      </w:pPr>
      <w:r w:rsidRPr="00084893">
        <w:rPr>
          <w:b/>
          <w:u w:val="single"/>
        </w:rPr>
        <w:t>WORKSHOP OVERVIEW</w:t>
      </w:r>
    </w:p>
    <w:p w14:paraId="2337D88F" w14:textId="77777777" w:rsidR="00136320" w:rsidRPr="00A169C9" w:rsidRDefault="00136320" w:rsidP="00A169C9"/>
    <w:p w14:paraId="307BA8C9" w14:textId="06BEE6D6" w:rsidR="00F243E7" w:rsidRPr="00A169C9" w:rsidRDefault="00F243E7" w:rsidP="00A169C9">
      <w:r w:rsidRPr="00A169C9">
        <w:t xml:space="preserve">In order to further discuss these methodological issues, 28 lithic analysts </w:t>
      </w:r>
      <w:r w:rsidR="002A7C9B" w:rsidRPr="00084893">
        <w:t>(table 1)</w:t>
      </w:r>
      <w:r w:rsidR="002A7C9B" w:rsidRPr="00A169C9">
        <w:t xml:space="preserve"> </w:t>
      </w:r>
      <w:r w:rsidRPr="00A169C9">
        <w:t>have participated in an international workshop entitled “Current approaches and new directions in lithic analysis: defining, identifying and interpreting variability”. The workshop was organised at the McDonald Institute for Archaeological Research, at the University of Cambridge (UK), between September 29</w:t>
      </w:r>
      <w:r w:rsidR="0064117A" w:rsidRPr="00A169C9">
        <w:t>th</w:t>
      </w:r>
      <w:r w:rsidRPr="00A169C9">
        <w:t xml:space="preserve"> </w:t>
      </w:r>
      <w:r w:rsidR="0064117A" w:rsidRPr="00A169C9">
        <w:t>and</w:t>
      </w:r>
      <w:r w:rsidRPr="00A169C9">
        <w:t xml:space="preserve"> October 1</w:t>
      </w:r>
      <w:r w:rsidR="0064117A" w:rsidRPr="00A169C9">
        <w:t>st</w:t>
      </w:r>
      <w:r w:rsidRPr="00A169C9">
        <w:t>, 2016, and was sponsored by a DM McDonald grant</w:t>
      </w:r>
      <w:r w:rsidR="00BF554E" w:rsidRPr="00A169C9">
        <w:t xml:space="preserve"> from the McDonald Institute, Cambridge</w:t>
      </w:r>
      <w:r w:rsidR="00084893">
        <w:t xml:space="preserve"> and </w:t>
      </w:r>
      <w:r w:rsidR="00084893" w:rsidRPr="00084893">
        <w:t>the European Union's Horizon 2020 research and</w:t>
      </w:r>
      <w:r w:rsidR="00084893">
        <w:t xml:space="preserve"> </w:t>
      </w:r>
      <w:r w:rsidR="00084893" w:rsidRPr="00084893">
        <w:t>innovation programme under the Marie Sk</w:t>
      </w:r>
      <w:r w:rsidR="00333062" w:rsidRPr="00CF0C69">
        <w:t>ł</w:t>
      </w:r>
      <w:r w:rsidR="00333062">
        <w:t>od</w:t>
      </w:r>
      <w:r w:rsidR="00084893" w:rsidRPr="00084893">
        <w:t>owska-Curie grant agreement No 655459</w:t>
      </w:r>
      <w:r w:rsidR="00084893">
        <w:t>.</w:t>
      </w:r>
      <w:r w:rsidR="004531E2" w:rsidRPr="00A169C9">
        <w:t xml:space="preserve"> It was divided into four sessions: (1) intra-assemblage or intra-site lithic variability, (2) inter-assemblage lithic variability (local/regional scale, (3) inter-regional lithic variability and (4), main discussion. Within each session, short presentations on specific methods related to the topic of the session served as a basis for discussion</w:t>
      </w:r>
      <w:r w:rsidR="00BF554E" w:rsidRPr="00A169C9">
        <w:t>s</w:t>
      </w:r>
      <w:r w:rsidR="004531E2" w:rsidRPr="00A169C9">
        <w:t xml:space="preserve">. </w:t>
      </w:r>
    </w:p>
    <w:p w14:paraId="130701C3" w14:textId="77777777" w:rsidR="00136320" w:rsidRPr="00A169C9" w:rsidRDefault="00136320" w:rsidP="00A169C9"/>
    <w:p w14:paraId="0EDB480C" w14:textId="77777777" w:rsidR="00136320" w:rsidRDefault="00242A33" w:rsidP="00A169C9">
      <w:r w:rsidRPr="00A169C9">
        <w:t>Most of the debate</w:t>
      </w:r>
      <w:r w:rsidR="00BF554E" w:rsidRPr="00A169C9">
        <w:t>s</w:t>
      </w:r>
      <w:r w:rsidRPr="00A169C9">
        <w:t xml:space="preserve"> centred around three main questions; (1) How to best characterise lithic variability at the intra-assemblage / intra-site level? (2) </w:t>
      </w:r>
      <w:r w:rsidR="00B22E22" w:rsidRPr="00A169C9">
        <w:t xml:space="preserve">How </w:t>
      </w:r>
      <w:r w:rsidR="007E1049" w:rsidRPr="00A169C9">
        <w:t xml:space="preserve">to best compare assemblages at the regional and multi-regional level? (3) </w:t>
      </w:r>
      <w:r w:rsidR="00E27551" w:rsidRPr="00A169C9">
        <w:t xml:space="preserve">How to cope with the variability in methods of study of lithic assemblages in comparative analyses? </w:t>
      </w:r>
    </w:p>
    <w:p w14:paraId="71411651" w14:textId="77777777" w:rsidR="00084893" w:rsidRPr="00A169C9" w:rsidRDefault="00084893" w:rsidP="00A169C9"/>
    <w:p w14:paraId="0D679C4D" w14:textId="77777777" w:rsidR="00E27551" w:rsidRDefault="00E27551" w:rsidP="008E4F33">
      <w:pPr>
        <w:pStyle w:val="p1"/>
        <w:jc w:val="both"/>
        <w:rPr>
          <w:rFonts w:ascii="Garamond" w:hAnsi="Garamond"/>
          <w:sz w:val="24"/>
          <w:szCs w:val="24"/>
        </w:rPr>
      </w:pPr>
    </w:p>
    <w:tbl>
      <w:tblPr>
        <w:tblStyle w:val="TableGrid"/>
        <w:tblW w:w="0" w:type="auto"/>
        <w:tblCellMar>
          <w:left w:w="43" w:type="dxa"/>
          <w:right w:w="43" w:type="dxa"/>
        </w:tblCellMar>
        <w:tblLook w:val="04A0" w:firstRow="1" w:lastRow="0" w:firstColumn="1" w:lastColumn="0" w:noHBand="0" w:noVBand="1"/>
      </w:tblPr>
      <w:tblGrid>
        <w:gridCol w:w="322"/>
        <w:gridCol w:w="2073"/>
        <w:gridCol w:w="709"/>
        <w:gridCol w:w="3868"/>
        <w:gridCol w:w="322"/>
        <w:gridCol w:w="1712"/>
      </w:tblGrid>
      <w:tr w:rsidR="00F243E7" w:rsidRPr="00A169C9" w14:paraId="6EAD0019" w14:textId="77777777" w:rsidTr="00053650">
        <w:trPr>
          <w:trHeight w:val="260"/>
        </w:trPr>
        <w:tc>
          <w:tcPr>
            <w:tcW w:w="322" w:type="dxa"/>
            <w:tcBorders>
              <w:top w:val="single" w:sz="12" w:space="0" w:color="000000"/>
              <w:left w:val="single" w:sz="12" w:space="0" w:color="000000"/>
              <w:bottom w:val="single" w:sz="12" w:space="0" w:color="000000"/>
              <w:right w:val="single" w:sz="12" w:space="0" w:color="000000"/>
            </w:tcBorders>
            <w:vAlign w:val="center"/>
          </w:tcPr>
          <w:p w14:paraId="5AE3E254" w14:textId="77777777" w:rsidR="008E4F33" w:rsidRPr="00A169C9" w:rsidRDefault="008E4F33" w:rsidP="00136320">
            <w:pPr>
              <w:pStyle w:val="p1"/>
              <w:jc w:val="center"/>
              <w:rPr>
                <w:rFonts w:ascii="Times New Roman" w:hAnsi="Times New Roman"/>
                <w:sz w:val="20"/>
                <w:szCs w:val="20"/>
              </w:rPr>
            </w:pPr>
          </w:p>
        </w:tc>
        <w:tc>
          <w:tcPr>
            <w:tcW w:w="2073" w:type="dxa"/>
            <w:tcBorders>
              <w:top w:val="single" w:sz="12" w:space="0" w:color="000000"/>
              <w:left w:val="single" w:sz="12" w:space="0" w:color="000000"/>
              <w:bottom w:val="single" w:sz="12" w:space="0" w:color="000000"/>
            </w:tcBorders>
            <w:vAlign w:val="center"/>
          </w:tcPr>
          <w:p w14:paraId="736E9EBB"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Name</w:t>
            </w:r>
          </w:p>
        </w:tc>
        <w:tc>
          <w:tcPr>
            <w:tcW w:w="709" w:type="dxa"/>
            <w:tcBorders>
              <w:top w:val="single" w:sz="12" w:space="0" w:color="000000"/>
              <w:bottom w:val="single" w:sz="12" w:space="0" w:color="000000"/>
            </w:tcBorders>
            <w:vAlign w:val="center"/>
          </w:tcPr>
          <w:p w14:paraId="75CC738D"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Session</w:t>
            </w:r>
          </w:p>
        </w:tc>
        <w:tc>
          <w:tcPr>
            <w:tcW w:w="3868" w:type="dxa"/>
            <w:tcBorders>
              <w:top w:val="single" w:sz="12" w:space="0" w:color="000000"/>
              <w:bottom w:val="single" w:sz="12" w:space="0" w:color="000000"/>
              <w:right w:val="single" w:sz="12" w:space="0" w:color="000000"/>
            </w:tcBorders>
            <w:vAlign w:val="center"/>
          </w:tcPr>
          <w:p w14:paraId="3F79DFBC" w14:textId="45D032B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i/>
                <w:sz w:val="20"/>
                <w:szCs w:val="20"/>
              </w:rPr>
              <w:t>Role</w:t>
            </w:r>
            <w:r w:rsidRPr="00A169C9">
              <w:rPr>
                <w:rFonts w:ascii="Times New Roman" w:hAnsi="Times New Roman"/>
                <w:b/>
                <w:sz w:val="20"/>
                <w:szCs w:val="20"/>
              </w:rPr>
              <w:t xml:space="preserve">  / Abbrev. </w:t>
            </w:r>
            <w:r w:rsidR="00CE2C98" w:rsidRPr="00A169C9">
              <w:rPr>
                <w:rFonts w:ascii="Times New Roman" w:hAnsi="Times New Roman"/>
                <w:b/>
                <w:sz w:val="20"/>
                <w:szCs w:val="20"/>
              </w:rPr>
              <w:t>T</w:t>
            </w:r>
            <w:r w:rsidRPr="00A169C9">
              <w:rPr>
                <w:rFonts w:ascii="Times New Roman" w:hAnsi="Times New Roman"/>
                <w:b/>
                <w:sz w:val="20"/>
                <w:szCs w:val="20"/>
              </w:rPr>
              <w:t>itle</w:t>
            </w:r>
          </w:p>
        </w:tc>
        <w:tc>
          <w:tcPr>
            <w:tcW w:w="322" w:type="dxa"/>
            <w:tcBorders>
              <w:top w:val="single" w:sz="12" w:space="0" w:color="000000"/>
              <w:left w:val="single" w:sz="12" w:space="0" w:color="000000"/>
              <w:right w:val="single" w:sz="12" w:space="0" w:color="000000"/>
            </w:tcBorders>
            <w:vAlign w:val="center"/>
          </w:tcPr>
          <w:p w14:paraId="4188FE59" w14:textId="77777777" w:rsidR="008E4F33" w:rsidRPr="00A169C9" w:rsidRDefault="008E4F33" w:rsidP="00136320">
            <w:pPr>
              <w:pStyle w:val="p1"/>
              <w:jc w:val="center"/>
              <w:rPr>
                <w:rFonts w:ascii="Times New Roman" w:hAnsi="Times New Roman"/>
                <w:b/>
                <w:sz w:val="20"/>
                <w:szCs w:val="20"/>
              </w:rPr>
            </w:pPr>
          </w:p>
        </w:tc>
        <w:tc>
          <w:tcPr>
            <w:tcW w:w="1712" w:type="dxa"/>
            <w:tcBorders>
              <w:top w:val="single" w:sz="12" w:space="0" w:color="000000"/>
              <w:left w:val="single" w:sz="12" w:space="0" w:color="000000"/>
              <w:bottom w:val="single" w:sz="12" w:space="0" w:color="000000"/>
              <w:right w:val="single" w:sz="12" w:space="0" w:color="000000"/>
            </w:tcBorders>
            <w:vAlign w:val="center"/>
          </w:tcPr>
          <w:p w14:paraId="3F926803"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Name</w:t>
            </w:r>
          </w:p>
        </w:tc>
      </w:tr>
      <w:tr w:rsidR="00F243E7" w:rsidRPr="00A169C9" w14:paraId="703365AC" w14:textId="77777777" w:rsidTr="00053650">
        <w:trPr>
          <w:cantSplit/>
          <w:trHeight w:val="288"/>
        </w:trPr>
        <w:tc>
          <w:tcPr>
            <w:tcW w:w="322" w:type="dxa"/>
            <w:vMerge w:val="restart"/>
            <w:tcBorders>
              <w:top w:val="single" w:sz="12" w:space="0" w:color="000000"/>
              <w:left w:val="single" w:sz="12" w:space="0" w:color="000000"/>
              <w:right w:val="single" w:sz="12" w:space="0" w:color="000000"/>
            </w:tcBorders>
            <w:textDirection w:val="btLr"/>
            <w:vAlign w:val="center"/>
          </w:tcPr>
          <w:p w14:paraId="7DE9A415" w14:textId="77777777" w:rsidR="008E4F33" w:rsidRPr="00A169C9" w:rsidRDefault="008E4F33" w:rsidP="00136320">
            <w:pPr>
              <w:pStyle w:val="p1"/>
              <w:ind w:left="113" w:right="113"/>
              <w:jc w:val="center"/>
              <w:rPr>
                <w:rFonts w:ascii="Times New Roman" w:hAnsi="Times New Roman"/>
                <w:b/>
                <w:sz w:val="20"/>
                <w:szCs w:val="20"/>
              </w:rPr>
            </w:pPr>
            <w:r w:rsidRPr="00A169C9">
              <w:rPr>
                <w:rFonts w:ascii="Times New Roman" w:hAnsi="Times New Roman"/>
                <w:b/>
                <w:sz w:val="20"/>
                <w:szCs w:val="20"/>
              </w:rPr>
              <w:t>Workshop participants with presentations</w:t>
            </w:r>
          </w:p>
        </w:tc>
        <w:tc>
          <w:tcPr>
            <w:tcW w:w="2073" w:type="dxa"/>
            <w:tcBorders>
              <w:top w:val="single" w:sz="12" w:space="0" w:color="000000"/>
              <w:left w:val="single" w:sz="12" w:space="0" w:color="000000"/>
            </w:tcBorders>
            <w:vAlign w:val="center"/>
          </w:tcPr>
          <w:p w14:paraId="0748B424"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Marta Arzarello</w:t>
            </w:r>
            <w:r w:rsidR="00214370" w:rsidRPr="00A169C9">
              <w:rPr>
                <w:rFonts w:ascii="Times New Roman" w:hAnsi="Times New Roman"/>
                <w:b/>
                <w:sz w:val="20"/>
                <w:szCs w:val="20"/>
                <w:vertAlign w:val="superscript"/>
              </w:rPr>
              <w:t>1</w:t>
            </w:r>
          </w:p>
        </w:tc>
        <w:tc>
          <w:tcPr>
            <w:tcW w:w="709" w:type="dxa"/>
            <w:tcBorders>
              <w:top w:val="single" w:sz="12" w:space="0" w:color="000000"/>
            </w:tcBorders>
            <w:vAlign w:val="center"/>
          </w:tcPr>
          <w:p w14:paraId="0B337BF5" w14:textId="77777777" w:rsidR="008E4F33" w:rsidRPr="00A169C9" w:rsidRDefault="007E50DE" w:rsidP="00136320">
            <w:pPr>
              <w:pStyle w:val="p1"/>
              <w:jc w:val="center"/>
              <w:rPr>
                <w:rFonts w:ascii="Times New Roman" w:hAnsi="Times New Roman"/>
                <w:sz w:val="20"/>
                <w:szCs w:val="20"/>
              </w:rPr>
            </w:pPr>
            <w:r w:rsidRPr="00A169C9">
              <w:rPr>
                <w:rFonts w:ascii="Times New Roman" w:hAnsi="Times New Roman"/>
                <w:sz w:val="20"/>
                <w:szCs w:val="20"/>
              </w:rPr>
              <w:t>2</w:t>
            </w:r>
          </w:p>
        </w:tc>
        <w:tc>
          <w:tcPr>
            <w:tcW w:w="3868" w:type="dxa"/>
            <w:tcBorders>
              <w:top w:val="single" w:sz="12" w:space="0" w:color="000000"/>
              <w:right w:val="single" w:sz="12" w:space="0" w:color="000000"/>
            </w:tcBorders>
            <w:vAlign w:val="center"/>
          </w:tcPr>
          <w:p w14:paraId="5127264B" w14:textId="77777777" w:rsidR="008E4F33" w:rsidRPr="00A169C9" w:rsidRDefault="00DF0CBD" w:rsidP="00136320">
            <w:pPr>
              <w:pStyle w:val="p1"/>
              <w:jc w:val="center"/>
              <w:rPr>
                <w:rFonts w:ascii="Times New Roman" w:hAnsi="Times New Roman"/>
                <w:sz w:val="20"/>
                <w:szCs w:val="20"/>
              </w:rPr>
            </w:pPr>
            <w:r w:rsidRPr="00A169C9">
              <w:rPr>
                <w:rFonts w:ascii="Times New Roman" w:hAnsi="Times New Roman"/>
                <w:sz w:val="20"/>
                <w:szCs w:val="20"/>
              </w:rPr>
              <w:t>Influence of methods on the</w:t>
            </w:r>
            <w:r w:rsidR="00136320" w:rsidRPr="00A169C9">
              <w:rPr>
                <w:rFonts w:ascii="Times New Roman" w:hAnsi="Times New Roman"/>
                <w:sz w:val="20"/>
                <w:szCs w:val="20"/>
              </w:rPr>
              <w:t xml:space="preserve"> interpretation</w:t>
            </w:r>
            <w:r w:rsidRPr="00A169C9">
              <w:rPr>
                <w:rFonts w:ascii="Times New Roman" w:hAnsi="Times New Roman"/>
                <w:sz w:val="20"/>
                <w:szCs w:val="20"/>
              </w:rPr>
              <w:t>s</w:t>
            </w:r>
            <w:r w:rsidR="00136320" w:rsidRPr="00A169C9">
              <w:rPr>
                <w:rFonts w:ascii="Times New Roman" w:hAnsi="Times New Roman"/>
                <w:sz w:val="20"/>
                <w:szCs w:val="20"/>
              </w:rPr>
              <w:t xml:space="preserve"> of the Italian Lower and Middle Palaeolithic</w:t>
            </w:r>
          </w:p>
        </w:tc>
        <w:tc>
          <w:tcPr>
            <w:tcW w:w="322" w:type="dxa"/>
            <w:vMerge w:val="restart"/>
            <w:tcBorders>
              <w:left w:val="single" w:sz="12" w:space="0" w:color="000000"/>
              <w:right w:val="single" w:sz="12" w:space="0" w:color="000000"/>
            </w:tcBorders>
            <w:textDirection w:val="btLr"/>
            <w:vAlign w:val="center"/>
          </w:tcPr>
          <w:p w14:paraId="65F4DF3D" w14:textId="77777777" w:rsidR="008E4F33" w:rsidRPr="00A169C9" w:rsidRDefault="008E4F33" w:rsidP="008F0A2F">
            <w:pPr>
              <w:pStyle w:val="p1"/>
              <w:ind w:left="113" w:right="113"/>
              <w:jc w:val="center"/>
              <w:rPr>
                <w:rFonts w:ascii="Times New Roman" w:hAnsi="Times New Roman"/>
                <w:sz w:val="20"/>
                <w:szCs w:val="20"/>
              </w:rPr>
            </w:pPr>
            <w:r w:rsidRPr="00A169C9">
              <w:rPr>
                <w:rFonts w:ascii="Times New Roman" w:hAnsi="Times New Roman"/>
                <w:b/>
                <w:sz w:val="20"/>
                <w:szCs w:val="20"/>
              </w:rPr>
              <w:t>Workshop participants</w:t>
            </w:r>
            <w:r w:rsidR="009E600D" w:rsidRPr="00A169C9">
              <w:rPr>
                <w:rFonts w:ascii="Times New Roman" w:hAnsi="Times New Roman"/>
                <w:b/>
                <w:sz w:val="20"/>
                <w:szCs w:val="20"/>
              </w:rPr>
              <w:t xml:space="preserve"> without presentations</w:t>
            </w:r>
          </w:p>
        </w:tc>
        <w:tc>
          <w:tcPr>
            <w:tcW w:w="1712" w:type="dxa"/>
            <w:tcBorders>
              <w:top w:val="single" w:sz="12" w:space="0" w:color="000000"/>
              <w:left w:val="single" w:sz="12" w:space="0" w:color="000000"/>
              <w:right w:val="single" w:sz="12" w:space="0" w:color="000000"/>
            </w:tcBorders>
            <w:vAlign w:val="center"/>
          </w:tcPr>
          <w:p w14:paraId="7E2518BF"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Valentina Borgia</w:t>
            </w:r>
            <w:r w:rsidR="00870F11" w:rsidRPr="00A169C9">
              <w:rPr>
                <w:rFonts w:ascii="Times New Roman" w:hAnsi="Times New Roman"/>
                <w:b/>
                <w:sz w:val="20"/>
                <w:szCs w:val="20"/>
                <w:vertAlign w:val="superscript"/>
              </w:rPr>
              <w:t>8</w:t>
            </w:r>
          </w:p>
        </w:tc>
      </w:tr>
      <w:tr w:rsidR="00F243E7" w:rsidRPr="00A169C9" w14:paraId="4A4CCDC4" w14:textId="77777777" w:rsidTr="00053650">
        <w:trPr>
          <w:cantSplit/>
          <w:trHeight w:val="288"/>
        </w:trPr>
        <w:tc>
          <w:tcPr>
            <w:tcW w:w="322" w:type="dxa"/>
            <w:vMerge/>
            <w:tcBorders>
              <w:left w:val="single" w:sz="12" w:space="0" w:color="000000"/>
              <w:right w:val="single" w:sz="12" w:space="0" w:color="000000"/>
            </w:tcBorders>
            <w:vAlign w:val="center"/>
          </w:tcPr>
          <w:p w14:paraId="7ED07549"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1E3070D3"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Stéphanie Bonilauri</w:t>
            </w:r>
            <w:r w:rsidR="00870F11" w:rsidRPr="00A169C9">
              <w:rPr>
                <w:rFonts w:ascii="Times New Roman" w:hAnsi="Times New Roman"/>
                <w:b/>
                <w:sz w:val="20"/>
                <w:szCs w:val="20"/>
                <w:vertAlign w:val="superscript"/>
              </w:rPr>
              <w:t>2</w:t>
            </w:r>
          </w:p>
        </w:tc>
        <w:tc>
          <w:tcPr>
            <w:tcW w:w="709" w:type="dxa"/>
            <w:vAlign w:val="center"/>
          </w:tcPr>
          <w:p w14:paraId="43651981" w14:textId="77777777" w:rsidR="008E4F33" w:rsidRPr="00A169C9" w:rsidRDefault="007E50DE" w:rsidP="00136320">
            <w:pPr>
              <w:pStyle w:val="p1"/>
              <w:jc w:val="center"/>
              <w:rPr>
                <w:rFonts w:ascii="Times New Roman" w:hAnsi="Times New Roman"/>
                <w:sz w:val="20"/>
                <w:szCs w:val="20"/>
              </w:rPr>
            </w:pPr>
            <w:r w:rsidRPr="00A169C9">
              <w:rPr>
                <w:rFonts w:ascii="Times New Roman" w:hAnsi="Times New Roman"/>
                <w:sz w:val="20"/>
                <w:szCs w:val="20"/>
              </w:rPr>
              <w:t>1</w:t>
            </w:r>
          </w:p>
        </w:tc>
        <w:tc>
          <w:tcPr>
            <w:tcW w:w="3868" w:type="dxa"/>
            <w:tcBorders>
              <w:right w:val="single" w:sz="12" w:space="0" w:color="000000"/>
            </w:tcBorders>
            <w:vAlign w:val="center"/>
          </w:tcPr>
          <w:p w14:paraId="18905550" w14:textId="77777777" w:rsidR="008E4F33" w:rsidRPr="00A169C9" w:rsidRDefault="007E50DE" w:rsidP="00136320">
            <w:pPr>
              <w:pStyle w:val="p1"/>
              <w:jc w:val="center"/>
              <w:rPr>
                <w:rFonts w:ascii="Times New Roman" w:hAnsi="Times New Roman"/>
                <w:sz w:val="20"/>
                <w:szCs w:val="20"/>
              </w:rPr>
            </w:pPr>
            <w:r w:rsidRPr="00A169C9">
              <w:rPr>
                <w:rFonts w:ascii="Times New Roman" w:hAnsi="Times New Roman"/>
                <w:sz w:val="20"/>
                <w:szCs w:val="20"/>
              </w:rPr>
              <w:t>Techno-functional analysis of Umm el Tlel assemblages</w:t>
            </w:r>
          </w:p>
        </w:tc>
        <w:tc>
          <w:tcPr>
            <w:tcW w:w="322" w:type="dxa"/>
            <w:vMerge/>
            <w:tcBorders>
              <w:left w:val="single" w:sz="12" w:space="0" w:color="000000"/>
              <w:right w:val="single" w:sz="12" w:space="0" w:color="000000"/>
            </w:tcBorders>
            <w:textDirection w:val="btLr"/>
            <w:vAlign w:val="center"/>
          </w:tcPr>
          <w:p w14:paraId="7425A3AB"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6304CD82"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Marjolein Bosch</w:t>
            </w:r>
            <w:r w:rsidR="00870F11" w:rsidRPr="00A169C9">
              <w:rPr>
                <w:rFonts w:ascii="Times New Roman" w:hAnsi="Times New Roman"/>
                <w:b/>
                <w:sz w:val="20"/>
                <w:szCs w:val="20"/>
                <w:vertAlign w:val="superscript"/>
              </w:rPr>
              <w:t>8</w:t>
            </w:r>
          </w:p>
        </w:tc>
      </w:tr>
      <w:tr w:rsidR="00F243E7" w:rsidRPr="00A169C9" w14:paraId="41B95759" w14:textId="77777777" w:rsidTr="00053650">
        <w:trPr>
          <w:cantSplit/>
          <w:trHeight w:val="288"/>
        </w:trPr>
        <w:tc>
          <w:tcPr>
            <w:tcW w:w="322" w:type="dxa"/>
            <w:vMerge/>
            <w:tcBorders>
              <w:left w:val="single" w:sz="12" w:space="0" w:color="000000"/>
              <w:right w:val="single" w:sz="12" w:space="0" w:color="000000"/>
            </w:tcBorders>
            <w:vAlign w:val="center"/>
          </w:tcPr>
          <w:p w14:paraId="7F7EB45D"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3ADA3DA9"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Knut Bretzke</w:t>
            </w:r>
            <w:r w:rsidR="00870F11" w:rsidRPr="00A169C9">
              <w:rPr>
                <w:rFonts w:ascii="Times New Roman" w:hAnsi="Times New Roman"/>
                <w:b/>
                <w:sz w:val="20"/>
                <w:szCs w:val="20"/>
                <w:vertAlign w:val="superscript"/>
              </w:rPr>
              <w:t>3</w:t>
            </w:r>
          </w:p>
        </w:tc>
        <w:tc>
          <w:tcPr>
            <w:tcW w:w="709" w:type="dxa"/>
            <w:vAlign w:val="center"/>
          </w:tcPr>
          <w:p w14:paraId="617C4932"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2</w:t>
            </w:r>
          </w:p>
        </w:tc>
        <w:tc>
          <w:tcPr>
            <w:tcW w:w="3868" w:type="dxa"/>
            <w:tcBorders>
              <w:right w:val="single" w:sz="12" w:space="0" w:color="000000"/>
            </w:tcBorders>
            <w:vAlign w:val="center"/>
          </w:tcPr>
          <w:p w14:paraId="7810E3F8"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3D approaches for capturing, studying and visualising variability</w:t>
            </w:r>
          </w:p>
        </w:tc>
        <w:tc>
          <w:tcPr>
            <w:tcW w:w="322" w:type="dxa"/>
            <w:vMerge/>
            <w:tcBorders>
              <w:left w:val="single" w:sz="12" w:space="0" w:color="000000"/>
              <w:right w:val="single" w:sz="12" w:space="0" w:color="000000"/>
            </w:tcBorders>
            <w:textDirection w:val="btLr"/>
            <w:vAlign w:val="center"/>
          </w:tcPr>
          <w:p w14:paraId="3B069502"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068F4792"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Emily Hallinan</w:t>
            </w:r>
            <w:r w:rsidR="00870F11" w:rsidRPr="00A169C9">
              <w:rPr>
                <w:rFonts w:ascii="Times New Roman" w:hAnsi="Times New Roman"/>
                <w:b/>
                <w:sz w:val="20"/>
                <w:szCs w:val="20"/>
                <w:vertAlign w:val="superscript"/>
              </w:rPr>
              <w:t>8</w:t>
            </w:r>
          </w:p>
        </w:tc>
      </w:tr>
      <w:tr w:rsidR="00F243E7" w:rsidRPr="00A169C9" w14:paraId="3F7EF28C" w14:textId="77777777" w:rsidTr="00053650">
        <w:trPr>
          <w:cantSplit/>
          <w:trHeight w:val="288"/>
        </w:trPr>
        <w:tc>
          <w:tcPr>
            <w:tcW w:w="322" w:type="dxa"/>
            <w:vMerge/>
            <w:tcBorders>
              <w:left w:val="single" w:sz="12" w:space="0" w:color="000000"/>
              <w:right w:val="single" w:sz="12" w:space="0" w:color="000000"/>
            </w:tcBorders>
            <w:vAlign w:val="center"/>
          </w:tcPr>
          <w:p w14:paraId="7E58CAB8"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2F65E96F" w14:textId="79D7765A" w:rsidR="008E4F33" w:rsidRPr="00A169C9" w:rsidRDefault="001E13DC" w:rsidP="00136320">
            <w:pPr>
              <w:pStyle w:val="p1"/>
              <w:jc w:val="center"/>
              <w:rPr>
                <w:rFonts w:ascii="Times New Roman" w:hAnsi="Times New Roman"/>
                <w:b/>
                <w:sz w:val="20"/>
                <w:szCs w:val="20"/>
                <w:lang w:val="fr-FR"/>
              </w:rPr>
            </w:pPr>
            <w:r w:rsidRPr="00A169C9">
              <w:rPr>
                <w:rFonts w:ascii="Times New Roman" w:hAnsi="Times New Roman"/>
                <w:b/>
                <w:sz w:val="20"/>
                <w:szCs w:val="20"/>
                <w:lang w:val="fr-FR"/>
              </w:rPr>
              <w:t>M. Gema Chacó</w:t>
            </w:r>
            <w:r w:rsidR="008E4F33" w:rsidRPr="00A169C9">
              <w:rPr>
                <w:rFonts w:ascii="Times New Roman" w:hAnsi="Times New Roman"/>
                <w:b/>
                <w:sz w:val="20"/>
                <w:szCs w:val="20"/>
                <w:lang w:val="fr-FR"/>
              </w:rPr>
              <w:t>n</w:t>
            </w:r>
            <w:r w:rsidRPr="00A169C9">
              <w:rPr>
                <w:rFonts w:ascii="Times New Roman" w:hAnsi="Times New Roman"/>
                <w:b/>
                <w:sz w:val="20"/>
                <w:szCs w:val="20"/>
                <w:vertAlign w:val="superscript"/>
                <w:lang w:val="fr-FR"/>
              </w:rPr>
              <w:t>2,4</w:t>
            </w:r>
            <w:r w:rsidR="00422BFE" w:rsidRPr="00A169C9">
              <w:rPr>
                <w:rFonts w:ascii="Times New Roman" w:hAnsi="Times New Roman"/>
                <w:b/>
                <w:sz w:val="20"/>
                <w:szCs w:val="20"/>
                <w:vertAlign w:val="superscript"/>
                <w:lang w:val="fr-FR"/>
              </w:rPr>
              <w:t xml:space="preserve"> </w:t>
            </w:r>
            <w:r w:rsidR="00422BFE" w:rsidRPr="00A169C9">
              <w:rPr>
                <w:rFonts w:ascii="Times New Roman" w:hAnsi="Times New Roman"/>
                <w:b/>
                <w:i/>
                <w:sz w:val="20"/>
                <w:szCs w:val="20"/>
                <w:lang w:val="fr-FR"/>
              </w:rPr>
              <w:t>et al.</w:t>
            </w:r>
          </w:p>
        </w:tc>
        <w:tc>
          <w:tcPr>
            <w:tcW w:w="709" w:type="dxa"/>
            <w:vAlign w:val="center"/>
          </w:tcPr>
          <w:p w14:paraId="73B91313" w14:textId="77777777" w:rsidR="008E4F33" w:rsidRPr="00A169C9" w:rsidRDefault="008E4F33" w:rsidP="00136320">
            <w:pPr>
              <w:pStyle w:val="p1"/>
              <w:jc w:val="center"/>
              <w:rPr>
                <w:rFonts w:ascii="Times New Roman" w:hAnsi="Times New Roman"/>
                <w:sz w:val="20"/>
                <w:szCs w:val="20"/>
              </w:rPr>
            </w:pPr>
            <w:r w:rsidRPr="00A169C9">
              <w:rPr>
                <w:rFonts w:ascii="Times New Roman" w:hAnsi="Times New Roman"/>
                <w:sz w:val="20"/>
                <w:szCs w:val="20"/>
              </w:rPr>
              <w:t>1</w:t>
            </w:r>
          </w:p>
        </w:tc>
        <w:tc>
          <w:tcPr>
            <w:tcW w:w="3868" w:type="dxa"/>
            <w:tcBorders>
              <w:right w:val="single" w:sz="12" w:space="0" w:color="000000"/>
            </w:tcBorders>
            <w:vAlign w:val="center"/>
          </w:tcPr>
          <w:p w14:paraId="1E1DB23F" w14:textId="4AE033EF" w:rsidR="008E4F33" w:rsidRPr="00A169C9" w:rsidRDefault="001E13DC" w:rsidP="00136320">
            <w:pPr>
              <w:pStyle w:val="p1"/>
              <w:jc w:val="center"/>
              <w:rPr>
                <w:rFonts w:ascii="Times New Roman" w:hAnsi="Times New Roman"/>
                <w:sz w:val="20"/>
                <w:szCs w:val="20"/>
              </w:rPr>
            </w:pPr>
            <w:r w:rsidRPr="00A169C9">
              <w:rPr>
                <w:rFonts w:ascii="Times New Roman" w:hAnsi="Times New Roman"/>
                <w:bCs/>
                <w:sz w:val="20"/>
                <w:szCs w:val="20"/>
                <w:lang w:val="en-US"/>
              </w:rPr>
              <w:t xml:space="preserve">Technological behaviours from a spatio-temporal perspective: </w:t>
            </w:r>
            <w:r w:rsidR="008E4F33" w:rsidRPr="00A169C9">
              <w:rPr>
                <w:rFonts w:ascii="Times New Roman" w:hAnsi="Times New Roman"/>
                <w:sz w:val="20"/>
                <w:szCs w:val="20"/>
              </w:rPr>
              <w:t>Abric Romani Middle Palaeolithic site (Spain)</w:t>
            </w:r>
          </w:p>
        </w:tc>
        <w:tc>
          <w:tcPr>
            <w:tcW w:w="322" w:type="dxa"/>
            <w:vMerge/>
            <w:tcBorders>
              <w:left w:val="single" w:sz="12" w:space="0" w:color="000000"/>
              <w:right w:val="single" w:sz="12" w:space="0" w:color="000000"/>
            </w:tcBorders>
            <w:textDirection w:val="btLr"/>
            <w:vAlign w:val="center"/>
          </w:tcPr>
          <w:p w14:paraId="744BD58D"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1C4C8B0B"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Herman Muwonge</w:t>
            </w:r>
            <w:r w:rsidR="00870F11" w:rsidRPr="00A169C9">
              <w:rPr>
                <w:rFonts w:ascii="Times New Roman" w:hAnsi="Times New Roman"/>
                <w:b/>
                <w:sz w:val="20"/>
                <w:szCs w:val="20"/>
                <w:vertAlign w:val="superscript"/>
              </w:rPr>
              <w:t>8</w:t>
            </w:r>
          </w:p>
        </w:tc>
      </w:tr>
      <w:tr w:rsidR="00F243E7" w:rsidRPr="00A169C9" w14:paraId="5AF45792" w14:textId="77777777" w:rsidTr="00053650">
        <w:trPr>
          <w:cantSplit/>
          <w:trHeight w:val="288"/>
        </w:trPr>
        <w:tc>
          <w:tcPr>
            <w:tcW w:w="322" w:type="dxa"/>
            <w:vMerge/>
            <w:tcBorders>
              <w:left w:val="single" w:sz="12" w:space="0" w:color="000000"/>
              <w:right w:val="single" w:sz="12" w:space="0" w:color="000000"/>
            </w:tcBorders>
            <w:vAlign w:val="center"/>
          </w:tcPr>
          <w:p w14:paraId="042BBEA1"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1D3CCAD5"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Mae Goder-Goldberger</w:t>
            </w:r>
            <w:r w:rsidR="00870F11" w:rsidRPr="00A169C9">
              <w:rPr>
                <w:rFonts w:ascii="Times New Roman" w:hAnsi="Times New Roman"/>
                <w:b/>
                <w:sz w:val="20"/>
                <w:szCs w:val="20"/>
                <w:vertAlign w:val="superscript"/>
              </w:rPr>
              <w:t>5</w:t>
            </w:r>
          </w:p>
        </w:tc>
        <w:tc>
          <w:tcPr>
            <w:tcW w:w="709" w:type="dxa"/>
            <w:vAlign w:val="center"/>
          </w:tcPr>
          <w:p w14:paraId="403E0487" w14:textId="77777777" w:rsidR="008E4F33" w:rsidRPr="00A169C9" w:rsidRDefault="008E4F33" w:rsidP="00136320">
            <w:pPr>
              <w:pStyle w:val="p1"/>
              <w:jc w:val="center"/>
              <w:rPr>
                <w:rFonts w:ascii="Times New Roman" w:hAnsi="Times New Roman"/>
                <w:sz w:val="20"/>
                <w:szCs w:val="20"/>
              </w:rPr>
            </w:pPr>
            <w:r w:rsidRPr="00A169C9">
              <w:rPr>
                <w:rFonts w:ascii="Times New Roman" w:hAnsi="Times New Roman"/>
                <w:sz w:val="20"/>
                <w:szCs w:val="20"/>
              </w:rPr>
              <w:t>1</w:t>
            </w:r>
          </w:p>
        </w:tc>
        <w:tc>
          <w:tcPr>
            <w:tcW w:w="3868" w:type="dxa"/>
            <w:tcBorders>
              <w:right w:val="single" w:sz="12" w:space="0" w:color="000000"/>
            </w:tcBorders>
            <w:vAlign w:val="center"/>
          </w:tcPr>
          <w:p w14:paraId="26407CE5" w14:textId="77777777" w:rsidR="008E4F33" w:rsidRPr="00A169C9" w:rsidRDefault="008E4F33" w:rsidP="00136320">
            <w:pPr>
              <w:pStyle w:val="p1"/>
              <w:jc w:val="center"/>
              <w:rPr>
                <w:rFonts w:ascii="Times New Roman" w:hAnsi="Times New Roman"/>
                <w:sz w:val="20"/>
                <w:szCs w:val="20"/>
              </w:rPr>
            </w:pPr>
            <w:r w:rsidRPr="00A169C9">
              <w:rPr>
                <w:rFonts w:ascii="Times New Roman" w:hAnsi="Times New Roman"/>
                <w:sz w:val="20"/>
                <w:szCs w:val="20"/>
              </w:rPr>
              <w:t>Onset of Upper Palaeolithic: Boker Tachtit (Israel)</w:t>
            </w:r>
          </w:p>
        </w:tc>
        <w:tc>
          <w:tcPr>
            <w:tcW w:w="322" w:type="dxa"/>
            <w:vMerge/>
            <w:tcBorders>
              <w:left w:val="single" w:sz="12" w:space="0" w:color="000000"/>
              <w:right w:val="single" w:sz="12" w:space="0" w:color="000000"/>
            </w:tcBorders>
            <w:textDirection w:val="btLr"/>
            <w:vAlign w:val="center"/>
          </w:tcPr>
          <w:p w14:paraId="13042C78"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222AB1D1"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Philip Nigst</w:t>
            </w:r>
            <w:r w:rsidR="00870F11" w:rsidRPr="00A169C9">
              <w:rPr>
                <w:rFonts w:ascii="Times New Roman" w:hAnsi="Times New Roman"/>
                <w:b/>
                <w:sz w:val="20"/>
                <w:szCs w:val="20"/>
                <w:vertAlign w:val="superscript"/>
              </w:rPr>
              <w:t>8</w:t>
            </w:r>
          </w:p>
        </w:tc>
      </w:tr>
      <w:tr w:rsidR="00F243E7" w:rsidRPr="00A169C9" w14:paraId="3064034A" w14:textId="77777777" w:rsidTr="00053650">
        <w:trPr>
          <w:cantSplit/>
          <w:trHeight w:val="288"/>
        </w:trPr>
        <w:tc>
          <w:tcPr>
            <w:tcW w:w="322" w:type="dxa"/>
            <w:vMerge/>
            <w:tcBorders>
              <w:left w:val="single" w:sz="12" w:space="0" w:color="000000"/>
              <w:right w:val="single" w:sz="12" w:space="0" w:color="000000"/>
            </w:tcBorders>
            <w:vAlign w:val="center"/>
          </w:tcPr>
          <w:p w14:paraId="6AD0622A"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5752D533"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Leore Grosman</w:t>
            </w:r>
            <w:r w:rsidR="00870F11" w:rsidRPr="00A169C9">
              <w:rPr>
                <w:rFonts w:ascii="Times New Roman" w:hAnsi="Times New Roman"/>
                <w:b/>
                <w:sz w:val="20"/>
                <w:szCs w:val="20"/>
                <w:vertAlign w:val="superscript"/>
              </w:rPr>
              <w:t>6</w:t>
            </w:r>
          </w:p>
        </w:tc>
        <w:tc>
          <w:tcPr>
            <w:tcW w:w="709" w:type="dxa"/>
            <w:vAlign w:val="center"/>
          </w:tcPr>
          <w:p w14:paraId="1FC9EDC1"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2</w:t>
            </w:r>
          </w:p>
        </w:tc>
        <w:tc>
          <w:tcPr>
            <w:tcW w:w="3868" w:type="dxa"/>
            <w:tcBorders>
              <w:right w:val="single" w:sz="12" w:space="0" w:color="000000"/>
            </w:tcBorders>
            <w:vAlign w:val="center"/>
          </w:tcPr>
          <w:p w14:paraId="20B2D1FE"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Lithics in 3-D: methods and applications</w:t>
            </w:r>
          </w:p>
        </w:tc>
        <w:tc>
          <w:tcPr>
            <w:tcW w:w="322" w:type="dxa"/>
            <w:vMerge/>
            <w:tcBorders>
              <w:left w:val="single" w:sz="12" w:space="0" w:color="000000"/>
              <w:right w:val="single" w:sz="12" w:space="0" w:color="000000"/>
            </w:tcBorders>
            <w:textDirection w:val="btLr"/>
            <w:vAlign w:val="center"/>
          </w:tcPr>
          <w:p w14:paraId="072EBEB1"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27562F5E" w14:textId="27A2A556" w:rsidR="008E4F33" w:rsidRPr="00A169C9" w:rsidRDefault="001E13DC" w:rsidP="00136320">
            <w:pPr>
              <w:pStyle w:val="p1"/>
              <w:jc w:val="center"/>
              <w:rPr>
                <w:rFonts w:ascii="Times New Roman" w:hAnsi="Times New Roman"/>
                <w:b/>
                <w:sz w:val="20"/>
                <w:szCs w:val="20"/>
              </w:rPr>
            </w:pPr>
            <w:r w:rsidRPr="00A169C9">
              <w:rPr>
                <w:rFonts w:ascii="Times New Roman" w:hAnsi="Times New Roman"/>
                <w:b/>
                <w:sz w:val="20"/>
                <w:szCs w:val="20"/>
              </w:rPr>
              <w:t>Gu</w:t>
            </w:r>
            <w:r w:rsidR="008E4F33" w:rsidRPr="00A169C9">
              <w:rPr>
                <w:rFonts w:ascii="Times New Roman" w:hAnsi="Times New Roman"/>
                <w:b/>
                <w:sz w:val="20"/>
                <w:szCs w:val="20"/>
              </w:rPr>
              <w:t>nther Noens</w:t>
            </w:r>
            <w:r w:rsidR="00870F11" w:rsidRPr="00A169C9">
              <w:rPr>
                <w:rFonts w:ascii="Times New Roman" w:hAnsi="Times New Roman"/>
                <w:b/>
                <w:sz w:val="20"/>
                <w:szCs w:val="20"/>
                <w:vertAlign w:val="superscript"/>
              </w:rPr>
              <w:t>1</w:t>
            </w:r>
            <w:r w:rsidR="008F0A2F" w:rsidRPr="00A169C9">
              <w:rPr>
                <w:rFonts w:ascii="Times New Roman" w:hAnsi="Times New Roman"/>
                <w:b/>
                <w:sz w:val="20"/>
                <w:szCs w:val="20"/>
                <w:vertAlign w:val="superscript"/>
              </w:rPr>
              <w:t>2</w:t>
            </w:r>
          </w:p>
        </w:tc>
      </w:tr>
      <w:tr w:rsidR="00F243E7" w:rsidRPr="00A169C9" w14:paraId="5ECF32DA" w14:textId="77777777" w:rsidTr="00053650">
        <w:trPr>
          <w:cantSplit/>
          <w:trHeight w:val="288"/>
        </w:trPr>
        <w:tc>
          <w:tcPr>
            <w:tcW w:w="322" w:type="dxa"/>
            <w:vMerge/>
            <w:tcBorders>
              <w:left w:val="single" w:sz="12" w:space="0" w:color="000000"/>
              <w:right w:val="single" w:sz="12" w:space="0" w:color="000000"/>
            </w:tcBorders>
            <w:vAlign w:val="center"/>
          </w:tcPr>
          <w:p w14:paraId="07DEF512"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0F6C5616"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Huw Groucutt</w:t>
            </w:r>
            <w:r w:rsidR="00870F11" w:rsidRPr="00A169C9">
              <w:rPr>
                <w:rFonts w:ascii="Times New Roman" w:hAnsi="Times New Roman"/>
                <w:b/>
                <w:sz w:val="20"/>
                <w:szCs w:val="20"/>
                <w:vertAlign w:val="superscript"/>
              </w:rPr>
              <w:t>7</w:t>
            </w:r>
          </w:p>
        </w:tc>
        <w:tc>
          <w:tcPr>
            <w:tcW w:w="709" w:type="dxa"/>
            <w:vAlign w:val="center"/>
          </w:tcPr>
          <w:p w14:paraId="4A2F335A"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3</w:t>
            </w:r>
          </w:p>
        </w:tc>
        <w:tc>
          <w:tcPr>
            <w:tcW w:w="3868" w:type="dxa"/>
            <w:tcBorders>
              <w:right w:val="single" w:sz="12" w:space="0" w:color="000000"/>
            </w:tcBorders>
            <w:vAlign w:val="center"/>
          </w:tcPr>
          <w:p w14:paraId="0FD1E7BA"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Beyond NASTIES: Alternatives to named stone tool industries</w:t>
            </w:r>
          </w:p>
        </w:tc>
        <w:tc>
          <w:tcPr>
            <w:tcW w:w="322" w:type="dxa"/>
            <w:vMerge/>
            <w:tcBorders>
              <w:left w:val="single" w:sz="12" w:space="0" w:color="000000"/>
              <w:right w:val="single" w:sz="12" w:space="0" w:color="000000"/>
            </w:tcBorders>
            <w:textDirection w:val="btLr"/>
            <w:vAlign w:val="center"/>
          </w:tcPr>
          <w:p w14:paraId="02B390DB"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3DC8E392"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Andreas Nymark</w:t>
            </w:r>
            <w:r w:rsidR="00870F11" w:rsidRPr="00A169C9">
              <w:rPr>
                <w:rFonts w:ascii="Times New Roman" w:hAnsi="Times New Roman"/>
                <w:b/>
                <w:sz w:val="20"/>
                <w:szCs w:val="20"/>
                <w:vertAlign w:val="superscript"/>
              </w:rPr>
              <w:t>1</w:t>
            </w:r>
            <w:r w:rsidR="008F0A2F" w:rsidRPr="00A169C9">
              <w:rPr>
                <w:rFonts w:ascii="Times New Roman" w:hAnsi="Times New Roman"/>
                <w:b/>
                <w:sz w:val="20"/>
                <w:szCs w:val="20"/>
                <w:vertAlign w:val="superscript"/>
              </w:rPr>
              <w:t>3</w:t>
            </w:r>
          </w:p>
        </w:tc>
      </w:tr>
      <w:tr w:rsidR="00F243E7" w:rsidRPr="00A169C9" w14:paraId="7487AB18" w14:textId="77777777" w:rsidTr="00053650">
        <w:trPr>
          <w:cantSplit/>
          <w:trHeight w:val="288"/>
        </w:trPr>
        <w:tc>
          <w:tcPr>
            <w:tcW w:w="322" w:type="dxa"/>
            <w:vMerge/>
            <w:tcBorders>
              <w:left w:val="single" w:sz="12" w:space="0" w:color="000000"/>
              <w:right w:val="single" w:sz="12" w:space="0" w:color="000000"/>
            </w:tcBorders>
            <w:vAlign w:val="center"/>
          </w:tcPr>
          <w:p w14:paraId="4DDECBBB"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773AAC68"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Erella Hovers</w:t>
            </w:r>
            <w:r w:rsidR="00870F11" w:rsidRPr="00A169C9">
              <w:rPr>
                <w:rFonts w:ascii="Times New Roman" w:hAnsi="Times New Roman"/>
                <w:b/>
                <w:sz w:val="20"/>
                <w:szCs w:val="20"/>
                <w:vertAlign w:val="superscript"/>
              </w:rPr>
              <w:t>6</w:t>
            </w:r>
          </w:p>
        </w:tc>
        <w:tc>
          <w:tcPr>
            <w:tcW w:w="709" w:type="dxa"/>
            <w:vAlign w:val="center"/>
          </w:tcPr>
          <w:p w14:paraId="20F50C11" w14:textId="77777777" w:rsidR="008E4F33" w:rsidRPr="00A169C9" w:rsidRDefault="008E4F33" w:rsidP="00136320">
            <w:pPr>
              <w:pStyle w:val="p1"/>
              <w:jc w:val="center"/>
              <w:rPr>
                <w:rFonts w:ascii="Times New Roman" w:hAnsi="Times New Roman"/>
                <w:sz w:val="20"/>
                <w:szCs w:val="20"/>
              </w:rPr>
            </w:pPr>
            <w:r w:rsidRPr="00A169C9">
              <w:rPr>
                <w:rFonts w:ascii="Times New Roman" w:hAnsi="Times New Roman"/>
                <w:sz w:val="20"/>
                <w:szCs w:val="20"/>
              </w:rPr>
              <w:t>1</w:t>
            </w:r>
          </w:p>
        </w:tc>
        <w:tc>
          <w:tcPr>
            <w:tcW w:w="3868" w:type="dxa"/>
            <w:tcBorders>
              <w:right w:val="single" w:sz="12" w:space="0" w:color="000000"/>
            </w:tcBorders>
            <w:vAlign w:val="center"/>
          </w:tcPr>
          <w:p w14:paraId="73DCAC6F" w14:textId="2F1F43C0" w:rsidR="008E4F33" w:rsidRPr="00A169C9" w:rsidRDefault="008E4F33" w:rsidP="00136320">
            <w:pPr>
              <w:pStyle w:val="p1"/>
              <w:jc w:val="center"/>
              <w:rPr>
                <w:rFonts w:ascii="Times New Roman" w:hAnsi="Times New Roman"/>
                <w:i/>
                <w:sz w:val="20"/>
                <w:szCs w:val="20"/>
              </w:rPr>
            </w:pPr>
            <w:r w:rsidRPr="00053650">
              <w:rPr>
                <w:rFonts w:ascii="Times New Roman" w:hAnsi="Times New Roman"/>
                <w:b/>
                <w:i/>
                <w:sz w:val="20"/>
                <w:szCs w:val="20"/>
              </w:rPr>
              <w:t>Discussant</w:t>
            </w:r>
            <w:r w:rsidRPr="00A169C9">
              <w:rPr>
                <w:rFonts w:ascii="Times New Roman" w:hAnsi="Times New Roman"/>
                <w:i/>
                <w:sz w:val="20"/>
                <w:szCs w:val="20"/>
              </w:rPr>
              <w:t xml:space="preserve"> </w:t>
            </w:r>
            <w:r w:rsidRPr="00A169C9">
              <w:rPr>
                <w:rFonts w:ascii="Times New Roman" w:hAnsi="Times New Roman"/>
                <w:sz w:val="20"/>
                <w:szCs w:val="20"/>
              </w:rPr>
              <w:t xml:space="preserve">– </w:t>
            </w:r>
            <w:r w:rsidR="00F243E7" w:rsidRPr="00A169C9">
              <w:rPr>
                <w:rFonts w:ascii="Times New Roman" w:hAnsi="Times New Roman"/>
                <w:sz w:val="20"/>
                <w:szCs w:val="20"/>
              </w:rPr>
              <w:t xml:space="preserve">a </w:t>
            </w:r>
            <w:r w:rsidRPr="00A169C9">
              <w:rPr>
                <w:rFonts w:ascii="Times New Roman" w:hAnsi="Times New Roman"/>
                <w:sz w:val="20"/>
                <w:szCs w:val="20"/>
              </w:rPr>
              <w:t xml:space="preserve">case study </w:t>
            </w:r>
            <w:r w:rsidR="00DF0CBD" w:rsidRPr="00A169C9">
              <w:rPr>
                <w:rFonts w:ascii="Times New Roman" w:hAnsi="Times New Roman"/>
                <w:sz w:val="20"/>
                <w:szCs w:val="20"/>
              </w:rPr>
              <w:t xml:space="preserve">for </w:t>
            </w:r>
            <w:r w:rsidRPr="00A169C9">
              <w:rPr>
                <w:rFonts w:ascii="Times New Roman" w:hAnsi="Times New Roman"/>
                <w:sz w:val="20"/>
                <w:szCs w:val="20"/>
              </w:rPr>
              <w:t>attribute analysis and refittings</w:t>
            </w:r>
            <w:r w:rsidR="00053650">
              <w:rPr>
                <w:rFonts w:ascii="Times New Roman" w:hAnsi="Times New Roman"/>
                <w:sz w:val="20"/>
                <w:szCs w:val="20"/>
              </w:rPr>
              <w:t>: A.L.</w:t>
            </w:r>
            <w:r w:rsidR="00CE2C98" w:rsidRPr="00A169C9">
              <w:rPr>
                <w:rFonts w:ascii="Times New Roman" w:hAnsi="Times New Roman"/>
                <w:sz w:val="20"/>
                <w:szCs w:val="20"/>
              </w:rPr>
              <w:t>894, Hadar (Ethiopia)</w:t>
            </w:r>
          </w:p>
        </w:tc>
        <w:tc>
          <w:tcPr>
            <w:tcW w:w="322" w:type="dxa"/>
            <w:vMerge/>
            <w:tcBorders>
              <w:left w:val="single" w:sz="12" w:space="0" w:color="000000"/>
              <w:right w:val="single" w:sz="12" w:space="0" w:color="000000"/>
            </w:tcBorders>
            <w:textDirection w:val="btLr"/>
            <w:vAlign w:val="center"/>
          </w:tcPr>
          <w:p w14:paraId="73D00A5E"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0F2AB5A8"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Marion Prévost</w:t>
            </w:r>
            <w:r w:rsidR="00870F11" w:rsidRPr="00A169C9">
              <w:rPr>
                <w:rFonts w:ascii="Times New Roman" w:hAnsi="Times New Roman"/>
                <w:b/>
                <w:sz w:val="20"/>
                <w:szCs w:val="20"/>
                <w:vertAlign w:val="superscript"/>
              </w:rPr>
              <w:t>6</w:t>
            </w:r>
          </w:p>
        </w:tc>
      </w:tr>
      <w:tr w:rsidR="00F243E7" w:rsidRPr="00A169C9" w14:paraId="5DD0F0EE" w14:textId="77777777" w:rsidTr="00053650">
        <w:trPr>
          <w:cantSplit/>
          <w:trHeight w:val="288"/>
        </w:trPr>
        <w:tc>
          <w:tcPr>
            <w:tcW w:w="322" w:type="dxa"/>
            <w:vMerge/>
            <w:tcBorders>
              <w:left w:val="single" w:sz="12" w:space="0" w:color="000000"/>
              <w:right w:val="single" w:sz="12" w:space="0" w:color="000000"/>
            </w:tcBorders>
            <w:vAlign w:val="center"/>
          </w:tcPr>
          <w:p w14:paraId="13BBB959"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23C2481A"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Alice Leplongeon</w:t>
            </w:r>
            <w:r w:rsidR="00870F11" w:rsidRPr="00A169C9">
              <w:rPr>
                <w:rFonts w:ascii="Times New Roman" w:hAnsi="Times New Roman"/>
                <w:b/>
                <w:sz w:val="20"/>
                <w:szCs w:val="20"/>
                <w:vertAlign w:val="superscript"/>
              </w:rPr>
              <w:t>2,8</w:t>
            </w:r>
          </w:p>
        </w:tc>
        <w:tc>
          <w:tcPr>
            <w:tcW w:w="709" w:type="dxa"/>
            <w:vAlign w:val="center"/>
          </w:tcPr>
          <w:p w14:paraId="6F54CCD5"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3</w:t>
            </w:r>
          </w:p>
        </w:tc>
        <w:tc>
          <w:tcPr>
            <w:tcW w:w="3868" w:type="dxa"/>
            <w:tcBorders>
              <w:right w:val="single" w:sz="12" w:space="0" w:color="000000"/>
            </w:tcBorders>
            <w:vAlign w:val="center"/>
          </w:tcPr>
          <w:p w14:paraId="2342FAD8" w14:textId="77777777" w:rsidR="008E4F33" w:rsidRPr="00A169C9" w:rsidRDefault="008E4F33" w:rsidP="00136320">
            <w:pPr>
              <w:pStyle w:val="p1"/>
              <w:jc w:val="center"/>
              <w:rPr>
                <w:rFonts w:ascii="Times New Roman" w:hAnsi="Times New Roman"/>
                <w:i/>
                <w:sz w:val="20"/>
                <w:szCs w:val="20"/>
              </w:rPr>
            </w:pPr>
            <w:r w:rsidRPr="00C23D09">
              <w:rPr>
                <w:rFonts w:ascii="Times New Roman" w:hAnsi="Times New Roman"/>
                <w:b/>
                <w:i/>
                <w:sz w:val="20"/>
                <w:szCs w:val="20"/>
              </w:rPr>
              <w:t>Organiser</w:t>
            </w:r>
            <w:r w:rsidR="00136320" w:rsidRPr="00A169C9">
              <w:rPr>
                <w:rFonts w:ascii="Times New Roman" w:hAnsi="Times New Roman"/>
                <w:i/>
                <w:sz w:val="20"/>
                <w:szCs w:val="20"/>
              </w:rPr>
              <w:t xml:space="preserve"> </w:t>
            </w:r>
            <w:r w:rsidR="00136320" w:rsidRPr="00A169C9">
              <w:rPr>
                <w:rFonts w:ascii="Times New Roman" w:hAnsi="Times New Roman"/>
                <w:sz w:val="20"/>
                <w:szCs w:val="20"/>
              </w:rPr>
              <w:t>– Testing the Back-to-Africa hypothesis using lithic artefacts</w:t>
            </w:r>
          </w:p>
        </w:tc>
        <w:tc>
          <w:tcPr>
            <w:tcW w:w="322" w:type="dxa"/>
            <w:vMerge/>
            <w:tcBorders>
              <w:left w:val="single" w:sz="12" w:space="0" w:color="000000"/>
              <w:right w:val="single" w:sz="12" w:space="0" w:color="000000"/>
            </w:tcBorders>
            <w:textDirection w:val="btLr"/>
            <w:vAlign w:val="center"/>
          </w:tcPr>
          <w:p w14:paraId="5B9E06DC"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587A1052" w14:textId="77777777" w:rsidR="008E4F33" w:rsidRPr="00A169C9" w:rsidRDefault="00870F11" w:rsidP="00136320">
            <w:pPr>
              <w:pStyle w:val="p1"/>
              <w:jc w:val="center"/>
              <w:rPr>
                <w:rFonts w:ascii="Times New Roman" w:hAnsi="Times New Roman"/>
                <w:b/>
                <w:sz w:val="20"/>
                <w:szCs w:val="20"/>
              </w:rPr>
            </w:pPr>
            <w:r w:rsidRPr="00A169C9">
              <w:rPr>
                <w:rFonts w:ascii="Times New Roman" w:hAnsi="Times New Roman"/>
                <w:b/>
                <w:sz w:val="20"/>
                <w:szCs w:val="20"/>
              </w:rPr>
              <w:t>Rachel</w:t>
            </w:r>
            <w:r w:rsidR="008E4F33" w:rsidRPr="00A169C9">
              <w:rPr>
                <w:rFonts w:ascii="Times New Roman" w:hAnsi="Times New Roman"/>
                <w:b/>
                <w:sz w:val="20"/>
                <w:szCs w:val="20"/>
              </w:rPr>
              <w:t xml:space="preserve"> Reckin</w:t>
            </w:r>
            <w:r w:rsidRPr="00A169C9">
              <w:rPr>
                <w:rFonts w:ascii="Times New Roman" w:hAnsi="Times New Roman"/>
                <w:b/>
                <w:sz w:val="20"/>
                <w:szCs w:val="20"/>
                <w:vertAlign w:val="superscript"/>
              </w:rPr>
              <w:t>8</w:t>
            </w:r>
          </w:p>
        </w:tc>
      </w:tr>
      <w:tr w:rsidR="00F243E7" w:rsidRPr="00A169C9" w14:paraId="128E8776" w14:textId="77777777" w:rsidTr="00053650">
        <w:trPr>
          <w:cantSplit/>
          <w:trHeight w:val="288"/>
        </w:trPr>
        <w:tc>
          <w:tcPr>
            <w:tcW w:w="322" w:type="dxa"/>
            <w:vMerge/>
            <w:tcBorders>
              <w:left w:val="single" w:sz="12" w:space="0" w:color="000000"/>
              <w:right w:val="single" w:sz="12" w:space="0" w:color="000000"/>
            </w:tcBorders>
            <w:vAlign w:val="center"/>
          </w:tcPr>
          <w:p w14:paraId="33B7BDD1"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2AF9CF39"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Shannon McPherron</w:t>
            </w:r>
            <w:r w:rsidR="00870F11" w:rsidRPr="00A169C9">
              <w:rPr>
                <w:rFonts w:ascii="Times New Roman" w:hAnsi="Times New Roman"/>
                <w:b/>
                <w:sz w:val="20"/>
                <w:szCs w:val="20"/>
                <w:vertAlign w:val="superscript"/>
              </w:rPr>
              <w:t>9</w:t>
            </w:r>
          </w:p>
        </w:tc>
        <w:tc>
          <w:tcPr>
            <w:tcW w:w="709" w:type="dxa"/>
            <w:vAlign w:val="center"/>
          </w:tcPr>
          <w:p w14:paraId="4C8F7E72"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2</w:t>
            </w:r>
          </w:p>
        </w:tc>
        <w:tc>
          <w:tcPr>
            <w:tcW w:w="3868" w:type="dxa"/>
            <w:tcBorders>
              <w:right w:val="single" w:sz="12" w:space="0" w:color="000000"/>
            </w:tcBorders>
            <w:vAlign w:val="center"/>
          </w:tcPr>
          <w:p w14:paraId="37F2B2DB" w14:textId="77777777" w:rsidR="008E4F33" w:rsidRPr="00A169C9" w:rsidRDefault="008E4F33" w:rsidP="00136320">
            <w:pPr>
              <w:pStyle w:val="p1"/>
              <w:jc w:val="center"/>
              <w:rPr>
                <w:rFonts w:ascii="Times New Roman" w:hAnsi="Times New Roman"/>
                <w:sz w:val="20"/>
                <w:szCs w:val="20"/>
              </w:rPr>
            </w:pPr>
            <w:r w:rsidRPr="00053650">
              <w:rPr>
                <w:rFonts w:ascii="Times New Roman" w:hAnsi="Times New Roman"/>
                <w:b/>
                <w:i/>
                <w:sz w:val="20"/>
                <w:szCs w:val="20"/>
              </w:rPr>
              <w:t>Discussant</w:t>
            </w:r>
            <w:r w:rsidR="00136320" w:rsidRPr="00A169C9">
              <w:rPr>
                <w:rFonts w:ascii="Times New Roman" w:hAnsi="Times New Roman"/>
                <w:i/>
                <w:sz w:val="20"/>
                <w:szCs w:val="20"/>
              </w:rPr>
              <w:t xml:space="preserve"> </w:t>
            </w:r>
            <w:r w:rsidR="00136320" w:rsidRPr="00A169C9">
              <w:rPr>
                <w:rFonts w:ascii="Times New Roman" w:hAnsi="Times New Roman"/>
                <w:sz w:val="20"/>
                <w:szCs w:val="20"/>
              </w:rPr>
              <w:t>– Building large attribute databases of Middle Palaeolithic lithics</w:t>
            </w:r>
          </w:p>
        </w:tc>
        <w:tc>
          <w:tcPr>
            <w:tcW w:w="322" w:type="dxa"/>
            <w:vMerge/>
            <w:tcBorders>
              <w:left w:val="single" w:sz="12" w:space="0" w:color="000000"/>
              <w:right w:val="single" w:sz="12" w:space="0" w:color="000000"/>
            </w:tcBorders>
            <w:textDirection w:val="btLr"/>
            <w:vAlign w:val="center"/>
          </w:tcPr>
          <w:p w14:paraId="74C4546C"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2AE79D69"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Ann Van Baelen</w:t>
            </w:r>
            <w:r w:rsidR="00870F11" w:rsidRPr="00A169C9">
              <w:rPr>
                <w:rFonts w:ascii="Times New Roman" w:hAnsi="Times New Roman"/>
                <w:b/>
                <w:sz w:val="20"/>
                <w:szCs w:val="20"/>
                <w:vertAlign w:val="superscript"/>
              </w:rPr>
              <w:t>8</w:t>
            </w:r>
          </w:p>
        </w:tc>
      </w:tr>
      <w:tr w:rsidR="00F243E7" w:rsidRPr="00A169C9" w14:paraId="15A78B58" w14:textId="77777777" w:rsidTr="00053650">
        <w:trPr>
          <w:cantSplit/>
          <w:trHeight w:val="288"/>
        </w:trPr>
        <w:tc>
          <w:tcPr>
            <w:tcW w:w="322" w:type="dxa"/>
            <w:vMerge/>
            <w:tcBorders>
              <w:left w:val="single" w:sz="12" w:space="0" w:color="000000"/>
              <w:right w:val="single" w:sz="12" w:space="0" w:color="000000"/>
            </w:tcBorders>
            <w:vAlign w:val="center"/>
          </w:tcPr>
          <w:p w14:paraId="00EF63D5"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7AD58B10"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Marie-Hélène Moncel</w:t>
            </w:r>
            <w:r w:rsidR="00870F11" w:rsidRPr="00A169C9">
              <w:rPr>
                <w:rFonts w:ascii="Times New Roman" w:hAnsi="Times New Roman"/>
                <w:b/>
                <w:sz w:val="20"/>
                <w:szCs w:val="20"/>
                <w:vertAlign w:val="superscript"/>
              </w:rPr>
              <w:t>2</w:t>
            </w:r>
          </w:p>
        </w:tc>
        <w:tc>
          <w:tcPr>
            <w:tcW w:w="709" w:type="dxa"/>
            <w:vAlign w:val="center"/>
          </w:tcPr>
          <w:p w14:paraId="6D44D6DA"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2</w:t>
            </w:r>
          </w:p>
        </w:tc>
        <w:tc>
          <w:tcPr>
            <w:tcW w:w="3868" w:type="dxa"/>
            <w:tcBorders>
              <w:right w:val="single" w:sz="12" w:space="0" w:color="000000"/>
            </w:tcBorders>
            <w:vAlign w:val="center"/>
          </w:tcPr>
          <w:p w14:paraId="04F3601C"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Variability in the French Acheulean and Middle Palaeolithic</w:t>
            </w:r>
          </w:p>
        </w:tc>
        <w:tc>
          <w:tcPr>
            <w:tcW w:w="322" w:type="dxa"/>
            <w:vMerge/>
            <w:tcBorders>
              <w:left w:val="single" w:sz="12" w:space="0" w:color="000000"/>
              <w:right w:val="single" w:sz="12" w:space="0" w:color="000000"/>
            </w:tcBorders>
            <w:textDirection w:val="btLr"/>
            <w:vAlign w:val="center"/>
          </w:tcPr>
          <w:p w14:paraId="07BACFD7"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right w:val="single" w:sz="12" w:space="0" w:color="000000"/>
            </w:tcBorders>
            <w:vAlign w:val="center"/>
          </w:tcPr>
          <w:p w14:paraId="24C43164" w14:textId="6211D58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Manuel Will</w:t>
            </w:r>
            <w:r w:rsidR="001E13DC" w:rsidRPr="00A169C9">
              <w:rPr>
                <w:rFonts w:ascii="Times New Roman" w:hAnsi="Times New Roman"/>
                <w:b/>
                <w:sz w:val="20"/>
                <w:szCs w:val="20"/>
                <w:vertAlign w:val="superscript"/>
              </w:rPr>
              <w:t>3,</w:t>
            </w:r>
            <w:r w:rsidR="00870F11" w:rsidRPr="00A169C9">
              <w:rPr>
                <w:rFonts w:ascii="Times New Roman" w:hAnsi="Times New Roman"/>
                <w:b/>
                <w:sz w:val="20"/>
                <w:szCs w:val="20"/>
                <w:vertAlign w:val="superscript"/>
              </w:rPr>
              <w:t>8</w:t>
            </w:r>
          </w:p>
        </w:tc>
      </w:tr>
      <w:tr w:rsidR="00F243E7" w:rsidRPr="00A169C9" w14:paraId="17120764" w14:textId="77777777" w:rsidTr="00053650">
        <w:trPr>
          <w:cantSplit/>
          <w:trHeight w:val="539"/>
        </w:trPr>
        <w:tc>
          <w:tcPr>
            <w:tcW w:w="322" w:type="dxa"/>
            <w:vMerge/>
            <w:tcBorders>
              <w:left w:val="single" w:sz="12" w:space="0" w:color="000000"/>
              <w:right w:val="single" w:sz="12" w:space="0" w:color="000000"/>
            </w:tcBorders>
            <w:vAlign w:val="center"/>
          </w:tcPr>
          <w:p w14:paraId="5799636B"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3287DF68"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Giuseppina Mutri</w:t>
            </w:r>
            <w:r w:rsidR="00870F11" w:rsidRPr="00A169C9">
              <w:rPr>
                <w:rFonts w:ascii="Times New Roman" w:hAnsi="Times New Roman"/>
                <w:b/>
                <w:sz w:val="20"/>
                <w:szCs w:val="20"/>
                <w:vertAlign w:val="superscript"/>
              </w:rPr>
              <w:t>*8</w:t>
            </w:r>
          </w:p>
        </w:tc>
        <w:tc>
          <w:tcPr>
            <w:tcW w:w="709" w:type="dxa"/>
            <w:vAlign w:val="center"/>
          </w:tcPr>
          <w:p w14:paraId="219262F6" w14:textId="77777777" w:rsidR="008E4F33" w:rsidRPr="00A169C9" w:rsidRDefault="007E50DE" w:rsidP="00136320">
            <w:pPr>
              <w:pStyle w:val="p1"/>
              <w:jc w:val="center"/>
              <w:rPr>
                <w:rFonts w:ascii="Times New Roman" w:hAnsi="Times New Roman"/>
                <w:sz w:val="20"/>
                <w:szCs w:val="20"/>
              </w:rPr>
            </w:pPr>
            <w:r w:rsidRPr="00A169C9">
              <w:rPr>
                <w:rFonts w:ascii="Times New Roman" w:hAnsi="Times New Roman"/>
                <w:sz w:val="20"/>
                <w:szCs w:val="20"/>
              </w:rPr>
              <w:t>1</w:t>
            </w:r>
          </w:p>
        </w:tc>
        <w:tc>
          <w:tcPr>
            <w:tcW w:w="3868" w:type="dxa"/>
            <w:tcBorders>
              <w:right w:val="single" w:sz="12" w:space="0" w:color="000000"/>
            </w:tcBorders>
            <w:vAlign w:val="center"/>
          </w:tcPr>
          <w:p w14:paraId="07EB4A77" w14:textId="77777777" w:rsidR="008E4F33" w:rsidRPr="00A169C9" w:rsidRDefault="007E50DE" w:rsidP="00136320">
            <w:pPr>
              <w:pStyle w:val="p1"/>
              <w:jc w:val="center"/>
              <w:rPr>
                <w:rFonts w:ascii="Times New Roman" w:hAnsi="Times New Roman"/>
                <w:sz w:val="20"/>
                <w:szCs w:val="20"/>
              </w:rPr>
            </w:pPr>
            <w:r w:rsidRPr="00A169C9">
              <w:rPr>
                <w:rFonts w:ascii="Times New Roman" w:hAnsi="Times New Roman"/>
                <w:sz w:val="20"/>
                <w:szCs w:val="20"/>
              </w:rPr>
              <w:t>Techno-functional interpretation of bladelet technology</w:t>
            </w:r>
          </w:p>
        </w:tc>
        <w:tc>
          <w:tcPr>
            <w:tcW w:w="322" w:type="dxa"/>
            <w:vMerge/>
            <w:tcBorders>
              <w:left w:val="single" w:sz="12" w:space="0" w:color="000000"/>
              <w:right w:val="single" w:sz="12" w:space="0" w:color="000000"/>
            </w:tcBorders>
            <w:textDirection w:val="btLr"/>
            <w:vAlign w:val="center"/>
          </w:tcPr>
          <w:p w14:paraId="68947B90"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left w:val="single" w:sz="12" w:space="0" w:color="000000"/>
              <w:bottom w:val="nil"/>
              <w:right w:val="single" w:sz="12" w:space="0" w:color="000000"/>
            </w:tcBorders>
            <w:vAlign w:val="center"/>
          </w:tcPr>
          <w:p w14:paraId="23553654" w14:textId="77777777" w:rsidR="008E4F33" w:rsidRPr="00A169C9" w:rsidRDefault="008E4F33" w:rsidP="00136320">
            <w:pPr>
              <w:pStyle w:val="p1"/>
              <w:jc w:val="center"/>
              <w:rPr>
                <w:rFonts w:ascii="Times New Roman" w:hAnsi="Times New Roman"/>
                <w:sz w:val="20"/>
                <w:szCs w:val="20"/>
              </w:rPr>
            </w:pPr>
          </w:p>
        </w:tc>
      </w:tr>
      <w:tr w:rsidR="00F243E7" w:rsidRPr="00A169C9" w14:paraId="4CA79E06" w14:textId="77777777" w:rsidTr="00053650">
        <w:trPr>
          <w:cantSplit/>
          <w:trHeight w:val="288"/>
        </w:trPr>
        <w:tc>
          <w:tcPr>
            <w:tcW w:w="322" w:type="dxa"/>
            <w:vMerge/>
            <w:tcBorders>
              <w:left w:val="single" w:sz="12" w:space="0" w:color="000000"/>
              <w:right w:val="single" w:sz="12" w:space="0" w:color="000000"/>
            </w:tcBorders>
            <w:vAlign w:val="center"/>
          </w:tcPr>
          <w:p w14:paraId="29B236C2"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34EB897E"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Eleanor Scerri</w:t>
            </w:r>
            <w:r w:rsidR="00870F11" w:rsidRPr="00A169C9">
              <w:rPr>
                <w:rFonts w:ascii="Times New Roman" w:hAnsi="Times New Roman"/>
                <w:b/>
                <w:sz w:val="20"/>
                <w:szCs w:val="20"/>
                <w:vertAlign w:val="superscript"/>
              </w:rPr>
              <w:t>7</w:t>
            </w:r>
          </w:p>
        </w:tc>
        <w:tc>
          <w:tcPr>
            <w:tcW w:w="709" w:type="dxa"/>
            <w:vAlign w:val="center"/>
          </w:tcPr>
          <w:p w14:paraId="4B067885"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3</w:t>
            </w:r>
          </w:p>
        </w:tc>
        <w:tc>
          <w:tcPr>
            <w:tcW w:w="3868" w:type="dxa"/>
            <w:tcBorders>
              <w:right w:val="single" w:sz="12" w:space="0" w:color="000000"/>
            </w:tcBorders>
            <w:vAlign w:val="center"/>
          </w:tcPr>
          <w:p w14:paraId="524A66AC" w14:textId="77777777" w:rsidR="008E4F33" w:rsidRPr="00A169C9" w:rsidRDefault="008E4F33" w:rsidP="00136320">
            <w:pPr>
              <w:pStyle w:val="p1"/>
              <w:jc w:val="center"/>
              <w:rPr>
                <w:rFonts w:ascii="Times New Roman" w:hAnsi="Times New Roman"/>
                <w:sz w:val="20"/>
                <w:szCs w:val="20"/>
              </w:rPr>
            </w:pPr>
            <w:r w:rsidRPr="00053650">
              <w:rPr>
                <w:rFonts w:ascii="Times New Roman" w:hAnsi="Times New Roman"/>
                <w:b/>
                <w:i/>
                <w:sz w:val="20"/>
                <w:szCs w:val="20"/>
              </w:rPr>
              <w:t>Discussant</w:t>
            </w:r>
            <w:r w:rsidR="00136320" w:rsidRPr="00A169C9">
              <w:rPr>
                <w:rFonts w:ascii="Times New Roman" w:hAnsi="Times New Roman"/>
                <w:i/>
                <w:sz w:val="20"/>
                <w:szCs w:val="20"/>
              </w:rPr>
              <w:t xml:space="preserve"> </w:t>
            </w:r>
            <w:r w:rsidR="00136320" w:rsidRPr="00A169C9">
              <w:rPr>
                <w:rFonts w:ascii="Times New Roman" w:hAnsi="Times New Roman"/>
                <w:sz w:val="20"/>
                <w:szCs w:val="20"/>
              </w:rPr>
              <w:t>– Understanding and using multivariate methods in lithic analysis</w:t>
            </w:r>
          </w:p>
        </w:tc>
        <w:tc>
          <w:tcPr>
            <w:tcW w:w="322" w:type="dxa"/>
            <w:vMerge/>
            <w:tcBorders>
              <w:left w:val="single" w:sz="12" w:space="0" w:color="000000"/>
              <w:right w:val="single" w:sz="12" w:space="0" w:color="000000"/>
            </w:tcBorders>
            <w:textDirection w:val="btLr"/>
            <w:vAlign w:val="center"/>
          </w:tcPr>
          <w:p w14:paraId="0B51C4F5"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top w:val="nil"/>
              <w:left w:val="single" w:sz="12" w:space="0" w:color="000000"/>
              <w:bottom w:val="nil"/>
              <w:right w:val="single" w:sz="12" w:space="0" w:color="000000"/>
            </w:tcBorders>
            <w:vAlign w:val="center"/>
          </w:tcPr>
          <w:p w14:paraId="5AFD90C4" w14:textId="77777777" w:rsidR="008E4F33" w:rsidRPr="00A169C9" w:rsidRDefault="008E4F33" w:rsidP="00136320">
            <w:pPr>
              <w:pStyle w:val="p1"/>
              <w:jc w:val="center"/>
              <w:rPr>
                <w:rFonts w:ascii="Times New Roman" w:hAnsi="Times New Roman"/>
                <w:sz w:val="20"/>
                <w:szCs w:val="20"/>
              </w:rPr>
            </w:pPr>
          </w:p>
        </w:tc>
      </w:tr>
      <w:tr w:rsidR="00F243E7" w:rsidRPr="00A169C9" w14:paraId="389DF2DA" w14:textId="77777777" w:rsidTr="00053650">
        <w:trPr>
          <w:cantSplit/>
          <w:trHeight w:val="288"/>
        </w:trPr>
        <w:tc>
          <w:tcPr>
            <w:tcW w:w="322" w:type="dxa"/>
            <w:vMerge/>
            <w:tcBorders>
              <w:left w:val="single" w:sz="12" w:space="0" w:color="000000"/>
              <w:right w:val="single" w:sz="12" w:space="0" w:color="000000"/>
            </w:tcBorders>
            <w:vAlign w:val="center"/>
          </w:tcPr>
          <w:p w14:paraId="55661875"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48C516E5"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Ceri Shipton</w:t>
            </w:r>
            <w:r w:rsidR="00870F11" w:rsidRPr="00A169C9">
              <w:rPr>
                <w:rFonts w:ascii="Times New Roman" w:hAnsi="Times New Roman"/>
                <w:b/>
                <w:sz w:val="20"/>
                <w:szCs w:val="20"/>
                <w:vertAlign w:val="superscript"/>
              </w:rPr>
              <w:t>8</w:t>
            </w:r>
            <w:r w:rsidR="00214370" w:rsidRPr="00A169C9">
              <w:rPr>
                <w:rFonts w:ascii="Times New Roman" w:hAnsi="Times New Roman"/>
                <w:b/>
                <w:sz w:val="20"/>
                <w:szCs w:val="20"/>
              </w:rPr>
              <w:t xml:space="preserve"> &amp; James Blinkhorn</w:t>
            </w:r>
            <w:r w:rsidR="00870F11" w:rsidRPr="00A169C9">
              <w:rPr>
                <w:rFonts w:ascii="Times New Roman" w:hAnsi="Times New Roman"/>
                <w:b/>
                <w:sz w:val="20"/>
                <w:szCs w:val="20"/>
                <w:vertAlign w:val="superscript"/>
              </w:rPr>
              <w:t>8</w:t>
            </w:r>
            <w:r w:rsidR="008F0A2F" w:rsidRPr="00A169C9">
              <w:rPr>
                <w:rFonts w:ascii="Times New Roman" w:hAnsi="Times New Roman"/>
                <w:b/>
                <w:sz w:val="20"/>
                <w:szCs w:val="20"/>
                <w:vertAlign w:val="superscript"/>
              </w:rPr>
              <w:t>,10</w:t>
            </w:r>
          </w:p>
        </w:tc>
        <w:tc>
          <w:tcPr>
            <w:tcW w:w="709" w:type="dxa"/>
            <w:vAlign w:val="center"/>
          </w:tcPr>
          <w:p w14:paraId="4C0C3997" w14:textId="77777777" w:rsidR="008E4F33" w:rsidRPr="00A169C9" w:rsidRDefault="008E4F33" w:rsidP="00136320">
            <w:pPr>
              <w:pStyle w:val="p1"/>
              <w:jc w:val="center"/>
              <w:rPr>
                <w:rFonts w:ascii="Times New Roman" w:hAnsi="Times New Roman"/>
                <w:sz w:val="20"/>
                <w:szCs w:val="20"/>
              </w:rPr>
            </w:pPr>
            <w:r w:rsidRPr="00A169C9">
              <w:rPr>
                <w:rFonts w:ascii="Times New Roman" w:hAnsi="Times New Roman"/>
                <w:sz w:val="20"/>
                <w:szCs w:val="20"/>
              </w:rPr>
              <w:t>1</w:t>
            </w:r>
          </w:p>
        </w:tc>
        <w:tc>
          <w:tcPr>
            <w:tcW w:w="3868" w:type="dxa"/>
            <w:tcBorders>
              <w:right w:val="single" w:sz="12" w:space="0" w:color="000000"/>
            </w:tcBorders>
            <w:vAlign w:val="center"/>
          </w:tcPr>
          <w:p w14:paraId="0C0A2D00" w14:textId="77777777" w:rsidR="008E4F33" w:rsidRPr="00A169C9" w:rsidRDefault="008E4F33" w:rsidP="00136320">
            <w:pPr>
              <w:pStyle w:val="p1"/>
              <w:jc w:val="center"/>
              <w:rPr>
                <w:rFonts w:ascii="Times New Roman" w:hAnsi="Times New Roman"/>
                <w:sz w:val="20"/>
                <w:szCs w:val="20"/>
              </w:rPr>
            </w:pPr>
            <w:r w:rsidRPr="00A169C9">
              <w:rPr>
                <w:rFonts w:ascii="Times New Roman" w:hAnsi="Times New Roman"/>
                <w:sz w:val="20"/>
                <w:szCs w:val="20"/>
              </w:rPr>
              <w:t>“One trench, thirty thousand lithics” – sampling and analytical strategy</w:t>
            </w:r>
          </w:p>
        </w:tc>
        <w:tc>
          <w:tcPr>
            <w:tcW w:w="322" w:type="dxa"/>
            <w:vMerge/>
            <w:tcBorders>
              <w:left w:val="single" w:sz="12" w:space="0" w:color="000000"/>
              <w:right w:val="single" w:sz="12" w:space="0" w:color="000000"/>
            </w:tcBorders>
            <w:textDirection w:val="btLr"/>
            <w:vAlign w:val="center"/>
          </w:tcPr>
          <w:p w14:paraId="7D6D15FD"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top w:val="nil"/>
              <w:left w:val="single" w:sz="12" w:space="0" w:color="000000"/>
              <w:bottom w:val="nil"/>
              <w:right w:val="single" w:sz="12" w:space="0" w:color="000000"/>
            </w:tcBorders>
            <w:vAlign w:val="center"/>
          </w:tcPr>
          <w:p w14:paraId="5CF18591" w14:textId="77777777" w:rsidR="008E4F33" w:rsidRPr="00A169C9" w:rsidRDefault="008E4F33" w:rsidP="00136320">
            <w:pPr>
              <w:pStyle w:val="p1"/>
              <w:jc w:val="center"/>
              <w:rPr>
                <w:rFonts w:ascii="Times New Roman" w:hAnsi="Times New Roman"/>
                <w:sz w:val="20"/>
                <w:szCs w:val="20"/>
              </w:rPr>
            </w:pPr>
          </w:p>
        </w:tc>
      </w:tr>
      <w:tr w:rsidR="00F243E7" w:rsidRPr="00A169C9" w14:paraId="3DE46370" w14:textId="77777777" w:rsidTr="00053650">
        <w:trPr>
          <w:cantSplit/>
          <w:trHeight w:val="288"/>
        </w:trPr>
        <w:tc>
          <w:tcPr>
            <w:tcW w:w="322" w:type="dxa"/>
            <w:vMerge/>
            <w:tcBorders>
              <w:left w:val="single" w:sz="12" w:space="0" w:color="000000"/>
              <w:right w:val="single" w:sz="12" w:space="0" w:color="000000"/>
            </w:tcBorders>
            <w:vAlign w:val="center"/>
          </w:tcPr>
          <w:p w14:paraId="1E7A739B" w14:textId="77777777" w:rsidR="008E4F33" w:rsidRPr="00A169C9" w:rsidRDefault="008E4F33" w:rsidP="00136320">
            <w:pPr>
              <w:pStyle w:val="p1"/>
              <w:jc w:val="center"/>
              <w:rPr>
                <w:rFonts w:ascii="Times New Roman" w:hAnsi="Times New Roman"/>
                <w:sz w:val="20"/>
                <w:szCs w:val="20"/>
              </w:rPr>
            </w:pPr>
          </w:p>
        </w:tc>
        <w:tc>
          <w:tcPr>
            <w:tcW w:w="2073" w:type="dxa"/>
            <w:tcBorders>
              <w:left w:val="single" w:sz="12" w:space="0" w:color="000000"/>
            </w:tcBorders>
            <w:vAlign w:val="center"/>
          </w:tcPr>
          <w:p w14:paraId="5AB1D60D"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Gilbert Tostevin</w:t>
            </w:r>
            <w:r w:rsidR="00870F11" w:rsidRPr="00A169C9">
              <w:rPr>
                <w:rFonts w:ascii="Times New Roman" w:hAnsi="Times New Roman"/>
                <w:b/>
                <w:sz w:val="20"/>
                <w:szCs w:val="20"/>
                <w:vertAlign w:val="superscript"/>
              </w:rPr>
              <w:t>1</w:t>
            </w:r>
            <w:r w:rsidR="008F0A2F" w:rsidRPr="00A169C9">
              <w:rPr>
                <w:rFonts w:ascii="Times New Roman" w:hAnsi="Times New Roman"/>
                <w:b/>
                <w:sz w:val="20"/>
                <w:szCs w:val="20"/>
                <w:vertAlign w:val="superscript"/>
              </w:rPr>
              <w:t>1</w:t>
            </w:r>
          </w:p>
        </w:tc>
        <w:tc>
          <w:tcPr>
            <w:tcW w:w="709" w:type="dxa"/>
            <w:vAlign w:val="center"/>
          </w:tcPr>
          <w:p w14:paraId="736D9B45" w14:textId="77777777" w:rsidR="008E4F33" w:rsidRPr="00A169C9" w:rsidRDefault="00136320" w:rsidP="00136320">
            <w:pPr>
              <w:pStyle w:val="p1"/>
              <w:jc w:val="center"/>
              <w:rPr>
                <w:rFonts w:ascii="Times New Roman" w:hAnsi="Times New Roman"/>
                <w:sz w:val="20"/>
                <w:szCs w:val="20"/>
              </w:rPr>
            </w:pPr>
            <w:r w:rsidRPr="00A169C9">
              <w:rPr>
                <w:rFonts w:ascii="Times New Roman" w:hAnsi="Times New Roman"/>
                <w:sz w:val="20"/>
                <w:szCs w:val="20"/>
              </w:rPr>
              <w:t>3</w:t>
            </w:r>
          </w:p>
        </w:tc>
        <w:tc>
          <w:tcPr>
            <w:tcW w:w="3868" w:type="dxa"/>
            <w:tcBorders>
              <w:right w:val="single" w:sz="12" w:space="0" w:color="000000"/>
            </w:tcBorders>
            <w:vAlign w:val="center"/>
          </w:tcPr>
          <w:p w14:paraId="4EEA8B25" w14:textId="77777777" w:rsidR="008E4F33" w:rsidRPr="00A169C9" w:rsidRDefault="008E4F33" w:rsidP="00136320">
            <w:pPr>
              <w:pStyle w:val="p1"/>
              <w:jc w:val="center"/>
              <w:rPr>
                <w:rFonts w:ascii="Times New Roman" w:hAnsi="Times New Roman"/>
                <w:sz w:val="20"/>
                <w:szCs w:val="20"/>
              </w:rPr>
            </w:pPr>
            <w:r w:rsidRPr="00053650">
              <w:rPr>
                <w:rFonts w:ascii="Times New Roman" w:hAnsi="Times New Roman"/>
                <w:b/>
                <w:i/>
                <w:sz w:val="20"/>
                <w:szCs w:val="20"/>
              </w:rPr>
              <w:t>Discussant</w:t>
            </w:r>
            <w:r w:rsidR="00136320" w:rsidRPr="00A169C9">
              <w:rPr>
                <w:rFonts w:ascii="Times New Roman" w:hAnsi="Times New Roman"/>
                <w:i/>
                <w:sz w:val="20"/>
                <w:szCs w:val="20"/>
              </w:rPr>
              <w:t xml:space="preserve"> </w:t>
            </w:r>
            <w:r w:rsidR="00136320" w:rsidRPr="00A169C9">
              <w:rPr>
                <w:rFonts w:ascii="Times New Roman" w:hAnsi="Times New Roman"/>
                <w:sz w:val="20"/>
                <w:szCs w:val="20"/>
              </w:rPr>
              <w:t>– Refits, attributes and analytical choices in studying lithic technology</w:t>
            </w:r>
          </w:p>
        </w:tc>
        <w:tc>
          <w:tcPr>
            <w:tcW w:w="322" w:type="dxa"/>
            <w:vMerge/>
            <w:tcBorders>
              <w:left w:val="single" w:sz="12" w:space="0" w:color="000000"/>
              <w:right w:val="single" w:sz="12" w:space="0" w:color="000000"/>
            </w:tcBorders>
            <w:textDirection w:val="btLr"/>
            <w:vAlign w:val="center"/>
          </w:tcPr>
          <w:p w14:paraId="16E8E5A2"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top w:val="nil"/>
              <w:left w:val="single" w:sz="12" w:space="0" w:color="000000"/>
              <w:bottom w:val="nil"/>
              <w:right w:val="single" w:sz="12" w:space="0" w:color="000000"/>
            </w:tcBorders>
            <w:vAlign w:val="center"/>
          </w:tcPr>
          <w:p w14:paraId="7FBE2D7F" w14:textId="77777777" w:rsidR="008E4F33" w:rsidRPr="00A169C9" w:rsidRDefault="008E4F33" w:rsidP="00136320">
            <w:pPr>
              <w:pStyle w:val="p1"/>
              <w:jc w:val="center"/>
              <w:rPr>
                <w:rFonts w:ascii="Times New Roman" w:hAnsi="Times New Roman"/>
                <w:sz w:val="20"/>
                <w:szCs w:val="20"/>
              </w:rPr>
            </w:pPr>
          </w:p>
        </w:tc>
      </w:tr>
      <w:tr w:rsidR="00F243E7" w:rsidRPr="00A169C9" w14:paraId="438FAB8F" w14:textId="77777777" w:rsidTr="00053650">
        <w:trPr>
          <w:cantSplit/>
          <w:trHeight w:val="288"/>
        </w:trPr>
        <w:tc>
          <w:tcPr>
            <w:tcW w:w="322" w:type="dxa"/>
            <w:vMerge/>
            <w:tcBorders>
              <w:top w:val="nil"/>
              <w:left w:val="single" w:sz="12" w:space="0" w:color="000000"/>
              <w:bottom w:val="single" w:sz="12" w:space="0" w:color="000000"/>
              <w:right w:val="single" w:sz="12" w:space="0" w:color="000000"/>
            </w:tcBorders>
            <w:vAlign w:val="center"/>
          </w:tcPr>
          <w:p w14:paraId="7DC794BA" w14:textId="77777777" w:rsidR="008E4F33" w:rsidRPr="00A169C9" w:rsidRDefault="008E4F33" w:rsidP="00136320">
            <w:pPr>
              <w:pStyle w:val="p1"/>
              <w:jc w:val="center"/>
              <w:rPr>
                <w:rFonts w:ascii="Times New Roman" w:hAnsi="Times New Roman"/>
                <w:sz w:val="20"/>
                <w:szCs w:val="20"/>
              </w:rPr>
            </w:pPr>
          </w:p>
        </w:tc>
        <w:tc>
          <w:tcPr>
            <w:tcW w:w="2073" w:type="dxa"/>
            <w:tcBorders>
              <w:top w:val="nil"/>
              <w:left w:val="single" w:sz="12" w:space="0" w:color="000000"/>
              <w:bottom w:val="single" w:sz="12" w:space="0" w:color="000000"/>
            </w:tcBorders>
            <w:vAlign w:val="center"/>
          </w:tcPr>
          <w:p w14:paraId="6CA1A9FD" w14:textId="77777777" w:rsidR="008E4F33" w:rsidRPr="00A169C9" w:rsidRDefault="008E4F33" w:rsidP="00136320">
            <w:pPr>
              <w:pStyle w:val="p1"/>
              <w:jc w:val="center"/>
              <w:rPr>
                <w:rFonts w:ascii="Times New Roman" w:hAnsi="Times New Roman"/>
                <w:b/>
                <w:sz w:val="20"/>
                <w:szCs w:val="20"/>
              </w:rPr>
            </w:pPr>
            <w:r w:rsidRPr="00A169C9">
              <w:rPr>
                <w:rFonts w:ascii="Times New Roman" w:hAnsi="Times New Roman"/>
                <w:b/>
                <w:sz w:val="20"/>
                <w:szCs w:val="20"/>
              </w:rPr>
              <w:t>Hermine Xhauflair</w:t>
            </w:r>
            <w:r w:rsidR="00870F11" w:rsidRPr="00A169C9">
              <w:rPr>
                <w:rFonts w:ascii="Times New Roman" w:hAnsi="Times New Roman"/>
                <w:b/>
                <w:sz w:val="20"/>
                <w:szCs w:val="20"/>
                <w:vertAlign w:val="superscript"/>
              </w:rPr>
              <w:t>2,8</w:t>
            </w:r>
          </w:p>
        </w:tc>
        <w:tc>
          <w:tcPr>
            <w:tcW w:w="709" w:type="dxa"/>
            <w:tcBorders>
              <w:top w:val="nil"/>
              <w:bottom w:val="single" w:sz="12" w:space="0" w:color="000000"/>
            </w:tcBorders>
            <w:vAlign w:val="center"/>
          </w:tcPr>
          <w:p w14:paraId="11034A05" w14:textId="77777777" w:rsidR="008E4F33" w:rsidRPr="00A169C9" w:rsidRDefault="008E4F33" w:rsidP="00136320">
            <w:pPr>
              <w:pStyle w:val="p1"/>
              <w:jc w:val="center"/>
              <w:rPr>
                <w:rFonts w:ascii="Times New Roman" w:hAnsi="Times New Roman"/>
                <w:sz w:val="20"/>
                <w:szCs w:val="20"/>
              </w:rPr>
            </w:pPr>
            <w:r w:rsidRPr="00A169C9">
              <w:rPr>
                <w:rFonts w:ascii="Times New Roman" w:hAnsi="Times New Roman"/>
                <w:sz w:val="20"/>
                <w:szCs w:val="20"/>
              </w:rPr>
              <w:t>1</w:t>
            </w:r>
          </w:p>
        </w:tc>
        <w:tc>
          <w:tcPr>
            <w:tcW w:w="3868" w:type="dxa"/>
            <w:tcBorders>
              <w:top w:val="nil"/>
              <w:bottom w:val="single" w:sz="12" w:space="0" w:color="000000"/>
              <w:right w:val="single" w:sz="12" w:space="0" w:color="000000"/>
            </w:tcBorders>
            <w:vAlign w:val="center"/>
          </w:tcPr>
          <w:p w14:paraId="463B6613" w14:textId="77777777" w:rsidR="008E4F33" w:rsidRPr="00A169C9" w:rsidRDefault="007E50DE" w:rsidP="00DF0CBD">
            <w:pPr>
              <w:pStyle w:val="p1"/>
              <w:jc w:val="center"/>
              <w:rPr>
                <w:rFonts w:ascii="Times New Roman" w:hAnsi="Times New Roman"/>
                <w:sz w:val="20"/>
                <w:szCs w:val="20"/>
              </w:rPr>
            </w:pPr>
            <w:r w:rsidRPr="00A169C9">
              <w:rPr>
                <w:rFonts w:ascii="Times New Roman" w:hAnsi="Times New Roman"/>
                <w:sz w:val="20"/>
                <w:szCs w:val="20"/>
              </w:rPr>
              <w:t>On the</w:t>
            </w:r>
            <w:r w:rsidR="00DF0CBD" w:rsidRPr="00A169C9">
              <w:rPr>
                <w:rFonts w:ascii="Times New Roman" w:hAnsi="Times New Roman"/>
                <w:sz w:val="20"/>
                <w:szCs w:val="20"/>
              </w:rPr>
              <w:t xml:space="preserve"> intentional or fortuitous</w:t>
            </w:r>
            <w:r w:rsidRPr="00A169C9">
              <w:rPr>
                <w:rFonts w:ascii="Times New Roman" w:hAnsi="Times New Roman"/>
                <w:sz w:val="20"/>
                <w:szCs w:val="20"/>
              </w:rPr>
              <w:t xml:space="preserve"> shape of South East Asian denticulates</w:t>
            </w:r>
          </w:p>
        </w:tc>
        <w:tc>
          <w:tcPr>
            <w:tcW w:w="322" w:type="dxa"/>
            <w:vMerge/>
            <w:tcBorders>
              <w:top w:val="nil"/>
              <w:left w:val="single" w:sz="12" w:space="0" w:color="000000"/>
              <w:bottom w:val="single" w:sz="12" w:space="0" w:color="000000"/>
              <w:right w:val="single" w:sz="12" w:space="0" w:color="000000"/>
            </w:tcBorders>
            <w:textDirection w:val="btLr"/>
            <w:vAlign w:val="center"/>
          </w:tcPr>
          <w:p w14:paraId="6FC7D2F2" w14:textId="77777777" w:rsidR="008E4F33" w:rsidRPr="00A169C9" w:rsidRDefault="008E4F33" w:rsidP="00136320">
            <w:pPr>
              <w:pStyle w:val="p1"/>
              <w:ind w:left="113" w:right="113"/>
              <w:jc w:val="center"/>
              <w:rPr>
                <w:rFonts w:ascii="Times New Roman" w:hAnsi="Times New Roman"/>
                <w:sz w:val="20"/>
                <w:szCs w:val="20"/>
              </w:rPr>
            </w:pPr>
          </w:p>
        </w:tc>
        <w:tc>
          <w:tcPr>
            <w:tcW w:w="1712" w:type="dxa"/>
            <w:tcBorders>
              <w:top w:val="nil"/>
              <w:left w:val="single" w:sz="12" w:space="0" w:color="000000"/>
              <w:bottom w:val="single" w:sz="12" w:space="0" w:color="000000"/>
              <w:right w:val="single" w:sz="12" w:space="0" w:color="000000"/>
            </w:tcBorders>
            <w:vAlign w:val="center"/>
          </w:tcPr>
          <w:p w14:paraId="5FF48B44" w14:textId="77777777" w:rsidR="008E4F33" w:rsidRPr="00A169C9" w:rsidRDefault="008E4F33" w:rsidP="00136320">
            <w:pPr>
              <w:pStyle w:val="p1"/>
              <w:jc w:val="center"/>
              <w:rPr>
                <w:rFonts w:ascii="Times New Roman" w:hAnsi="Times New Roman"/>
                <w:sz w:val="20"/>
                <w:szCs w:val="20"/>
              </w:rPr>
            </w:pPr>
          </w:p>
        </w:tc>
      </w:tr>
    </w:tbl>
    <w:p w14:paraId="79B57073" w14:textId="77777777" w:rsidR="00870F11" w:rsidRPr="00A169C9" w:rsidRDefault="00F243E7" w:rsidP="00870F11">
      <w:pPr>
        <w:pStyle w:val="p1"/>
        <w:jc w:val="center"/>
        <w:rPr>
          <w:rFonts w:ascii="Times New Roman" w:hAnsi="Times New Roman"/>
          <w:sz w:val="24"/>
          <w:szCs w:val="24"/>
        </w:rPr>
      </w:pPr>
      <w:r w:rsidRPr="00A169C9">
        <w:rPr>
          <w:rFonts w:ascii="Times New Roman" w:hAnsi="Times New Roman"/>
          <w:b/>
          <w:sz w:val="24"/>
          <w:szCs w:val="24"/>
        </w:rPr>
        <w:t>Table 1: Overview of participants of the workshop “Current approaches and new directions in lithic analysis: defining, identifying and interpreting variability”</w:t>
      </w:r>
      <w:r w:rsidRPr="00A169C9">
        <w:rPr>
          <w:rFonts w:ascii="Times New Roman" w:hAnsi="Times New Roman"/>
          <w:sz w:val="24"/>
          <w:szCs w:val="24"/>
        </w:rPr>
        <w:t xml:space="preserve"> </w:t>
      </w:r>
    </w:p>
    <w:p w14:paraId="40A7F45F" w14:textId="77777777" w:rsidR="00870F11" w:rsidRPr="00A169C9" w:rsidRDefault="00870F11" w:rsidP="00A169C9">
      <w:pPr>
        <w:pStyle w:val="p1"/>
        <w:outlineLvl w:val="0"/>
        <w:rPr>
          <w:rFonts w:ascii="Times New Roman" w:hAnsi="Times New Roman"/>
          <w:sz w:val="20"/>
          <w:szCs w:val="20"/>
          <w:vertAlign w:val="superscript"/>
        </w:rPr>
      </w:pPr>
      <w:r w:rsidRPr="00A169C9">
        <w:rPr>
          <w:rFonts w:ascii="Times New Roman" w:hAnsi="Times New Roman"/>
          <w:sz w:val="20"/>
          <w:szCs w:val="20"/>
          <w:vertAlign w:val="superscript"/>
        </w:rPr>
        <w:t>*</w:t>
      </w:r>
      <w:r w:rsidRPr="00A169C9">
        <w:rPr>
          <w:rFonts w:ascii="Times New Roman" w:hAnsi="Times New Roman"/>
          <w:sz w:val="20"/>
          <w:szCs w:val="20"/>
        </w:rPr>
        <w:t>not present, but power-point presentation was given</w:t>
      </w:r>
    </w:p>
    <w:p w14:paraId="0656BF73" w14:textId="21F6467A" w:rsidR="00DC47BF" w:rsidRPr="00A169C9" w:rsidRDefault="00870F11" w:rsidP="00835444">
      <w:pPr>
        <w:pStyle w:val="p1"/>
        <w:rPr>
          <w:rFonts w:ascii="Times New Roman" w:hAnsi="Times New Roman"/>
          <w:sz w:val="24"/>
          <w:szCs w:val="24"/>
        </w:rPr>
      </w:pPr>
      <w:r w:rsidRPr="00A169C9">
        <w:rPr>
          <w:rFonts w:ascii="Times New Roman" w:hAnsi="Times New Roman"/>
          <w:sz w:val="20"/>
          <w:szCs w:val="20"/>
          <w:u w:val="single"/>
        </w:rPr>
        <w:t>Affiliations of participants</w:t>
      </w:r>
      <w:r w:rsidRPr="00A169C9">
        <w:rPr>
          <w:rFonts w:ascii="Times New Roman" w:hAnsi="Times New Roman"/>
          <w:sz w:val="20"/>
          <w:szCs w:val="20"/>
        </w:rPr>
        <w:t xml:space="preserve">: </w:t>
      </w:r>
      <w:r w:rsidRPr="00A169C9">
        <w:rPr>
          <w:rFonts w:ascii="Times New Roman" w:hAnsi="Times New Roman"/>
          <w:sz w:val="20"/>
          <w:szCs w:val="20"/>
          <w:vertAlign w:val="superscript"/>
        </w:rPr>
        <w:t>1</w:t>
      </w:r>
      <w:r w:rsidRPr="00A169C9">
        <w:rPr>
          <w:rFonts w:ascii="Times New Roman" w:hAnsi="Times New Roman"/>
          <w:sz w:val="20"/>
          <w:szCs w:val="20"/>
        </w:rPr>
        <w:t>Universi</w:t>
      </w:r>
      <w:r w:rsidR="00CE2C98" w:rsidRPr="00A169C9">
        <w:rPr>
          <w:rFonts w:ascii="Times New Roman" w:hAnsi="Times New Roman"/>
          <w:sz w:val="20"/>
          <w:szCs w:val="20"/>
        </w:rPr>
        <w:t>t</w:t>
      </w:r>
      <w:r w:rsidRPr="00A169C9">
        <w:rPr>
          <w:rFonts w:ascii="Times New Roman" w:hAnsi="Times New Roman"/>
          <w:sz w:val="20"/>
          <w:szCs w:val="20"/>
        </w:rPr>
        <w:t xml:space="preserve">y of Ferrara (IT), </w:t>
      </w:r>
      <w:r w:rsidRPr="00A169C9">
        <w:rPr>
          <w:rFonts w:ascii="Times New Roman" w:hAnsi="Times New Roman"/>
          <w:sz w:val="20"/>
          <w:szCs w:val="20"/>
          <w:vertAlign w:val="superscript"/>
        </w:rPr>
        <w:t>2</w:t>
      </w:r>
      <w:r w:rsidRPr="00A169C9">
        <w:rPr>
          <w:rFonts w:ascii="Times New Roman" w:hAnsi="Times New Roman"/>
          <w:sz w:val="20"/>
          <w:szCs w:val="20"/>
        </w:rPr>
        <w:t>UMR CNRS 7194</w:t>
      </w:r>
      <w:r w:rsidR="001E13DC" w:rsidRPr="00A169C9">
        <w:rPr>
          <w:rFonts w:ascii="Times New Roman" w:hAnsi="Times New Roman"/>
          <w:sz w:val="20"/>
          <w:szCs w:val="20"/>
        </w:rPr>
        <w:t xml:space="preserve">, </w:t>
      </w:r>
      <w:r w:rsidR="001E13DC" w:rsidRPr="00A169C9">
        <w:rPr>
          <w:rFonts w:ascii="Times New Roman" w:hAnsi="Times New Roman"/>
          <w:i/>
          <w:sz w:val="20"/>
          <w:szCs w:val="20"/>
        </w:rPr>
        <w:t>Muséum national d’Histoire naturelle</w:t>
      </w:r>
      <w:r w:rsidR="001E13DC" w:rsidRPr="00A169C9">
        <w:rPr>
          <w:rFonts w:ascii="Times New Roman" w:hAnsi="Times New Roman"/>
          <w:sz w:val="20"/>
          <w:szCs w:val="20"/>
        </w:rPr>
        <w:t>, Paris</w:t>
      </w:r>
      <w:r w:rsidRPr="00A169C9">
        <w:rPr>
          <w:rFonts w:ascii="Times New Roman" w:hAnsi="Times New Roman"/>
          <w:sz w:val="20"/>
          <w:szCs w:val="20"/>
        </w:rPr>
        <w:t xml:space="preserve"> (FR), </w:t>
      </w:r>
      <w:r w:rsidRPr="00A169C9">
        <w:rPr>
          <w:rFonts w:ascii="Times New Roman" w:hAnsi="Times New Roman"/>
          <w:sz w:val="20"/>
          <w:szCs w:val="20"/>
          <w:vertAlign w:val="superscript"/>
        </w:rPr>
        <w:t>3</w:t>
      </w:r>
      <w:r w:rsidRPr="00A169C9">
        <w:rPr>
          <w:rFonts w:ascii="Times New Roman" w:hAnsi="Times New Roman"/>
          <w:sz w:val="20"/>
          <w:szCs w:val="20"/>
        </w:rPr>
        <w:t xml:space="preserve">University of Tübingen (DE), </w:t>
      </w:r>
      <w:r w:rsidRPr="00A169C9">
        <w:rPr>
          <w:rFonts w:ascii="Times New Roman" w:hAnsi="Times New Roman"/>
          <w:sz w:val="20"/>
          <w:szCs w:val="20"/>
          <w:vertAlign w:val="superscript"/>
        </w:rPr>
        <w:t>4</w:t>
      </w:r>
      <w:r w:rsidR="001E13DC" w:rsidRPr="00A169C9">
        <w:rPr>
          <w:rFonts w:ascii="Times New Roman" w:hAnsi="Times New Roman"/>
          <w:sz w:val="20"/>
          <w:szCs w:val="20"/>
        </w:rPr>
        <w:t>IPHES and University Rovira I Virgili</w:t>
      </w:r>
      <w:r w:rsidRPr="00A169C9">
        <w:rPr>
          <w:rFonts w:ascii="Times New Roman" w:hAnsi="Times New Roman"/>
          <w:sz w:val="20"/>
          <w:szCs w:val="20"/>
        </w:rPr>
        <w:t xml:space="preserve"> of Tarragona (ES), </w:t>
      </w:r>
      <w:r w:rsidRPr="00A169C9">
        <w:rPr>
          <w:rFonts w:ascii="Times New Roman" w:hAnsi="Times New Roman"/>
          <w:sz w:val="20"/>
          <w:szCs w:val="20"/>
          <w:vertAlign w:val="superscript"/>
        </w:rPr>
        <w:t>5</w:t>
      </w:r>
      <w:r w:rsidRPr="00A169C9">
        <w:rPr>
          <w:rFonts w:ascii="Times New Roman" w:hAnsi="Times New Roman"/>
          <w:sz w:val="20"/>
          <w:szCs w:val="20"/>
        </w:rPr>
        <w:t xml:space="preserve">Ben-Gurion University, Beer Sheva (IL), </w:t>
      </w:r>
      <w:r w:rsidRPr="00A169C9">
        <w:rPr>
          <w:rFonts w:ascii="Times New Roman" w:hAnsi="Times New Roman"/>
          <w:sz w:val="20"/>
          <w:szCs w:val="20"/>
          <w:vertAlign w:val="superscript"/>
        </w:rPr>
        <w:t>6</w:t>
      </w:r>
      <w:r w:rsidRPr="00A169C9">
        <w:rPr>
          <w:rFonts w:ascii="Times New Roman" w:hAnsi="Times New Roman"/>
          <w:sz w:val="20"/>
          <w:szCs w:val="20"/>
        </w:rPr>
        <w:t xml:space="preserve">Hebrew University of Jerusalem (IL), </w:t>
      </w:r>
      <w:r w:rsidRPr="00A169C9">
        <w:rPr>
          <w:rFonts w:ascii="Times New Roman" w:hAnsi="Times New Roman"/>
          <w:sz w:val="20"/>
          <w:szCs w:val="20"/>
          <w:vertAlign w:val="superscript"/>
        </w:rPr>
        <w:t>7</w:t>
      </w:r>
      <w:r w:rsidRPr="00A169C9">
        <w:rPr>
          <w:rFonts w:ascii="Times New Roman" w:hAnsi="Times New Roman"/>
          <w:sz w:val="20"/>
          <w:szCs w:val="20"/>
        </w:rPr>
        <w:t xml:space="preserve">University of Oxford (UK), </w:t>
      </w:r>
      <w:r w:rsidRPr="00A169C9">
        <w:rPr>
          <w:rFonts w:ascii="Times New Roman" w:hAnsi="Times New Roman"/>
          <w:sz w:val="20"/>
          <w:szCs w:val="20"/>
          <w:vertAlign w:val="superscript"/>
        </w:rPr>
        <w:t>8</w:t>
      </w:r>
      <w:r w:rsidRPr="00A169C9">
        <w:rPr>
          <w:rFonts w:ascii="Times New Roman" w:hAnsi="Times New Roman"/>
          <w:sz w:val="20"/>
          <w:szCs w:val="20"/>
        </w:rPr>
        <w:t xml:space="preserve">University of Cambridge (UK), </w:t>
      </w:r>
      <w:r w:rsidRPr="00A169C9">
        <w:rPr>
          <w:rFonts w:ascii="Times New Roman" w:hAnsi="Times New Roman"/>
          <w:sz w:val="20"/>
          <w:szCs w:val="20"/>
          <w:vertAlign w:val="superscript"/>
        </w:rPr>
        <w:t>9</w:t>
      </w:r>
      <w:r w:rsidR="007B5820">
        <w:rPr>
          <w:rFonts w:ascii="Times New Roman" w:hAnsi="Times New Roman"/>
          <w:sz w:val="20"/>
          <w:szCs w:val="20"/>
        </w:rPr>
        <w:t xml:space="preserve">Max </w:t>
      </w:r>
      <w:r w:rsidRPr="00A169C9">
        <w:rPr>
          <w:rFonts w:ascii="Times New Roman" w:hAnsi="Times New Roman"/>
          <w:sz w:val="20"/>
          <w:szCs w:val="20"/>
        </w:rPr>
        <w:t>Planck Institute</w:t>
      </w:r>
      <w:r w:rsidR="007B5820">
        <w:rPr>
          <w:rFonts w:ascii="Times New Roman" w:hAnsi="Times New Roman"/>
          <w:sz w:val="20"/>
          <w:szCs w:val="20"/>
        </w:rPr>
        <w:t xml:space="preserve"> for Evolutionary Anthropology</w:t>
      </w:r>
      <w:r w:rsidRPr="00A169C9">
        <w:rPr>
          <w:rFonts w:ascii="Times New Roman" w:hAnsi="Times New Roman"/>
          <w:sz w:val="20"/>
          <w:szCs w:val="20"/>
        </w:rPr>
        <w:t>, Leipzig (DE),</w:t>
      </w:r>
      <w:r w:rsidR="008F0A2F" w:rsidRPr="00A169C9">
        <w:rPr>
          <w:rFonts w:ascii="Times New Roman" w:hAnsi="Times New Roman"/>
          <w:sz w:val="20"/>
          <w:szCs w:val="20"/>
        </w:rPr>
        <w:t xml:space="preserve"> </w:t>
      </w:r>
      <w:r w:rsidR="008F0A2F" w:rsidRPr="00A169C9">
        <w:rPr>
          <w:rFonts w:ascii="Times New Roman" w:hAnsi="Times New Roman"/>
          <w:sz w:val="20"/>
          <w:szCs w:val="20"/>
          <w:vertAlign w:val="superscript"/>
        </w:rPr>
        <w:t xml:space="preserve">10 </w:t>
      </w:r>
      <w:r w:rsidR="007B5820">
        <w:rPr>
          <w:rFonts w:ascii="Times New Roman" w:hAnsi="Times New Roman"/>
          <w:sz w:val="20"/>
          <w:szCs w:val="20"/>
        </w:rPr>
        <w:t xml:space="preserve">Max </w:t>
      </w:r>
      <w:r w:rsidR="008F0A2F" w:rsidRPr="00A169C9">
        <w:rPr>
          <w:rFonts w:ascii="Times New Roman" w:hAnsi="Times New Roman"/>
          <w:sz w:val="20"/>
          <w:szCs w:val="20"/>
        </w:rPr>
        <w:t>Planck</w:t>
      </w:r>
      <w:r w:rsidR="008F0A2F" w:rsidRPr="00A169C9">
        <w:rPr>
          <w:rFonts w:ascii="Times New Roman" w:hAnsi="Times New Roman"/>
          <w:sz w:val="20"/>
          <w:szCs w:val="20"/>
          <w:vertAlign w:val="superscript"/>
        </w:rPr>
        <w:t xml:space="preserve"> </w:t>
      </w:r>
      <w:r w:rsidR="008F0A2F" w:rsidRPr="00A169C9">
        <w:rPr>
          <w:rFonts w:ascii="Times New Roman" w:hAnsi="Times New Roman"/>
          <w:sz w:val="20"/>
          <w:szCs w:val="20"/>
        </w:rPr>
        <w:t>Institute</w:t>
      </w:r>
      <w:r w:rsidR="007B5820">
        <w:rPr>
          <w:rFonts w:ascii="Times New Roman" w:hAnsi="Times New Roman"/>
          <w:sz w:val="20"/>
          <w:szCs w:val="20"/>
        </w:rPr>
        <w:t xml:space="preserve"> for the Science of Human History</w:t>
      </w:r>
      <w:r w:rsidR="008F0A2F" w:rsidRPr="00A169C9">
        <w:rPr>
          <w:rFonts w:ascii="Times New Roman" w:hAnsi="Times New Roman"/>
          <w:sz w:val="20"/>
          <w:szCs w:val="20"/>
        </w:rPr>
        <w:t>, Jena (DE)</w:t>
      </w:r>
      <w:r w:rsidRPr="00A169C9">
        <w:rPr>
          <w:rFonts w:ascii="Times New Roman" w:hAnsi="Times New Roman"/>
          <w:sz w:val="20"/>
          <w:szCs w:val="20"/>
        </w:rPr>
        <w:t xml:space="preserve"> </w:t>
      </w:r>
      <w:r w:rsidRPr="00A169C9">
        <w:rPr>
          <w:rFonts w:ascii="Times New Roman" w:hAnsi="Times New Roman"/>
          <w:sz w:val="20"/>
          <w:szCs w:val="20"/>
          <w:vertAlign w:val="superscript"/>
        </w:rPr>
        <w:t>1</w:t>
      </w:r>
      <w:r w:rsidR="008F0A2F" w:rsidRPr="00A169C9">
        <w:rPr>
          <w:rFonts w:ascii="Times New Roman" w:hAnsi="Times New Roman"/>
          <w:sz w:val="20"/>
          <w:szCs w:val="20"/>
          <w:vertAlign w:val="superscript"/>
        </w:rPr>
        <w:t>1</w:t>
      </w:r>
      <w:r w:rsidRPr="00A169C9">
        <w:rPr>
          <w:rFonts w:ascii="Times New Roman" w:hAnsi="Times New Roman"/>
          <w:sz w:val="20"/>
          <w:szCs w:val="20"/>
        </w:rPr>
        <w:t xml:space="preserve">University of Minnesota (USA), </w:t>
      </w:r>
      <w:r w:rsidRPr="00A169C9">
        <w:rPr>
          <w:rFonts w:ascii="Times New Roman" w:hAnsi="Times New Roman"/>
          <w:sz w:val="20"/>
          <w:szCs w:val="20"/>
          <w:vertAlign w:val="superscript"/>
        </w:rPr>
        <w:t>1</w:t>
      </w:r>
      <w:r w:rsidR="008F0A2F" w:rsidRPr="00A169C9">
        <w:rPr>
          <w:rFonts w:ascii="Times New Roman" w:hAnsi="Times New Roman"/>
          <w:sz w:val="20"/>
          <w:szCs w:val="20"/>
          <w:vertAlign w:val="superscript"/>
        </w:rPr>
        <w:t>2</w:t>
      </w:r>
      <w:r w:rsidRPr="00A169C9">
        <w:rPr>
          <w:rFonts w:ascii="Times New Roman" w:hAnsi="Times New Roman"/>
          <w:sz w:val="20"/>
          <w:szCs w:val="20"/>
        </w:rPr>
        <w:t xml:space="preserve">Independent researcher, </w:t>
      </w:r>
      <w:r w:rsidRPr="00A169C9">
        <w:rPr>
          <w:rFonts w:ascii="Times New Roman" w:hAnsi="Times New Roman"/>
          <w:sz w:val="20"/>
          <w:szCs w:val="20"/>
          <w:vertAlign w:val="superscript"/>
        </w:rPr>
        <w:t>1</w:t>
      </w:r>
      <w:r w:rsidR="008F0A2F" w:rsidRPr="00A169C9">
        <w:rPr>
          <w:rFonts w:ascii="Times New Roman" w:hAnsi="Times New Roman"/>
          <w:sz w:val="20"/>
          <w:szCs w:val="20"/>
          <w:vertAlign w:val="superscript"/>
        </w:rPr>
        <w:t>3</w:t>
      </w:r>
      <w:r w:rsidRPr="00A169C9">
        <w:rPr>
          <w:rFonts w:ascii="Times New Roman" w:hAnsi="Times New Roman"/>
          <w:sz w:val="20"/>
          <w:szCs w:val="20"/>
        </w:rPr>
        <w:t>Bircbeck University of London (UK).</w:t>
      </w:r>
    </w:p>
    <w:p w14:paraId="48FB5793" w14:textId="77777777" w:rsidR="00DC47BF" w:rsidRDefault="00DC47BF" w:rsidP="00835444">
      <w:pPr>
        <w:pStyle w:val="p1"/>
        <w:rPr>
          <w:rFonts w:ascii="Garamond" w:hAnsi="Garamond"/>
          <w:sz w:val="24"/>
          <w:szCs w:val="24"/>
        </w:rPr>
      </w:pPr>
    </w:p>
    <w:p w14:paraId="6D5B701A" w14:textId="77777777" w:rsidR="00DC47BF" w:rsidRDefault="00DC47BF" w:rsidP="00835444">
      <w:pPr>
        <w:pStyle w:val="p1"/>
        <w:rPr>
          <w:rFonts w:ascii="Garamond" w:hAnsi="Garamond"/>
          <w:sz w:val="24"/>
          <w:szCs w:val="24"/>
        </w:rPr>
      </w:pPr>
    </w:p>
    <w:p w14:paraId="7B050B88" w14:textId="77777777" w:rsidR="00084893" w:rsidRDefault="00084893" w:rsidP="00084893"/>
    <w:p w14:paraId="0B986C27" w14:textId="77777777" w:rsidR="00084893" w:rsidRDefault="00084893" w:rsidP="00084893"/>
    <w:p w14:paraId="7179BE80" w14:textId="77777777" w:rsidR="00084893" w:rsidRDefault="00084893" w:rsidP="00084893"/>
    <w:p w14:paraId="668E2664" w14:textId="77777777" w:rsidR="00084893" w:rsidRDefault="00084893" w:rsidP="00084893"/>
    <w:p w14:paraId="7663A7C3" w14:textId="77777777" w:rsidR="00084893" w:rsidRDefault="00084893" w:rsidP="00084893"/>
    <w:p w14:paraId="67E87D25" w14:textId="77777777" w:rsidR="008F07B6" w:rsidRPr="00084893" w:rsidRDefault="00CE1051" w:rsidP="00084893">
      <w:pPr>
        <w:rPr>
          <w:b/>
          <w:u w:val="single"/>
        </w:rPr>
      </w:pPr>
      <w:r w:rsidRPr="00084893">
        <w:rPr>
          <w:b/>
          <w:u w:val="single"/>
        </w:rPr>
        <w:t>WORKSHOP DISCUSSIONS</w:t>
      </w:r>
      <w:r w:rsidR="008F07B6" w:rsidRPr="00084893">
        <w:rPr>
          <w:b/>
          <w:u w:val="single"/>
        </w:rPr>
        <w:t xml:space="preserve"> AND FUTURE DIRECTIONS FOR LITHIC ANALYSIS</w:t>
      </w:r>
    </w:p>
    <w:p w14:paraId="5D15DD44" w14:textId="77777777" w:rsidR="00CE1051" w:rsidRPr="00CE1051" w:rsidRDefault="00CE1051" w:rsidP="00084893"/>
    <w:p w14:paraId="2AD657F7" w14:textId="77777777" w:rsidR="001375AD" w:rsidRPr="00084893" w:rsidRDefault="006E5A3A" w:rsidP="00084893">
      <w:pPr>
        <w:rPr>
          <w:b/>
          <w:i/>
        </w:rPr>
      </w:pPr>
      <w:r w:rsidRPr="00084893">
        <w:rPr>
          <w:b/>
          <w:i/>
        </w:rPr>
        <w:t>Intra</w:t>
      </w:r>
      <w:r w:rsidR="001375AD" w:rsidRPr="00084893">
        <w:rPr>
          <w:b/>
          <w:i/>
        </w:rPr>
        <w:t>-assemblage variability</w:t>
      </w:r>
    </w:p>
    <w:p w14:paraId="7BF96589" w14:textId="77777777" w:rsidR="001375AD" w:rsidRDefault="001375AD" w:rsidP="00A64036">
      <w:pPr>
        <w:pStyle w:val="p1"/>
        <w:rPr>
          <w:rFonts w:ascii="Garamond" w:hAnsi="Garamond"/>
          <w:sz w:val="24"/>
          <w:szCs w:val="24"/>
        </w:rPr>
      </w:pPr>
    </w:p>
    <w:p w14:paraId="29B92B90" w14:textId="6D707B51" w:rsidR="000669BF" w:rsidRPr="00A169C9" w:rsidRDefault="004F1AB2" w:rsidP="00A169C9">
      <w:r w:rsidRPr="00A169C9">
        <w:t>One of the main question</w:t>
      </w:r>
      <w:r w:rsidR="002A7C9B" w:rsidRPr="00A169C9">
        <w:t>s</w:t>
      </w:r>
      <w:r w:rsidRPr="00A169C9">
        <w:t xml:space="preserve"> related to inter-assemblage variability </w:t>
      </w:r>
      <w:r w:rsidR="002A7C9B" w:rsidRPr="00A169C9">
        <w:t xml:space="preserve">that was addressed </w:t>
      </w:r>
      <w:r w:rsidRPr="00A169C9">
        <w:t xml:space="preserve">during the workshop concerned the influence of </w:t>
      </w:r>
      <w:r w:rsidR="006E5A3A" w:rsidRPr="00A169C9">
        <w:t>time-averaging/palimpsests and site formation processes on the interpret</w:t>
      </w:r>
      <w:r w:rsidRPr="00A169C9">
        <w:t>ation of assemblage variability.</w:t>
      </w:r>
    </w:p>
    <w:p w14:paraId="3FC8F147" w14:textId="77777777" w:rsidR="000669BF" w:rsidRPr="00A169C9" w:rsidRDefault="000669BF" w:rsidP="00A169C9"/>
    <w:p w14:paraId="1ADD12F4" w14:textId="37F4F9DE" w:rsidR="00AF3D46" w:rsidRPr="00A169C9" w:rsidRDefault="00AF3D46" w:rsidP="00A169C9">
      <w:r w:rsidRPr="00A169C9">
        <w:t>Participants stressed that a good understanding of the site formation processes is crucial to discuss</w:t>
      </w:r>
      <w:r w:rsidR="00E15635" w:rsidRPr="00A169C9">
        <w:t>ing</w:t>
      </w:r>
      <w:r w:rsidRPr="00A169C9">
        <w:t xml:space="preserve"> time-averaging and how </w:t>
      </w:r>
      <w:r w:rsidR="002A7C9B" w:rsidRPr="00A169C9">
        <w:t xml:space="preserve">it </w:t>
      </w:r>
      <w:r w:rsidRPr="00A169C9">
        <w:t>may influence the degree of variability within a single assemblage</w:t>
      </w:r>
      <w:r w:rsidR="00F84C52" w:rsidRPr="00A169C9">
        <w:t>. Several</w:t>
      </w:r>
      <w:r w:rsidRPr="00A169C9">
        <w:t xml:space="preserve"> case studies presented during the </w:t>
      </w:r>
      <w:r w:rsidR="00CE2C98" w:rsidRPr="00A169C9">
        <w:t xml:space="preserve">first </w:t>
      </w:r>
      <w:r w:rsidR="0055201C" w:rsidRPr="00A169C9">
        <w:t xml:space="preserve">and second </w:t>
      </w:r>
      <w:r w:rsidR="00CE2C98" w:rsidRPr="00A169C9">
        <w:t>session</w:t>
      </w:r>
      <w:r w:rsidR="0055201C" w:rsidRPr="00A169C9">
        <w:t>s</w:t>
      </w:r>
      <w:r w:rsidR="00CE2C98" w:rsidRPr="00A169C9">
        <w:t xml:space="preserve"> of the </w:t>
      </w:r>
      <w:r w:rsidRPr="00A169C9">
        <w:t>workshop</w:t>
      </w:r>
      <w:r w:rsidR="00CE2C98" w:rsidRPr="00A169C9">
        <w:t xml:space="preserve"> (table 1)</w:t>
      </w:r>
      <w:r w:rsidRPr="00A169C9">
        <w:t xml:space="preserve"> showed how</w:t>
      </w:r>
      <w:r w:rsidR="004F1AB2" w:rsidRPr="00A169C9">
        <w:t xml:space="preserve"> an explicit sampling strategy (in </w:t>
      </w:r>
      <w:r w:rsidR="00E15635" w:rsidRPr="00A169C9">
        <w:t xml:space="preserve">the </w:t>
      </w:r>
      <w:r w:rsidR="004F1AB2" w:rsidRPr="00A169C9">
        <w:t>case of large assemblages) combined with</w:t>
      </w:r>
      <w:r w:rsidRPr="00A169C9">
        <w:t xml:space="preserve"> an integrated approach to the lithic material </w:t>
      </w:r>
      <w:r w:rsidR="004F1AB2" w:rsidRPr="00A169C9">
        <w:t>may lead</w:t>
      </w:r>
      <w:r w:rsidR="002F0E6D" w:rsidRPr="00A169C9">
        <w:t xml:space="preserve"> to high resolution data on both spatial and temporal organisation of the </w:t>
      </w:r>
      <w:r w:rsidR="00CE2C98" w:rsidRPr="00A169C9">
        <w:t>sites.</w:t>
      </w:r>
    </w:p>
    <w:p w14:paraId="2E2CCC2B" w14:textId="77777777" w:rsidR="00A11996" w:rsidRPr="00A169C9" w:rsidRDefault="00A11996" w:rsidP="00A169C9"/>
    <w:p w14:paraId="07A169F0" w14:textId="2DE78ED6" w:rsidR="00FC2864" w:rsidRPr="00A169C9" w:rsidRDefault="002B13C1" w:rsidP="00A169C9">
      <w:r w:rsidRPr="00A169C9">
        <w:t xml:space="preserve">In the past, some inconsistencies in the results between different methodological approaches have been noted. For example, at some sites where burins were traditionally interpreted as tools, functional analyses </w:t>
      </w:r>
      <w:r w:rsidR="00E15635" w:rsidRPr="00A169C9">
        <w:t xml:space="preserve">have </w:t>
      </w:r>
      <w:r w:rsidRPr="00A169C9">
        <w:t>demonstrate</w:t>
      </w:r>
      <w:r w:rsidR="00E15635" w:rsidRPr="00A169C9">
        <w:t>d</w:t>
      </w:r>
      <w:r w:rsidRPr="00A169C9">
        <w:t xml:space="preserve"> that they were instead cores and that the burin spalls were the tools</w:t>
      </w:r>
      <w:r w:rsidR="00E15635" w:rsidRPr="00A169C9">
        <w:t>.</w:t>
      </w:r>
      <w:r w:rsidRPr="00A169C9">
        <w:t xml:space="preserve"> </w:t>
      </w:r>
      <w:r w:rsidR="00E15635" w:rsidRPr="00A169C9">
        <w:t>L</w:t>
      </w:r>
      <w:r w:rsidR="009F174D" w:rsidRPr="00A169C9">
        <w:t xml:space="preserve">ikewise, on the basis of technological attributes, </w:t>
      </w:r>
      <w:r w:rsidR="00C90007" w:rsidRPr="00A169C9">
        <w:t>a core</w:t>
      </w:r>
      <w:r w:rsidR="009F174D" w:rsidRPr="00A169C9">
        <w:t xml:space="preserve"> would be classified under a certain type, while refitting analyses could demonstrate </w:t>
      </w:r>
      <w:r w:rsidR="00C90007" w:rsidRPr="00A169C9">
        <w:t>that it belonged to a different type of reduction sequence.</w:t>
      </w:r>
      <w:r w:rsidR="0030059C" w:rsidRPr="00A169C9">
        <w:t xml:space="preserve"> </w:t>
      </w:r>
      <w:r w:rsidR="00F21895" w:rsidRPr="00A169C9">
        <w:t>C</w:t>
      </w:r>
      <w:r w:rsidR="00FC2864" w:rsidRPr="00A169C9">
        <w:t>ase studies presented during the workshop</w:t>
      </w:r>
      <w:r w:rsidR="00F21895" w:rsidRPr="00A169C9">
        <w:t xml:space="preserve"> (table 1)</w:t>
      </w:r>
      <w:r w:rsidR="00FC2864" w:rsidRPr="00A169C9">
        <w:t xml:space="preserve"> </w:t>
      </w:r>
      <w:r w:rsidR="0064117A" w:rsidRPr="00A169C9">
        <w:lastRenderedPageBreak/>
        <w:t>have shown</w:t>
      </w:r>
      <w:r w:rsidR="00FC2864" w:rsidRPr="00A169C9">
        <w:t xml:space="preserve"> that a combined approach of th</w:t>
      </w:r>
      <w:r w:rsidR="00721D80" w:rsidRPr="00A169C9">
        <w:t>e material, using technological and</w:t>
      </w:r>
      <w:r w:rsidR="00FC2864" w:rsidRPr="00A169C9">
        <w:t xml:space="preserve"> attribute</w:t>
      </w:r>
      <w:r w:rsidR="00721D80" w:rsidRPr="00A169C9">
        <w:t xml:space="preserve"> analysis</w:t>
      </w:r>
      <w:r w:rsidR="00FC2864" w:rsidRPr="00A169C9">
        <w:t>,</w:t>
      </w:r>
      <w:r w:rsidR="00721D80" w:rsidRPr="00A169C9">
        <w:t xml:space="preserve"> spatial patterning analysis,</w:t>
      </w:r>
      <w:r w:rsidR="00FC2864" w:rsidRPr="00A169C9">
        <w:t xml:space="preserve"> refitting and use-wear / residue analyses </w:t>
      </w:r>
      <w:r w:rsidR="00E15635" w:rsidRPr="00A169C9">
        <w:t xml:space="preserve">can </w:t>
      </w:r>
      <w:r w:rsidR="00FC2864" w:rsidRPr="00A169C9">
        <w:t>yield compatible and coherent information.</w:t>
      </w:r>
    </w:p>
    <w:p w14:paraId="5669C745" w14:textId="77777777" w:rsidR="004F1AB2" w:rsidRPr="00A169C9" w:rsidRDefault="004F1AB2" w:rsidP="00A169C9"/>
    <w:p w14:paraId="330E8CEA" w14:textId="3D33079B" w:rsidR="004F1AB2" w:rsidRPr="00A169C9" w:rsidRDefault="009F67F4" w:rsidP="00A169C9">
      <w:r w:rsidRPr="00A169C9">
        <w:t xml:space="preserve">The case of surface sites </w:t>
      </w:r>
      <w:r w:rsidR="0064117A" w:rsidRPr="00A169C9">
        <w:t>remains</w:t>
      </w:r>
      <w:r w:rsidRPr="00A169C9">
        <w:t xml:space="preserve"> one of the main challenges when considering intra-assemblage variability. </w:t>
      </w:r>
      <w:r w:rsidR="00E15635" w:rsidRPr="00A169C9">
        <w:t>However, c</w:t>
      </w:r>
      <w:r w:rsidR="00EC45D4" w:rsidRPr="00A169C9">
        <w:t>omparisons between surface material and the material from nearby stratified sites</w:t>
      </w:r>
      <w:r w:rsidRPr="00A169C9">
        <w:t xml:space="preserve"> </w:t>
      </w:r>
      <w:r w:rsidR="00EC45D4" w:rsidRPr="00A169C9">
        <w:t xml:space="preserve">may </w:t>
      </w:r>
      <w:r w:rsidR="00D91FC0" w:rsidRPr="00A169C9">
        <w:t xml:space="preserve">help </w:t>
      </w:r>
      <w:r w:rsidR="00E15635" w:rsidRPr="00A169C9">
        <w:t xml:space="preserve">to </w:t>
      </w:r>
      <w:r w:rsidR="00D91FC0" w:rsidRPr="00A169C9">
        <w:t>better characterise</w:t>
      </w:r>
      <w:r w:rsidR="00EC45D4" w:rsidRPr="00A169C9">
        <w:t xml:space="preserve"> surface material. </w:t>
      </w:r>
    </w:p>
    <w:p w14:paraId="60360335" w14:textId="77777777" w:rsidR="006E5A3A" w:rsidRPr="00A169C9" w:rsidRDefault="006E5A3A" w:rsidP="00A169C9"/>
    <w:p w14:paraId="1326052A" w14:textId="77777777" w:rsidR="006E5A3A" w:rsidRPr="00084893" w:rsidRDefault="006E5A3A" w:rsidP="00A169C9">
      <w:pPr>
        <w:rPr>
          <w:b/>
          <w:i/>
        </w:rPr>
      </w:pPr>
      <w:r w:rsidRPr="00084893">
        <w:rPr>
          <w:b/>
          <w:i/>
        </w:rPr>
        <w:t>Inter-assemblage variability</w:t>
      </w:r>
    </w:p>
    <w:p w14:paraId="34A0C7DE" w14:textId="77777777" w:rsidR="00EC45D4" w:rsidRPr="00A169C9" w:rsidRDefault="00EC45D4" w:rsidP="00A169C9"/>
    <w:p w14:paraId="17205E8D" w14:textId="77777777" w:rsidR="00624E2F" w:rsidRPr="00A169C9" w:rsidRDefault="003767AA" w:rsidP="00A169C9">
      <w:r w:rsidRPr="00A169C9">
        <w:t>Questions</w:t>
      </w:r>
      <w:r w:rsidR="00624E2F" w:rsidRPr="00A169C9">
        <w:t xml:space="preserve"> related to inter-assemblage variability </w:t>
      </w:r>
      <w:r w:rsidRPr="00A169C9">
        <w:t>arising from the workshop were</w:t>
      </w:r>
      <w:r w:rsidR="00624E2F" w:rsidRPr="00A169C9">
        <w:t xml:space="preserve">: </w:t>
      </w:r>
    </w:p>
    <w:p w14:paraId="4FD804F7" w14:textId="4F29344A" w:rsidR="00624E2F" w:rsidRPr="00A169C9" w:rsidRDefault="00624E2F" w:rsidP="00084893">
      <w:pPr>
        <w:pStyle w:val="ListParagraph"/>
        <w:numPr>
          <w:ilvl w:val="0"/>
          <w:numId w:val="7"/>
        </w:numPr>
      </w:pPr>
      <w:r w:rsidRPr="00A169C9">
        <w:t>Which types of assemblages</w:t>
      </w:r>
      <w:r w:rsidR="00A64036" w:rsidRPr="00A169C9">
        <w:t xml:space="preserve"> and methods</w:t>
      </w:r>
      <w:r w:rsidRPr="00A169C9">
        <w:t xml:space="preserve"> are relevant for a large</w:t>
      </w:r>
      <w:r w:rsidR="0089390E" w:rsidRPr="00A169C9">
        <w:t>-</w:t>
      </w:r>
      <w:r w:rsidRPr="00A169C9">
        <w:t>scale analysis?</w:t>
      </w:r>
    </w:p>
    <w:p w14:paraId="2D4344FC" w14:textId="1727D54A" w:rsidR="00EC45D4" w:rsidRPr="00A169C9" w:rsidRDefault="00EC45D4" w:rsidP="00084893">
      <w:pPr>
        <w:pStyle w:val="ListParagraph"/>
        <w:numPr>
          <w:ilvl w:val="0"/>
          <w:numId w:val="7"/>
        </w:numPr>
      </w:pPr>
      <w:r w:rsidRPr="00A169C9">
        <w:t xml:space="preserve">How </w:t>
      </w:r>
      <w:r w:rsidR="00E15635" w:rsidRPr="00A169C9">
        <w:t xml:space="preserve">can we </w:t>
      </w:r>
      <w:r w:rsidRPr="00A169C9">
        <w:t>reconcile the high resolution of intra-site variability studies with comparative studies on the regional and multiregional scales? How much can one single site tell us about the big processes?</w:t>
      </w:r>
    </w:p>
    <w:p w14:paraId="08BA3571" w14:textId="63CA8115" w:rsidR="00EC45D4" w:rsidRPr="00A169C9" w:rsidRDefault="00EC45D4" w:rsidP="00084893">
      <w:pPr>
        <w:pStyle w:val="ListParagraph"/>
        <w:numPr>
          <w:ilvl w:val="0"/>
          <w:numId w:val="7"/>
        </w:numPr>
      </w:pPr>
      <w:r w:rsidRPr="00A169C9">
        <w:t xml:space="preserve">How </w:t>
      </w:r>
      <w:r w:rsidR="00E15635" w:rsidRPr="00A169C9">
        <w:t xml:space="preserve">can we </w:t>
      </w:r>
      <w:r w:rsidRPr="00A169C9">
        <w:t xml:space="preserve">compare surface vs stratified assemblages? How </w:t>
      </w:r>
      <w:r w:rsidR="00E15635" w:rsidRPr="00A169C9">
        <w:t xml:space="preserve">can we </w:t>
      </w:r>
      <w:r w:rsidRPr="00A169C9">
        <w:t>compare open-air vs cave sites?</w:t>
      </w:r>
    </w:p>
    <w:p w14:paraId="6AA0E4DF" w14:textId="77777777" w:rsidR="00624E2F" w:rsidRPr="00A169C9" w:rsidRDefault="00624E2F" w:rsidP="00A169C9"/>
    <w:p w14:paraId="39794163" w14:textId="1DCEB1A8" w:rsidR="00F52633" w:rsidRPr="00A169C9" w:rsidRDefault="00D4209B" w:rsidP="00A169C9">
      <w:r w:rsidRPr="00A169C9">
        <w:t>Studies using m</w:t>
      </w:r>
      <w:r w:rsidR="00F52633" w:rsidRPr="00A169C9">
        <w:t>edium</w:t>
      </w:r>
      <w:r w:rsidR="00E15635" w:rsidRPr="00A169C9">
        <w:t>-</w:t>
      </w:r>
      <w:r w:rsidR="00F52633" w:rsidRPr="00A169C9">
        <w:t xml:space="preserve"> to </w:t>
      </w:r>
      <w:r w:rsidR="00E15635" w:rsidRPr="00A169C9">
        <w:t>large-</w:t>
      </w:r>
      <w:r w:rsidR="00F52633" w:rsidRPr="00A169C9">
        <w:t>scale comparative analyses</w:t>
      </w:r>
      <w:r w:rsidR="00EC45D4" w:rsidRPr="00A169C9">
        <w:t xml:space="preserve"> </w:t>
      </w:r>
      <w:r w:rsidRPr="00A169C9">
        <w:t>often aim at a</w:t>
      </w:r>
      <w:r w:rsidR="00062E53" w:rsidRPr="00A169C9">
        <w:t>ddressing</w:t>
      </w:r>
      <w:r w:rsidRPr="00A169C9">
        <w:t xml:space="preserve"> major behavioural questions</w:t>
      </w:r>
      <w:r w:rsidR="00F52633" w:rsidRPr="00A169C9">
        <w:t>,</w:t>
      </w:r>
      <w:r w:rsidR="00062E53" w:rsidRPr="00A169C9">
        <w:t xml:space="preserve"> such as dispersals or cultural changes. Most participants </w:t>
      </w:r>
      <w:r w:rsidR="00E15635" w:rsidRPr="00A169C9">
        <w:t xml:space="preserve">emphasised </w:t>
      </w:r>
      <w:r w:rsidR="00062E53" w:rsidRPr="00A169C9">
        <w:t xml:space="preserve">the importance </w:t>
      </w:r>
      <w:r w:rsidR="00E15635" w:rsidRPr="00A169C9">
        <w:t xml:space="preserve">of </w:t>
      </w:r>
      <w:r w:rsidR="00062E53" w:rsidRPr="00A169C9">
        <w:t>reflect</w:t>
      </w:r>
      <w:r w:rsidR="00E15635" w:rsidRPr="00A169C9">
        <w:t>ing</w:t>
      </w:r>
      <w:r w:rsidR="00062E53" w:rsidRPr="00A169C9">
        <w:t xml:space="preserve"> on the kind of questions that we, as lithic analysts, </w:t>
      </w:r>
      <w:r w:rsidR="0064117A" w:rsidRPr="00A169C9">
        <w:t>can</w:t>
      </w:r>
      <w:r w:rsidR="00062E53" w:rsidRPr="00A169C9">
        <w:t xml:space="preserve"> answer</w:t>
      </w:r>
      <w:r w:rsidR="00E15635" w:rsidRPr="00A169C9">
        <w:t>;</w:t>
      </w:r>
      <w:r w:rsidR="00F52633" w:rsidRPr="00A169C9">
        <w:t xml:space="preserve"> </w:t>
      </w:r>
      <w:r w:rsidR="00E15635" w:rsidRPr="00A169C9">
        <w:t>w</w:t>
      </w:r>
      <w:r w:rsidR="00F52633" w:rsidRPr="00A169C9">
        <w:t xml:space="preserve">hat do the data allow us to ask? </w:t>
      </w:r>
      <w:r w:rsidR="00625F51" w:rsidRPr="00A169C9">
        <w:t>In addition, t</w:t>
      </w:r>
      <w:r w:rsidR="00F52633" w:rsidRPr="00A169C9">
        <w:t xml:space="preserve">here is a gap between </w:t>
      </w:r>
      <w:r w:rsidR="00070862" w:rsidRPr="00A169C9">
        <w:t xml:space="preserve">the analysis of the material and its interpretation in terms of broad cultural evolution. </w:t>
      </w:r>
      <w:r w:rsidR="007B0188" w:rsidRPr="00A169C9">
        <w:t>There is a growing</w:t>
      </w:r>
      <w:r w:rsidR="00E724C5" w:rsidRPr="00A169C9">
        <w:t xml:space="preserve"> need </w:t>
      </w:r>
      <w:r w:rsidR="00E724C5" w:rsidRPr="00A169C9">
        <w:lastRenderedPageBreak/>
        <w:t xml:space="preserve">for a middle-range theory </w:t>
      </w:r>
      <w:r w:rsidR="00C70647" w:rsidRPr="00A169C9">
        <w:fldChar w:fldCharType="begin"/>
      </w:r>
      <w:r w:rsidR="008E1E6B" w:rsidRPr="00A169C9">
        <w:instrText xml:space="preserve"> ADDIN ZOTERO_ITEM CSL_CITATION {"citationID":"eeulnufic","properties":{"formattedCitation":"{\\rtf (e.g. Bar\\uc0\\u8208{}Yosef &amp; Van Peer, 2009; Tostevin, 2012)}","plainCitation":"(e.g. Bar</w:instrText>
      </w:r>
      <w:r w:rsidR="008E1E6B" w:rsidRPr="00A169C9">
        <w:rPr>
          <w:rFonts w:ascii="Calibri" w:eastAsia="Calibri" w:hAnsi="Calibri" w:cs="Calibri"/>
        </w:rPr>
        <w:instrText>‐</w:instrText>
      </w:r>
      <w:r w:rsidR="008E1E6B" w:rsidRPr="00A169C9">
        <w:instrText>Yosef &amp; Van Peer, 2009; Tostevin, 2012)"},"citationItems":[{"id":663,"uris":["http://zotero.org/users/389416/items/NESMAAME"],"uri":["http://zotero.org/users/389416/items/NESMAAME"],"itemData":{"id":663,"type":"article-journal","title":"The Chaîne Opératoire Approach in Middle Paleolithic Archaeology","container-title":"Current Anthropology","page":"103-131","volume":"50","issue":"1","source":"JSTOR","abstract":"Since the pioneering days of Paleolithic archaeology in western Europe, the making of stone tools has received special attention. Numerous studies were aimed at creating systematic typologies of artifacts based on descriptions of their technical features and morphological attributes. Recently, the concept of chaîne opératoire, or “operational sequence” (sometimes called “core reduction sequence”), borrowed from French social anthropologists, has been introduced into the study of Old World prehistory. Its conceptual framework is focused on the recognition of the overall technology and the practical skills of the prehistoric knapper in employing a particular technique responsible for the transformation of raw material to tools. Although the stone objects of all periods received attention, those of the Middle Paleolithic—due to issues such as the significance of lithic variability in retouched tools, the demise of the Neanderthals, or the emergence of “modern behavior”—have been at the forefront. This paper discusses the definition of chaîne opératoire and its practice and demonstrates that as a system of classification, it is overformalized and provides but an illusion of reading the minds of prehistoric knappers. The need to pay more attention to the recognition of patterning in the technological information is essential if we wish to go beyond a formal type list of knapping products. We argue that an elaborate, complex typology of core reduction products and discrete chaînes opératoires is an approach that impedes informed behavioral interpretations by forcing a rigid framework of “technical” definitions on the prehistoric lithic technologies.","DOI":"10.1086/592234","ISSN":"0011-3204","journalAbbreviation":"Current Anthropology","author":[{"family":"Bar</w:instrText>
      </w:r>
      <w:r w:rsidR="008E1E6B" w:rsidRPr="00A169C9">
        <w:rPr>
          <w:rFonts w:ascii="Calibri" w:eastAsia="Calibri" w:hAnsi="Calibri" w:cs="Calibri"/>
        </w:rPr>
        <w:instrText>‐</w:instrText>
      </w:r>
      <w:r w:rsidR="008E1E6B" w:rsidRPr="00A169C9">
        <w:instrText xml:space="preserve">Yosef","given":"O."},{"family":"Van Peer","given":"P."}],"issued":{"date-parts":[["2009"]],"season":"février"}},"label":"page","prefix":"e.g."},{"id":1159,"uris":["http://zotero.org/users/389416/items/WZWJ6SDN"],"uri":["http://zotero.org/users/389416/items/WZWJ6SDN"],"itemData":{"id":1159,"type":"book","title":"Seeing Lithics: A Middle-Range Theory for Testing for Cultural Transmission in the Pleistocene","publisher":"Oxbow Books","publisher-place":"Oxford","number-of-pages":"608","source":"Amazon","event-place":"Oxford","abstract":"There is substantial debate over the extent to which the Middle to Upper Paleolithic transition and the dispersal of anatomically modern humans from Africa into Eurasia at the end of the Pleistocene were the result of the same process, related processes, or unrelated but coincident processes. The current debate shows a gap in archaeological method and theory for understanding how different cultural transmission processes create patterning in the material culture of foragers at the resolution of Paleolithic palimpsests. This research project attempts to bridge this gap with a middle-range theory connecting cultural transmission and dual inheritance theory with the archaeological study of flintknappers flake-by-flake choices in the production of lithic assemblages. The project thus combines a new middle-range theory as well as a new approach to characterizing Paleolithic assemblages for systematic comparison of units of analysis appropriate to distinguishing forces of change in cultural evolution.","ISBN":"978-1-84217-527-9","shortTitle":"Seeing Lithics","language":"English","author":[{"family":"Tostevin","given":"Gilbert B."}],"issued":{"date-parts":[["2012"]]}},"label":"page"}],"schema":"https://github.com/citation-style-language/schema/raw/master/csl-citation.json"} </w:instrText>
      </w:r>
      <w:r w:rsidR="00C70647" w:rsidRPr="00A169C9">
        <w:fldChar w:fldCharType="separate"/>
      </w:r>
      <w:r w:rsidR="008E1E6B" w:rsidRPr="00A169C9">
        <w:t>(e.g.</w:t>
      </w:r>
      <w:r w:rsidR="00084893">
        <w:t>,</w:t>
      </w:r>
      <w:r w:rsidR="008E1E6B" w:rsidRPr="00A169C9">
        <w:t xml:space="preserve"> Bar</w:t>
      </w:r>
      <w:r w:rsidR="008E1E6B" w:rsidRPr="00A169C9">
        <w:rPr>
          <w:rFonts w:ascii="Calibri" w:eastAsia="Calibri" w:hAnsi="Calibri" w:cs="Calibri"/>
        </w:rPr>
        <w:t>‐</w:t>
      </w:r>
      <w:r w:rsidR="008E1E6B" w:rsidRPr="00A169C9">
        <w:t>Yosef &amp; Van Peer, 2009; Tostevin, 2012)</w:t>
      </w:r>
      <w:r w:rsidR="00C70647" w:rsidRPr="00A169C9">
        <w:fldChar w:fldCharType="end"/>
      </w:r>
      <w:r w:rsidR="00E724C5" w:rsidRPr="00A169C9">
        <w:t>.</w:t>
      </w:r>
      <w:r w:rsidR="00F52633" w:rsidRPr="00A169C9">
        <w:t xml:space="preserve"> </w:t>
      </w:r>
      <w:r w:rsidR="00266305" w:rsidRPr="00A169C9">
        <w:t xml:space="preserve">In parallel, the use of predetermined terminologies, such as named stone tool industries </w:t>
      </w:r>
      <w:r w:rsidR="00C70647" w:rsidRPr="00A169C9">
        <w:fldChar w:fldCharType="begin"/>
      </w:r>
      <w:r w:rsidR="008D68A1" w:rsidRPr="00A169C9">
        <w:instrText xml:space="preserve"> ADDIN ZOTERO_ITEM CSL_CITATION {"citationID":"VPpqjfto","properties":{"formattedCitation":"(NASTIES, Shea, 2014)","plainCitation":"(NASTIES, Shea, 2014)"},"citationItems":[{"id":1336,"uris":["http://zotero.org/users/389416/items/R7X5W38U"],"uri":["http://zotero.org/users/389416/items/R7X5W38U"],"itemData":{"id":1336,"type":"article-journal","title":"Sink the Mousterian? Named stone tool industries (NASTIES) as obstacles to investigating hominin evolutionary relationships in the Later Middle Paleolithic Levant","container-title":"Quaternary International","page":"169–179","volume":"350","source":"Google Scholar","shortTitle":"Sink the Mousterian?","author":[{"family":"Shea","given":"John J."}],"issued":{"date-parts":[["2014"]]}},"prefix":"NASTIES,"}],"schema":"https://github.com/citation-style-language/schema/raw/master/csl-citation.json"} </w:instrText>
      </w:r>
      <w:r w:rsidR="00C70647" w:rsidRPr="00A169C9">
        <w:fldChar w:fldCharType="separate"/>
      </w:r>
      <w:r w:rsidR="008D68A1" w:rsidRPr="00A169C9">
        <w:t>(NASTIES, Shea, 2014)</w:t>
      </w:r>
      <w:r w:rsidR="00C70647" w:rsidRPr="00A169C9">
        <w:fldChar w:fldCharType="end"/>
      </w:r>
      <w:r w:rsidR="00266305" w:rsidRPr="00A169C9">
        <w:t xml:space="preserve"> and how they guide our interpretation</w:t>
      </w:r>
      <w:r w:rsidR="002A7C9B" w:rsidRPr="00A169C9">
        <w:t>s</w:t>
      </w:r>
      <w:r w:rsidR="00266305" w:rsidRPr="00A169C9">
        <w:t xml:space="preserve"> of the lithic variability </w:t>
      </w:r>
      <w:r w:rsidR="008E1E6B" w:rsidRPr="00A169C9">
        <w:t xml:space="preserve">should </w:t>
      </w:r>
      <w:r w:rsidR="00266305" w:rsidRPr="00A169C9">
        <w:t xml:space="preserve">also </w:t>
      </w:r>
      <w:r w:rsidR="005E7D34" w:rsidRPr="00A169C9">
        <w:t>to be taken into account</w:t>
      </w:r>
      <w:r w:rsidR="00266305" w:rsidRPr="00A169C9">
        <w:t xml:space="preserve">. </w:t>
      </w:r>
      <w:r w:rsidR="00786AF0" w:rsidRPr="00A169C9">
        <w:t>Some</w:t>
      </w:r>
      <w:r w:rsidR="004361E4" w:rsidRPr="00A169C9">
        <w:t xml:space="preserve"> participants also </w:t>
      </w:r>
      <w:r w:rsidR="00786AF0" w:rsidRPr="00A169C9">
        <w:t xml:space="preserve">accentuated the growing need for </w:t>
      </w:r>
      <w:r w:rsidR="00E15635" w:rsidRPr="00A169C9">
        <w:t xml:space="preserve">a </w:t>
      </w:r>
      <w:r w:rsidR="00786AF0" w:rsidRPr="00A169C9">
        <w:t xml:space="preserve">multidisciplinary approach to issues of dispersals and large-scale cultural changes, integrating lithic analyses </w:t>
      </w:r>
      <w:r w:rsidR="00E15635" w:rsidRPr="00A169C9">
        <w:t>with</w:t>
      </w:r>
      <w:r w:rsidR="00786AF0" w:rsidRPr="00A169C9">
        <w:t xml:space="preserve"> </w:t>
      </w:r>
      <w:r w:rsidR="00204B40" w:rsidRPr="00A169C9">
        <w:t>palaeoenvironment</w:t>
      </w:r>
      <w:r w:rsidR="008D68A1" w:rsidRPr="00A169C9">
        <w:t>al</w:t>
      </w:r>
      <w:r w:rsidR="00204B40" w:rsidRPr="00A169C9">
        <w:t xml:space="preserve"> reconstructions and climate models. </w:t>
      </w:r>
      <w:r w:rsidR="00786AF0" w:rsidRPr="00A169C9">
        <w:t xml:space="preserve">   </w:t>
      </w:r>
    </w:p>
    <w:p w14:paraId="7BCE4EE6" w14:textId="77777777" w:rsidR="00F52633" w:rsidRPr="00A169C9" w:rsidRDefault="00F52633" w:rsidP="00A169C9"/>
    <w:p w14:paraId="3A15FF52" w14:textId="1D822D5C" w:rsidR="0011153F" w:rsidRPr="00A169C9" w:rsidRDefault="0064117A" w:rsidP="00A169C9">
      <w:r w:rsidRPr="00A169C9">
        <w:t xml:space="preserve">Regarding the comparative </w:t>
      </w:r>
      <w:r w:rsidR="00786AF0" w:rsidRPr="00A169C9">
        <w:t xml:space="preserve">lithic </w:t>
      </w:r>
      <w:r w:rsidRPr="00A169C9">
        <w:t>analyses themselves, p</w:t>
      </w:r>
      <w:r w:rsidR="009417B0" w:rsidRPr="00A169C9">
        <w:t>articipants</w:t>
      </w:r>
      <w:r w:rsidR="008F0A2F" w:rsidRPr="00A169C9">
        <w:t xml:space="preserve"> </w:t>
      </w:r>
      <w:r w:rsidR="009417B0" w:rsidRPr="00A169C9">
        <w:t xml:space="preserve">seemed to reach a consensus on the necessity of quantifying how much assemblages differ from each other in order to interpret them. </w:t>
      </w:r>
      <w:r w:rsidR="000D3E12" w:rsidRPr="00A169C9">
        <w:t xml:space="preserve">However, </w:t>
      </w:r>
      <w:r w:rsidR="00F46284" w:rsidRPr="00A169C9">
        <w:t>h</w:t>
      </w:r>
      <w:r w:rsidR="000D3E12" w:rsidRPr="00A169C9">
        <w:t xml:space="preserve">ow </w:t>
      </w:r>
      <w:r w:rsidR="00E15635" w:rsidRPr="00A169C9">
        <w:t xml:space="preserve">can we </w:t>
      </w:r>
      <w:r w:rsidR="000D3E12" w:rsidRPr="00A169C9">
        <w:t xml:space="preserve">deal with </w:t>
      </w:r>
      <w:r w:rsidR="00783043" w:rsidRPr="00A169C9">
        <w:t>variables</w:t>
      </w:r>
      <w:r w:rsidR="000D3E12" w:rsidRPr="00A169C9">
        <w:t xml:space="preserve"> that cannot </w:t>
      </w:r>
      <w:r w:rsidR="00E15635" w:rsidRPr="00A169C9">
        <w:t xml:space="preserve">be </w:t>
      </w:r>
      <w:r w:rsidR="000D3E12" w:rsidRPr="00A169C9">
        <w:t>measure</w:t>
      </w:r>
      <w:r w:rsidR="00E15635" w:rsidRPr="00A169C9">
        <w:t>d</w:t>
      </w:r>
      <w:r w:rsidRPr="00A169C9">
        <w:t>,</w:t>
      </w:r>
      <w:r w:rsidR="00F46284" w:rsidRPr="00A169C9">
        <w:t xml:space="preserve"> such as categorical (e.g. whether a flake is Levallois), ordinal </w:t>
      </w:r>
      <w:r w:rsidR="00E15635" w:rsidRPr="00A169C9">
        <w:t xml:space="preserve">or </w:t>
      </w:r>
      <w:r w:rsidR="00F46284" w:rsidRPr="00A169C9">
        <w:t>interval variables</w:t>
      </w:r>
      <w:r w:rsidR="000D3E12" w:rsidRPr="00A169C9">
        <w:t xml:space="preserve">? </w:t>
      </w:r>
      <w:r w:rsidR="00E15635" w:rsidRPr="00A169C9">
        <w:t xml:space="preserve">For example, ordinal </w:t>
      </w:r>
      <w:r w:rsidR="00FE2F2B" w:rsidRPr="00A169C9">
        <w:t xml:space="preserve">and interval variables are often preferred for angle measurements; blind testing </w:t>
      </w:r>
      <w:r w:rsidR="00E15635" w:rsidRPr="00A169C9">
        <w:t xml:space="preserve">of this </w:t>
      </w:r>
      <w:r w:rsidR="00FE2F2B" w:rsidRPr="00A169C9">
        <w:t xml:space="preserve">did indeed show a high inter- or even intra-analyst variability </w:t>
      </w:r>
      <w:r w:rsidR="007E5883" w:rsidRPr="00A169C9">
        <w:fldChar w:fldCharType="begin"/>
      </w:r>
      <w:r w:rsidR="007E5883" w:rsidRPr="00A169C9">
        <w:instrText xml:space="preserve"> ADDIN ZOTERO_ITEM CSL_CITATION {"citationID":"fU5wAZeX","properties":{"formattedCitation":"(e.g. Dibble &amp; Bernard, 1980)","plainCitation":"(e.g. Dibble &amp; Bernard, 1980)"},"citationItems":[{"id":1121,"uris":["http://zotero.org/users/389416/items/SZ3JH3XK"],"uri":["http://zotero.org/users/389416/items/SZ3JH3XK"],"itemData":{"id":1121,"type":"article-journal","title":"A Comparative Study of Basic Edge Angle Measurement Techniques","container-title":"American Antiquity","page":"857-865","volume":"45","issue":"4","source":"JSTOR","abstract":"Four methods of edge angle measurements, including one developed by the authors, are applied to a sample of unretouched flakes in order to determine their relative accuracy, reliability, and economy. The authors discuss various statistical analyses which are available and essential in evaluating the significance of variability between and within the different measuring techniques, applying them to the results obtained from this study.","DOI":"10.2307/280156","ISSN":"0002-7316","journalAbbreviation":"American Antiquity","author":[{"family":"Dibble","given":"Harold L."},{"family":"Bernard","given":"Mary C."}],"issued":{"date-parts":[["1980"]]}},"prefix":"e.g."}],"schema":"https://github.com/citation-style-language/schema/raw/master/csl-citation.json"} </w:instrText>
      </w:r>
      <w:r w:rsidR="007E5883" w:rsidRPr="00A169C9">
        <w:fldChar w:fldCharType="separate"/>
      </w:r>
      <w:r w:rsidR="007E5883" w:rsidRPr="00A169C9">
        <w:t>(e.g.</w:t>
      </w:r>
      <w:r w:rsidR="00084893">
        <w:t>,</w:t>
      </w:r>
      <w:r w:rsidR="007E5883" w:rsidRPr="00A169C9">
        <w:t xml:space="preserve"> Dibble &amp; Bernard, 1980)</w:t>
      </w:r>
      <w:r w:rsidR="007E5883" w:rsidRPr="00A169C9">
        <w:fldChar w:fldCharType="end"/>
      </w:r>
      <w:r w:rsidR="00FE2F2B" w:rsidRPr="00A169C9">
        <w:t>. Experimental archaeology is critical to address</w:t>
      </w:r>
      <w:r w:rsidR="00E15635" w:rsidRPr="00A169C9">
        <w:t>ing</w:t>
      </w:r>
      <w:r w:rsidR="00FE2F2B" w:rsidRPr="00A169C9">
        <w:t xml:space="preserve"> some of these issues, a</w:t>
      </w:r>
      <w:r w:rsidR="00AD6BF4" w:rsidRPr="00A169C9">
        <w:t>s well as 3D-</w:t>
      </w:r>
      <w:r w:rsidR="00FE2F2B" w:rsidRPr="00A169C9">
        <w:t>scanning</w:t>
      </w:r>
      <w:r w:rsidR="00AD6BF4" w:rsidRPr="00A169C9">
        <w:t xml:space="preserve">. </w:t>
      </w:r>
      <w:r w:rsidR="003767AA" w:rsidRPr="00A169C9">
        <w:t xml:space="preserve">The workshop highlighted </w:t>
      </w:r>
      <w:r w:rsidR="00FE2F2B" w:rsidRPr="00A169C9">
        <w:t xml:space="preserve">how, by allowing precise and absolute measurements of angles, curvatures and dimensions, </w:t>
      </w:r>
      <w:r w:rsidR="00AD6BF4" w:rsidRPr="00A169C9">
        <w:t>3D-scanning</w:t>
      </w:r>
      <w:r w:rsidR="00FE2F2B" w:rsidRPr="00A169C9">
        <w:t xml:space="preserve"> </w:t>
      </w:r>
      <w:r w:rsidRPr="00A169C9">
        <w:t>leads to</w:t>
      </w:r>
      <w:r w:rsidR="00FE2F2B" w:rsidRPr="00A169C9">
        <w:t xml:space="preserve"> a precise quantification of otherwise ordinal or interval variables. </w:t>
      </w:r>
      <w:r w:rsidR="00C06F7A" w:rsidRPr="00A169C9">
        <w:t>In addition, specific algorithms developed for the study of lithic analysis enable the measurement of new variables (e.g. centre of mass</w:t>
      </w:r>
      <w:r w:rsidR="007272ED" w:rsidRPr="00A169C9">
        <w:t>,</w:t>
      </w:r>
      <w:r w:rsidR="00C06F7A" w:rsidRPr="00A169C9">
        <w:t xml:space="preserve"> area or curvature of scars, </w:t>
      </w:r>
      <w:r w:rsidR="007E5883" w:rsidRPr="00A169C9">
        <w:fldChar w:fldCharType="begin"/>
      </w:r>
      <w:r w:rsidR="007E5883" w:rsidRPr="00A169C9">
        <w:instrText xml:space="preserve"> ADDIN ZOTERO_ITEM CSL_CITATION {"citationID":"7dscJy0V","properties":{"formattedCitation":"(Grosman, 2016)","plainCitation":"(Grosman, 2016)"},"citationItems":[{"id":1324,"uris":["http://zotero.org/users/389416/items/MSRFEA2A"],"uri":["http://zotero.org/users/389416/items/MSRFEA2A"],"itemData":{"id":1324,"type":"article-journal","title":"Reaching the Point of No Return: The Computational Revolution in Archaeology","container-title":"Annual Review of Anthropology","page":"129-145","volume":"45","issue":"1","source":"Annual Reviews","abstract":"Archaeologists generally agree that high-power computer technology constitutes the most efficient venue for addressing many issues in archaeological research. Digital techniques have become indispensable components of archaeological surveys, fieldwork, lab work, and communication between researchers. One of the greatest advantages of the digital approach is its ability to examine large assemblages of items using advanced statistical methods. Digital documentation has reached the point of no return in archaeological research, and reverting to traditional methods is highly improbable. However, digital data may also contain additional information that has yet to be extracted by computer analysis. In this arena, new computer algorithms can be triggered by research questions that cannot be addressed without digital models.","DOI":"10.1146/annurev-anthro-102215-095946","shortTitle":"Reaching the Point of No Return","author":[{"family":"Grosman","given":"Leore"}],"issued":{"date-parts":[["2016"]]}}}],"schema":"https://github.com/citation-style-language/schema/raw/master/csl-citation.json"} </w:instrText>
      </w:r>
      <w:r w:rsidR="007E5883" w:rsidRPr="00A169C9">
        <w:fldChar w:fldCharType="separate"/>
      </w:r>
      <w:r w:rsidR="007E5883" w:rsidRPr="00A169C9">
        <w:t>(Grosman, 2016)</w:t>
      </w:r>
      <w:r w:rsidR="007E5883" w:rsidRPr="00A169C9">
        <w:fldChar w:fldCharType="end"/>
      </w:r>
      <w:r w:rsidR="00C06F7A" w:rsidRPr="00A169C9">
        <w:t xml:space="preserve">). </w:t>
      </w:r>
    </w:p>
    <w:p w14:paraId="293B6B68" w14:textId="77777777" w:rsidR="00A171CE" w:rsidRPr="00A169C9" w:rsidRDefault="00A171CE" w:rsidP="00A169C9"/>
    <w:p w14:paraId="34B5C8E3" w14:textId="044784ED" w:rsidR="009417B0" w:rsidRPr="00A169C9" w:rsidRDefault="007A2E53" w:rsidP="00A169C9">
      <w:r w:rsidRPr="00A169C9">
        <w:t>The</w:t>
      </w:r>
      <w:r w:rsidR="00816BFA" w:rsidRPr="00A169C9">
        <w:t xml:space="preserve"> use of these high precision tools </w:t>
      </w:r>
      <w:r w:rsidR="00655473" w:rsidRPr="00A169C9">
        <w:t>has to be integrated within</w:t>
      </w:r>
      <w:r w:rsidR="00816BFA" w:rsidRPr="00A169C9">
        <w:t xml:space="preserve"> </w:t>
      </w:r>
      <w:r w:rsidRPr="00A169C9">
        <w:t>valid archaeological</w:t>
      </w:r>
      <w:r w:rsidR="00FE174B" w:rsidRPr="00A169C9">
        <w:t>,</w:t>
      </w:r>
      <w:r w:rsidRPr="00A169C9">
        <w:t xml:space="preserve"> </w:t>
      </w:r>
      <w:r w:rsidR="00FE174B" w:rsidRPr="00A169C9">
        <w:t xml:space="preserve">behavioural </w:t>
      </w:r>
      <w:r w:rsidRPr="00A169C9">
        <w:t>questions, which can lead to new research questions</w:t>
      </w:r>
      <w:r w:rsidR="00FE174B" w:rsidRPr="00A169C9">
        <w:t xml:space="preserve">, specific to these methods. </w:t>
      </w:r>
      <w:r w:rsidR="005B0048" w:rsidRPr="00A169C9">
        <w:t xml:space="preserve">Precision </w:t>
      </w:r>
      <w:r w:rsidR="005B0048" w:rsidRPr="00084893">
        <w:rPr>
          <w:i/>
        </w:rPr>
        <w:t>per se</w:t>
      </w:r>
      <w:r w:rsidR="005B0048" w:rsidRPr="00A169C9">
        <w:t xml:space="preserve"> is not an aim, particularly regarding the main limitations of the methods</w:t>
      </w:r>
      <w:r w:rsidR="00782A78" w:rsidRPr="00A169C9">
        <w:t xml:space="preserve">: </w:t>
      </w:r>
      <w:r w:rsidR="00AD6BF4" w:rsidRPr="00A169C9">
        <w:t xml:space="preserve">the </w:t>
      </w:r>
      <w:r w:rsidR="00AD6BF4" w:rsidRPr="00A169C9">
        <w:lastRenderedPageBreak/>
        <w:t>time needed to scan all artefacts from an assemblage</w:t>
      </w:r>
      <w:r w:rsidR="00A57DF5" w:rsidRPr="00A169C9">
        <w:t xml:space="preserve"> and </w:t>
      </w:r>
      <w:r w:rsidR="005B0048" w:rsidRPr="00A169C9">
        <w:t xml:space="preserve">the </w:t>
      </w:r>
      <w:r w:rsidR="00FE174B" w:rsidRPr="00A169C9">
        <w:t xml:space="preserve">associated digital </w:t>
      </w:r>
      <w:r w:rsidR="00A57DF5" w:rsidRPr="00A169C9">
        <w:t>storage</w:t>
      </w:r>
      <w:r w:rsidR="00E15635" w:rsidRPr="00A169C9">
        <w:t xml:space="preserve"> required</w:t>
      </w:r>
      <w:r w:rsidR="00AD6BF4" w:rsidRPr="00A169C9">
        <w:t>.</w:t>
      </w:r>
    </w:p>
    <w:p w14:paraId="3CE885B4" w14:textId="77777777" w:rsidR="00EF2F4C" w:rsidRPr="00A169C9" w:rsidRDefault="00EF2F4C" w:rsidP="00A169C9"/>
    <w:p w14:paraId="3F5E310B" w14:textId="77777777" w:rsidR="0064117A" w:rsidRPr="00084893" w:rsidRDefault="0064117A" w:rsidP="00A169C9">
      <w:pPr>
        <w:rPr>
          <w:b/>
          <w:i/>
        </w:rPr>
      </w:pPr>
      <w:r w:rsidRPr="00084893">
        <w:rPr>
          <w:b/>
          <w:i/>
        </w:rPr>
        <w:t>Lithic analyst variability</w:t>
      </w:r>
    </w:p>
    <w:p w14:paraId="1B8C46FE" w14:textId="77777777" w:rsidR="0064117A" w:rsidRPr="00A169C9" w:rsidRDefault="0064117A" w:rsidP="00A169C9"/>
    <w:p w14:paraId="6F8C4980" w14:textId="13158248" w:rsidR="00D72397" w:rsidRPr="00A169C9" w:rsidRDefault="00D72397" w:rsidP="00A169C9">
      <w:r w:rsidRPr="00A169C9">
        <w:t xml:space="preserve">Large-scale comparative analyses and their interpretation are perhaps where </w:t>
      </w:r>
      <w:r w:rsidR="0007660F" w:rsidRPr="00A169C9">
        <w:t>differences between “schools” of lithic a</w:t>
      </w:r>
      <w:r w:rsidR="0065374F" w:rsidRPr="00A169C9">
        <w:t>nalyses are the most apparent. The workshop highlighted that one</w:t>
      </w:r>
      <w:r w:rsidR="0007660F" w:rsidRPr="00A169C9">
        <w:t xml:space="preserve"> of the main obstacle</w:t>
      </w:r>
      <w:r w:rsidR="00E15635" w:rsidRPr="00A169C9">
        <w:t>s</w:t>
      </w:r>
      <w:r w:rsidR="0007660F" w:rsidRPr="00A169C9">
        <w:t xml:space="preserve"> to large-scale comparative analyses is the lack of agreement on a list of attributes to be systematically recorded. A second “scale” of variability between lithic analysts is the difference in how they measure certain types of variables. Variables as simple as length, width or thickness measurements can be measured in a variety of ways (technological vs morphological length, maximum thickness vs thickness without the bulb, etc</w:t>
      </w:r>
      <w:r w:rsidR="00E15635" w:rsidRPr="00A169C9">
        <w:t>.</w:t>
      </w:r>
      <w:r w:rsidR="0007660F" w:rsidRPr="00A169C9">
        <w:t>) and reaching an agreement is often difficult. Participants reiterate</w:t>
      </w:r>
      <w:r w:rsidR="0065374F" w:rsidRPr="00A169C9">
        <w:t>d</w:t>
      </w:r>
      <w:r w:rsidR="0007660F" w:rsidRPr="00A169C9">
        <w:t xml:space="preserve"> the need to systematically provide </w:t>
      </w:r>
      <w:r w:rsidR="006E6D07" w:rsidRPr="00A169C9">
        <w:t xml:space="preserve">details </w:t>
      </w:r>
      <w:r w:rsidR="0007660F" w:rsidRPr="00A169C9">
        <w:t xml:space="preserve">on how measurements were taken. </w:t>
      </w:r>
      <w:r w:rsidR="0086169D" w:rsidRPr="00A169C9">
        <w:t>This information is critical to further comparisons between assemblages.</w:t>
      </w:r>
    </w:p>
    <w:p w14:paraId="73EC9B6C" w14:textId="77777777" w:rsidR="00D72397" w:rsidRPr="00A169C9" w:rsidRDefault="00D72397" w:rsidP="00A169C9"/>
    <w:p w14:paraId="5A532192" w14:textId="05EFF528" w:rsidR="00A57DF5" w:rsidRPr="00A169C9" w:rsidRDefault="00EF2F4C" w:rsidP="00A169C9">
      <w:r w:rsidRPr="00A169C9">
        <w:t xml:space="preserve">Multivariate </w:t>
      </w:r>
      <w:r w:rsidR="00F53D89" w:rsidRPr="00A169C9">
        <w:t>methods</w:t>
      </w:r>
      <w:r w:rsidR="0007660F" w:rsidRPr="00A169C9">
        <w:t xml:space="preserve"> </w:t>
      </w:r>
      <w:r w:rsidRPr="00A169C9">
        <w:t>are an increasingly common way to analyse data in comparative lithic studies</w:t>
      </w:r>
      <w:r w:rsidR="00F53D89" w:rsidRPr="00A169C9">
        <w:t xml:space="preserve">, as they </w:t>
      </w:r>
      <w:r w:rsidR="00351BE2" w:rsidRPr="00A169C9">
        <w:t>take into account the effects of all variables in a single analysis</w:t>
      </w:r>
      <w:r w:rsidRPr="00A169C9">
        <w:t xml:space="preserve">. </w:t>
      </w:r>
      <w:r w:rsidR="00A57DF5" w:rsidRPr="00A169C9">
        <w:t>However, complex multivariate analyses need to be performed exact</w:t>
      </w:r>
      <w:r w:rsidR="006E6D07" w:rsidRPr="00A169C9">
        <w:t>ly the</w:t>
      </w:r>
      <w:r w:rsidR="00A57DF5" w:rsidRPr="00A169C9">
        <w:t xml:space="preserve"> same ways to be comparable. </w:t>
      </w:r>
      <w:r w:rsidR="009F29DD" w:rsidRPr="00A169C9">
        <w:t>Contrary to other disciplines in humanities, such as social and political sciences, there is no discipline-specific “code of conduct” for the use of complex statistical analyses in archaeology</w:t>
      </w:r>
      <w:r w:rsidR="00F52633" w:rsidRPr="00A169C9">
        <w:t xml:space="preserve"> (e.g. minimum samp</w:t>
      </w:r>
      <w:r w:rsidR="005F3998" w:rsidRPr="00A169C9">
        <w:t>le</w:t>
      </w:r>
      <w:r w:rsidR="00F52633" w:rsidRPr="00A169C9">
        <w:t xml:space="preserve"> size</w:t>
      </w:r>
      <w:r w:rsidR="005F3998" w:rsidRPr="00A169C9">
        <w:t>, clear identification of biases</w:t>
      </w:r>
      <w:r w:rsidR="00F52633" w:rsidRPr="00A169C9">
        <w:t>)</w:t>
      </w:r>
      <w:r w:rsidR="009F29DD" w:rsidRPr="00A169C9">
        <w:t>.</w:t>
      </w:r>
      <w:r w:rsidR="00E70B95" w:rsidRPr="00A169C9">
        <w:t xml:space="preserve"> Despite their potential to discern patterns in the variability of lithic assemblages, m</w:t>
      </w:r>
      <w:r w:rsidR="005B11E4" w:rsidRPr="00A169C9">
        <w:t>any researchers remain sceptical of such standard</w:t>
      </w:r>
      <w:r w:rsidR="00E70B95" w:rsidRPr="00A169C9">
        <w:t>ized protocols for several reasons. These</w:t>
      </w:r>
      <w:r w:rsidR="005B11E4" w:rsidRPr="00A169C9">
        <w:t xml:space="preserve"> includ</w:t>
      </w:r>
      <w:r w:rsidR="00E70B95" w:rsidRPr="00A169C9">
        <w:t>e</w:t>
      </w:r>
      <w:r w:rsidR="00F13995" w:rsidRPr="00A169C9">
        <w:t>:</w:t>
      </w:r>
      <w:r w:rsidR="005B11E4" w:rsidRPr="00A169C9">
        <w:t xml:space="preserve"> </w:t>
      </w:r>
      <w:r w:rsidR="00E70B95" w:rsidRPr="00A169C9">
        <w:t xml:space="preserve">(1) </w:t>
      </w:r>
      <w:r w:rsidR="005B11E4" w:rsidRPr="00A169C9">
        <w:t xml:space="preserve">the initial development </w:t>
      </w:r>
      <w:r w:rsidR="005B11E4" w:rsidRPr="00A169C9">
        <w:lastRenderedPageBreak/>
        <w:t xml:space="preserve">of the </w:t>
      </w:r>
      <w:r w:rsidR="008A5CE3" w:rsidRPr="00084893">
        <w:rPr>
          <w:i/>
        </w:rPr>
        <w:t>c</w:t>
      </w:r>
      <w:r w:rsidR="005B11E4" w:rsidRPr="00084893">
        <w:rPr>
          <w:i/>
        </w:rPr>
        <w:t>haîne opératoire</w:t>
      </w:r>
      <w:r w:rsidR="005B11E4" w:rsidRPr="00A169C9">
        <w:t xml:space="preserve"> approach as a rejection of formal quantification </w:t>
      </w:r>
      <w:r w:rsidR="005B11E4" w:rsidRPr="00A169C9">
        <w:fldChar w:fldCharType="begin"/>
      </w:r>
      <w:r w:rsidR="005B11E4" w:rsidRPr="00A169C9">
        <w:instrText xml:space="preserve"> ADDIN ZOTERO_ITEM CSL_CITATION {"citationID":"qYxEY7Qs","properties":{"formattedCitation":"(Soressi &amp; Geneste, 2011)","plainCitation":"(Soressi &amp; Geneste, 2011)"},"citationItems":[{"id":1318,"uris":["http://zotero.org/users/389416/items/ABCZVGWI"],"uri":["http://zotero.org/users/389416/items/ABCZVGWI"],"itemData":{"id":1318,"type":"article-journal","title":"Special Issue: Reduction Sequence, Chaîne Opératoire, and Other Methods: The Epistemologies of Different Approaches to Lithic Analysis. The History and Efficacy of the Chaîne Opératoire Approach to Lithic Analysis: Studying Techniques to Reveal Past Societies in an Evolutionary Perspective.","container-title":"PaleoAnthropology","page":"334-350","author":[{"family":"Soressi","given":"M."},{"family":"Geneste","given":"J.M."}],"issued":{"date-parts":[["2011"]]}}}],"schema":"https://github.com/citation-style-language/schema/raw/master/csl-citation.json"} </w:instrText>
      </w:r>
      <w:r w:rsidR="005B11E4" w:rsidRPr="00A169C9">
        <w:fldChar w:fldCharType="separate"/>
      </w:r>
      <w:r w:rsidR="005B11E4" w:rsidRPr="00A169C9">
        <w:t>(Soressi &amp; Geneste, 2011)</w:t>
      </w:r>
      <w:r w:rsidR="005B11E4" w:rsidRPr="00A169C9">
        <w:fldChar w:fldCharType="end"/>
      </w:r>
      <w:r w:rsidR="005B11E4" w:rsidRPr="00A169C9">
        <w:t>,</w:t>
      </w:r>
      <w:r w:rsidR="00E70B95" w:rsidRPr="00A169C9">
        <w:t xml:space="preserve"> (2)</w:t>
      </w:r>
      <w:r w:rsidR="005B11E4" w:rsidRPr="00A169C9">
        <w:t xml:space="preserve"> the fact that these types of analyses allow </w:t>
      </w:r>
      <w:r w:rsidR="00F13995" w:rsidRPr="00A169C9">
        <w:t xml:space="preserve">us </w:t>
      </w:r>
      <w:r w:rsidR="005B11E4" w:rsidRPr="00A169C9">
        <w:t xml:space="preserve">to perceive patterns otherwise non-discernible, and </w:t>
      </w:r>
      <w:r w:rsidR="00E70B95" w:rsidRPr="00A169C9">
        <w:t xml:space="preserve">(3) </w:t>
      </w:r>
      <w:r w:rsidR="005B11E4" w:rsidRPr="00A169C9">
        <w:t xml:space="preserve">that few studies attempt to validate these results </w:t>
      </w:r>
      <w:r w:rsidR="00F13995" w:rsidRPr="00A169C9">
        <w:t xml:space="preserve">through </w:t>
      </w:r>
      <w:r w:rsidR="005B11E4" w:rsidRPr="00A169C9">
        <w:t xml:space="preserve">other approaches </w:t>
      </w:r>
      <w:r w:rsidR="005B11E4" w:rsidRPr="00A169C9">
        <w:fldChar w:fldCharType="begin"/>
      </w:r>
      <w:r w:rsidR="005B11E4" w:rsidRPr="00A169C9">
        <w:instrText xml:space="preserve"> ADDIN ZOTERO_ITEM CSL_CITATION {"citationID":"x37hDOa3","properties":{"formattedCitation":"(e.g. Scerri et al., 2016)","plainCitation":"(e.g. Scerri et al., 2016)"},"citationItems":[{"id":1323,"uris":["http://zotero.org/users/389416/items/HDM724VS"],"uri":["http://zotero.org/users/389416/items/HDM724VS"],"itemData":{"id":1323,"type":"article-journal","title":"Can Lithic Attribute Analyses Identify Discrete Reduction Trajectories? A Quantitative Study Using Refitted Lithic Sets","container-title":"Journal of Archaeological Method and Theory","page":"669-691","volume":"23","issue":"2","source":"link.springer.com","abstract":"Quantitative, attribute-based analyses of stone tools (lithics) have been frequently used to facilitate large-scale comparative studies, attempt to mitigate problems of assemblage completeness and address interpretations of the co-occurrence of unrelated technological processes. However, a major barrier to the widespread acceptance of such methods has been the lack of quantified experiments that can be externally validated by theoretically distinct approaches in order to guide analysis and confidence in results. Given that quantitative, attribute-based studies now underpin several major interpretations of the archaeological record, the requirement to test the accuracy of such methods has become critical. In this paper, we test the utility of 31 commonly used flake attribute measurements for identifying discrete reduction trajectories through three refitted lithic sets from the Middle Palaeolithic open-air site of Le Pucheuil, in northern France. The experiment had three aims: (1) to determine which, if any, attribute measurements could be used to separate individual refitted sets, (2) to determine whether variability inherent in the assemblage was primarily driven by different reduction trajectories, as represented by the refitted sets, or other factors, and (3) to determine which multivariate tests were most suitable for these analyses. In order to test the sensitivity of the sample, we ran all analyses twice, the first time with all the available lithics pertaining to each refitted set and the second time with randomly generated 75 % subsamples of each set. All results revealed the consistent accuracy of 16 attribute measurements in quadratic and linear discriminant analyses, principal component analyses and dissimilarity matrices. These results therefore provide the first quantified attribute formula for comparative analyses of Levallois reduction methods and a basis from which further experiments testing core and retouch attributes may be conducted.","DOI":"10.1007/s10816-015-9255-x","ISSN":"1072-5369, 1573-7764","shortTitle":"Can Lithic Attribute Analyses Identify Discrete Reduction Trajectories?","journalAbbreviation":"J Archaeol Method Theory","language":"en","author":[{"family":"Scerri","given":"Eleanor M. L."},{"family":"Gravina","given":"Brad"},{"family":"Blinkhorn","given":"James"},{"family":"Delagnes","given":"Anne"}],"issued":{"date-parts":[["2016",6,1]]}},"prefix":"e.g."}],"schema":"https://github.com/citation-style-language/schema/raw/master/csl-citation.json"} </w:instrText>
      </w:r>
      <w:r w:rsidR="005B11E4" w:rsidRPr="00A169C9">
        <w:fldChar w:fldCharType="separate"/>
      </w:r>
      <w:r w:rsidR="005B11E4" w:rsidRPr="00A169C9">
        <w:t>(e.g.</w:t>
      </w:r>
      <w:r w:rsidR="00084893">
        <w:t>,</w:t>
      </w:r>
      <w:r w:rsidR="005B11E4" w:rsidRPr="00A169C9">
        <w:t xml:space="preserve"> Scerri et al., 2016)</w:t>
      </w:r>
      <w:r w:rsidR="005B11E4" w:rsidRPr="00A169C9">
        <w:fldChar w:fldCharType="end"/>
      </w:r>
      <w:r w:rsidR="005B11E4" w:rsidRPr="00A169C9">
        <w:t xml:space="preserve">. </w:t>
      </w:r>
    </w:p>
    <w:p w14:paraId="084F014F" w14:textId="77777777" w:rsidR="00A57DF5" w:rsidRPr="00A169C9" w:rsidRDefault="00A57DF5" w:rsidP="00A169C9"/>
    <w:p w14:paraId="57137C0A" w14:textId="1A92680F" w:rsidR="004B1A14" w:rsidRPr="00A169C9" w:rsidRDefault="003767AA" w:rsidP="00A169C9">
      <w:r w:rsidRPr="00A169C9">
        <w:t>This</w:t>
      </w:r>
      <w:r w:rsidR="00AF0AAB" w:rsidRPr="00A169C9">
        <w:t xml:space="preserve"> </w:t>
      </w:r>
      <w:r w:rsidR="005B11E4" w:rsidRPr="00A169C9">
        <w:t>workshop by no means aimed at a</w:t>
      </w:r>
      <w:r w:rsidR="00AF0AAB" w:rsidRPr="00A169C9">
        <w:t xml:space="preserve"> harmonisatio</w:t>
      </w:r>
      <w:r w:rsidRPr="00A169C9">
        <w:t>n of methods in lithic analysis and</w:t>
      </w:r>
      <w:r w:rsidR="00AF0AAB" w:rsidRPr="00A169C9">
        <w:t xml:space="preserve"> </w:t>
      </w:r>
      <w:r w:rsidRPr="00A169C9">
        <w:t>one of its more important outcome</w:t>
      </w:r>
      <w:r w:rsidR="00F13995" w:rsidRPr="00A169C9">
        <w:t>s</w:t>
      </w:r>
      <w:r w:rsidRPr="00A169C9">
        <w:t xml:space="preserve"> was to highlight this variability of methods and</w:t>
      </w:r>
      <w:r w:rsidR="00626723" w:rsidRPr="00A169C9">
        <w:t xml:space="preserve"> that each of the method</w:t>
      </w:r>
      <w:r w:rsidR="00F13995" w:rsidRPr="00A169C9">
        <w:t>s</w:t>
      </w:r>
      <w:r w:rsidR="00626723" w:rsidRPr="00A169C9">
        <w:t xml:space="preserve"> used has potential to answer specific questions. </w:t>
      </w:r>
      <w:r w:rsidR="00E90942" w:rsidRPr="00A169C9">
        <w:t>In order to have an overview of the data, regardless of the methods used, participants highlighted</w:t>
      </w:r>
      <w:r w:rsidR="001C43DF" w:rsidRPr="00A169C9">
        <w:t xml:space="preserve"> the importance of always providing a descriptive summary of the data</w:t>
      </w:r>
      <w:r w:rsidR="00E86C88" w:rsidRPr="00A169C9">
        <w:t xml:space="preserve"> with counts and main </w:t>
      </w:r>
      <w:r w:rsidR="00E90942" w:rsidRPr="00A169C9">
        <w:t>variables.</w:t>
      </w:r>
    </w:p>
    <w:p w14:paraId="218A6493" w14:textId="77777777" w:rsidR="004B1A14" w:rsidRPr="00A169C9" w:rsidRDefault="004B1A14" w:rsidP="00A169C9"/>
    <w:p w14:paraId="5541262E" w14:textId="3FCB51BE" w:rsidR="004B1A14" w:rsidRPr="00A169C9" w:rsidRDefault="0007660F" w:rsidP="00A169C9">
      <w:r w:rsidRPr="00A169C9">
        <w:t>At the end of the workshop, p</w:t>
      </w:r>
      <w:r w:rsidR="00127C3F" w:rsidRPr="00A169C9">
        <w:t xml:space="preserve">articipants insisted on the importance of the widespread sharing of our databases (Big Data, e.g. Old Stone </w:t>
      </w:r>
      <w:r w:rsidR="006856E6" w:rsidRPr="00A169C9">
        <w:t xml:space="preserve">Age Project: </w:t>
      </w:r>
      <w:hyperlink r:id="rId9" w:history="1">
        <w:r w:rsidR="006856E6" w:rsidRPr="00A169C9">
          <w:t>http://www.oldstoneage.com</w:t>
        </w:r>
      </w:hyperlink>
      <w:r w:rsidR="006856E6" w:rsidRPr="00A169C9">
        <w:t>, started by H. Dibble and S. McPherron</w:t>
      </w:r>
      <w:r w:rsidR="00127C3F" w:rsidRPr="00A169C9">
        <w:t xml:space="preserve">). In the </w:t>
      </w:r>
      <w:r w:rsidR="005B11E4" w:rsidRPr="00A169C9">
        <w:t>future,</w:t>
      </w:r>
      <w:r w:rsidR="00127C3F" w:rsidRPr="00A169C9">
        <w:t xml:space="preserve"> it will also be possible to share large databases of 3D models of entire assemblages</w:t>
      </w:r>
      <w:r w:rsidR="003F050A" w:rsidRPr="00A169C9">
        <w:t>,</w:t>
      </w:r>
      <w:r w:rsidR="00127C3F" w:rsidRPr="00A169C9">
        <w:t xml:space="preserve"> which could then be </w:t>
      </w:r>
      <w:r w:rsidR="006856E6" w:rsidRPr="00A169C9">
        <w:t>(re)</w:t>
      </w:r>
      <w:r w:rsidR="00127C3F" w:rsidRPr="00A169C9">
        <w:t xml:space="preserve">analysed </w:t>
      </w:r>
      <w:r w:rsidR="006856E6" w:rsidRPr="00A169C9">
        <w:t>using</w:t>
      </w:r>
      <w:r w:rsidR="00127C3F" w:rsidRPr="00A169C9">
        <w:t xml:space="preserve"> different methods</w:t>
      </w:r>
      <w:r w:rsidR="004361E4" w:rsidRPr="00A169C9">
        <w:t xml:space="preserve"> and open new perspectives for the field of lithic analysis.</w:t>
      </w:r>
    </w:p>
    <w:p w14:paraId="3F629731" w14:textId="77777777" w:rsidR="005C4315" w:rsidRDefault="005C4315" w:rsidP="00F94AEE">
      <w:pPr>
        <w:pStyle w:val="p1"/>
        <w:rPr>
          <w:rFonts w:ascii="Garamond" w:hAnsi="Garamond"/>
          <w:sz w:val="24"/>
          <w:szCs w:val="24"/>
        </w:rPr>
      </w:pPr>
    </w:p>
    <w:p w14:paraId="743B6F23" w14:textId="48A4BBA5" w:rsidR="002E0C59" w:rsidRPr="007B5820" w:rsidRDefault="007B5820" w:rsidP="00F94AEE">
      <w:pPr>
        <w:pStyle w:val="p1"/>
        <w:rPr>
          <w:rFonts w:ascii="Times New Roman" w:hAnsi="Times New Roman" w:cstheme="minorBidi"/>
          <w:b/>
          <w:sz w:val="24"/>
          <w:szCs w:val="22"/>
          <w:u w:val="single"/>
          <w:lang w:eastAsia="en-US"/>
        </w:rPr>
      </w:pPr>
      <w:r w:rsidRPr="007B5820">
        <w:rPr>
          <w:rFonts w:ascii="Times New Roman" w:hAnsi="Times New Roman" w:cstheme="minorBidi"/>
          <w:b/>
          <w:sz w:val="24"/>
          <w:szCs w:val="22"/>
          <w:u w:val="single"/>
          <w:lang w:eastAsia="en-US"/>
        </w:rPr>
        <w:t>Acknowledgment</w:t>
      </w:r>
    </w:p>
    <w:p w14:paraId="7FFA83F1" w14:textId="77777777" w:rsidR="007B5820" w:rsidRPr="007B5820" w:rsidRDefault="007B5820" w:rsidP="00F94AEE">
      <w:pPr>
        <w:pStyle w:val="p1"/>
        <w:rPr>
          <w:rFonts w:ascii="Times New Roman" w:hAnsi="Times New Roman" w:cstheme="minorBidi"/>
          <w:sz w:val="24"/>
          <w:szCs w:val="22"/>
          <w:lang w:eastAsia="en-US"/>
        </w:rPr>
      </w:pPr>
    </w:p>
    <w:p w14:paraId="72BF95F6" w14:textId="56B0BE39" w:rsidR="007B5820" w:rsidRPr="007B5820" w:rsidRDefault="007B5820" w:rsidP="007B5820">
      <w:pPr>
        <w:pStyle w:val="p1"/>
        <w:spacing w:line="480" w:lineRule="auto"/>
        <w:rPr>
          <w:rFonts w:ascii="Times New Roman" w:hAnsi="Times New Roman" w:cstheme="minorBidi"/>
          <w:sz w:val="24"/>
          <w:szCs w:val="22"/>
          <w:lang w:eastAsia="en-US"/>
        </w:rPr>
      </w:pPr>
      <w:r w:rsidRPr="007B5820">
        <w:rPr>
          <w:rFonts w:ascii="Times New Roman" w:hAnsi="Times New Roman" w:cstheme="minorBidi"/>
          <w:sz w:val="24"/>
          <w:szCs w:val="22"/>
          <w:lang w:eastAsia="en-US"/>
        </w:rPr>
        <w:t>I thank the workshop participants for their helpful comments on earlier versions of this workshop overview</w:t>
      </w:r>
      <w:r>
        <w:rPr>
          <w:rFonts w:ascii="Times New Roman" w:hAnsi="Times New Roman" w:cstheme="minorBidi"/>
          <w:sz w:val="24"/>
          <w:szCs w:val="22"/>
          <w:lang w:eastAsia="en-US"/>
        </w:rPr>
        <w:t>.</w:t>
      </w:r>
    </w:p>
    <w:p w14:paraId="27237718" w14:textId="77777777" w:rsidR="002E0C59" w:rsidRDefault="002E0C59" w:rsidP="00F94AEE">
      <w:pPr>
        <w:pStyle w:val="p1"/>
        <w:rPr>
          <w:rFonts w:ascii="Garamond" w:hAnsi="Garamond"/>
          <w:sz w:val="24"/>
          <w:szCs w:val="24"/>
        </w:rPr>
      </w:pPr>
    </w:p>
    <w:p w14:paraId="169CA46B" w14:textId="77777777" w:rsidR="002E0C59" w:rsidRDefault="002E0C59" w:rsidP="00F94AEE">
      <w:pPr>
        <w:pStyle w:val="p1"/>
        <w:rPr>
          <w:rFonts w:ascii="Garamond" w:hAnsi="Garamond"/>
          <w:sz w:val="24"/>
          <w:szCs w:val="24"/>
        </w:rPr>
      </w:pPr>
    </w:p>
    <w:p w14:paraId="125C6867" w14:textId="77777777" w:rsidR="002E0C59" w:rsidRDefault="002E0C59" w:rsidP="00F94AEE">
      <w:pPr>
        <w:pStyle w:val="p1"/>
        <w:rPr>
          <w:rFonts w:ascii="Garamond" w:hAnsi="Garamond"/>
          <w:sz w:val="24"/>
          <w:szCs w:val="24"/>
        </w:rPr>
      </w:pPr>
    </w:p>
    <w:p w14:paraId="444EFC88" w14:textId="77777777" w:rsidR="005C4315" w:rsidRDefault="005C4315" w:rsidP="00F94AEE">
      <w:pPr>
        <w:pStyle w:val="p1"/>
        <w:rPr>
          <w:rFonts w:ascii="Garamond" w:hAnsi="Garamond"/>
          <w:sz w:val="24"/>
          <w:szCs w:val="24"/>
        </w:rPr>
      </w:pPr>
    </w:p>
    <w:p w14:paraId="253ABD0F" w14:textId="5321CA2F" w:rsidR="004B1A14" w:rsidRPr="00084893" w:rsidRDefault="00084893" w:rsidP="00A169C9">
      <w:pPr>
        <w:pStyle w:val="Bibliography"/>
        <w:rPr>
          <w:b/>
          <w:u w:val="single"/>
        </w:rPr>
      </w:pPr>
      <w:r w:rsidRPr="00084893">
        <w:rPr>
          <w:b/>
          <w:u w:val="single"/>
        </w:rPr>
        <w:t>REFERENCES</w:t>
      </w:r>
    </w:p>
    <w:p w14:paraId="59739F25" w14:textId="77777777" w:rsidR="004B1A14" w:rsidRPr="00A169C9" w:rsidRDefault="004B1A14" w:rsidP="00A169C9">
      <w:pPr>
        <w:pStyle w:val="Bibliography"/>
      </w:pPr>
    </w:p>
    <w:p w14:paraId="2C83EEDD" w14:textId="77777777" w:rsidR="00C831F6" w:rsidRPr="00A169C9" w:rsidRDefault="007E5883" w:rsidP="00A169C9">
      <w:pPr>
        <w:pStyle w:val="Bibliography"/>
      </w:pPr>
      <w:r w:rsidRPr="00A169C9">
        <w:lastRenderedPageBreak/>
        <w:fldChar w:fldCharType="begin"/>
      </w:r>
      <w:r w:rsidR="00C831F6" w:rsidRPr="00A169C9">
        <w:instrText xml:space="preserve"> ADDIN ZOTERO_BIBL {"custom":[]} CSL_BIBLIOGRAPHY </w:instrText>
      </w:r>
      <w:r w:rsidRPr="00A169C9">
        <w:fldChar w:fldCharType="separate"/>
      </w:r>
      <w:r w:rsidR="00C831F6" w:rsidRPr="00A169C9">
        <w:t>Andrefsky, W. (2005). Lithics: Macroscopic Approaches to Analysis (Cambridge Manuals in Archaeology) (1st ed 1998). Cambridge: Cambridge University Press.</w:t>
      </w:r>
    </w:p>
    <w:p w14:paraId="5C6F6B20" w14:textId="79B3E9C9" w:rsidR="00C831F6" w:rsidRPr="00A169C9" w:rsidRDefault="00C831F6" w:rsidP="00A169C9">
      <w:pPr>
        <w:pStyle w:val="Bibliography"/>
      </w:pPr>
      <w:r w:rsidRPr="00A169C9">
        <w:t>Bar</w:t>
      </w:r>
      <w:r w:rsidRPr="00A169C9">
        <w:rPr>
          <w:rFonts w:ascii="Calibri" w:eastAsia="Calibri" w:hAnsi="Calibri" w:cs="Calibri"/>
        </w:rPr>
        <w:t>‐</w:t>
      </w:r>
      <w:r w:rsidRPr="00A169C9">
        <w:t xml:space="preserve">Yosef, O., &amp; Van Peer, P. (2009). The Chaîne Opératoire Approach in Middle Paleolithic Archaeology. Current Anthropology, 50(1), 103–131. </w:t>
      </w:r>
    </w:p>
    <w:p w14:paraId="519FC890" w14:textId="561FAC90" w:rsidR="00790812" w:rsidRPr="007B5820" w:rsidRDefault="00C831F6" w:rsidP="004D1018">
      <w:pPr>
        <w:pStyle w:val="Bibliography"/>
        <w:rPr>
          <w:lang w:val="fr-FR"/>
        </w:rPr>
      </w:pPr>
      <w:r w:rsidRPr="00A169C9">
        <w:t xml:space="preserve">Binford, L. R. (1973). Interassemblage variability: The Mousterian and the functional argument. </w:t>
      </w:r>
      <w:r w:rsidR="00DD0014" w:rsidRPr="00A169C9">
        <w:t>In</w:t>
      </w:r>
      <w:r w:rsidR="00790812" w:rsidRPr="00A169C9">
        <w:t xml:space="preserve"> C. Renfrew (Ed),</w:t>
      </w:r>
      <w:r w:rsidR="00DD0014" w:rsidRPr="00A169C9">
        <w:t xml:space="preserve"> </w:t>
      </w:r>
      <w:r w:rsidRPr="004D1018">
        <w:rPr>
          <w:i/>
        </w:rPr>
        <w:t>The Explanation of Culture Change</w:t>
      </w:r>
      <w:r w:rsidR="00790812" w:rsidRPr="004D1018">
        <w:rPr>
          <w:i/>
        </w:rPr>
        <w:t>: models in Prehistory</w:t>
      </w:r>
      <w:r w:rsidR="00790812" w:rsidRPr="00A169C9">
        <w:t xml:space="preserve"> (pp 227-254). </w:t>
      </w:r>
      <w:r w:rsidR="00790812" w:rsidRPr="007B5820">
        <w:rPr>
          <w:lang w:val="fr-FR"/>
        </w:rPr>
        <w:t>London: Duckworth.</w:t>
      </w:r>
    </w:p>
    <w:p w14:paraId="3C7F185F" w14:textId="77777777" w:rsidR="00C831F6" w:rsidRPr="00A169C9" w:rsidRDefault="00C831F6" w:rsidP="00A169C9">
      <w:pPr>
        <w:pStyle w:val="Bibliography"/>
      </w:pPr>
      <w:r w:rsidRPr="007B5820">
        <w:rPr>
          <w:lang w:val="fr-FR"/>
        </w:rPr>
        <w:t xml:space="preserve">Bordes, F. (1950). L’évolution buissonnante des industries en Europe occidentale: considérations théoriques sur le Paléolithique ancien et moyen. </w:t>
      </w:r>
      <w:r w:rsidRPr="004D1018">
        <w:rPr>
          <w:i/>
        </w:rPr>
        <w:t>L’Anthropologie</w:t>
      </w:r>
      <w:r w:rsidRPr="00A169C9">
        <w:t>, 54, 393–420.</w:t>
      </w:r>
    </w:p>
    <w:p w14:paraId="72D6DA1D" w14:textId="7F400BA2" w:rsidR="00C831F6" w:rsidRPr="00A169C9" w:rsidRDefault="00C831F6" w:rsidP="00A169C9">
      <w:pPr>
        <w:pStyle w:val="Bibliography"/>
      </w:pPr>
      <w:r w:rsidRPr="00A169C9">
        <w:t>Bordes, F., &amp; Sonneville</w:t>
      </w:r>
      <w:r w:rsidRPr="00A169C9">
        <w:rPr>
          <w:rFonts w:ascii="Calibri" w:eastAsia="Calibri" w:hAnsi="Calibri" w:cs="Calibri"/>
        </w:rPr>
        <w:t>‐</w:t>
      </w:r>
      <w:r w:rsidRPr="00A169C9">
        <w:t xml:space="preserve">Bordes, D. de. (1970). The significance of variability in Palaeolithic assemblages. </w:t>
      </w:r>
      <w:r w:rsidRPr="004D1018">
        <w:rPr>
          <w:i/>
        </w:rPr>
        <w:t>World Archaeology</w:t>
      </w:r>
      <w:r w:rsidRPr="00A169C9">
        <w:t xml:space="preserve">, 2(1), 61–73. </w:t>
      </w:r>
    </w:p>
    <w:p w14:paraId="377A7010" w14:textId="570B34BF" w:rsidR="00C831F6" w:rsidRPr="007B5820" w:rsidRDefault="00C831F6" w:rsidP="00A169C9">
      <w:pPr>
        <w:pStyle w:val="Bibliography"/>
        <w:rPr>
          <w:lang w:val="fr-FR"/>
        </w:rPr>
      </w:pPr>
      <w:r w:rsidRPr="00A169C9">
        <w:t xml:space="preserve">Bretzke, K., &amp; Conard, N. J. (2012). Evaluating morphological variability in lithic assemblages using 3D models of stone artifacts. </w:t>
      </w:r>
      <w:r w:rsidRPr="007B5820">
        <w:rPr>
          <w:i/>
          <w:lang w:val="fr-FR"/>
        </w:rPr>
        <w:t>Journal of Archaeological Science</w:t>
      </w:r>
      <w:r w:rsidRPr="007B5820">
        <w:rPr>
          <w:lang w:val="fr-FR"/>
        </w:rPr>
        <w:t xml:space="preserve">, 39(12), 3741–3749. </w:t>
      </w:r>
    </w:p>
    <w:p w14:paraId="6F29F472" w14:textId="63F356A1" w:rsidR="00C831F6" w:rsidRPr="00A169C9" w:rsidRDefault="00C831F6" w:rsidP="00A169C9">
      <w:pPr>
        <w:pStyle w:val="Bibliography"/>
      </w:pPr>
      <w:r w:rsidRPr="007B5820">
        <w:rPr>
          <w:lang w:val="fr-FR"/>
        </w:rPr>
        <w:t xml:space="preserve">Chacón, M. G., Détroit, F., Coudenneau, A., &amp; Moncel, M.-H. (2016). </w:t>
      </w:r>
      <w:r w:rsidRPr="00A169C9">
        <w:t xml:space="preserve">Morphometric Assessment of Convergent Tool Technology and Function during the Early Middle Palaeolithic: The Case of Payre, France. </w:t>
      </w:r>
      <w:r w:rsidRPr="004D1018">
        <w:rPr>
          <w:i/>
        </w:rPr>
        <w:t>PLOS ONE</w:t>
      </w:r>
      <w:r w:rsidRPr="00A169C9">
        <w:t xml:space="preserve">, 11(5), e0155316. </w:t>
      </w:r>
    </w:p>
    <w:p w14:paraId="3793A310" w14:textId="77777777" w:rsidR="00C831F6" w:rsidRPr="00A169C9" w:rsidRDefault="00C831F6" w:rsidP="00A169C9">
      <w:pPr>
        <w:pStyle w:val="Bibliography"/>
      </w:pPr>
      <w:r w:rsidRPr="00A169C9">
        <w:t xml:space="preserve">Clarke, D. L. (1968). </w:t>
      </w:r>
      <w:r w:rsidRPr="004D1018">
        <w:rPr>
          <w:i/>
        </w:rPr>
        <w:t>Analytical Archaeology</w:t>
      </w:r>
      <w:r w:rsidRPr="00A169C9">
        <w:t>. Routledge.</w:t>
      </w:r>
    </w:p>
    <w:p w14:paraId="35E37B26" w14:textId="77777777" w:rsidR="00C831F6" w:rsidRPr="00A169C9" w:rsidRDefault="00C831F6" w:rsidP="00A169C9">
      <w:pPr>
        <w:pStyle w:val="Bibliography"/>
      </w:pPr>
      <w:r w:rsidRPr="00A169C9">
        <w:t xml:space="preserve">Dibble, H. L. (1987). The interpretation of Middle Paleolithic scraper morphology. </w:t>
      </w:r>
      <w:r w:rsidRPr="004D1018">
        <w:rPr>
          <w:i/>
        </w:rPr>
        <w:t>American Antiquity</w:t>
      </w:r>
      <w:r w:rsidRPr="00A169C9">
        <w:t>, 109–117.</w:t>
      </w:r>
    </w:p>
    <w:p w14:paraId="72F82E94" w14:textId="094F5720" w:rsidR="00C831F6" w:rsidRPr="00A169C9" w:rsidRDefault="00C831F6" w:rsidP="00A169C9">
      <w:pPr>
        <w:pStyle w:val="Bibliography"/>
      </w:pPr>
      <w:r w:rsidRPr="00A169C9">
        <w:t xml:space="preserve">Dibble, H. L., &amp; Bernard, M. C. (1980). A Comparative Study of Basic Edge Angle Measurement Techniques. </w:t>
      </w:r>
      <w:r w:rsidRPr="004D1018">
        <w:rPr>
          <w:i/>
        </w:rPr>
        <w:t>American Antiquity</w:t>
      </w:r>
      <w:r w:rsidRPr="00A169C9">
        <w:t xml:space="preserve">, 45(4), 857–865. </w:t>
      </w:r>
    </w:p>
    <w:p w14:paraId="361FD270" w14:textId="43CE2B09" w:rsidR="00C831F6" w:rsidRPr="00A169C9" w:rsidRDefault="00C831F6" w:rsidP="00A169C9">
      <w:pPr>
        <w:pStyle w:val="Bibliography"/>
      </w:pPr>
      <w:r w:rsidRPr="00A169C9">
        <w:lastRenderedPageBreak/>
        <w:t xml:space="preserve">Dogandžić, T., Braun, D. R., &amp; McPherron, S. P. (2015). Edge Length and Surface Area of a Blank: Experimental Assessment of Measures, Size Predictions and Utility. </w:t>
      </w:r>
      <w:r w:rsidRPr="004D1018">
        <w:rPr>
          <w:i/>
        </w:rPr>
        <w:t>PLOS ONE</w:t>
      </w:r>
      <w:r w:rsidRPr="00A169C9">
        <w:t xml:space="preserve">, 10(9), e0133984. </w:t>
      </w:r>
    </w:p>
    <w:p w14:paraId="7DD8D119" w14:textId="5755CBE3" w:rsidR="00C831F6" w:rsidRPr="00A169C9" w:rsidRDefault="00C831F6" w:rsidP="00A169C9">
      <w:pPr>
        <w:pStyle w:val="Bibliography"/>
      </w:pPr>
      <w:r w:rsidRPr="00A169C9">
        <w:t xml:space="preserve">Grosman, L. (2016). Reaching the Point of No Return: The Computational Revolution in Archaeology. </w:t>
      </w:r>
      <w:r w:rsidRPr="004D1018">
        <w:rPr>
          <w:i/>
        </w:rPr>
        <w:t>Annual Review of Anthropology</w:t>
      </w:r>
      <w:r w:rsidRPr="00A169C9">
        <w:t xml:space="preserve">, 45(1), 129–145. </w:t>
      </w:r>
    </w:p>
    <w:p w14:paraId="01DAB80D" w14:textId="117BB895" w:rsidR="00C831F6" w:rsidRPr="00A169C9" w:rsidRDefault="00C831F6" w:rsidP="00A169C9">
      <w:pPr>
        <w:pStyle w:val="Bibliography"/>
      </w:pPr>
      <w:r w:rsidRPr="00A169C9">
        <w:t xml:space="preserve">Hovers, E. (2009). </w:t>
      </w:r>
      <w:r w:rsidRPr="004D1018">
        <w:rPr>
          <w:i/>
        </w:rPr>
        <w:t>The lithic assemblages of Qafzeh Cave</w:t>
      </w:r>
      <w:r w:rsidRPr="00A169C9">
        <w:t xml:space="preserve">. </w:t>
      </w:r>
      <w:r w:rsidR="00E93D4A" w:rsidRPr="00A169C9">
        <w:t xml:space="preserve">Oxford: </w:t>
      </w:r>
      <w:r w:rsidRPr="00A169C9">
        <w:t>Oxford University Press.</w:t>
      </w:r>
    </w:p>
    <w:p w14:paraId="3ED389E3" w14:textId="2DC14AD7" w:rsidR="00C831F6" w:rsidRPr="00A169C9" w:rsidRDefault="00C831F6" w:rsidP="00A169C9">
      <w:pPr>
        <w:pStyle w:val="Bibliography"/>
      </w:pPr>
      <w:r w:rsidRPr="00A169C9">
        <w:t xml:space="preserve">Nigst, P. R. (2012). </w:t>
      </w:r>
      <w:r w:rsidRPr="004D1018">
        <w:rPr>
          <w:i/>
        </w:rPr>
        <w:t>The Early Upper Palaeolithic of the Middle Danube Region</w:t>
      </w:r>
      <w:r w:rsidRPr="00A169C9">
        <w:t xml:space="preserve">. Leiden: Leiden University Press. </w:t>
      </w:r>
    </w:p>
    <w:p w14:paraId="545DA807" w14:textId="5264DBEF" w:rsidR="00C831F6" w:rsidRPr="00A169C9" w:rsidRDefault="00C831F6" w:rsidP="00A169C9">
      <w:pPr>
        <w:pStyle w:val="Bibliography"/>
      </w:pPr>
      <w:r w:rsidRPr="00A169C9">
        <w:t xml:space="preserve">Rolland, N., &amp; Dibble, H. L. (1990). A New Synthesis of Middle Paleolithic Variability. </w:t>
      </w:r>
      <w:r w:rsidRPr="004D1018">
        <w:rPr>
          <w:i/>
        </w:rPr>
        <w:t>American Antiquity</w:t>
      </w:r>
      <w:r w:rsidRPr="00A169C9">
        <w:t xml:space="preserve">, 55(3), 480–499. </w:t>
      </w:r>
    </w:p>
    <w:p w14:paraId="2803E7DD" w14:textId="02563552" w:rsidR="00C831F6" w:rsidRPr="00A169C9" w:rsidRDefault="00C831F6" w:rsidP="00A169C9">
      <w:pPr>
        <w:pStyle w:val="Bibliography"/>
      </w:pPr>
      <w:r w:rsidRPr="00A169C9">
        <w:t xml:space="preserve">Scerri, E. M. L., Gravina, B., Blinkhorn, J., &amp; Delagnes, A. (2016). Can Lithic Attribute Analyses Identify Discrete Reduction Trajectories? A Quantitative Study Using Refitted Lithic Sets. </w:t>
      </w:r>
      <w:r w:rsidRPr="004D1018">
        <w:rPr>
          <w:i/>
        </w:rPr>
        <w:t>Journal of Archaeological Method and Theory</w:t>
      </w:r>
      <w:r w:rsidRPr="00A169C9">
        <w:t xml:space="preserve">, 23(2), 669–691. </w:t>
      </w:r>
    </w:p>
    <w:p w14:paraId="38E2E287" w14:textId="77777777" w:rsidR="00C831F6" w:rsidRPr="00A169C9" w:rsidRDefault="00C831F6" w:rsidP="00A169C9">
      <w:pPr>
        <w:pStyle w:val="Bibliography"/>
      </w:pPr>
      <w:r w:rsidRPr="00A169C9">
        <w:t xml:space="preserve">Shea, J. J. (2014). Sink the Mousterian? Named stone tool industries (NASTIES) as obstacles to investigating hominin evolutionary relationships in the Later Middle Paleolithic Levant. </w:t>
      </w:r>
      <w:r w:rsidRPr="004D1018">
        <w:rPr>
          <w:i/>
        </w:rPr>
        <w:t>Quaternary International</w:t>
      </w:r>
      <w:r w:rsidRPr="00A169C9">
        <w:t>, 350, 169–179.</w:t>
      </w:r>
    </w:p>
    <w:p w14:paraId="73191554" w14:textId="404847EE" w:rsidR="00C831F6" w:rsidRPr="00A169C9" w:rsidRDefault="00C831F6" w:rsidP="00A169C9">
      <w:pPr>
        <w:pStyle w:val="Bibliography"/>
      </w:pPr>
      <w:r w:rsidRPr="00A169C9">
        <w:t xml:space="preserve">Shott, M. J. (1994). Size and form in the analysis of flake debris: Review and recent approaches. </w:t>
      </w:r>
      <w:r w:rsidRPr="004D1018">
        <w:rPr>
          <w:i/>
        </w:rPr>
        <w:t>Journal of Archaeological Method and Theory</w:t>
      </w:r>
      <w:r w:rsidRPr="00A169C9">
        <w:t xml:space="preserve">, 1(1), 69–110. </w:t>
      </w:r>
    </w:p>
    <w:p w14:paraId="245431E0" w14:textId="77777777" w:rsidR="00C831F6" w:rsidRPr="00A169C9" w:rsidRDefault="00C831F6" w:rsidP="00A169C9">
      <w:pPr>
        <w:pStyle w:val="Bibliography"/>
      </w:pPr>
      <w:r w:rsidRPr="00A169C9">
        <w:t xml:space="preserve">Soressi, M., &amp; Geneste, J. M. (2011). Special Issue: Reduction Sequence, Chaîne Opératoire, and Other Methods: The Epistemologies of Different Approaches to Lithic Analysis. The History and Efficacy of the Chaîne Opératoire Approach to Lithic Analysis: Studying Techniques to Reveal Past Societies in an Evolutionary Perspective. </w:t>
      </w:r>
      <w:r w:rsidRPr="004D1018">
        <w:rPr>
          <w:i/>
        </w:rPr>
        <w:t>PaleoAnthropology</w:t>
      </w:r>
      <w:r w:rsidRPr="00A169C9">
        <w:t>, 334–350.</w:t>
      </w:r>
    </w:p>
    <w:p w14:paraId="398CE818" w14:textId="6DB0ABF2" w:rsidR="00A57DF5" w:rsidRPr="00A169C9" w:rsidRDefault="00C831F6" w:rsidP="00A169C9">
      <w:pPr>
        <w:pStyle w:val="Bibliography"/>
      </w:pPr>
      <w:r w:rsidRPr="00A169C9">
        <w:t xml:space="preserve">Tostevin, G. B. (2012). </w:t>
      </w:r>
      <w:r w:rsidRPr="004D1018">
        <w:rPr>
          <w:i/>
        </w:rPr>
        <w:t>Seeing Lithics: A Middle-Range Theory for Testing for Cultural Transmission in the Pleistocene</w:t>
      </w:r>
      <w:r w:rsidRPr="00A169C9">
        <w:t>. Oxford: Oxbow Books.</w:t>
      </w:r>
    </w:p>
    <w:p w14:paraId="02197381" w14:textId="59F1F6E9" w:rsidR="00554D64" w:rsidRPr="00A57DF5" w:rsidRDefault="007E5883" w:rsidP="00A169C9">
      <w:pPr>
        <w:pStyle w:val="Bibliography"/>
      </w:pPr>
      <w:r w:rsidRPr="00A169C9">
        <w:lastRenderedPageBreak/>
        <w:fldChar w:fldCharType="end"/>
      </w:r>
    </w:p>
    <w:sectPr w:rsidR="00554D64" w:rsidRPr="00A57DF5" w:rsidSect="000F0A65">
      <w:footerReference w:type="even" r:id="rId10"/>
      <w:footerReference w:type="defaul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3AE3" w14:textId="77777777" w:rsidR="00FB7FF3" w:rsidRDefault="00FB7FF3" w:rsidP="0060389E">
      <w:pPr>
        <w:spacing w:after="0" w:line="240" w:lineRule="auto"/>
      </w:pPr>
      <w:r>
        <w:separator/>
      </w:r>
    </w:p>
  </w:endnote>
  <w:endnote w:type="continuationSeparator" w:id="0">
    <w:p w14:paraId="2589DC6E" w14:textId="77777777" w:rsidR="00FB7FF3" w:rsidRDefault="00FB7FF3" w:rsidP="0060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02A0" w14:textId="77777777" w:rsidR="000F0A65" w:rsidRDefault="000F0A65" w:rsidP="00D432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B8BCF" w14:textId="77777777" w:rsidR="0060389E" w:rsidRDefault="0060389E" w:rsidP="000F0A65">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E92E28" w14:textId="77777777" w:rsidR="0060389E" w:rsidRDefault="0060389E" w:rsidP="0060389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7112733" w14:textId="77777777" w:rsidR="0060389E" w:rsidRDefault="0060389E" w:rsidP="006038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784F" w14:textId="77777777" w:rsidR="000F0A65" w:rsidRDefault="000F0A65" w:rsidP="00D432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A7D">
      <w:rPr>
        <w:rStyle w:val="PageNumber"/>
        <w:noProof/>
      </w:rPr>
      <w:t>1</w:t>
    </w:r>
    <w:r>
      <w:rPr>
        <w:rStyle w:val="PageNumber"/>
      </w:rPr>
      <w:fldChar w:fldCharType="end"/>
    </w:r>
  </w:p>
  <w:p w14:paraId="1DA8541F" w14:textId="77777777" w:rsidR="0060389E" w:rsidRDefault="0060389E" w:rsidP="0060389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2CF1" w14:textId="77777777" w:rsidR="000F0A65" w:rsidRDefault="000F0A65" w:rsidP="00D432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752C12" w14:textId="77777777" w:rsidR="008F0FB8" w:rsidRDefault="008F0FB8" w:rsidP="000F0A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0F802" w14:textId="77777777" w:rsidR="00FB7FF3" w:rsidRDefault="00FB7FF3" w:rsidP="0060389E">
      <w:pPr>
        <w:spacing w:after="0" w:line="240" w:lineRule="auto"/>
      </w:pPr>
      <w:r>
        <w:separator/>
      </w:r>
    </w:p>
  </w:footnote>
  <w:footnote w:type="continuationSeparator" w:id="0">
    <w:p w14:paraId="0E5D6A85" w14:textId="77777777" w:rsidR="00FB7FF3" w:rsidRDefault="00FB7FF3" w:rsidP="006038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822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5217A"/>
    <w:multiLevelType w:val="hybridMultilevel"/>
    <w:tmpl w:val="2DA683CC"/>
    <w:lvl w:ilvl="0" w:tplc="CB24A1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461E6"/>
    <w:multiLevelType w:val="hybridMultilevel"/>
    <w:tmpl w:val="477E41B8"/>
    <w:lvl w:ilvl="0" w:tplc="1EDAF11C">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381511"/>
    <w:multiLevelType w:val="hybridMultilevel"/>
    <w:tmpl w:val="64DA6FBE"/>
    <w:lvl w:ilvl="0" w:tplc="11E03332">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71772C"/>
    <w:multiLevelType w:val="hybridMultilevel"/>
    <w:tmpl w:val="3E20B4BE"/>
    <w:lvl w:ilvl="0" w:tplc="7B76FC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A32734"/>
    <w:multiLevelType w:val="hybridMultilevel"/>
    <w:tmpl w:val="13C01B08"/>
    <w:lvl w:ilvl="0" w:tplc="63A41B92">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66129"/>
    <w:multiLevelType w:val="hybridMultilevel"/>
    <w:tmpl w:val="53E02CEE"/>
    <w:lvl w:ilvl="0" w:tplc="F14C8F7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C5"/>
    <w:rsid w:val="00012FEF"/>
    <w:rsid w:val="00035E75"/>
    <w:rsid w:val="00053650"/>
    <w:rsid w:val="00061368"/>
    <w:rsid w:val="00062E53"/>
    <w:rsid w:val="00063974"/>
    <w:rsid w:val="000669BF"/>
    <w:rsid w:val="00070862"/>
    <w:rsid w:val="0007554D"/>
    <w:rsid w:val="0007660F"/>
    <w:rsid w:val="00081072"/>
    <w:rsid w:val="00084893"/>
    <w:rsid w:val="000866DF"/>
    <w:rsid w:val="0008690B"/>
    <w:rsid w:val="000A3492"/>
    <w:rsid w:val="000A5935"/>
    <w:rsid w:val="000D3E12"/>
    <w:rsid w:val="000F0A65"/>
    <w:rsid w:val="0011153F"/>
    <w:rsid w:val="001229D9"/>
    <w:rsid w:val="00127C3F"/>
    <w:rsid w:val="00132763"/>
    <w:rsid w:val="00136320"/>
    <w:rsid w:val="001375AD"/>
    <w:rsid w:val="00151E35"/>
    <w:rsid w:val="00155E76"/>
    <w:rsid w:val="0015796B"/>
    <w:rsid w:val="00172C43"/>
    <w:rsid w:val="0019355D"/>
    <w:rsid w:val="001A31AD"/>
    <w:rsid w:val="001A6C5F"/>
    <w:rsid w:val="001C43DF"/>
    <w:rsid w:val="001D057E"/>
    <w:rsid w:val="001D2F79"/>
    <w:rsid w:val="001E13DC"/>
    <w:rsid w:val="001F1F5C"/>
    <w:rsid w:val="001F2181"/>
    <w:rsid w:val="00204B40"/>
    <w:rsid w:val="00204B9A"/>
    <w:rsid w:val="00207785"/>
    <w:rsid w:val="00214370"/>
    <w:rsid w:val="0022607E"/>
    <w:rsid w:val="00242A33"/>
    <w:rsid w:val="002577FA"/>
    <w:rsid w:val="00266305"/>
    <w:rsid w:val="0027138A"/>
    <w:rsid w:val="002821B5"/>
    <w:rsid w:val="00292086"/>
    <w:rsid w:val="002A467C"/>
    <w:rsid w:val="002A7C9B"/>
    <w:rsid w:val="002B13C1"/>
    <w:rsid w:val="002D6E50"/>
    <w:rsid w:val="002E0C59"/>
    <w:rsid w:val="002E3A00"/>
    <w:rsid w:val="002F0E6D"/>
    <w:rsid w:val="00300314"/>
    <w:rsid w:val="0030059C"/>
    <w:rsid w:val="00303B9A"/>
    <w:rsid w:val="00321C12"/>
    <w:rsid w:val="00322409"/>
    <w:rsid w:val="00330536"/>
    <w:rsid w:val="00333062"/>
    <w:rsid w:val="00347C1F"/>
    <w:rsid w:val="00351BE2"/>
    <w:rsid w:val="003634E7"/>
    <w:rsid w:val="003767AA"/>
    <w:rsid w:val="00384FA0"/>
    <w:rsid w:val="00394D21"/>
    <w:rsid w:val="003C6614"/>
    <w:rsid w:val="003D1A73"/>
    <w:rsid w:val="003D4CB4"/>
    <w:rsid w:val="003F050A"/>
    <w:rsid w:val="00422BFE"/>
    <w:rsid w:val="004361E4"/>
    <w:rsid w:val="00446F13"/>
    <w:rsid w:val="004531E2"/>
    <w:rsid w:val="004538F6"/>
    <w:rsid w:val="004759F5"/>
    <w:rsid w:val="00475A4B"/>
    <w:rsid w:val="00484659"/>
    <w:rsid w:val="004974A8"/>
    <w:rsid w:val="004B1A14"/>
    <w:rsid w:val="004B2EEF"/>
    <w:rsid w:val="004C15CA"/>
    <w:rsid w:val="004D1018"/>
    <w:rsid w:val="004D7458"/>
    <w:rsid w:val="004F1AB2"/>
    <w:rsid w:val="00515945"/>
    <w:rsid w:val="0055201C"/>
    <w:rsid w:val="00552F50"/>
    <w:rsid w:val="00554D64"/>
    <w:rsid w:val="00576A7D"/>
    <w:rsid w:val="00593462"/>
    <w:rsid w:val="005A4A7F"/>
    <w:rsid w:val="005B0048"/>
    <w:rsid w:val="005B11E4"/>
    <w:rsid w:val="005B6016"/>
    <w:rsid w:val="005C4315"/>
    <w:rsid w:val="005E13C2"/>
    <w:rsid w:val="005E6640"/>
    <w:rsid w:val="005E6E06"/>
    <w:rsid w:val="005E7D34"/>
    <w:rsid w:val="005F3998"/>
    <w:rsid w:val="0060389E"/>
    <w:rsid w:val="00603AF1"/>
    <w:rsid w:val="00624E2F"/>
    <w:rsid w:val="00625F51"/>
    <w:rsid w:val="00626723"/>
    <w:rsid w:val="0064117A"/>
    <w:rsid w:val="0065374F"/>
    <w:rsid w:val="00655473"/>
    <w:rsid w:val="006628C3"/>
    <w:rsid w:val="00664CD5"/>
    <w:rsid w:val="006669B1"/>
    <w:rsid w:val="006856E6"/>
    <w:rsid w:val="006B2515"/>
    <w:rsid w:val="006B60F0"/>
    <w:rsid w:val="006E5A3A"/>
    <w:rsid w:val="006E6D07"/>
    <w:rsid w:val="0071271C"/>
    <w:rsid w:val="00721D80"/>
    <w:rsid w:val="007272ED"/>
    <w:rsid w:val="00727ECE"/>
    <w:rsid w:val="00782A78"/>
    <w:rsid w:val="00783043"/>
    <w:rsid w:val="00786AF0"/>
    <w:rsid w:val="00790812"/>
    <w:rsid w:val="0079592D"/>
    <w:rsid w:val="007A2E53"/>
    <w:rsid w:val="007A522F"/>
    <w:rsid w:val="007A7B88"/>
    <w:rsid w:val="007B0188"/>
    <w:rsid w:val="007B5820"/>
    <w:rsid w:val="007E1049"/>
    <w:rsid w:val="007E3AB0"/>
    <w:rsid w:val="007E50DE"/>
    <w:rsid w:val="007E5883"/>
    <w:rsid w:val="00801FA0"/>
    <w:rsid w:val="00816BFA"/>
    <w:rsid w:val="00835444"/>
    <w:rsid w:val="0086169D"/>
    <w:rsid w:val="00861E03"/>
    <w:rsid w:val="00870F11"/>
    <w:rsid w:val="008714C5"/>
    <w:rsid w:val="0089390E"/>
    <w:rsid w:val="008953F2"/>
    <w:rsid w:val="008A55B4"/>
    <w:rsid w:val="008A5CE3"/>
    <w:rsid w:val="008C73E3"/>
    <w:rsid w:val="008D68A1"/>
    <w:rsid w:val="008E1E6B"/>
    <w:rsid w:val="008E4F33"/>
    <w:rsid w:val="008F07B6"/>
    <w:rsid w:val="008F0A2F"/>
    <w:rsid w:val="008F0FB8"/>
    <w:rsid w:val="0091667D"/>
    <w:rsid w:val="009417B0"/>
    <w:rsid w:val="009C5798"/>
    <w:rsid w:val="009C7E5D"/>
    <w:rsid w:val="009E1126"/>
    <w:rsid w:val="009E28C7"/>
    <w:rsid w:val="009E600D"/>
    <w:rsid w:val="009F174D"/>
    <w:rsid w:val="009F29DD"/>
    <w:rsid w:val="009F67F4"/>
    <w:rsid w:val="00A11996"/>
    <w:rsid w:val="00A120F4"/>
    <w:rsid w:val="00A169C9"/>
    <w:rsid w:val="00A171CE"/>
    <w:rsid w:val="00A43FF5"/>
    <w:rsid w:val="00A57DF5"/>
    <w:rsid w:val="00A64036"/>
    <w:rsid w:val="00AD0442"/>
    <w:rsid w:val="00AD2AE3"/>
    <w:rsid w:val="00AD6BF4"/>
    <w:rsid w:val="00AF0AAB"/>
    <w:rsid w:val="00AF3D46"/>
    <w:rsid w:val="00B22E22"/>
    <w:rsid w:val="00B332E7"/>
    <w:rsid w:val="00B50F47"/>
    <w:rsid w:val="00B6568E"/>
    <w:rsid w:val="00B76A21"/>
    <w:rsid w:val="00B91501"/>
    <w:rsid w:val="00B91E9D"/>
    <w:rsid w:val="00B932E6"/>
    <w:rsid w:val="00BC3447"/>
    <w:rsid w:val="00BC356E"/>
    <w:rsid w:val="00BC36D1"/>
    <w:rsid w:val="00BD35EF"/>
    <w:rsid w:val="00BE0AFB"/>
    <w:rsid w:val="00BF47A5"/>
    <w:rsid w:val="00BF554E"/>
    <w:rsid w:val="00C06F7A"/>
    <w:rsid w:val="00C23D09"/>
    <w:rsid w:val="00C245A2"/>
    <w:rsid w:val="00C262A7"/>
    <w:rsid w:val="00C26712"/>
    <w:rsid w:val="00C3257D"/>
    <w:rsid w:val="00C70647"/>
    <w:rsid w:val="00C831F6"/>
    <w:rsid w:val="00C90007"/>
    <w:rsid w:val="00CA205F"/>
    <w:rsid w:val="00CA605C"/>
    <w:rsid w:val="00CB1531"/>
    <w:rsid w:val="00CB7625"/>
    <w:rsid w:val="00CC268B"/>
    <w:rsid w:val="00CE1051"/>
    <w:rsid w:val="00CE2C98"/>
    <w:rsid w:val="00CF0C69"/>
    <w:rsid w:val="00D00A4B"/>
    <w:rsid w:val="00D34942"/>
    <w:rsid w:val="00D4209B"/>
    <w:rsid w:val="00D53A2E"/>
    <w:rsid w:val="00D72397"/>
    <w:rsid w:val="00D74B61"/>
    <w:rsid w:val="00D91FC0"/>
    <w:rsid w:val="00D92E1C"/>
    <w:rsid w:val="00DA0078"/>
    <w:rsid w:val="00DA129B"/>
    <w:rsid w:val="00DC47BF"/>
    <w:rsid w:val="00DC7944"/>
    <w:rsid w:val="00DD0014"/>
    <w:rsid w:val="00DE6902"/>
    <w:rsid w:val="00DF0CBD"/>
    <w:rsid w:val="00DF150B"/>
    <w:rsid w:val="00DF29F9"/>
    <w:rsid w:val="00DF4F72"/>
    <w:rsid w:val="00E15635"/>
    <w:rsid w:val="00E23470"/>
    <w:rsid w:val="00E27551"/>
    <w:rsid w:val="00E30999"/>
    <w:rsid w:val="00E35D7D"/>
    <w:rsid w:val="00E36216"/>
    <w:rsid w:val="00E70B95"/>
    <w:rsid w:val="00E724C5"/>
    <w:rsid w:val="00E7419C"/>
    <w:rsid w:val="00E86C88"/>
    <w:rsid w:val="00E90942"/>
    <w:rsid w:val="00E93D4A"/>
    <w:rsid w:val="00EC45D4"/>
    <w:rsid w:val="00ED67F6"/>
    <w:rsid w:val="00EF2F4C"/>
    <w:rsid w:val="00EF5E0C"/>
    <w:rsid w:val="00F13995"/>
    <w:rsid w:val="00F21895"/>
    <w:rsid w:val="00F243E7"/>
    <w:rsid w:val="00F344C5"/>
    <w:rsid w:val="00F417B4"/>
    <w:rsid w:val="00F46284"/>
    <w:rsid w:val="00F50442"/>
    <w:rsid w:val="00F52633"/>
    <w:rsid w:val="00F53D89"/>
    <w:rsid w:val="00F62B0F"/>
    <w:rsid w:val="00F66393"/>
    <w:rsid w:val="00F73FC3"/>
    <w:rsid w:val="00F84C52"/>
    <w:rsid w:val="00F94AEE"/>
    <w:rsid w:val="00FA12CC"/>
    <w:rsid w:val="00FB7FF3"/>
    <w:rsid w:val="00FC2864"/>
    <w:rsid w:val="00FC4E0E"/>
    <w:rsid w:val="00FC6169"/>
    <w:rsid w:val="00FE174B"/>
    <w:rsid w:val="00FE2F2B"/>
    <w:rsid w:val="00FE5BCA"/>
    <w:rsid w:val="00FF7BF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22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9C9"/>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871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1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4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14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4D64"/>
    <w:pPr>
      <w:ind w:left="720"/>
      <w:contextualSpacing/>
    </w:pPr>
  </w:style>
  <w:style w:type="paragraph" w:customStyle="1" w:styleId="p1">
    <w:name w:val="p1"/>
    <w:basedOn w:val="Normal"/>
    <w:rsid w:val="00835444"/>
    <w:pPr>
      <w:spacing w:after="0" w:line="240" w:lineRule="auto"/>
    </w:pPr>
    <w:rPr>
      <w:rFonts w:ascii="Helvetica" w:hAnsi="Helvetica" w:cs="Times New Roman"/>
      <w:sz w:val="18"/>
      <w:szCs w:val="18"/>
      <w:lang w:eastAsia="en-GB"/>
    </w:rPr>
  </w:style>
  <w:style w:type="table" w:styleId="TableGrid">
    <w:name w:val="Table Grid"/>
    <w:basedOn w:val="TableNormal"/>
    <w:uiPriority w:val="39"/>
    <w:rsid w:val="00DC4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169C9"/>
    <w:pPr>
      <w:spacing w:after="0"/>
      <w:ind w:left="720" w:hanging="720"/>
    </w:pPr>
  </w:style>
  <w:style w:type="character" w:styleId="CommentReference">
    <w:name w:val="annotation reference"/>
    <w:basedOn w:val="DefaultParagraphFont"/>
    <w:uiPriority w:val="99"/>
    <w:semiHidden/>
    <w:unhideWhenUsed/>
    <w:rsid w:val="00207785"/>
    <w:rPr>
      <w:sz w:val="18"/>
      <w:szCs w:val="18"/>
    </w:rPr>
  </w:style>
  <w:style w:type="paragraph" w:styleId="CommentText">
    <w:name w:val="annotation text"/>
    <w:basedOn w:val="Normal"/>
    <w:link w:val="CommentTextChar"/>
    <w:uiPriority w:val="99"/>
    <w:semiHidden/>
    <w:unhideWhenUsed/>
    <w:rsid w:val="00207785"/>
    <w:pPr>
      <w:spacing w:line="240" w:lineRule="auto"/>
    </w:pPr>
    <w:rPr>
      <w:szCs w:val="24"/>
    </w:rPr>
  </w:style>
  <w:style w:type="character" w:customStyle="1" w:styleId="CommentTextChar">
    <w:name w:val="Comment Text Char"/>
    <w:basedOn w:val="DefaultParagraphFont"/>
    <w:link w:val="CommentText"/>
    <w:uiPriority w:val="99"/>
    <w:semiHidden/>
    <w:rsid w:val="00207785"/>
    <w:rPr>
      <w:sz w:val="24"/>
      <w:szCs w:val="24"/>
    </w:rPr>
  </w:style>
  <w:style w:type="paragraph" w:styleId="CommentSubject">
    <w:name w:val="annotation subject"/>
    <w:basedOn w:val="CommentText"/>
    <w:next w:val="CommentText"/>
    <w:link w:val="CommentSubjectChar"/>
    <w:uiPriority w:val="99"/>
    <w:semiHidden/>
    <w:unhideWhenUsed/>
    <w:rsid w:val="00207785"/>
    <w:rPr>
      <w:b/>
      <w:bCs/>
      <w:sz w:val="20"/>
      <w:szCs w:val="20"/>
    </w:rPr>
  </w:style>
  <w:style w:type="character" w:customStyle="1" w:styleId="CommentSubjectChar">
    <w:name w:val="Comment Subject Char"/>
    <w:basedOn w:val="CommentTextChar"/>
    <w:link w:val="CommentSubject"/>
    <w:uiPriority w:val="99"/>
    <w:semiHidden/>
    <w:rsid w:val="00207785"/>
    <w:rPr>
      <w:b/>
      <w:bCs/>
      <w:sz w:val="20"/>
      <w:szCs w:val="20"/>
    </w:rPr>
  </w:style>
  <w:style w:type="paragraph" w:styleId="BalloonText">
    <w:name w:val="Balloon Text"/>
    <w:basedOn w:val="Normal"/>
    <w:link w:val="BalloonTextChar"/>
    <w:uiPriority w:val="99"/>
    <w:semiHidden/>
    <w:unhideWhenUsed/>
    <w:rsid w:val="002077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785"/>
    <w:rPr>
      <w:rFonts w:ascii="Lucida Grande" w:hAnsi="Lucida Grande" w:cs="Lucida Grande"/>
      <w:sz w:val="18"/>
      <w:szCs w:val="18"/>
    </w:rPr>
  </w:style>
  <w:style w:type="character" w:styleId="Hyperlink">
    <w:name w:val="Hyperlink"/>
    <w:basedOn w:val="DefaultParagraphFont"/>
    <w:uiPriority w:val="99"/>
    <w:unhideWhenUsed/>
    <w:rsid w:val="006856E6"/>
    <w:rPr>
      <w:color w:val="0563C1" w:themeColor="hyperlink"/>
      <w:u w:val="single"/>
    </w:rPr>
  </w:style>
  <w:style w:type="character" w:customStyle="1" w:styleId="s1">
    <w:name w:val="s1"/>
    <w:basedOn w:val="DefaultParagraphFont"/>
    <w:rsid w:val="00790812"/>
  </w:style>
  <w:style w:type="paragraph" w:styleId="DocumentMap">
    <w:name w:val="Document Map"/>
    <w:basedOn w:val="Normal"/>
    <w:link w:val="DocumentMapChar"/>
    <w:uiPriority w:val="99"/>
    <w:semiHidden/>
    <w:unhideWhenUsed/>
    <w:rsid w:val="005E6E06"/>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5E6E06"/>
    <w:rPr>
      <w:rFonts w:ascii="Times New Roman" w:hAnsi="Times New Roman" w:cs="Times New Roman"/>
      <w:sz w:val="24"/>
      <w:szCs w:val="24"/>
    </w:rPr>
  </w:style>
  <w:style w:type="paragraph" w:styleId="Revision">
    <w:name w:val="Revision"/>
    <w:hidden/>
    <w:uiPriority w:val="99"/>
    <w:semiHidden/>
    <w:rsid w:val="005E6E06"/>
    <w:pPr>
      <w:spacing w:after="0" w:line="240" w:lineRule="auto"/>
    </w:pPr>
  </w:style>
  <w:style w:type="paragraph" w:styleId="Header">
    <w:name w:val="header"/>
    <w:basedOn w:val="Normal"/>
    <w:link w:val="HeaderChar"/>
    <w:uiPriority w:val="99"/>
    <w:unhideWhenUsed/>
    <w:rsid w:val="0060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89E"/>
    <w:rPr>
      <w:rFonts w:ascii="Times New Roman" w:hAnsi="Times New Roman"/>
      <w:sz w:val="24"/>
    </w:rPr>
  </w:style>
  <w:style w:type="paragraph" w:styleId="Footer">
    <w:name w:val="footer"/>
    <w:basedOn w:val="Normal"/>
    <w:link w:val="FooterChar"/>
    <w:uiPriority w:val="99"/>
    <w:unhideWhenUsed/>
    <w:rsid w:val="0060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89E"/>
    <w:rPr>
      <w:rFonts w:ascii="Times New Roman" w:hAnsi="Times New Roman"/>
      <w:sz w:val="24"/>
    </w:rPr>
  </w:style>
  <w:style w:type="character" w:styleId="PageNumber">
    <w:name w:val="page number"/>
    <w:basedOn w:val="DefaultParagraphFont"/>
    <w:uiPriority w:val="99"/>
    <w:semiHidden/>
    <w:unhideWhenUsed/>
    <w:rsid w:val="0060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088">
      <w:bodyDiv w:val="1"/>
      <w:marLeft w:val="0"/>
      <w:marRight w:val="0"/>
      <w:marTop w:val="0"/>
      <w:marBottom w:val="0"/>
      <w:divBdr>
        <w:top w:val="none" w:sz="0" w:space="0" w:color="auto"/>
        <w:left w:val="none" w:sz="0" w:space="0" w:color="auto"/>
        <w:bottom w:val="none" w:sz="0" w:space="0" w:color="auto"/>
        <w:right w:val="none" w:sz="0" w:space="0" w:color="auto"/>
      </w:divBdr>
    </w:div>
    <w:div w:id="102768048">
      <w:bodyDiv w:val="1"/>
      <w:marLeft w:val="0"/>
      <w:marRight w:val="0"/>
      <w:marTop w:val="0"/>
      <w:marBottom w:val="0"/>
      <w:divBdr>
        <w:top w:val="none" w:sz="0" w:space="0" w:color="auto"/>
        <w:left w:val="none" w:sz="0" w:space="0" w:color="auto"/>
        <w:bottom w:val="none" w:sz="0" w:space="0" w:color="auto"/>
        <w:right w:val="none" w:sz="0" w:space="0" w:color="auto"/>
      </w:divBdr>
    </w:div>
    <w:div w:id="437720001">
      <w:bodyDiv w:val="1"/>
      <w:marLeft w:val="0"/>
      <w:marRight w:val="0"/>
      <w:marTop w:val="0"/>
      <w:marBottom w:val="0"/>
      <w:divBdr>
        <w:top w:val="none" w:sz="0" w:space="0" w:color="auto"/>
        <w:left w:val="none" w:sz="0" w:space="0" w:color="auto"/>
        <w:bottom w:val="none" w:sz="0" w:space="0" w:color="auto"/>
        <w:right w:val="none" w:sz="0" w:space="0" w:color="auto"/>
      </w:divBdr>
    </w:div>
    <w:div w:id="444927090">
      <w:bodyDiv w:val="1"/>
      <w:marLeft w:val="0"/>
      <w:marRight w:val="0"/>
      <w:marTop w:val="0"/>
      <w:marBottom w:val="0"/>
      <w:divBdr>
        <w:top w:val="none" w:sz="0" w:space="0" w:color="auto"/>
        <w:left w:val="none" w:sz="0" w:space="0" w:color="auto"/>
        <w:bottom w:val="none" w:sz="0" w:space="0" w:color="auto"/>
        <w:right w:val="none" w:sz="0" w:space="0" w:color="auto"/>
      </w:divBdr>
    </w:div>
    <w:div w:id="459541501">
      <w:bodyDiv w:val="1"/>
      <w:marLeft w:val="0"/>
      <w:marRight w:val="0"/>
      <w:marTop w:val="0"/>
      <w:marBottom w:val="0"/>
      <w:divBdr>
        <w:top w:val="none" w:sz="0" w:space="0" w:color="auto"/>
        <w:left w:val="none" w:sz="0" w:space="0" w:color="auto"/>
        <w:bottom w:val="none" w:sz="0" w:space="0" w:color="auto"/>
        <w:right w:val="none" w:sz="0" w:space="0" w:color="auto"/>
      </w:divBdr>
    </w:div>
    <w:div w:id="801652144">
      <w:bodyDiv w:val="1"/>
      <w:marLeft w:val="0"/>
      <w:marRight w:val="0"/>
      <w:marTop w:val="0"/>
      <w:marBottom w:val="0"/>
      <w:divBdr>
        <w:top w:val="none" w:sz="0" w:space="0" w:color="auto"/>
        <w:left w:val="none" w:sz="0" w:space="0" w:color="auto"/>
        <w:bottom w:val="none" w:sz="0" w:space="0" w:color="auto"/>
        <w:right w:val="none" w:sz="0" w:space="0" w:color="auto"/>
      </w:divBdr>
    </w:div>
    <w:div w:id="912392517">
      <w:bodyDiv w:val="1"/>
      <w:marLeft w:val="0"/>
      <w:marRight w:val="0"/>
      <w:marTop w:val="0"/>
      <w:marBottom w:val="0"/>
      <w:divBdr>
        <w:top w:val="none" w:sz="0" w:space="0" w:color="auto"/>
        <w:left w:val="none" w:sz="0" w:space="0" w:color="auto"/>
        <w:bottom w:val="none" w:sz="0" w:space="0" w:color="auto"/>
        <w:right w:val="none" w:sz="0" w:space="0" w:color="auto"/>
      </w:divBdr>
    </w:div>
    <w:div w:id="1016538558">
      <w:bodyDiv w:val="1"/>
      <w:marLeft w:val="0"/>
      <w:marRight w:val="0"/>
      <w:marTop w:val="0"/>
      <w:marBottom w:val="0"/>
      <w:divBdr>
        <w:top w:val="none" w:sz="0" w:space="0" w:color="auto"/>
        <w:left w:val="none" w:sz="0" w:space="0" w:color="auto"/>
        <w:bottom w:val="none" w:sz="0" w:space="0" w:color="auto"/>
        <w:right w:val="none" w:sz="0" w:space="0" w:color="auto"/>
      </w:divBdr>
    </w:div>
    <w:div w:id="1090083007">
      <w:bodyDiv w:val="1"/>
      <w:marLeft w:val="0"/>
      <w:marRight w:val="0"/>
      <w:marTop w:val="0"/>
      <w:marBottom w:val="0"/>
      <w:divBdr>
        <w:top w:val="none" w:sz="0" w:space="0" w:color="auto"/>
        <w:left w:val="none" w:sz="0" w:space="0" w:color="auto"/>
        <w:bottom w:val="none" w:sz="0" w:space="0" w:color="auto"/>
        <w:right w:val="none" w:sz="0" w:space="0" w:color="auto"/>
      </w:divBdr>
    </w:div>
    <w:div w:id="1132332650">
      <w:bodyDiv w:val="1"/>
      <w:marLeft w:val="0"/>
      <w:marRight w:val="0"/>
      <w:marTop w:val="0"/>
      <w:marBottom w:val="0"/>
      <w:divBdr>
        <w:top w:val="none" w:sz="0" w:space="0" w:color="auto"/>
        <w:left w:val="none" w:sz="0" w:space="0" w:color="auto"/>
        <w:bottom w:val="none" w:sz="0" w:space="0" w:color="auto"/>
        <w:right w:val="none" w:sz="0" w:space="0" w:color="auto"/>
      </w:divBdr>
    </w:div>
    <w:div w:id="1529683166">
      <w:bodyDiv w:val="1"/>
      <w:marLeft w:val="0"/>
      <w:marRight w:val="0"/>
      <w:marTop w:val="0"/>
      <w:marBottom w:val="0"/>
      <w:divBdr>
        <w:top w:val="none" w:sz="0" w:space="0" w:color="auto"/>
        <w:left w:val="none" w:sz="0" w:space="0" w:color="auto"/>
        <w:bottom w:val="none" w:sz="0" w:space="0" w:color="auto"/>
        <w:right w:val="none" w:sz="0" w:space="0" w:color="auto"/>
      </w:divBdr>
    </w:div>
    <w:div w:id="2026320708">
      <w:bodyDiv w:val="1"/>
      <w:marLeft w:val="0"/>
      <w:marRight w:val="0"/>
      <w:marTop w:val="0"/>
      <w:marBottom w:val="0"/>
      <w:divBdr>
        <w:top w:val="none" w:sz="0" w:space="0" w:color="auto"/>
        <w:left w:val="none" w:sz="0" w:space="0" w:color="auto"/>
        <w:bottom w:val="none" w:sz="0" w:space="0" w:color="auto"/>
        <w:right w:val="none" w:sz="0" w:space="0" w:color="auto"/>
      </w:divBdr>
    </w:div>
    <w:div w:id="2042584986">
      <w:bodyDiv w:val="1"/>
      <w:marLeft w:val="0"/>
      <w:marRight w:val="0"/>
      <w:marTop w:val="0"/>
      <w:marBottom w:val="0"/>
      <w:divBdr>
        <w:top w:val="none" w:sz="0" w:space="0" w:color="auto"/>
        <w:left w:val="none" w:sz="0" w:space="0" w:color="auto"/>
        <w:bottom w:val="none" w:sz="0" w:space="0" w:color="auto"/>
        <w:right w:val="none" w:sz="0" w:space="0" w:color="auto"/>
      </w:divBdr>
    </w:div>
    <w:div w:id="20553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gl2@cam.ac.uk" TargetMode="External"/><Relationship Id="rId9" Type="http://schemas.openxmlformats.org/officeDocument/2006/relationships/hyperlink" Target="http://www.oldstoneag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E6D0-1F3B-354C-8178-BEF5F30C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8522</Words>
  <Characters>48577</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C.Y.B. Seminar-Room</dc:creator>
  <cp:keywords/>
  <dc:description/>
  <cp:lastModifiedBy>Dr A.M.G. Leplongeon</cp:lastModifiedBy>
  <cp:revision>21</cp:revision>
  <dcterms:created xsi:type="dcterms:W3CDTF">2017-01-20T09:35:00Z</dcterms:created>
  <dcterms:modified xsi:type="dcterms:W3CDTF">2017-04-13T06:38:00Z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id="PlnQ9Owp"/&gt;&lt;style id="http://www.zotero.org/styles/african-geographical-review" hasBibliography="1" bibliographyStyleHasBeenSet="1"/&gt;&lt;prefs&gt;&lt;pref name="fieldType" value="Field"/&gt;&lt;pref name="st</vt:lpwstr>
  </property>
  <property fmtid="{D5CDD505-2E9C-101B-9397-08002B2CF9AE}" pid="3" name="ZOTERO_PREF_2">
    <vt:lpwstr>oreReferences" value="true"/&gt;&lt;pref name="automaticJournalAbbreviations" value=""/&gt;&lt;pref name="noteType" value=""/&gt;&lt;/prefs&gt;&lt;/data&gt;</vt:lpwstr>
  </property>
</Properties>
</file>