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F3366" w14:textId="3CD49FEF" w:rsidR="00E4298E" w:rsidRPr="00800743" w:rsidRDefault="005A0895" w:rsidP="00C20157">
      <w:pPr>
        <w:spacing w:line="480" w:lineRule="auto"/>
        <w:jc w:val="both"/>
        <w:rPr>
          <w:b/>
          <w:sz w:val="24"/>
          <w:szCs w:val="24"/>
          <w:highlight w:val="white"/>
        </w:rPr>
      </w:pPr>
      <w:r w:rsidRPr="00800743">
        <w:rPr>
          <w:b/>
          <w:sz w:val="24"/>
          <w:szCs w:val="24"/>
          <w:highlight w:val="white"/>
        </w:rPr>
        <w:t xml:space="preserve">A </w:t>
      </w:r>
      <w:r>
        <w:rPr>
          <w:b/>
          <w:sz w:val="24"/>
          <w:szCs w:val="24"/>
          <w:highlight w:val="white"/>
        </w:rPr>
        <w:t>Molecular</w:t>
      </w:r>
      <w:r w:rsidRPr="00800743">
        <w:rPr>
          <w:b/>
          <w:sz w:val="24"/>
          <w:szCs w:val="24"/>
          <w:highlight w:val="white"/>
        </w:rPr>
        <w:t xml:space="preserve"> </w:t>
      </w:r>
      <w:r w:rsidR="00906DEE">
        <w:rPr>
          <w:b/>
          <w:sz w:val="24"/>
          <w:szCs w:val="24"/>
          <w:highlight w:val="white"/>
        </w:rPr>
        <w:t xml:space="preserve">and Preclinical </w:t>
      </w:r>
      <w:r>
        <w:rPr>
          <w:b/>
          <w:sz w:val="24"/>
          <w:szCs w:val="24"/>
          <w:highlight w:val="white"/>
        </w:rPr>
        <w:t>C</w:t>
      </w:r>
      <w:r w:rsidRPr="00800743">
        <w:rPr>
          <w:b/>
          <w:sz w:val="24"/>
          <w:szCs w:val="24"/>
          <w:highlight w:val="white"/>
        </w:rPr>
        <w:t xml:space="preserve">omparison </w:t>
      </w:r>
      <w:r w:rsidR="007E4E3C" w:rsidRPr="00800743">
        <w:rPr>
          <w:b/>
          <w:sz w:val="24"/>
          <w:szCs w:val="24"/>
          <w:highlight w:val="white"/>
        </w:rPr>
        <w:t xml:space="preserve">of </w:t>
      </w:r>
      <w:r w:rsidR="00E924BF">
        <w:rPr>
          <w:b/>
          <w:sz w:val="24"/>
          <w:szCs w:val="24"/>
          <w:highlight w:val="white"/>
        </w:rPr>
        <w:t xml:space="preserve">the </w:t>
      </w:r>
      <w:r w:rsidR="00906DEE">
        <w:rPr>
          <w:b/>
          <w:sz w:val="24"/>
          <w:szCs w:val="24"/>
          <w:highlight w:val="white"/>
        </w:rPr>
        <w:t xml:space="preserve">PD-1 targeted </w:t>
      </w:r>
      <w:r w:rsidR="00E924BF">
        <w:rPr>
          <w:b/>
          <w:sz w:val="24"/>
          <w:szCs w:val="24"/>
          <w:highlight w:val="white"/>
        </w:rPr>
        <w:t xml:space="preserve">T cell </w:t>
      </w:r>
      <w:r w:rsidR="007E4E3C" w:rsidRPr="00800743">
        <w:rPr>
          <w:b/>
          <w:sz w:val="24"/>
          <w:szCs w:val="24"/>
          <w:highlight w:val="white"/>
        </w:rPr>
        <w:t xml:space="preserve">Checkpoint Inhibitors </w:t>
      </w:r>
      <w:r w:rsidR="00EA25FF">
        <w:rPr>
          <w:b/>
          <w:sz w:val="24"/>
          <w:szCs w:val="24"/>
          <w:highlight w:val="white"/>
        </w:rPr>
        <w:t>N</w:t>
      </w:r>
      <w:r w:rsidR="00392C96">
        <w:rPr>
          <w:b/>
          <w:sz w:val="24"/>
          <w:szCs w:val="24"/>
          <w:highlight w:val="white"/>
        </w:rPr>
        <w:t>ivolumab</w:t>
      </w:r>
      <w:r w:rsidR="007E4E3C" w:rsidRPr="00800743">
        <w:rPr>
          <w:b/>
          <w:sz w:val="24"/>
          <w:szCs w:val="24"/>
          <w:highlight w:val="white"/>
        </w:rPr>
        <w:t xml:space="preserve"> and </w:t>
      </w:r>
      <w:r w:rsidR="00EA25FF">
        <w:rPr>
          <w:b/>
          <w:sz w:val="24"/>
          <w:szCs w:val="24"/>
          <w:highlight w:val="white"/>
        </w:rPr>
        <w:t>P</w:t>
      </w:r>
      <w:r w:rsidR="00392C96">
        <w:rPr>
          <w:b/>
          <w:sz w:val="24"/>
          <w:szCs w:val="24"/>
          <w:highlight w:val="white"/>
        </w:rPr>
        <w:t>embrolizumab</w:t>
      </w:r>
      <w:r w:rsidR="007E4E3C" w:rsidRPr="00800743">
        <w:rPr>
          <w:b/>
          <w:sz w:val="24"/>
          <w:szCs w:val="24"/>
          <w:highlight w:val="white"/>
        </w:rPr>
        <w:t xml:space="preserve"> </w:t>
      </w:r>
    </w:p>
    <w:p w14:paraId="42C3BF6B" w14:textId="77777777" w:rsidR="00800743" w:rsidRPr="00800743" w:rsidRDefault="00800743" w:rsidP="00C20157">
      <w:pPr>
        <w:spacing w:line="480" w:lineRule="auto"/>
        <w:jc w:val="both"/>
        <w:rPr>
          <w:b/>
          <w:sz w:val="24"/>
          <w:szCs w:val="24"/>
          <w:highlight w:val="white"/>
        </w:rPr>
      </w:pPr>
    </w:p>
    <w:p w14:paraId="23FD614F" w14:textId="77777777" w:rsidR="00ED06A0" w:rsidRPr="00800743" w:rsidRDefault="00ED06A0" w:rsidP="00C20157">
      <w:pPr>
        <w:pStyle w:val="Normal1"/>
        <w:spacing w:after="0" w:line="480" w:lineRule="auto"/>
        <w:jc w:val="both"/>
        <w:outlineLvl w:val="0"/>
        <w:rPr>
          <w:rFonts w:ascii="Arial" w:hAnsi="Arial" w:cs="Arial"/>
          <w:color w:val="auto"/>
          <w:sz w:val="24"/>
          <w:szCs w:val="24"/>
        </w:rPr>
      </w:pPr>
      <w:r w:rsidRPr="00800743">
        <w:rPr>
          <w:rFonts w:ascii="Arial" w:eastAsia="Times New Roman" w:hAnsi="Arial" w:cs="Arial"/>
          <w:b/>
          <w:color w:val="auto"/>
          <w:sz w:val="24"/>
          <w:szCs w:val="24"/>
        </w:rPr>
        <w:t>Authors</w:t>
      </w:r>
    </w:p>
    <w:p w14:paraId="4A8ACF44" w14:textId="23920B9F" w:rsidR="00ED06A0" w:rsidRDefault="00ED06A0" w:rsidP="00C20157">
      <w:pPr>
        <w:pStyle w:val="Normal1"/>
        <w:spacing w:after="0" w:line="480" w:lineRule="auto"/>
        <w:jc w:val="both"/>
        <w:outlineLvl w:val="0"/>
        <w:rPr>
          <w:rFonts w:ascii="Arial" w:eastAsia="Times New Roman" w:hAnsi="Arial" w:cs="Arial"/>
          <w:color w:val="auto"/>
          <w:sz w:val="24"/>
          <w:szCs w:val="24"/>
        </w:rPr>
      </w:pPr>
      <w:r w:rsidRPr="00800743">
        <w:rPr>
          <w:rFonts w:ascii="Arial" w:eastAsia="Times New Roman" w:hAnsi="Arial" w:cs="Arial"/>
          <w:color w:val="auto"/>
          <w:sz w:val="24"/>
          <w:szCs w:val="24"/>
        </w:rPr>
        <w:t>Petros Fessas</w:t>
      </w:r>
      <w:r w:rsidR="00BF4ECA" w:rsidRPr="00800743">
        <w:rPr>
          <w:rFonts w:ascii="Arial" w:eastAsia="Times New Roman" w:hAnsi="Arial" w:cs="Arial"/>
          <w:color w:val="auto"/>
          <w:sz w:val="24"/>
          <w:szCs w:val="24"/>
          <w:vertAlign w:val="superscript"/>
        </w:rPr>
        <w:t>#</w:t>
      </w:r>
      <w:r w:rsidR="00800743" w:rsidRPr="00800743">
        <w:rPr>
          <w:rFonts w:ascii="Arial" w:eastAsia="Times New Roman" w:hAnsi="Arial" w:cs="Arial"/>
          <w:color w:val="auto"/>
          <w:sz w:val="24"/>
          <w:szCs w:val="24"/>
          <w:vertAlign w:val="superscript"/>
        </w:rPr>
        <w:t>1</w:t>
      </w:r>
      <w:r w:rsidRPr="00800743">
        <w:rPr>
          <w:rFonts w:ascii="Arial" w:eastAsia="Times New Roman" w:hAnsi="Arial" w:cs="Arial"/>
          <w:color w:val="auto"/>
          <w:sz w:val="24"/>
          <w:szCs w:val="24"/>
        </w:rPr>
        <w:t xml:space="preserve">, </w:t>
      </w:r>
      <w:r w:rsidR="00BF4ECA" w:rsidRPr="00800743">
        <w:rPr>
          <w:rFonts w:ascii="Arial" w:eastAsia="Times New Roman" w:hAnsi="Arial" w:cs="Arial"/>
          <w:color w:val="auto"/>
          <w:sz w:val="24"/>
          <w:szCs w:val="24"/>
        </w:rPr>
        <w:t>Hassal Lee</w:t>
      </w:r>
      <w:r w:rsidR="00BF4ECA" w:rsidRPr="00800743">
        <w:rPr>
          <w:rFonts w:ascii="Arial" w:eastAsia="Times New Roman" w:hAnsi="Arial" w:cs="Arial"/>
          <w:color w:val="auto"/>
          <w:sz w:val="24"/>
          <w:szCs w:val="24"/>
          <w:vertAlign w:val="superscript"/>
        </w:rPr>
        <w:t>#</w:t>
      </w:r>
      <w:r w:rsidR="00800743" w:rsidRPr="00800743">
        <w:rPr>
          <w:rFonts w:ascii="Arial" w:eastAsia="Times New Roman" w:hAnsi="Arial" w:cs="Arial"/>
          <w:color w:val="auto"/>
          <w:sz w:val="24"/>
          <w:szCs w:val="24"/>
          <w:vertAlign w:val="superscript"/>
        </w:rPr>
        <w:t>1,2</w:t>
      </w:r>
      <w:r w:rsidR="00BF4ECA" w:rsidRPr="00800743">
        <w:rPr>
          <w:rFonts w:ascii="Arial" w:eastAsia="Times New Roman" w:hAnsi="Arial" w:cs="Arial"/>
          <w:color w:val="auto"/>
          <w:sz w:val="24"/>
          <w:szCs w:val="24"/>
        </w:rPr>
        <w:t xml:space="preserve">, </w:t>
      </w:r>
      <w:r w:rsidR="00E55ECA">
        <w:rPr>
          <w:rFonts w:ascii="Arial" w:eastAsia="Times New Roman" w:hAnsi="Arial" w:cs="Arial"/>
          <w:color w:val="auto"/>
          <w:sz w:val="24"/>
          <w:szCs w:val="24"/>
        </w:rPr>
        <w:t>Shinji Ikemizu</w:t>
      </w:r>
      <w:r w:rsidR="00E55ECA">
        <w:rPr>
          <w:rFonts w:ascii="Arial" w:eastAsia="Times New Roman" w:hAnsi="Arial" w:cs="Arial"/>
          <w:color w:val="auto"/>
          <w:sz w:val="24"/>
          <w:szCs w:val="24"/>
          <w:vertAlign w:val="superscript"/>
        </w:rPr>
        <w:t>3</w:t>
      </w:r>
      <w:r w:rsidR="00E55ECA">
        <w:rPr>
          <w:rFonts w:ascii="Arial" w:eastAsia="Times New Roman" w:hAnsi="Arial" w:cs="Arial"/>
          <w:color w:val="auto"/>
          <w:sz w:val="24"/>
          <w:szCs w:val="24"/>
        </w:rPr>
        <w:t xml:space="preserve">, </w:t>
      </w:r>
      <w:r w:rsidR="00BF4ECA" w:rsidRPr="00800743">
        <w:rPr>
          <w:rFonts w:ascii="Arial" w:eastAsia="Times New Roman" w:hAnsi="Arial" w:cs="Arial"/>
          <w:color w:val="auto"/>
          <w:sz w:val="24"/>
          <w:szCs w:val="24"/>
        </w:rPr>
        <w:t xml:space="preserve">and </w:t>
      </w:r>
      <w:r w:rsidRPr="00800743">
        <w:rPr>
          <w:rFonts w:ascii="Arial" w:eastAsia="Times New Roman" w:hAnsi="Arial" w:cs="Arial"/>
          <w:color w:val="auto"/>
          <w:sz w:val="24"/>
          <w:szCs w:val="24"/>
        </w:rPr>
        <w:t>Tobias Janowitz*</w:t>
      </w:r>
      <w:r w:rsidR="00E55ECA">
        <w:rPr>
          <w:rFonts w:ascii="Arial" w:eastAsia="Times New Roman" w:hAnsi="Arial" w:cs="Arial"/>
          <w:color w:val="auto"/>
          <w:sz w:val="24"/>
          <w:szCs w:val="24"/>
          <w:vertAlign w:val="superscript"/>
        </w:rPr>
        <w:t>4</w:t>
      </w:r>
      <w:r w:rsidRPr="00800743">
        <w:rPr>
          <w:rFonts w:ascii="Arial" w:eastAsia="Times New Roman" w:hAnsi="Arial" w:cs="Arial"/>
          <w:color w:val="auto"/>
          <w:sz w:val="24"/>
          <w:szCs w:val="24"/>
          <w:vertAlign w:val="superscript"/>
        </w:rPr>
        <w:t>,</w:t>
      </w:r>
      <w:r w:rsidR="00E55ECA">
        <w:rPr>
          <w:rFonts w:ascii="Arial" w:eastAsia="Times New Roman" w:hAnsi="Arial" w:cs="Arial"/>
          <w:color w:val="auto"/>
          <w:sz w:val="24"/>
          <w:szCs w:val="24"/>
          <w:vertAlign w:val="superscript"/>
        </w:rPr>
        <w:t>5</w:t>
      </w:r>
    </w:p>
    <w:p w14:paraId="4D174628" w14:textId="77777777" w:rsidR="00800743" w:rsidRPr="00800743" w:rsidRDefault="00800743" w:rsidP="00C20157">
      <w:pPr>
        <w:pStyle w:val="Normal1"/>
        <w:spacing w:after="0" w:line="480" w:lineRule="auto"/>
        <w:jc w:val="both"/>
        <w:rPr>
          <w:rFonts w:ascii="Arial" w:hAnsi="Arial" w:cs="Arial"/>
          <w:color w:val="auto"/>
          <w:sz w:val="24"/>
          <w:szCs w:val="24"/>
        </w:rPr>
      </w:pPr>
    </w:p>
    <w:p w14:paraId="4A3E4D0D" w14:textId="77777777" w:rsidR="00ED06A0" w:rsidRPr="00800743" w:rsidRDefault="00ED06A0" w:rsidP="00C20157">
      <w:pPr>
        <w:pStyle w:val="Normal1"/>
        <w:spacing w:after="0" w:line="480" w:lineRule="auto"/>
        <w:jc w:val="both"/>
        <w:outlineLvl w:val="0"/>
        <w:rPr>
          <w:rFonts w:ascii="Arial" w:hAnsi="Arial" w:cs="Arial"/>
          <w:color w:val="auto"/>
          <w:sz w:val="24"/>
          <w:szCs w:val="24"/>
        </w:rPr>
      </w:pPr>
      <w:r w:rsidRPr="00800743">
        <w:rPr>
          <w:rFonts w:ascii="Arial" w:eastAsia="Times New Roman" w:hAnsi="Arial" w:cs="Arial"/>
          <w:b/>
          <w:color w:val="auto"/>
          <w:sz w:val="24"/>
          <w:szCs w:val="24"/>
        </w:rPr>
        <w:t>Affiliations</w:t>
      </w:r>
    </w:p>
    <w:p w14:paraId="6999059D" w14:textId="0A62A4DF" w:rsidR="00800743" w:rsidRPr="00800743" w:rsidRDefault="00ED06A0" w:rsidP="00C20157">
      <w:pPr>
        <w:pStyle w:val="Normal1"/>
        <w:spacing w:after="0" w:line="480" w:lineRule="auto"/>
        <w:jc w:val="both"/>
        <w:rPr>
          <w:rFonts w:ascii="Arial" w:eastAsia="Times New Roman" w:hAnsi="Arial" w:cs="Arial"/>
          <w:sz w:val="24"/>
          <w:szCs w:val="24"/>
          <w:lang w:val="en-US" w:eastAsia="en-GB"/>
        </w:rPr>
      </w:pPr>
      <w:r w:rsidRPr="00800743">
        <w:rPr>
          <w:rFonts w:ascii="Arial" w:eastAsia="Times New Roman" w:hAnsi="Arial" w:cs="Arial"/>
          <w:color w:val="auto"/>
          <w:sz w:val="24"/>
          <w:szCs w:val="24"/>
          <w:vertAlign w:val="superscript"/>
        </w:rPr>
        <w:t>1</w:t>
      </w:r>
      <w:r w:rsidR="00800743" w:rsidRPr="00800743">
        <w:rPr>
          <w:rFonts w:ascii="Arial" w:eastAsia="Times New Roman" w:hAnsi="Arial" w:cs="Arial"/>
          <w:sz w:val="24"/>
          <w:szCs w:val="24"/>
          <w:lang w:val="en-US" w:eastAsia="en-GB"/>
        </w:rPr>
        <w:t>School of Clinical Medicine, University of Cambridge, Addenbrooke’s Hospital, Cambridge CB2 0SP, UK</w:t>
      </w:r>
    </w:p>
    <w:p w14:paraId="73565626" w14:textId="287D4282" w:rsidR="00800743" w:rsidRPr="00800743" w:rsidRDefault="00800743" w:rsidP="00C20157">
      <w:pPr>
        <w:pStyle w:val="Normal1"/>
        <w:spacing w:after="0" w:line="480" w:lineRule="auto"/>
        <w:jc w:val="both"/>
        <w:rPr>
          <w:rFonts w:ascii="Arial" w:eastAsia="Times New Roman" w:hAnsi="Arial" w:cs="Arial"/>
          <w:color w:val="auto"/>
          <w:sz w:val="24"/>
          <w:szCs w:val="24"/>
        </w:rPr>
      </w:pPr>
      <w:r w:rsidRPr="00800743">
        <w:rPr>
          <w:rFonts w:ascii="Arial" w:eastAsia="Times New Roman" w:hAnsi="Arial" w:cs="Arial"/>
          <w:sz w:val="24"/>
          <w:szCs w:val="24"/>
          <w:vertAlign w:val="superscript"/>
          <w:lang w:val="en-US" w:eastAsia="en-GB"/>
        </w:rPr>
        <w:t>2</w:t>
      </w:r>
      <w:r w:rsidRPr="00800743">
        <w:rPr>
          <w:rStyle w:val="fn"/>
          <w:rFonts w:ascii="Arial" w:hAnsi="Arial" w:cs="Arial"/>
          <w:sz w:val="24"/>
          <w:szCs w:val="24"/>
        </w:rPr>
        <w:t>MRC Laboratory of Molecular Biology</w:t>
      </w:r>
      <w:r w:rsidRPr="00800743">
        <w:rPr>
          <w:rFonts w:ascii="Arial" w:hAnsi="Arial" w:cs="Arial"/>
          <w:sz w:val="24"/>
          <w:szCs w:val="24"/>
        </w:rPr>
        <w:t xml:space="preserve">, </w:t>
      </w:r>
      <w:r w:rsidRPr="00800743">
        <w:rPr>
          <w:rStyle w:val="street-address"/>
          <w:rFonts w:ascii="Arial" w:hAnsi="Arial" w:cs="Arial"/>
          <w:sz w:val="24"/>
          <w:szCs w:val="24"/>
        </w:rPr>
        <w:t>Francis Crick Avenue</w:t>
      </w:r>
      <w:r w:rsidRPr="00800743">
        <w:rPr>
          <w:rStyle w:val="adr"/>
          <w:rFonts w:ascii="Arial" w:hAnsi="Arial" w:cs="Arial"/>
          <w:sz w:val="24"/>
          <w:szCs w:val="24"/>
        </w:rPr>
        <w:t xml:space="preserve">, </w:t>
      </w:r>
      <w:r w:rsidRPr="00800743">
        <w:rPr>
          <w:rStyle w:val="locality"/>
          <w:rFonts w:ascii="Arial" w:hAnsi="Arial" w:cs="Arial"/>
          <w:sz w:val="24"/>
          <w:szCs w:val="24"/>
        </w:rPr>
        <w:t>Cambridge</w:t>
      </w:r>
      <w:r w:rsidRPr="00800743">
        <w:rPr>
          <w:rStyle w:val="adr"/>
          <w:rFonts w:ascii="Arial" w:hAnsi="Arial" w:cs="Arial"/>
          <w:sz w:val="24"/>
          <w:szCs w:val="24"/>
        </w:rPr>
        <w:t xml:space="preserve"> </w:t>
      </w:r>
      <w:r w:rsidRPr="00800743">
        <w:rPr>
          <w:rStyle w:val="postal-code"/>
          <w:rFonts w:ascii="Arial" w:hAnsi="Arial" w:cs="Arial"/>
          <w:sz w:val="24"/>
          <w:szCs w:val="24"/>
        </w:rPr>
        <w:t>CB2 0QH</w:t>
      </w:r>
      <w:r w:rsidRPr="00800743">
        <w:rPr>
          <w:rStyle w:val="adr"/>
          <w:rFonts w:ascii="Arial" w:hAnsi="Arial" w:cs="Arial"/>
          <w:sz w:val="24"/>
          <w:szCs w:val="24"/>
        </w:rPr>
        <w:t xml:space="preserve">, </w:t>
      </w:r>
      <w:r w:rsidRPr="00800743">
        <w:rPr>
          <w:rStyle w:val="country-name"/>
          <w:rFonts w:ascii="Arial" w:hAnsi="Arial" w:cs="Arial"/>
          <w:sz w:val="24"/>
          <w:szCs w:val="24"/>
        </w:rPr>
        <w:t>UK</w:t>
      </w:r>
    </w:p>
    <w:p w14:paraId="7162C76B" w14:textId="58FF1C36" w:rsidR="008E2AC6" w:rsidRPr="008E2AC6" w:rsidRDefault="008E2AC6" w:rsidP="008E2AC6">
      <w:pPr>
        <w:spacing w:line="480" w:lineRule="auto"/>
        <w:rPr>
          <w:rFonts w:eastAsia="Times New Roman"/>
          <w:color w:val="000000" w:themeColor="text1"/>
          <w:sz w:val="24"/>
          <w:szCs w:val="24"/>
          <w:lang w:val="en-US"/>
        </w:rPr>
      </w:pPr>
      <w:r w:rsidRPr="008E2AC6">
        <w:rPr>
          <w:rFonts w:eastAsia="Times New Roman"/>
          <w:color w:val="000000" w:themeColor="text1"/>
          <w:sz w:val="24"/>
          <w:szCs w:val="24"/>
          <w:vertAlign w:val="superscript"/>
          <w:lang w:val="en-US"/>
        </w:rPr>
        <w:t>3</w:t>
      </w:r>
      <w:r w:rsidRPr="008E2AC6">
        <w:rPr>
          <w:rFonts w:eastAsia="Times New Roman"/>
          <w:color w:val="000000" w:themeColor="text1"/>
          <w:sz w:val="24"/>
          <w:szCs w:val="24"/>
          <w:lang w:val="en-US"/>
        </w:rPr>
        <w:t>Division of Structural Biology, Graduate Sch</w:t>
      </w:r>
      <w:r>
        <w:rPr>
          <w:rFonts w:eastAsia="Times New Roman"/>
          <w:color w:val="000000" w:themeColor="text1"/>
          <w:sz w:val="24"/>
          <w:szCs w:val="24"/>
          <w:lang w:val="en-US"/>
        </w:rPr>
        <w:t xml:space="preserve">ool of Pharmaceutical Sciences, </w:t>
      </w:r>
      <w:r w:rsidRPr="008E2AC6">
        <w:rPr>
          <w:rFonts w:eastAsia="Times New Roman"/>
          <w:color w:val="000000" w:themeColor="text1"/>
          <w:sz w:val="24"/>
          <w:szCs w:val="24"/>
          <w:lang w:val="en-US"/>
        </w:rPr>
        <w:t>Kumamoto University, 5-1 Oe-honmachi, Chuou-Ku, Kumamoto 862 0973, Japan</w:t>
      </w:r>
    </w:p>
    <w:p w14:paraId="531ED466" w14:textId="502D265F" w:rsidR="00ED06A0" w:rsidRPr="00E55ECA" w:rsidRDefault="00E55ECA" w:rsidP="00E55ECA">
      <w:pPr>
        <w:spacing w:line="480" w:lineRule="auto"/>
        <w:rPr>
          <w:rFonts w:ascii="Times" w:eastAsia="Times New Roman" w:hAnsi="Times" w:cs="Times New Roman"/>
          <w:color w:val="000000" w:themeColor="text1"/>
          <w:sz w:val="20"/>
          <w:szCs w:val="20"/>
          <w:lang w:eastAsia="en-US"/>
        </w:rPr>
      </w:pPr>
      <w:r>
        <w:rPr>
          <w:rFonts w:eastAsia="Times New Roman"/>
          <w:color w:val="auto"/>
          <w:sz w:val="24"/>
          <w:szCs w:val="24"/>
          <w:vertAlign w:val="superscript"/>
        </w:rPr>
        <w:t>4</w:t>
      </w:r>
      <w:r w:rsidR="00800743" w:rsidRPr="00800743">
        <w:rPr>
          <w:rFonts w:eastAsia="Times New Roman"/>
          <w:color w:val="auto"/>
          <w:sz w:val="24"/>
          <w:szCs w:val="24"/>
        </w:rPr>
        <w:t>C</w:t>
      </w:r>
      <w:r w:rsidR="00ED06A0" w:rsidRPr="00800743">
        <w:rPr>
          <w:rFonts w:eastAsia="Times New Roman"/>
          <w:color w:val="auto"/>
          <w:sz w:val="24"/>
          <w:szCs w:val="24"/>
        </w:rPr>
        <w:t>ancer Research UK Cambridge Institute, Li Ka Shing Centre, University of Cambridge, Cambridge, CB2 0RE, United Kingdom.</w:t>
      </w:r>
    </w:p>
    <w:p w14:paraId="60C71D60" w14:textId="7F209362" w:rsidR="00ED06A0" w:rsidRPr="00800743" w:rsidRDefault="00E55ECA" w:rsidP="00E55ECA">
      <w:pPr>
        <w:pStyle w:val="Normal1"/>
        <w:spacing w:after="0" w:line="480" w:lineRule="auto"/>
        <w:jc w:val="both"/>
        <w:rPr>
          <w:rFonts w:ascii="Arial" w:hAnsi="Arial" w:cs="Arial"/>
          <w:color w:val="auto"/>
          <w:sz w:val="24"/>
          <w:szCs w:val="24"/>
        </w:rPr>
      </w:pPr>
      <w:r>
        <w:rPr>
          <w:rFonts w:ascii="Arial" w:eastAsia="Times New Roman" w:hAnsi="Arial" w:cs="Arial"/>
          <w:color w:val="auto"/>
          <w:sz w:val="24"/>
          <w:szCs w:val="24"/>
          <w:vertAlign w:val="superscript"/>
        </w:rPr>
        <w:t>5</w:t>
      </w:r>
      <w:r w:rsidR="00ED06A0" w:rsidRPr="00800743">
        <w:rPr>
          <w:rFonts w:ascii="Arial" w:eastAsia="Times New Roman" w:hAnsi="Arial" w:cs="Arial"/>
          <w:color w:val="auto"/>
          <w:sz w:val="24"/>
          <w:szCs w:val="24"/>
        </w:rPr>
        <w:t>Department of Oncology, University of Cambridge, NIHR Cambridge Biomedical Research Centre and Addenbrooke’s Hospital, Cambridge, CB2 0QQ, United Kingdom.</w:t>
      </w:r>
    </w:p>
    <w:p w14:paraId="2E3C4D92" w14:textId="77777777" w:rsidR="00800743" w:rsidRDefault="00800743" w:rsidP="00C20157">
      <w:pPr>
        <w:pStyle w:val="Normal1"/>
        <w:spacing w:after="0" w:line="480" w:lineRule="auto"/>
        <w:jc w:val="both"/>
        <w:rPr>
          <w:rFonts w:ascii="Arial" w:eastAsia="Times New Roman" w:hAnsi="Arial" w:cs="Arial"/>
          <w:color w:val="auto"/>
          <w:sz w:val="24"/>
          <w:szCs w:val="24"/>
        </w:rPr>
      </w:pPr>
    </w:p>
    <w:p w14:paraId="7EA2721E" w14:textId="3FE6BCF1" w:rsidR="00ED06A0" w:rsidRPr="00800743" w:rsidRDefault="00ED06A0" w:rsidP="00C20157">
      <w:pPr>
        <w:pStyle w:val="Normal1"/>
        <w:spacing w:after="0" w:line="480" w:lineRule="auto"/>
        <w:jc w:val="both"/>
        <w:rPr>
          <w:rFonts w:ascii="Arial" w:hAnsi="Arial" w:cs="Arial"/>
          <w:color w:val="auto"/>
          <w:sz w:val="24"/>
          <w:szCs w:val="24"/>
        </w:rPr>
      </w:pPr>
      <w:r w:rsidRPr="00800743">
        <w:rPr>
          <w:rFonts w:ascii="Arial" w:eastAsia="Times New Roman" w:hAnsi="Arial" w:cs="Arial"/>
          <w:color w:val="auto"/>
          <w:sz w:val="24"/>
          <w:szCs w:val="24"/>
        </w:rPr>
        <w:t xml:space="preserve">#These authors contributed equally to the </w:t>
      </w:r>
      <w:r w:rsidR="00800743" w:rsidRPr="00800743">
        <w:rPr>
          <w:rFonts w:ascii="Arial" w:eastAsia="Times New Roman" w:hAnsi="Arial" w:cs="Arial"/>
          <w:color w:val="auto"/>
          <w:sz w:val="24"/>
          <w:szCs w:val="24"/>
        </w:rPr>
        <w:t>manuscript</w:t>
      </w:r>
      <w:r w:rsidRPr="00800743">
        <w:rPr>
          <w:rFonts w:ascii="Arial" w:eastAsia="Times New Roman" w:hAnsi="Arial" w:cs="Arial"/>
          <w:color w:val="auto"/>
          <w:sz w:val="24"/>
          <w:szCs w:val="24"/>
        </w:rPr>
        <w:t>.</w:t>
      </w:r>
    </w:p>
    <w:p w14:paraId="5A78AE1B" w14:textId="77777777" w:rsidR="00800743" w:rsidRDefault="00800743" w:rsidP="00C20157">
      <w:pPr>
        <w:spacing w:line="480" w:lineRule="auto"/>
        <w:jc w:val="both"/>
        <w:rPr>
          <w:rFonts w:eastAsia="Times New Roman"/>
          <w:color w:val="auto"/>
          <w:sz w:val="24"/>
          <w:szCs w:val="24"/>
        </w:rPr>
      </w:pPr>
    </w:p>
    <w:p w14:paraId="0A9606EB" w14:textId="0B9C8B6C" w:rsidR="00ED06A0" w:rsidRPr="00800743" w:rsidRDefault="00ED06A0" w:rsidP="00C20157">
      <w:pPr>
        <w:spacing w:line="480" w:lineRule="auto"/>
        <w:jc w:val="both"/>
        <w:rPr>
          <w:b/>
          <w:sz w:val="24"/>
          <w:szCs w:val="24"/>
          <w:highlight w:val="white"/>
        </w:rPr>
      </w:pPr>
      <w:r w:rsidRPr="00800743">
        <w:rPr>
          <w:rFonts w:eastAsia="Times New Roman"/>
          <w:color w:val="auto"/>
          <w:sz w:val="24"/>
          <w:szCs w:val="24"/>
        </w:rPr>
        <w:t>*Cor</w:t>
      </w:r>
      <w:r w:rsidR="00BF4ECA" w:rsidRPr="00800743">
        <w:rPr>
          <w:rFonts w:eastAsia="Times New Roman"/>
          <w:color w:val="auto"/>
          <w:sz w:val="24"/>
          <w:szCs w:val="24"/>
        </w:rPr>
        <w:t>respondence to: tj212@cam.ac.uk</w:t>
      </w:r>
    </w:p>
    <w:p w14:paraId="05B3C279" w14:textId="77777777" w:rsidR="00E4298E" w:rsidRPr="00800743" w:rsidRDefault="007E4E3C" w:rsidP="00C20157">
      <w:pPr>
        <w:spacing w:line="480" w:lineRule="auto"/>
        <w:jc w:val="both"/>
        <w:rPr>
          <w:b/>
          <w:sz w:val="24"/>
          <w:szCs w:val="24"/>
          <w:highlight w:val="white"/>
        </w:rPr>
      </w:pPr>
      <w:r w:rsidRPr="00800743">
        <w:rPr>
          <w:b/>
          <w:sz w:val="24"/>
          <w:szCs w:val="24"/>
          <w:highlight w:val="white"/>
        </w:rPr>
        <w:t xml:space="preserve"> </w:t>
      </w:r>
    </w:p>
    <w:p w14:paraId="2E6C6F5B" w14:textId="77777777" w:rsidR="005D3402" w:rsidRDefault="005D3402" w:rsidP="00C20157">
      <w:pPr>
        <w:jc w:val="both"/>
        <w:rPr>
          <w:b/>
          <w:sz w:val="24"/>
          <w:szCs w:val="24"/>
          <w:highlight w:val="white"/>
        </w:rPr>
      </w:pPr>
      <w:r>
        <w:rPr>
          <w:b/>
          <w:sz w:val="24"/>
          <w:szCs w:val="24"/>
          <w:highlight w:val="white"/>
        </w:rPr>
        <w:br w:type="page"/>
      </w:r>
    </w:p>
    <w:p w14:paraId="48E40519" w14:textId="1C55561D" w:rsidR="004B47C4" w:rsidRDefault="004B47C4" w:rsidP="00C20157">
      <w:pPr>
        <w:spacing w:line="480" w:lineRule="auto"/>
        <w:jc w:val="both"/>
        <w:outlineLvl w:val="0"/>
        <w:rPr>
          <w:b/>
          <w:sz w:val="24"/>
          <w:szCs w:val="24"/>
          <w:highlight w:val="white"/>
        </w:rPr>
      </w:pPr>
      <w:r>
        <w:rPr>
          <w:b/>
          <w:sz w:val="24"/>
          <w:szCs w:val="24"/>
          <w:highlight w:val="white"/>
        </w:rPr>
        <w:lastRenderedPageBreak/>
        <w:t>Abstract</w:t>
      </w:r>
    </w:p>
    <w:p w14:paraId="6EA47708" w14:textId="7E1639AF" w:rsidR="004B47C4" w:rsidRDefault="004C019E" w:rsidP="00C20157">
      <w:pPr>
        <w:spacing w:line="480" w:lineRule="auto"/>
        <w:jc w:val="both"/>
        <w:outlineLvl w:val="0"/>
        <w:rPr>
          <w:b/>
          <w:sz w:val="24"/>
          <w:szCs w:val="24"/>
          <w:highlight w:val="white"/>
        </w:rPr>
      </w:pPr>
      <w:r>
        <w:rPr>
          <w:sz w:val="24"/>
          <w:szCs w:val="24"/>
          <w:highlight w:val="white"/>
        </w:rPr>
        <w:t xml:space="preserve">T cell checkpoint inhibition has a profound impact on cancer care and the two </w:t>
      </w:r>
      <w:r w:rsidRPr="00800743">
        <w:rPr>
          <w:sz w:val="24"/>
          <w:szCs w:val="24"/>
        </w:rPr>
        <w:t>Programmed cell death protein 1 (</w:t>
      </w:r>
      <w:r w:rsidRPr="00800743">
        <w:rPr>
          <w:sz w:val="24"/>
          <w:szCs w:val="24"/>
          <w:highlight w:val="white"/>
        </w:rPr>
        <w:t>PD-1</w:t>
      </w:r>
      <w:r w:rsidRPr="005F5C3C">
        <w:rPr>
          <w:sz w:val="24"/>
          <w:szCs w:val="24"/>
          <w:highlight w:val="white"/>
        </w:rPr>
        <w:t>)</w:t>
      </w:r>
      <w:r>
        <w:rPr>
          <w:sz w:val="24"/>
          <w:szCs w:val="24"/>
          <w:highlight w:val="white"/>
        </w:rPr>
        <w:t xml:space="preserve"> targeted antibodies nivolumab and pembrolizumab have been leading this therapeutic revolution. </w:t>
      </w:r>
      <w:r w:rsidR="00DF2140">
        <w:rPr>
          <w:sz w:val="24"/>
          <w:szCs w:val="24"/>
          <w:highlight w:val="white"/>
        </w:rPr>
        <w:t xml:space="preserve">Their clinical </w:t>
      </w:r>
      <w:r w:rsidR="008C0CF1">
        <w:rPr>
          <w:sz w:val="24"/>
          <w:szCs w:val="24"/>
          <w:highlight w:val="white"/>
        </w:rPr>
        <w:t>comparability is a highly relevant topic</w:t>
      </w:r>
      <w:r w:rsidR="00DF2140">
        <w:rPr>
          <w:sz w:val="24"/>
          <w:szCs w:val="24"/>
          <w:highlight w:val="white"/>
        </w:rPr>
        <w:t xml:space="preserve"> of discussion, but </w:t>
      </w:r>
      <w:r w:rsidR="00906DEE">
        <w:rPr>
          <w:sz w:val="24"/>
          <w:szCs w:val="24"/>
          <w:highlight w:val="white"/>
        </w:rPr>
        <w:t xml:space="preserve">to a significant degree </w:t>
      </w:r>
      <w:r w:rsidR="008C0CF1">
        <w:rPr>
          <w:sz w:val="24"/>
          <w:szCs w:val="24"/>
          <w:highlight w:val="white"/>
        </w:rPr>
        <w:t>is a consequence</w:t>
      </w:r>
      <w:r w:rsidR="00DF2140">
        <w:rPr>
          <w:sz w:val="24"/>
          <w:szCs w:val="24"/>
          <w:highlight w:val="white"/>
        </w:rPr>
        <w:t xml:space="preserve"> of their molecular properties. </w:t>
      </w:r>
      <w:r>
        <w:rPr>
          <w:sz w:val="24"/>
          <w:szCs w:val="24"/>
          <w:highlight w:val="white"/>
        </w:rPr>
        <w:t xml:space="preserve">Here we provide a molecular, preclinical, and early clinical comparison of the two antibodies, based on the </w:t>
      </w:r>
      <w:r w:rsidR="00906DEE">
        <w:rPr>
          <w:sz w:val="24"/>
          <w:szCs w:val="24"/>
          <w:highlight w:val="white"/>
        </w:rPr>
        <w:t xml:space="preserve">available data and </w:t>
      </w:r>
      <w:r>
        <w:rPr>
          <w:sz w:val="24"/>
          <w:szCs w:val="24"/>
          <w:highlight w:val="white"/>
        </w:rPr>
        <w:t xml:space="preserve">recent literature. </w:t>
      </w:r>
      <w:r w:rsidR="00990FB2">
        <w:rPr>
          <w:sz w:val="24"/>
          <w:szCs w:val="24"/>
          <w:highlight w:val="white"/>
        </w:rPr>
        <w:t xml:space="preserve">We </w:t>
      </w:r>
      <w:r w:rsidR="0024671D">
        <w:rPr>
          <w:sz w:val="24"/>
          <w:szCs w:val="24"/>
          <w:highlight w:val="white"/>
        </w:rPr>
        <w:t>acknowledge</w:t>
      </w:r>
      <w:r w:rsidR="00DF2140">
        <w:rPr>
          <w:sz w:val="24"/>
          <w:szCs w:val="24"/>
          <w:highlight w:val="white"/>
        </w:rPr>
        <w:t xml:space="preserve"> the limitations of such comparisons, but suggest that based on the available data, differences in clinical trial outcomes between nivolumab and pembrolizumab are more likely drug-independent than drug-dependent.</w:t>
      </w:r>
    </w:p>
    <w:p w14:paraId="69DFFAB5" w14:textId="77777777" w:rsidR="00990FB2" w:rsidRDefault="00990FB2">
      <w:pPr>
        <w:rPr>
          <w:b/>
          <w:sz w:val="24"/>
          <w:szCs w:val="24"/>
          <w:highlight w:val="white"/>
        </w:rPr>
      </w:pPr>
      <w:r>
        <w:rPr>
          <w:b/>
          <w:sz w:val="24"/>
          <w:szCs w:val="24"/>
          <w:highlight w:val="white"/>
        </w:rPr>
        <w:br w:type="page"/>
      </w:r>
    </w:p>
    <w:p w14:paraId="7F321358" w14:textId="39A0D389" w:rsidR="00B4721F" w:rsidRDefault="00DB01EA" w:rsidP="00C20157">
      <w:pPr>
        <w:spacing w:line="480" w:lineRule="auto"/>
        <w:jc w:val="both"/>
        <w:outlineLvl w:val="0"/>
        <w:rPr>
          <w:b/>
          <w:sz w:val="24"/>
          <w:szCs w:val="24"/>
          <w:highlight w:val="white"/>
        </w:rPr>
      </w:pPr>
      <w:r>
        <w:rPr>
          <w:b/>
          <w:sz w:val="24"/>
          <w:szCs w:val="24"/>
          <w:highlight w:val="white"/>
        </w:rPr>
        <w:lastRenderedPageBreak/>
        <w:t>Introduction</w:t>
      </w:r>
    </w:p>
    <w:p w14:paraId="79688EAE" w14:textId="1F143BFA" w:rsidR="00E4298E" w:rsidRPr="00800743" w:rsidRDefault="007E4E3C" w:rsidP="00C20157">
      <w:pPr>
        <w:spacing w:line="480" w:lineRule="auto"/>
        <w:jc w:val="both"/>
        <w:outlineLvl w:val="0"/>
        <w:rPr>
          <w:sz w:val="24"/>
          <w:szCs w:val="24"/>
          <w:highlight w:val="white"/>
        </w:rPr>
      </w:pPr>
      <w:r w:rsidRPr="00800743">
        <w:rPr>
          <w:sz w:val="24"/>
          <w:szCs w:val="24"/>
          <w:highlight w:val="white"/>
        </w:rPr>
        <w:t xml:space="preserve">Every </w:t>
      </w:r>
      <w:r w:rsidR="006B503B" w:rsidRPr="00800743">
        <w:rPr>
          <w:sz w:val="24"/>
          <w:szCs w:val="24"/>
          <w:highlight w:val="white"/>
        </w:rPr>
        <w:t xml:space="preserve">decision </w:t>
      </w:r>
      <w:r w:rsidR="00E46596" w:rsidRPr="00800743">
        <w:rPr>
          <w:sz w:val="24"/>
          <w:szCs w:val="24"/>
          <w:highlight w:val="white"/>
        </w:rPr>
        <w:t xml:space="preserve">on drug therapy </w:t>
      </w:r>
      <w:r w:rsidR="006B503B" w:rsidRPr="00800743">
        <w:rPr>
          <w:sz w:val="24"/>
          <w:szCs w:val="24"/>
          <w:highlight w:val="white"/>
        </w:rPr>
        <w:t>by oncologists</w:t>
      </w:r>
      <w:r w:rsidRPr="00800743">
        <w:rPr>
          <w:sz w:val="24"/>
          <w:szCs w:val="24"/>
          <w:highlight w:val="white"/>
        </w:rPr>
        <w:t xml:space="preserve"> is influenced by a set of parameters</w:t>
      </w:r>
      <w:r w:rsidR="005F5C3C">
        <w:rPr>
          <w:sz w:val="24"/>
          <w:szCs w:val="24"/>
          <w:highlight w:val="white"/>
        </w:rPr>
        <w:t>,</w:t>
      </w:r>
      <w:r w:rsidRPr="00800743">
        <w:rPr>
          <w:sz w:val="24"/>
          <w:szCs w:val="24"/>
          <w:highlight w:val="white"/>
        </w:rPr>
        <w:t xml:space="preserve"> </w:t>
      </w:r>
      <w:r w:rsidR="005F5C3C">
        <w:rPr>
          <w:sz w:val="24"/>
          <w:szCs w:val="24"/>
          <w:highlight w:val="white"/>
        </w:rPr>
        <w:t>such as</w:t>
      </w:r>
      <w:r w:rsidR="00747B24" w:rsidRPr="00800743">
        <w:rPr>
          <w:sz w:val="24"/>
          <w:szCs w:val="24"/>
          <w:highlight w:val="white"/>
        </w:rPr>
        <w:t xml:space="preserve"> the</w:t>
      </w:r>
      <w:r w:rsidRPr="00800743">
        <w:rPr>
          <w:sz w:val="24"/>
          <w:szCs w:val="24"/>
          <w:highlight w:val="white"/>
        </w:rPr>
        <w:t xml:space="preserve"> efficacy of the drug in the </w:t>
      </w:r>
      <w:r w:rsidR="00747B24" w:rsidRPr="00800743">
        <w:rPr>
          <w:sz w:val="24"/>
          <w:szCs w:val="24"/>
          <w:highlight w:val="white"/>
        </w:rPr>
        <w:t xml:space="preserve">respective </w:t>
      </w:r>
      <w:r w:rsidRPr="00800743">
        <w:rPr>
          <w:sz w:val="24"/>
          <w:szCs w:val="24"/>
          <w:highlight w:val="white"/>
        </w:rPr>
        <w:t>patient population, the side effects profile</w:t>
      </w:r>
      <w:r w:rsidR="006B503B" w:rsidRPr="00800743">
        <w:rPr>
          <w:sz w:val="24"/>
          <w:szCs w:val="24"/>
          <w:highlight w:val="white"/>
        </w:rPr>
        <w:t>,</w:t>
      </w:r>
      <w:r w:rsidRPr="00800743">
        <w:rPr>
          <w:sz w:val="24"/>
          <w:szCs w:val="24"/>
          <w:highlight w:val="white"/>
        </w:rPr>
        <w:t xml:space="preserve"> and the </w:t>
      </w:r>
      <w:r w:rsidR="00747B24" w:rsidRPr="00800743">
        <w:rPr>
          <w:sz w:val="24"/>
          <w:szCs w:val="24"/>
          <w:highlight w:val="white"/>
        </w:rPr>
        <w:t>pharmacology of the drug</w:t>
      </w:r>
      <w:r w:rsidRPr="00800743">
        <w:rPr>
          <w:sz w:val="24"/>
          <w:szCs w:val="24"/>
          <w:highlight w:val="white"/>
        </w:rPr>
        <w:t xml:space="preserve">. </w:t>
      </w:r>
      <w:r w:rsidR="00747B24" w:rsidRPr="00800743">
        <w:rPr>
          <w:sz w:val="24"/>
          <w:szCs w:val="24"/>
          <w:highlight w:val="white"/>
        </w:rPr>
        <w:t xml:space="preserve">In this issue of Seminars in Oncology, Vinay Prasad and Victoria Kaestner discuss the specific example of clinical </w:t>
      </w:r>
      <w:r w:rsidR="00AD3C55" w:rsidRPr="00800743">
        <w:rPr>
          <w:sz w:val="24"/>
          <w:szCs w:val="24"/>
          <w:highlight w:val="white"/>
        </w:rPr>
        <w:t xml:space="preserve">evidence and </w:t>
      </w:r>
      <w:r w:rsidR="00747B24" w:rsidRPr="00800743">
        <w:rPr>
          <w:sz w:val="24"/>
          <w:szCs w:val="24"/>
          <w:highlight w:val="white"/>
        </w:rPr>
        <w:t xml:space="preserve">decision making for </w:t>
      </w:r>
      <w:r w:rsidR="00EB7F56">
        <w:rPr>
          <w:sz w:val="24"/>
          <w:szCs w:val="24"/>
          <w:highlight w:val="white"/>
        </w:rPr>
        <w:t xml:space="preserve">the </w:t>
      </w:r>
      <w:r w:rsidR="00AD3C55" w:rsidRPr="00800743">
        <w:rPr>
          <w:sz w:val="24"/>
          <w:szCs w:val="24"/>
          <w:highlight w:val="white"/>
        </w:rPr>
        <w:t xml:space="preserve">administration of </w:t>
      </w:r>
      <w:r w:rsidR="00392C96">
        <w:rPr>
          <w:sz w:val="24"/>
          <w:szCs w:val="24"/>
          <w:highlight w:val="white"/>
        </w:rPr>
        <w:t>nivolumab</w:t>
      </w:r>
      <w:r w:rsidRPr="00800743">
        <w:rPr>
          <w:sz w:val="24"/>
          <w:szCs w:val="24"/>
          <w:highlight w:val="white"/>
        </w:rPr>
        <w:t xml:space="preserve"> and </w:t>
      </w:r>
      <w:r w:rsidR="00392C96">
        <w:rPr>
          <w:sz w:val="24"/>
          <w:szCs w:val="24"/>
          <w:highlight w:val="white"/>
        </w:rPr>
        <w:t>pembrolizumab</w:t>
      </w:r>
      <w:r w:rsidRPr="00800743">
        <w:rPr>
          <w:sz w:val="24"/>
          <w:szCs w:val="24"/>
          <w:highlight w:val="white"/>
        </w:rPr>
        <w:t>, two recently developed anti-checkpo</w:t>
      </w:r>
      <w:r w:rsidR="00215825" w:rsidRPr="00800743">
        <w:rPr>
          <w:sz w:val="24"/>
          <w:szCs w:val="24"/>
          <w:highlight w:val="white"/>
        </w:rPr>
        <w:t>int monoclonal antibodies that</w:t>
      </w:r>
      <w:r w:rsidRPr="00800743">
        <w:rPr>
          <w:sz w:val="24"/>
          <w:szCs w:val="24"/>
          <w:highlight w:val="white"/>
        </w:rPr>
        <w:t xml:space="preserve"> target </w:t>
      </w:r>
      <w:r w:rsidR="00215825" w:rsidRPr="00800743">
        <w:rPr>
          <w:sz w:val="24"/>
          <w:szCs w:val="24"/>
        </w:rPr>
        <w:t>Programmed cell death protein 1 (</w:t>
      </w:r>
      <w:r w:rsidRPr="00800743">
        <w:rPr>
          <w:sz w:val="24"/>
          <w:szCs w:val="24"/>
          <w:highlight w:val="white"/>
        </w:rPr>
        <w:t>PD-1</w:t>
      </w:r>
      <w:r w:rsidR="00215825" w:rsidRPr="005F5C3C">
        <w:rPr>
          <w:sz w:val="24"/>
          <w:szCs w:val="24"/>
          <w:highlight w:val="white"/>
        </w:rPr>
        <w:t>)</w:t>
      </w:r>
      <w:r w:rsidR="00501997" w:rsidRPr="005F5C3C">
        <w:rPr>
          <w:sz w:val="24"/>
          <w:szCs w:val="24"/>
          <w:highlight w:val="white"/>
        </w:rPr>
        <w:t xml:space="preserve">. </w:t>
      </w:r>
      <w:r w:rsidR="00E46596" w:rsidRPr="005F5C3C">
        <w:rPr>
          <w:sz w:val="24"/>
          <w:szCs w:val="24"/>
          <w:highlight w:val="white"/>
        </w:rPr>
        <w:t>Based on clinical data t</w:t>
      </w:r>
      <w:r w:rsidR="00AD3C55" w:rsidRPr="005F5C3C">
        <w:rPr>
          <w:sz w:val="24"/>
          <w:szCs w:val="24"/>
          <w:highlight w:val="white"/>
        </w:rPr>
        <w:t xml:space="preserve">hey argue that both drugs should be considered interchangeable. </w:t>
      </w:r>
      <w:r w:rsidR="00562651" w:rsidRPr="00CC4DBB">
        <w:rPr>
          <w:sz w:val="24"/>
          <w:szCs w:val="24"/>
          <w:highlight w:val="white"/>
        </w:rPr>
        <w:t xml:space="preserve">Such clinical data are ultimately the consequence of the interactions of a drug’s molecular behaviour with the host’s </w:t>
      </w:r>
      <w:r w:rsidR="00562651" w:rsidRPr="00CC4DBB">
        <w:rPr>
          <w:sz w:val="24"/>
          <w:szCs w:val="24"/>
        </w:rPr>
        <w:t>pathophysiology</w:t>
      </w:r>
      <w:r w:rsidR="00747B24" w:rsidRPr="005F5C3C">
        <w:rPr>
          <w:sz w:val="24"/>
          <w:szCs w:val="24"/>
          <w:highlight w:val="white"/>
        </w:rPr>
        <w:t>.</w:t>
      </w:r>
      <w:r w:rsidR="00521CDF" w:rsidRPr="005F5C3C">
        <w:rPr>
          <w:sz w:val="24"/>
          <w:szCs w:val="24"/>
          <w:highlight w:val="white"/>
        </w:rPr>
        <w:t xml:space="preserve"> </w:t>
      </w:r>
      <w:r w:rsidRPr="005F5C3C">
        <w:rPr>
          <w:sz w:val="24"/>
          <w:szCs w:val="24"/>
          <w:highlight w:val="white"/>
        </w:rPr>
        <w:t xml:space="preserve">In </w:t>
      </w:r>
      <w:r w:rsidRPr="005F5C3C">
        <w:rPr>
          <w:color w:val="000000" w:themeColor="text1"/>
          <w:sz w:val="24"/>
          <w:szCs w:val="24"/>
          <w:highlight w:val="white"/>
        </w:rPr>
        <w:t xml:space="preserve">this </w:t>
      </w:r>
      <w:r w:rsidR="00521CDF" w:rsidRPr="005F5C3C">
        <w:rPr>
          <w:color w:val="000000" w:themeColor="text1"/>
          <w:sz w:val="24"/>
          <w:szCs w:val="24"/>
          <w:highlight w:val="white"/>
        </w:rPr>
        <w:t>review</w:t>
      </w:r>
      <w:r w:rsidRPr="005F5C3C">
        <w:rPr>
          <w:color w:val="000000" w:themeColor="text1"/>
          <w:sz w:val="24"/>
          <w:szCs w:val="24"/>
          <w:highlight w:val="white"/>
        </w:rPr>
        <w:t xml:space="preserve">, we </w:t>
      </w:r>
      <w:r w:rsidR="00501997" w:rsidRPr="005F5C3C">
        <w:rPr>
          <w:color w:val="000000" w:themeColor="text1"/>
          <w:sz w:val="24"/>
          <w:szCs w:val="24"/>
          <w:highlight w:val="white"/>
        </w:rPr>
        <w:t xml:space="preserve">thus </w:t>
      </w:r>
      <w:r w:rsidR="00FB0AAF" w:rsidRPr="005F5C3C">
        <w:rPr>
          <w:color w:val="000000" w:themeColor="text1"/>
          <w:sz w:val="24"/>
          <w:szCs w:val="24"/>
          <w:highlight w:val="white"/>
        </w:rPr>
        <w:t>provide</w:t>
      </w:r>
      <w:r w:rsidRPr="005F5C3C">
        <w:rPr>
          <w:color w:val="000000" w:themeColor="text1"/>
          <w:sz w:val="24"/>
          <w:szCs w:val="24"/>
          <w:highlight w:val="white"/>
        </w:rPr>
        <w:t xml:space="preserve"> a </w:t>
      </w:r>
      <w:r w:rsidR="0074242C" w:rsidRPr="005F5C3C">
        <w:rPr>
          <w:color w:val="000000" w:themeColor="text1"/>
          <w:sz w:val="24"/>
          <w:szCs w:val="24"/>
          <w:highlight w:val="white"/>
        </w:rPr>
        <w:t>molecular</w:t>
      </w:r>
      <w:r w:rsidRPr="005F5C3C">
        <w:rPr>
          <w:color w:val="000000" w:themeColor="text1"/>
          <w:sz w:val="24"/>
          <w:szCs w:val="24"/>
          <w:highlight w:val="white"/>
        </w:rPr>
        <w:t xml:space="preserve"> comparison of </w:t>
      </w:r>
      <w:r w:rsidR="00392C96">
        <w:rPr>
          <w:color w:val="000000" w:themeColor="text1"/>
          <w:sz w:val="24"/>
          <w:szCs w:val="24"/>
          <w:highlight w:val="white"/>
        </w:rPr>
        <w:t>nivolumab</w:t>
      </w:r>
      <w:r w:rsidRPr="005F5C3C">
        <w:rPr>
          <w:color w:val="000000" w:themeColor="text1"/>
          <w:sz w:val="24"/>
          <w:szCs w:val="24"/>
          <w:highlight w:val="white"/>
        </w:rPr>
        <w:t xml:space="preserve"> and </w:t>
      </w:r>
      <w:r w:rsidR="00392C96">
        <w:rPr>
          <w:color w:val="000000" w:themeColor="text1"/>
          <w:sz w:val="24"/>
          <w:szCs w:val="24"/>
          <w:highlight w:val="white"/>
        </w:rPr>
        <w:t>pembrolizumab</w:t>
      </w:r>
      <w:r w:rsidRPr="005F5C3C">
        <w:rPr>
          <w:color w:val="000000" w:themeColor="text1"/>
          <w:sz w:val="24"/>
          <w:szCs w:val="24"/>
          <w:highlight w:val="white"/>
        </w:rPr>
        <w:t xml:space="preserve"> </w:t>
      </w:r>
      <w:r w:rsidR="00664BDB" w:rsidRPr="005F5C3C">
        <w:rPr>
          <w:color w:val="000000" w:themeColor="text1"/>
          <w:sz w:val="24"/>
          <w:szCs w:val="24"/>
          <w:highlight w:val="white"/>
        </w:rPr>
        <w:t>to assess whether there are any drug-specific</w:t>
      </w:r>
      <w:r w:rsidRPr="005F5C3C">
        <w:rPr>
          <w:color w:val="000000" w:themeColor="text1"/>
          <w:sz w:val="24"/>
          <w:szCs w:val="24"/>
          <w:highlight w:val="white"/>
        </w:rPr>
        <w:t xml:space="preserve"> </w:t>
      </w:r>
      <w:r w:rsidR="00FB0AAF" w:rsidRPr="005F5C3C">
        <w:rPr>
          <w:color w:val="000000" w:themeColor="text1"/>
          <w:sz w:val="24"/>
          <w:szCs w:val="24"/>
          <w:highlight w:val="white"/>
        </w:rPr>
        <w:t xml:space="preserve">arguments </w:t>
      </w:r>
      <w:r w:rsidR="0074242C" w:rsidRPr="005F5C3C">
        <w:rPr>
          <w:color w:val="000000" w:themeColor="text1"/>
          <w:sz w:val="24"/>
          <w:szCs w:val="24"/>
          <w:highlight w:val="white"/>
        </w:rPr>
        <w:t>against</w:t>
      </w:r>
      <w:r w:rsidRPr="005F5C3C">
        <w:rPr>
          <w:color w:val="000000" w:themeColor="text1"/>
          <w:sz w:val="24"/>
          <w:szCs w:val="24"/>
          <w:highlight w:val="white"/>
        </w:rPr>
        <w:t xml:space="preserve"> clinical interchangeability.</w:t>
      </w:r>
      <w:r w:rsidRPr="00800743">
        <w:rPr>
          <w:sz w:val="24"/>
          <w:szCs w:val="24"/>
          <w:highlight w:val="white"/>
        </w:rPr>
        <w:t xml:space="preserve"> </w:t>
      </w:r>
    </w:p>
    <w:p w14:paraId="54C02919" w14:textId="6CEAB9D6" w:rsidR="000C6069" w:rsidRDefault="007E4E3C" w:rsidP="00C20157">
      <w:pPr>
        <w:spacing w:line="480" w:lineRule="auto"/>
        <w:jc w:val="both"/>
        <w:rPr>
          <w:sz w:val="24"/>
          <w:szCs w:val="24"/>
        </w:rPr>
      </w:pPr>
      <w:r w:rsidRPr="00800743">
        <w:rPr>
          <w:sz w:val="24"/>
          <w:szCs w:val="24"/>
        </w:rPr>
        <w:t>PD-1 is an inhibitory T cell surface receptor that promotes self-tolerance by suppressing T ce</w:t>
      </w:r>
      <w:r w:rsidR="00A05CC2">
        <w:rPr>
          <w:sz w:val="24"/>
          <w:szCs w:val="24"/>
        </w:rPr>
        <w:t>ll activation. On ligand</w:t>
      </w:r>
      <w:r w:rsidRPr="00800743">
        <w:rPr>
          <w:sz w:val="24"/>
          <w:szCs w:val="24"/>
        </w:rPr>
        <w:t xml:space="preserve"> </w:t>
      </w:r>
      <w:r w:rsidR="00A05CC2">
        <w:rPr>
          <w:sz w:val="24"/>
          <w:szCs w:val="24"/>
        </w:rPr>
        <w:t>binding by</w:t>
      </w:r>
      <w:r w:rsidR="00A05CC2" w:rsidRPr="00800743">
        <w:rPr>
          <w:sz w:val="24"/>
          <w:szCs w:val="24"/>
        </w:rPr>
        <w:t xml:space="preserve"> </w:t>
      </w:r>
      <w:r w:rsidRPr="00800743">
        <w:rPr>
          <w:sz w:val="24"/>
          <w:szCs w:val="24"/>
        </w:rPr>
        <w:t xml:space="preserve">PD-L1 or PD-L2, the PD-1 receptor </w:t>
      </w:r>
      <w:r w:rsidR="0074242C">
        <w:rPr>
          <w:sz w:val="24"/>
          <w:szCs w:val="24"/>
        </w:rPr>
        <w:t>blocks signa</w:t>
      </w:r>
      <w:r w:rsidR="0072447F">
        <w:rPr>
          <w:sz w:val="24"/>
          <w:szCs w:val="24"/>
        </w:rPr>
        <w:t>l</w:t>
      </w:r>
      <w:r w:rsidR="0074242C">
        <w:rPr>
          <w:sz w:val="24"/>
          <w:szCs w:val="24"/>
        </w:rPr>
        <w:t>ling in T cells by recruiting a phosphatase, SHP-2, which dephosphorylates the antigen receptor expressed by these cells</w:t>
      </w:r>
      <w:r w:rsidRPr="00800743">
        <w:rPr>
          <w:sz w:val="24"/>
          <w:szCs w:val="24"/>
        </w:rPr>
        <w:t>.</w:t>
      </w:r>
      <w:r w:rsidR="00FF2B53" w:rsidRPr="00800743">
        <w:rPr>
          <w:sz w:val="24"/>
          <w:szCs w:val="24"/>
          <w:vertAlign w:val="superscript"/>
        </w:rPr>
        <w:fldChar w:fldCharType="begin" w:fldLock="1"/>
      </w:r>
      <w:r w:rsidR="00700962">
        <w:rPr>
          <w:sz w:val="24"/>
          <w:szCs w:val="24"/>
          <w:vertAlign w:val="superscript"/>
        </w:rPr>
        <w:instrText>ADDIN CSL_CITATION { "citationItems" : [ { "id" : "ITEM-1", "itemData" : { "DOI" : "10.1146/annurev.immunol.26.021607.090331", "ISSN" : "0732-0582", "abstract" : "Programmed death 1 (PD-1) and its ligands, PD-L1 and PD-L2, deliver inhibitory signals that regulate the balance between T cell activation, tolerance, and immunopathology. Immune responses to foreign and self-antigens require specific and balanced responses to clear pathogens and tumors and yet maintain tolerance. Induction and maintenance of T cell tolerance requires PD-1, and its ligand PD-L1 on nonhematopoietic cells can limit effector T cell responses and protect tissues from immune-mediated tissue damage. The PD-1:PD-L pathway also has been usurped by microorganisms and tumors to attenuate antimicrobial or tumor immunity and facilitate chronic infection and tumor survival. The identification of B7-1 as an additional binding partner for PD-L1, together with the discovery of an inhibitory bidirectional interaction between PD-L1 and B7-1, reveals new ways the B7:CD28 family regulates T cell activation and tolerance. In this review, we discuss current understanding of the immunoregulatory functions of PD...", "author" : [ { "dropping-particle" : "", "family" : "Keir", "given" : "Mary E.", "non-dropping-particle" : "", "parse-names" : false, "suffix" : "" }, { "dropping-particle" : "", "family" : "Butte", "given" : "Manish J.", "non-dropping-particle" : "", "parse-names" : false, "suffix" : "" }, { "dropping-particle" : "", "family" : "Freeman", "given" : "Gordon J.", "non-dropping-particle" : "", "parse-names" : false, "suffix" : "" }, { "dropping-particle" : "", "family" : "Sharpe", "given" : "Arlene H.", "non-dropping-particle" : "", "parse-names" : false, "suffix" : "" } ], "container-title" : "Annual Review of Immunology", "id" : "ITEM-1", "issue" : "1", "issued" : { "date-parts" : [ [ "2008", "4" ] ] }, "page" : "677-704", "publisher" : " Annual Reviews ", "title" : "PD-1 and Its Ligands in Tolerance and Immunity", "type" : "article-journal", "volume" : "26" }, "uris" : [ "http://www.mendeley.com/documents/?uuid=57b94796-588a-48dc-b6ce-0a3a84034240" ] } ], "mendeley" : { "formattedCitation" : "(1)", "manualFormatting" : "[1", "plainTextFormattedCitation" : "(1)", "previouslyFormattedCitation" : "(1)" }, "properties" : { "noteIndex" : 0 }, "schema" : "https://github.com/citation-style-language/schema/raw/master/csl-citation.json" }</w:instrText>
      </w:r>
      <w:r w:rsidR="00FF2B53" w:rsidRPr="00800743">
        <w:rPr>
          <w:sz w:val="24"/>
          <w:szCs w:val="24"/>
          <w:vertAlign w:val="superscript"/>
        </w:rPr>
        <w:fldChar w:fldCharType="separate"/>
      </w:r>
      <w:r w:rsidR="00700962">
        <w:rPr>
          <w:noProof/>
          <w:sz w:val="24"/>
          <w:szCs w:val="24"/>
        </w:rPr>
        <w:t>[</w:t>
      </w:r>
      <w:r w:rsidR="000B124D" w:rsidRPr="000B124D">
        <w:rPr>
          <w:noProof/>
          <w:sz w:val="24"/>
          <w:szCs w:val="24"/>
        </w:rPr>
        <w:t>1</w:t>
      </w:r>
      <w:r w:rsidR="00FF2B53" w:rsidRPr="00800743">
        <w:rPr>
          <w:sz w:val="24"/>
          <w:szCs w:val="24"/>
          <w:vertAlign w:val="superscript"/>
        </w:rPr>
        <w:fldChar w:fldCharType="end"/>
      </w:r>
      <w:r w:rsidR="00700962">
        <w:rPr>
          <w:sz w:val="24"/>
          <w:szCs w:val="24"/>
        </w:rPr>
        <w:t>]</w:t>
      </w:r>
      <w:r w:rsidRPr="00800743">
        <w:rPr>
          <w:sz w:val="24"/>
          <w:szCs w:val="24"/>
        </w:rPr>
        <w:t xml:space="preserve"> </w:t>
      </w:r>
      <w:r w:rsidR="005F5C3C">
        <w:rPr>
          <w:sz w:val="24"/>
          <w:szCs w:val="24"/>
        </w:rPr>
        <w:t xml:space="preserve">Both PD-L1 and PD-L2, but </w:t>
      </w:r>
      <w:r w:rsidRPr="00800743">
        <w:rPr>
          <w:sz w:val="24"/>
          <w:szCs w:val="24"/>
        </w:rPr>
        <w:t>PD-L</w:t>
      </w:r>
      <w:r w:rsidR="00FA3959">
        <w:rPr>
          <w:sz w:val="24"/>
          <w:szCs w:val="24"/>
        </w:rPr>
        <w:t xml:space="preserve">1 </w:t>
      </w:r>
      <w:r w:rsidR="00A31A8E">
        <w:rPr>
          <w:sz w:val="24"/>
          <w:szCs w:val="24"/>
        </w:rPr>
        <w:t>especially</w:t>
      </w:r>
      <w:r w:rsidR="005F5C3C">
        <w:rPr>
          <w:sz w:val="24"/>
          <w:szCs w:val="24"/>
        </w:rPr>
        <w:t>,</w:t>
      </w:r>
      <w:r w:rsidR="00A31A8E">
        <w:rPr>
          <w:sz w:val="24"/>
          <w:szCs w:val="24"/>
        </w:rPr>
        <w:t xml:space="preserve"> </w:t>
      </w:r>
      <w:r w:rsidR="009F17E8">
        <w:rPr>
          <w:sz w:val="24"/>
          <w:szCs w:val="24"/>
        </w:rPr>
        <w:t>are</w:t>
      </w:r>
      <w:r w:rsidRPr="00800743">
        <w:rPr>
          <w:sz w:val="24"/>
          <w:szCs w:val="24"/>
        </w:rPr>
        <w:t xml:space="preserve"> </w:t>
      </w:r>
      <w:r w:rsidR="005F5C3C">
        <w:rPr>
          <w:sz w:val="24"/>
          <w:szCs w:val="24"/>
        </w:rPr>
        <w:t>often</w:t>
      </w:r>
      <w:r w:rsidR="005F5C3C" w:rsidRPr="00800743">
        <w:rPr>
          <w:sz w:val="24"/>
          <w:szCs w:val="24"/>
        </w:rPr>
        <w:t xml:space="preserve"> </w:t>
      </w:r>
      <w:r w:rsidRPr="00800743">
        <w:rPr>
          <w:sz w:val="24"/>
          <w:szCs w:val="24"/>
        </w:rPr>
        <w:t>over-expressed in tumour cells</w:t>
      </w:r>
      <w:r w:rsidR="00FA3959">
        <w:rPr>
          <w:sz w:val="24"/>
          <w:szCs w:val="24"/>
        </w:rPr>
        <w:t xml:space="preserve"> </w:t>
      </w:r>
      <w:r w:rsidRPr="00800743">
        <w:rPr>
          <w:sz w:val="24"/>
          <w:szCs w:val="24"/>
        </w:rPr>
        <w:t>whilst PD-1 is highly expressed on T cells in patient tumours.</w:t>
      </w:r>
      <w:r w:rsidR="00FF2B53" w:rsidRPr="00800743">
        <w:rPr>
          <w:sz w:val="24"/>
          <w:szCs w:val="24"/>
          <w:vertAlign w:val="superscript"/>
        </w:rPr>
        <w:fldChar w:fldCharType="begin" w:fldLock="1"/>
      </w:r>
      <w:r w:rsidR="00700962">
        <w:rPr>
          <w:sz w:val="24"/>
          <w:szCs w:val="24"/>
          <w:vertAlign w:val="superscript"/>
        </w:rPr>
        <w:instrText>ADDIN CSL_CITATION { "citationItems" : [ { "id" : "ITEM-1", "itemData" : { "author" : [ { "dropping-particle" : "", "family" : "Azuma", "given" : "Takeshi", "non-dropping-particle" : "", "parse-names" : false, "suffix" : "" }, { "dropping-particle" : "", "family" : "Yao", "given" : "Sheng", "non-dropping-particle" : "", "parse-names" : false, "suffix" : "" }, { "dropping-particle" : "", "family" : "Zhu", "given" : "Gefeng", "non-dropping-particle" : "", "parse-names" : false, "suffix" : "" }, { "dropping-particle" : "", "family" : "Flies", "given" : "Andrew S.", "non-dropping-particle" : "", "parse-names" : false, "suffix" : "" }, { "dropping-particle" : "", "family" : "Flies", "given" : "Sarah J.", "non-dropping-particle" : "", "parse-names" : false, "suffix" : "" }, { "dropping-particle" : "", "family" : "Chen", "given" : "Lieping", "non-dropping-particle" : "", "parse-names" : false, "suffix" : "" } ], "container-title" : "Blood", "id" : "ITEM-1", "issue" : "7", "issued" : { "date-parts" : [ [ "2008" ] ] }, "title" : "B7-H1 is a ubiquitous antiapoptotic receptor on cancer cells", "type" : "article-journal", "volume" : "111" }, "uris" : [ "http://www.mendeley.com/documents/?uuid=1f2fc496-85f6-4f69-8968-eb4e9a8c2f31" ] }, { "id" : "ITEM-2", "itemData" : { "author" : [ { "dropping-particle" : "", "family" : "Freeman", "given" : "Gordon J.", "non-dropping-particle" : "", "parse-names" : false, "suffix" : "" }, { "dropping-particle" : "", "family" : "Long", "given" : "Andrew J.", "non-dropping-particle" : "", "parse-names" : false, "suffix" : "" }, { "dropping-particle" : "", "family" : "Iwai", "given" : "Yoshiko", "non-dropping-particle" : "", "parse-names" : false, "suffix" : "" }, { "dropping-particle" : "", "family" : "Bourque", "given" : "Karen", "non-dropping-particle" : "", "parse-names" : false, "suffix" : "" }, { "dropping-particle" : "", "family" : "Chernova", "given" : "Tatyana", "non-dropping-particle" : "", "parse-names" : false, "suffix" : "" }, { "dropping-particle" : "", "family" : "Nishimura", "given" : "Hiroyuki", "non-dropping-particle" : "", "parse-names" : false, "suffix" : "" }, { "dropping-particle" : "", "family" : "Fitz", "given" : "Lori J.", "non-dropping-particle" : "", "parse-names" : false, "suffix" : "" }, { "dropping-particle" : "", "family" : "Malenkovich", "given" : "Nelly", "non-dropping-particle" : "", "parse-names" : false, "suffix" : "" }, { "dropping-particle" : "", "family" : "Okazaki", "given" : "Taku", "non-dropping-particle" : "", "parse-names" : false, "suffix" : "" }, { "dropping-particle" : "", "family" : "Byrne", "given" : "Michael C.", "non-dropping-particle" : "", "parse-names" : false, "suffix" : "" }, { "dropping-particle" : "", "family" : "Horton", "given" : "Heidi F.", "non-dropping-particle" : "", "parse-names" : false, "suffix" : "" }, { "dropping-particle" : "", "family" : "Fouser", "given" : "Lynette", "non-dropping-particle" : "", "parse-names" : false, "suffix" : "" }, { "dropping-particle" : "", "family" : "Carter", "given" : "Laura", "non-dropping-particle" : "", "parse-names" : false, "suffix" : "" }, { "dropping-particle" : "", "family" : "Ling", "given" : "Vincent", "non-dropping-particle" : "", "parse-names" : false, "suffix" : "" }, { "dropping-particle" : "", "family" : "Bowman", "given" : "Michael R.", "non-dropping-particle" : "", "parse-names" : false, "suffix" : "" }, { "dropping-particle" : "", "family" : "Carreno", "given" : "Beatriz M.", "non-dropping-particle" : "", "parse-names" : false, "suffix" : "" }, { "dropping-particle" : "", "family" : "Collins", "given" : "Mary", "non-dropping-particle" : "", "parse-names" : false, "suffix" : "" }, { "dropping-particle" : "", "family" : "Wood", "given" : "Clive R.", "non-dropping-particle" : "", "parse-names" : false, "suffix" : "" }, { "dropping-particle" : "", "family" : "Honjo", "given" : "Tasuku", "non-dropping-particle" : "", "parse-names" : false, "suffix" : "" } ], "container-title" : "Journal of Experimental Medicine", "id" : "ITEM-2", "issue" : "7", "issued" : { "date-parts" : [ [ "2000" ] ] }, "title" : "Engagement of the Pd-1 Immunoinhibitory Receptor by a Novel B7 Family Member Leads to Negative Regulation of Lymphocyte Activation", "type" : "article-journal", "volume" : "192" }, "uris" : [ "http://www.mendeley.com/documents/?uuid=986a722b-5453-4236-a4f9-176b6e69d744" ] } ], "mendeley" : { "formattedCitation" : "(2,3)", "manualFormatting" : "[2,3", "plainTextFormattedCitation" : "(2,3)", "previouslyFormattedCitation" : "(2,3)" }, "properties" : { "noteIndex" : 0 }, "schema" : "https://github.com/citation-style-language/schema/raw/master/csl-citation.json" }</w:instrText>
      </w:r>
      <w:r w:rsidR="00FF2B53" w:rsidRPr="00800743">
        <w:rPr>
          <w:sz w:val="24"/>
          <w:szCs w:val="24"/>
          <w:vertAlign w:val="superscript"/>
        </w:rPr>
        <w:fldChar w:fldCharType="separate"/>
      </w:r>
      <w:r w:rsidR="00700962">
        <w:rPr>
          <w:noProof/>
          <w:sz w:val="24"/>
          <w:szCs w:val="24"/>
        </w:rPr>
        <w:t>[</w:t>
      </w:r>
      <w:r w:rsidR="000B124D" w:rsidRPr="000B124D">
        <w:rPr>
          <w:noProof/>
          <w:sz w:val="24"/>
          <w:szCs w:val="24"/>
        </w:rPr>
        <w:t>2,3</w:t>
      </w:r>
      <w:r w:rsidR="00FF2B53" w:rsidRPr="00800743">
        <w:rPr>
          <w:sz w:val="24"/>
          <w:szCs w:val="24"/>
          <w:vertAlign w:val="superscript"/>
        </w:rPr>
        <w:fldChar w:fldCharType="end"/>
      </w:r>
      <w:r w:rsidR="00700962">
        <w:rPr>
          <w:sz w:val="24"/>
          <w:szCs w:val="24"/>
        </w:rPr>
        <w:t>]</w:t>
      </w:r>
      <w:r w:rsidRPr="00800743">
        <w:rPr>
          <w:sz w:val="24"/>
          <w:szCs w:val="24"/>
          <w:vertAlign w:val="superscript"/>
        </w:rPr>
        <w:t xml:space="preserve"> </w:t>
      </w:r>
      <w:r w:rsidRPr="00800743">
        <w:rPr>
          <w:sz w:val="24"/>
          <w:szCs w:val="24"/>
        </w:rPr>
        <w:t>In addit</w:t>
      </w:r>
      <w:r w:rsidR="008A468B">
        <w:rPr>
          <w:sz w:val="24"/>
          <w:szCs w:val="24"/>
        </w:rPr>
        <w:t xml:space="preserve">ion, tumour expression of PD-L1 and T cell expression of PD-1 </w:t>
      </w:r>
      <w:r w:rsidRPr="00800743">
        <w:rPr>
          <w:sz w:val="24"/>
          <w:szCs w:val="24"/>
        </w:rPr>
        <w:t>correlates with tumour aggressiveness and poor clinical outcome.</w:t>
      </w:r>
      <w:r w:rsidR="00FF2B53" w:rsidRPr="00800743">
        <w:rPr>
          <w:sz w:val="24"/>
          <w:szCs w:val="24"/>
          <w:vertAlign w:val="superscript"/>
        </w:rPr>
        <w:fldChar w:fldCharType="begin" w:fldLock="1"/>
      </w:r>
      <w:r w:rsidR="00700962">
        <w:rPr>
          <w:sz w:val="24"/>
          <w:szCs w:val="24"/>
          <w:vertAlign w:val="superscript"/>
        </w:rPr>
        <w:instrText>ADDIN CSL_CITATION { "citationItems" : [ { "id" : "ITEM-1", "itemData" : { "PMID" : "19958630", "abstract" : "BACKGROUND AND OBJECTIVE B7-H1, a member of B7 family, is expressed in tumor cells and has emerged as an important immune modulator capable of suppressing host immunity by inhibiting T cells function. This study was to probe into the correlation between the expression level of B7-H1 protein in pancreatic carcinoma tissues and clinicopathological characteristics and prognosis. METHODS The expression of B7-H1 was measured in 40 cases of pancreatic carcinoma tissues and 10 cases of normal corresponding paracarcinoma tissues by immunohistochemistry. The relationship between the expression level of B7-H1 and clinicopathological characteristics and survival was analyzed. RESULTS The positive rate of B7-H1 was significantly higher in the tumor tissues [45.00% (18/40)] than in the normal corresponding paracarcinoma tissues [0(0/10)] (P&lt;0.05); moreover, B7-H1 expression was significantly associated with the staging of tumor and preoperative serum CA19-9 level (P&lt;0.05). The multivariate cox proportional hazards regression analysis of prognostic factors for overall survival and relapse-free survival showed that the expression of B7-H1 was an independent factor for poor prognosis. CONCLUSION B7-H1 protein was expressed in human pancreatic carcinoma tissues, and was associated with the prognosis.", "author" : [ { "dropping-particle" : "", "family" : "Chen", "given" : "Xiao-Ling", "non-dropping-particle" : "", "parse-names" : false, "suffix" : "" }, { "dropping-particle" : "", "family" : "Yuan", "given" : "Su-Xu", "non-dropping-particle" : "", "parse-names" : false, "suffix" : "" }, { "dropping-particle" : "", "family" : "Chen", "given" : "Chen", "non-dropping-particle" : "", "parse-names" : false, "suffix" : "" }, { "dropping-particle" : "", "family" : "Mao", "given" : "Yi-Xiang", "non-dropping-particle" : "", "parse-names" : false, "suffix" : "" }, { "dropping-particle" : "", "family" : "Xu", "given" : "Gang", "non-dropping-particle" : "", "parse-names" : false, "suffix" : "" }, { "dropping-particle" : "", "family" : "Wang", "given" : "Xian-Yuan", "non-dropping-particle" : "", "parse-names" : false, "suffix" : "" } ], "container-title" : "Ai zheng = Aizheng = Chinese journal of cancer", "id" : "ITEM-1", "issue" : "12", "issued" : { "date-parts" : [ [ "2009", "12" ] ] }, "page" : "1328-32", "title" : "[Expression of B7-H1 protein in human pancreatic carcinoma tissues and its clinical significance].", "type" : "article-journal", "volume" : "28" }, "uris" : [ "http://www.mendeley.com/documents/?uuid=c7db6cde-35e5-3c0f-abc0-e893bf69a4e5", "http://www.mendeley.com/documents/?uuid=b306bd0f-4eb3-4658-aae2-280b26d88bc7" ] }, { "id" : "ITEM-2", "itemData" : { "ISSN" : "1936-2625", "PMID" : "25337246", "abstract" : "B7-H1, an important member of the B7-CD28 super family, has been reported to play an important role in regulation of T-cell mediated anti-tumor response, and also has effect in the biological characteristics of the tumor cells themselves. The bulk of data indicate that cancer immunotherapy targeting the molecule B7-H1 recently has sparked growing interest. We have previously reported that higher expression of B7-H1 in human gastric cancer significantly associated with tumor size, invasion, nodal metastasis, survival and the density of infiltrating Foxp3(+) Tregs. In the present study, we used tissue microarray to further study B7-H1 expression in human esophageal cancer tissues and its clinical significance. We found that positive membranous B7-H1 expression could be found in some human esophageal cancer cell lines, and both membranous/cytoplasm and nuclear staining of B7-H1 could be found in esophageal cancer tissues. We demonstrated that the membranous/cytoplasm B7-H1 expression in human esophageal cancer tissues was significantly correlated with tumor invasion depth (P = 0.0261), whereas it was not correlated with patient's gender, age, tumor size, nodal metastasis, distant metastasis and TNM stage. The survival analysis showed that the overall survival of the patients with positive B7-H1 membrane/cytoplasm expression was significantly poorer than that of the patients with negative B7-H1 membrane/cytoplasm expression (Hazard ratio = 2.157, 95% CI: 1.017-4.577, P = 0.0452). Moreover, we also found that the nuclear B7-H1 expression in human esophageal cancer tissues was significantly correlated with tumor invasion depth (P = 0.0331), whereas it was not correlated with other parameters. The log-rank survival analysis showed that there was no statistically significant difference in prognosis between the patients with positive nuclear B7-H1 staining and the patients with negative nuclear B7-H1 staining (P = 0.6755). Thus, our data showed that B7-H1 can serve as a prognostic predictor for human esophageal cancer, and also could be an important therapeutic target for the immune therapy against this malignancy.", "author" : [ { "dropping-particle" : "", "family" : "Chen", "given" : "Lujun", "non-dropping-particle" : "", "parse-names" : false, "suffix" : "" }, { "dropping-particle" : "", "family" : "Deng", "given" : "Haifeng", "non-dropping-particle" : "", "parse-names" : false, "suffix" : "" }, { "dropping-particle" : "", "family" : "Lu", "given" : "Mingyang", "non-dropping-particle" : "", "parse-names" : false, "suffix" : "" }, { "dropping-particle" : "", "family" : "Xu", "given" : "Bin", "non-dropping-particle" : "", "parse-names" : false, "suffix" : "" }, { "dropping-particle" : "", "family" : "Wang", "given" : "Qi", "non-dropping-particle" : "", "parse-names" : false, "suffix" : "" }, { "dropping-particle" : "", "family" : "Jiang", "given" : "Jingting", "non-dropping-particle" : "", "parse-names" : false, "suffix" : "" }, { "dropping-particle" : "", "family" : "Wu", "given" : "Changping", "non-dropping-particle" : "", "parse-names" : false, "suffix" : "" } ], "container-title" : "International journal of clinical and experimental pathology", "id" : "ITEM-2", "issue" : "9", "issued" : { "date-parts" : [ [ "2014" ] ] }, "page" : "6015-23", "publisher" : "e-Century Publishing Corporation", "title" : "B7-H1 expression associates with tumor invasion and predicts patient's survival in human esophageal cancer.", "type" : "article-journal", "volume" : "7" }, "uris" : [ "http://www.mendeley.com/documents/?uuid=69f8cec5-9115-3c10-9ba9-cc270a825928", "http://www.mendeley.com/documents/?uuid=aaa147eb-e4ea-4c86-b0c9-4dce67c0f9c8" ] }, { "id" : "ITEM-3", "itemData" : { "DOI" : "10.18632/oncotarget.9316", "ISSN" : "1949-2553", "abstract" : "//      Hong Zheng 1,  * , Xin Liu 1,  * , Jianhong Zhang 1 , Shawn J. Rice 1 , Matthias Wagman 1 , Yaxian Kong 2 , Liuluan Zhu 2 , Junjia Zhu 1 , Monika Joshi 1 , Chandra P. Belani 1     1 Penn State Hershey Cancer Institute, Penn State College of Medicine, Hershey, PA, USA    2 Institute of Infectious Diseases, Beijing Ditan Hospital, Capital Medical University, Beijing Key Laboratory of Emerging Infectious Diseases, Beijing, China    * These authors have contributed equally to this work   Correspondence to:   Chandra Belani, e-mail:  cbelani@psu.edu     Keywords:  PD-1, peripheral blood, T cells, prognosis, NSCLC    Received:  February 12, 2016&amp;nbsp;&amp;nbsp;&amp;nbsp;&amp;nbsp;&amp;nbsp; Accepted:  April 13, 2016&amp;nbsp;&amp;nbsp;&amp;nbsp;&amp;nbsp;&amp;nbsp; Published:  May 12, 2016     ABSTRACT   Recent success of using agents inhibiting the major immune check point, programmed cell death-1 (PD-1) pathway, offers a great promise for effective cancer therapy. Two blocking antibodies for PD-1, nivolumab and pembrolizumab have recently been approved for treating advanced recurrent non-small cell lung cancer (NSCLC). Activation of PD-1 on T cells and PD-L1 on tumor cells or antigen presenting cells leads to T cell exhaustion and ultimately tumor growth. In this study, we performed flow cytometry analysis of peripheral blood samples collected from patients with advanced NSCLC at initial diagnosis. We report that surface expression of PD-1 on CD4 +  T cells has a prognostic value in NSCLC patients, as high expression of PD-1 is associated with a shorter progression-free survival and overall survival. Importantly, we also found that high PD-1 expression on peripheral CD4 +  T cells is associated with inferior clinical response in a subset of patients who received anti-PD-L1 treatment, indicating a potential predictive value of this marker. This work highlights the potential of a non-invasive and effective method to determine prognostic and predictive biomarkers for inhibiting the PD-1 pathway in NSCLC patients.", "author" : [ { "dropping-particle" : "", "family" : "Zheng", "given" : "Hong", "non-dropping-particle" : "", "parse-names" : false, "suffix" : "" }, { "dropping-particle" : "", "family" : "Liu", "given" : "Xin", "non-dropping-particle" : "", "parse-names" : false, "suffix" : "" }, { "dropping-particle" : "", "family" : "Zhang", "given" : "Jianhong", "non-dropping-particle" : "", "parse-names" : false, "suffix" : "" }, { "dropping-particle" : "", "family" : "Rice", "given" : "Shawn J.", "non-dropping-particle" : "", "parse-names" : false, "suffix" : "" }, { "dropping-particle" : "", "family" : "Wagman", "given" : "Matthias", "non-dropping-particle" : "", "parse-names" : false, "suffix" : "" }, { "dropping-particle" : "", "family" : "Kong", "given" : "Yaxian", "non-dropping-particle" : "", "parse-names" : false, "suffix" : "" }, { "dropping-particle" : "", "family" : "Zhu", "given" : "Liuluan", "non-dropping-particle" : "", "parse-names" : false, "suffix" : "" }, { "dropping-particle" : "", "family" : "Zhu", "given" : "Junjia", "non-dropping-particle" : "", "parse-names" : false, "suffix" : "" }, { "dropping-particle" : "", "family" : "Joshi", "given" : "Monika", "non-dropping-particle" : "", "parse-names" : false, "suffix" : "" }, { "dropping-particle" : "", "family" : "Belani", "given" : "Chandra P.", "non-dropping-particle" : "", "parse-names" : false, "suffix" : "" }, { "dropping-particle" : "", "family" : "Zheng", "given" : "Hong", "non-dropping-particle" : "", "parse-names" : false, "suffix" : "" }, { "dropping-particle" : "", "family" : "Liu", "given" : "Xin", "non-dropping-particle" : "", "parse-names" : false, "suffix" : "" }, { "dropping-particle" : "", "family" : "Zhang", "given" : "Jianhong", "non-dropping-particle" : "", "parse-names" : false, "suffix" : "" }, { "dropping-particle" : "", "family" : "Rice", "given" : "Shawn J.", "non-dropping-particle" : "", "parse-names" : false, "suffix" : "" }, { "dropping-particle" : "", "family" : "Wagman", "given" : "Matthias", "non-dropping-particle" : "", "parse-names" : false, "suffix" : "" }, { "dropping-particle" : "", "family" : "Kong", "given" : "Yaxian", "non-dropping-particle" : "", "parse-names" : false, "suffix" : "" }, { "dropping-particle" : "", "family" : "Zhu", "given" : "Liuluan", "non-dropping-particle" : "", "parse-names" : false, "suffix" : "" }, { "dropping-particle" : "", "family" : "Zhu", "given" : "Junjia", "non-dropping-particle" : "", "parse-names" : false, "suffix" : "" }, { "dropping-particle" : "", "family" : "Joshi", "given" : "Monika", "non-dropping-particle" : "", "parse-names" : false, "suffix" : "" }, { "dropping-particle" : "", "family" : "Belani", "given" : "Chandra P.", "non-dropping-particle" : "", "parse-names" : false, "suffix" : "" } ], "container-title" : "Oncotarget", "id" : "ITEM-3", "issue" : "35", "issued" : { "date-parts" : [ [ "2016", "8", "29" ] ] }, "page" : "56233-56240", "publisher" : "Impact Journals", "title" : "Expression of PD-1 on CD4&amp;lt;sup&amp;gt;+&amp;lt;/sup&amp;gt; T cells in peripheral blood associates with poor clinical outcome in non-small cell lung cancer", "type" : "article-journal", "volume" : "7" }, "uris" : [ "http://www.mendeley.com/documents/?uuid=dde0f328-9432-4564-8665-4e745296acd4" ] } ], "mendeley" : { "formattedCitation" : "(4\u20136)", "manualFormatting" : "[4\u20136", "plainTextFormattedCitation" : "(4\u20136)", "previouslyFormattedCitation" : "(4\u20136)" }, "properties" : { "noteIndex" : 0 }, "schema" : "https://github.com/citation-style-language/schema/raw/master/csl-citation.json" }</w:instrText>
      </w:r>
      <w:r w:rsidR="00FF2B53" w:rsidRPr="00800743">
        <w:rPr>
          <w:sz w:val="24"/>
          <w:szCs w:val="24"/>
          <w:vertAlign w:val="superscript"/>
        </w:rPr>
        <w:fldChar w:fldCharType="separate"/>
      </w:r>
      <w:r w:rsidR="00700962">
        <w:rPr>
          <w:noProof/>
          <w:sz w:val="24"/>
          <w:szCs w:val="24"/>
        </w:rPr>
        <w:t>[</w:t>
      </w:r>
      <w:r w:rsidR="008A468B" w:rsidRPr="008A468B">
        <w:rPr>
          <w:noProof/>
          <w:sz w:val="24"/>
          <w:szCs w:val="24"/>
        </w:rPr>
        <w:t>4–6</w:t>
      </w:r>
      <w:r w:rsidR="00FF2B53" w:rsidRPr="00800743">
        <w:rPr>
          <w:sz w:val="24"/>
          <w:szCs w:val="24"/>
          <w:vertAlign w:val="superscript"/>
        </w:rPr>
        <w:fldChar w:fldCharType="end"/>
      </w:r>
      <w:r w:rsidR="00700962">
        <w:rPr>
          <w:sz w:val="24"/>
          <w:szCs w:val="24"/>
        </w:rPr>
        <w:t>]</w:t>
      </w:r>
      <w:r w:rsidRPr="00800743">
        <w:rPr>
          <w:sz w:val="24"/>
          <w:szCs w:val="24"/>
          <w:vertAlign w:val="superscript"/>
        </w:rPr>
        <w:t xml:space="preserve"> </w:t>
      </w:r>
      <w:r w:rsidRPr="00800743">
        <w:rPr>
          <w:sz w:val="24"/>
          <w:szCs w:val="24"/>
        </w:rPr>
        <w:t xml:space="preserve">The high frequency of PD-1/PD-L1 axis over-activation in tumours and its correlation with poor patient prognosis </w:t>
      </w:r>
      <w:r w:rsidR="00472DA2" w:rsidRPr="00800743">
        <w:rPr>
          <w:sz w:val="24"/>
          <w:szCs w:val="24"/>
        </w:rPr>
        <w:t>identify this axis as a candidate</w:t>
      </w:r>
      <w:r w:rsidRPr="00800743">
        <w:rPr>
          <w:sz w:val="24"/>
          <w:szCs w:val="24"/>
        </w:rPr>
        <w:t xml:space="preserve"> target for monoclonal antibody therapy. </w:t>
      </w:r>
    </w:p>
    <w:p w14:paraId="2C973FB0" w14:textId="7F897402" w:rsidR="00FF2B53" w:rsidRDefault="00392C96" w:rsidP="00C20157">
      <w:pPr>
        <w:spacing w:line="480" w:lineRule="auto"/>
        <w:jc w:val="both"/>
        <w:rPr>
          <w:sz w:val="24"/>
          <w:szCs w:val="24"/>
          <w:highlight w:val="white"/>
        </w:rPr>
      </w:pPr>
      <w:r>
        <w:rPr>
          <w:sz w:val="24"/>
          <w:szCs w:val="24"/>
        </w:rPr>
        <w:lastRenderedPageBreak/>
        <w:t>Nivolumab</w:t>
      </w:r>
      <w:r w:rsidRPr="00800743">
        <w:rPr>
          <w:sz w:val="24"/>
          <w:szCs w:val="24"/>
        </w:rPr>
        <w:t xml:space="preserve"> </w:t>
      </w:r>
      <w:r w:rsidR="007E4E3C" w:rsidRPr="00800743">
        <w:rPr>
          <w:sz w:val="24"/>
          <w:szCs w:val="24"/>
        </w:rPr>
        <w:t xml:space="preserve">and </w:t>
      </w:r>
      <w:r>
        <w:rPr>
          <w:sz w:val="24"/>
          <w:szCs w:val="24"/>
        </w:rPr>
        <w:t>pembrolizumab</w:t>
      </w:r>
      <w:r w:rsidR="007E4E3C" w:rsidRPr="00800743">
        <w:rPr>
          <w:sz w:val="24"/>
          <w:szCs w:val="24"/>
        </w:rPr>
        <w:t xml:space="preserve"> are the first two anti-PD-1 monoclonal antibodies that </w:t>
      </w:r>
      <w:r w:rsidR="00CC4DBB" w:rsidRPr="00800743">
        <w:rPr>
          <w:sz w:val="24"/>
          <w:szCs w:val="24"/>
        </w:rPr>
        <w:t>hav</w:t>
      </w:r>
      <w:r w:rsidR="00CC4DBB">
        <w:rPr>
          <w:sz w:val="24"/>
          <w:szCs w:val="24"/>
        </w:rPr>
        <w:t xml:space="preserve">e </w:t>
      </w:r>
      <w:r w:rsidR="009F17E8">
        <w:rPr>
          <w:sz w:val="24"/>
          <w:szCs w:val="24"/>
        </w:rPr>
        <w:t>received</w:t>
      </w:r>
      <w:r w:rsidR="000C6069">
        <w:rPr>
          <w:sz w:val="24"/>
          <w:szCs w:val="24"/>
        </w:rPr>
        <w:t xml:space="preserve"> FDA approval. Each have eight total approved indications, </w:t>
      </w:r>
      <w:r w:rsidR="00FA3959">
        <w:rPr>
          <w:sz w:val="24"/>
          <w:szCs w:val="24"/>
          <w:highlight w:val="white"/>
        </w:rPr>
        <w:t xml:space="preserve">four </w:t>
      </w:r>
      <w:r w:rsidR="00DC6D52">
        <w:rPr>
          <w:sz w:val="24"/>
          <w:szCs w:val="24"/>
          <w:highlight w:val="white"/>
        </w:rPr>
        <w:t xml:space="preserve">of </w:t>
      </w:r>
      <w:r w:rsidR="00FA3959">
        <w:rPr>
          <w:sz w:val="24"/>
          <w:szCs w:val="24"/>
          <w:highlight w:val="white"/>
        </w:rPr>
        <w:t xml:space="preserve">which </w:t>
      </w:r>
      <w:r w:rsidR="000C6069">
        <w:rPr>
          <w:sz w:val="24"/>
          <w:szCs w:val="24"/>
          <w:highlight w:val="white"/>
        </w:rPr>
        <w:t>overlap</w:t>
      </w:r>
      <w:r w:rsidR="00DC6D52">
        <w:rPr>
          <w:sz w:val="24"/>
          <w:szCs w:val="24"/>
          <w:highlight w:val="white"/>
        </w:rPr>
        <w:t xml:space="preserve"> </w:t>
      </w:r>
      <w:r w:rsidR="00502361">
        <w:rPr>
          <w:sz w:val="24"/>
          <w:szCs w:val="24"/>
          <w:highlight w:val="white"/>
        </w:rPr>
        <w:t>and four of which are discordant</w:t>
      </w:r>
      <w:r>
        <w:rPr>
          <w:sz w:val="24"/>
          <w:szCs w:val="24"/>
          <w:highlight w:val="white"/>
        </w:rPr>
        <w:t>. Nivolumab</w:t>
      </w:r>
      <w:r w:rsidR="00DC6D52">
        <w:rPr>
          <w:sz w:val="24"/>
          <w:szCs w:val="24"/>
          <w:highlight w:val="white"/>
        </w:rPr>
        <w:t xml:space="preserve"> is uniquely approved for initial therapy with ipilimumab for melanoma</w:t>
      </w:r>
      <w:r w:rsidR="00700962">
        <w:rPr>
          <w:sz w:val="24"/>
          <w:szCs w:val="24"/>
          <w:highlight w:val="white"/>
        </w:rPr>
        <w:t>[</w:t>
      </w:r>
      <w:r w:rsidR="00E87776">
        <w:rPr>
          <w:sz w:val="24"/>
          <w:szCs w:val="24"/>
          <w:highlight w:val="white"/>
        </w:rPr>
        <w:fldChar w:fldCharType="begin" w:fldLock="1"/>
      </w:r>
      <w:r w:rsidR="00700962">
        <w:rPr>
          <w:sz w:val="24"/>
          <w:szCs w:val="24"/>
          <w:highlight w:val="white"/>
        </w:rPr>
        <w:instrText>ADDIN CSL_CITATION { "citationItems" : [ { "id" : "ITEM-1", "itemData" : { "DOI" : "10.1056/NEJMoa1504030", "ISSN" : "0028-4793", "abstract" : "BackgroundNivolumab (a programmed death 1 [PD-1] checkpoint inhibitor) and ipilimumab (a cytotoxic T-lymphocyte\u2013associated antigen 4 [CTLA-4] checkpoint inhibitor) have been shown to have complementary activity in metastatic melanoma. In this randomized, double-blind, phase 3 study, nivolumab alone or nivolumab plus ipilimumab was compared with ipilimumab alone in patients with metastatic melanoma. MethodsWe assigned, in a 1:1:1 ratio, 945 previously untreated patients with unresectable stage III or IV melanoma to nivolumab alone, nivolumab plus ipilimumab, or ipilimumab alone. Progression-free survival and overall survival were coprimary end points. Results regarding progression-free survival are presented here. ResultsThe median progression-free survival was 11.5 months (95% confidence interval [CI], 8.9 to 16.7) with nivolumab plus ipilimumab, as compared with 2.9 months (95% CI, 2.8 to 3.4) with ipilimumab (hazard ratio for death or disease progression, 0.42; 99.5% CI, 0.31 to 0.57; P&lt;0.001), and 6.9 ...", "author" : [ { "dropping-particle" : "", "family" : "Larkin", "given" : "James", "non-dropping-particle" : "", "parse-names" : false, "suffix" : "" }, { "dropping-particle" : "", "family" : "Chiarion-Sileni", "given" : "Vanna", "non-dropping-particle" : "", "parse-names" : false, "suffix" : "" }, { "dropping-particle" : "", "family" : "Gonzalez", "given" : "Rene", "non-dropping-particle" : "", "parse-names" : false, "suffix" : "" }, { "dropping-particle" : "", "family" : "Grob", "given" : "Jean Jacques", "non-dropping-particle" : "", "parse-names" : false, "suffix" : "" }, { "dropping-particle" : "", "family" : "Cowey", "given" : "C. Lance", "non-dropping-particle" : "", "parse-names" : false, "suffix" : "" }, { "dropping-particle" : "", "family" : "Lao", "given" : "Christopher D.", "non-dropping-particle" : "", "parse-names" : false, "suffix" : "" }, { "dropping-particle" : "", "family" : "Schadendorf", "given" : "Dirk", "non-dropping-particle" : "", "parse-names" : false, "suffix" : "" }, { "dropping-particle" : "", "family" : "Dummer", "given" : "Reinhard", "non-dropping-particle" : "", "parse-names" : false, "suffix" : "" }, { "dropping-particle" : "", "family" : "Smylie", "given" : "Michael", "non-dropping-particle" : "", "parse-names" : false, "suffix" : "" }, { "dropping-particle" : "", "family" : "Rutkowski", "given" : "Piotr", "non-dropping-particle" : "", "parse-names" : false, "suffix" : "" }, { "dropping-particle" : "", "family" : "Ferrucci", "given" : "Pier F.", "non-dropping-particle" : "", "parse-names" : false, "suffix" : "" }, { "dropping-particle" : "", "family" : "Hill", "given" : "Andrew", "non-dropping-particle" : "", "parse-names" : false, "suffix" : "" }, { "dropping-particle" : "", "family" : "Wagstaff", "given" : "John", "non-dropping-particle" : "", "parse-names" : false, "suffix" : "" }, { "dropping-particle" : "", "family" : "Carlino", "given" : "Matteo S.", "non-dropping-particle" : "", "parse-names" : false, "suffix" : "" }, { "dropping-particle" : "", "family" : "Haanen", "given" : "John B.", "non-dropping-particle" : "", "parse-names" : false, "suffix" : "" }, { "dropping-particle" : "", "family" : "Maio", "given" : "Michele", "non-dropping-particle" : "", "parse-names" : false, "suffix" : "" }, { "dropping-particle" : "", "family" : "Marquez-Rodas", "given" : "Ivan", "non-dropping-particle" : "", "parse-names" : false, "suffix" : "" }, { "dropping-particle" : "", "family" : "McArthur", "given" : "Grant A.", "non-dropping-particle" : "", "parse-names" : false, "suffix" : "" }, { "dropping-particle" : "", "family" : "Ascierto", "given" : "Paolo A.", "non-dropping-particle" : "", "parse-names" : false, "suffix" : "" }, { "dropping-particle" : "V.", "family" : "Long", "given" : "Georgina", "non-dropping-particle" : "", "parse-names" : false, "suffix" : "" }, { "dropping-particle" : "", "family" : "Callahan", "given" : "Margaret K.", "non-dropping-particle" : "", "parse-names" : false, "suffix" : "" }, { "dropping-particle" : "", "family" : "Postow", "given" : "Michael A.", "non-dropping-particle" : "", "parse-names" : false, "suffix" : "" }, { "dropping-particle" : "", "family" : "Grossmann", "given" : "Kenneth", "non-dropping-particle" : "", "parse-names" : false, "suffix" : "" }, { "dropping-particle" : "", "family" : "Sznol", "given" : "Mario", "non-dropping-particle" : "", "parse-names" : false, "suffix" : "" }, { "dropping-particle" : "", "family" : "Dreno", "given" : "Brigitte", "non-dropping-particle" : "", "parse-names" : false, "suffix" : "" }, { "dropping-particle" : "", "family" : "Bastholt", "given" : "Lars", "non-dropping-particle" : "", "parse-names" : false, "suffix" : "" }, { "dropping-particle" : "", "family" : "Yang", "given" : "Arvin", "non-dropping-particle" : "", "parse-names" : false, "suffix" : "" }, { "dropping-particle" : "", "family" : "Rollin", "given" : "Linda M.", "non-dropping-particle" : "", "parse-names" : false, "suffix" : "" }, { "dropping-particle" : "", "family" : "Horak", "given" : "Christine", "non-dropping-particle" : "", "parse-names" : false, "suffix" : "" }, { "dropping-particle" : "", "family" : "Hodi", "given" : "F. Stephen", "non-dropping-particle" : "", "parse-names" : false, "suffix" : "" }, { "dropping-particle" : "", "family" : "Wolchok", "given" : "Jedd D.", "non-dropping-particle" : "", "parse-names" : false, "suffix" : "" } ], "container-title" : "New England Journal of Medicine", "id" : "ITEM-1", "issue" : "1", "issued" : { "date-parts" : [ [ "2015", "7", "2" ] ] }, "page" : "23-34", "publisher" : "Massachusetts Medical Society", "title" : "Combined Nivolumab and Ipilimumab or Monotherapy in Untreated Melanoma", "type" : "article-journal", "volume" : "373" }, "uris" : [ "http://www.mendeley.com/documents/?uuid=4b570bff-0afc-48d1-88ff-e1916b30887c" ] } ], "mendeley" : { "formattedCitation" : "(7)", "manualFormatting" : "7", "plainTextFormattedCitation" : "(7)", "previouslyFormattedCitation" : "(7)" }, "properties" : { "noteIndex" : 0 }, "schema" : "https://github.com/citation-style-language/schema/raw/master/csl-citation.json" }</w:instrText>
      </w:r>
      <w:r w:rsidR="00E87776">
        <w:rPr>
          <w:sz w:val="24"/>
          <w:szCs w:val="24"/>
          <w:highlight w:val="white"/>
        </w:rPr>
        <w:fldChar w:fldCharType="separate"/>
      </w:r>
      <w:r w:rsidR="008A468B" w:rsidRPr="008A468B">
        <w:rPr>
          <w:noProof/>
          <w:sz w:val="24"/>
          <w:szCs w:val="24"/>
          <w:highlight w:val="white"/>
        </w:rPr>
        <w:t>7</w:t>
      </w:r>
      <w:r w:rsidR="00E87776">
        <w:rPr>
          <w:sz w:val="24"/>
          <w:szCs w:val="24"/>
          <w:highlight w:val="white"/>
        </w:rPr>
        <w:fldChar w:fldCharType="end"/>
      </w:r>
      <w:r w:rsidR="00700962">
        <w:rPr>
          <w:sz w:val="24"/>
          <w:szCs w:val="24"/>
          <w:highlight w:val="white"/>
        </w:rPr>
        <w:t>]</w:t>
      </w:r>
      <w:r w:rsidR="00E87776">
        <w:rPr>
          <w:sz w:val="24"/>
          <w:szCs w:val="24"/>
          <w:highlight w:val="white"/>
        </w:rPr>
        <w:t>:</w:t>
      </w:r>
      <w:r w:rsidR="00DC6D52">
        <w:rPr>
          <w:sz w:val="24"/>
          <w:szCs w:val="24"/>
          <w:highlight w:val="white"/>
        </w:rPr>
        <w:t xml:space="preserve"> although not yet </w:t>
      </w:r>
      <w:r w:rsidR="00E87776">
        <w:rPr>
          <w:sz w:val="24"/>
          <w:szCs w:val="24"/>
          <w:highlight w:val="white"/>
        </w:rPr>
        <w:t>published</w:t>
      </w:r>
      <w:r w:rsidR="00DC6D52">
        <w:rPr>
          <w:sz w:val="24"/>
          <w:szCs w:val="24"/>
          <w:highlight w:val="white"/>
        </w:rPr>
        <w:t>, comparable response rates have been shown with pembrolizumab.</w:t>
      </w:r>
      <w:r w:rsidR="00E87776">
        <w:rPr>
          <w:sz w:val="24"/>
          <w:szCs w:val="24"/>
          <w:highlight w:val="white"/>
        </w:rPr>
        <w:fldChar w:fldCharType="begin" w:fldLock="1"/>
      </w:r>
      <w:r w:rsidR="00700962">
        <w:rPr>
          <w:sz w:val="24"/>
          <w:szCs w:val="24"/>
          <w:highlight w:val="white"/>
        </w:rPr>
        <w:instrText>ADDIN CSL_CITATION { "citationItems" : [ { "id" : "ITEM-1", "itemData" : { "URL" : "http://www.healio.com/hematology-oncology/melanoma-skin-cancer/news/online/%7Bcdd6fd97-0007-4195-aac2-127abb0729d6%7D/pembrolizumab-plus-ipilimumab-safe-effective-for-advanced-melanoma", "accessed" : { "date-parts" : [ [ "2017", "5", "3" ] ] }, "id" : "ITEM-1", "issued" : { "date-parts" : [ [ "0" ] ] }, "title" : "Pembrolizumab plus ipilimumab safe, effective for advanced melanoma", "type" : "webpage" }, "uris" : [ "http://www.mendeley.com/documents/?uuid=f0929eba-d8ce-4f10-bf9d-1dea9abe89d2" ] } ], "mendeley" : { "formattedCitation" : "(8)", "manualFormatting" : "[8]", "plainTextFormattedCitation" : "(8)", "previouslyFormattedCitation" : "(8)" }, "properties" : { "noteIndex" : 0 }, "schema" : "https://github.com/citation-style-language/schema/raw/master/csl-citation.json" }</w:instrText>
      </w:r>
      <w:r w:rsidR="00E87776">
        <w:rPr>
          <w:sz w:val="24"/>
          <w:szCs w:val="24"/>
          <w:highlight w:val="white"/>
        </w:rPr>
        <w:fldChar w:fldCharType="separate"/>
      </w:r>
      <w:r w:rsidR="00700962">
        <w:rPr>
          <w:noProof/>
          <w:sz w:val="24"/>
          <w:szCs w:val="24"/>
          <w:highlight w:val="white"/>
        </w:rPr>
        <w:t>[</w:t>
      </w:r>
      <w:r w:rsidR="008A468B" w:rsidRPr="008A468B">
        <w:rPr>
          <w:noProof/>
          <w:sz w:val="24"/>
          <w:szCs w:val="24"/>
          <w:highlight w:val="white"/>
        </w:rPr>
        <w:t>8</w:t>
      </w:r>
      <w:r w:rsidR="00700962">
        <w:rPr>
          <w:noProof/>
          <w:sz w:val="24"/>
          <w:szCs w:val="24"/>
          <w:highlight w:val="white"/>
        </w:rPr>
        <w:t>]</w:t>
      </w:r>
      <w:r w:rsidR="00E87776">
        <w:rPr>
          <w:sz w:val="24"/>
          <w:szCs w:val="24"/>
          <w:highlight w:val="white"/>
        </w:rPr>
        <w:fldChar w:fldCharType="end"/>
      </w:r>
      <w:r w:rsidR="00E87776">
        <w:rPr>
          <w:sz w:val="24"/>
          <w:szCs w:val="24"/>
          <w:highlight w:val="white"/>
        </w:rPr>
        <w:t xml:space="preserve"> Similarly, the approved response rate in urothelial cancer for </w:t>
      </w:r>
      <w:r>
        <w:rPr>
          <w:sz w:val="24"/>
          <w:szCs w:val="24"/>
          <w:highlight w:val="white"/>
        </w:rPr>
        <w:t>nivolumab</w:t>
      </w:r>
      <w:r w:rsidR="00E87776">
        <w:rPr>
          <w:sz w:val="24"/>
          <w:szCs w:val="24"/>
          <w:highlight w:val="white"/>
        </w:rPr>
        <w:fldChar w:fldCharType="begin" w:fldLock="1"/>
      </w:r>
      <w:r w:rsidR="00700962">
        <w:rPr>
          <w:sz w:val="24"/>
          <w:szCs w:val="24"/>
          <w:highlight w:val="white"/>
        </w:rPr>
        <w:instrText>ADDIN CSL_CITATION { "citationItems" : [ { "id" : "ITEM-1", "itemData" : { "abstract" : "These highlights do not include all the information needed to use OPDIVO safely and effectively. See full prescribing information for OPDIVO.OPDIVO is a programmed death receptor-1 (PD-1) blocking antibody indicated for the treatment of patients with: \u2022 BRAF V600 wild-type unresectable or metastatic melanoma, as a single agent. (1.1) \u2022 BRAF V600 mutation-positive unresectable or metastatic melanoma, as a single agent. This indication is approved under accelerated approval based on progression-free survival. Continued approval for this indication may be contingent upon verification and description of clinical benefit in the confirmatory trials. (1.1) \u2022 Unresectable or metastatic melanoma, in combination with ipilimumab. This indication is approved under accelerated approval based on progression-free survival. Continued approval for this indication may be contingent upon verification and description of clinical benefit in the confirmatory trials. (1.1) \u2022 Metastatic non-small cell lung cancer and progression on or after platinum-based chemotherapy. Patients with EGFR or ALK genomic tumor aberrations should have disease progression on FDA-approved therapy for these aberrations prior to receiving OPDIVO. (1.2) \u2022 Advanced renal cell carcinoma who have received prior anti-angiogenic therapy. (1.3) \u2022 Classical Hodgkin lymphoma (adult patients) that has relapsed or progressed after: \u2022 autologous hematopoietic stem cell transplantation (HSCT) and brentuximab vedotin, or \u2022 3 or more lines of systemic therapy that includes autologous HSCT. This indication is approved under accelerated approval based on overall response rate. Continued approval for this indication may be contingent upon verification and description of clinical benefit in confirmatory trials. (1.4) \u2022 Recurrent or metastatic squamous cell carcinoma of the head and neck with disease progression on or after a platinum-based therapy. (1.5) \u2022 Locally advanced or metastatic urothelial carcinoma who: \u2022 have disease progression during or following platinum-containing chemotherapy \u2022 have disease progression within 12 months of neoadjuvant or adjuvant treatment with platinum-containing chemotherapy. This indication is approved under accelerated approval based on tumor response rate and duration of response. Continued approval for this indication may be contingent upon verification and description of clinical benefit in confirmatory trials.Administer as an intravenous infusion over 60 minutes. \u2022 Unresectable or\u2026", "author" : [ { "dropping-particle" : "", "family" : "Dosage", "given" : "", "non-dropping-particle" : "", "parse-names" : false, "suffix" : "" }, { "dropping-particle" : "", "family" : "Administration", "given" : "", "non-dropping-particle" : "", "parse-names" : false, "suffix" : "" } ], "container-title" : "Warnings and Precautions", "id" : "ITEM-1", "issue" : "25", "issued" : { "date-parts" : [ [ "2017" ] ] }, "title" : "HIGHLIGHTS OF PRESCRIBING INFORMATION", "type" : "article-journal", "volume" : "3" }, "uris" : [ "http://www.mendeley.com/documents/?uuid=b1217c65-03d7-4446-8ef3-c73d6e16fc6c" ] } ], "mendeley" : { "formattedCitation" : "(9)", "manualFormatting" : "[9]", "plainTextFormattedCitation" : "(9)", "previouslyFormattedCitation" : "(9)" }, "properties" : { "noteIndex" : 0 }, "schema" : "https://github.com/citation-style-language/schema/raw/master/csl-citation.json" }</w:instrText>
      </w:r>
      <w:r w:rsidR="00E87776">
        <w:rPr>
          <w:sz w:val="24"/>
          <w:szCs w:val="24"/>
          <w:highlight w:val="white"/>
        </w:rPr>
        <w:fldChar w:fldCharType="separate"/>
      </w:r>
      <w:r w:rsidR="00700962">
        <w:rPr>
          <w:noProof/>
          <w:sz w:val="24"/>
          <w:szCs w:val="24"/>
          <w:highlight w:val="white"/>
        </w:rPr>
        <w:t>[</w:t>
      </w:r>
      <w:r w:rsidR="008A468B" w:rsidRPr="008A468B">
        <w:rPr>
          <w:noProof/>
          <w:sz w:val="24"/>
          <w:szCs w:val="24"/>
          <w:highlight w:val="white"/>
        </w:rPr>
        <w:t>9</w:t>
      </w:r>
      <w:r w:rsidR="00700962">
        <w:rPr>
          <w:noProof/>
          <w:sz w:val="24"/>
          <w:szCs w:val="24"/>
          <w:highlight w:val="white"/>
        </w:rPr>
        <w:t>]</w:t>
      </w:r>
      <w:r w:rsidR="00E87776">
        <w:rPr>
          <w:sz w:val="24"/>
          <w:szCs w:val="24"/>
          <w:highlight w:val="white"/>
        </w:rPr>
        <w:fldChar w:fldCharType="end"/>
      </w:r>
      <w:r w:rsidR="00E87776">
        <w:rPr>
          <w:sz w:val="24"/>
          <w:szCs w:val="24"/>
          <w:highlight w:val="white"/>
        </w:rPr>
        <w:t xml:space="preserve"> is analogous to that of pembrolizumab, for which approval is pending.</w:t>
      </w:r>
      <w:r w:rsidR="00E87776">
        <w:rPr>
          <w:sz w:val="24"/>
          <w:szCs w:val="24"/>
          <w:highlight w:val="white"/>
        </w:rPr>
        <w:fldChar w:fldCharType="begin" w:fldLock="1"/>
      </w:r>
      <w:r w:rsidR="00700962">
        <w:rPr>
          <w:sz w:val="24"/>
          <w:szCs w:val="24"/>
          <w:highlight w:val="white"/>
        </w:rPr>
        <w:instrText>ADDIN CSL_CITATION { "citationItems" : [ { "id" : "ITEM-1", "itemData" : { "DOI" : "10.1056/NEJMoa1613683", "ISSN" : "0028-4793", "abstract" : "BackgroundPatients with advanced urothelial carcinoma that progresses after platinum-based chemotherapy have a poor prognosis and limited treatment options. MethodsIn this open-label, international, phase 3 trial, we randomly assigned 542 patients with advanced urothelial cancer that recurred or progressed after platinum-based chemotherapy to receive pembrolizumab (a highly selective, humanized monoclonal IgG4\u03ba isotype antibody against programmed death 1 [PD-1]) at a dose of 200 mg every 3 weeks or the investigator\u2019s choice of chemotherapy with paclitaxel, docetaxel, or vinflunine. The coprimary end points were overall survival and progression-free survival, which were assessed among all patients and among patients who had a tumor PD-1 ligand (PD-L1) combined positive score (the percentage of PD-L1\u2013expressing tumor and infiltrating immune cells relative to the total number of tumor cells) of 10% or more. ResultsThe median overall survival in the total population was 10.3 months (95% confidence interval [C...", "author" : [ { "dropping-particle" : "", "family" : "Bellmunt", "given" : "Joaquim", "non-dropping-particle" : "", "parse-names" : false, "suffix" : "" }, { "dropping-particle" : "", "family" : "Wit", "given" : "Ronald", "non-dropping-particle" : "de", "parse-names" : false, "suffix" : "" }, { "dropping-particle" : "", "family" : "Vaughn", "given" : "David J.", "non-dropping-particle" : "", "parse-names" : false, "suffix" : "" }, { "dropping-particle" : "", "family" : "Fradet", "given" : "Yves", "non-dropping-particle" : "", "parse-names" : false, "suffix" : "" }, { "dropping-particle" : "", "family" : "Lee", "given" : "Jae-Lyun", "non-dropping-particle" : "", "parse-names" : false, "suffix" : "" }, { "dropping-particle" : "", "family" : "Fong", "given" : "Lawrence", "non-dropping-particle" : "", "parse-names" : false, "suffix" : "" }, { "dropping-particle" : "", "family" : "Vogelzang", "given" : "Nicholas J.", "non-dropping-particle" : "", "parse-names" : false, "suffix" : "" }, { "dropping-particle" : "", "family" : "Climent", "given" : "Miguel A.", "non-dropping-particle" : "", "parse-names" : false, "suffix" : "" }, { "dropping-particle" : "", "family" : "Petrylak", "given" : "Daniel P.", "non-dropping-particle" : "", "parse-names" : false, "suffix" : "" }, { "dropping-particle" : "", "family" : "Choueiri", "given" : "Toni K.", "non-dropping-particle" : "", "parse-names" : false, "suffix" : "" }, { "dropping-particle" : "", "family" : "Necchi", "given" : "Andrea", "non-dropping-particle" : "", "parse-names" : false, "suffix" : "" }, { "dropping-particle" : "", "family" : "Gerritsen", "given" : "Winald", "non-dropping-particle" : "", "parse-names" : false, "suffix" : "" }, { "dropping-particle" : "", "family" : "Gurney", "given" : "Howard", "non-dropping-particle" : "", "parse-names" : false, "suffix" : "" }, { "dropping-particle" : "", "family" : "Quinn", "given" : "David I.", "non-dropping-particle" : "", "parse-names" : false, "suffix" : "" }, { "dropping-particle" : "", "family" : "Culine", "given" : "St\u00e9phane", "non-dropping-particle" : "", "parse-names" : false, "suffix" : "" }, { "dropping-particle" : "", "family" : "Sternberg", "given" : "Cora N.", "non-dropping-particle" : "", "parse-names" : false, "suffix" : "" }, { "dropping-particle" : "", "family" : "Mai", "given" : "Yabing", "non-dropping-particle" : "", "parse-names" : false, "suffix" : "" }, { "dropping-particle" : "", "family" : "Poehlein", "given" : "Christian H.", "non-dropping-particle" : "", "parse-names" : false, "suffix" : "" }, { "dropping-particle" : "", "family" : "Perini", "given" : "Rodolfo F.", "non-dropping-particle" : "", "parse-names" : false, "suffix" : "" }, { "dropping-particle" : "", "family" : "Bajorin", "given" : "Dean F.", "non-dropping-particle" : "", "parse-names" : false, "suffix" : "" } ], "container-title" : "New England Journal of Medicine", "id" : "ITEM-1", "issue" : "11", "issued" : { "date-parts" : [ [ "2017", "3", "16" ] ] }, "page" : "1015-1026", "publisher" : "Massachusetts Medical Society", "title" : "Pembrolizumab as Second-Line Therapy for Advanced Urothelial Carcinoma", "type" : "article-journal", "volume" : "376" }, "uris" : [ "http://www.mendeley.com/documents/?uuid=508c0909-374f-4573-bc16-c310ef44981b" ] } ], "mendeley" : { "formattedCitation" : "(10)", "manualFormatting" : "[10]", "plainTextFormattedCitation" : "(10)", "previouslyFormattedCitation" : "(10)" }, "properties" : { "noteIndex" : 0 }, "schema" : "https://github.com/citation-style-language/schema/raw/master/csl-citation.json" }</w:instrText>
      </w:r>
      <w:r w:rsidR="00E87776">
        <w:rPr>
          <w:sz w:val="24"/>
          <w:szCs w:val="24"/>
          <w:highlight w:val="white"/>
        </w:rPr>
        <w:fldChar w:fldCharType="separate"/>
      </w:r>
      <w:r w:rsidR="00700962">
        <w:rPr>
          <w:noProof/>
          <w:sz w:val="24"/>
          <w:szCs w:val="24"/>
          <w:highlight w:val="white"/>
        </w:rPr>
        <w:t>[</w:t>
      </w:r>
      <w:r w:rsidR="008A468B" w:rsidRPr="008A468B">
        <w:rPr>
          <w:noProof/>
          <w:sz w:val="24"/>
          <w:szCs w:val="24"/>
          <w:highlight w:val="white"/>
        </w:rPr>
        <w:t>10</w:t>
      </w:r>
      <w:r w:rsidR="00700962">
        <w:rPr>
          <w:noProof/>
          <w:sz w:val="24"/>
          <w:szCs w:val="24"/>
          <w:highlight w:val="white"/>
        </w:rPr>
        <w:t>]</w:t>
      </w:r>
      <w:r w:rsidR="00E87776">
        <w:rPr>
          <w:sz w:val="24"/>
          <w:szCs w:val="24"/>
          <w:highlight w:val="white"/>
        </w:rPr>
        <w:fldChar w:fldCharType="end"/>
      </w:r>
      <w:r w:rsidR="00E87776">
        <w:rPr>
          <w:sz w:val="24"/>
          <w:szCs w:val="24"/>
          <w:highlight w:val="white"/>
        </w:rPr>
        <w:t xml:space="preserve"> </w:t>
      </w:r>
      <w:r w:rsidR="005B409F">
        <w:rPr>
          <w:sz w:val="24"/>
          <w:szCs w:val="24"/>
          <w:highlight w:val="white"/>
        </w:rPr>
        <w:t>N</w:t>
      </w:r>
      <w:r>
        <w:rPr>
          <w:sz w:val="24"/>
          <w:szCs w:val="24"/>
          <w:highlight w:val="white"/>
        </w:rPr>
        <w:t>ivolumab</w:t>
      </w:r>
      <w:r w:rsidR="00E87776">
        <w:rPr>
          <w:sz w:val="24"/>
          <w:szCs w:val="24"/>
          <w:highlight w:val="white"/>
        </w:rPr>
        <w:t xml:space="preserve"> is approved as second line for renal cell carcinoma,</w:t>
      </w:r>
      <w:r w:rsidR="00E87776">
        <w:rPr>
          <w:sz w:val="24"/>
          <w:szCs w:val="24"/>
          <w:highlight w:val="white"/>
        </w:rPr>
        <w:fldChar w:fldCharType="begin" w:fldLock="1"/>
      </w:r>
      <w:r w:rsidR="00700962">
        <w:rPr>
          <w:sz w:val="24"/>
          <w:szCs w:val="24"/>
          <w:highlight w:val="white"/>
        </w:rPr>
        <w:instrText>ADDIN CSL_CITATION { "citationItems" : [ { "id" : "ITEM-1", "itemData" : { "DOI" : "10.1056/NEJMoa1510665", "ISSN" : "0028-4793", "abstract" : "BackgroundNivolumab, a programmed death 1 (PD-1) checkpoint inhibitor, was associated with encouraging overall survival in uncontrolled studies involving previously treated patients with advanced renal-cell carcinoma. This randomized, open-label, phase 3 study compared nivolumab with everolimus in patients with renal-cell carcinoma who had received previous treatment. MethodsA total of 821 patients with advanced clear-cell renal-cell carcinoma for which they had received previous treatment with one or two regimens of antiangiogenic therapy were randomly assigned (in a 1:1 ratio) to receive 3 mg of nivolumab per kilogram of body weight intravenously every 2 weeks or a 10-mg everolimus tablet orally once daily. The primary end point was overall survival. The secondary end points included the objective response rate and safety. ResultsThe median overall survival was 25.0 months (95% confidence interval [CI], 21.8 to not estimable) with nivolumab and 19.6 months (95% CI, 17.6 to 23.1) with everolimus. The haz...", "author" : [ { "dropping-particle" : "", "family" : "Motzer", "given" : "Robert J.", "non-dropping-particle" : "", "parse-names" : false, "suffix" : "" }, { "dropping-particle" : "", "family" : "Escudier", "given" : "Bernard", "non-dropping-particle" : "", "parse-names" : false, "suffix" : "" }, { "dropping-particle" : "", "family" : "McDermott", "given" : "David F.", "non-dropping-particle" : "", "parse-names" : false, "suffix" : "" }, { "dropping-particle" : "", "family" : "George", "given" : "Saby", "non-dropping-particle" : "", "parse-names" : false, "suffix" : "" }, { "dropping-particle" : "", "family" : "Hammers", "given" : "Hans J.", "non-dropping-particle" : "", "parse-names" : false, "suffix" : "" }, { "dropping-particle" : "", "family" : "Srinivas", "given" : "Sandhya", "non-dropping-particle" : "", "parse-names" : false, "suffix" : "" }, { "dropping-particle" : "", "family" : "Tykodi", "given" : "Scott S.", "non-dropping-particle" : "", "parse-names" : false, "suffix" : "" }, { "dropping-particle" : "", "family" : "Sosman", "given" : "Jeffrey A.", "non-dropping-particle" : "", "parse-names" : false, "suffix" : "" }, { "dropping-particle" : "", "family" : "Procopio", "given" : "Giuseppe", "non-dropping-particle" : "", "parse-names" : false, "suffix" : "" }, { "dropping-particle" : "", "family" : "Plimack", "given" : "Elizabeth R.", "non-dropping-particle" : "", "parse-names" : false, "suffix" : "" }, { "dropping-particle" : "", "family" : "Castellano", "given" : "Daniel", "non-dropping-particle" : "", "parse-names" : false, "suffix" : "" }, { "dropping-particle" : "", "family" : "Choueiri", "given" : "Toni K.", "non-dropping-particle" : "", "parse-names" : false, "suffix" : "" }, { "dropping-particle" : "", "family" : "Gurney", "given" : "Howard", "non-dropping-particle" : "", "parse-names" : false, "suffix" : "" }, { "dropping-particle" : "", "family" : "Donskov", "given" : "Frede", "non-dropping-particle" : "", "parse-names" : false, "suffix" : "" }, { "dropping-particle" : "", "family" : "Bono", "given" : "Petri", "non-dropping-particle" : "", "parse-names" : false, "suffix" : "" }, { "dropping-particle" : "", "family" : "Wagstaff", "given" : "John", "non-dropping-particle" : "", "parse-names" : false, "suffix" : "" }, { "dropping-particle" : "", "family" : "Gauler", "given" : "Thomas C.", "non-dropping-particle" : "", "parse-names" : false, "suffix" : "" }, { "dropping-particle" : "", "family" : "Ueda", "given" : "Takeshi", "non-dropping-particle" : "", "parse-names" : false, "suffix" : "" }, { "dropping-particle" : "", "family" : "Tomita", "given" : "Yoshihiko", "non-dropping-particle" : "", "parse-names" : false, "suffix" : "" }, { "dropping-particle" : "", "family" : "Schutz", "given" : "Fabio A.", "non-dropping-particle" : "", "parse-names" : false, "suffix" : "" }, { "dropping-particle" : "", "family" : "Kollmannsberger", "given" : "Christian", "non-dropping-particle" : "", "parse-names" : false, "suffix" : "" }, { "dropping-particle" : "", "family" : "Larkin", "given" : "James", "non-dropping-particle" : "", "parse-names" : false, "suffix" : "" }, { "dropping-particle" : "", "family" : "Ravaud", "given" : "Alain", "non-dropping-particle" : "", "parse-names" : false, "suffix" : "" }, { "dropping-particle" : "", "family" : "Simon", "given" : "Jason S.", "non-dropping-particle" : "", "parse-names" : false, "suffix" : "" }, { "dropping-particle" : "", "family" : "Xu", "given" : "Li-An", "non-dropping-particle" : "", "parse-names" : false, "suffix" : "" }, { "dropping-particle" : "", "family" : "Waxman", "given" : "Ian M.", "non-dropping-particle" : "", "parse-names" : false, "suffix" : "" }, { "dropping-particle" : "", "family" : "Sharma", "given" : "Padmanee", "non-dropping-particle" : "", "parse-names" : false, "suffix" : "" } ], "container-title" : "New England Journal of Medicine", "id" : "ITEM-1", "issue" : "19", "issued" : { "date-parts" : [ [ "2015", "11", "5" ] ] }, "page" : "1803-1813", "publisher" : "Massachusetts Medical Society", "title" : "Nivolumab versus Everolimus in Advanced Renal-Cell Carcinoma", "type" : "article-journal", "volume" : "373" }, "uris" : [ "http://www.mendeley.com/documents/?uuid=d063f5b0-ee63-4741-b62b-24de49702122" ] } ], "mendeley" : { "formattedCitation" : "(11)", "manualFormatting" : "[11]", "plainTextFormattedCitation" : "(11)", "previouslyFormattedCitation" : "(11)" }, "properties" : { "noteIndex" : 0 }, "schema" : "https://github.com/citation-style-language/schema/raw/master/csl-citation.json" }</w:instrText>
      </w:r>
      <w:r w:rsidR="00E87776">
        <w:rPr>
          <w:sz w:val="24"/>
          <w:szCs w:val="24"/>
          <w:highlight w:val="white"/>
        </w:rPr>
        <w:fldChar w:fldCharType="separate"/>
      </w:r>
      <w:r w:rsidR="00700962">
        <w:rPr>
          <w:noProof/>
          <w:sz w:val="24"/>
          <w:szCs w:val="24"/>
          <w:highlight w:val="white"/>
        </w:rPr>
        <w:t>[</w:t>
      </w:r>
      <w:r w:rsidR="008A468B" w:rsidRPr="008A468B">
        <w:rPr>
          <w:noProof/>
          <w:sz w:val="24"/>
          <w:szCs w:val="24"/>
          <w:highlight w:val="white"/>
        </w:rPr>
        <w:t>11</w:t>
      </w:r>
      <w:r w:rsidR="00700962">
        <w:rPr>
          <w:noProof/>
          <w:sz w:val="24"/>
          <w:szCs w:val="24"/>
          <w:highlight w:val="white"/>
        </w:rPr>
        <w:t>]</w:t>
      </w:r>
      <w:r w:rsidR="00E87776">
        <w:rPr>
          <w:sz w:val="24"/>
          <w:szCs w:val="24"/>
          <w:highlight w:val="white"/>
        </w:rPr>
        <w:fldChar w:fldCharType="end"/>
      </w:r>
      <w:r w:rsidR="00E87776">
        <w:rPr>
          <w:sz w:val="24"/>
          <w:szCs w:val="24"/>
          <w:highlight w:val="white"/>
        </w:rPr>
        <w:t xml:space="preserve"> but there are no comparable data for pembrolizumab as of yet. The remaining discordant indication is </w:t>
      </w:r>
      <w:r w:rsidR="00D179A6">
        <w:rPr>
          <w:sz w:val="24"/>
          <w:szCs w:val="24"/>
          <w:highlight w:val="white"/>
        </w:rPr>
        <w:t>that for metastatic non-small cell lung carcinoma, for which pembrolizumab is approved but nivolumab was shown to be non-superior to chemotherapy.</w:t>
      </w:r>
      <w:r w:rsidR="00D179A6">
        <w:rPr>
          <w:sz w:val="24"/>
          <w:szCs w:val="24"/>
          <w:highlight w:val="white"/>
        </w:rPr>
        <w:fldChar w:fldCharType="begin" w:fldLock="1"/>
      </w:r>
      <w:r w:rsidR="00700962">
        <w:rPr>
          <w:sz w:val="24"/>
          <w:szCs w:val="24"/>
          <w:highlight w:val="white"/>
        </w:rPr>
        <w:instrText>ADDIN CSL_CITATION { "citationItems" : [ { "id" : "ITEM-1", "itemData" : { "DOI" : "10.1056/NEJMoa1606774", "ISSN" : "0028-4793", "abstract" : "BackgroundPembrolizumab is a humanized monoclonal antibody against programmed death 1 (PD-1) that has antitumor activity in advanced non\u2013small-cell lung cancer (NSCLC), with increased activity in tumors that express programmed death ligand 1 (PD-L1). MethodsIn this open-label, phase 3 trial, we randomly assigned 305 patients who had previously untreated advanced NSCLC with PD-L1 expression on at least 50% of tumor cells and no sensitizing mutation of the epidermal growth factor receptor gene or translocation of the anaplastic lymphoma kinase gene to receive either pembrolizumab (at a fixed dose of 200 mg every 3 weeks) or the investigator\u2019s choice of platinum-based chemotherapy. Crossover from the chemotherapy group to the pembrolizumab group was permitted in the event of disease progression. The primary end point, progression-free survival, was assessed by means of blinded, independent, central radiologic review. Secondary end points were overall survival, objective response rate, and safety. ResultsMedi...", "author" : [ { "dropping-particle" : "", "family" : "Reck", "given" : "Martin", "non-dropping-particle" : "", "parse-names" : false, "suffix" : "" }, { "dropping-particle" : "", "family" : "Rodr\u00edguez-Abreu", "given" : "Delvys", "non-dropping-particle" : "", "parse-names" : false, "suffix" : "" }, { "dropping-particle" : "", "family" : "Robinson", "given" : "Andrew G.", "non-dropping-particle" : "", "parse-names" : false, "suffix" : "" }, { "dropping-particle" : "", "family" : "Hui", "given" : "Rina", "non-dropping-particle" : "", "parse-names" : false, "suffix" : "" }, { "dropping-particle" : "", "family" : "Cs\u0151szi", "given" : "Tibor", "non-dropping-particle" : "", "parse-names" : false, "suffix" : "" }, { "dropping-particle" : "", "family" : "F\u00fcl\u00f6p", "given" : "Andrea", "non-dropping-particle" : "", "parse-names" : false, "suffix" : "" }, { "dropping-particle" : "", "family" : "Gottfried", "given" : "Maya", "non-dropping-particle" : "", "parse-names" : false, "suffix" : "" }, { "dropping-particle" : "", "family" : "Peled", "given" : "Nir", "non-dropping-particle" : "", "parse-names" : false, "suffix" : "" }, { "dropping-particle" : "", "family" : "Tafreshi", "given" : "Ali", "non-dropping-particle" : "", "parse-names" : false, "suffix" : "" }, { "dropping-particle" : "", "family" : "Cuffe", "given" : "Sinead", "non-dropping-particle" : "", "parse-names" : false, "suffix" : "" }, { "dropping-particle" : "", "family" : "O\u2019Brien", "given" : "Mary", "non-dropping-particle" : "", "parse-names" : false, "suffix" : "" }, { "dropping-particle" : "", "family" : "Rao", "given" : "Suman", "non-dropping-particle" : "", "parse-names" : false, "suffix" : "" }, { "dropping-particle" : "", "family" : "Hotta", "given" : "Katsuyuki", "non-dropping-particle" : "", "parse-names" : false, "suffix" : "" }, { "dropping-particle" : "", "family" : "Leiby", "given" : "Melanie A.", "non-dropping-particle" : "", "parse-names" : false, "suffix" : "" }, { "dropping-particle" : "", "family" : "Lubiniecki", "given" : "Gregory M.", "non-dropping-particle" : "", "parse-names" : false, "suffix" : "" }, { "dropping-particle" : "", "family" : "Shentu", "given" : "Yue", "non-dropping-particle" : "", "parse-names" : false, "suffix" : "" }, { "dropping-particle" : "", "family" : "Rangwala", "given" : "Reshma", "non-dropping-particle" : "", "parse-names" : false, "suffix" : "" }, { "dropping-particle" : "", "family" : "Brahmer", "given" : "Julie R.", "non-dropping-particle" : "", "parse-names" : false, "suffix" : "" } ], "container-title" : "New England Journal of Medicine", "id" : "ITEM-1", "issue" : "19", "issued" : { "date-parts" : [ [ "2016", "11", "10" ] ] }, "page" : "1823-1833", "publisher" : "Massachusetts Medical Society", "title" : "Pembrolizumab versus Chemotherapy for PD-L1\u2013Positive Non\u2013Small-Cell Lung Cancer", "type" : "article-journal", "volume" : "375" }, "uris" : [ "http://www.mendeley.com/documents/?uuid=3adcf5d2-86ee-427a-963f-b331a77c9b93" ] }, { "id" : "ITEM-2", "itemData" : { "URL" : "http://www.onclive.com/web-exclusives/frontline-nivolumab-misses-pfs-endpoint-in-phase-iii-nsclc-study", "accessed" : { "date-parts" : [ [ "2017", "5", "3" ] ] }, "author" : [ { "dropping-particle" : "", "family" : "Inman S", "given" : "", "non-dropping-particle" : "", "parse-names" : false, "suffix" : "" } ], "id" : "ITEM-2", "issued" : { "date-parts" : [ [ "2016" ] ] }, "title" : "Nivolumab Misses PFS Endpoint in Frontline Phase III NSCLC Study", "type" : "webpage" }, "uris" : [ "http://www.mendeley.com/documents/?uuid=2ffbbefb-8ecf-4bc6-b9b1-8adeac564990" ] } ], "mendeley" : { "formattedCitation" : "(12,13)", "manualFormatting" : "[12,13]", "plainTextFormattedCitation" : "(12,13)", "previouslyFormattedCitation" : "(12,13)" }, "properties" : { "noteIndex" : 0 }, "schema" : "https://github.com/citation-style-language/schema/raw/master/csl-citation.json" }</w:instrText>
      </w:r>
      <w:r w:rsidR="00D179A6">
        <w:rPr>
          <w:sz w:val="24"/>
          <w:szCs w:val="24"/>
          <w:highlight w:val="white"/>
        </w:rPr>
        <w:fldChar w:fldCharType="separate"/>
      </w:r>
      <w:r w:rsidR="00700962">
        <w:rPr>
          <w:noProof/>
          <w:sz w:val="24"/>
          <w:szCs w:val="24"/>
          <w:highlight w:val="white"/>
        </w:rPr>
        <w:t>[</w:t>
      </w:r>
      <w:r w:rsidR="008A468B" w:rsidRPr="008A468B">
        <w:rPr>
          <w:noProof/>
          <w:sz w:val="24"/>
          <w:szCs w:val="24"/>
          <w:highlight w:val="white"/>
        </w:rPr>
        <w:t>12,13</w:t>
      </w:r>
      <w:r w:rsidR="00700962">
        <w:rPr>
          <w:noProof/>
          <w:sz w:val="24"/>
          <w:szCs w:val="24"/>
          <w:highlight w:val="white"/>
        </w:rPr>
        <w:t>]</w:t>
      </w:r>
      <w:r w:rsidR="00D179A6">
        <w:rPr>
          <w:sz w:val="24"/>
          <w:szCs w:val="24"/>
          <w:highlight w:val="white"/>
        </w:rPr>
        <w:fldChar w:fldCharType="end"/>
      </w:r>
      <w:r w:rsidR="00D179A6">
        <w:rPr>
          <w:sz w:val="24"/>
          <w:szCs w:val="24"/>
          <w:highlight w:val="white"/>
        </w:rPr>
        <w:t xml:space="preserve"> </w:t>
      </w:r>
      <w:r w:rsidR="007E4E3C" w:rsidRPr="00800743">
        <w:rPr>
          <w:sz w:val="24"/>
          <w:szCs w:val="24"/>
          <w:highlight w:val="white"/>
        </w:rPr>
        <w:t>Such discrepancies may be due either to drug</w:t>
      </w:r>
      <w:r w:rsidR="00FA3959">
        <w:rPr>
          <w:sz w:val="24"/>
          <w:szCs w:val="24"/>
          <w:highlight w:val="white"/>
        </w:rPr>
        <w:t xml:space="preserve"> </w:t>
      </w:r>
      <w:r w:rsidR="007E4E3C" w:rsidRPr="00800743">
        <w:rPr>
          <w:sz w:val="24"/>
          <w:szCs w:val="24"/>
          <w:highlight w:val="white"/>
        </w:rPr>
        <w:t>dependent or independent reasons</w:t>
      </w:r>
      <w:r w:rsidR="00D179A6">
        <w:rPr>
          <w:sz w:val="24"/>
          <w:szCs w:val="24"/>
          <w:highlight w:val="white"/>
        </w:rPr>
        <w:t>.</w:t>
      </w:r>
      <w:r w:rsidR="007E4E3C" w:rsidRPr="00800743">
        <w:rPr>
          <w:sz w:val="24"/>
          <w:szCs w:val="24"/>
          <w:highlight w:val="white"/>
        </w:rPr>
        <w:t xml:space="preserve"> By conducting a comparison of the two antibodies at a </w:t>
      </w:r>
      <w:r w:rsidR="002C7BAE">
        <w:rPr>
          <w:sz w:val="24"/>
          <w:szCs w:val="24"/>
          <w:highlight w:val="white"/>
        </w:rPr>
        <w:t>molecular</w:t>
      </w:r>
      <w:r w:rsidR="002C7BAE" w:rsidRPr="00800743">
        <w:rPr>
          <w:sz w:val="24"/>
          <w:szCs w:val="24"/>
          <w:highlight w:val="white"/>
        </w:rPr>
        <w:t xml:space="preserve"> </w:t>
      </w:r>
      <w:r w:rsidR="007E4E3C" w:rsidRPr="00800743">
        <w:rPr>
          <w:sz w:val="24"/>
          <w:szCs w:val="24"/>
          <w:highlight w:val="white"/>
        </w:rPr>
        <w:t xml:space="preserve">level we address </w:t>
      </w:r>
      <w:r w:rsidR="002C7BAE">
        <w:rPr>
          <w:sz w:val="24"/>
          <w:szCs w:val="24"/>
          <w:highlight w:val="white"/>
        </w:rPr>
        <w:t>whether</w:t>
      </w:r>
      <w:r w:rsidR="00E46596" w:rsidRPr="00800743">
        <w:rPr>
          <w:sz w:val="24"/>
          <w:szCs w:val="24"/>
          <w:highlight w:val="white"/>
        </w:rPr>
        <w:t xml:space="preserve"> different trial outcomes were</w:t>
      </w:r>
      <w:r w:rsidR="007E4E3C" w:rsidRPr="00800743">
        <w:rPr>
          <w:sz w:val="24"/>
          <w:szCs w:val="24"/>
          <w:highlight w:val="white"/>
        </w:rPr>
        <w:t xml:space="preserve"> due to an inherent</w:t>
      </w:r>
      <w:r w:rsidR="002C7BAE">
        <w:rPr>
          <w:sz w:val="24"/>
          <w:szCs w:val="24"/>
          <w:highlight w:val="white"/>
        </w:rPr>
        <w:t xml:space="preserve"> </w:t>
      </w:r>
      <w:r w:rsidR="007E4E3C" w:rsidRPr="00800743">
        <w:rPr>
          <w:sz w:val="24"/>
          <w:szCs w:val="24"/>
          <w:highlight w:val="white"/>
        </w:rPr>
        <w:t>difference in their mechanism</w:t>
      </w:r>
      <w:r w:rsidR="002C7BAE">
        <w:rPr>
          <w:sz w:val="24"/>
          <w:szCs w:val="24"/>
          <w:highlight w:val="white"/>
        </w:rPr>
        <w:t>s</w:t>
      </w:r>
      <w:r w:rsidR="007E4E3C" w:rsidRPr="00800743">
        <w:rPr>
          <w:sz w:val="24"/>
          <w:szCs w:val="24"/>
          <w:highlight w:val="white"/>
        </w:rPr>
        <w:t xml:space="preserve"> of action or pharmacokinetic properties</w:t>
      </w:r>
      <w:r w:rsidR="00E46596" w:rsidRPr="00800743">
        <w:rPr>
          <w:sz w:val="24"/>
          <w:szCs w:val="24"/>
          <w:highlight w:val="white"/>
        </w:rPr>
        <w:t xml:space="preserve"> or if they are</w:t>
      </w:r>
      <w:r w:rsidR="007E4E3C" w:rsidRPr="00800743">
        <w:rPr>
          <w:sz w:val="24"/>
          <w:szCs w:val="24"/>
          <w:highlight w:val="white"/>
        </w:rPr>
        <w:t xml:space="preserve"> more likely due to the discrepancies</w:t>
      </w:r>
      <w:r w:rsidR="00E46596" w:rsidRPr="00800743">
        <w:rPr>
          <w:sz w:val="24"/>
          <w:szCs w:val="24"/>
          <w:highlight w:val="white"/>
        </w:rPr>
        <w:t xml:space="preserve"> in</w:t>
      </w:r>
      <w:r w:rsidR="002C7BAE">
        <w:rPr>
          <w:sz w:val="24"/>
          <w:szCs w:val="24"/>
          <w:highlight w:val="white"/>
        </w:rPr>
        <w:t xml:space="preserve"> </w:t>
      </w:r>
      <w:r w:rsidR="00E46596" w:rsidRPr="00800743">
        <w:rPr>
          <w:sz w:val="24"/>
          <w:szCs w:val="24"/>
          <w:highlight w:val="white"/>
        </w:rPr>
        <w:t>clinical trial design.</w:t>
      </w:r>
      <w:r w:rsidR="007E4E3C" w:rsidRPr="00800743">
        <w:rPr>
          <w:sz w:val="24"/>
          <w:szCs w:val="24"/>
          <w:highlight w:val="white"/>
        </w:rPr>
        <w:t xml:space="preserve"> </w:t>
      </w:r>
    </w:p>
    <w:p w14:paraId="20AE2B4F" w14:textId="77777777" w:rsidR="000C6069" w:rsidRPr="00800743" w:rsidRDefault="000C6069" w:rsidP="00C20157">
      <w:pPr>
        <w:spacing w:line="480" w:lineRule="auto"/>
        <w:jc w:val="both"/>
        <w:rPr>
          <w:sz w:val="24"/>
          <w:szCs w:val="24"/>
          <w:highlight w:val="white"/>
        </w:rPr>
      </w:pPr>
    </w:p>
    <w:p w14:paraId="4172FDAE" w14:textId="3403C301" w:rsidR="00E4298E" w:rsidRDefault="00D37FE0" w:rsidP="00C20157">
      <w:pPr>
        <w:spacing w:line="480" w:lineRule="auto"/>
        <w:jc w:val="both"/>
        <w:rPr>
          <w:sz w:val="24"/>
          <w:szCs w:val="24"/>
          <w:highlight w:val="white"/>
        </w:rPr>
      </w:pPr>
      <w:r w:rsidRPr="00800743">
        <w:rPr>
          <w:sz w:val="24"/>
          <w:szCs w:val="24"/>
        </w:rPr>
        <w:t>G</w:t>
      </w:r>
      <w:r w:rsidR="00EA25FF">
        <w:rPr>
          <w:sz w:val="24"/>
          <w:szCs w:val="24"/>
          <w:highlight w:val="white"/>
        </w:rPr>
        <w:t xml:space="preserve">iven the profound impact that cancer immunotherapy is beginning to deliver and the </w:t>
      </w:r>
      <w:r w:rsidRPr="00800743">
        <w:rPr>
          <w:sz w:val="24"/>
          <w:szCs w:val="24"/>
          <w:highlight w:val="white"/>
        </w:rPr>
        <w:t xml:space="preserve">rapid increase </w:t>
      </w:r>
      <w:r>
        <w:rPr>
          <w:sz w:val="24"/>
          <w:szCs w:val="24"/>
          <w:highlight w:val="white"/>
        </w:rPr>
        <w:t xml:space="preserve">in the numbers </w:t>
      </w:r>
      <w:r w:rsidRPr="00800743">
        <w:rPr>
          <w:sz w:val="24"/>
          <w:szCs w:val="24"/>
          <w:highlight w:val="white"/>
        </w:rPr>
        <w:t>of monoclonal antibody checkpoint inhibitors being investigated and licensed in cancer therapy</w:t>
      </w:r>
      <w:r w:rsidR="00CC4DBB">
        <w:rPr>
          <w:sz w:val="24"/>
          <w:szCs w:val="24"/>
          <w:highlight w:val="white"/>
        </w:rPr>
        <w:t>,</w:t>
      </w:r>
      <w:r>
        <w:rPr>
          <w:sz w:val="24"/>
          <w:szCs w:val="24"/>
          <w:highlight w:val="white"/>
        </w:rPr>
        <w:fldChar w:fldCharType="begin" w:fldLock="1"/>
      </w:r>
      <w:r w:rsidR="00700962">
        <w:rPr>
          <w:sz w:val="24"/>
          <w:szCs w:val="24"/>
          <w:highlight w:val="white"/>
        </w:rPr>
        <w:instrText>ADDIN CSL_CITATION { "citationItems" : [ { "id" : "ITEM-1", "itemData" : { "DOI" : "10.1016/j.tips.2016.09.005", "ISSN" : "01656147", "abstract" : "Antibody-based therapies have garnered considerable success in recent years. This is due to the availability of strategies to successfully engineer antibodies into humanized forms, better understanding of the biological processes involved in cancer development, the availability of novel recombinant antibody formats, better antibody selection platforms, and improved antibody conjugation methodologies. Such achievements have led to an explosion in the generation of antibodies and antibody-associated constructs for the treatment of cancer and other diseases. In this review, we critically assess recent trends in the development and applications of bispecific antibodies (bsAbs), antibody\u2013drug conjugates (ADCs), and immune checkpoint inhibitors (ICIs) as cancer therapeutics. We also highlight recent US FDA approvals and clinical trials of antibody-based cancer therapies.", "author" : [ { "dropping-particle" : "", "family" : "Ayyar", "given" : "B. Vijayalakshmi", "non-dropping-particle" : "", "parse-names" : false, "suffix" : "" }, { "dropping-particle" : "", "family" : "Arora", "given" : "Sushrut", "non-dropping-particle" : "", "parse-names" : false, "suffix" : "" }, { "dropping-particle" : "", "family" : "O\u2019Kennedy", "given" : "Richard", "non-dropping-particle" : "", "parse-names" : false, "suffix" : "" } ], "container-title" : "Trends in Pharmacological Sciences", "id" : "ITEM-1", "issue" : "12", "issued" : { "date-parts" : [ [ "2016" ] ] }, "page" : "1009-1028", "title" : "Coming-of-Age of Antibodies in Cancer Therapeutics", "type" : "article-journal", "volume" : "37" }, "uris" : [ "http://www.mendeley.com/documents/?uuid=fc835f07-3b6c-3eff-97fb-0dae63a67a6e" ] }, { "id" : "ITEM-2", "itemData" : { "DOI" : "10.1038/nrclinonc.2017.15", "ISSN" : "1759-4774", "author" : [ { "dropping-particle" : "", "family" : "Blumenthal", "given" : "Gideon M.", "non-dropping-particle" : "", "parse-names" : false, "suffix" : "" }, { "dropping-particle" : "", "family" : "Pazdur", "given" : "Richard", "non-dropping-particle" : "", "parse-names" : false, "suffix" : "" } ], "container-title" : "Nature Reviews Clinical Oncology", "id" : "ITEM-2", "issue" : "3", "issued" : { "date-parts" : [ [ "2017", "2", "20" ] ] }, "page" : "131-132", "publisher" : "Nature Research", "title" : "Approvals in 2016: the march of the checkpoint inhibitors", "type" : "article-journal", "volume" : "14" }, "uris" : [ "http://www.mendeley.com/documents/?uuid=059fd9ee-d6c5-3cb2-946e-dd1f4214ff01" ] } ], "mendeley" : { "formattedCitation" : "(14,15)", "manualFormatting" : "[14,15]", "plainTextFormattedCitation" : "(14,15)", "previouslyFormattedCitation" : "(14,15)" }, "properties" : { "noteIndex" : 0 }, "schema" : "https://github.com/citation-style-language/schema/raw/master/csl-citation.json" }</w:instrText>
      </w:r>
      <w:r>
        <w:rPr>
          <w:sz w:val="24"/>
          <w:szCs w:val="24"/>
          <w:highlight w:val="white"/>
        </w:rPr>
        <w:fldChar w:fldCharType="separate"/>
      </w:r>
      <w:r w:rsidR="00700962">
        <w:rPr>
          <w:noProof/>
          <w:sz w:val="24"/>
          <w:szCs w:val="24"/>
          <w:highlight w:val="white"/>
        </w:rPr>
        <w:t>[</w:t>
      </w:r>
      <w:r w:rsidR="008A468B" w:rsidRPr="008A468B">
        <w:rPr>
          <w:noProof/>
          <w:sz w:val="24"/>
          <w:szCs w:val="24"/>
          <w:highlight w:val="white"/>
        </w:rPr>
        <w:t>14,15</w:t>
      </w:r>
      <w:r w:rsidR="00700962">
        <w:rPr>
          <w:noProof/>
          <w:sz w:val="24"/>
          <w:szCs w:val="24"/>
          <w:highlight w:val="white"/>
        </w:rPr>
        <w:t>]</w:t>
      </w:r>
      <w:r>
        <w:rPr>
          <w:sz w:val="24"/>
          <w:szCs w:val="24"/>
          <w:highlight w:val="white"/>
        </w:rPr>
        <w:fldChar w:fldCharType="end"/>
      </w:r>
      <w:r>
        <w:rPr>
          <w:sz w:val="24"/>
          <w:szCs w:val="24"/>
          <w:highlight w:val="white"/>
        </w:rPr>
        <w:t xml:space="preserve"> it </w:t>
      </w:r>
      <w:r w:rsidR="000C6069">
        <w:rPr>
          <w:sz w:val="24"/>
          <w:szCs w:val="24"/>
          <w:highlight w:val="white"/>
        </w:rPr>
        <w:t xml:space="preserve">is of increasing importance </w:t>
      </w:r>
      <w:r w:rsidRPr="00800743">
        <w:rPr>
          <w:sz w:val="24"/>
          <w:szCs w:val="24"/>
          <w:highlight w:val="white"/>
        </w:rPr>
        <w:t xml:space="preserve">that we understand how interchangeable monoclonal antibody inhibitors </w:t>
      </w:r>
      <w:r>
        <w:rPr>
          <w:sz w:val="24"/>
          <w:szCs w:val="24"/>
          <w:highlight w:val="white"/>
        </w:rPr>
        <w:t>are likely to be when they</w:t>
      </w:r>
      <w:r w:rsidRPr="00800743">
        <w:rPr>
          <w:sz w:val="24"/>
          <w:szCs w:val="24"/>
          <w:highlight w:val="white"/>
        </w:rPr>
        <w:t xml:space="preserve"> share a common therapeutic target.</w:t>
      </w:r>
      <w:r w:rsidR="000C6069">
        <w:rPr>
          <w:sz w:val="24"/>
          <w:szCs w:val="24"/>
          <w:highlight w:val="white"/>
        </w:rPr>
        <w:t xml:space="preserve"> </w:t>
      </w:r>
    </w:p>
    <w:p w14:paraId="24399E7F" w14:textId="77777777" w:rsidR="000C6069" w:rsidRPr="00800743" w:rsidRDefault="000C6069" w:rsidP="00C20157">
      <w:pPr>
        <w:spacing w:line="480" w:lineRule="auto"/>
        <w:jc w:val="both"/>
        <w:rPr>
          <w:sz w:val="24"/>
          <w:szCs w:val="24"/>
          <w:highlight w:val="white"/>
        </w:rPr>
      </w:pPr>
    </w:p>
    <w:p w14:paraId="737AE5A2" w14:textId="5F37EB78" w:rsidR="00E4298E" w:rsidRPr="00800743" w:rsidRDefault="007E4E3C" w:rsidP="00C20157">
      <w:pPr>
        <w:spacing w:line="480" w:lineRule="auto"/>
        <w:jc w:val="both"/>
        <w:rPr>
          <w:sz w:val="24"/>
          <w:szCs w:val="24"/>
          <w:highlight w:val="white"/>
        </w:rPr>
      </w:pPr>
      <w:r w:rsidRPr="00800743">
        <w:rPr>
          <w:sz w:val="24"/>
          <w:szCs w:val="24"/>
          <w:highlight w:val="white"/>
        </w:rPr>
        <w:lastRenderedPageBreak/>
        <w:t>Another key consideration with regards to checkpoint inhibition and targeted monoclonal antibody cancer therapy is the increasing need for a unif</w:t>
      </w:r>
      <w:r w:rsidR="006773B0">
        <w:rPr>
          <w:sz w:val="24"/>
          <w:szCs w:val="24"/>
          <w:highlight w:val="white"/>
        </w:rPr>
        <w:t>ied approach</w:t>
      </w:r>
      <w:r w:rsidRPr="00800743">
        <w:rPr>
          <w:sz w:val="24"/>
          <w:szCs w:val="24"/>
          <w:highlight w:val="white"/>
        </w:rPr>
        <w:t xml:space="preserve"> </w:t>
      </w:r>
      <w:r w:rsidR="006773B0">
        <w:rPr>
          <w:sz w:val="24"/>
          <w:szCs w:val="24"/>
          <w:highlight w:val="white"/>
        </w:rPr>
        <w:t>to identifying</w:t>
      </w:r>
      <w:r w:rsidR="006773B0" w:rsidRPr="00800743">
        <w:rPr>
          <w:sz w:val="24"/>
          <w:szCs w:val="24"/>
          <w:highlight w:val="white"/>
        </w:rPr>
        <w:t xml:space="preserve"> </w:t>
      </w:r>
      <w:r w:rsidRPr="00800743">
        <w:rPr>
          <w:sz w:val="24"/>
          <w:szCs w:val="24"/>
          <w:highlight w:val="white"/>
        </w:rPr>
        <w:t>which patients have the correct target and therefore are most likely t</w:t>
      </w:r>
      <w:r w:rsidR="00607A14" w:rsidRPr="00800743">
        <w:rPr>
          <w:sz w:val="24"/>
          <w:szCs w:val="24"/>
          <w:highlight w:val="white"/>
        </w:rPr>
        <w:t xml:space="preserve">o respond to target inhibition. </w:t>
      </w:r>
      <w:r w:rsidRPr="00800743">
        <w:rPr>
          <w:sz w:val="24"/>
          <w:szCs w:val="24"/>
          <w:highlight w:val="white"/>
        </w:rPr>
        <w:t>In the case of PD-1/PD-L1, most clinical studies look only at patient populations of a certain cancer type, leading to split labels with different anti-PD-1 antibodies for different cancer types. However, given the</w:t>
      </w:r>
      <w:r w:rsidR="006773B0">
        <w:rPr>
          <w:sz w:val="24"/>
          <w:szCs w:val="24"/>
          <w:highlight w:val="white"/>
        </w:rPr>
        <w:t xml:space="preserve"> molecular properties</w:t>
      </w:r>
      <w:r w:rsidRPr="00800743">
        <w:rPr>
          <w:sz w:val="24"/>
          <w:szCs w:val="24"/>
          <w:highlight w:val="white"/>
        </w:rPr>
        <w:t xml:space="preserve"> of these drugs, </w:t>
      </w:r>
      <w:r w:rsidR="00607A14" w:rsidRPr="00800743">
        <w:rPr>
          <w:sz w:val="24"/>
          <w:szCs w:val="24"/>
          <w:highlight w:val="white"/>
        </w:rPr>
        <w:t>basket trials that investigate</w:t>
      </w:r>
      <w:r w:rsidRPr="00800743">
        <w:rPr>
          <w:sz w:val="24"/>
          <w:szCs w:val="24"/>
          <w:highlight w:val="white"/>
        </w:rPr>
        <w:t xml:space="preserve"> efficacy of different PD-1 inhibitors across cancer patients independent of tumour site but dependent on their immunological status</w:t>
      </w:r>
      <w:r w:rsidR="00FF2B53" w:rsidRPr="00800743">
        <w:rPr>
          <w:sz w:val="24"/>
          <w:szCs w:val="24"/>
          <w:highlight w:val="white"/>
          <w:vertAlign w:val="superscript"/>
        </w:rPr>
        <w:fldChar w:fldCharType="begin" w:fldLock="1"/>
      </w:r>
      <w:r w:rsidR="00700962">
        <w:rPr>
          <w:sz w:val="24"/>
          <w:szCs w:val="24"/>
          <w:highlight w:val="white"/>
          <w:vertAlign w:val="superscript"/>
        </w:rPr>
        <w:instrText>ADDIN CSL_CITATION { "citationItems" : [ { "id" : "ITEM-1", "itemData" : { "DOI" : "10.1093/annonc/mdx181", "ISSN" : "1569-8041", "PMID" : "28430855", "author" : [ { "dropping-particle" : "", "family" : "Connell", "given" : "C M", "non-dropping-particle" : "", "parse-names" : false, "suffix" : "" }, { "dropping-particle" : "", "family" : "Raby", "given" : "S", "non-dropping-particle" : "", "parse-names" : false, "suffix" : "" }, { "dropping-particle" : "", "family" : "Beh", "given" : "I", "non-dropping-particle" : "", "parse-names" : false, "suffix" : "" }, { "dropping-particle" : "", "family" : "Flint", "given" : "T", "non-dropping-particle" : "", "parse-names" : false, "suffix" : "" }, { "dropping-particle" : "", "family" : "Williams", "given" : "E", "non-dropping-particle" : "", "parse-names" : false, "suffix" : "" }, { "dropping-particle" : "", "family" : "Fearon", "given" : "D T", "non-dropping-particle" : "", "parse-names" : false, "suffix" : "" }, { "dropping-particle" : "", "family" : "Jodrell", "given" : "D I", "non-dropping-particle" : "", "parse-names" : false, "suffix" : "" }, { "dropping-particle" : "", "family" : "Janowitz", "given" : "T", "non-dropping-particle" : "", "parse-names" : false, "suffix" : "" } ], "container-title" : "Annals of oncology : official journal of the European Society for Medical Oncology", "id" : "ITEM-1", "issued" : { "date-parts" : [ [ "2017", "4" ] ] }, "title" : "Cancer immunotherapy trial registrations increase exponentially but chronic immunosuppressive glucocorticoid therapy may compromise outcomes.", "type" : "article-journal" }, "uris" : [ "http://www.mendeley.com/documents/?uuid=25839894-cba5-457a-a303-cf52ad5d5db8" ] } ], "mendeley" : { "formattedCitation" : "(16)", "manualFormatting" : "[16]", "plainTextFormattedCitation" : "(16)", "previouslyFormattedCitation" : "(16)" }, "properties" : { "noteIndex" : 0 }, "schema" : "https://github.com/citation-style-language/schema/raw/master/csl-citation.json" }</w:instrText>
      </w:r>
      <w:r w:rsidR="00FF2B53" w:rsidRPr="00800743">
        <w:rPr>
          <w:sz w:val="24"/>
          <w:szCs w:val="24"/>
          <w:highlight w:val="white"/>
          <w:vertAlign w:val="superscript"/>
        </w:rPr>
        <w:fldChar w:fldCharType="separate"/>
      </w:r>
      <w:r w:rsidR="00700962">
        <w:rPr>
          <w:noProof/>
          <w:sz w:val="24"/>
          <w:szCs w:val="24"/>
          <w:highlight w:val="white"/>
        </w:rPr>
        <w:t>[</w:t>
      </w:r>
      <w:r w:rsidR="008A468B" w:rsidRPr="008A468B">
        <w:rPr>
          <w:noProof/>
          <w:sz w:val="24"/>
          <w:szCs w:val="24"/>
          <w:highlight w:val="white"/>
        </w:rPr>
        <w:t>16</w:t>
      </w:r>
      <w:r w:rsidR="00700962">
        <w:rPr>
          <w:noProof/>
          <w:sz w:val="24"/>
          <w:szCs w:val="24"/>
          <w:highlight w:val="white"/>
        </w:rPr>
        <w:t>]</w:t>
      </w:r>
      <w:r w:rsidR="00FF2B53" w:rsidRPr="00800743">
        <w:rPr>
          <w:sz w:val="24"/>
          <w:szCs w:val="24"/>
          <w:highlight w:val="white"/>
          <w:vertAlign w:val="superscript"/>
        </w:rPr>
        <w:fldChar w:fldCharType="end"/>
      </w:r>
      <w:r w:rsidRPr="00800743">
        <w:rPr>
          <w:sz w:val="24"/>
          <w:szCs w:val="24"/>
          <w:highlight w:val="white"/>
        </w:rPr>
        <w:t xml:space="preserve"> or PD-1/PD-L1 expression levels may give us a more </w:t>
      </w:r>
      <w:r w:rsidR="0026742A">
        <w:rPr>
          <w:sz w:val="24"/>
          <w:szCs w:val="24"/>
          <w:highlight w:val="white"/>
        </w:rPr>
        <w:t>inclusive</w:t>
      </w:r>
      <w:r w:rsidR="00607A14" w:rsidRPr="00800743">
        <w:rPr>
          <w:sz w:val="24"/>
          <w:szCs w:val="24"/>
          <w:highlight w:val="white"/>
        </w:rPr>
        <w:t xml:space="preserve"> answer with regard to patient selection</w:t>
      </w:r>
      <w:r w:rsidRPr="00800743">
        <w:rPr>
          <w:sz w:val="24"/>
          <w:szCs w:val="24"/>
          <w:highlight w:val="white"/>
        </w:rPr>
        <w:t>.</w:t>
      </w:r>
      <w:r w:rsidR="00607A14" w:rsidRPr="00800743">
        <w:rPr>
          <w:sz w:val="24"/>
          <w:szCs w:val="24"/>
          <w:highlight w:val="white"/>
        </w:rPr>
        <w:t xml:space="preserve"> At the same time</w:t>
      </w:r>
      <w:r w:rsidR="0026742A">
        <w:rPr>
          <w:sz w:val="24"/>
          <w:szCs w:val="24"/>
          <w:highlight w:val="white"/>
        </w:rPr>
        <w:t>,</w:t>
      </w:r>
      <w:r w:rsidR="00607A14" w:rsidRPr="00800743">
        <w:rPr>
          <w:sz w:val="24"/>
          <w:szCs w:val="24"/>
          <w:highlight w:val="white"/>
        </w:rPr>
        <w:t xml:space="preserve"> these trials </w:t>
      </w:r>
      <w:r w:rsidR="006773B0">
        <w:rPr>
          <w:sz w:val="24"/>
          <w:szCs w:val="24"/>
          <w:highlight w:val="white"/>
        </w:rPr>
        <w:t xml:space="preserve">would offer a better </w:t>
      </w:r>
      <w:r w:rsidR="00607A14" w:rsidRPr="00800743">
        <w:rPr>
          <w:sz w:val="24"/>
          <w:szCs w:val="24"/>
          <w:highlight w:val="white"/>
        </w:rPr>
        <w:t xml:space="preserve">understanding </w:t>
      </w:r>
      <w:r w:rsidR="006773B0">
        <w:rPr>
          <w:sz w:val="24"/>
          <w:szCs w:val="24"/>
          <w:highlight w:val="white"/>
        </w:rPr>
        <w:t xml:space="preserve">of the </w:t>
      </w:r>
      <w:r w:rsidR="00607A14" w:rsidRPr="00800743">
        <w:rPr>
          <w:sz w:val="24"/>
          <w:szCs w:val="24"/>
          <w:highlight w:val="white"/>
        </w:rPr>
        <w:t>in</w:t>
      </w:r>
      <w:r w:rsidR="005D3402">
        <w:rPr>
          <w:sz w:val="24"/>
          <w:szCs w:val="24"/>
          <w:highlight w:val="white"/>
        </w:rPr>
        <w:t>terchangea</w:t>
      </w:r>
      <w:r w:rsidR="00607A14" w:rsidRPr="00800743">
        <w:rPr>
          <w:sz w:val="24"/>
          <w:szCs w:val="24"/>
          <w:highlight w:val="white"/>
        </w:rPr>
        <w:t>bility of the medications.</w:t>
      </w:r>
      <w:r w:rsidRPr="00800743">
        <w:rPr>
          <w:sz w:val="24"/>
          <w:szCs w:val="24"/>
          <w:highlight w:val="white"/>
        </w:rPr>
        <w:t xml:space="preserve">  </w:t>
      </w:r>
    </w:p>
    <w:p w14:paraId="33DB309F" w14:textId="25DCDED9" w:rsidR="00607A14" w:rsidRPr="00800743" w:rsidRDefault="007E4E3C" w:rsidP="00C20157">
      <w:pPr>
        <w:spacing w:line="480" w:lineRule="auto"/>
        <w:jc w:val="both"/>
        <w:rPr>
          <w:b/>
          <w:sz w:val="24"/>
          <w:szCs w:val="24"/>
          <w:highlight w:val="white"/>
        </w:rPr>
      </w:pPr>
      <w:r w:rsidRPr="00800743">
        <w:rPr>
          <w:sz w:val="24"/>
          <w:szCs w:val="24"/>
          <w:highlight w:val="white"/>
        </w:rPr>
        <w:t xml:space="preserve"> </w:t>
      </w:r>
    </w:p>
    <w:p w14:paraId="3F373F7D" w14:textId="6A87EBEF" w:rsidR="00E4298E" w:rsidRPr="00800743" w:rsidRDefault="007E4E3C" w:rsidP="00C20157">
      <w:pPr>
        <w:spacing w:line="480" w:lineRule="auto"/>
        <w:jc w:val="both"/>
        <w:outlineLvl w:val="0"/>
        <w:rPr>
          <w:b/>
          <w:sz w:val="24"/>
          <w:szCs w:val="24"/>
          <w:highlight w:val="white"/>
        </w:rPr>
      </w:pPr>
      <w:r w:rsidRPr="00800743">
        <w:rPr>
          <w:b/>
          <w:sz w:val="24"/>
          <w:szCs w:val="24"/>
          <w:highlight w:val="white"/>
        </w:rPr>
        <w:t>Proposed mechanism of action of anti-</w:t>
      </w:r>
      <w:r w:rsidR="00A1122F">
        <w:rPr>
          <w:b/>
          <w:sz w:val="24"/>
          <w:szCs w:val="24"/>
          <w:highlight w:val="white"/>
        </w:rPr>
        <w:t>PD-1</w:t>
      </w:r>
      <w:r w:rsidRPr="00800743">
        <w:rPr>
          <w:b/>
          <w:sz w:val="24"/>
          <w:szCs w:val="24"/>
          <w:highlight w:val="white"/>
        </w:rPr>
        <w:t xml:space="preserve"> antibodies</w:t>
      </w:r>
    </w:p>
    <w:p w14:paraId="5F9B4E61" w14:textId="0FBDE4BA" w:rsidR="00E4298E" w:rsidRPr="00800743" w:rsidRDefault="00607A14" w:rsidP="00C20157">
      <w:pPr>
        <w:spacing w:line="480" w:lineRule="auto"/>
        <w:jc w:val="both"/>
        <w:rPr>
          <w:sz w:val="24"/>
          <w:szCs w:val="24"/>
        </w:rPr>
      </w:pPr>
      <w:r w:rsidRPr="00800743">
        <w:rPr>
          <w:sz w:val="24"/>
          <w:szCs w:val="24"/>
        </w:rPr>
        <w:t xml:space="preserve">Therapeutic antibodies are </w:t>
      </w:r>
      <w:r w:rsidR="007E4E3C" w:rsidRPr="00800743">
        <w:rPr>
          <w:sz w:val="24"/>
          <w:szCs w:val="24"/>
        </w:rPr>
        <w:t>excellent example</w:t>
      </w:r>
      <w:r w:rsidR="00B643D7">
        <w:rPr>
          <w:sz w:val="24"/>
          <w:szCs w:val="24"/>
        </w:rPr>
        <w:t>s</w:t>
      </w:r>
      <w:r w:rsidR="007E4E3C" w:rsidRPr="00800743">
        <w:rPr>
          <w:sz w:val="24"/>
          <w:szCs w:val="24"/>
        </w:rPr>
        <w:t xml:space="preserve"> of the profound link between protein structure and function and it is our understanding of this relationship which has allowed </w:t>
      </w:r>
      <w:r w:rsidR="006773B0">
        <w:rPr>
          <w:sz w:val="24"/>
          <w:szCs w:val="24"/>
        </w:rPr>
        <w:t xml:space="preserve">the </w:t>
      </w:r>
      <w:r w:rsidR="007E4E3C" w:rsidRPr="00800743">
        <w:rPr>
          <w:sz w:val="24"/>
          <w:szCs w:val="24"/>
        </w:rPr>
        <w:t>engineer</w:t>
      </w:r>
      <w:r w:rsidR="006773B0">
        <w:rPr>
          <w:sz w:val="24"/>
          <w:szCs w:val="24"/>
        </w:rPr>
        <w:t>ing of</w:t>
      </w:r>
      <w:r w:rsidR="007E4E3C" w:rsidRPr="00800743">
        <w:rPr>
          <w:sz w:val="24"/>
          <w:szCs w:val="24"/>
        </w:rPr>
        <w:t xml:space="preserve"> structural modifications </w:t>
      </w:r>
      <w:r w:rsidR="006773B0">
        <w:rPr>
          <w:sz w:val="24"/>
          <w:szCs w:val="24"/>
        </w:rPr>
        <w:t>that enhance</w:t>
      </w:r>
      <w:r w:rsidRPr="00800743">
        <w:rPr>
          <w:sz w:val="24"/>
          <w:szCs w:val="24"/>
        </w:rPr>
        <w:t xml:space="preserve"> antibody therapies. </w:t>
      </w:r>
      <w:r w:rsidR="007E4E3C" w:rsidRPr="00800743">
        <w:rPr>
          <w:sz w:val="24"/>
          <w:szCs w:val="24"/>
        </w:rPr>
        <w:t>Antibodies can be functionally divided into a variable and constant region. The variable region of the antibody binds the target (in this case, the immune checkpoint molecule</w:t>
      </w:r>
      <w:r w:rsidR="009F17E8">
        <w:rPr>
          <w:sz w:val="24"/>
          <w:szCs w:val="24"/>
        </w:rPr>
        <w:t>, PD-1</w:t>
      </w:r>
      <w:r w:rsidR="007E4E3C" w:rsidRPr="00800743">
        <w:rPr>
          <w:sz w:val="24"/>
          <w:szCs w:val="24"/>
        </w:rPr>
        <w:t xml:space="preserve">). The high </w:t>
      </w:r>
      <w:r w:rsidRPr="00800743">
        <w:rPr>
          <w:sz w:val="24"/>
          <w:szCs w:val="24"/>
        </w:rPr>
        <w:t xml:space="preserve">binding </w:t>
      </w:r>
      <w:r w:rsidR="007E4E3C" w:rsidRPr="00800743">
        <w:rPr>
          <w:sz w:val="24"/>
          <w:szCs w:val="24"/>
        </w:rPr>
        <w:t>affinity and</w:t>
      </w:r>
      <w:r w:rsidR="006773B0">
        <w:rPr>
          <w:sz w:val="24"/>
          <w:szCs w:val="24"/>
        </w:rPr>
        <w:t xml:space="preserve"> </w:t>
      </w:r>
      <w:r w:rsidR="007E4E3C" w:rsidRPr="00800743">
        <w:rPr>
          <w:sz w:val="24"/>
          <w:szCs w:val="24"/>
        </w:rPr>
        <w:t xml:space="preserve">specificity of this interaction </w:t>
      </w:r>
      <w:r w:rsidR="00E40844">
        <w:rPr>
          <w:sz w:val="24"/>
          <w:szCs w:val="24"/>
        </w:rPr>
        <w:t>is responsible in large part for</w:t>
      </w:r>
      <w:r w:rsidR="00E40844" w:rsidRPr="00800743">
        <w:rPr>
          <w:sz w:val="24"/>
          <w:szCs w:val="24"/>
        </w:rPr>
        <w:t xml:space="preserve"> </w:t>
      </w:r>
      <w:r w:rsidR="007E4E3C" w:rsidRPr="00800743">
        <w:rPr>
          <w:sz w:val="24"/>
          <w:szCs w:val="24"/>
        </w:rPr>
        <w:t xml:space="preserve">the clinical effectiveness of antibodies as therapeutic molecules. The binding of antibodies to surface receptors as targets can have numerous effects. </w:t>
      </w:r>
      <w:r w:rsidR="00653310" w:rsidRPr="00800743">
        <w:rPr>
          <w:sz w:val="24"/>
          <w:szCs w:val="24"/>
        </w:rPr>
        <w:t>It</w:t>
      </w:r>
      <w:r w:rsidR="007E4E3C" w:rsidRPr="00800743">
        <w:rPr>
          <w:sz w:val="24"/>
          <w:szCs w:val="24"/>
        </w:rPr>
        <w:t xml:space="preserve"> can directly neutralise receptor/ligand binding</w:t>
      </w:r>
      <w:r w:rsidRPr="00800743">
        <w:rPr>
          <w:sz w:val="24"/>
          <w:szCs w:val="24"/>
        </w:rPr>
        <w:t xml:space="preserve">, but can also </w:t>
      </w:r>
      <w:r w:rsidR="007E4E3C" w:rsidRPr="00800743">
        <w:rPr>
          <w:sz w:val="24"/>
          <w:szCs w:val="24"/>
        </w:rPr>
        <w:t>induce internalisation of the receptor from the cell surface</w:t>
      </w:r>
      <w:r w:rsidR="00401AEF">
        <w:rPr>
          <w:sz w:val="24"/>
          <w:szCs w:val="24"/>
        </w:rPr>
        <w:t xml:space="preserve"> </w:t>
      </w:r>
      <w:r w:rsidR="00B62618">
        <w:rPr>
          <w:sz w:val="24"/>
          <w:szCs w:val="24"/>
        </w:rPr>
        <w:fldChar w:fldCharType="begin" w:fldLock="1"/>
      </w:r>
      <w:r w:rsidR="00B720EE">
        <w:rPr>
          <w:sz w:val="24"/>
          <w:szCs w:val="24"/>
        </w:rPr>
        <w:instrText>ADDIN CSL_CITATION { "citationItems" : [ { "id" : "ITEM-1", "itemData" : { "ISSN" : "1476-5586", "PMID" : "18084617", "abstract" : "Overexpression of the epidermal growth factor receptor (EGFR) in epithelial tumors is associated with poor prognosis and is the target for a number of cancer therapeutics. Monoclonal antibody (mAb) 806 is a novel anti-EGFR antibody with significant therapeutic efficacy in tumor models when used as a single agent, and displays synergistic antitumor activity in combination with other EGFR therapeutics. Unlike other EGFR antibodies, mAb 806 is selective for tumor cells and does not bind to normal tissue, making it an ideal candidate for generation of radioisotope or toxin conjugates. Ideally, antibodies suited to these therapeutic applications must bind to and actively internalize their cognate receptor. We investigated the intracellular trafficking of fluorescently tagged mAb 806 in live cells and analyzed its biodistribution in a tumor xenografted nude mouse model. Following binding to EGFR, mAb 806 was internalized through dynamin-dependent, clathrin-mediated endocytosis. Internalized mAb 806 localized to early endosomes and subsequently trafficked to and accumulation in lysosomal compartments. Furthermore, biodistribution analysis in nude mice showed specific uptake and retention of radiolabeled mAb 806 to human tumor xenografts. These results highlight the potential use of mAb 806 for generation of conjugates suitable for diagnostic and therapeutic use in patients with EGFR-positive malignancies.", "author" : [ { "dropping-particle" : "", "family" : "Perera", "given" : "Rushika M", "non-dropping-particle" : "", "parse-names" : false, "suffix" : "" }, { "dropping-particle" : "", "family" : "Zoncu", "given" : "Roberto", "non-dropping-particle" : "", "parse-names" : false, "suffix" : "" }, { "dropping-particle" : "", "family" : "Johns", "given" : "Terrance G", "non-dropping-particle" : "", "parse-names" : false, "suffix" : "" }, { "dropping-particle" : "", "family" : "Pypaert", "given" : "Marc", "non-dropping-particle" : "", "parse-names" : false, "suffix" : "" }, { "dropping-particle" : "", "family" : "Lee", "given" : "Fook-Thean", "non-dropping-particle" : "", "parse-names" : false, "suffix" : "" }, { "dropping-particle" : "", "family" : "Mellman", "given" : "Ira", "non-dropping-particle" : "", "parse-names" : false, "suffix" : "" }, { "dropping-particle" : "", "family" : "Old", "given" : "Lloyd J", "non-dropping-particle" : "", "parse-names" : false, "suffix" : "" }, { "dropping-particle" : "", "family" : "Toomre", "given" : "Derek K", "non-dropping-particle" : "", "parse-names" : false, "suffix" : "" }, { "dropping-particle" : "", "family" : "Scott", "given" : "Andrew M", "non-dropping-particle" : "", "parse-names" : false, "suffix" : "" } ], "container-title" : "Neoplasia (New York, N.Y.)", "id" : "ITEM-1", "issue" : "12", "issued" : { "date-parts" : [ [ "2007", "12" ] ] }, "page" : "1099-110", "publisher" : "Neoplasia Press", "title" : "Internalization, intracellular trafficking, and biodistribution of monoclonal antibody 806: a novel anti-epidermal growth factor receptor antibody.", "type" : "article-journal", "volume" : "9" }, "uris" : [ "http://www.mendeley.com/documents/?uuid=064b14f9-bf14-3794-bc08-43df455172b1", "http://www.mendeley.com/documents/?uuid=31ea7657-cc01-4101-bcd0-e7d93642e06f" ] } ], "mendeley" : { "formattedCitation" : "(17)", "manualFormatting" : "[17]", "plainTextFormattedCitation" : "(17)", "previouslyFormattedCitation" : "(17)" }, "properties" : { "noteIndex" : 0 }, "schema" : "https://github.com/citation-style-language/schema/raw/master/csl-citation.json" }</w:instrText>
      </w:r>
      <w:r w:rsidR="00B62618">
        <w:rPr>
          <w:sz w:val="24"/>
          <w:szCs w:val="24"/>
        </w:rPr>
        <w:fldChar w:fldCharType="separate"/>
      </w:r>
      <w:r w:rsidR="00B720EE">
        <w:rPr>
          <w:noProof/>
          <w:sz w:val="24"/>
          <w:szCs w:val="24"/>
        </w:rPr>
        <w:t>[</w:t>
      </w:r>
      <w:r w:rsidR="00B62618" w:rsidRPr="00B62618">
        <w:rPr>
          <w:noProof/>
          <w:sz w:val="24"/>
          <w:szCs w:val="24"/>
        </w:rPr>
        <w:t>17</w:t>
      </w:r>
      <w:r w:rsidR="00B720EE">
        <w:rPr>
          <w:noProof/>
          <w:sz w:val="24"/>
          <w:szCs w:val="24"/>
        </w:rPr>
        <w:t>]</w:t>
      </w:r>
      <w:r w:rsidR="00B62618">
        <w:rPr>
          <w:sz w:val="24"/>
          <w:szCs w:val="24"/>
        </w:rPr>
        <w:fldChar w:fldCharType="end"/>
      </w:r>
      <w:r w:rsidR="007E4E3C" w:rsidRPr="00800743">
        <w:rPr>
          <w:sz w:val="24"/>
          <w:szCs w:val="24"/>
        </w:rPr>
        <w:t xml:space="preserve">. </w:t>
      </w:r>
      <w:r w:rsidR="00B720EE">
        <w:rPr>
          <w:sz w:val="24"/>
          <w:szCs w:val="24"/>
        </w:rPr>
        <w:t>Most</w:t>
      </w:r>
      <w:r w:rsidR="007E4E3C" w:rsidRPr="00800743">
        <w:rPr>
          <w:sz w:val="24"/>
          <w:szCs w:val="24"/>
        </w:rPr>
        <w:t xml:space="preserve"> therapeutic antibody classes contain two or more epitope binding </w:t>
      </w:r>
      <w:r w:rsidR="007E4E3C" w:rsidRPr="00800743">
        <w:rPr>
          <w:sz w:val="24"/>
          <w:szCs w:val="24"/>
        </w:rPr>
        <w:lastRenderedPageBreak/>
        <w:t xml:space="preserve">sites, </w:t>
      </w:r>
      <w:r w:rsidR="00B720EE">
        <w:rPr>
          <w:sz w:val="24"/>
          <w:szCs w:val="24"/>
        </w:rPr>
        <w:t xml:space="preserve">so they </w:t>
      </w:r>
      <w:r w:rsidR="007E4E3C" w:rsidRPr="00800743">
        <w:rPr>
          <w:sz w:val="24"/>
          <w:szCs w:val="24"/>
        </w:rPr>
        <w:t>can mimic the dimerization event</w:t>
      </w:r>
      <w:r w:rsidR="00B720EE">
        <w:rPr>
          <w:sz w:val="24"/>
          <w:szCs w:val="24"/>
        </w:rPr>
        <w:t xml:space="preserve"> of cell surface receptors</w:t>
      </w:r>
      <w:r w:rsidR="007E4E3C" w:rsidRPr="00800743">
        <w:rPr>
          <w:sz w:val="24"/>
          <w:szCs w:val="24"/>
        </w:rPr>
        <w:t xml:space="preserve"> and exhibit agonist activity</w:t>
      </w:r>
      <w:r w:rsidR="00B62618">
        <w:rPr>
          <w:sz w:val="24"/>
          <w:szCs w:val="24"/>
        </w:rPr>
        <w:t xml:space="preserve"> </w:t>
      </w:r>
      <w:r w:rsidR="00B62618">
        <w:rPr>
          <w:sz w:val="24"/>
          <w:szCs w:val="24"/>
        </w:rPr>
        <w:fldChar w:fldCharType="begin" w:fldLock="1"/>
      </w:r>
      <w:r w:rsidR="00B720EE">
        <w:rPr>
          <w:sz w:val="24"/>
          <w:szCs w:val="24"/>
        </w:rPr>
        <w:instrText>ADDIN CSL_CITATION { "citationItems" : [ { "id" : "ITEM-1", "itemData" : { "abstract" : "The relationship between epidermal growth factor receptor (EGF-R) protein tyrosine kinase activation and ligand-induced receptor dimerization was inves-tigated using several bivalent anti-EGF-R antibodies directed against various receptor epitopes. In A431 membrane preparations and permeabilized cells, all antibodies were able to activate the EGF-R tyrosine kinase, as measured by EGF-R autophosphorylation and phosphorylation of other substrates on tyrosine residues. EGF-R tyrosine kinase activation correlated strongly with the induction of EGF-R dimerization. (i) Both processes specifically occurred in a narrow anti-body concentration range; (ii) both processes required the presence of detergent; and (iii) both processes de-pended on antibody bivalence since monovalent Fab fragments were inactive yet regained full activity after cross-linking by a second bivalent antibody. These data demonstrate that antibody bivalence is essential and sufficient for EGF-R activation and that activation occurs regardless of the EGF-R epitope recognized. Finally, EGF-R dimerization was shown not to depend on receptor autophosphorylation since it still occurred in the absence of ATP. Also, partial inhibition of the tyrosine kinase activity by the specific EGF-R tyrosine kinase inhibitor tyrphostin AG 2 1 3 did not affect for-mation of EGF-R dimers. Taken together these results demonstrate that induction of EGF-R dimerization is sufficient and in case of antibody action, essential, for activation of the EGF-R tyrosine kinase and thus pro-vide strong support for an intermolecular mechanism of EGF-R tyrosine kinase activation. The epidermal growth factor receptor (EGF-R)' is a trans-membrane glycoprotein of 170 kDa with an extracellular ligand binding domain, a single hydrophobic transmembrane stretch, and an intracellular domain containing protein tyro-sine kinase activity (1). Binding of EGF to the receptor enhances this activity, thus catalyzing tyrosine", "author" : [ { "dropping-particle" : "", "family" : "Spaargarensjli", "given" : "Marcel", "non-dropping-particle" : "", "parse-names" : false, "suffix" : "" }, { "dropping-particle" : "", "family" : "Defizes", "given" : "Libert H K", "non-dropping-particle" : "", "parse-names" : false, "suffix" : "" }, { "dropping-particle" : "", "family" : "Boonstrag", "given" : "Johannes", "non-dropping-particle" : "", "parse-names" : false, "suffix" : "" }, { "dropping-particle" : "", "family" : "Laat$", "given" : "Siegfried W", "non-dropping-particle" : "De", "parse-names" : false, "suffix" : "" } ], "container-title" : "THE JOURNAL OF BIOLOGICAL CHEMISTRY (c)", "id" : "ITEM-1", "issue" : "3", "issued" : { "date-parts" : [ [ "1991" ] ] }, "page" : "1733-1739", "title" : "Antibody-induced Dimerization Activates the Epidermal Growth Factor Receptor Tyrosine Kinase*", "type" : "article-journal", "volume" : "266" }, "uris" : [ "http://www.mendeley.com/documents/?uuid=b3730562-0835-3fb7-bf91-e367adc153d8", "http://www.mendeley.com/documents/?uuid=d64ab0cc-8e31-4419-825b-62d6e5ba31d7" ] } ], "mendeley" : { "formattedCitation" : "(18)", "manualFormatting" : "[18]", "plainTextFormattedCitation" : "(18)", "previouslyFormattedCitation" : "(18)" }, "properties" : { "noteIndex" : 0 }, "schema" : "https://github.com/citation-style-language/schema/raw/master/csl-citation.json" }</w:instrText>
      </w:r>
      <w:r w:rsidR="00B62618">
        <w:rPr>
          <w:sz w:val="24"/>
          <w:szCs w:val="24"/>
        </w:rPr>
        <w:fldChar w:fldCharType="separate"/>
      </w:r>
      <w:r w:rsidR="00B720EE">
        <w:rPr>
          <w:noProof/>
          <w:sz w:val="24"/>
          <w:szCs w:val="24"/>
        </w:rPr>
        <w:t>[</w:t>
      </w:r>
      <w:r w:rsidR="00B62618" w:rsidRPr="00B62618">
        <w:rPr>
          <w:noProof/>
          <w:sz w:val="24"/>
          <w:szCs w:val="24"/>
        </w:rPr>
        <w:t>18</w:t>
      </w:r>
      <w:r w:rsidR="00B720EE">
        <w:rPr>
          <w:noProof/>
          <w:sz w:val="24"/>
          <w:szCs w:val="24"/>
        </w:rPr>
        <w:t>]</w:t>
      </w:r>
      <w:r w:rsidR="00B62618">
        <w:rPr>
          <w:sz w:val="24"/>
          <w:szCs w:val="24"/>
        </w:rPr>
        <w:fldChar w:fldCharType="end"/>
      </w:r>
      <w:r w:rsidR="007E4E3C" w:rsidRPr="00800743">
        <w:rPr>
          <w:sz w:val="24"/>
          <w:szCs w:val="24"/>
        </w:rPr>
        <w:t xml:space="preserve">. The constant region of the antibody can add further layers of drug action. Depending on the antibody class, the constant region can interact with various receptors of the immune system to recruit antibody-mediated </w:t>
      </w:r>
      <w:r w:rsidR="00C0435A">
        <w:rPr>
          <w:sz w:val="24"/>
          <w:szCs w:val="24"/>
        </w:rPr>
        <w:t xml:space="preserve">immune </w:t>
      </w:r>
      <w:r w:rsidR="007E4E3C" w:rsidRPr="00800743">
        <w:rPr>
          <w:sz w:val="24"/>
          <w:szCs w:val="24"/>
        </w:rPr>
        <w:t>effector functions</w:t>
      </w:r>
      <w:r w:rsidR="00B62618">
        <w:rPr>
          <w:sz w:val="24"/>
          <w:szCs w:val="24"/>
        </w:rPr>
        <w:t xml:space="preserve"> such as target cell lysis</w:t>
      </w:r>
      <w:r w:rsidR="00D569D2">
        <w:rPr>
          <w:sz w:val="24"/>
          <w:szCs w:val="24"/>
        </w:rPr>
        <w:t xml:space="preserve"> </w:t>
      </w:r>
      <w:r w:rsidR="00B62618">
        <w:rPr>
          <w:sz w:val="24"/>
          <w:szCs w:val="24"/>
        </w:rPr>
        <w:t xml:space="preserve">or phagocytosis </w:t>
      </w:r>
      <w:r w:rsidR="00B62618">
        <w:rPr>
          <w:sz w:val="24"/>
          <w:szCs w:val="24"/>
        </w:rPr>
        <w:fldChar w:fldCharType="begin" w:fldLock="1"/>
      </w:r>
      <w:r w:rsidR="00B720EE">
        <w:rPr>
          <w:sz w:val="24"/>
          <w:szCs w:val="24"/>
        </w:rPr>
        <w:instrText>ADDIN CSL_CITATION { "citationItems" : [ { "id" : "ITEM-1", "itemData" : { "DOI" : "10.1158/1535-7163.MCT-06-0766", "ISSN" : "1535-7163", "PMID" : "17620435", "abstract" : "Trastuzumab is a recombinant antibody drug that is widely used for the treatment of breast cancer. Despite encouraging clinical results, some cancers are primarily resistant to trastuzumab, and a majority of those initially responding become resistant during prolonged treatment. The mechanisms of trastuzumab resistance have not been fully understood. We examined the role of antibody-dependent cellular cytotoxicity (ADCC) using JIMT-1 cells that are ErbB2 positive but intrinsically resistant to trastuzumab in vitro. Unexpectedly, in experiments mimicking adjuvant therapy of submacroscopic disease in vivo (JIMT-1 cells inoculated s.c. in severe combined immunodeficiency mice), trastuzumab was able to inhibit the outgrowth of macroscopically detectable xenograft tumors for up to 5-7 weeks. The effect is likely to be mediated via ADCC because trastuzumab-F(ab')(2) was ineffective in this model. Moreover, in vitro ADCC reaction of human leukocytes was equally strong against breast cancer cells intrinsically sensitive (SKBR-3) or resistant (JIMT-1) to trastuzumab or even against a subline of JIMT-1 that was established from xenograft tumors growing despite trastuzumab treatment. These results suggest that ADCC may be the predominant mechanism of trastuzumab action on submacroscopic tumor spread. Thus, measuring the ADCC activity of patient's leukocytes against the tumor cells may be a relevant predictor of clinical trastuzumab responsiveness in vivo.", "author" : [ { "dropping-particle" : "", "family" : "Barok", "given" : "M.", "non-dropping-particle" : "", "parse-names" : false, "suffix" : "" }, { "dropping-particle" : "", "family" : "Isola", "given" : "J.", "non-dropping-particle" : "", "parse-names" : false, "suffix" : "" }, { "dropping-particle" : "", "family" : "Palyi-Krekk", "given" : "Z.", "non-dropping-particle" : "", "parse-names" : false, "suffix" : "" }, { "dropping-particle" : "", "family" : "Nagy", "given" : "P.", "non-dropping-particle" : "", "parse-names" : false, "suffix" : "" }, { "dropping-particle" : "", "family" : "Juhasz", "given" : "I.", "non-dropping-particle" : "", "parse-names" : false, "suffix" : "" }, { "dropping-particle" : "", "family" : "Vereb", "given" : "G.", "non-dropping-particle" : "", "parse-names" : false, "suffix" : "" }, { "dropping-particle" : "", "family" : "Kauraniemi", "given" : "P.", "non-dropping-particle" : "", "parse-names" : false, "suffix" : "" }, { "dropping-particle" : "", "family" : "Kapanen", "given" : "A.", "non-dropping-particle" : "", "parse-names" : false, "suffix" : "" }, { "dropping-particle" : "", "family" : "Tanner", "given" : "M.", "non-dropping-particle" : "", "parse-names" : false, "suffix" : "" }, { "dropping-particle" : "", "family" : "Vereb", "given" : "G.", "non-dropping-particle" : "", "parse-names" : false, "suffix" : "" }, { "dropping-particle" : "", "family" : "Szollosi", "given" : "J.", "non-dropping-particle" : "", "parse-names" : false, "suffix" : "" } ], "container-title" : "Molecular Cancer Therapeutics", "id" : "ITEM-1", "issue" : "7", "issued" : { "date-parts" : [ [ "2007", "7" ] ] }, "page" : "2065-2072", "title" : "Trastuzumab causes antibody-dependent cellular cytotoxicity-mediated growth inhibition of submacroscopic JIMT-1 breast cancer xenografts despite intrinsic drug resistance", "type" : "article-journal", "volume" : "6" }, "uris" : [ "http://www.mendeley.com/documents/?uuid=933fa981-5fa1-3276-b9dd-c28202549733", "http://www.mendeley.com/documents/?uuid=dd619c1b-6d0f-4b8a-b6fc-d006326af513" ] } ], "mendeley" : { "formattedCitation" : "(19)", "manualFormatting" : "[19]", "plainTextFormattedCitation" : "(19)", "previouslyFormattedCitation" : "(19)" }, "properties" : { "noteIndex" : 0 }, "schema" : "https://github.com/citation-style-language/schema/raw/master/csl-citation.json" }</w:instrText>
      </w:r>
      <w:r w:rsidR="00B62618">
        <w:rPr>
          <w:sz w:val="24"/>
          <w:szCs w:val="24"/>
        </w:rPr>
        <w:fldChar w:fldCharType="separate"/>
      </w:r>
      <w:r w:rsidR="00B720EE">
        <w:rPr>
          <w:noProof/>
          <w:sz w:val="24"/>
          <w:szCs w:val="24"/>
        </w:rPr>
        <w:t>[</w:t>
      </w:r>
      <w:r w:rsidR="00B62618" w:rsidRPr="00B62618">
        <w:rPr>
          <w:noProof/>
          <w:sz w:val="24"/>
          <w:szCs w:val="24"/>
        </w:rPr>
        <w:t>19</w:t>
      </w:r>
      <w:r w:rsidR="00B720EE">
        <w:rPr>
          <w:noProof/>
          <w:sz w:val="24"/>
          <w:szCs w:val="24"/>
        </w:rPr>
        <w:t>]</w:t>
      </w:r>
      <w:r w:rsidR="00B62618">
        <w:rPr>
          <w:sz w:val="24"/>
          <w:szCs w:val="24"/>
        </w:rPr>
        <w:fldChar w:fldCharType="end"/>
      </w:r>
      <w:r w:rsidR="007E4E3C" w:rsidRPr="00800743">
        <w:rPr>
          <w:sz w:val="24"/>
          <w:szCs w:val="24"/>
        </w:rPr>
        <w:t xml:space="preserve">. In addition, </w:t>
      </w:r>
      <w:r w:rsidRPr="00800743">
        <w:rPr>
          <w:sz w:val="24"/>
          <w:szCs w:val="24"/>
        </w:rPr>
        <w:t xml:space="preserve">engineered </w:t>
      </w:r>
      <w:r w:rsidR="007E4E3C" w:rsidRPr="00800743">
        <w:rPr>
          <w:sz w:val="24"/>
          <w:szCs w:val="24"/>
        </w:rPr>
        <w:t xml:space="preserve">drug </w:t>
      </w:r>
      <w:r w:rsidR="00E40844">
        <w:rPr>
          <w:sz w:val="24"/>
          <w:szCs w:val="24"/>
        </w:rPr>
        <w:t>adducts</w:t>
      </w:r>
      <w:r w:rsidR="00E40844" w:rsidRPr="00800743">
        <w:rPr>
          <w:sz w:val="24"/>
          <w:szCs w:val="24"/>
        </w:rPr>
        <w:t xml:space="preserve"> </w:t>
      </w:r>
      <w:r w:rsidR="007E4E3C" w:rsidRPr="00800743">
        <w:rPr>
          <w:sz w:val="24"/>
          <w:szCs w:val="24"/>
        </w:rPr>
        <w:t>can be added to the antibody to enable targeted delivery of toxic molecules to tumour cells.</w:t>
      </w:r>
      <w:r w:rsidR="00B62618">
        <w:rPr>
          <w:sz w:val="24"/>
          <w:szCs w:val="24"/>
        </w:rPr>
        <w:t xml:space="preserve"> </w:t>
      </w:r>
      <w:r w:rsidR="00B62618">
        <w:rPr>
          <w:sz w:val="24"/>
          <w:szCs w:val="24"/>
        </w:rPr>
        <w:fldChar w:fldCharType="begin" w:fldLock="1"/>
      </w:r>
      <w:r w:rsidR="00B720EE">
        <w:rPr>
          <w:sz w:val="24"/>
          <w:szCs w:val="24"/>
        </w:rPr>
        <w:instrText>ADDIN CSL_CITATION { "citationItems" : [ { "id" : "ITEM-1", "itemData" : { "author" : [ { "dropping-particle" : "", "family" : "Lewis Phillips", "given" : "Gail D.", "non-dropping-particle" : "", "parse-names" : false, "suffix" : "" }, { "dropping-particle" : "", "family" : "Li", "given" : "Guangmin", "non-dropping-particle" : "", "parse-names" : false, "suffix" : "" }, { "dropping-particle" : "", "family" : "Dugger", "given" : "Debra L.", "non-dropping-particle" : "", "parse-names" : false, "suffix" : "" }, { "dropping-particle" : "", "family" : "Crocker", "given" : "Lisa M.", "non-dropping-particle" : "", "parse-names" : false, "suffix" : "" }, { "dropping-particle" : "", "family" : "Parsons", "given" : "Kathryn L.", "non-dropping-particle" : "", "parse-names" : false, "suffix" : "" }, { "dropping-particle" : "", "family" : "Mai", "given" : "Elaine", "non-dropping-particle" : "", "parse-names" : false, "suffix" : "" }, { "dropping-particle" : "", "family" : "Bl\u00e4ttler", "given" : "Walter A.", "non-dropping-particle" : "", "parse-names" : false, "suffix" : "" }, { "dropping-particle" : "", "family" : "Lambert", "given" : "John M.", "non-dropping-particle" : "", "parse-names" : false, "suffix" : "" }, { "dropping-particle" : "", "family" : "Chari", "given" : "Ravi V.J.", "non-dropping-particle" : "", "parse-names" : false, "suffix" : "" }, { "dropping-particle" : "", "family" : "Lutz", "given" : "Robert J.", "non-dropping-particle" : "", "parse-names" : false, "suffix" : "" }, { "dropping-particle" : "", "family" : "Wong", "given" : "Wai Lee T.", "non-dropping-particle" : "", "parse-names" : false, "suffix" : "" }, { "dropping-particle" : "", "family" : "Jacobson", "given" : "Frederic S.", "non-dropping-particle" : "", "parse-names" : false, "suffix" : "" }, { "dropping-particle" : "", "family" : "Koeppen", "given" : "Hartmut", "non-dropping-particle" : "", "parse-names" : false, "suffix" : "" }, { "dropping-particle" : "", "family" : "Schwall", "given" : "Ralph H.", "non-dropping-particle" : "", "parse-names" : false, "suffix" : "" }, { "dropping-particle" : "", "family" : "Kenkare-Mitra", "given" : "Sara R.", "non-dropping-particle" : "", "parse-names" : false, "suffix" : "" }, { "dropping-particle" : "", "family" : "Spencer", "given" : "Susan D.", "non-dropping-particle" : "", "parse-names" : false, "suffix" : "" }, { "dropping-particle" : "", "family" : "Sliwkowski", "given" : "Mark X.", "non-dropping-particle" : "", "parse-names" : false, "suffix" : "" } ], "container-title" : "Cancer Research", "id" : "ITEM-1", "issue" : "22", "issued" : { "date-parts" : [ [ "2008" ] ] }, "title" : "Targeting HER2-Positive Breast Cancer with Trastuzumab-DM1, an Antibody\u2013Cytotoxic Drug Conjugate", "type" : "article-journal", "volume" : "68" }, "uris" : [ "http://www.mendeley.com/documents/?uuid=b4de79a1-d107-3cf7-9355-d8cc5a0751e4", "http://www.mendeley.com/documents/?uuid=b29dbc5c-c852-40f5-b4c2-773b707f82aa" ] } ], "mendeley" : { "formattedCitation" : "(20)", "manualFormatting" : "[20]", "plainTextFormattedCitation" : "(20)", "previouslyFormattedCitation" : "(20)" }, "properties" : { "noteIndex" : 0 }, "schema" : "https://github.com/citation-style-language/schema/raw/master/csl-citation.json" }</w:instrText>
      </w:r>
      <w:r w:rsidR="00B62618">
        <w:rPr>
          <w:sz w:val="24"/>
          <w:szCs w:val="24"/>
        </w:rPr>
        <w:fldChar w:fldCharType="separate"/>
      </w:r>
      <w:r w:rsidR="00B720EE">
        <w:rPr>
          <w:noProof/>
          <w:sz w:val="24"/>
          <w:szCs w:val="24"/>
        </w:rPr>
        <w:t>[</w:t>
      </w:r>
      <w:r w:rsidR="00B62618" w:rsidRPr="00B62618">
        <w:rPr>
          <w:noProof/>
          <w:sz w:val="24"/>
          <w:szCs w:val="24"/>
        </w:rPr>
        <w:t>20</w:t>
      </w:r>
      <w:r w:rsidR="00B720EE">
        <w:rPr>
          <w:noProof/>
          <w:sz w:val="24"/>
          <w:szCs w:val="24"/>
        </w:rPr>
        <w:t>]</w:t>
      </w:r>
      <w:r w:rsidR="00B62618">
        <w:rPr>
          <w:sz w:val="24"/>
          <w:szCs w:val="24"/>
        </w:rPr>
        <w:fldChar w:fldCharType="end"/>
      </w:r>
      <w:r w:rsidR="00D569D2">
        <w:rPr>
          <w:sz w:val="24"/>
          <w:szCs w:val="24"/>
        </w:rPr>
        <w:t xml:space="preserve"> </w:t>
      </w:r>
    </w:p>
    <w:p w14:paraId="44635E01" w14:textId="2BCCFDB5" w:rsidR="00E4298E" w:rsidRDefault="007E4E3C" w:rsidP="00C20157">
      <w:pPr>
        <w:spacing w:line="480" w:lineRule="auto"/>
        <w:jc w:val="both"/>
        <w:rPr>
          <w:sz w:val="24"/>
          <w:szCs w:val="24"/>
        </w:rPr>
      </w:pPr>
      <w:r w:rsidRPr="00800743">
        <w:rPr>
          <w:sz w:val="24"/>
          <w:szCs w:val="24"/>
        </w:rPr>
        <w:t xml:space="preserve"> In the case of PD-1 inhibitors, the proposed </w:t>
      </w:r>
      <w:r w:rsidR="00607A14" w:rsidRPr="00800743">
        <w:rPr>
          <w:sz w:val="24"/>
          <w:szCs w:val="24"/>
        </w:rPr>
        <w:t>mechanism of action is singular:</w:t>
      </w:r>
      <w:r w:rsidRPr="00800743">
        <w:rPr>
          <w:sz w:val="24"/>
          <w:szCs w:val="24"/>
        </w:rPr>
        <w:t xml:space="preserve"> the blockade of the </w:t>
      </w:r>
      <w:r w:rsidR="00A1122F">
        <w:rPr>
          <w:sz w:val="24"/>
          <w:szCs w:val="24"/>
        </w:rPr>
        <w:t>PD-1</w:t>
      </w:r>
      <w:r w:rsidRPr="00800743">
        <w:rPr>
          <w:sz w:val="24"/>
          <w:szCs w:val="24"/>
        </w:rPr>
        <w:t xml:space="preserve">-PD-L1/2 interaction. Both </w:t>
      </w:r>
      <w:r w:rsidR="00392C96">
        <w:rPr>
          <w:sz w:val="24"/>
          <w:szCs w:val="24"/>
        </w:rPr>
        <w:t>nivolumab</w:t>
      </w:r>
      <w:r w:rsidRPr="00800743">
        <w:rPr>
          <w:sz w:val="24"/>
          <w:szCs w:val="24"/>
        </w:rPr>
        <w:t xml:space="preserve"> and </w:t>
      </w:r>
      <w:r w:rsidR="00392C96">
        <w:rPr>
          <w:sz w:val="24"/>
          <w:szCs w:val="24"/>
        </w:rPr>
        <w:t>pembrolizumab</w:t>
      </w:r>
      <w:r w:rsidRPr="00800743">
        <w:rPr>
          <w:sz w:val="24"/>
          <w:szCs w:val="24"/>
        </w:rPr>
        <w:t xml:space="preserve"> target epitopes on the PD-1 molecule with high affinity and specificity</w:t>
      </w:r>
      <w:r w:rsidR="00C0435A">
        <w:rPr>
          <w:sz w:val="24"/>
          <w:szCs w:val="24"/>
        </w:rPr>
        <w:t xml:space="preserve"> </w:t>
      </w:r>
      <w:r w:rsidR="00C0435A">
        <w:rPr>
          <w:sz w:val="24"/>
          <w:szCs w:val="24"/>
        </w:rPr>
        <w:fldChar w:fldCharType="begin" w:fldLock="1"/>
      </w:r>
      <w:r w:rsidR="00B720EE">
        <w:rPr>
          <w:sz w:val="24"/>
          <w:szCs w:val="24"/>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"id" : "ITEM-2", "itemData" : { "abstract" : "Telephone +44 (0)20 3660 6000 Facsimile +44 (0)20 3660 5555 Send a question via our website www.ema.europa.eu/contact", "author" : [ { "dropping-particle" : "", "family" : "EMA", "given" : "", "non-dropping-particle" : "", "parse-names" : false, "suffix" : "" } ], "id" : "ITEM-2", "issued" : { "date-parts" : [ [ "2015" ] ] }, "title" : "Assessment report Keytruda International non-proprietary name: pembrolizumab", "type" : "article-journal" }, "uris" : [ "http://www.mendeley.com/documents/?uuid=87086084-a430-402b-b2d3-c194dd88f64a" ] } ], "mendeley" : { "formattedCitation" : "(21,22)", "manualFormatting" : "[21,22]", "plainTextFormattedCitation" : "(21,22)", "previouslyFormattedCitation" : "(21,22)" }, "properties" : { "noteIndex" : 0 }, "schema" : "https://github.com/citation-style-language/schema/raw/master/csl-citation.json" }</w:instrText>
      </w:r>
      <w:r w:rsidR="00C0435A">
        <w:rPr>
          <w:sz w:val="24"/>
          <w:szCs w:val="24"/>
        </w:rPr>
        <w:fldChar w:fldCharType="separate"/>
      </w:r>
      <w:r w:rsidR="00B720EE">
        <w:rPr>
          <w:noProof/>
          <w:sz w:val="24"/>
          <w:szCs w:val="24"/>
        </w:rPr>
        <w:t>[</w:t>
      </w:r>
      <w:r w:rsidR="00C0435A" w:rsidRPr="00C0435A">
        <w:rPr>
          <w:noProof/>
          <w:sz w:val="24"/>
          <w:szCs w:val="24"/>
        </w:rPr>
        <w:t>21,22</w:t>
      </w:r>
      <w:r w:rsidR="00B720EE">
        <w:rPr>
          <w:noProof/>
          <w:sz w:val="24"/>
          <w:szCs w:val="24"/>
        </w:rPr>
        <w:t>]</w:t>
      </w:r>
      <w:r w:rsidR="00C0435A">
        <w:rPr>
          <w:sz w:val="24"/>
          <w:szCs w:val="24"/>
        </w:rPr>
        <w:fldChar w:fldCharType="end"/>
      </w:r>
      <w:r w:rsidR="009F17E8">
        <w:rPr>
          <w:sz w:val="24"/>
          <w:szCs w:val="24"/>
        </w:rPr>
        <w:t xml:space="preserve"> (Figure 1)</w:t>
      </w:r>
      <w:r w:rsidRPr="00800743">
        <w:rPr>
          <w:sz w:val="24"/>
          <w:szCs w:val="24"/>
        </w:rPr>
        <w:t xml:space="preserve">. They are both of the IgG4 subclass, which is by </w:t>
      </w:r>
      <w:r w:rsidR="00E40844">
        <w:rPr>
          <w:sz w:val="24"/>
          <w:szCs w:val="24"/>
        </w:rPr>
        <w:t>and</w:t>
      </w:r>
      <w:r w:rsidR="00E40844" w:rsidRPr="00800743">
        <w:rPr>
          <w:sz w:val="24"/>
          <w:szCs w:val="24"/>
        </w:rPr>
        <w:t xml:space="preserve"> </w:t>
      </w:r>
      <w:r w:rsidRPr="00800743">
        <w:rPr>
          <w:sz w:val="24"/>
          <w:szCs w:val="24"/>
        </w:rPr>
        <w:t>large incapable of activation of host effector functions, as it only very weakly induces complement and cell activation due to low affinity for C1q and Fc receptors.</w:t>
      </w:r>
      <w:r w:rsidR="00FF2B53" w:rsidRPr="00800743">
        <w:rPr>
          <w:sz w:val="24"/>
          <w:szCs w:val="24"/>
        </w:rPr>
        <w:fldChar w:fldCharType="begin" w:fldLock="1"/>
      </w:r>
      <w:r w:rsidR="00B720EE">
        <w:rPr>
          <w:sz w:val="24"/>
          <w:szCs w:val="24"/>
        </w:rPr>
        <w:instrText>ADDIN CSL_CITATION { "citationItems" : [ { "id" : "ITEM-1", "itemData" : { "DOI" : "10.1038/nsmb.3129", "ISSN" : "1545-9993", "author" : [ { "dropping-particle" : "", "family" : "Scapin", "given" : "Giovanna", "non-dropping-particle" : "", "parse-names" : false, "suffix" : "" }, { "dropping-particle" : "", "family" : "Yang", "given" : "Xiaoyu", "non-dropping-particle" : "", "parse-names" : false, "suffix" : "" }, { "dropping-particle" : "", "family" : "Prosise", "given" : "Winifred W", "non-dropping-particle" : "", "parse-names" : false, "suffix" : "" }, { "dropping-particle" : "", "family" : "McCoy", "given" : "Mark", "non-dropping-particle" : "", "parse-names" : false, "suffix" : "" }, { "dropping-particle" : "", "family" : "Reichert", "given" : "Paul", "non-dropping-particle" : "", "parse-names" : false, "suffix" : "" }, { "dropping-particle" : "", "family" : "Johnston", "given" : "Jennifer M", "non-dropping-particle" : "", "parse-names" : false, "suffix" : "" }, { "dropping-particle" : "", "family" : "Kashi", "given" : "Ramesh S", "non-dropping-particle" : "", "parse-names" : false, "suffix" : "" }, { "dropping-particle" : "", "family" : "Strickland", "given" : "Corey", "non-dropping-particle" : "", "parse-names" : false, "suffix" : "" } ], "container-title" : "Nature Structural &amp; Molecular Biology", "id" : "ITEM-1", "issue" : "12", "issued" : { "date-parts" : [ [ "2015", "11" ] ] }, "page" : "953-958", "publisher" : "Nature Research", "title" : "Structure of full-length human anti-PD1 therapeutic IgG4 antibody pembrolizumab", "type" : "article-journal", "volume" : "22" }, "uris" : [ "http://www.mendeley.com/documents/?uuid=8999b4d5-34c3-449d-9da5-f6330ce096c6" ] } ], "mendeley" : { "formattedCitation" : "(23)", "manualFormatting" : "[23]", "plainTextFormattedCitation" : "(23)", "previouslyFormattedCitation" : "(23)" }, "properties" : { "noteIndex" : 0 }, "schema" : "https://github.com/citation-style-language/schema/raw/master/csl-citation.json" }</w:instrText>
      </w:r>
      <w:r w:rsidR="00FF2B53" w:rsidRPr="00800743">
        <w:rPr>
          <w:sz w:val="24"/>
          <w:szCs w:val="24"/>
        </w:rPr>
        <w:fldChar w:fldCharType="separate"/>
      </w:r>
      <w:r w:rsidR="00B720EE">
        <w:rPr>
          <w:noProof/>
          <w:sz w:val="24"/>
          <w:szCs w:val="24"/>
        </w:rPr>
        <w:t>[</w:t>
      </w:r>
      <w:r w:rsidR="00B720EE" w:rsidRPr="00B720EE">
        <w:rPr>
          <w:noProof/>
          <w:sz w:val="24"/>
          <w:szCs w:val="24"/>
        </w:rPr>
        <w:t>23</w:t>
      </w:r>
      <w:r w:rsidR="00B720EE">
        <w:rPr>
          <w:noProof/>
          <w:sz w:val="24"/>
          <w:szCs w:val="24"/>
        </w:rPr>
        <w:t>]</w:t>
      </w:r>
      <w:r w:rsidR="00FF2B53" w:rsidRPr="00800743">
        <w:rPr>
          <w:sz w:val="24"/>
          <w:szCs w:val="24"/>
        </w:rPr>
        <w:fldChar w:fldCharType="end"/>
      </w:r>
      <w:r w:rsidR="00607A14" w:rsidRPr="00800743">
        <w:rPr>
          <w:sz w:val="24"/>
          <w:szCs w:val="24"/>
        </w:rPr>
        <w:t xml:space="preserve"> Given the same IgG4 subclass, an amino acid sequence </w:t>
      </w:r>
      <w:r w:rsidRPr="00800743">
        <w:rPr>
          <w:sz w:val="24"/>
          <w:szCs w:val="24"/>
        </w:rPr>
        <w:t xml:space="preserve">comparison of the two antibodies </w:t>
      </w:r>
      <w:r w:rsidR="00E40844">
        <w:rPr>
          <w:sz w:val="24"/>
          <w:szCs w:val="24"/>
        </w:rPr>
        <w:t>show</w:t>
      </w:r>
      <w:r w:rsidR="00E40844" w:rsidRPr="00800743">
        <w:rPr>
          <w:sz w:val="24"/>
          <w:szCs w:val="24"/>
        </w:rPr>
        <w:t xml:space="preserve">s </w:t>
      </w:r>
      <w:r w:rsidRPr="00800743">
        <w:rPr>
          <w:sz w:val="24"/>
          <w:szCs w:val="24"/>
        </w:rPr>
        <w:t xml:space="preserve">that </w:t>
      </w:r>
      <w:r w:rsidR="00392C96">
        <w:rPr>
          <w:sz w:val="24"/>
          <w:szCs w:val="24"/>
        </w:rPr>
        <w:t>nivolumab</w:t>
      </w:r>
      <w:r w:rsidRPr="00800743">
        <w:rPr>
          <w:sz w:val="24"/>
          <w:szCs w:val="24"/>
        </w:rPr>
        <w:t xml:space="preserve"> and </w:t>
      </w:r>
      <w:r w:rsidR="00392C96">
        <w:rPr>
          <w:sz w:val="24"/>
          <w:szCs w:val="24"/>
        </w:rPr>
        <w:t>pembrolizumab</w:t>
      </w:r>
      <w:r w:rsidRPr="00800743">
        <w:rPr>
          <w:sz w:val="24"/>
          <w:szCs w:val="24"/>
        </w:rPr>
        <w:t xml:space="preserve"> are </w:t>
      </w:r>
      <w:r w:rsidR="00365450" w:rsidRPr="00800743">
        <w:rPr>
          <w:sz w:val="24"/>
          <w:szCs w:val="24"/>
        </w:rPr>
        <w:t xml:space="preserve">essentially </w:t>
      </w:r>
      <w:r w:rsidR="00607A14" w:rsidRPr="00800743">
        <w:rPr>
          <w:sz w:val="24"/>
          <w:szCs w:val="24"/>
        </w:rPr>
        <w:t>identical apart from the</w:t>
      </w:r>
      <w:r w:rsidR="0060100E" w:rsidRPr="00800743">
        <w:rPr>
          <w:sz w:val="24"/>
          <w:szCs w:val="24"/>
        </w:rPr>
        <w:t xml:space="preserve"> variable regions that give rise to the </w:t>
      </w:r>
      <w:r w:rsidR="00365450" w:rsidRPr="00800743">
        <w:rPr>
          <w:sz w:val="24"/>
          <w:szCs w:val="24"/>
        </w:rPr>
        <w:t>parat</w:t>
      </w:r>
      <w:r w:rsidR="00607A14" w:rsidRPr="00800743">
        <w:rPr>
          <w:sz w:val="24"/>
          <w:szCs w:val="24"/>
        </w:rPr>
        <w:t>opes</w:t>
      </w:r>
      <w:r w:rsidR="00365450" w:rsidRPr="00800743">
        <w:rPr>
          <w:sz w:val="24"/>
          <w:szCs w:val="24"/>
        </w:rPr>
        <w:t xml:space="preserve"> – the variable regions that bind the epitope of the antigen</w:t>
      </w:r>
      <w:r w:rsidR="00607A14" w:rsidRPr="00800743">
        <w:rPr>
          <w:sz w:val="24"/>
          <w:szCs w:val="24"/>
        </w:rPr>
        <w:t xml:space="preserve"> (Table 1</w:t>
      </w:r>
      <w:r w:rsidR="009F17E8">
        <w:rPr>
          <w:sz w:val="24"/>
          <w:szCs w:val="24"/>
        </w:rPr>
        <w:t xml:space="preserve"> and Figure 1</w:t>
      </w:r>
      <w:r w:rsidR="00607A14" w:rsidRPr="00800743">
        <w:rPr>
          <w:sz w:val="24"/>
          <w:szCs w:val="24"/>
        </w:rPr>
        <w:t xml:space="preserve">). </w:t>
      </w:r>
      <w:r w:rsidR="00365450" w:rsidRPr="00800743">
        <w:rPr>
          <w:sz w:val="24"/>
          <w:szCs w:val="24"/>
        </w:rPr>
        <w:t>It is therefore reasonable to</w:t>
      </w:r>
      <w:r w:rsidRPr="00800743">
        <w:rPr>
          <w:sz w:val="24"/>
          <w:szCs w:val="24"/>
        </w:rPr>
        <w:t xml:space="preserve"> expect any drug-dependent reasons for differences in their clinical efficacy to be</w:t>
      </w:r>
      <w:r w:rsidR="00365450" w:rsidRPr="00800743">
        <w:rPr>
          <w:sz w:val="24"/>
          <w:szCs w:val="24"/>
        </w:rPr>
        <w:t xml:space="preserve"> </w:t>
      </w:r>
      <w:r w:rsidR="00B643D7">
        <w:rPr>
          <w:sz w:val="24"/>
          <w:szCs w:val="24"/>
        </w:rPr>
        <w:t xml:space="preserve">ultimately </w:t>
      </w:r>
      <w:r w:rsidR="00365450" w:rsidRPr="00800743">
        <w:rPr>
          <w:sz w:val="24"/>
          <w:szCs w:val="24"/>
        </w:rPr>
        <w:t>secondary to</w:t>
      </w:r>
      <w:r w:rsidRPr="00800743">
        <w:rPr>
          <w:sz w:val="24"/>
          <w:szCs w:val="24"/>
        </w:rPr>
        <w:t xml:space="preserve"> </w:t>
      </w:r>
      <w:r w:rsidR="00365450" w:rsidRPr="00800743">
        <w:rPr>
          <w:sz w:val="24"/>
          <w:szCs w:val="24"/>
        </w:rPr>
        <w:t>the</w:t>
      </w:r>
      <w:r w:rsidRPr="00800743">
        <w:rPr>
          <w:sz w:val="24"/>
          <w:szCs w:val="24"/>
        </w:rPr>
        <w:t xml:space="preserve"> differences in </w:t>
      </w:r>
      <w:r w:rsidR="00365450" w:rsidRPr="00800743">
        <w:rPr>
          <w:sz w:val="24"/>
          <w:szCs w:val="24"/>
        </w:rPr>
        <w:t>the epitope-paratope binding</w:t>
      </w:r>
      <w:r w:rsidRPr="00800743">
        <w:rPr>
          <w:sz w:val="24"/>
          <w:szCs w:val="24"/>
        </w:rPr>
        <w:t xml:space="preserve">. </w:t>
      </w:r>
      <w:r w:rsidR="00E40844">
        <w:rPr>
          <w:sz w:val="24"/>
          <w:szCs w:val="24"/>
        </w:rPr>
        <w:t>It is now possible to examine in detail t</w:t>
      </w:r>
      <w:r w:rsidRPr="00800743">
        <w:rPr>
          <w:sz w:val="24"/>
          <w:szCs w:val="24"/>
        </w:rPr>
        <w:t>he structural basis of epitope binding to elucidate the molecular mechanisms underlying the checkpoint blockade by these two antibodies.</w:t>
      </w:r>
    </w:p>
    <w:p w14:paraId="1D4610D7" w14:textId="77777777" w:rsidR="000C6051" w:rsidRPr="00800743" w:rsidRDefault="000C6051" w:rsidP="00C20157">
      <w:pPr>
        <w:spacing w:line="480" w:lineRule="auto"/>
        <w:jc w:val="both"/>
        <w:rPr>
          <w:sz w:val="24"/>
          <w:szCs w:val="24"/>
        </w:rPr>
      </w:pPr>
    </w:p>
    <w:p w14:paraId="331A314B" w14:textId="3403F4F1" w:rsidR="00E4298E" w:rsidRPr="00800743" w:rsidRDefault="007E4E3C" w:rsidP="00C20157">
      <w:pPr>
        <w:spacing w:after="200" w:line="480" w:lineRule="auto"/>
        <w:jc w:val="both"/>
        <w:rPr>
          <w:b/>
          <w:sz w:val="24"/>
          <w:szCs w:val="24"/>
        </w:rPr>
      </w:pPr>
      <w:r w:rsidRPr="00800743">
        <w:rPr>
          <w:b/>
          <w:sz w:val="24"/>
          <w:szCs w:val="24"/>
        </w:rPr>
        <w:lastRenderedPageBreak/>
        <w:t xml:space="preserve">Comparison of the structural basis of PD-1 blockade by </w:t>
      </w:r>
      <w:r w:rsidR="00392C96">
        <w:rPr>
          <w:b/>
          <w:sz w:val="24"/>
          <w:szCs w:val="24"/>
        </w:rPr>
        <w:t>pembrolizumab</w:t>
      </w:r>
      <w:r w:rsidRPr="00800743">
        <w:rPr>
          <w:b/>
          <w:sz w:val="24"/>
          <w:szCs w:val="24"/>
        </w:rPr>
        <w:t xml:space="preserve"> and </w:t>
      </w:r>
      <w:r w:rsidR="00392C96">
        <w:rPr>
          <w:b/>
          <w:sz w:val="24"/>
          <w:szCs w:val="24"/>
        </w:rPr>
        <w:t>nivolumab</w:t>
      </w:r>
    </w:p>
    <w:p w14:paraId="0EE1D76D" w14:textId="5546908E" w:rsidR="00E4298E" w:rsidRPr="00800743" w:rsidRDefault="007E4E3C" w:rsidP="00C20157">
      <w:pPr>
        <w:spacing w:line="480" w:lineRule="auto"/>
        <w:jc w:val="both"/>
        <w:rPr>
          <w:sz w:val="24"/>
          <w:szCs w:val="24"/>
          <w:vertAlign w:val="superscript"/>
        </w:rPr>
      </w:pPr>
      <w:r w:rsidRPr="00800743">
        <w:rPr>
          <w:sz w:val="24"/>
          <w:szCs w:val="24"/>
        </w:rPr>
        <w:t>PD-1 is a type I transmembrane protein which spans the cell lipid bilayer once. Its ectodomain consists of the signal peptide, an N-</w:t>
      </w:r>
      <w:r w:rsidR="00E40844">
        <w:rPr>
          <w:sz w:val="24"/>
          <w:szCs w:val="24"/>
        </w:rPr>
        <w:t>terminal extension</w:t>
      </w:r>
      <w:r w:rsidRPr="00800743">
        <w:rPr>
          <w:sz w:val="24"/>
          <w:szCs w:val="24"/>
        </w:rPr>
        <w:t xml:space="preserve">, a </w:t>
      </w:r>
      <w:r w:rsidR="00E40844">
        <w:rPr>
          <w:sz w:val="24"/>
          <w:szCs w:val="24"/>
        </w:rPr>
        <w:t>V-set immunogl</w:t>
      </w:r>
      <w:r w:rsidR="0033209C">
        <w:rPr>
          <w:sz w:val="24"/>
          <w:szCs w:val="24"/>
        </w:rPr>
        <w:t>obu</w:t>
      </w:r>
      <w:r w:rsidR="00E40844">
        <w:rPr>
          <w:sz w:val="24"/>
          <w:szCs w:val="24"/>
        </w:rPr>
        <w:t>lin</w:t>
      </w:r>
      <w:r w:rsidR="00E40844" w:rsidRPr="00800743">
        <w:rPr>
          <w:sz w:val="24"/>
          <w:szCs w:val="24"/>
        </w:rPr>
        <w:t xml:space="preserve"> </w:t>
      </w:r>
      <w:r w:rsidR="00C0435A">
        <w:rPr>
          <w:sz w:val="24"/>
          <w:szCs w:val="24"/>
        </w:rPr>
        <w:t>domain and a stalk region</w:t>
      </w:r>
      <w:r w:rsidRPr="00800743">
        <w:rPr>
          <w:sz w:val="24"/>
          <w:szCs w:val="24"/>
        </w:rPr>
        <w:t xml:space="preserve"> </w:t>
      </w:r>
      <w:r w:rsidR="00C0435A">
        <w:rPr>
          <w:sz w:val="24"/>
          <w:szCs w:val="24"/>
        </w:rPr>
        <w:t>(Fig</w:t>
      </w:r>
      <w:r w:rsidR="009F17E8">
        <w:rPr>
          <w:sz w:val="24"/>
          <w:szCs w:val="24"/>
        </w:rPr>
        <w:t>ure</w:t>
      </w:r>
      <w:r w:rsidR="00C0435A">
        <w:rPr>
          <w:sz w:val="24"/>
          <w:szCs w:val="24"/>
        </w:rPr>
        <w:t xml:space="preserve"> 1a). </w:t>
      </w:r>
      <w:r w:rsidRPr="00800743">
        <w:rPr>
          <w:sz w:val="24"/>
          <w:szCs w:val="24"/>
        </w:rPr>
        <w:t>Solved</w:t>
      </w:r>
      <w:r w:rsidR="0033209C">
        <w:rPr>
          <w:sz w:val="24"/>
          <w:szCs w:val="24"/>
        </w:rPr>
        <w:t xml:space="preserve"> crystal</w:t>
      </w:r>
      <w:r w:rsidRPr="00800743">
        <w:rPr>
          <w:sz w:val="24"/>
          <w:szCs w:val="24"/>
        </w:rPr>
        <w:t xml:space="preserve"> structures of the PD-1 receptor in complex with hPD-L1 enable us to visualise the</w:t>
      </w:r>
      <w:r w:rsidR="0033209C">
        <w:rPr>
          <w:sz w:val="24"/>
          <w:szCs w:val="24"/>
        </w:rPr>
        <w:t xml:space="preserve"> native </w:t>
      </w:r>
      <w:r w:rsidRPr="00800743">
        <w:rPr>
          <w:sz w:val="24"/>
          <w:szCs w:val="24"/>
        </w:rPr>
        <w:t>interaction between PD-1/PD-L1 which is mediated mostly by the residues of the C’CFG strands of both PD-1 and PD-L1.</w:t>
      </w:r>
      <w:r w:rsidRPr="00800743">
        <w:rPr>
          <w:sz w:val="24"/>
          <w:szCs w:val="24"/>
          <w:highlight w:val="white"/>
        </w:rPr>
        <w:t xml:space="preserve"> Th</w:t>
      </w:r>
      <w:r w:rsidRPr="00800743">
        <w:rPr>
          <w:sz w:val="24"/>
          <w:szCs w:val="24"/>
        </w:rPr>
        <w:t xml:space="preserve">is interaction covers a buried surface area of </w:t>
      </w:r>
      <w:r w:rsidRPr="00800743">
        <w:rPr>
          <w:sz w:val="24"/>
          <w:szCs w:val="24"/>
          <w:highlight w:val="white"/>
        </w:rPr>
        <w:t>1,970 Å</w:t>
      </w:r>
      <w:r w:rsidRPr="00800743">
        <w:rPr>
          <w:sz w:val="24"/>
          <w:szCs w:val="24"/>
          <w:highlight w:val="white"/>
          <w:vertAlign w:val="superscript"/>
        </w:rPr>
        <w:t xml:space="preserve">2 </w:t>
      </w:r>
      <w:r w:rsidRPr="00800743">
        <w:rPr>
          <w:sz w:val="24"/>
          <w:szCs w:val="24"/>
        </w:rPr>
        <w:t xml:space="preserve">and induces the PD-1 CC’ loop to change in conformation </w:t>
      </w:r>
      <w:r w:rsidR="00C50B75">
        <w:rPr>
          <w:sz w:val="24"/>
          <w:szCs w:val="24"/>
        </w:rPr>
        <w:t xml:space="preserve">slightly, </w:t>
      </w:r>
      <w:r w:rsidRPr="00800743">
        <w:rPr>
          <w:sz w:val="24"/>
          <w:szCs w:val="24"/>
        </w:rPr>
        <w:t>enabling it to close around the PD-L1 molecule on binding.</w:t>
      </w:r>
      <w:r w:rsidR="00FF2B53" w:rsidRPr="00800743">
        <w:rPr>
          <w:sz w:val="24"/>
          <w:szCs w:val="24"/>
        </w:rPr>
        <w:fldChar w:fldCharType="begin" w:fldLock="1"/>
      </w:r>
      <w:r w:rsidR="00B720EE">
        <w:rPr>
          <w:sz w:val="24"/>
          <w:szCs w:val="24"/>
        </w:rPr>
        <w:instrText>ADDIN CSL_CITATION { "citationItems" : [ { "id" : "ITEM-1", "itemData" : { "DOI" : "10.1016/j.str.2015.09.010", "ISSN" : "09692126", "abstract" : "Targeting the PD-1/PD-L1 immunologic checkpoint with monoclonal antibodies has recently provided breakthrough progress in the treatment of melanoma, non-small cell lung cancer, and other types of cancer. Small-molecule drugs interfering with this pathway are highly awaited, but their development is hindered by insufficient structural information. This study reveals the molecular details of the human PD-1/PD-L1 interaction based on an X-ray structure of the complex. First, it is shown that the ligand binding to human PD-1 is associated with significant plasticity within the receptor. Second, a detailed molecular map of the interaction surface is provided, allowing definition of the regions within both interacting partners that may likely be targeted by small molecules.", "author" : [ { "dropping-particle" : "", "family" : "Zak", "given" : "Krzysztof M.", "non-dropping-particle" : "", "parse-names" : false, "suffix" : "" }, { "dropping-particle" : "", "family" : "Kitel", "given" : "Radoslaw", "non-dropping-particle" : "", "parse-names" : false, "suffix" : "" }, { "dropping-particle" : "", "family" : "Przetocka", "given" : "Sara", "non-dropping-particle" : "", "parse-names" : false, "suffix" : "" }, { "dropping-particle" : "", "family" : "Golik", "given" : "Przemyslaw", "non-dropping-particle" : "", "parse-names" : false, "suffix" : "" }, { "dropping-particle" : "", "family" : "Guzik", "given" : "Katarzyna", "non-dropping-particle" : "", "parse-names" : false, "suffix" : "" }, { "dropping-particle" : "", "family" : "Musielak", "given" : "Bogdan", "non-dropping-particle" : "", "parse-names" : false, "suffix" : "" }, { "dropping-particle" : "", "family" : "D\u00f6mling", "given" : "Alexander", "non-dropping-particle" : "", "parse-names" : false, "suffix" : "" }, { "dropping-particle" : "", "family" : "Dubin", "given" : "Grzegorz", "non-dropping-particle" : "", "parse-names" : false, "suffix" : "" }, { "dropping-particle" : "", "family" : "Holak", "given" : "Tad A.", "non-dropping-particle" : "", "parse-names" : false, "suffix" : "" } ], "container-title" : "Structure", "id" : "ITEM-1", "issue" : "12", "issued" : { "date-parts" : [ [ "2015" ] ] }, "number-of-pages" : "2341-2348", "title" : "Structure of the Complex of Human Programmed Death 1, PD-1, and Its Ligand PD-L1", "type" : "report", "volume" : "23" }, "uris" : [ "http://www.mendeley.com/documents/?uuid=35ca8285-e264-4e1e-acf5-45c1d77600b8" ] } ], "mendeley" : { "formattedCitation" : "(24)", "manualFormatting" : "[24]", "plainTextFormattedCitation" : "(24)", "previouslyFormattedCitation" : "(24)" }, "properties" : { "noteIndex" : 0 }, "schema" : "https://github.com/citation-style-language/schema/raw/master/csl-citation.json" }</w:instrText>
      </w:r>
      <w:r w:rsidR="00FF2B53" w:rsidRPr="00800743">
        <w:rPr>
          <w:sz w:val="24"/>
          <w:szCs w:val="24"/>
        </w:rPr>
        <w:fldChar w:fldCharType="separate"/>
      </w:r>
      <w:r w:rsidR="00B720EE">
        <w:rPr>
          <w:noProof/>
          <w:sz w:val="24"/>
          <w:szCs w:val="24"/>
        </w:rPr>
        <w:t>[</w:t>
      </w:r>
      <w:r w:rsidR="00C0435A" w:rsidRPr="00C0435A">
        <w:rPr>
          <w:noProof/>
          <w:sz w:val="24"/>
          <w:szCs w:val="24"/>
        </w:rPr>
        <w:t>24</w:t>
      </w:r>
      <w:r w:rsidR="00B720EE">
        <w:rPr>
          <w:noProof/>
          <w:sz w:val="24"/>
          <w:szCs w:val="24"/>
        </w:rPr>
        <w:t>]</w:t>
      </w:r>
      <w:r w:rsidR="00FF2B53" w:rsidRPr="00800743">
        <w:rPr>
          <w:sz w:val="24"/>
          <w:szCs w:val="24"/>
        </w:rPr>
        <w:fldChar w:fldCharType="end"/>
      </w:r>
    </w:p>
    <w:p w14:paraId="09122786" w14:textId="77777777" w:rsidR="00E4298E" w:rsidRPr="00800743" w:rsidRDefault="007E4E3C" w:rsidP="00C20157">
      <w:pPr>
        <w:spacing w:line="480" w:lineRule="auto"/>
        <w:jc w:val="both"/>
        <w:rPr>
          <w:sz w:val="24"/>
          <w:szCs w:val="24"/>
        </w:rPr>
      </w:pPr>
      <w:r w:rsidRPr="00800743">
        <w:rPr>
          <w:sz w:val="24"/>
          <w:szCs w:val="24"/>
        </w:rPr>
        <w:t xml:space="preserve"> </w:t>
      </w:r>
    </w:p>
    <w:p w14:paraId="6716314C" w14:textId="621F6536" w:rsidR="00E4298E" w:rsidRPr="00800743" w:rsidRDefault="007E4E3C" w:rsidP="00C20157">
      <w:pPr>
        <w:spacing w:line="480" w:lineRule="auto"/>
        <w:jc w:val="both"/>
        <w:rPr>
          <w:sz w:val="24"/>
          <w:szCs w:val="24"/>
        </w:rPr>
      </w:pPr>
      <w:r w:rsidRPr="00800743">
        <w:rPr>
          <w:sz w:val="24"/>
          <w:szCs w:val="24"/>
        </w:rPr>
        <w:t xml:space="preserve">Crystal structures of the PD-1 ectodomain in complex with the Fab fragments of </w:t>
      </w:r>
      <w:r w:rsidR="00392C96">
        <w:rPr>
          <w:sz w:val="24"/>
          <w:szCs w:val="24"/>
        </w:rPr>
        <w:t>nivolumab</w:t>
      </w:r>
      <w:r w:rsidRPr="00800743">
        <w:rPr>
          <w:sz w:val="24"/>
          <w:szCs w:val="24"/>
        </w:rPr>
        <w:t xml:space="preserve"> </w:t>
      </w:r>
      <w:r w:rsidR="009F17E8">
        <w:rPr>
          <w:sz w:val="24"/>
          <w:szCs w:val="24"/>
        </w:rPr>
        <w:t xml:space="preserve">(Figure 1b) </w:t>
      </w:r>
      <w:r w:rsidRPr="00800743">
        <w:rPr>
          <w:sz w:val="24"/>
          <w:szCs w:val="24"/>
        </w:rPr>
        <w:t xml:space="preserve">and </w:t>
      </w:r>
      <w:r w:rsidR="00392C96">
        <w:rPr>
          <w:sz w:val="24"/>
          <w:szCs w:val="24"/>
        </w:rPr>
        <w:t>pembrolizumab</w:t>
      </w:r>
      <w:r w:rsidRPr="00800743">
        <w:rPr>
          <w:sz w:val="24"/>
          <w:szCs w:val="24"/>
        </w:rPr>
        <w:t xml:space="preserve"> </w:t>
      </w:r>
      <w:r w:rsidR="009F17E8">
        <w:rPr>
          <w:sz w:val="24"/>
          <w:szCs w:val="24"/>
        </w:rPr>
        <w:t xml:space="preserve">(Figure 1c) </w:t>
      </w:r>
      <w:r w:rsidRPr="00800743">
        <w:rPr>
          <w:sz w:val="24"/>
          <w:szCs w:val="24"/>
        </w:rPr>
        <w:t xml:space="preserve">have shown that there is a </w:t>
      </w:r>
      <w:r w:rsidR="00C50B75">
        <w:rPr>
          <w:sz w:val="24"/>
          <w:szCs w:val="24"/>
        </w:rPr>
        <w:t>significant</w:t>
      </w:r>
      <w:r w:rsidR="00C50B75" w:rsidRPr="00800743">
        <w:rPr>
          <w:sz w:val="24"/>
          <w:szCs w:val="24"/>
        </w:rPr>
        <w:t xml:space="preserve"> </w:t>
      </w:r>
      <w:r w:rsidRPr="00800743">
        <w:rPr>
          <w:sz w:val="24"/>
          <w:szCs w:val="24"/>
        </w:rPr>
        <w:t>overlap between the epitopes of both of these monoclonal antibodies (mAbs) with the PD-L1 binding site</w:t>
      </w:r>
      <w:r w:rsidR="00392C96">
        <w:rPr>
          <w:sz w:val="24"/>
          <w:szCs w:val="24"/>
        </w:rPr>
        <w:t>. Nivolumab</w:t>
      </w:r>
      <w:r w:rsidRPr="00800743">
        <w:rPr>
          <w:sz w:val="24"/>
          <w:szCs w:val="24"/>
        </w:rPr>
        <w:t xml:space="preserve"> binds PD-1 by using the N</w:t>
      </w:r>
      <w:r w:rsidR="00C50B75">
        <w:rPr>
          <w:sz w:val="24"/>
          <w:szCs w:val="24"/>
        </w:rPr>
        <w:t>-terminal extension</w:t>
      </w:r>
      <w:r w:rsidRPr="00800743">
        <w:rPr>
          <w:sz w:val="24"/>
          <w:szCs w:val="24"/>
        </w:rPr>
        <w:t>,</w:t>
      </w:r>
      <w:r w:rsidR="00C50B75">
        <w:rPr>
          <w:sz w:val="24"/>
          <w:szCs w:val="24"/>
        </w:rPr>
        <w:t xml:space="preserve"> </w:t>
      </w:r>
      <w:r w:rsidRPr="00800743">
        <w:rPr>
          <w:sz w:val="24"/>
          <w:szCs w:val="24"/>
        </w:rPr>
        <w:t>FG and BC loops as a</w:t>
      </w:r>
      <w:r w:rsidR="00C50B75">
        <w:rPr>
          <w:sz w:val="24"/>
          <w:szCs w:val="24"/>
        </w:rPr>
        <w:t xml:space="preserve"> </w:t>
      </w:r>
      <w:r w:rsidRPr="00800743">
        <w:rPr>
          <w:sz w:val="24"/>
          <w:szCs w:val="24"/>
        </w:rPr>
        <w:t>platform for binding</w:t>
      </w:r>
      <w:r w:rsidR="00C06E9F">
        <w:rPr>
          <w:sz w:val="24"/>
          <w:szCs w:val="24"/>
        </w:rPr>
        <w:t xml:space="preserve"> (Fig</w:t>
      </w:r>
      <w:r w:rsidR="009F17E8">
        <w:rPr>
          <w:sz w:val="24"/>
          <w:szCs w:val="24"/>
        </w:rPr>
        <w:t>ure 1b and 1d</w:t>
      </w:r>
      <w:r w:rsidR="00C06E9F">
        <w:rPr>
          <w:sz w:val="24"/>
          <w:szCs w:val="24"/>
        </w:rPr>
        <w:t>)</w:t>
      </w:r>
      <w:r w:rsidRPr="00800743">
        <w:rPr>
          <w:sz w:val="24"/>
          <w:szCs w:val="24"/>
        </w:rPr>
        <w:t xml:space="preserve">. The binding affinity is heavily dependent on the N terminal </w:t>
      </w:r>
      <w:r w:rsidR="00C50B75">
        <w:rPr>
          <w:sz w:val="24"/>
          <w:szCs w:val="24"/>
        </w:rPr>
        <w:t xml:space="preserve">extension </w:t>
      </w:r>
      <w:r w:rsidRPr="00800743">
        <w:rPr>
          <w:sz w:val="24"/>
          <w:szCs w:val="24"/>
        </w:rPr>
        <w:t xml:space="preserve">which is not involved in PD-L1 recognition whilst the overlapping binding surface </w:t>
      </w:r>
      <w:r w:rsidR="00C50B75">
        <w:rPr>
          <w:sz w:val="24"/>
          <w:szCs w:val="24"/>
        </w:rPr>
        <w:t>shared by</w:t>
      </w:r>
      <w:r w:rsidR="00C50B75" w:rsidRPr="00800743">
        <w:rPr>
          <w:sz w:val="24"/>
          <w:szCs w:val="24"/>
        </w:rPr>
        <w:t xml:space="preserve"> </w:t>
      </w:r>
      <w:r w:rsidRPr="00800743">
        <w:rPr>
          <w:sz w:val="24"/>
          <w:szCs w:val="24"/>
        </w:rPr>
        <w:t>the V</w:t>
      </w:r>
      <w:r w:rsidRPr="00800743">
        <w:rPr>
          <w:sz w:val="24"/>
          <w:szCs w:val="24"/>
          <w:vertAlign w:val="subscript"/>
        </w:rPr>
        <w:t>L</w:t>
      </w:r>
      <w:r w:rsidR="00FF2B53" w:rsidRPr="00800743">
        <w:rPr>
          <w:sz w:val="24"/>
          <w:szCs w:val="24"/>
        </w:rPr>
        <w:t xml:space="preserve"> region </w:t>
      </w:r>
      <w:r w:rsidR="00C50B75">
        <w:rPr>
          <w:sz w:val="24"/>
          <w:szCs w:val="24"/>
        </w:rPr>
        <w:t xml:space="preserve">of the antibody </w:t>
      </w:r>
      <w:r w:rsidR="00FF2B53" w:rsidRPr="00800743">
        <w:rPr>
          <w:sz w:val="24"/>
          <w:szCs w:val="24"/>
        </w:rPr>
        <w:t xml:space="preserve">and </w:t>
      </w:r>
      <w:r w:rsidRPr="00800743">
        <w:rPr>
          <w:sz w:val="24"/>
          <w:szCs w:val="24"/>
        </w:rPr>
        <w:t>PD-L1 resides mostly on the FG loop</w:t>
      </w:r>
      <w:r w:rsidR="00C0435A">
        <w:rPr>
          <w:sz w:val="24"/>
          <w:szCs w:val="24"/>
        </w:rPr>
        <w:t xml:space="preserve"> (Fig</w:t>
      </w:r>
      <w:r w:rsidR="004024FA">
        <w:rPr>
          <w:sz w:val="24"/>
          <w:szCs w:val="24"/>
        </w:rPr>
        <w:t>ure</w:t>
      </w:r>
      <w:r w:rsidR="00C0435A">
        <w:rPr>
          <w:sz w:val="24"/>
          <w:szCs w:val="24"/>
        </w:rPr>
        <w:t xml:space="preserve"> 1</w:t>
      </w:r>
      <w:r w:rsidR="004024FA">
        <w:rPr>
          <w:sz w:val="24"/>
          <w:szCs w:val="24"/>
        </w:rPr>
        <w:t>d</w:t>
      </w:r>
      <w:r w:rsidR="00C0435A">
        <w:rPr>
          <w:sz w:val="24"/>
          <w:szCs w:val="24"/>
        </w:rPr>
        <w:t>)</w:t>
      </w:r>
      <w:r w:rsidRPr="00800743">
        <w:rPr>
          <w:sz w:val="24"/>
          <w:szCs w:val="24"/>
        </w:rPr>
        <w:t>.</w:t>
      </w:r>
      <w:r w:rsidR="00FF2B53" w:rsidRPr="00800743">
        <w:rPr>
          <w:sz w:val="24"/>
          <w:szCs w:val="24"/>
          <w:vertAlign w:val="superscript"/>
        </w:rPr>
        <w:fldChar w:fldCharType="begin" w:fldLock="1"/>
      </w:r>
      <w:r w:rsidR="00B720EE">
        <w:rPr>
          <w:sz w:val="24"/>
          <w:szCs w:val="24"/>
          <w:vertAlign w:val="superscript"/>
        </w:rPr>
        <w:instrText>ADDIN CSL_CITATION { "citationItems" : [ { "id" : "ITEM-1", "itemData" : { "DOI" : "10.1038/ncomms14369", "ISSN" : "2041-1723", "author" : [ { "dropping-particle" : "", "family" : "Tan", "given" : "Shuguang", "non-dropping-particle" : "", "parse-names" : false, "suffix" : "" }, { "dropping-particle" : "", "family" : "Zhang", "given" : "Hao", "non-dropping-particle" : "", "parse-names" : false, "suffix" : "" }, { "dropping-particle" : "", "family" : "Chai", "given" : "Yan", "non-dropping-particle" : "", "parse-names" : false, "suffix" : "" }, { "dropping-particle" : "", "family" : "Song", "given" : "Hao", "non-dropping-particle" : "", "parse-names" : false, "suffix" : "" }, { "dropping-particle" : "", "family" : "Tong", "given" : "Zhou", "non-dropping-particle" : "", "parse-names" : false, "suffix" : "" }, { "dropping-particle" : "", "family" : "Wang", "given" : "Qihui", "non-dropping-particle" : "", "parse-names" : false, "suffix" : "" }, { "dropping-particle" : "", "family" : "Qi", "given" : "Jianxun", "non-dropping-particle" : "", "parse-names" : false, "suffix" : "" }, { "dropping-particle" : "", "family" : "Wong", "given" : "Gary", "non-dropping-particle" : "", "parse-names" : false, "suffix" : "" }, { "dropping-particle" : "", "family" : "Zhu", "given" : "Xiaodong", "non-dropping-particle" : "", "parse-names" : false, "suffix" : "" }, { "dropping-particle" : "", "family" : "Liu", "given" : "William J.", "non-dropping-particle" : "", "parse-names" : false, "suffix" : "" }, { "dropping-particle" : "", "family" : "Gao", "given" : "Shan", "non-dropping-particle" : "", "parse-names" : false, "suffix" : "" }, { "dropping-particle" : "", "family" : "Wang", "given" : "Zhongfu", "non-dropping-particle" : "", "parse-names" : false, "suffix" : "" }, { "dropping-particle" : "", "family" : "Shi", "given" : "Yi", "non-dropping-particle" : "", "parse-names" : false, "suffix" : "" }, { "dropping-particle" : "", "family" : "Yang", "given" : "Fuquan", "non-dropping-particle" : "", "parse-names" : false, "suffix" : "" }, { "dropping-particle" : "", "family" : "Gao", "given" : "George F.", "non-dropping-particle" : "", "parse-names" : false, "suffix" : "" }, { "dropping-particle" : "", "family" : "Yan", "given" : "Jinghua", "non-dropping-particle" : "", "parse-names" : false, "suffix" : "" } ], "container-title" : "Nature Communications", "id" : "ITEM-1", "issued" : { "date-parts" : [ [ "2017", "2" ] ] }, "page" : "14369", "publisher" : "Nature Publishing Group", "title" : "An unexpected N-terminal loop in PD-1 dominates binding by nivolumab", "type" : "article-journal", "volume" : "8" }, "uris" : [ "http://www.mendeley.com/documents/?uuid=5487fb50-6f72-49ec-ac1e-0246a0262ef4" ] } ], "mendeley" : { "formattedCitation" : "(25)", "manualFormatting" : "[25]", "plainTextFormattedCitation" : "(25)", "previouslyFormattedCitation" : "(25)" }, "properties" : { "noteIndex" : 0 }, "schema" : "https://github.com/citation-style-language/schema/raw/master/csl-citation.json" }</w:instrText>
      </w:r>
      <w:r w:rsidR="00FF2B53" w:rsidRPr="00800743">
        <w:rPr>
          <w:sz w:val="24"/>
          <w:szCs w:val="24"/>
          <w:vertAlign w:val="superscript"/>
        </w:rPr>
        <w:fldChar w:fldCharType="separate"/>
      </w:r>
      <w:r w:rsidR="00B720EE">
        <w:rPr>
          <w:noProof/>
          <w:sz w:val="24"/>
          <w:szCs w:val="24"/>
        </w:rPr>
        <w:t>[</w:t>
      </w:r>
      <w:r w:rsidR="00C0435A" w:rsidRPr="00C0435A">
        <w:rPr>
          <w:noProof/>
          <w:sz w:val="24"/>
          <w:szCs w:val="24"/>
        </w:rPr>
        <w:t>25</w:t>
      </w:r>
      <w:r w:rsidR="00B720EE">
        <w:rPr>
          <w:noProof/>
          <w:sz w:val="24"/>
          <w:szCs w:val="24"/>
        </w:rPr>
        <w:t>]</w:t>
      </w:r>
      <w:r w:rsidR="00FF2B53" w:rsidRPr="00800743">
        <w:rPr>
          <w:sz w:val="24"/>
          <w:szCs w:val="24"/>
          <w:vertAlign w:val="superscript"/>
        </w:rPr>
        <w:fldChar w:fldCharType="end"/>
      </w:r>
      <w:r w:rsidR="00FF2B53" w:rsidRPr="00800743">
        <w:rPr>
          <w:sz w:val="24"/>
          <w:szCs w:val="24"/>
        </w:rPr>
        <w:t xml:space="preserve"> </w:t>
      </w:r>
      <w:r w:rsidR="00C50B75">
        <w:rPr>
          <w:sz w:val="24"/>
          <w:szCs w:val="24"/>
        </w:rPr>
        <w:t xml:space="preserve">On the </w:t>
      </w:r>
      <w:r w:rsidR="00293874">
        <w:rPr>
          <w:sz w:val="24"/>
          <w:szCs w:val="24"/>
        </w:rPr>
        <w:t>other hand</w:t>
      </w:r>
      <w:r w:rsidRPr="00800743">
        <w:rPr>
          <w:sz w:val="24"/>
          <w:szCs w:val="24"/>
        </w:rPr>
        <w:t xml:space="preserve">, the interaction of </w:t>
      </w:r>
      <w:r w:rsidR="00392C96">
        <w:rPr>
          <w:sz w:val="24"/>
          <w:szCs w:val="24"/>
        </w:rPr>
        <w:t>pembrolizumab</w:t>
      </w:r>
      <w:r w:rsidRPr="00800743">
        <w:rPr>
          <w:sz w:val="24"/>
          <w:szCs w:val="24"/>
        </w:rPr>
        <w:t xml:space="preserve"> with PD-1 is heavily dependent</w:t>
      </w:r>
      <w:r w:rsidRPr="00800743">
        <w:rPr>
          <w:sz w:val="24"/>
          <w:szCs w:val="24"/>
          <w:highlight w:val="white"/>
        </w:rPr>
        <w:t xml:space="preserve"> on the flexible C’D loop of PD</w:t>
      </w:r>
      <w:r w:rsidR="00D024D5">
        <w:rPr>
          <w:sz w:val="24"/>
          <w:szCs w:val="24"/>
          <w:highlight w:val="white"/>
        </w:rPr>
        <w:t>-</w:t>
      </w:r>
      <w:r w:rsidRPr="00800743">
        <w:rPr>
          <w:sz w:val="24"/>
          <w:szCs w:val="24"/>
          <w:highlight w:val="white"/>
        </w:rPr>
        <w:t>1 which is not involved in the interaction with PD-L1</w:t>
      </w:r>
      <w:r w:rsidR="004024FA">
        <w:rPr>
          <w:sz w:val="24"/>
          <w:szCs w:val="24"/>
          <w:highlight w:val="white"/>
        </w:rPr>
        <w:t xml:space="preserve"> (Figure 1c and 1e</w:t>
      </w:r>
      <w:r w:rsidR="00C06E9F">
        <w:rPr>
          <w:sz w:val="24"/>
          <w:szCs w:val="24"/>
          <w:highlight w:val="white"/>
        </w:rPr>
        <w:t>)</w:t>
      </w:r>
      <w:r w:rsidR="00487BD3">
        <w:rPr>
          <w:sz w:val="24"/>
          <w:szCs w:val="24"/>
          <w:highlight w:val="white"/>
        </w:rPr>
        <w:t>.</w:t>
      </w:r>
      <w:r w:rsidRPr="00800743">
        <w:rPr>
          <w:sz w:val="24"/>
          <w:szCs w:val="24"/>
          <w:highlight w:val="white"/>
          <w:vertAlign w:val="superscript"/>
        </w:rPr>
        <w:fldChar w:fldCharType="begin" w:fldLock="1"/>
      </w:r>
      <w:r w:rsidR="00B720EE">
        <w:rPr>
          <w:sz w:val="24"/>
          <w:szCs w:val="24"/>
          <w:highlight w:val="white"/>
          <w:vertAlign w:val="superscript"/>
        </w:rPr>
        <w:instrText>ADDIN CSL_CITATION { "citationItems" : [ { "id" : "ITEM-1", "itemData" : { "DOI" : "10.1038/ncomms13354", "ISSN" : "2041-1723", "author" : [ { "dropping-particle" : "", "family" : "Lee", "given" : "Ju Yeon", "non-dropping-particle" : "", "parse-names" : false, "suffix" : "" }, { "dropping-particle" : "", "family" : "Lee", "given" : "Hyun Tae", "non-dropping-particle" : "", "parse-names" : false, "suffix" : "" }, { "dropping-particle" : "", "family" : "Shin", "given" : "Woori", "non-dropping-particle" : "", "parse-names" : false, "suffix" : "" }, { "dropping-particle" : "", "family" : "Chae", "given" : "Jongseok", "non-dropping-particle" : "", "parse-names" : false, "suffix" : "" }, { "dropping-particle" : "", "family" : "Choi", "given" : "Jaemo", "non-dropping-particle" : "", "parse-names" : false, "suffix" : "" }, { "dropping-particle" : "", "family" : "Kim", "given" : "Sung Hyun", "non-dropping-particle" : "", "parse-names" : false, "suffix" : "" }, { "dropping-particle" : "", "family" : "Lim", "given" : "Heejin", "non-dropping-particle" : "", "parse-names" : false, "suffix" : "" }, { "dropping-particle" : "", "family" : "Won Heo", "given" : "Tae", "non-dropping-particle" : "", "parse-names" : false, "suffix" : "" }, { "dropping-particle" : "", "family" : "Park", "given" : "Kyeong Young", "non-dropping-particle" : "", "parse-names" : false, "suffix" : "" }, { "dropping-particle" : "", "family" : "Lee", "given" : "Yeon Ji", "non-dropping-particle" : "", "parse-names" : false, "suffix" : "" }, { "dropping-particle" : "", "family" : "Ryu", "given" : "Seong Eon", "non-dropping-particle" : "", "parse-names" : false, "suffix" : "" }, { "dropping-particle" : "", "family" : "Son", "given" : "Ji Young", "non-dropping-particle" : "", "parse-names" : false, "suffix" : "" }, { "dropping-particle" : "", "family" : "Lee", "given" : "Jee Un", "non-dropping-particle" : "", "parse-names" : false, "suffix" : "" }, { "dropping-particle" : "", "family" : "Heo", "given" : "Yong-Seok", "non-dropping-particle" : "", "parse-names" : false, "suffix" : "" } ], "container-title" : "Nature Communications", "id" : "ITEM-1", "issued" : { "date-parts" : [ [ "2016", "10" ] ] }, "page" : "13354", "publisher" : "Nature Publishing Group", "title" : "Structural basis of checkpoint blockade by monoclonal antibodies in cancer immunotherapy", "type" : "article-journal", "volume" : "7" }, "uris" : [ "http://www.mendeley.com/documents/?uuid=ce9710a4-ab11-4754-bfd2-459b1ff3f623" ] }, { "id" : "ITEM-2", "itemData" : { "DOI" : "10.1038/cr.2016.77", "ISSN" : "1748-7838", "PMID" : "27325296", "author" : [ { "dropping-particle" : "", "family" : "Na", "given" : "Zhenkun", "non-dropping-particle" : "", "parse-names" : false, "suffix" : "" }, { "dropping-particle" : "", "family" : "Yeo", "given" : "Siok Ping", "non-dropping-particle" : "", "parse-names" : false, "suffix" : "" }, { "dropping-particle" : "", "family" : "Bharath", "given" : "Sakshibeedu R", "non-dropping-particle" : "", "parse-names" : false, "suffix" : "" }, { "dropping-particle" : "", "family" : "Bowler", "given" : "Matthew W", "non-dropping-particle" : "", "parse-names" : false, "suffix" : "" }, { "dropping-particle" : "", "family" : "Bal\u0131k\u00e7\u0131", "given" : "Esra", "non-dropping-particle" : "", "parse-names" : false, "suffix" : "" }, { "dropping-particle" : "", "family" : "Wang", "given" : "Cheng-I", "non-dropping-particle" : "", "parse-names" : false, "suffix" : "" }, { "dropping-particle" : "", "family" : "Song", "given" : "Haiwei", "non-dropping-particle" : "", "parse-names" : false, "suffix" : "" } ], "container-title" : "Cell research", "id" : "ITEM-2", "issue" : "1", "issued" : { "date-parts" : [ [ "2017", "1" ] ] }, "page" : "147-150", "publisher" : "Nature Publishing Group", "title" : "Structural basis for blocking PD-1-mediated immune suppression by therapeutic antibody pembrolizumab.", "type" : "article-journal", "volume" : "27" }, "uris" : [ "http://www.mendeley.com/documents/?uuid=6ed510bb-0927-4fff-af9e-16c30f54b09d" ] } ], "mendeley" : { "formattedCitation" : "(26,27)", "manualFormatting" : "[26,27]", "plainTextFormattedCitation" : "(26,27)", "previouslyFormattedCitation" : "(26,27)" }, "properties" : { "noteIndex" : 0 }, "schema" : "https://github.com/citation-style-language/schema/raw/master/csl-citation.json" }</w:instrText>
      </w:r>
      <w:r w:rsidRPr="00800743">
        <w:rPr>
          <w:sz w:val="24"/>
          <w:szCs w:val="24"/>
          <w:highlight w:val="white"/>
          <w:vertAlign w:val="superscript"/>
        </w:rPr>
        <w:fldChar w:fldCharType="separate"/>
      </w:r>
      <w:r w:rsidR="00B720EE">
        <w:rPr>
          <w:noProof/>
          <w:sz w:val="24"/>
          <w:szCs w:val="24"/>
          <w:highlight w:val="white"/>
        </w:rPr>
        <w:t>[</w:t>
      </w:r>
      <w:r w:rsidR="00C0435A" w:rsidRPr="00C0435A">
        <w:rPr>
          <w:noProof/>
          <w:sz w:val="24"/>
          <w:szCs w:val="24"/>
          <w:highlight w:val="white"/>
        </w:rPr>
        <w:t>26,27</w:t>
      </w:r>
      <w:r w:rsidR="00B720EE">
        <w:rPr>
          <w:noProof/>
          <w:sz w:val="24"/>
          <w:szCs w:val="24"/>
          <w:highlight w:val="white"/>
        </w:rPr>
        <w:t>]</w:t>
      </w:r>
      <w:r w:rsidRPr="00800743">
        <w:rPr>
          <w:sz w:val="24"/>
          <w:szCs w:val="24"/>
          <w:highlight w:val="white"/>
          <w:vertAlign w:val="superscript"/>
        </w:rPr>
        <w:fldChar w:fldCharType="end"/>
      </w:r>
      <w:r w:rsidRPr="00800743">
        <w:rPr>
          <w:sz w:val="24"/>
          <w:szCs w:val="24"/>
          <w:highlight w:val="white"/>
          <w:vertAlign w:val="superscript"/>
        </w:rPr>
        <w:t xml:space="preserve"> </w:t>
      </w:r>
      <w:r w:rsidRPr="00800743">
        <w:rPr>
          <w:sz w:val="24"/>
          <w:szCs w:val="24"/>
          <w:highlight w:val="white"/>
        </w:rPr>
        <w:t xml:space="preserve">However, its interaction </w:t>
      </w:r>
      <w:r w:rsidR="0070446C">
        <w:rPr>
          <w:sz w:val="24"/>
          <w:szCs w:val="24"/>
          <w:highlight w:val="white"/>
        </w:rPr>
        <w:t xml:space="preserve">also </w:t>
      </w:r>
      <w:r w:rsidRPr="00800743">
        <w:rPr>
          <w:sz w:val="24"/>
          <w:szCs w:val="24"/>
          <w:highlight w:val="white"/>
        </w:rPr>
        <w:t>with the C and C’ strands of PD-1</w:t>
      </w:r>
      <w:r w:rsidR="0070446C">
        <w:rPr>
          <w:sz w:val="24"/>
          <w:szCs w:val="24"/>
          <w:highlight w:val="white"/>
        </w:rPr>
        <w:t xml:space="preserve"> ensure that it</w:t>
      </w:r>
      <w:r w:rsidRPr="00800743">
        <w:rPr>
          <w:sz w:val="24"/>
          <w:szCs w:val="24"/>
          <w:highlight w:val="white"/>
        </w:rPr>
        <w:t xml:space="preserve"> competes with the binding of PD-L1</w:t>
      </w:r>
      <w:r w:rsidR="00C0435A">
        <w:rPr>
          <w:sz w:val="24"/>
          <w:szCs w:val="24"/>
          <w:highlight w:val="white"/>
        </w:rPr>
        <w:t xml:space="preserve"> (Fig</w:t>
      </w:r>
      <w:r w:rsidR="004024FA">
        <w:rPr>
          <w:sz w:val="24"/>
          <w:szCs w:val="24"/>
          <w:highlight w:val="white"/>
        </w:rPr>
        <w:t>ure 1e</w:t>
      </w:r>
      <w:r w:rsidR="00C0435A">
        <w:rPr>
          <w:sz w:val="24"/>
          <w:szCs w:val="24"/>
          <w:highlight w:val="white"/>
        </w:rPr>
        <w:t>)</w:t>
      </w:r>
      <w:r w:rsidRPr="00800743">
        <w:rPr>
          <w:sz w:val="24"/>
          <w:szCs w:val="24"/>
          <w:highlight w:val="white"/>
        </w:rPr>
        <w:t xml:space="preserve">. </w:t>
      </w:r>
      <w:r w:rsidRPr="00800743">
        <w:rPr>
          <w:sz w:val="24"/>
          <w:szCs w:val="24"/>
        </w:rPr>
        <w:t xml:space="preserve">In addition, binding of either of these </w:t>
      </w:r>
      <w:r w:rsidRPr="00800743">
        <w:rPr>
          <w:sz w:val="24"/>
          <w:szCs w:val="24"/>
        </w:rPr>
        <w:lastRenderedPageBreak/>
        <w:t xml:space="preserve">antibodies induces </w:t>
      </w:r>
      <w:r w:rsidR="0070446C">
        <w:rPr>
          <w:sz w:val="24"/>
          <w:szCs w:val="24"/>
        </w:rPr>
        <w:t xml:space="preserve">small </w:t>
      </w:r>
      <w:r w:rsidRPr="00800743">
        <w:rPr>
          <w:sz w:val="24"/>
          <w:szCs w:val="24"/>
        </w:rPr>
        <w:t>conformational changes in the flexible BC and FG loops of PD-1 which are incompatible with PD-L1 binding</w:t>
      </w:r>
      <w:r w:rsidR="004024FA">
        <w:rPr>
          <w:sz w:val="24"/>
          <w:szCs w:val="24"/>
        </w:rPr>
        <w:t xml:space="preserve"> (Figure 1d and 1e)</w:t>
      </w:r>
      <w:r w:rsidRPr="00800743">
        <w:rPr>
          <w:sz w:val="24"/>
          <w:szCs w:val="24"/>
        </w:rPr>
        <w:t>.</w:t>
      </w:r>
      <w:r w:rsidRPr="00800743">
        <w:rPr>
          <w:sz w:val="24"/>
          <w:szCs w:val="24"/>
          <w:vertAlign w:val="superscript"/>
        </w:rPr>
        <w:fldChar w:fldCharType="begin" w:fldLock="1"/>
      </w:r>
      <w:r w:rsidR="00B720EE">
        <w:rPr>
          <w:sz w:val="24"/>
          <w:szCs w:val="24"/>
          <w:vertAlign w:val="superscript"/>
        </w:rPr>
        <w:instrText>ADDIN CSL_CITATION { "citationItems" : [ { "id" : "ITEM-1", "itemData" : { "DOI" : "10.1038/ncomms14369", "ISSN" : "2041-1723", "author" : [ { "dropping-particle" : "", "family" : "Tan", "given" : "Shuguang", "non-dropping-particle" : "", "parse-names" : false, "suffix" : "" }, { "dropping-particle" : "", "family" : "Zhang", "given" : "Hao", "non-dropping-particle" : "", "parse-names" : false, "suffix" : "" }, { "dropping-particle" : "", "family" : "Chai", "given" : "Yan", "non-dropping-particle" : "", "parse-names" : false, "suffix" : "" }, { "dropping-particle" : "", "family" : "Song", "given" : "Hao", "non-dropping-particle" : "", "parse-names" : false, "suffix" : "" }, { "dropping-particle" : "", "family" : "Tong", "given" : "Zhou", "non-dropping-particle" : "", "parse-names" : false, "suffix" : "" }, { "dropping-particle" : "", "family" : "Wang", "given" : "Qihui", "non-dropping-particle" : "", "parse-names" : false, "suffix" : "" }, { "dropping-particle" : "", "family" : "Qi", "given" : "Jianxun", "non-dropping-particle" : "", "parse-names" : false, "suffix" : "" }, { "dropping-particle" : "", "family" : "Wong", "given" : "Gary", "non-dropping-particle" : "", "parse-names" : false, "suffix" : "" }, { "dropping-particle" : "", "family" : "Zhu", "given" : "Xiaodong", "non-dropping-particle" : "", "parse-names" : false, "suffix" : "" }, { "dropping-particle" : "", "family" : "Liu", "given" : "William J.", "non-dropping-particle" : "", "parse-names" : false, "suffix" : "" }, { "dropping-particle" : "", "family" : "Gao", "given" : "Shan", "non-dropping-particle" : "", "parse-names" : false, "suffix" : "" }, { "dropping-particle" : "", "family" : "Wang", "given" : "Zhongfu", "non-dropping-particle" : "", "parse-names" : false, "suffix" : "" }, { "dropping-particle" : "", "family" : "Shi", "given" : "Yi", "non-dropping-particle" : "", "parse-names" : false, "suffix" : "" }, { "dropping-particle" : "", "family" : "Yang", "given" : "Fuquan", "non-dropping-particle" : "", "parse-names" : false, "suffix" : "" }, { "dropping-particle" : "", "family" : "Gao", "given" : "George F.", "non-dropping-particle" : "", "parse-names" : false, "suffix" : "" }, { "dropping-particle" : "", "family" : "Yan", "given" : "Jinghua", "non-dropping-particle" : "", "parse-names" : false, "suffix" : "" } ], "container-title" : "Nature Communications", "id" : "ITEM-1", "issued" : { "date-parts" : [ [ "2017", "2" ] ] }, "page" : "14369", "publisher" : "Nature Publishing Group", "title" : "An unexpected N-terminal loop in PD-1 dominates binding by nivolumab", "type" : "article-journal", "volume" : "8" }, "uris" : [ "http://www.mendeley.com/documents/?uuid=5487fb50-6f72-49ec-ac1e-0246a0262ef4" ] }, { "id" : "ITEM-2", "itemData" : { "DOI" : "10.1038/ncomms13354", "ISSN" : "2041-1723", "author" : [ { "dropping-particle" : "", "family" : "Lee", "given" : "Ju Yeon", "non-dropping-particle" : "", "parse-names" : false, "suffix" : "" }, { "dropping-particle" : "", "family" : "Lee", "given" : "Hyun Tae", "non-dropping-particle" : "", "parse-names" : false, "suffix" : "" }, { "dropping-particle" : "", "family" : "Shin", "given" : "Woori", "non-dropping-particle" : "", "parse-names" : false, "suffix" : "" }, { "dropping-particle" : "", "family" : "Chae", "given" : "Jongseok", "non-dropping-particle" : "", "parse-names" : false, "suffix" : "" }, { "dropping-particle" : "", "family" : "Choi", "given" : "Jaemo", "non-dropping-particle" : "", "parse-names" : false, "suffix" : "" }, { "dropping-particle" : "", "family" : "Kim", "given" : "Sung Hyun", "non-dropping-particle" : "", "parse-names" : false, "suffix" : "" }, { "dropping-particle" : "", "family" : "Lim", "given" : "Heejin", "non-dropping-particle" : "", "parse-names" : false, "suffix" : "" }, { "dropping-particle" : "", "family" : "Won Heo", "given" : "Tae", "non-dropping-particle" : "", "parse-names" : false, "suffix" : "" }, { "dropping-particle" : "", "family" : "Park", "given" : "Kyeong Young", "non-dropping-particle" : "", "parse-names" : false, "suffix" : "" }, { "dropping-particle" : "", "family" : "Lee", "given" : "Yeon Ji", "non-dropping-particle" : "", "parse-names" : false, "suffix" : "" }, { "dropping-particle" : "", "family" : "Ryu", "given" : "Seong Eon", "non-dropping-particle" : "", "parse-names" : false, "suffix" : "" }, { "dropping-particle" : "", "family" : "Son", "given" : "Ji Young", "non-dropping-particle" : "", "parse-names" : false, "suffix" : "" }, { "dropping-particle" : "", "family" : "Lee", "given" : "Jee Un", "non-dropping-particle" : "", "parse-names" : false, "suffix" : "" }, { "dropping-particle" : "", "family" : "Heo", "given" : "Yong-Seok", "non-dropping-particle" : "", "parse-names" : false, "suffix" : "" } ], "container-title" : "Nature Communications", "id" : "ITEM-2", "issued" : { "date-parts" : [ [ "2016", "10" ] ] }, "page" : "13354", "publisher" : "Nature Publishing Group", "title" : "Structural basis of checkpoint blockade by monoclonal antibodies in cancer immunotherapy", "type" : "article-journal", "volume" : "7" }, "uris" : [ "http://www.mendeley.com/documents/?uuid=ce9710a4-ab11-4754-bfd2-459b1ff3f623" ] } ], "mendeley" : { "formattedCitation" : "(25,26)", "manualFormatting" : "[25,26]", "plainTextFormattedCitation" : "(25,26)", "previouslyFormattedCitation" : "(25,26)" }, "properties" : { "noteIndex" : 0 }, "schema" : "https://github.com/citation-style-language/schema/raw/master/csl-citation.json" }</w:instrText>
      </w:r>
      <w:r w:rsidRPr="00800743">
        <w:rPr>
          <w:sz w:val="24"/>
          <w:szCs w:val="24"/>
          <w:vertAlign w:val="superscript"/>
        </w:rPr>
        <w:fldChar w:fldCharType="separate"/>
      </w:r>
      <w:r w:rsidR="00B720EE">
        <w:rPr>
          <w:noProof/>
          <w:sz w:val="24"/>
          <w:szCs w:val="24"/>
        </w:rPr>
        <w:t>[</w:t>
      </w:r>
      <w:r w:rsidR="00C0435A" w:rsidRPr="00C0435A">
        <w:rPr>
          <w:noProof/>
          <w:sz w:val="24"/>
          <w:szCs w:val="24"/>
        </w:rPr>
        <w:t>25,26</w:t>
      </w:r>
      <w:r w:rsidR="00B720EE">
        <w:rPr>
          <w:noProof/>
          <w:sz w:val="24"/>
          <w:szCs w:val="24"/>
        </w:rPr>
        <w:t>]</w:t>
      </w:r>
      <w:r w:rsidRPr="00800743">
        <w:rPr>
          <w:sz w:val="24"/>
          <w:szCs w:val="24"/>
          <w:vertAlign w:val="superscript"/>
        </w:rPr>
        <w:fldChar w:fldCharType="end"/>
      </w:r>
      <w:r w:rsidR="0070446C">
        <w:rPr>
          <w:sz w:val="24"/>
          <w:szCs w:val="24"/>
        </w:rPr>
        <w:t xml:space="preserve"> </w:t>
      </w:r>
      <w:r w:rsidRPr="00800743">
        <w:rPr>
          <w:sz w:val="24"/>
          <w:szCs w:val="24"/>
        </w:rPr>
        <w:t>These structural features suggest that both these antibodies have a similar mechanism of action whereby they competitively inhibit PD-L1 binding by direct occupancy and steric blockade of the PD-L1 binding site.</w:t>
      </w:r>
      <w:r w:rsidR="00CC4DBB" w:rsidRPr="00800743" w:rsidDel="00CC4DBB">
        <w:rPr>
          <w:sz w:val="24"/>
          <w:szCs w:val="24"/>
        </w:rPr>
        <w:t xml:space="preserve"> </w:t>
      </w:r>
    </w:p>
    <w:p w14:paraId="596E1A55" w14:textId="77777777" w:rsidR="00E4298E" w:rsidRPr="00800743" w:rsidRDefault="007E4E3C" w:rsidP="00C20157">
      <w:pPr>
        <w:spacing w:line="480" w:lineRule="auto"/>
        <w:jc w:val="both"/>
        <w:rPr>
          <w:sz w:val="24"/>
          <w:szCs w:val="24"/>
        </w:rPr>
      </w:pPr>
      <w:r w:rsidRPr="00800743">
        <w:rPr>
          <w:sz w:val="24"/>
          <w:szCs w:val="24"/>
        </w:rPr>
        <w:t xml:space="preserve"> </w:t>
      </w:r>
    </w:p>
    <w:p w14:paraId="195CFE46" w14:textId="61C72366" w:rsidR="007D11AA" w:rsidRDefault="004024FA" w:rsidP="00C20157">
      <w:pPr>
        <w:spacing w:line="480" w:lineRule="auto"/>
        <w:jc w:val="both"/>
        <w:rPr>
          <w:sz w:val="24"/>
          <w:szCs w:val="24"/>
        </w:rPr>
      </w:pPr>
      <w:r>
        <w:rPr>
          <w:sz w:val="24"/>
          <w:szCs w:val="24"/>
        </w:rPr>
        <w:t>T</w:t>
      </w:r>
      <w:r w:rsidR="00C01BE9">
        <w:rPr>
          <w:sz w:val="24"/>
          <w:szCs w:val="24"/>
        </w:rPr>
        <w:t xml:space="preserve">here are </w:t>
      </w:r>
      <w:r>
        <w:rPr>
          <w:sz w:val="24"/>
          <w:szCs w:val="24"/>
        </w:rPr>
        <w:t xml:space="preserve">thus </w:t>
      </w:r>
      <w:r w:rsidR="007E4E3C" w:rsidRPr="00800743">
        <w:rPr>
          <w:sz w:val="24"/>
          <w:szCs w:val="24"/>
        </w:rPr>
        <w:t>notable structural differe</w:t>
      </w:r>
      <w:r w:rsidR="0032608E">
        <w:rPr>
          <w:sz w:val="24"/>
          <w:szCs w:val="24"/>
        </w:rPr>
        <w:t>nces between the two antibodies</w:t>
      </w:r>
      <w:r w:rsidR="0070446C">
        <w:rPr>
          <w:sz w:val="24"/>
          <w:szCs w:val="24"/>
        </w:rPr>
        <w:t xml:space="preserve"> in terms of how they </w:t>
      </w:r>
      <w:r w:rsidR="000B13E0">
        <w:rPr>
          <w:sz w:val="24"/>
          <w:szCs w:val="24"/>
        </w:rPr>
        <w:t>bind to PD-1</w:t>
      </w:r>
      <w:r w:rsidR="0032608E">
        <w:rPr>
          <w:sz w:val="24"/>
          <w:szCs w:val="24"/>
        </w:rPr>
        <w:t>. T</w:t>
      </w:r>
      <w:r w:rsidR="007E4E3C" w:rsidRPr="00800743">
        <w:rPr>
          <w:sz w:val="24"/>
          <w:szCs w:val="24"/>
        </w:rPr>
        <w:t xml:space="preserve">he </w:t>
      </w:r>
      <w:r w:rsidR="00392C96">
        <w:rPr>
          <w:sz w:val="24"/>
          <w:szCs w:val="24"/>
          <w:highlight w:val="white"/>
        </w:rPr>
        <w:t>pembrolizumab</w:t>
      </w:r>
      <w:r w:rsidR="007E4E3C" w:rsidRPr="00800743">
        <w:rPr>
          <w:sz w:val="24"/>
          <w:szCs w:val="24"/>
          <w:highlight w:val="white"/>
        </w:rPr>
        <w:t xml:space="preserve"> epitope region shows a much greater overlap </w:t>
      </w:r>
      <w:r w:rsidR="007E4E3C" w:rsidRPr="00800743">
        <w:rPr>
          <w:sz w:val="24"/>
          <w:szCs w:val="24"/>
        </w:rPr>
        <w:t>with the PD-L1 binding site than</w:t>
      </w:r>
      <w:r w:rsidR="007D11AA" w:rsidRPr="00800743">
        <w:rPr>
          <w:sz w:val="24"/>
          <w:szCs w:val="24"/>
        </w:rPr>
        <w:t xml:space="preserve"> the epitope region of</w:t>
      </w:r>
      <w:r w:rsidR="007E4E3C" w:rsidRPr="00800743">
        <w:rPr>
          <w:sz w:val="24"/>
          <w:szCs w:val="24"/>
        </w:rPr>
        <w:t xml:space="preserve"> </w:t>
      </w:r>
      <w:r w:rsidR="00392C96">
        <w:rPr>
          <w:sz w:val="24"/>
          <w:szCs w:val="24"/>
        </w:rPr>
        <w:t>nivolumab</w:t>
      </w:r>
      <w:r w:rsidR="00C0435A">
        <w:rPr>
          <w:sz w:val="24"/>
          <w:szCs w:val="24"/>
        </w:rPr>
        <w:t xml:space="preserve">. </w:t>
      </w:r>
      <w:r w:rsidR="000B13E0">
        <w:rPr>
          <w:sz w:val="24"/>
          <w:szCs w:val="24"/>
        </w:rPr>
        <w:t>Strikingly</w:t>
      </w:r>
      <w:r w:rsidR="007E4E3C" w:rsidRPr="00800743">
        <w:rPr>
          <w:sz w:val="24"/>
          <w:szCs w:val="24"/>
        </w:rPr>
        <w:t xml:space="preserve">, there is almost no overlap between the binding sites of </w:t>
      </w:r>
      <w:r w:rsidR="00392C96">
        <w:rPr>
          <w:sz w:val="24"/>
          <w:szCs w:val="24"/>
        </w:rPr>
        <w:t>pembrolizumab</w:t>
      </w:r>
      <w:r w:rsidR="007E4E3C" w:rsidRPr="00800743">
        <w:rPr>
          <w:sz w:val="24"/>
          <w:szCs w:val="24"/>
        </w:rPr>
        <w:t xml:space="preserve"> and </w:t>
      </w:r>
      <w:r w:rsidR="00392C96">
        <w:rPr>
          <w:sz w:val="24"/>
          <w:szCs w:val="24"/>
        </w:rPr>
        <w:t>nivolumab</w:t>
      </w:r>
      <w:r w:rsidR="007E4E3C" w:rsidRPr="00800743">
        <w:rPr>
          <w:sz w:val="24"/>
          <w:szCs w:val="24"/>
        </w:rPr>
        <w:t xml:space="preserve"> on the PD-1 molecule. </w:t>
      </w:r>
      <w:r w:rsidR="0032608E">
        <w:rPr>
          <w:sz w:val="24"/>
          <w:szCs w:val="24"/>
        </w:rPr>
        <w:t>In keeping with these findings, c</w:t>
      </w:r>
      <w:r w:rsidR="007E4E3C" w:rsidRPr="00800743">
        <w:rPr>
          <w:sz w:val="24"/>
          <w:szCs w:val="24"/>
        </w:rPr>
        <w:t xml:space="preserve">ompetitive binding analysis suggests that there is </w:t>
      </w:r>
      <w:r w:rsidR="00E32B98">
        <w:rPr>
          <w:sz w:val="24"/>
          <w:szCs w:val="24"/>
        </w:rPr>
        <w:t>partial complementary binding</w:t>
      </w:r>
      <w:r w:rsidR="007E4E3C" w:rsidRPr="00800743">
        <w:rPr>
          <w:sz w:val="24"/>
          <w:szCs w:val="24"/>
        </w:rPr>
        <w:t xml:space="preserve"> between the two antibodies.</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"DOI" : "10.1038/ncomms14369", "ISSN" : "2041-1723", "author" : [ { "dropping-particle" : "", "family" : "Tan", "given" : "Shuguang", "non-dropping-particle" : "", "parse-names" : false, "suffix" : "" }, { "dropping-particle" : "", "family" : "Zhang", "given" : "Hao", "non-dropping-particle" : "", "parse-names" : false, "suffix" : "" }, { "dropping-particle" : "", "family" : "Chai", "given" : "Yan", "non-dropping-particle" : "", "parse-names" : false, "suffix" : "" }, { "dropping-particle" : "", "family" : "Song", "given" : "Hao", "non-dropping-particle" : "", "parse-names" : false, "suffix" : "" }, { "dropping-particle" : "", "family" : "Tong", "given" : "Zhou", "non-dropping-particle" : "", "parse-names" : false, "suffix" : "" }, { "dropping-particle" : "", "family" : "Wang", "given" : "Qihui", "non-dropping-particle" : "", "parse-names" : false, "suffix" : "" }, { "dropping-particle" : "", "family" : "Qi", "given" : "Jianxun", "non-dropping-particle" : "", "parse-names" : false, "suffix" : "" }, { "dropping-particle" : "", "family" : "Wong", "given" : "Gary", "non-dropping-particle" : "", "parse-names" : false, "suffix" : "" }, { "dropping-particle" : "", "family" : "Zhu", "given" : "Xiaodong", "non-dropping-particle" : "", "parse-names" : false, "suffix" : "" }, { "dropping-particle" : "", "family" : "Liu", "given" : "William J.", "non-dropping-particle" : "", "parse-names" : false, "suffix" : "" }, { "dropping-particle" : "", "family" : "Gao", "given" : "Shan", "non-dropping-particle" : "", "parse-names" : false, "suffix" : "" }, { "dropping-particle" : "", "family" : "Wang", "given" : "Zhongfu", "non-dropping-particle" : "", "parse-names" : false, "suffix" : "" }, { "dropping-particle" : "", "family" : "Shi", "given" : "Yi", "non-dropping-particle" : "", "parse-names" : false, "suffix" : "" }, { "dropping-particle" : "", "family" : "Yang", "given" : "Fuquan", "non-dropping-particle" : "", "parse-names" : false, "suffix" : "" }, { "dropping-particle" : "", "family" : "Gao", "given" : "George F.", "non-dropping-particle" : "", "parse-names" : false, "suffix" : "" }, { "dropping-particle" : "", "family" : "Yan", "given" : "Jinghua", "non-dropping-particle" : "", "parse-names" : false, "suffix" : "" } ], "container-title" : "Nature Communications", "id" : "ITEM-1", "issued" : { "date-parts" : [ [ "2017", "2" ] ] }, "page" : "14369", "publisher" : "Nature Publishing Group", "title" : "An unexpected N-terminal loop in PD-1 dominates binding by nivolumab", "type" : "article-journal", "volume" : "8" }, "uris" : [ "http://www.mendeley.com/documents/?uuid=5487fb50-6f72-49ec-ac1e-0246a0262ef4" ] } ], "mendeley" : { "formattedCitation" : "(25)", "manualFormatting" : "[25]", "plainTextFormattedCitation" : "(25)", "previouslyFormattedCitation" : "(25)"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C0435A" w:rsidRPr="00C0435A">
        <w:rPr>
          <w:noProof/>
          <w:sz w:val="24"/>
          <w:szCs w:val="24"/>
        </w:rPr>
        <w:t>25</w:t>
      </w:r>
      <w:r w:rsidR="00B720EE">
        <w:rPr>
          <w:noProof/>
          <w:sz w:val="24"/>
          <w:szCs w:val="24"/>
        </w:rPr>
        <w:t>]</w:t>
      </w:r>
      <w:r w:rsidR="007E4E3C" w:rsidRPr="00800743">
        <w:rPr>
          <w:sz w:val="24"/>
          <w:szCs w:val="24"/>
          <w:vertAlign w:val="superscript"/>
        </w:rPr>
        <w:fldChar w:fldCharType="end"/>
      </w:r>
      <w:r w:rsidR="007E4E3C" w:rsidRPr="00800743">
        <w:rPr>
          <w:sz w:val="24"/>
          <w:szCs w:val="24"/>
          <w:vertAlign w:val="superscript"/>
        </w:rPr>
        <w:t xml:space="preserve"> </w:t>
      </w:r>
      <w:r w:rsidR="007E4E3C" w:rsidRPr="00800743">
        <w:rPr>
          <w:sz w:val="24"/>
          <w:szCs w:val="24"/>
        </w:rPr>
        <w:t xml:space="preserve">However, </w:t>
      </w:r>
      <w:r w:rsidR="00C01BE9">
        <w:rPr>
          <w:sz w:val="24"/>
          <w:szCs w:val="24"/>
        </w:rPr>
        <w:t xml:space="preserve">whether </w:t>
      </w:r>
      <w:r w:rsidR="00C01BE9" w:rsidRPr="00800743">
        <w:rPr>
          <w:sz w:val="24"/>
          <w:szCs w:val="24"/>
        </w:rPr>
        <w:t xml:space="preserve">simultaneous administration of the two drugs </w:t>
      </w:r>
      <w:r w:rsidR="00C01BE9">
        <w:rPr>
          <w:sz w:val="24"/>
          <w:szCs w:val="24"/>
        </w:rPr>
        <w:t xml:space="preserve">would </w:t>
      </w:r>
      <w:r w:rsidR="00C01BE9" w:rsidRPr="00800743">
        <w:rPr>
          <w:sz w:val="24"/>
          <w:szCs w:val="24"/>
        </w:rPr>
        <w:t>offer an improved therapeutic</w:t>
      </w:r>
      <w:r w:rsidR="00C01BE9">
        <w:rPr>
          <w:sz w:val="24"/>
          <w:szCs w:val="24"/>
        </w:rPr>
        <w:t xml:space="preserve"> strategy is questionable </w:t>
      </w:r>
      <w:r w:rsidR="00E32B98">
        <w:rPr>
          <w:sz w:val="24"/>
          <w:szCs w:val="24"/>
        </w:rPr>
        <w:t>given</w:t>
      </w:r>
      <w:r w:rsidR="00C01BE9">
        <w:rPr>
          <w:sz w:val="24"/>
          <w:szCs w:val="24"/>
        </w:rPr>
        <w:t xml:space="preserve"> how well</w:t>
      </w:r>
      <w:r w:rsidR="00E32B98">
        <w:rPr>
          <w:sz w:val="24"/>
          <w:szCs w:val="24"/>
        </w:rPr>
        <w:t xml:space="preserve"> </w:t>
      </w:r>
      <w:r w:rsidR="00C01BE9">
        <w:rPr>
          <w:sz w:val="24"/>
          <w:szCs w:val="24"/>
        </w:rPr>
        <w:t>the antibodies block PD-1/PD</w:t>
      </w:r>
      <w:r>
        <w:rPr>
          <w:sz w:val="24"/>
          <w:szCs w:val="24"/>
        </w:rPr>
        <w:t>-</w:t>
      </w:r>
      <w:r w:rsidR="00C01BE9">
        <w:rPr>
          <w:sz w:val="24"/>
          <w:szCs w:val="24"/>
        </w:rPr>
        <w:t>L1 binding</w:t>
      </w:r>
      <w:r w:rsidR="0032608E">
        <w:rPr>
          <w:sz w:val="24"/>
          <w:szCs w:val="24"/>
        </w:rPr>
        <w:t>.</w:t>
      </w:r>
      <w:r w:rsidR="007E4E3C" w:rsidRPr="00800743">
        <w:rPr>
          <w:sz w:val="24"/>
          <w:szCs w:val="24"/>
        </w:rPr>
        <w:t xml:space="preserve"> </w:t>
      </w:r>
      <w:r w:rsidR="0032608E">
        <w:rPr>
          <w:sz w:val="24"/>
          <w:szCs w:val="24"/>
        </w:rPr>
        <w:t>As single agents, t</w:t>
      </w:r>
      <w:r w:rsidR="0032608E" w:rsidRPr="00800743">
        <w:rPr>
          <w:sz w:val="24"/>
          <w:szCs w:val="24"/>
        </w:rPr>
        <w:t>he binding affinit</w:t>
      </w:r>
      <w:r w:rsidR="00E32B98">
        <w:rPr>
          <w:sz w:val="24"/>
          <w:szCs w:val="24"/>
        </w:rPr>
        <w:t>ies</w:t>
      </w:r>
      <w:r w:rsidR="0032608E" w:rsidRPr="00800743">
        <w:rPr>
          <w:sz w:val="24"/>
          <w:szCs w:val="24"/>
        </w:rPr>
        <w:t xml:space="preserve"> of both antibodies to the recombinant human PD-1 measured by ELISA or surface plasmon resonance </w:t>
      </w:r>
      <w:r w:rsidR="00E32B98">
        <w:rPr>
          <w:sz w:val="24"/>
          <w:szCs w:val="24"/>
        </w:rPr>
        <w:t>are</w:t>
      </w:r>
      <w:r w:rsidR="0032608E">
        <w:rPr>
          <w:sz w:val="24"/>
          <w:szCs w:val="24"/>
        </w:rPr>
        <w:t xml:space="preserve"> in a simi</w:t>
      </w:r>
      <w:r w:rsidR="0032608E" w:rsidRPr="00800743">
        <w:rPr>
          <w:sz w:val="24"/>
          <w:szCs w:val="24"/>
        </w:rPr>
        <w:t>lar low picomolar range, as summarised in Table 1.</w:t>
      </w:r>
      <w:r w:rsidR="00D179A6">
        <w:rPr>
          <w:sz w:val="24"/>
          <w:szCs w:val="24"/>
        </w:rPr>
        <w:t xml:space="preserve"> A caveat to this comparison, however, is that the binding studies are likely to have been performed with bivalent antibodies in solution</w:t>
      </w:r>
      <w:r w:rsidR="00EF2054">
        <w:rPr>
          <w:sz w:val="24"/>
          <w:szCs w:val="24"/>
        </w:rPr>
        <w:t xml:space="preserve">, rather than Fab fragments, which </w:t>
      </w:r>
      <w:r w:rsidR="00392C96">
        <w:rPr>
          <w:sz w:val="24"/>
          <w:szCs w:val="24"/>
        </w:rPr>
        <w:t>permits</w:t>
      </w:r>
      <w:r w:rsidR="00EF2054">
        <w:rPr>
          <w:sz w:val="24"/>
          <w:szCs w:val="24"/>
        </w:rPr>
        <w:t xml:space="preserve"> the measurement of affinity</w:t>
      </w:r>
      <w:r w:rsidR="00392C96">
        <w:rPr>
          <w:sz w:val="24"/>
          <w:szCs w:val="24"/>
        </w:rPr>
        <w:t xml:space="preserve"> to be influenced by steric factors.</w:t>
      </w:r>
    </w:p>
    <w:p w14:paraId="0430396D" w14:textId="77777777" w:rsidR="0024671D" w:rsidRPr="00800743" w:rsidRDefault="0024671D" w:rsidP="00C20157">
      <w:pPr>
        <w:spacing w:line="480" w:lineRule="auto"/>
        <w:jc w:val="both"/>
        <w:rPr>
          <w:b/>
          <w:sz w:val="24"/>
          <w:szCs w:val="24"/>
        </w:rPr>
      </w:pPr>
    </w:p>
    <w:p w14:paraId="5D5B5EDF" w14:textId="77777777" w:rsidR="00166D6F" w:rsidRDefault="00166D6F">
      <w:pPr>
        <w:rPr>
          <w:b/>
          <w:sz w:val="24"/>
          <w:szCs w:val="24"/>
        </w:rPr>
      </w:pPr>
      <w:r>
        <w:rPr>
          <w:b/>
          <w:sz w:val="24"/>
          <w:szCs w:val="24"/>
        </w:rPr>
        <w:br w:type="page"/>
      </w:r>
    </w:p>
    <w:p w14:paraId="4978B2E8" w14:textId="41D6828E" w:rsidR="00E4298E" w:rsidRPr="00800743" w:rsidRDefault="007E4E3C" w:rsidP="00C20157">
      <w:pPr>
        <w:spacing w:line="480" w:lineRule="auto"/>
        <w:jc w:val="both"/>
        <w:rPr>
          <w:b/>
          <w:sz w:val="24"/>
          <w:szCs w:val="24"/>
        </w:rPr>
      </w:pPr>
      <w:r w:rsidRPr="00800743">
        <w:rPr>
          <w:b/>
          <w:sz w:val="24"/>
          <w:szCs w:val="24"/>
        </w:rPr>
        <w:lastRenderedPageBreak/>
        <w:t xml:space="preserve">The preclinical and early clinical pharmacology of </w:t>
      </w:r>
      <w:r w:rsidR="00392C96">
        <w:rPr>
          <w:b/>
          <w:sz w:val="24"/>
          <w:szCs w:val="24"/>
        </w:rPr>
        <w:t>nivolumab</w:t>
      </w:r>
      <w:r w:rsidRPr="00800743">
        <w:rPr>
          <w:b/>
          <w:sz w:val="24"/>
          <w:szCs w:val="24"/>
        </w:rPr>
        <w:t xml:space="preserve"> and </w:t>
      </w:r>
      <w:r w:rsidR="00392C96">
        <w:rPr>
          <w:b/>
          <w:sz w:val="24"/>
          <w:szCs w:val="24"/>
        </w:rPr>
        <w:t>pembrolizumab</w:t>
      </w:r>
      <w:r w:rsidRPr="00800743">
        <w:rPr>
          <w:b/>
          <w:sz w:val="24"/>
          <w:szCs w:val="24"/>
        </w:rPr>
        <w:t xml:space="preserve"> are similar</w:t>
      </w:r>
    </w:p>
    <w:p w14:paraId="4058CBC5" w14:textId="35AFEA35" w:rsidR="00E4298E" w:rsidRPr="0032608E" w:rsidRDefault="0032608E" w:rsidP="00C20157">
      <w:pPr>
        <w:spacing w:line="480" w:lineRule="auto"/>
        <w:jc w:val="both"/>
        <w:rPr>
          <w:b/>
          <w:sz w:val="24"/>
          <w:szCs w:val="24"/>
        </w:rPr>
      </w:pPr>
      <w:r>
        <w:rPr>
          <w:sz w:val="24"/>
          <w:szCs w:val="24"/>
        </w:rPr>
        <w:t>With regard to biological assessment, b</w:t>
      </w:r>
      <w:r w:rsidR="007E4E3C" w:rsidRPr="00800743">
        <w:rPr>
          <w:sz w:val="24"/>
          <w:szCs w:val="24"/>
        </w:rPr>
        <w:t>oth antibodies were initially tested in mixed lymphocyte reactions, where they were added to co</w:t>
      </w:r>
      <w:r w:rsidR="00A1122F">
        <w:rPr>
          <w:sz w:val="24"/>
          <w:szCs w:val="24"/>
        </w:rPr>
        <w:t>-</w:t>
      </w:r>
      <w:r w:rsidR="007E4E3C" w:rsidRPr="00800743">
        <w:rPr>
          <w:sz w:val="24"/>
          <w:szCs w:val="24"/>
        </w:rPr>
        <w:t xml:space="preserve">cultures of T cells, which express PD-1 when activated, </w:t>
      </w:r>
      <w:r>
        <w:rPr>
          <w:sz w:val="24"/>
          <w:szCs w:val="24"/>
        </w:rPr>
        <w:t xml:space="preserve">together </w:t>
      </w:r>
      <w:r w:rsidR="007E4E3C" w:rsidRPr="00800743">
        <w:rPr>
          <w:sz w:val="24"/>
          <w:szCs w:val="24"/>
        </w:rPr>
        <w:t xml:space="preserve">with allogeneic monocytes, which </w:t>
      </w:r>
      <w:r w:rsidR="00A1122F">
        <w:rPr>
          <w:sz w:val="24"/>
          <w:szCs w:val="24"/>
        </w:rPr>
        <w:t>present</w:t>
      </w:r>
      <w:r w:rsidR="00A1122F" w:rsidRPr="00800743">
        <w:rPr>
          <w:sz w:val="24"/>
          <w:szCs w:val="24"/>
        </w:rPr>
        <w:t xml:space="preserve"> </w:t>
      </w:r>
      <w:r w:rsidR="007E4E3C" w:rsidRPr="00800743">
        <w:rPr>
          <w:sz w:val="24"/>
          <w:szCs w:val="24"/>
        </w:rPr>
        <w:t>PD-L1 on their surface</w:t>
      </w:r>
      <w:r w:rsidR="00A1122F">
        <w:rPr>
          <w:sz w:val="24"/>
          <w:szCs w:val="24"/>
        </w:rPr>
        <w:t>s</w:t>
      </w:r>
      <w:r w:rsidR="007E4E3C" w:rsidRPr="00800743">
        <w:rPr>
          <w:sz w:val="24"/>
          <w:szCs w:val="24"/>
        </w:rPr>
        <w:t>.</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"author" : [ { "dropping-particle" : "", "family" : "Freeman", "given" : "Gordon J.", "non-dropping-particle" : "", "parse-names" : false, "suffix" : "" }, { "dropping-particle" : "", "family" : "Long", "given" : "Andrew J.", "non-dropping-particle" : "", "parse-names" : false, "suffix" : "" }, { "dropping-particle" : "", "family" : "Iwai", "given" : "Yoshiko", "non-dropping-particle" : "", "parse-names" : false, "suffix" : "" }, { "dropping-particle" : "", "family" : "Bourque", "given" : "Karen", "non-dropping-particle" : "", "parse-names" : false, "suffix" : "" }, { "dropping-particle" : "", "family" : "Chernova", "given" : "Tatyana", "non-dropping-particle" : "", "parse-names" : false, "suffix" : "" }, { "dropping-particle" : "", "family" : "Nishimura", "given" : "Hiroyuki", "non-dropping-particle" : "", "parse-names" : false, "suffix" : "" }, { "dropping-particle" : "", "family" : "Fitz", "given" : "Lori J.", "non-dropping-particle" : "", "parse-names" : false, "suffix" : "" }, { "dropping-particle" : "", "family" : "Malenkovich", "given" : "Nelly", "non-dropping-particle" : "", "parse-names" : false, "suffix" : "" }, { "dropping-particle" : "", "family" : "Okazaki", "given" : "Taku", "non-dropping-particle" : "", "parse-names" : false, "suffix" : "" }, { "dropping-particle" : "", "family" : "Byrne", "given" : "Michael C.", "non-dropping-particle" : "", "parse-names" : false, "suffix" : "" }, { "dropping-particle" : "", "family" : "Horton", "given" : "Heidi F.", "non-dropping-particle" : "", "parse-names" : false, "suffix" : "" }, { "dropping-particle" : "", "family" : "Fouser", "given" : "Lynette", "non-dropping-particle" : "", "parse-names" : false, "suffix" : "" }, { "dropping-particle" : "", "family" : "Carter", "given" : "Laura", "non-dropping-particle" : "", "parse-names" : false, "suffix" : "" }, { "dropping-particle" : "", "family" : "Ling", "given" : "Vincent", "non-dropping-particle" : "", "parse-names" : false, "suffix" : "" }, { "dropping-particle" : "", "family" : "Bowman", "given" : "Michael R.", "non-dropping-particle" : "", "parse-names" : false, "suffix" : "" }, { "dropping-particle" : "", "family" : "Carreno", "given" : "Beatriz M.", "non-dropping-particle" : "", "parse-names" : false, "suffix" : "" }, { "dropping-particle" : "", "family" : "Collins", "given" : "Mary", "non-dropping-particle" : "", "parse-names" : false, "suffix" : "" }, { "dropping-particle" : "", "family" : "Wood", "given" : "Clive R.", "non-dropping-particle" : "", "parse-names" : false, "suffix" : "" }, { "dropping-particle" : "", "family" : "Honjo", "given" : "Tasuku", "non-dropping-particle" : "", "parse-names" : false, "suffix" : "" } ], "container-title" : "Journal of Experimental Medicine", "id" : "ITEM-1", "issue" : "7", "issued" : { "date-parts" : [ [ "2000" ] ] }, "title" : "Engagement of the Pd-1 Immunoinhibitory Receptor by a Novel B7 Family Member Leads to Negative Regulation of Lymphocyte Activation", "type" : "article-journal", "volume" : "192" }, "uris" : [ "http://www.mendeley.com/documents/?uuid=986a722b-5453-4236-a4f9-176b6e69d744" ] } ], "mendeley" : { "formattedCitation" : "(3)", "manualFormatting" : "[3]", "plainTextFormattedCitation" : "(3)", "previouslyFormattedCitation" : "(3)"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0B124D" w:rsidRPr="000B124D">
        <w:rPr>
          <w:noProof/>
          <w:sz w:val="24"/>
          <w:szCs w:val="24"/>
        </w:rPr>
        <w:t>3</w:t>
      </w:r>
      <w:r w:rsidR="00B720EE">
        <w:rPr>
          <w:noProof/>
          <w:sz w:val="24"/>
          <w:szCs w:val="24"/>
        </w:rPr>
        <w:t>]</w:t>
      </w:r>
      <w:r w:rsidR="007E4E3C" w:rsidRPr="00800743">
        <w:rPr>
          <w:sz w:val="24"/>
          <w:szCs w:val="24"/>
          <w:vertAlign w:val="superscript"/>
        </w:rPr>
        <w:fldChar w:fldCharType="end"/>
      </w:r>
      <w:r w:rsidR="007E4E3C" w:rsidRPr="00800743">
        <w:rPr>
          <w:sz w:val="24"/>
          <w:szCs w:val="24"/>
        </w:rPr>
        <w:t xml:space="preserve"> In contrast to CTLA-4, whose point of action is the </w:t>
      </w:r>
      <w:r w:rsidR="00D3637F" w:rsidRPr="00800743">
        <w:rPr>
          <w:sz w:val="24"/>
          <w:szCs w:val="24"/>
        </w:rPr>
        <w:t>T</w:t>
      </w:r>
      <w:r w:rsidR="00D3637F">
        <w:rPr>
          <w:sz w:val="24"/>
          <w:szCs w:val="24"/>
        </w:rPr>
        <w:t>-</w:t>
      </w:r>
      <w:r w:rsidR="007E4E3C" w:rsidRPr="00800743">
        <w:rPr>
          <w:sz w:val="24"/>
          <w:szCs w:val="24"/>
        </w:rPr>
        <w:t>cell priming phase, PD-1 inhibits the effector functions of activated T-cells.</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"author" : [ { "dropping-particle" : "", "family" : "Freeman", "given" : "Gordon J.", "non-dropping-particle" : "", "parse-names" : false, "suffix" : "" }, { "dropping-particle" : "", "family" : "Long", "given" : "Andrew J.", "non-dropping-particle" : "", "parse-names" : false, "suffix" : "" }, { "dropping-particle" : "", "family" : "Iwai", "given" : "Yoshiko", "non-dropping-particle" : "", "parse-names" : false, "suffix" : "" }, { "dropping-particle" : "", "family" : "Bourque", "given" : "Karen", "non-dropping-particle" : "", "parse-names" : false, "suffix" : "" }, { "dropping-particle" : "", "family" : "Chernova", "given" : "Tatyana", "non-dropping-particle" : "", "parse-names" : false, "suffix" : "" }, { "dropping-particle" : "", "family" : "Nishimura", "given" : "Hiroyuki", "non-dropping-particle" : "", "parse-names" : false, "suffix" : "" }, { "dropping-particle" : "", "family" : "Fitz", "given" : "Lori J.", "non-dropping-particle" : "", "parse-names" : false, "suffix" : "" }, { "dropping-particle" : "", "family" : "Malenkovich", "given" : "Nelly", "non-dropping-particle" : "", "parse-names" : false, "suffix" : "" }, { "dropping-particle" : "", "family" : "Okazaki", "given" : "Taku", "non-dropping-particle" : "", "parse-names" : false, "suffix" : "" }, { "dropping-particle" : "", "family" : "Byrne", "given" : "Michael C.", "non-dropping-particle" : "", "parse-names" : false, "suffix" : "" }, { "dropping-particle" : "", "family" : "Horton", "given" : "Heidi F.", "non-dropping-particle" : "", "parse-names" : false, "suffix" : "" }, { "dropping-particle" : "", "family" : "Fouser", "given" : "Lynette", "non-dropping-particle" : "", "parse-names" : false, "suffix" : "" }, { "dropping-particle" : "", "family" : "Carter", "given" : "Laura", "non-dropping-particle" : "", "parse-names" : false, "suffix" : "" }, { "dropping-particle" : "", "family" : "Ling", "given" : "Vincent", "non-dropping-particle" : "", "parse-names" : false, "suffix" : "" }, { "dropping-particle" : "", "family" : "Bowman", "given" : "Michael R.", "non-dropping-particle" : "", "parse-names" : false, "suffix" : "" }, { "dropping-particle" : "", "family" : "Carreno", "given" : "Beatriz M.", "non-dropping-particle" : "", "parse-names" : false, "suffix" : "" }, { "dropping-particle" : "", "family" : "Collins", "given" : "Mary", "non-dropping-particle" : "", "parse-names" : false, "suffix" : "" }, { "dropping-particle" : "", "family" : "Wood", "given" : "Clive R.", "non-dropping-particle" : "", "parse-names" : false, "suffix" : "" }, { "dropping-particle" : "", "family" : "Honjo", "given" : "Tasuku", "non-dropping-particle" : "", "parse-names" : false, "suffix" : "" } ], "container-title" : "Journal of Experimental Medicine", "id" : "ITEM-1", "issue" : "7", "issued" : { "date-parts" : [ [ "2000" ] ] }, "title" : "Engagement of the Pd-1 Immunoinhibitory Receptor by a Novel B7 Family Member Leads to Negative Regulation of Lymphocyte Activation", "type" : "article-journal", "volume" : "192" }, "uris" : [ "http://www.mendeley.com/documents/?uuid=986a722b-5453-4236-a4f9-176b6e69d744" ] } ], "mendeley" : { "formattedCitation" : "(3)", "manualFormatting" : "[3]", "plainTextFormattedCitation" : "(3)", "previouslyFormattedCitation" : "(3)"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0B124D" w:rsidRPr="000B124D">
        <w:rPr>
          <w:noProof/>
          <w:sz w:val="24"/>
          <w:szCs w:val="24"/>
        </w:rPr>
        <w:t>3</w:t>
      </w:r>
      <w:r w:rsidR="00B720EE">
        <w:rPr>
          <w:noProof/>
          <w:sz w:val="24"/>
          <w:szCs w:val="24"/>
        </w:rPr>
        <w:t>]</w:t>
      </w:r>
      <w:r w:rsidR="007E4E3C" w:rsidRPr="00800743">
        <w:rPr>
          <w:sz w:val="24"/>
          <w:szCs w:val="24"/>
          <w:vertAlign w:val="superscript"/>
        </w:rPr>
        <w:fldChar w:fldCharType="end"/>
      </w:r>
      <w:r w:rsidR="007E4E3C" w:rsidRPr="00800743">
        <w:rPr>
          <w:sz w:val="24"/>
          <w:szCs w:val="24"/>
        </w:rPr>
        <w:t xml:space="preserve"> Therefore, cytokine production is a key metric of response to anti-PD-1 antibodies. In mixed lymphocyte reactions, the cytokine monitored to demonstrate T cell response in culture was different</w:t>
      </w:r>
      <w:r w:rsidR="00D3637F">
        <w:rPr>
          <w:sz w:val="24"/>
          <w:szCs w:val="24"/>
        </w:rPr>
        <w:t xml:space="preserve"> for</w:t>
      </w:r>
      <w:r w:rsidR="007E4E3C" w:rsidRPr="00800743">
        <w:rPr>
          <w:sz w:val="24"/>
          <w:szCs w:val="24"/>
        </w:rPr>
        <w:t xml:space="preserve"> the two antibodies, and therefore not directly comparable: IFNγ</w:t>
      </w:r>
      <w:r w:rsidR="00A860CC">
        <w:rPr>
          <w:sz w:val="24"/>
          <w:szCs w:val="24"/>
        </w:rPr>
        <w:t xml:space="preserve"> production from CD</w:t>
      </w:r>
      <w:r w:rsidR="00906DEE">
        <w:rPr>
          <w:sz w:val="24"/>
          <w:szCs w:val="24"/>
        </w:rPr>
        <w:t>4</w:t>
      </w:r>
      <w:r w:rsidR="00A860CC">
        <w:rPr>
          <w:sz w:val="24"/>
          <w:szCs w:val="24"/>
        </w:rPr>
        <w:t>+ T cells</w:t>
      </w:r>
      <w:r w:rsidR="007E4E3C" w:rsidRPr="00800743">
        <w:rPr>
          <w:sz w:val="24"/>
          <w:szCs w:val="24"/>
        </w:rPr>
        <w:t xml:space="preserve"> </w:t>
      </w:r>
      <w:r w:rsidR="00A860CC">
        <w:rPr>
          <w:sz w:val="24"/>
          <w:szCs w:val="24"/>
        </w:rPr>
        <w:t>was</w:t>
      </w:r>
      <w:r w:rsidR="007E4E3C" w:rsidRPr="00800743">
        <w:rPr>
          <w:sz w:val="24"/>
          <w:szCs w:val="24"/>
        </w:rPr>
        <w:t xml:space="preserve"> used for </w:t>
      </w:r>
      <w:r w:rsidR="00392C96">
        <w:rPr>
          <w:sz w:val="24"/>
          <w:szCs w:val="24"/>
        </w:rPr>
        <w:t>nivolumab</w:t>
      </w:r>
      <w:r w:rsidR="007E4E3C" w:rsidRPr="00800743">
        <w:rPr>
          <w:sz w:val="24"/>
          <w:szCs w:val="24"/>
        </w:rPr>
        <w:t>, while IL</w:t>
      </w:r>
      <w:r w:rsidR="00D3637F">
        <w:rPr>
          <w:sz w:val="24"/>
          <w:szCs w:val="24"/>
        </w:rPr>
        <w:t>-</w:t>
      </w:r>
      <w:r w:rsidR="007E4E3C" w:rsidRPr="00800743">
        <w:rPr>
          <w:sz w:val="24"/>
          <w:szCs w:val="24"/>
        </w:rPr>
        <w:t xml:space="preserve">2 </w:t>
      </w:r>
      <w:r w:rsidR="00A860CC">
        <w:rPr>
          <w:sz w:val="24"/>
          <w:szCs w:val="24"/>
        </w:rPr>
        <w:t xml:space="preserve">production from Jurkat cells </w:t>
      </w:r>
      <w:r w:rsidR="007E4E3C" w:rsidRPr="00800743">
        <w:rPr>
          <w:sz w:val="24"/>
          <w:szCs w:val="24"/>
        </w:rPr>
        <w:t xml:space="preserve">was used for </w:t>
      </w:r>
      <w:r w:rsidR="00392C96">
        <w:rPr>
          <w:sz w:val="24"/>
          <w:szCs w:val="24"/>
        </w:rPr>
        <w:t>pembrolizumab</w:t>
      </w:r>
      <w:r w:rsidR="007E4E3C" w:rsidRPr="00800743">
        <w:rPr>
          <w:sz w:val="24"/>
          <w:szCs w:val="24"/>
        </w:rPr>
        <w:t>.</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"id" : "ITEM-2", "itemData" : { "abstract" : "Telephone +44 (0)20 3660 6000 Facsimile +44 (0)20 3660 5555 Send a question via our website www.ema.europa.eu/contact", "author" : [ { "dropping-particle" : "", "family" : "EMA", "given" : "", "non-dropping-particle" : "", "parse-names" : false, "suffix" : "" } ], "id" : "ITEM-2", "issued" : { "date-parts" : [ [ "2015" ] ] }, "title" : "Assessment report Keytruda International non-proprietary name: pembrolizumab", "type" : "article-journal" }, "uris" : [ "http://www.mendeley.com/documents/?uuid=87086084-a430-402b-b2d3-c194dd88f64a" ] } ], "mendeley" : { "formattedCitation" : "(21,22)", "manualFormatting" : "[21,22]", "plainTextFormattedCitation" : "(21,22)", "previouslyFormattedCitation" : "(21,22)"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C0435A" w:rsidRPr="00C0435A">
        <w:rPr>
          <w:noProof/>
          <w:sz w:val="24"/>
          <w:szCs w:val="24"/>
        </w:rPr>
        <w:t>21,22</w:t>
      </w:r>
      <w:r w:rsidR="00B720EE">
        <w:rPr>
          <w:noProof/>
          <w:sz w:val="24"/>
          <w:szCs w:val="24"/>
        </w:rPr>
        <w:t>]</w:t>
      </w:r>
      <w:r w:rsidR="007E4E3C" w:rsidRPr="00800743">
        <w:rPr>
          <w:sz w:val="24"/>
          <w:szCs w:val="24"/>
          <w:vertAlign w:val="superscript"/>
        </w:rPr>
        <w:fldChar w:fldCharType="end"/>
      </w:r>
      <w:r w:rsidR="007E4E3C" w:rsidRPr="00800743">
        <w:rPr>
          <w:sz w:val="24"/>
          <w:szCs w:val="24"/>
        </w:rPr>
        <w:t xml:space="preserve"> </w:t>
      </w:r>
      <w:r w:rsidR="00BA21EF">
        <w:rPr>
          <w:sz w:val="24"/>
          <w:szCs w:val="24"/>
        </w:rPr>
        <w:t xml:space="preserve">Specifically, at concentration ranges of 0.05 to 50 </w:t>
      </w:r>
      <w:r w:rsidR="00BA21EF">
        <w:rPr>
          <w:sz w:val="24"/>
          <w:szCs w:val="24"/>
          <w:lang w:val="el-GR"/>
        </w:rPr>
        <w:t>μ</w:t>
      </w:r>
      <w:r w:rsidR="00BA21EF">
        <w:rPr>
          <w:sz w:val="24"/>
          <w:szCs w:val="24"/>
          <w:lang w:val="en-US"/>
        </w:rPr>
        <w:t>g/mL, nivolumab led to increases in IFN</w:t>
      </w:r>
      <w:r w:rsidR="00BA21EF">
        <w:rPr>
          <w:sz w:val="24"/>
          <w:szCs w:val="24"/>
          <w:lang w:val="el-GR"/>
        </w:rPr>
        <w:t>γ</w:t>
      </w:r>
      <w:r w:rsidR="00BA21EF">
        <w:rPr>
          <w:sz w:val="24"/>
          <w:szCs w:val="24"/>
          <w:lang w:val="en-US"/>
        </w:rPr>
        <w:t xml:space="preserve"> concentration of 1000 to 4000 pg/mL, while pembrolizumab </w:t>
      </w:r>
      <w:r w:rsidR="0041572E">
        <w:rPr>
          <w:sz w:val="24"/>
          <w:szCs w:val="24"/>
          <w:lang w:val="en-US"/>
        </w:rPr>
        <w:t xml:space="preserve">at concentration ranges of </w:t>
      </w:r>
      <w:r w:rsidR="00BA21EF">
        <w:rPr>
          <w:sz w:val="24"/>
          <w:szCs w:val="24"/>
          <w:lang w:val="en-US"/>
        </w:rPr>
        <w:t xml:space="preserve">0.01 to 100 nM </w:t>
      </w:r>
      <w:r w:rsidR="00AC2505">
        <w:rPr>
          <w:sz w:val="24"/>
          <w:szCs w:val="24"/>
          <w:lang w:val="en-US"/>
        </w:rPr>
        <w:t>(0.0149</w:t>
      </w:r>
      <w:r w:rsidR="00AC2505" w:rsidRPr="00071B21">
        <w:rPr>
          <w:sz w:val="24"/>
          <w:szCs w:val="24"/>
        </w:rPr>
        <w:t xml:space="preserve">-149 </w:t>
      </w:r>
      <w:r w:rsidR="00AC2505">
        <w:rPr>
          <w:sz w:val="24"/>
          <w:szCs w:val="24"/>
          <w:lang w:val="el-GR"/>
        </w:rPr>
        <w:t>μ</w:t>
      </w:r>
      <w:r w:rsidR="00AC2505">
        <w:rPr>
          <w:sz w:val="24"/>
          <w:szCs w:val="24"/>
          <w:lang w:val="en-US"/>
        </w:rPr>
        <w:t xml:space="preserve">g/mL) </w:t>
      </w:r>
      <w:r w:rsidR="00BA21EF">
        <w:rPr>
          <w:sz w:val="24"/>
          <w:szCs w:val="24"/>
          <w:lang w:val="en-US"/>
        </w:rPr>
        <w:t xml:space="preserve">led to IL-2 increases of 1500 to 2500 pg/mL. </w:t>
      </w:r>
      <w:r w:rsidR="00BA21EF">
        <w:rPr>
          <w:sz w:val="24"/>
          <w:szCs w:val="24"/>
        </w:rPr>
        <w:t>IFN</w:t>
      </w:r>
      <w:r w:rsidR="00BA21EF">
        <w:rPr>
          <w:sz w:val="24"/>
          <w:szCs w:val="24"/>
          <w:lang w:val="el-GR"/>
        </w:rPr>
        <w:t>γ</w:t>
      </w:r>
      <w:r w:rsidR="00BA21EF">
        <w:rPr>
          <w:sz w:val="24"/>
          <w:szCs w:val="24"/>
          <w:lang w:val="en-US"/>
        </w:rPr>
        <w:t xml:space="preserve"> and IL-2</w:t>
      </w:r>
      <w:r w:rsidR="00BA21EF" w:rsidRPr="00800743">
        <w:rPr>
          <w:sz w:val="24"/>
          <w:szCs w:val="24"/>
        </w:rPr>
        <w:t xml:space="preserve"> </w:t>
      </w:r>
      <w:r w:rsidR="007E4E3C" w:rsidRPr="00800743">
        <w:rPr>
          <w:sz w:val="24"/>
          <w:szCs w:val="24"/>
        </w:rPr>
        <w:t xml:space="preserve">are both </w:t>
      </w:r>
      <w:r w:rsidR="00D3637F">
        <w:rPr>
          <w:sz w:val="24"/>
          <w:szCs w:val="24"/>
        </w:rPr>
        <w:t xml:space="preserve">fair </w:t>
      </w:r>
      <w:r w:rsidR="007E4E3C" w:rsidRPr="00800743">
        <w:rPr>
          <w:sz w:val="24"/>
          <w:szCs w:val="24"/>
        </w:rPr>
        <w:t>choices, as PD-L1 engagement inhibits PI3K and its downstream target Akt kinase,</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"DOI" : "10.1128/MCB.25.21.9543-9553.2005", "ISSN" : "0270-7306", "PMID" : "16227604", "abstract" : "CTLA-4 and PD-1 are receptors that negatively regulate T-cell activation. Ligation of both CTLA-4 and PD-1 blocked CD3/CD28-mediated upregulation of glucose metabolism and Akt activity, but each accomplished this regulation using separate mechanisms. CTLA-4-mediated inhibition of Akt phosphorylation is sensitive to okadaic acid, providing direct evidence that PP2A plays a prominent role in mediating CTLA-4 suppression of T-cell activation. In contrast, PD-1 signaling inhibits Akt phosphorylation by preventing CD28-mediated activation of phosphatidylinositol 3-kinase (PI3K). The ability of PD-1 to suppress PI3K/AKT activation was dependent upon the immunoreceptor tyrosine-based switch motif located in its cytoplasmic tail, adding further importance to this domain in mediating PD-1 signal transduction. Lastly, PD-1 ligation is more effective in suppressing CD3/CD28-induced changes in the T-cell transcriptional profile, suggesting that differential regulation of PI3K activation by PD-1 and CTLA-4 ligation results in distinct cellular phenotypes. Together, these data suggest that CTLA-4 and PD-1 inhibit T-cell activation through distinct and potentially synergistic mechanisms.", "author" : [ { "dropping-particle" : "V", "family" : "Parry", "given" : "Richard", "non-dropping-particle" : "", "parse-names" : false, "suffix" : "" }, { "dropping-particle" : "", "family" : "Chemnitz", "given" : "Jens M", "non-dropping-particle" : "", "parse-names" : false, "suffix" : "" }, { "dropping-particle" : "", "family" : "Frauwirth", "given" : "Kenneth A", "non-dropping-particle" : "", "parse-names" : false, "suffix" : "" }, { "dropping-particle" : "", "family" : "Lanfranco", "given" : "Anthony R", "non-dropping-particle" : "", "parse-names" : false, "suffix" : "" }, { "dropping-particle" : "", "family" : "Braunstein", "given" : "Inbal", "non-dropping-particle" : "", "parse-names" : false, "suffix" : "" }, { "dropping-particle" : "V", "family" : "Kobayashi", "given" : "Sumire", "non-dropping-particle" : "", "parse-names" : false, "suffix" : "" }, { "dropping-particle" : "", "family" : "Linsley", "given" : "Peter S", "non-dropping-particle" : "", "parse-names" : false, "suffix" : "" }, { "dropping-particle" : "", "family" : "Thompson", "given" : "Craig B", "non-dropping-particle" : "", "parse-names" : false, "suffix" : "" }, { "dropping-particle" : "", "family" : "Riley", "given" : "James L", "non-dropping-particle" : "", "parse-names" : false, "suffix" : "" } ], "container-title" : "Molecular and cellular biology", "id" : "ITEM-1", "issue" : "21", "issued" : { "date-parts" : [ [ "2005", "11" ] ] }, "page" : "9543-53", "publisher" : "American Society for Microbiology", "title" : "CTLA-4 and PD-1 receptors inhibit T-cell activation by distinct mechanisms.", "type" : "article-journal", "volume" : "25" }, "uris" : [ "http://www.mendeley.com/documents/?uuid=310d04b5-1574-4838-be76-5c2d45d202b1" ] } ], "mendeley" : { "formattedCitation" : "(28)", "manualFormatting" : "[28]", "plainTextFormattedCitation" : "(28)", "previouslyFormattedCitation" : "(28)"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B62618" w:rsidRPr="00B62618">
        <w:rPr>
          <w:noProof/>
          <w:sz w:val="24"/>
          <w:szCs w:val="24"/>
        </w:rPr>
        <w:t>28</w:t>
      </w:r>
      <w:r w:rsidR="00B720EE">
        <w:rPr>
          <w:noProof/>
          <w:sz w:val="24"/>
          <w:szCs w:val="24"/>
        </w:rPr>
        <w:t>]</w:t>
      </w:r>
      <w:r w:rsidR="007E4E3C" w:rsidRPr="00800743">
        <w:rPr>
          <w:sz w:val="24"/>
          <w:szCs w:val="24"/>
          <w:vertAlign w:val="superscript"/>
        </w:rPr>
        <w:fldChar w:fldCharType="end"/>
      </w:r>
      <w:r w:rsidR="007E4E3C" w:rsidRPr="00800743">
        <w:rPr>
          <w:sz w:val="24"/>
          <w:szCs w:val="24"/>
        </w:rPr>
        <w:t xml:space="preserve"> which in turn upregulates both IL2 and IFNγ.</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"DOI" : "10.1038/83144", "ISSN" : "15292908", "author" : [ { "dropping-particle" : "", "family" : "Kane", "given" : "Lawrence P.", "non-dropping-particle" : "", "parse-names" : false, "suffix" : "" }, { "dropping-particle" : "", "family" : "Andres", "given" : "Pietro G.", "non-dropping-particle" : "", "parse-names" : false, "suffix" : "" }, { "dropping-particle" : "", "family" : "Howland", "given" : "Kimberly C.", "non-dropping-particle" : "", "parse-names" : false, "suffix" : "" }, { "dropping-particle" : "", "family" : "Abbas", "given" : "Abul K.", "non-dropping-particle" : "", "parse-names" : false, "suffix" : "" }, { "dropping-particle" : "", "family" : "Weiss", "given" : "Arthur", "non-dropping-particle" : "", "parse-names" : false, "suffix" : "" } ], "container-title" : "Nature Immunology", "id" : "ITEM-1", "issue" : "1", "issued" : { "date-parts" : [ [ "2001", "1", "1" ] ] }, "page" : "37-44", "publisher" : "Nature Publishing Group", "title" : "Akt provides the CD28 costimulatory signal for up-regulation of IL-2 and IFN-|[gamma]| but not TH2 cytokines", "type" : "article-journal", "volume" : "2" }, "uris" : [ "http://www.mendeley.com/documents/?uuid=10c70f86-7d2f-499c-ba0a-9f612d984f57" ] } ], "mendeley" : { "formattedCitation" : "(29)", "manualFormatting" : "[29]", "plainTextFormattedCitation" : "(29)", "previouslyFormattedCitation" : "(29)"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B62618" w:rsidRPr="00B62618">
        <w:rPr>
          <w:noProof/>
          <w:sz w:val="24"/>
          <w:szCs w:val="24"/>
        </w:rPr>
        <w:t>29</w:t>
      </w:r>
      <w:r w:rsidR="00B720EE">
        <w:rPr>
          <w:noProof/>
          <w:sz w:val="24"/>
          <w:szCs w:val="24"/>
        </w:rPr>
        <w:t>]</w:t>
      </w:r>
      <w:r w:rsidR="007E4E3C" w:rsidRPr="00800743">
        <w:rPr>
          <w:sz w:val="24"/>
          <w:szCs w:val="24"/>
          <w:vertAlign w:val="superscript"/>
        </w:rPr>
        <w:fldChar w:fldCharType="end"/>
      </w:r>
      <w:r w:rsidR="007E4E3C" w:rsidRPr="00800743">
        <w:rPr>
          <w:sz w:val="24"/>
          <w:szCs w:val="24"/>
        </w:rPr>
        <w:t xml:space="preserve"> </w:t>
      </w:r>
      <w:r>
        <w:rPr>
          <w:sz w:val="24"/>
          <w:szCs w:val="24"/>
        </w:rPr>
        <w:t>In both cases, the</w:t>
      </w:r>
      <w:r w:rsidR="007E4E3C" w:rsidRPr="00800743">
        <w:rPr>
          <w:sz w:val="24"/>
          <w:szCs w:val="24"/>
        </w:rPr>
        <w:t xml:space="preserve"> response</w:t>
      </w:r>
      <w:r>
        <w:rPr>
          <w:sz w:val="24"/>
          <w:szCs w:val="24"/>
        </w:rPr>
        <w:t>s</w:t>
      </w:r>
      <w:r w:rsidR="007E4E3C" w:rsidRPr="00800743">
        <w:rPr>
          <w:sz w:val="24"/>
          <w:szCs w:val="24"/>
        </w:rPr>
        <w:t xml:space="preserve"> </w:t>
      </w:r>
      <w:r>
        <w:rPr>
          <w:sz w:val="24"/>
          <w:szCs w:val="24"/>
        </w:rPr>
        <w:t>were judged</w:t>
      </w:r>
      <w:r w:rsidR="007E4E3C" w:rsidRPr="00800743">
        <w:rPr>
          <w:sz w:val="24"/>
          <w:szCs w:val="24"/>
        </w:rPr>
        <w:t xml:space="preserve"> sufficient to move on to monitoring </w:t>
      </w:r>
      <w:r w:rsidR="00D3637F">
        <w:rPr>
          <w:sz w:val="24"/>
          <w:szCs w:val="24"/>
        </w:rPr>
        <w:t xml:space="preserve">bona fide </w:t>
      </w:r>
      <w:r w:rsidR="007E4E3C" w:rsidRPr="00800743">
        <w:rPr>
          <w:sz w:val="24"/>
          <w:szCs w:val="24"/>
        </w:rPr>
        <w:t>antigen-specific response.</w:t>
      </w:r>
    </w:p>
    <w:p w14:paraId="298E1F3B" w14:textId="77777777" w:rsidR="00E4298E" w:rsidRPr="00800743" w:rsidRDefault="007E4E3C" w:rsidP="00C20157">
      <w:pPr>
        <w:spacing w:line="480" w:lineRule="auto"/>
        <w:jc w:val="both"/>
        <w:rPr>
          <w:sz w:val="24"/>
          <w:szCs w:val="24"/>
        </w:rPr>
      </w:pPr>
      <w:r w:rsidRPr="00800743">
        <w:rPr>
          <w:sz w:val="24"/>
          <w:szCs w:val="24"/>
        </w:rPr>
        <w:t xml:space="preserve"> </w:t>
      </w:r>
    </w:p>
    <w:p w14:paraId="4C50EC08" w14:textId="27B66CA8" w:rsidR="00E4298E" w:rsidRPr="00800743" w:rsidRDefault="0032608E" w:rsidP="00C20157">
      <w:pPr>
        <w:spacing w:line="480" w:lineRule="auto"/>
        <w:jc w:val="both"/>
        <w:rPr>
          <w:sz w:val="24"/>
          <w:szCs w:val="24"/>
        </w:rPr>
      </w:pPr>
      <w:r>
        <w:rPr>
          <w:sz w:val="24"/>
          <w:szCs w:val="24"/>
        </w:rPr>
        <w:t>Both</w:t>
      </w:r>
      <w:r w:rsidR="007E4E3C" w:rsidRPr="00800743">
        <w:rPr>
          <w:sz w:val="24"/>
          <w:szCs w:val="24"/>
        </w:rPr>
        <w:t xml:space="preserve"> antibodies were able to stimulate antigen-specific responses. When memory T cells were re-stimulated with</w:t>
      </w:r>
      <w:r w:rsidR="009C585D">
        <w:rPr>
          <w:sz w:val="24"/>
          <w:szCs w:val="24"/>
        </w:rPr>
        <w:t xml:space="preserve"> </w:t>
      </w:r>
      <w:r w:rsidR="007E4E3C" w:rsidRPr="00800743">
        <w:rPr>
          <w:sz w:val="24"/>
          <w:szCs w:val="24"/>
        </w:rPr>
        <w:t>cognate antigens, the presence of both antibodies enhanced IFNγ secretion.</w:t>
      </w:r>
      <w:r w:rsidR="007E4E3C" w:rsidRPr="00800743">
        <w:rPr>
          <w:sz w:val="24"/>
          <w:szCs w:val="24"/>
          <w:vertAlign w:val="superscript"/>
        </w:rPr>
        <w:fldChar w:fldCharType="begin" w:fldLock="1"/>
      </w:r>
      <w:r w:rsidR="00B720EE">
        <w:rPr>
          <w:sz w:val="24"/>
          <w:szCs w:val="24"/>
          <w:vertAlign w:val="superscript"/>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"id" : "ITEM-2", "itemData" : { "abstract" : "Telephone +44 (0)20 3660 6000 Facsimile +44 (0)20 3660 5555 Send a question via our website www.ema.europa.eu/contact", "author" : [ { "dropping-particle" : "", "family" : "EMA", "given" : "", "non-dropping-particle" : "", "parse-names" : false, "suffix" : "" } ], "id" : "ITEM-2", "issued" : { "date-parts" : [ [ "2015" ] ] }, "title" : "Assessment report Keytruda International non-proprietary name: pembrolizumab", "type" : "article-journal" }, "uris" : [ "http://www.mendeley.com/documents/?uuid=87086084-a430-402b-b2d3-c194dd88f64a" ] } ], "mendeley" : { "formattedCitation" : "(21,22)", "manualFormatting" : "[21,22]", "plainTextFormattedCitation" : "(21,22)", "previouslyFormattedCitation" : "(21,22)"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C0435A" w:rsidRPr="00C0435A">
        <w:rPr>
          <w:noProof/>
          <w:sz w:val="24"/>
          <w:szCs w:val="24"/>
        </w:rPr>
        <w:t>21,22</w:t>
      </w:r>
      <w:r w:rsidR="00B720EE">
        <w:rPr>
          <w:noProof/>
          <w:sz w:val="24"/>
          <w:szCs w:val="24"/>
        </w:rPr>
        <w:t>]</w:t>
      </w:r>
      <w:r w:rsidR="007E4E3C" w:rsidRPr="00800743">
        <w:rPr>
          <w:sz w:val="24"/>
          <w:szCs w:val="24"/>
          <w:vertAlign w:val="superscript"/>
        </w:rPr>
        <w:fldChar w:fldCharType="end"/>
      </w:r>
      <w:r>
        <w:rPr>
          <w:sz w:val="24"/>
          <w:szCs w:val="24"/>
          <w:vertAlign w:val="superscript"/>
        </w:rPr>
        <w:t xml:space="preserve"> </w:t>
      </w:r>
      <w:r w:rsidR="00BA21EF">
        <w:rPr>
          <w:sz w:val="24"/>
          <w:szCs w:val="24"/>
        </w:rPr>
        <w:t>Specifically</w:t>
      </w:r>
      <w:r w:rsidR="007E4E3C" w:rsidRPr="00800743">
        <w:rPr>
          <w:sz w:val="24"/>
          <w:szCs w:val="24"/>
        </w:rPr>
        <w:t xml:space="preserve">, when </w:t>
      </w:r>
      <w:r w:rsidR="009C585D">
        <w:rPr>
          <w:sz w:val="24"/>
          <w:szCs w:val="24"/>
        </w:rPr>
        <w:t>Herpes Virus C (</w:t>
      </w:r>
      <w:r w:rsidR="007E4E3C" w:rsidRPr="00800743">
        <w:rPr>
          <w:sz w:val="24"/>
          <w:szCs w:val="24"/>
        </w:rPr>
        <w:t>HCV</w:t>
      </w:r>
      <w:r w:rsidR="009C585D">
        <w:rPr>
          <w:sz w:val="24"/>
          <w:szCs w:val="24"/>
        </w:rPr>
        <w:t>)</w:t>
      </w:r>
      <w:r w:rsidR="007E4E3C" w:rsidRPr="00800743">
        <w:rPr>
          <w:sz w:val="24"/>
          <w:szCs w:val="24"/>
        </w:rPr>
        <w:t xml:space="preserve">-seropositive donor mononuclear cells were cultured with an HCV-specific </w:t>
      </w:r>
      <w:r w:rsidR="009C585D">
        <w:rPr>
          <w:sz w:val="24"/>
          <w:szCs w:val="24"/>
        </w:rPr>
        <w:t>antigen</w:t>
      </w:r>
      <w:r w:rsidR="009C585D" w:rsidRPr="00800743">
        <w:rPr>
          <w:sz w:val="24"/>
          <w:szCs w:val="24"/>
        </w:rPr>
        <w:t xml:space="preserve"> </w:t>
      </w:r>
      <w:r w:rsidR="007E4E3C" w:rsidRPr="00800743">
        <w:rPr>
          <w:sz w:val="24"/>
          <w:szCs w:val="24"/>
        </w:rPr>
        <w:t xml:space="preserve">for 6 days and </w:t>
      </w:r>
      <w:r w:rsidR="007E4E3C" w:rsidRPr="00800743">
        <w:rPr>
          <w:sz w:val="24"/>
          <w:szCs w:val="24"/>
        </w:rPr>
        <w:lastRenderedPageBreak/>
        <w:t xml:space="preserve">then restimulated, the presence of </w:t>
      </w:r>
      <w:r w:rsidR="00392C96">
        <w:rPr>
          <w:sz w:val="24"/>
          <w:szCs w:val="24"/>
        </w:rPr>
        <w:t>nivolumab</w:t>
      </w:r>
      <w:r w:rsidR="007E4E3C" w:rsidRPr="00800743">
        <w:rPr>
          <w:sz w:val="24"/>
          <w:szCs w:val="24"/>
        </w:rPr>
        <w:t xml:space="preserve"> was found to increase IFNγ production 2.3-fold by flow cytometry. In the </w:t>
      </w:r>
      <w:r w:rsidR="00166D6F">
        <w:rPr>
          <w:sz w:val="24"/>
          <w:szCs w:val="24"/>
        </w:rPr>
        <w:t xml:space="preserve">biologically </w:t>
      </w:r>
      <w:r w:rsidR="009C585D" w:rsidRPr="00800743">
        <w:rPr>
          <w:sz w:val="24"/>
          <w:szCs w:val="24"/>
        </w:rPr>
        <w:t>most</w:t>
      </w:r>
      <w:r w:rsidR="00166D6F">
        <w:rPr>
          <w:sz w:val="24"/>
          <w:szCs w:val="24"/>
        </w:rPr>
        <w:t xml:space="preserve"> closely resembling</w:t>
      </w:r>
      <w:r w:rsidR="007E4E3C" w:rsidRPr="00800743">
        <w:rPr>
          <w:sz w:val="24"/>
          <w:szCs w:val="24"/>
        </w:rPr>
        <w:t xml:space="preserve"> study performed with </w:t>
      </w:r>
      <w:r w:rsidR="00392C96">
        <w:rPr>
          <w:sz w:val="24"/>
          <w:szCs w:val="24"/>
        </w:rPr>
        <w:t>pembrolizumab</w:t>
      </w:r>
      <w:r w:rsidR="007E4E3C" w:rsidRPr="00800743">
        <w:rPr>
          <w:sz w:val="24"/>
          <w:szCs w:val="24"/>
        </w:rPr>
        <w:t xml:space="preserve">, staphylococcus enterotoxin B </w:t>
      </w:r>
      <w:r w:rsidR="00BA21EF">
        <w:rPr>
          <w:sz w:val="24"/>
          <w:szCs w:val="24"/>
        </w:rPr>
        <w:t>was used</w:t>
      </w:r>
      <w:r w:rsidR="007E4E3C" w:rsidRPr="00800743">
        <w:rPr>
          <w:sz w:val="24"/>
          <w:szCs w:val="24"/>
        </w:rPr>
        <w:t xml:space="preserve"> to re-stimulate healthy human or cancer patient donor T-cells. The IFNγ response was of a similar magnitude</w:t>
      </w:r>
      <w:r w:rsidR="00BA21EF">
        <w:rPr>
          <w:sz w:val="24"/>
          <w:szCs w:val="24"/>
        </w:rPr>
        <w:t xml:space="preserve"> to nivolumab</w:t>
      </w:r>
      <w:r w:rsidR="007E4E3C" w:rsidRPr="00800743">
        <w:rPr>
          <w:sz w:val="24"/>
          <w:szCs w:val="24"/>
        </w:rPr>
        <w:t xml:space="preserve">, and </w:t>
      </w:r>
      <w:r w:rsidR="00BA21EF">
        <w:rPr>
          <w:sz w:val="24"/>
          <w:szCs w:val="24"/>
        </w:rPr>
        <w:t>was similar</w:t>
      </w:r>
      <w:r w:rsidR="007E4E3C" w:rsidRPr="00800743">
        <w:rPr>
          <w:sz w:val="24"/>
          <w:szCs w:val="24"/>
        </w:rPr>
        <w:t xml:space="preserve"> </w:t>
      </w:r>
      <w:r w:rsidR="009C585D">
        <w:rPr>
          <w:sz w:val="24"/>
          <w:szCs w:val="24"/>
        </w:rPr>
        <w:t>for</w:t>
      </w:r>
      <w:r w:rsidR="009C585D" w:rsidRPr="00800743">
        <w:rPr>
          <w:sz w:val="24"/>
          <w:szCs w:val="24"/>
        </w:rPr>
        <w:t xml:space="preserve"> </w:t>
      </w:r>
      <w:r w:rsidR="007E4E3C" w:rsidRPr="00800743">
        <w:rPr>
          <w:sz w:val="24"/>
          <w:szCs w:val="24"/>
        </w:rPr>
        <w:t xml:space="preserve">healthy </w:t>
      </w:r>
      <w:r w:rsidR="00BA21EF">
        <w:rPr>
          <w:sz w:val="24"/>
          <w:szCs w:val="24"/>
        </w:rPr>
        <w:t xml:space="preserve">(2.0-fold) </w:t>
      </w:r>
      <w:r w:rsidR="007E4E3C" w:rsidRPr="00800743">
        <w:rPr>
          <w:sz w:val="24"/>
          <w:szCs w:val="24"/>
        </w:rPr>
        <w:t>and cancer patients</w:t>
      </w:r>
      <w:r w:rsidR="00BA21EF">
        <w:rPr>
          <w:sz w:val="24"/>
          <w:szCs w:val="24"/>
        </w:rPr>
        <w:t xml:space="preserve"> (1.5-fold)</w:t>
      </w:r>
      <w:r w:rsidR="007E4E3C" w:rsidRPr="00800743">
        <w:rPr>
          <w:sz w:val="24"/>
          <w:szCs w:val="24"/>
        </w:rPr>
        <w:t>.</w:t>
      </w:r>
    </w:p>
    <w:p w14:paraId="577BC154" w14:textId="77777777" w:rsidR="00E4298E" w:rsidRPr="00800743" w:rsidRDefault="007E4E3C" w:rsidP="00C20157">
      <w:pPr>
        <w:spacing w:line="480" w:lineRule="auto"/>
        <w:jc w:val="both"/>
        <w:rPr>
          <w:sz w:val="24"/>
          <w:szCs w:val="24"/>
        </w:rPr>
      </w:pPr>
      <w:r w:rsidRPr="00800743">
        <w:rPr>
          <w:sz w:val="24"/>
          <w:szCs w:val="24"/>
        </w:rPr>
        <w:t xml:space="preserve"> </w:t>
      </w:r>
    </w:p>
    <w:p w14:paraId="41B485DD" w14:textId="250457D5" w:rsidR="00E4298E" w:rsidRPr="00EF2054" w:rsidRDefault="007E4E3C" w:rsidP="00C20157">
      <w:pPr>
        <w:spacing w:line="480" w:lineRule="auto"/>
        <w:jc w:val="both"/>
        <w:rPr>
          <w:sz w:val="24"/>
          <w:szCs w:val="24"/>
        </w:rPr>
      </w:pPr>
      <w:r w:rsidRPr="00800743">
        <w:rPr>
          <w:sz w:val="24"/>
          <w:szCs w:val="24"/>
        </w:rPr>
        <w:t xml:space="preserve">The assessment of both antibodies crucially </w:t>
      </w:r>
      <w:r w:rsidR="009C585D">
        <w:rPr>
          <w:sz w:val="24"/>
          <w:szCs w:val="24"/>
        </w:rPr>
        <w:t xml:space="preserve">also </w:t>
      </w:r>
      <w:r w:rsidRPr="00800743">
        <w:rPr>
          <w:sz w:val="24"/>
          <w:szCs w:val="24"/>
        </w:rPr>
        <w:t xml:space="preserve">involved murine tumour models. </w:t>
      </w:r>
      <w:r w:rsidR="0032608E">
        <w:rPr>
          <w:sz w:val="24"/>
          <w:szCs w:val="24"/>
        </w:rPr>
        <w:t>Subcutaneous tumours derived from t</w:t>
      </w:r>
      <w:r w:rsidRPr="00800743">
        <w:rPr>
          <w:sz w:val="24"/>
          <w:szCs w:val="24"/>
        </w:rPr>
        <w:t>he MC38 colon adenocarcinoma line</w:t>
      </w:r>
      <w:r w:rsidR="0032608E">
        <w:rPr>
          <w:sz w:val="24"/>
          <w:szCs w:val="24"/>
        </w:rPr>
        <w:t xml:space="preserve"> were assessed for both antibodies</w:t>
      </w:r>
      <w:r w:rsidRPr="00800743">
        <w:rPr>
          <w:sz w:val="24"/>
          <w:szCs w:val="24"/>
        </w:rPr>
        <w:t xml:space="preserve">. As with in vitro studies, direct comparison is difficult due to diverging study designs. In the most </w:t>
      </w:r>
      <w:r w:rsidR="00B720EE">
        <w:rPr>
          <w:sz w:val="24"/>
          <w:szCs w:val="24"/>
        </w:rPr>
        <w:t>analogous</w:t>
      </w:r>
      <w:r w:rsidRPr="00800743">
        <w:rPr>
          <w:sz w:val="24"/>
          <w:szCs w:val="24"/>
        </w:rPr>
        <w:t xml:space="preserve"> set of experiments, the antibodies </w:t>
      </w:r>
      <w:r w:rsidR="009A6643">
        <w:rPr>
          <w:sz w:val="24"/>
          <w:szCs w:val="24"/>
        </w:rPr>
        <w:t>were</w:t>
      </w:r>
      <w:r w:rsidR="009C585D">
        <w:rPr>
          <w:sz w:val="24"/>
          <w:szCs w:val="24"/>
        </w:rPr>
        <w:t xml:space="preserve"> similarly</w:t>
      </w:r>
      <w:r w:rsidR="009A6643">
        <w:rPr>
          <w:sz w:val="24"/>
          <w:szCs w:val="24"/>
        </w:rPr>
        <w:t xml:space="preserve"> effective</w:t>
      </w:r>
      <w:r w:rsidRPr="00800743">
        <w:rPr>
          <w:sz w:val="24"/>
          <w:szCs w:val="24"/>
        </w:rPr>
        <w:t xml:space="preserve">. Doses of 10 mg/kg IP given at days 7, 10 and 13 post-implantation for </w:t>
      </w:r>
      <w:r w:rsidR="00392C96">
        <w:rPr>
          <w:sz w:val="24"/>
          <w:szCs w:val="24"/>
        </w:rPr>
        <w:t>nivolumab</w:t>
      </w:r>
      <w:r w:rsidRPr="00800743">
        <w:rPr>
          <w:sz w:val="24"/>
          <w:szCs w:val="24"/>
        </w:rPr>
        <w:t xml:space="preserve"> led to growth inhibition of 76% at day 20, while the same dose for </w:t>
      </w:r>
      <w:r w:rsidR="00392C96">
        <w:rPr>
          <w:sz w:val="24"/>
          <w:szCs w:val="24"/>
        </w:rPr>
        <w:t>pembrolizumab</w:t>
      </w:r>
      <w:r w:rsidRPr="00800743">
        <w:rPr>
          <w:sz w:val="24"/>
          <w:szCs w:val="24"/>
        </w:rPr>
        <w:t xml:space="preserve"> given at days 6, 10, 13, 16 and 20 led to</w:t>
      </w:r>
      <w:r w:rsidR="009C585D">
        <w:rPr>
          <w:sz w:val="24"/>
          <w:szCs w:val="24"/>
        </w:rPr>
        <w:t xml:space="preserve"> tumour </w:t>
      </w:r>
      <w:r w:rsidRPr="00800743">
        <w:rPr>
          <w:sz w:val="24"/>
          <w:szCs w:val="24"/>
        </w:rPr>
        <w:t>growth inhibition of 92.5% at day 20.</w:t>
      </w:r>
      <w:r w:rsidRPr="00800743">
        <w:rPr>
          <w:sz w:val="24"/>
          <w:szCs w:val="24"/>
          <w:vertAlign w:val="superscript"/>
        </w:rPr>
        <w:fldChar w:fldCharType="begin" w:fldLock="1"/>
      </w:r>
      <w:r w:rsidR="00B720EE">
        <w:rPr>
          <w:sz w:val="24"/>
          <w:szCs w:val="24"/>
          <w:vertAlign w:val="superscript"/>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"id" : "ITEM-2", "itemData" : { "abstract" : "Telephone +44 (0)20 3660 6000 Facsimile +44 (0)20 3660 5555 Send a question via our website www.ema.europa.eu/contact", "author" : [ { "dropping-particle" : "", "family" : "EMA", "given" : "", "non-dropping-particle" : "", "parse-names" : false, "suffix" : "" } ], "id" : "ITEM-2", "issued" : { "date-parts" : [ [ "2015" ] ] }, "title" : "Assessment report Keytruda International non-proprietary name: pembrolizumab", "type" : "article-journal" }, "uris" : [ "http://www.mendeley.com/documents/?uuid=87086084-a430-402b-b2d3-c194dd88f64a" ] } ], "mendeley" : { "formattedCitation" : "(21,22)", "manualFormatting" : "[21,22]", "plainTextFormattedCitation" : "(21,22)", "previouslyFormattedCitation" : "(21,22)" }, "properties" : { "noteIndex" : 0 }, "schema" : "https://github.com/citation-style-language/schema/raw/master/csl-citation.json" }</w:instrText>
      </w:r>
      <w:r w:rsidRPr="00800743">
        <w:rPr>
          <w:sz w:val="24"/>
          <w:szCs w:val="24"/>
          <w:vertAlign w:val="superscript"/>
        </w:rPr>
        <w:fldChar w:fldCharType="separate"/>
      </w:r>
      <w:r w:rsidR="00B720EE">
        <w:rPr>
          <w:noProof/>
          <w:sz w:val="24"/>
          <w:szCs w:val="24"/>
        </w:rPr>
        <w:t>[</w:t>
      </w:r>
      <w:r w:rsidR="00C0435A" w:rsidRPr="00C0435A">
        <w:rPr>
          <w:noProof/>
          <w:sz w:val="24"/>
          <w:szCs w:val="24"/>
        </w:rPr>
        <w:t>21,22</w:t>
      </w:r>
      <w:r w:rsidR="00B720EE">
        <w:rPr>
          <w:noProof/>
          <w:sz w:val="24"/>
          <w:szCs w:val="24"/>
        </w:rPr>
        <w:t>]</w:t>
      </w:r>
      <w:r w:rsidRPr="00800743">
        <w:rPr>
          <w:sz w:val="24"/>
          <w:szCs w:val="24"/>
          <w:vertAlign w:val="superscript"/>
        </w:rPr>
        <w:fldChar w:fldCharType="end"/>
      </w:r>
      <w:r w:rsidR="00EF2054">
        <w:rPr>
          <w:sz w:val="24"/>
          <w:szCs w:val="24"/>
          <w:vertAlign w:val="superscript"/>
        </w:rPr>
        <w:t xml:space="preserve"> </w:t>
      </w:r>
      <w:r w:rsidR="00EF2054">
        <w:rPr>
          <w:sz w:val="24"/>
          <w:szCs w:val="24"/>
        </w:rPr>
        <w:t xml:space="preserve">Since </w:t>
      </w:r>
      <w:r w:rsidR="00217D1E">
        <w:rPr>
          <w:sz w:val="24"/>
          <w:szCs w:val="24"/>
        </w:rPr>
        <w:t>n</w:t>
      </w:r>
      <w:r w:rsidR="00217D1E" w:rsidRPr="00800743">
        <w:rPr>
          <w:sz w:val="24"/>
          <w:szCs w:val="24"/>
        </w:rPr>
        <w:t xml:space="preserve">either </w:t>
      </w:r>
      <w:r w:rsidR="00392C96">
        <w:rPr>
          <w:sz w:val="24"/>
          <w:szCs w:val="24"/>
        </w:rPr>
        <w:t>nivolumab</w:t>
      </w:r>
      <w:r w:rsidR="00217D1E" w:rsidRPr="00800743">
        <w:rPr>
          <w:sz w:val="24"/>
          <w:szCs w:val="24"/>
        </w:rPr>
        <w:t xml:space="preserve"> nor</w:t>
      </w:r>
      <w:r w:rsidR="00EF2054" w:rsidRPr="00800743">
        <w:rPr>
          <w:sz w:val="24"/>
          <w:szCs w:val="24"/>
        </w:rPr>
        <w:t xml:space="preserve"> </w:t>
      </w:r>
      <w:r w:rsidR="00392C96">
        <w:rPr>
          <w:sz w:val="24"/>
          <w:szCs w:val="24"/>
        </w:rPr>
        <w:t>pembrolizumab</w:t>
      </w:r>
      <w:r w:rsidR="00EF2054">
        <w:rPr>
          <w:sz w:val="24"/>
          <w:szCs w:val="24"/>
        </w:rPr>
        <w:t xml:space="preserve"> recognize murine</w:t>
      </w:r>
      <w:r w:rsidR="00EF2054" w:rsidRPr="00800743">
        <w:rPr>
          <w:sz w:val="24"/>
          <w:szCs w:val="24"/>
        </w:rPr>
        <w:t xml:space="preserve"> PD-1, surrogate anti-mouse PD-1 antibodies were used</w:t>
      </w:r>
      <w:r w:rsidR="00EF2054">
        <w:rPr>
          <w:sz w:val="24"/>
          <w:szCs w:val="24"/>
        </w:rPr>
        <w:t>: the efficacy of surrogate antibodies suggests in itself that blockage by any antibody is likely to lead to response.</w:t>
      </w:r>
    </w:p>
    <w:p w14:paraId="45803AAA" w14:textId="77777777" w:rsidR="00E4298E" w:rsidRPr="00800743" w:rsidRDefault="007E4E3C" w:rsidP="00C20157">
      <w:pPr>
        <w:spacing w:line="480" w:lineRule="auto"/>
        <w:jc w:val="both"/>
        <w:rPr>
          <w:sz w:val="24"/>
          <w:szCs w:val="24"/>
        </w:rPr>
      </w:pPr>
      <w:r w:rsidRPr="00800743">
        <w:rPr>
          <w:sz w:val="24"/>
          <w:szCs w:val="24"/>
        </w:rPr>
        <w:t xml:space="preserve"> </w:t>
      </w:r>
    </w:p>
    <w:p w14:paraId="63575B41" w14:textId="1D7B07CD" w:rsidR="00E4298E" w:rsidRPr="00800743" w:rsidRDefault="007E4E3C" w:rsidP="00C20157">
      <w:pPr>
        <w:spacing w:line="480" w:lineRule="auto"/>
        <w:jc w:val="both"/>
        <w:rPr>
          <w:sz w:val="24"/>
          <w:szCs w:val="24"/>
          <w:highlight w:val="white"/>
          <w:vertAlign w:val="superscript"/>
        </w:rPr>
      </w:pPr>
      <w:r w:rsidRPr="00800743">
        <w:rPr>
          <w:sz w:val="24"/>
          <w:szCs w:val="24"/>
        </w:rPr>
        <w:t xml:space="preserve">Following unremarkable preclinical toxicology studies, both antibodies were moved to early clinical studies to determine their human pharmacology. Receptor occupancy (RO) for </w:t>
      </w:r>
      <w:r w:rsidR="00392C96">
        <w:rPr>
          <w:sz w:val="24"/>
          <w:szCs w:val="24"/>
        </w:rPr>
        <w:t>nivolumab</w:t>
      </w:r>
      <w:r w:rsidRPr="00800743">
        <w:rPr>
          <w:sz w:val="24"/>
          <w:szCs w:val="24"/>
        </w:rPr>
        <w:t xml:space="preserve"> was studied in 15 patients using flow cytometric methods.</w:t>
      </w:r>
      <w:r w:rsidRPr="00800743">
        <w:rPr>
          <w:sz w:val="24"/>
          <w:szCs w:val="24"/>
          <w:vertAlign w:val="superscript"/>
        </w:rPr>
        <w:fldChar w:fldCharType="begin" w:fldLock="1"/>
      </w:r>
      <w:r w:rsidR="00B720EE">
        <w:rPr>
          <w:sz w:val="24"/>
          <w:szCs w:val="24"/>
          <w:vertAlign w:val="superscript"/>
        </w:rPr>
        <w:instrText>ADDIN CSL_CITATION { "citationItems" : [ { "id" : "ITEM-1", "itemData" : { "DOI" : "10.1200/JCO.2009.26.7609", "ISSN" : "1527-7755", "PMID" : "20516446", "abstract" : "PURPOSE Programmed death-1 (PD-1), an inhibitory receptor expressed on activated T cells, may suppress antitumor immunity. This phase I study sought to determine the safety and tolerability of anti-PD-1 blockade in patients with treatment-refractory solid tumors and to preliminarily assess antitumor activity, pharmacodynamics, and immunologic correlates. PATIENTS AND METHODS Thirty-nine patients with advanced metastatic melanoma, colorectal cancer (CRC), castrate-resistant prostate cancer, non-small-cell lung cancer (NSCLC), or renal cell carcinoma (RCC) received a single intravenous infusion of anti-PD-1 (MDX-1106) in dose-escalating six-patient cohorts at 0.3, 1, 3, or 10 mg/kg, followed by a 15-patient expansion cohort at 10 mg/kg. Patients with evidence of clinical benefit at 3 months were eligible for repeated therapy. RESULTS Anti-PD-1 was well tolerated: one serious adverse event, inflammatory colitis, was observed in a patient with melanoma who received five doses at 1 mg/kg. One durable complete response (CRC) and two partial responses (PRs; melanoma, RCC) were seen. Two additional patients (melanoma, NSCLC) had significant lesional tumor regressions not meeting PR criteria. The serum half-life of anti-PD-1 was 12 to 20 days. However, pharmacodynamics indicated a sustained mean occupancy of &gt; 70% of PD-1 molecules on circulating T cells &gt; or = 2 months following infusion, regardless of dose. In nine patients examined, tumor cell surface B7-H1 expression appeared to correlate with the likelihood of response to treatment. CONCLUSION Blocking the PD-1 immune checkpoint with intermittent antibody dosing is well tolerated and associated with evidence of antitumor activity. Exploration of alternative dosing regimens and combinatorial therapies with vaccines, targeted therapies, and/or other checkpoint inhibitors is warranted.", "author" : [ { "dropping-particle" : "", "family" : "Brahmer", "given" : "Julie R", "non-dropping-particle" : "", "parse-names" : false, "suffix" : "" }, { "dropping-particle" : "", "family" : "Drake", "given" : "Charles G", "non-dropping-particle" : "", "parse-names" : false, "suffix" : "" }, { "dropping-particle" : "", "family" : "Wollner", "given" : "Ira", "non-dropping-particle" : "", "parse-names" : false, "suffix" : "" }, { "dropping-particle" : "", "family" : "Powderly", "given" : "John D", "non-dropping-particle" : "", "parse-names" : false, "suffix" : "" }, { "dropping-particle" : "", "family" : "Picus", "given" : "Joel", "non-dropping-particle" : "", "parse-names" : false, "suffix" : "" }, { "dropping-particle" : "", "family" : "Sharfman", "given" : "William H", "non-dropping-particle" : "", "parse-names" : false, "suffix" : "" }, { "dropping-particle" : "", "family" : "Stankevich", "given" : "Elizabeth", "non-dropping-particle" : "", "parse-names" : false, "suffix" : "" }, { "dropping-particle" : "", "family" : "Pons", "given" : "Alice", "non-dropping-particle" : "", "parse-names" : false, "suffix" : "" }, { "dropping-particle" : "", "family" : "Salay", "given" : "Theresa M", "non-dropping-particle" : "", "parse-names" : false, "suffix" : "" }, { "dropping-particle" : "", "family" : "McMiller", "given" : "Tracee L", "non-dropping-particle" : "", "parse-names" : false, "suffix" : "" }, { "dropping-particle" : "", "family" : "Gilson", "given" : "Marta M", "non-dropping-particle" : "", "parse-names" : false, "suffix" : "" }, { "dropping-particle" : "", "family" : "Wang", "given" : "Changyu", "non-dropping-particle" : "", "parse-names" : false, "suffix" : "" }, { "dropping-particle" : "", "family" : "Selby", "given" : "Mark", "non-dropping-particle" : "", "parse-names" : false, "suffix" : "" }, { "dropping-particle" : "", "family" : "Taube", "given" : "Janis M", "non-dropping-particle" : "", "parse-names" : false, "suffix" : "" }, { "dropping-particle" : "", "family" : "Anders", "given" : "Robert", "non-dropping-particle" : "", "parse-names" : false, "suffix" : "" }, { "dropping-particle" : "", "family" : "Chen", "given" : "Lieping", "non-dropping-particle" : "", "parse-names" : false, "suffix" : "" }, { "dropping-particle" : "", "family" : "Korman", "given" : "Alan J", "non-dropping-particle" : "", "parse-names" : false, "suffix" : "" }, { "dropping-particle" : "", "family" : "Pardoll", "given" : "Drew M", "non-dropping-particle" : "", "parse-names" : false, "suffix" : "" }, { "dropping-particle" : "", "family" : "Lowy", "given" : "Israel", "non-dropping-particle" : "", "parse-names" : false, "suffix" : "" }, { "dropping-particle" : "", "family" : "Topalian", "given" : "Suzanne L", "non-dropping-particle" : "", "parse-names" : false, "suffix" : "" } ], "container-title" : "Journal of clinical oncology : official journal of the American Society of Clinical Oncology", "id" : "ITEM-1", "issue" : "19", "issued" : { "date-parts" : [ [ "2010", "7", "1" ] ] }, "page" : "3167-75", "publisher" : "American Society of Clinical Oncology", "title" : "Phase I study of single-agent anti-programmed death-1 (MDX-1106) in refractory solid tumors: safety, clinical activity, pharmacodynamics, and immunologic correlates.", "type" : "article-journal", "volume" : "28" }, "uris" : [ "http://www.mendeley.com/documents/?uuid=16e38de3-bf17-431e-9b0d-41c958f14b9e" ] } ], "mendeley" : { "formattedCitation" : "(30)", "manualFormatting" : "[30]", "plainTextFormattedCitation" : "(30)", "previouslyFormattedCitation" : "(30)" }, "properties" : { "noteIndex" : 0 }, "schema" : "https://github.com/citation-style-language/schema/raw/master/csl-citation.json" }</w:instrText>
      </w:r>
      <w:r w:rsidRPr="00800743">
        <w:rPr>
          <w:sz w:val="24"/>
          <w:szCs w:val="24"/>
          <w:vertAlign w:val="superscript"/>
        </w:rPr>
        <w:fldChar w:fldCharType="separate"/>
      </w:r>
      <w:r w:rsidR="00B720EE">
        <w:rPr>
          <w:noProof/>
          <w:sz w:val="24"/>
          <w:szCs w:val="24"/>
        </w:rPr>
        <w:t>[</w:t>
      </w:r>
      <w:r w:rsidR="00B62618" w:rsidRPr="00B62618">
        <w:rPr>
          <w:noProof/>
          <w:sz w:val="24"/>
          <w:szCs w:val="24"/>
        </w:rPr>
        <w:t>30</w:t>
      </w:r>
      <w:r w:rsidR="00B720EE">
        <w:rPr>
          <w:noProof/>
          <w:sz w:val="24"/>
          <w:szCs w:val="24"/>
        </w:rPr>
        <w:t>]</w:t>
      </w:r>
      <w:r w:rsidRPr="00800743">
        <w:rPr>
          <w:sz w:val="24"/>
          <w:szCs w:val="24"/>
          <w:vertAlign w:val="superscript"/>
        </w:rPr>
        <w:fldChar w:fldCharType="end"/>
      </w:r>
      <w:r w:rsidRPr="00800743">
        <w:rPr>
          <w:sz w:val="24"/>
          <w:szCs w:val="24"/>
        </w:rPr>
        <w:t xml:space="preserve"> Mean peak occupancy was 85% at 4-24 h, while mean plateau occupancy was 72% after 57 days, values consistent with the high in vitro affinity of </w:t>
      </w:r>
      <w:r w:rsidR="00392C96">
        <w:rPr>
          <w:sz w:val="24"/>
          <w:szCs w:val="24"/>
        </w:rPr>
        <w:t>nivolumab</w:t>
      </w:r>
      <w:r w:rsidRPr="00800743">
        <w:rPr>
          <w:sz w:val="24"/>
          <w:szCs w:val="24"/>
        </w:rPr>
        <w:t xml:space="preserve">. Remarkably, RO was found </w:t>
      </w:r>
      <w:r w:rsidRPr="00800743">
        <w:rPr>
          <w:sz w:val="24"/>
          <w:szCs w:val="24"/>
        </w:rPr>
        <w:lastRenderedPageBreak/>
        <w:t>to be dose-independent for the range tested (0.3-10 mg/kg)</w:t>
      </w:r>
      <w:r w:rsidR="009C585D">
        <w:rPr>
          <w:sz w:val="24"/>
          <w:szCs w:val="24"/>
        </w:rPr>
        <w:t>, again reflecting the very high affinity of the antibody</w:t>
      </w:r>
      <w:r w:rsidRPr="00800743">
        <w:rPr>
          <w:sz w:val="24"/>
          <w:szCs w:val="24"/>
        </w:rPr>
        <w:t xml:space="preserve">. The RO of </w:t>
      </w:r>
      <w:r w:rsidR="00392C96">
        <w:rPr>
          <w:sz w:val="24"/>
          <w:szCs w:val="24"/>
        </w:rPr>
        <w:t>pembrolizumab</w:t>
      </w:r>
      <w:r w:rsidRPr="00800743">
        <w:rPr>
          <w:sz w:val="24"/>
          <w:szCs w:val="24"/>
          <w:highlight w:val="white"/>
        </w:rPr>
        <w:t xml:space="preserve"> was indirectly calculated using ex vivo IL</w:t>
      </w:r>
      <w:r w:rsidR="009C585D">
        <w:rPr>
          <w:sz w:val="24"/>
          <w:szCs w:val="24"/>
          <w:highlight w:val="white"/>
        </w:rPr>
        <w:t>-</w:t>
      </w:r>
      <w:r w:rsidRPr="00800743">
        <w:rPr>
          <w:sz w:val="24"/>
          <w:szCs w:val="24"/>
          <w:highlight w:val="white"/>
        </w:rPr>
        <w:t xml:space="preserve">2 stimulation – therefore no comparable values are given. However, RO saturation </w:t>
      </w:r>
      <w:r w:rsidR="009C585D">
        <w:rPr>
          <w:sz w:val="24"/>
          <w:szCs w:val="24"/>
          <w:highlight w:val="white"/>
        </w:rPr>
        <w:t>was</w:t>
      </w:r>
      <w:r w:rsidR="009C585D" w:rsidRPr="00800743">
        <w:rPr>
          <w:sz w:val="24"/>
          <w:szCs w:val="24"/>
          <w:highlight w:val="white"/>
        </w:rPr>
        <w:t xml:space="preserve"> </w:t>
      </w:r>
      <w:r w:rsidRPr="00800743">
        <w:rPr>
          <w:sz w:val="24"/>
          <w:szCs w:val="24"/>
          <w:highlight w:val="white"/>
        </w:rPr>
        <w:t xml:space="preserve">also reached after 1 mg/kg, which is very similar to </w:t>
      </w:r>
      <w:r w:rsidR="00392C96">
        <w:rPr>
          <w:sz w:val="24"/>
          <w:szCs w:val="24"/>
          <w:highlight w:val="white"/>
        </w:rPr>
        <w:t>nivolumab</w:t>
      </w:r>
      <w:r w:rsidRPr="00800743">
        <w:rPr>
          <w:sz w:val="24"/>
          <w:szCs w:val="24"/>
          <w:highlight w:val="white"/>
        </w:rPr>
        <w:t>.</w:t>
      </w:r>
      <w:r w:rsidRPr="00800743">
        <w:rPr>
          <w:sz w:val="24"/>
          <w:szCs w:val="24"/>
          <w:highlight w:val="white"/>
          <w:vertAlign w:val="superscript"/>
        </w:rPr>
        <w:fldChar w:fldCharType="begin" w:fldLock="1"/>
      </w:r>
      <w:r w:rsidR="00B720EE">
        <w:rPr>
          <w:sz w:val="24"/>
          <w:szCs w:val="24"/>
          <w:highlight w:val="white"/>
          <w:vertAlign w:val="superscript"/>
        </w:rPr>
        <w:instrText>ADDIN CSL_CITATION { "citationItems" : [ { "id" : "ITEM-1", "itemData" : { "author" : [ { "dropping-particle" : "", "family" : "Patnaik", "given" : "Amita", "non-dropping-particle" : "", "parse-names" : false, "suffix" : "" }, { "dropping-particle" : "", "family" : "Kang", "given" : "S. Peter", "non-dropping-particle" : "", "parse-names" : false, "suffix" : "" }, { "dropping-particle" : "", "family" : "Rasco", "given" : "Drew", "non-dropping-particle" : "", "parse-names" : false, "suffix" : "" }, { "dropping-particle" : "", "family" : "Papadopoulos", "given" : "Kyriakos P.", "non-dropping-particle" : "", "parse-names" : false, "suffix" : "" }, { "dropping-particle" : "", "family" : "Elassaiss-Schaap", "given" : "Jeroen", "non-dropping-particle" : "", "parse-names" : false, "suffix" : "" }, { "dropping-particle" : "", "family" : "Beeram", "given" : "Muralidhar", "non-dropping-particle" : "", "parse-names" : false, "suffix" : "" }, { "dropping-particle" : "", "family" : "Drengler", "given" : "Ronald", "non-dropping-particle" : "", "parse-names" : false, "suffix" : "" }, { "dropping-particle" : "", "family" : "Chen", "given" : "Cong", "non-dropping-particle" : "", "parse-names" : false, "suffix" : "" }, { "dropping-particle" : "", "family" : "Smith", "given" : "Lon", "non-dropping-particle" : "", "parse-names" : false, "suffix" : "" }, { "dropping-particle" : "", "family" : "Espino", "given" : "Guillermo", "non-dropping-particle" : "", "parse-names" : false, "suffix" : "" }, { "dropping-particle" : "", "family" : "Gergich", "given" : "Kevin", "non-dropping-particle" : "", "parse-names" : false, "suffix" : "" }, { "dropping-particle" : "", "family" : "Delgado", "given" : "Liliana", "non-dropping-particle" : "", "parse-names" : false, "suffix" : "" }, { "dropping-particle" : "", "family" : "Daud", "given" : "Adil", "non-dropping-particle" : "", "parse-names" : false, "suffix" : "" }, { "dropping-particle" : "", "family" : "Lindia", "given" : "Jill A.", "non-dropping-particle" : "", "parse-names" : false, "suffix" : "" }, { "dropping-particle" : "", "family" : "Li", "given" : "Xiaoyun Nicole", "non-dropping-particle" : "", "parse-names" : false, "suffix" : "" }, { "dropping-particle" : "", "family" : "Pierce", "given" : "Robert H.", "non-dropping-particle" : "", "parse-names" : false, "suffix" : "" }, { "dropping-particle" : "", "family" : "Yearley", "given" : "Jennifer H.", "non-dropping-particle" : "", "parse-names" : false, "suffix" : "" }, { "dropping-particle" : "", "family" : "Wu", "given" : "Dianna", "non-dropping-particle" : "", "parse-names" : false, "suffix" : "" }, { "dropping-particle" : "", "family" : "Laterza", "given" : "Omar", "non-dropping-particle" : "", "parse-names" : false, "suffix" : "" }, { "dropping-particle" : "", "family" : "Lehnert", "given" : "Manfred", "non-dropping-particle" : "", "parse-names" : false, "suffix" : "" }, { "dropping-particle" : "", "family" : "Iannone", "given" : "Robert", "non-dropping-particle" : "", "parse-names" : false, "suffix" : "" }, { "dropping-particle" : "", "family" : "Tolcher", "given" : "Anthony W.", "non-dropping-particle" : "", "parse-names" : false, "suffix" : "" } ], "container-title" : "Clinical Cancer Research", "id" : "ITEM-1", "issue" : "19", "issued" : { "date-parts" : [ [ "2015" ] ] }, "title" : "Phase I Study of Pembrolizumab (MK-3475; Anti\u2013PD-1 Monoclonal Antibody) in Patients with Advanced Solid Tumors", "type" : "article-journal", "volume" : "21" }, "uris" : [ "http://www.mendeley.com/documents/?uuid=66250101-b370-4e30-af4c-1ff5bade3e09" ] } ], "mendeley" : { "formattedCitation" : "(31)", "manualFormatting" : "[31]", "plainTextFormattedCitation" : "(31)", "previouslyFormattedCitation" : "(31)" }, "properties" : { "noteIndex" : 0 }, "schema" : "https://github.com/citation-style-language/schema/raw/master/csl-citation.json" }</w:instrText>
      </w:r>
      <w:r w:rsidRPr="00800743">
        <w:rPr>
          <w:sz w:val="24"/>
          <w:szCs w:val="24"/>
          <w:highlight w:val="white"/>
          <w:vertAlign w:val="superscript"/>
        </w:rPr>
        <w:fldChar w:fldCharType="separate"/>
      </w:r>
      <w:r w:rsidR="00B720EE">
        <w:rPr>
          <w:noProof/>
          <w:sz w:val="24"/>
          <w:szCs w:val="24"/>
          <w:highlight w:val="white"/>
        </w:rPr>
        <w:t>[</w:t>
      </w:r>
      <w:r w:rsidR="00B62618" w:rsidRPr="00B62618">
        <w:rPr>
          <w:noProof/>
          <w:sz w:val="24"/>
          <w:szCs w:val="24"/>
          <w:highlight w:val="white"/>
        </w:rPr>
        <w:t>31</w:t>
      </w:r>
      <w:r w:rsidR="00B720EE">
        <w:rPr>
          <w:noProof/>
          <w:sz w:val="24"/>
          <w:szCs w:val="24"/>
          <w:highlight w:val="white"/>
        </w:rPr>
        <w:t>]</w:t>
      </w:r>
      <w:r w:rsidRPr="00800743">
        <w:rPr>
          <w:sz w:val="24"/>
          <w:szCs w:val="24"/>
          <w:highlight w:val="white"/>
          <w:vertAlign w:val="superscript"/>
        </w:rPr>
        <w:fldChar w:fldCharType="end"/>
      </w:r>
    </w:p>
    <w:p w14:paraId="0054E03A" w14:textId="77777777" w:rsidR="00B720EE" w:rsidRDefault="00B720EE" w:rsidP="00C20157">
      <w:pPr>
        <w:spacing w:line="480" w:lineRule="auto"/>
        <w:jc w:val="both"/>
        <w:rPr>
          <w:sz w:val="24"/>
          <w:szCs w:val="24"/>
        </w:rPr>
      </w:pPr>
    </w:p>
    <w:p w14:paraId="09701C5A" w14:textId="0C57DC82" w:rsidR="0026742A" w:rsidRPr="000C6051" w:rsidRDefault="00166D6F" w:rsidP="00C20157">
      <w:pPr>
        <w:spacing w:line="480" w:lineRule="auto"/>
        <w:jc w:val="both"/>
        <w:rPr>
          <w:sz w:val="24"/>
          <w:szCs w:val="24"/>
          <w:vertAlign w:val="superscript"/>
        </w:rPr>
      </w:pPr>
      <w:r>
        <w:rPr>
          <w:sz w:val="24"/>
          <w:szCs w:val="24"/>
        </w:rPr>
        <w:t>There</w:t>
      </w:r>
      <w:r w:rsidR="007E4E3C" w:rsidRPr="00800743">
        <w:rPr>
          <w:sz w:val="24"/>
          <w:szCs w:val="24"/>
        </w:rPr>
        <w:t xml:space="preserve"> was no significant change on the IFNγ ELISPOT assay on blood samples from patients receiving either antibody, which indicates no compromise of the overall T-cell-mediated immune response.</w:t>
      </w:r>
      <w:r w:rsidR="007E4E3C" w:rsidRPr="00800743">
        <w:rPr>
          <w:sz w:val="24"/>
          <w:szCs w:val="24"/>
          <w:vertAlign w:val="superscript"/>
        </w:rPr>
        <w:fldChar w:fldCharType="begin" w:fldLock="1"/>
      </w:r>
      <w:r w:rsidR="00B34B05">
        <w:rPr>
          <w:sz w:val="24"/>
          <w:szCs w:val="24"/>
          <w:vertAlign w:val="superscript"/>
        </w:rPr>
        <w:instrText>ADDIN CSL_CITATION { "citationItems" : [ { "id" : "ITEM-1", "itemData" : { "DOI" : "10.1200/JCO.2009.26.7609", "ISSN" : "1527-7755", "PMID" : "20516446", "abstract" : "PURPOSE Programmed death-1 (PD-1), an inhibitory receptor expressed on activated T cells, may suppress antitumor immunity. This phase I study sought to determine the safety and tolerability of anti-PD-1 blockade in patients with treatment-refractory solid tumors and to preliminarily assess antitumor activity, pharmacodynamics, and immunologic correlates. PATIENTS AND METHODS Thirty-nine patients with advanced metastatic melanoma, colorectal cancer (CRC), castrate-resistant prostate cancer, non-small-cell lung cancer (NSCLC), or renal cell carcinoma (RCC) received a single intravenous infusion of anti-PD-1 (MDX-1106) in dose-escalating six-patient cohorts at 0.3, 1, 3, or 10 mg/kg, followed by a 15-patient expansion cohort at 10 mg/kg. Patients with evidence of clinical benefit at 3 months were eligible for repeated therapy. RESULTS Anti-PD-1 was well tolerated: one serious adverse event, inflammatory colitis, was observed in a patient with melanoma who received five doses at 1 mg/kg. One durable complete response (CRC) and two partial responses (PRs; melanoma, RCC) were seen. Two additional patients (melanoma, NSCLC) had significant lesional tumor regressions not meeting PR criteria. The serum half-life of anti-PD-1 was 12 to 20 days. However, pharmacodynamics indicated a sustained mean occupancy of &gt; 70% of PD-1 molecules on circulating T cells &gt; or = 2 months following infusion, regardless of dose. In nine patients examined, tumor cell surface B7-H1 expression appeared to correlate with the likelihood of response to treatment. CONCLUSION Blocking the PD-1 immune checkpoint with intermittent antibody dosing is well tolerated and associated with evidence of antitumor activity. Exploration of alternative dosing regimens and combinatorial therapies with vaccines, targeted therapies, and/or other checkpoint inhibitors is warranted.", "author" : [ { "dropping-particle" : "", "family" : "Brahmer", "given" : "Julie R", "non-dropping-particle" : "", "parse-names" : false, "suffix" : "" }, { "dropping-particle" : "", "family" : "Drake", "given" : "Charles G", "non-dropping-particle" : "", "parse-names" : false, "suffix" : "" }, { "dropping-particle" : "", "family" : "Wollner", "given" : "Ira", "non-dropping-particle" : "", "parse-names" : false, "suffix" : "" }, { "dropping-particle" : "", "family" : "Powderly", "given" : "John D", "non-dropping-particle" : "", "parse-names" : false, "suffix" : "" }, { "dropping-particle" : "", "family" : "Picus", "given" : "Joel", "non-dropping-particle" : "", "parse-names" : false, "suffix" : "" }, { "dropping-particle" : "", "family" : "Sharfman", "given" : "William H", "non-dropping-particle" : "", "parse-names" : false, "suffix" : "" }, { "dropping-particle" : "", "family" : "Stankevich", "given" : "Elizabeth", "non-dropping-particle" : "", "parse-names" : false, "suffix" : "" }, { "dropping-particle" : "", "family" : "Pons", "given" : "Alice", "non-dropping-particle" : "", "parse-names" : false, "suffix" : "" }, { "dropping-particle" : "", "family" : "Salay", "given" : "Theresa M", "non-dropping-particle" : "", "parse-names" : false, "suffix" : "" }, { "dropping-particle" : "", "family" : "McMiller", "given" : "Tracee L", "non-dropping-particle" : "", "parse-names" : false, "suffix" : "" }, { "dropping-particle" : "", "family" : "Gilson", "given" : "Marta M", "non-dropping-particle" : "", "parse-names" : false, "suffix" : "" }, { "dropping-particle" : "", "family" : "Wang", "given" : "Changyu", "non-dropping-particle" : "", "parse-names" : false, "suffix" : "" }, { "dropping-particle" : "", "family" : "Selby", "given" : "Mark", "non-dropping-particle" : "", "parse-names" : false, "suffix" : "" }, { "dropping-particle" : "", "family" : "Taube", "given" : "Janis M", "non-dropping-particle" : "", "parse-names" : false, "suffix" : "" }, { "dropping-particle" : "", "family" : "Anders", "given" : "Robert", "non-dropping-particle" : "", "parse-names" : false, "suffix" : "" }, { "dropping-particle" : "", "family" : "Chen", "given" : "Lieping", "non-dropping-particle" : "", "parse-names" : false, "suffix" : "" }, { "dropping-particle" : "", "family" : "Korman", "given" : "Alan J", "non-dropping-particle" : "", "parse-names" : false, "suffix" : "" }, { "dropping-particle" : "", "family" : "Pardoll", "given" : "Drew M", "non-dropping-particle" : "", "parse-names" : false, "suffix" : "" }, { "dropping-particle" : "", "family" : "Lowy", "given" : "Israel", "non-dropping-particle" : "", "parse-names" : false, "suffix" : "" }, { "dropping-particle" : "", "family" : "Topalian", "given" : "Suzanne L", "non-dropping-particle" : "", "parse-names" : false, "suffix" : "" } ], "container-title" : "Journal of clinical oncology : official journal of the American Society of Clinical Oncology", "id" : "ITEM-1", "issue" : "19", "issued" : { "date-parts" : [ [ "2010", "7", "1" ] ] }, "page" : "3167-75", "publisher" : "American Society of Clinical Oncology", "title" : "Phase I study of single-agent anti-programmed death-1 (MDX-1106) in refractory solid tumors: safety, clinical activity, pharmacodynamics, and immunologic correlates.", "type" : "article-journal", "volume" : "28" }, "uris" : [ "http://www.mendeley.com/documents/?uuid=16e38de3-bf17-431e-9b0d-41c958f14b9e" ] }, { "id" : "ITEM-2", "itemData" : { "author" : [ { "dropping-particle" : "", "family" : "Patnaik", "given" : "Amita", "non-dropping-particle" : "", "parse-names" : false, "suffix" : "" }, { "dropping-particle" : "", "family" : "Kang", "given" : "S. Peter", "non-dropping-particle" : "", "parse-names" : false, "suffix" : "" }, { "dropping-particle" : "", "family" : "Rasco", "given" : "Drew", "non-dropping-particle" : "", "parse-names" : false, "suffix" : "" }, { "dropping-particle" : "", "family" : "Papadopoulos", "given" : "Kyriakos P.", "non-dropping-particle" : "", "parse-names" : false, "suffix" : "" }, { "dropping-particle" : "", "family" : "Elassaiss-Schaap", "given" : "Jeroen", "non-dropping-particle" : "", "parse-names" : false, "suffix" : "" }, { "dropping-particle" : "", "family" : "Beeram", "given" : "Muralidhar", "non-dropping-particle" : "", "parse-names" : false, "suffix" : "" }, { "dropping-particle" : "", "family" : "Drengler", "given" : "Ronald", "non-dropping-particle" : "", "parse-names" : false, "suffix" : "" }, { "dropping-particle" : "", "family" : "Chen", "given" : "Cong", "non-dropping-particle" : "", "parse-names" : false, "suffix" : "" }, { "dropping-particle" : "", "family" : "Smith", "given" : "Lon", "non-dropping-particle" : "", "parse-names" : false, "suffix" : "" }, { "dropping-particle" : "", "family" : "Espino", "given" : "Guillermo", "non-dropping-particle" : "", "parse-names" : false, "suffix" : "" }, { "dropping-particle" : "", "family" : "Gergich", "given" : "Kevin", "non-dropping-particle" : "", "parse-names" : false, "suffix" : "" }, { "dropping-particle" : "", "family" : "Delgado", "given" : "Liliana", "non-dropping-particle" : "", "parse-names" : false, "suffix" : "" }, { "dropping-particle" : "", "family" : "Daud", "given" : "Adil", "non-dropping-particle" : "", "parse-names" : false, "suffix" : "" }, { "dropping-particle" : "", "family" : "Lindia", "given" : "Jill A.", "non-dropping-particle" : "", "parse-names" : false, "suffix" : "" }, { "dropping-particle" : "", "family" : "Li", "given" : "Xiaoyun Nicole", "non-dropping-particle" : "", "parse-names" : false, "suffix" : "" }, { "dropping-particle" : "", "family" : "Pierce", "given" : "Robert H.", "non-dropping-particle" : "", "parse-names" : false, "suffix" : "" }, { "dropping-particle" : "", "family" : "Yearley", "given" : "Jennifer H.", "non-dropping-particle" : "", "parse-names" : false, "suffix" : "" }, { "dropping-particle" : "", "family" : "Wu", "given" : "Dianna", "non-dropping-particle" : "", "parse-names" : false, "suffix" : "" }, { "dropping-particle" : "", "family" : "Laterza", "given" : "Omar", "non-dropping-particle" : "", "parse-names" : false, "suffix" : "" }, { "dropping-particle" : "", "family" : "Lehnert", "given" : "Manfred", "non-dropping-particle" : "", "parse-names" : false, "suffix" : "" }, { "dropping-particle" : "", "family" : "Iannone", "given" : "Robert", "non-dropping-particle" : "", "parse-names" : false, "suffix" : "" }, { "dropping-particle" : "", "family" : "Tolcher", "given" : "Anthony W.", "non-dropping-particle" : "", "parse-names" : false, "suffix" : "" } ], "container-title" : "Clinical Cancer Research", "id" : "ITEM-2", "issue" : "19", "issued" : { "date-parts" : [ [ "2015" ] ] }, "title" : "Phase I Study of Pembrolizumab (MK-3475; Anti\u2013PD-1 Monoclonal Antibody) in Patients with Advanced Solid Tumors", "type" : "article-journal", "volume" : "21" }, "uris" : [ "http://www.mendeley.com/documents/?uuid=66250101-b370-4e30-af4c-1ff5bade3e09" ] } ], "mendeley" : { "formattedCitation" : "(30,31)", "manualFormatting" : "[30,31]", "plainTextFormattedCitation" : "(30,31)", "previouslyFormattedCitation" : "(30,31)" }, "properties" : { "noteIndex" : 0 }, "schema" : "https://github.com/citation-style-language/schema/raw/master/csl-citation.json" }</w:instrText>
      </w:r>
      <w:r w:rsidR="007E4E3C" w:rsidRPr="00800743">
        <w:rPr>
          <w:sz w:val="24"/>
          <w:szCs w:val="24"/>
          <w:vertAlign w:val="superscript"/>
        </w:rPr>
        <w:fldChar w:fldCharType="separate"/>
      </w:r>
      <w:r w:rsidR="00B720EE">
        <w:rPr>
          <w:noProof/>
          <w:sz w:val="24"/>
          <w:szCs w:val="24"/>
        </w:rPr>
        <w:t>[</w:t>
      </w:r>
      <w:r w:rsidR="00B62618" w:rsidRPr="00B62618">
        <w:rPr>
          <w:noProof/>
          <w:sz w:val="24"/>
          <w:szCs w:val="24"/>
        </w:rPr>
        <w:t>30,31</w:t>
      </w:r>
      <w:r w:rsidR="00B720EE">
        <w:rPr>
          <w:noProof/>
          <w:sz w:val="24"/>
          <w:szCs w:val="24"/>
        </w:rPr>
        <w:t>]</w:t>
      </w:r>
      <w:r w:rsidR="007E4E3C" w:rsidRPr="00800743">
        <w:rPr>
          <w:sz w:val="24"/>
          <w:szCs w:val="24"/>
          <w:vertAlign w:val="superscript"/>
        </w:rPr>
        <w:fldChar w:fldCharType="end"/>
      </w:r>
      <w:r w:rsidR="009A6643">
        <w:rPr>
          <w:sz w:val="24"/>
          <w:szCs w:val="24"/>
          <w:vertAlign w:val="superscript"/>
        </w:rPr>
        <w:t xml:space="preserve"> </w:t>
      </w:r>
      <w:r w:rsidR="007E4E3C" w:rsidRPr="00800743">
        <w:rPr>
          <w:sz w:val="24"/>
          <w:szCs w:val="24"/>
        </w:rPr>
        <w:t>Finally, the clinical pharmacokinetics of the two antibodies are very similar, as summarized in Table 2.</w:t>
      </w:r>
    </w:p>
    <w:p w14:paraId="664D9B3E" w14:textId="77777777" w:rsidR="004B47C4" w:rsidRDefault="004B47C4" w:rsidP="00C20157">
      <w:pPr>
        <w:spacing w:line="480" w:lineRule="auto"/>
        <w:jc w:val="both"/>
        <w:outlineLvl w:val="0"/>
        <w:rPr>
          <w:b/>
          <w:sz w:val="24"/>
          <w:szCs w:val="24"/>
        </w:rPr>
      </w:pPr>
    </w:p>
    <w:p w14:paraId="3D08D56D" w14:textId="77777777" w:rsidR="00166D6F" w:rsidRDefault="00166D6F">
      <w:pPr>
        <w:rPr>
          <w:b/>
          <w:sz w:val="24"/>
          <w:szCs w:val="24"/>
        </w:rPr>
      </w:pPr>
      <w:r>
        <w:rPr>
          <w:b/>
          <w:sz w:val="24"/>
          <w:szCs w:val="24"/>
        </w:rPr>
        <w:br w:type="page"/>
      </w:r>
    </w:p>
    <w:p w14:paraId="1F6B0DB1" w14:textId="15537053" w:rsidR="00E4298E" w:rsidRPr="00800743" w:rsidRDefault="007E4E3C" w:rsidP="00C20157">
      <w:pPr>
        <w:spacing w:line="480" w:lineRule="auto"/>
        <w:jc w:val="both"/>
        <w:outlineLvl w:val="0"/>
        <w:rPr>
          <w:b/>
          <w:sz w:val="24"/>
          <w:szCs w:val="24"/>
        </w:rPr>
      </w:pPr>
      <w:r w:rsidRPr="00800743">
        <w:rPr>
          <w:b/>
          <w:sz w:val="24"/>
          <w:szCs w:val="24"/>
        </w:rPr>
        <w:lastRenderedPageBreak/>
        <w:t>Conclusion</w:t>
      </w:r>
    </w:p>
    <w:p w14:paraId="33B9F49E" w14:textId="63B697F9" w:rsidR="00E4298E" w:rsidRPr="00800743" w:rsidRDefault="008422F6" w:rsidP="00C20157">
      <w:pPr>
        <w:spacing w:line="480" w:lineRule="auto"/>
        <w:jc w:val="both"/>
        <w:rPr>
          <w:sz w:val="24"/>
          <w:szCs w:val="24"/>
        </w:rPr>
      </w:pPr>
      <w:r>
        <w:rPr>
          <w:sz w:val="24"/>
          <w:szCs w:val="24"/>
        </w:rPr>
        <w:t xml:space="preserve">In this </w:t>
      </w:r>
      <w:r w:rsidR="009C585D">
        <w:rPr>
          <w:sz w:val="24"/>
          <w:szCs w:val="24"/>
        </w:rPr>
        <w:t>article</w:t>
      </w:r>
      <w:r>
        <w:rPr>
          <w:sz w:val="24"/>
          <w:szCs w:val="24"/>
        </w:rPr>
        <w:t xml:space="preserve">, we compare </w:t>
      </w:r>
      <w:r w:rsidR="009C585D">
        <w:rPr>
          <w:sz w:val="24"/>
          <w:szCs w:val="24"/>
        </w:rPr>
        <w:t>the molecular</w:t>
      </w:r>
      <w:r w:rsidR="00906DEE">
        <w:rPr>
          <w:sz w:val="24"/>
          <w:szCs w:val="24"/>
        </w:rPr>
        <w:t xml:space="preserve">, </w:t>
      </w:r>
      <w:r w:rsidR="0030467C" w:rsidRPr="00800743">
        <w:rPr>
          <w:sz w:val="24"/>
          <w:szCs w:val="24"/>
        </w:rPr>
        <w:t xml:space="preserve">preclinical </w:t>
      </w:r>
      <w:r w:rsidR="00906DEE">
        <w:rPr>
          <w:sz w:val="24"/>
          <w:szCs w:val="24"/>
        </w:rPr>
        <w:t xml:space="preserve">and early clinical </w:t>
      </w:r>
      <w:r w:rsidR="00166D6F">
        <w:rPr>
          <w:sz w:val="24"/>
          <w:szCs w:val="24"/>
        </w:rPr>
        <w:t xml:space="preserve">characteristics of the </w:t>
      </w:r>
      <w:r>
        <w:rPr>
          <w:sz w:val="24"/>
          <w:szCs w:val="24"/>
        </w:rPr>
        <w:t xml:space="preserve">PD-1 </w:t>
      </w:r>
      <w:r w:rsidR="00166D6F">
        <w:rPr>
          <w:sz w:val="24"/>
          <w:szCs w:val="24"/>
        </w:rPr>
        <w:t xml:space="preserve">targeted T cell checkpoint inhibitory </w:t>
      </w:r>
      <w:r>
        <w:rPr>
          <w:sz w:val="24"/>
          <w:szCs w:val="24"/>
        </w:rPr>
        <w:t>antibodies</w:t>
      </w:r>
      <w:r w:rsidR="0030467C" w:rsidRPr="00800743">
        <w:rPr>
          <w:sz w:val="24"/>
          <w:szCs w:val="24"/>
        </w:rPr>
        <w:t xml:space="preserve"> </w:t>
      </w:r>
      <w:r w:rsidR="00392C96">
        <w:rPr>
          <w:sz w:val="24"/>
          <w:szCs w:val="24"/>
        </w:rPr>
        <w:t>nivolumab</w:t>
      </w:r>
      <w:r w:rsidR="0030467C" w:rsidRPr="00800743">
        <w:rPr>
          <w:sz w:val="24"/>
          <w:szCs w:val="24"/>
        </w:rPr>
        <w:t xml:space="preserve"> and </w:t>
      </w:r>
      <w:r w:rsidR="00392C96">
        <w:rPr>
          <w:sz w:val="24"/>
          <w:szCs w:val="24"/>
        </w:rPr>
        <w:t>pembrolizumab</w:t>
      </w:r>
      <w:r>
        <w:rPr>
          <w:sz w:val="24"/>
          <w:szCs w:val="24"/>
        </w:rPr>
        <w:t xml:space="preserve">. The significant </w:t>
      </w:r>
      <w:r w:rsidR="00166D6F">
        <w:rPr>
          <w:sz w:val="24"/>
          <w:szCs w:val="24"/>
        </w:rPr>
        <w:t xml:space="preserve">molecular </w:t>
      </w:r>
      <w:r>
        <w:rPr>
          <w:sz w:val="24"/>
          <w:szCs w:val="24"/>
        </w:rPr>
        <w:t xml:space="preserve">similarities </w:t>
      </w:r>
      <w:r w:rsidR="00166D6F">
        <w:rPr>
          <w:sz w:val="24"/>
          <w:szCs w:val="24"/>
        </w:rPr>
        <w:t>between</w:t>
      </w:r>
      <w:r w:rsidR="009C585D">
        <w:rPr>
          <w:sz w:val="24"/>
          <w:szCs w:val="24"/>
        </w:rPr>
        <w:t xml:space="preserve"> these drugs </w:t>
      </w:r>
      <w:r w:rsidR="0030467C" w:rsidRPr="00800743">
        <w:rPr>
          <w:sz w:val="24"/>
          <w:szCs w:val="24"/>
        </w:rPr>
        <w:t>su</w:t>
      </w:r>
      <w:r w:rsidR="007E4E3C" w:rsidRPr="00800743">
        <w:rPr>
          <w:sz w:val="24"/>
          <w:szCs w:val="24"/>
        </w:rPr>
        <w:t xml:space="preserve">ggest that </w:t>
      </w:r>
      <w:r w:rsidR="0030467C" w:rsidRPr="00800743">
        <w:rPr>
          <w:sz w:val="24"/>
          <w:szCs w:val="24"/>
        </w:rPr>
        <w:t>differences observed in clinical data are</w:t>
      </w:r>
      <w:r w:rsidR="007E4E3C" w:rsidRPr="00800743">
        <w:rPr>
          <w:sz w:val="24"/>
          <w:szCs w:val="24"/>
        </w:rPr>
        <w:t xml:space="preserve"> </w:t>
      </w:r>
      <w:r w:rsidR="00906DEE">
        <w:rPr>
          <w:sz w:val="24"/>
          <w:szCs w:val="24"/>
        </w:rPr>
        <w:t>unlikely to be drug dependent, and likely to be due to drug-</w:t>
      </w:r>
      <w:r w:rsidR="00106CA2" w:rsidRPr="00800743">
        <w:rPr>
          <w:sz w:val="24"/>
          <w:szCs w:val="24"/>
        </w:rPr>
        <w:t xml:space="preserve"> </w:t>
      </w:r>
      <w:r w:rsidR="007E4E3C" w:rsidRPr="00800743">
        <w:rPr>
          <w:sz w:val="24"/>
          <w:szCs w:val="24"/>
        </w:rPr>
        <w:t>-</w:t>
      </w:r>
      <w:r w:rsidR="00906DEE">
        <w:rPr>
          <w:sz w:val="24"/>
          <w:szCs w:val="24"/>
        </w:rPr>
        <w:t>independent differences. These may, for example, be due to differences be</w:t>
      </w:r>
      <w:r w:rsidR="007E4E3C" w:rsidRPr="00800743">
        <w:rPr>
          <w:sz w:val="24"/>
          <w:szCs w:val="24"/>
        </w:rPr>
        <w:t xml:space="preserve">tween the </w:t>
      </w:r>
      <w:r w:rsidR="0030467C" w:rsidRPr="00800743">
        <w:rPr>
          <w:sz w:val="24"/>
          <w:szCs w:val="24"/>
        </w:rPr>
        <w:t xml:space="preserve">patient populations </w:t>
      </w:r>
      <w:r w:rsidR="00106CA2">
        <w:rPr>
          <w:sz w:val="24"/>
          <w:szCs w:val="24"/>
        </w:rPr>
        <w:t xml:space="preserve">in </w:t>
      </w:r>
      <w:r w:rsidR="0030467C" w:rsidRPr="00800743">
        <w:rPr>
          <w:sz w:val="24"/>
          <w:szCs w:val="24"/>
        </w:rPr>
        <w:t xml:space="preserve">the </w:t>
      </w:r>
      <w:r w:rsidR="007E4E3C" w:rsidRPr="00800743">
        <w:rPr>
          <w:sz w:val="24"/>
          <w:szCs w:val="24"/>
        </w:rPr>
        <w:t>clinical trials designed to test the</w:t>
      </w:r>
      <w:r w:rsidR="0030467C" w:rsidRPr="00800743">
        <w:rPr>
          <w:sz w:val="24"/>
          <w:szCs w:val="24"/>
        </w:rPr>
        <w:t xml:space="preserve"> drugs</w:t>
      </w:r>
      <w:r w:rsidR="007E4E3C" w:rsidRPr="00800743">
        <w:rPr>
          <w:sz w:val="24"/>
          <w:szCs w:val="24"/>
        </w:rPr>
        <w:t>.</w:t>
      </w:r>
    </w:p>
    <w:p w14:paraId="7FEA28B0" w14:textId="77777777" w:rsidR="00E4298E" w:rsidRPr="00800743" w:rsidRDefault="007E4E3C" w:rsidP="00C20157">
      <w:pPr>
        <w:spacing w:line="480" w:lineRule="auto"/>
        <w:jc w:val="both"/>
        <w:rPr>
          <w:sz w:val="24"/>
          <w:szCs w:val="24"/>
        </w:rPr>
      </w:pPr>
      <w:r w:rsidRPr="00800743">
        <w:rPr>
          <w:sz w:val="24"/>
          <w:szCs w:val="24"/>
        </w:rPr>
        <w:t xml:space="preserve"> </w:t>
      </w:r>
    </w:p>
    <w:p w14:paraId="5527D93A" w14:textId="5D676F0C" w:rsidR="00E4298E" w:rsidRPr="00800743" w:rsidRDefault="008422F6" w:rsidP="00C20157">
      <w:pPr>
        <w:spacing w:line="480" w:lineRule="auto"/>
        <w:jc w:val="both"/>
        <w:rPr>
          <w:sz w:val="24"/>
          <w:szCs w:val="24"/>
        </w:rPr>
      </w:pPr>
      <w:r>
        <w:rPr>
          <w:sz w:val="24"/>
          <w:szCs w:val="24"/>
        </w:rPr>
        <w:t xml:space="preserve">Both antibodies </w:t>
      </w:r>
      <w:r w:rsidR="007E4E3C" w:rsidRPr="00800743">
        <w:rPr>
          <w:sz w:val="24"/>
          <w:szCs w:val="24"/>
        </w:rPr>
        <w:t>are of the IgG4 subclass, their binding relies heavily on interactions with the flexible loops of PD-1 and their epitopes</w:t>
      </w:r>
      <w:r w:rsidR="00470AD0">
        <w:rPr>
          <w:sz w:val="24"/>
          <w:szCs w:val="24"/>
        </w:rPr>
        <w:t xml:space="preserve"> </w:t>
      </w:r>
      <w:r w:rsidR="00906DEE">
        <w:rPr>
          <w:sz w:val="24"/>
          <w:szCs w:val="24"/>
        </w:rPr>
        <w:t>include residues of</w:t>
      </w:r>
      <w:r w:rsidR="007E4E3C" w:rsidRPr="00800743">
        <w:rPr>
          <w:sz w:val="24"/>
          <w:szCs w:val="24"/>
        </w:rPr>
        <w:t xml:space="preserve"> the PD-L1 binding site. Although the</w:t>
      </w:r>
      <w:r w:rsidR="00175432" w:rsidRPr="00800743">
        <w:rPr>
          <w:sz w:val="24"/>
          <w:szCs w:val="24"/>
        </w:rPr>
        <w:t>se</w:t>
      </w:r>
      <w:r w:rsidR="007E4E3C" w:rsidRPr="00800743">
        <w:rPr>
          <w:sz w:val="24"/>
          <w:szCs w:val="24"/>
        </w:rPr>
        <w:t xml:space="preserve"> overlap</w:t>
      </w:r>
      <w:r w:rsidR="00175432" w:rsidRPr="00800743">
        <w:rPr>
          <w:sz w:val="24"/>
          <w:szCs w:val="24"/>
        </w:rPr>
        <w:t>s are</w:t>
      </w:r>
      <w:r w:rsidR="007E4E3C" w:rsidRPr="00800743">
        <w:rPr>
          <w:sz w:val="24"/>
          <w:szCs w:val="24"/>
        </w:rPr>
        <w:t xml:space="preserve"> </w:t>
      </w:r>
      <w:r w:rsidR="00396CFC">
        <w:rPr>
          <w:sz w:val="24"/>
          <w:szCs w:val="24"/>
        </w:rPr>
        <w:t>of different extent</w:t>
      </w:r>
      <w:r w:rsidR="007E4E3C" w:rsidRPr="00800743">
        <w:rPr>
          <w:sz w:val="24"/>
          <w:szCs w:val="24"/>
        </w:rPr>
        <w:t xml:space="preserve"> and in different spatial locations, both antibodies </w:t>
      </w:r>
      <w:r w:rsidR="00906DEE">
        <w:rPr>
          <w:sz w:val="24"/>
          <w:szCs w:val="24"/>
        </w:rPr>
        <w:t>block the interaction</w:t>
      </w:r>
      <w:r w:rsidR="00470AD0" w:rsidRPr="00800743">
        <w:rPr>
          <w:sz w:val="24"/>
          <w:szCs w:val="24"/>
        </w:rPr>
        <w:t xml:space="preserve"> </w:t>
      </w:r>
      <w:r w:rsidR="007E4E3C" w:rsidRPr="00800743">
        <w:rPr>
          <w:sz w:val="24"/>
          <w:szCs w:val="24"/>
        </w:rPr>
        <w:t>of PD-</w:t>
      </w:r>
      <w:r w:rsidR="00906DEE">
        <w:rPr>
          <w:sz w:val="24"/>
          <w:szCs w:val="24"/>
        </w:rPr>
        <w:t>1 with PD-</w:t>
      </w:r>
      <w:r w:rsidR="007E4E3C" w:rsidRPr="00800743">
        <w:rPr>
          <w:sz w:val="24"/>
          <w:szCs w:val="24"/>
        </w:rPr>
        <w:t>L1</w:t>
      </w:r>
      <w:r w:rsidR="00906DEE">
        <w:rPr>
          <w:sz w:val="24"/>
          <w:szCs w:val="24"/>
        </w:rPr>
        <w:t xml:space="preserve"> effectively.</w:t>
      </w:r>
    </w:p>
    <w:p w14:paraId="74C5787C" w14:textId="77777777" w:rsidR="00E4298E" w:rsidRPr="00800743" w:rsidRDefault="00E4298E" w:rsidP="00C20157">
      <w:pPr>
        <w:spacing w:line="480" w:lineRule="auto"/>
        <w:jc w:val="both"/>
        <w:rPr>
          <w:sz w:val="24"/>
          <w:szCs w:val="24"/>
        </w:rPr>
      </w:pPr>
    </w:p>
    <w:p w14:paraId="56AC14E5" w14:textId="3CC19FE6" w:rsidR="00E4298E" w:rsidRPr="00800743" w:rsidRDefault="00906DEE" w:rsidP="00C20157">
      <w:pPr>
        <w:spacing w:line="480" w:lineRule="auto"/>
        <w:jc w:val="both"/>
        <w:rPr>
          <w:sz w:val="24"/>
          <w:szCs w:val="24"/>
        </w:rPr>
      </w:pPr>
      <w:r w:rsidRPr="003C6F14">
        <w:rPr>
          <w:sz w:val="24"/>
          <w:szCs w:val="24"/>
        </w:rPr>
        <w:t>For both antibodies, T cell activation was shown.</w:t>
      </w:r>
      <w:r>
        <w:rPr>
          <w:sz w:val="24"/>
          <w:szCs w:val="24"/>
        </w:rPr>
        <w:t xml:space="preserve"> </w:t>
      </w:r>
      <w:r w:rsidR="008422F6">
        <w:rPr>
          <w:sz w:val="24"/>
          <w:szCs w:val="24"/>
        </w:rPr>
        <w:t>While t</w:t>
      </w:r>
      <w:r w:rsidR="007E4E3C" w:rsidRPr="00800743">
        <w:rPr>
          <w:sz w:val="24"/>
          <w:szCs w:val="24"/>
        </w:rPr>
        <w:t xml:space="preserve">he preclinical assessment protocols </w:t>
      </w:r>
      <w:r w:rsidR="009A116B" w:rsidRPr="00800743">
        <w:rPr>
          <w:sz w:val="24"/>
          <w:szCs w:val="24"/>
        </w:rPr>
        <w:t>for the two antibodies are not</w:t>
      </w:r>
      <w:r w:rsidR="00175432" w:rsidRPr="00800743">
        <w:rPr>
          <w:sz w:val="24"/>
          <w:szCs w:val="24"/>
        </w:rPr>
        <w:t xml:space="preserve"> directly comparable, inferences can be made due to similarities in the readouts. T</w:t>
      </w:r>
      <w:r w:rsidR="007E4E3C" w:rsidRPr="00800743">
        <w:rPr>
          <w:sz w:val="24"/>
          <w:szCs w:val="24"/>
        </w:rPr>
        <w:t xml:space="preserve">here are no indications of any significant differences from in vitro or animal experiments that would support a drug-dependent explanation for different indications. </w:t>
      </w:r>
      <w:r>
        <w:rPr>
          <w:sz w:val="24"/>
          <w:szCs w:val="24"/>
        </w:rPr>
        <w:t xml:space="preserve">The early clinical pharmacokinetic data are also very similar. </w:t>
      </w:r>
    </w:p>
    <w:p w14:paraId="22AA8C1B" w14:textId="77777777" w:rsidR="00E4298E" w:rsidRPr="00800743" w:rsidRDefault="007E4E3C" w:rsidP="00C20157">
      <w:pPr>
        <w:spacing w:line="480" w:lineRule="auto"/>
        <w:jc w:val="both"/>
        <w:rPr>
          <w:sz w:val="24"/>
          <w:szCs w:val="24"/>
        </w:rPr>
      </w:pPr>
      <w:r w:rsidRPr="00800743">
        <w:rPr>
          <w:sz w:val="24"/>
          <w:szCs w:val="24"/>
        </w:rPr>
        <w:t xml:space="preserve"> </w:t>
      </w:r>
    </w:p>
    <w:p w14:paraId="03CDA567" w14:textId="666EAD95" w:rsidR="00E4298E" w:rsidRDefault="003C6F14" w:rsidP="00C20157">
      <w:pPr>
        <w:spacing w:line="480" w:lineRule="auto"/>
        <w:jc w:val="both"/>
        <w:rPr>
          <w:sz w:val="24"/>
          <w:szCs w:val="24"/>
        </w:rPr>
      </w:pPr>
      <w:r w:rsidRPr="003C6F14">
        <w:rPr>
          <w:sz w:val="24"/>
          <w:szCs w:val="24"/>
        </w:rPr>
        <w:t>Although such comparisons have limitations, given the</w:t>
      </w:r>
      <w:r w:rsidR="00106CA2">
        <w:rPr>
          <w:sz w:val="24"/>
          <w:szCs w:val="24"/>
        </w:rPr>
        <w:t>se</w:t>
      </w:r>
      <w:r w:rsidRPr="003C6F14">
        <w:rPr>
          <w:sz w:val="24"/>
          <w:szCs w:val="24"/>
        </w:rPr>
        <w:t xml:space="preserve"> </w:t>
      </w:r>
      <w:r w:rsidR="00470AD0" w:rsidRPr="003C6F14">
        <w:rPr>
          <w:sz w:val="24"/>
          <w:szCs w:val="24"/>
        </w:rPr>
        <w:t xml:space="preserve">molecular </w:t>
      </w:r>
      <w:r w:rsidR="007E4E3C" w:rsidRPr="003C6F14">
        <w:rPr>
          <w:sz w:val="24"/>
          <w:szCs w:val="24"/>
        </w:rPr>
        <w:t>and p</w:t>
      </w:r>
      <w:r w:rsidR="00906DEE" w:rsidRPr="003C6F14">
        <w:rPr>
          <w:sz w:val="24"/>
          <w:szCs w:val="24"/>
        </w:rPr>
        <w:t>reclinical assessments of nivolumab and pembrolizumab</w:t>
      </w:r>
      <w:r w:rsidR="007E4E3C" w:rsidRPr="003C6F14">
        <w:rPr>
          <w:sz w:val="24"/>
          <w:szCs w:val="24"/>
        </w:rPr>
        <w:t xml:space="preserve">, </w:t>
      </w:r>
      <w:r w:rsidR="009A116B" w:rsidRPr="003C6F14">
        <w:rPr>
          <w:sz w:val="24"/>
          <w:szCs w:val="24"/>
        </w:rPr>
        <w:t xml:space="preserve">it appears reasonable to </w:t>
      </w:r>
      <w:r w:rsidR="008422F6" w:rsidRPr="003C6F14">
        <w:rPr>
          <w:sz w:val="24"/>
          <w:szCs w:val="24"/>
        </w:rPr>
        <w:t>postulate</w:t>
      </w:r>
      <w:r w:rsidR="007E4E3C" w:rsidRPr="003C6F14">
        <w:rPr>
          <w:sz w:val="24"/>
          <w:szCs w:val="24"/>
        </w:rPr>
        <w:t xml:space="preserve"> drug-dependent interchangeability.</w:t>
      </w:r>
      <w:r w:rsidR="007E4E3C" w:rsidRPr="00800743">
        <w:rPr>
          <w:sz w:val="24"/>
          <w:szCs w:val="24"/>
        </w:rPr>
        <w:t xml:space="preserve"> </w:t>
      </w:r>
      <w:r>
        <w:rPr>
          <w:sz w:val="24"/>
          <w:szCs w:val="24"/>
        </w:rPr>
        <w:t>However, o</w:t>
      </w:r>
      <w:r w:rsidR="007E4E3C" w:rsidRPr="00800743">
        <w:rPr>
          <w:sz w:val="24"/>
          <w:szCs w:val="24"/>
        </w:rPr>
        <w:t xml:space="preserve">ur current knowledge of drug design and cancer immunology holds a cautionary tale against such predictions based purely on </w:t>
      </w:r>
      <w:r w:rsidR="007E4E3C" w:rsidRPr="00800743">
        <w:rPr>
          <w:sz w:val="24"/>
          <w:szCs w:val="24"/>
        </w:rPr>
        <w:lastRenderedPageBreak/>
        <w:t>preclinical data</w:t>
      </w:r>
      <w:r w:rsidR="009A116B" w:rsidRPr="00800743">
        <w:rPr>
          <w:sz w:val="24"/>
          <w:szCs w:val="24"/>
        </w:rPr>
        <w:t xml:space="preserve"> and on potentially incomplete mechanistic understanding</w:t>
      </w:r>
      <w:r w:rsidR="00470AD0">
        <w:rPr>
          <w:sz w:val="24"/>
          <w:szCs w:val="24"/>
        </w:rPr>
        <w:t>. F</w:t>
      </w:r>
      <w:r w:rsidR="007E4E3C" w:rsidRPr="00800743">
        <w:rPr>
          <w:sz w:val="24"/>
          <w:szCs w:val="24"/>
        </w:rPr>
        <w:t>or example, different CD28 agonist antibodies with similar preclinical data showed extreme difference in clinical profile.</w:t>
      </w:r>
      <w:r w:rsidR="007E4E3C" w:rsidRPr="00800743">
        <w:rPr>
          <w:sz w:val="24"/>
          <w:szCs w:val="24"/>
          <w:vertAlign w:val="superscript"/>
        </w:rPr>
        <w:fldChar w:fldCharType="begin" w:fldLock="1"/>
      </w:r>
      <w:r w:rsidR="00B34B05">
        <w:rPr>
          <w:sz w:val="24"/>
          <w:szCs w:val="24"/>
          <w:vertAlign w:val="superscript"/>
        </w:rPr>
        <w:instrText>ADDIN CSL_CITATION { "citationItems" : [ { "id" : "ITEM-1", "itemData" : { "DOI" : "10.1038/nri3192", "ISSN" : "1474-1733", "author" : [ { "dropping-particle" : "", "family" : "H\u00fcnig", "given" : "Thomas", "non-dropping-particle" : "", "parse-names" : false, "suffix" : "" } ], "container-title" : "Nature Reviews Immunology", "id" : "ITEM-1", "issue" : "5", "issued" : { "date-parts" : [ [ "2012", "4", "10" ] ] }, "page" : "317", "publisher" : "Nature Publishing Group", "title" : "The storm has cleared: lessons from the CD28 superagonist TGN1412 trial", "type" : "article-journal", "volume" : "12" }, "uris" : [ "http://www.mendeley.com/documents/?uuid=e4aa7e0e-a4b9-49af-aada-f213c6733534" ] } ], "mendeley" : { "formattedCitation" : "(32)", "manualFormatting" : "[32]", "plainTextFormattedCitation" : "(32)", "previouslyFormattedCitation" : "(32)" }, "properties" : { "noteIndex" : 0 }, "schema" : "https://github.com/citation-style-language/schema/raw/master/csl-citation.json" }</w:instrText>
      </w:r>
      <w:r w:rsidR="007E4E3C" w:rsidRPr="00800743">
        <w:rPr>
          <w:sz w:val="24"/>
          <w:szCs w:val="24"/>
          <w:vertAlign w:val="superscript"/>
        </w:rPr>
        <w:fldChar w:fldCharType="separate"/>
      </w:r>
      <w:r w:rsidR="00B34B05">
        <w:rPr>
          <w:noProof/>
          <w:sz w:val="24"/>
          <w:szCs w:val="24"/>
        </w:rPr>
        <w:t>[</w:t>
      </w:r>
      <w:r w:rsidR="00B62618" w:rsidRPr="00B62618">
        <w:rPr>
          <w:noProof/>
          <w:sz w:val="24"/>
          <w:szCs w:val="24"/>
        </w:rPr>
        <w:t>32</w:t>
      </w:r>
      <w:r w:rsidR="00B34B05">
        <w:rPr>
          <w:noProof/>
          <w:sz w:val="24"/>
          <w:szCs w:val="24"/>
        </w:rPr>
        <w:t>]</w:t>
      </w:r>
      <w:r w:rsidR="007E4E3C" w:rsidRPr="00800743">
        <w:rPr>
          <w:sz w:val="24"/>
          <w:szCs w:val="24"/>
          <w:vertAlign w:val="superscript"/>
        </w:rPr>
        <w:fldChar w:fldCharType="end"/>
      </w:r>
      <w:r w:rsidR="007E4E3C" w:rsidRPr="00800743">
        <w:rPr>
          <w:sz w:val="24"/>
          <w:szCs w:val="24"/>
        </w:rPr>
        <w:t xml:space="preserve"> Nevertheless, the pharmac</w:t>
      </w:r>
      <w:r w:rsidR="00B34B05">
        <w:rPr>
          <w:sz w:val="24"/>
          <w:szCs w:val="24"/>
        </w:rPr>
        <w:t>ological</w:t>
      </w:r>
      <w:r w:rsidR="007E4E3C" w:rsidRPr="00800743">
        <w:rPr>
          <w:sz w:val="24"/>
          <w:szCs w:val="24"/>
        </w:rPr>
        <w:t xml:space="preserve"> mechanism of antibody-mediated receptor agonism is arguably more complex than the blockade mechanism through which antibody-based receptor antagonism is thought to work.</w:t>
      </w:r>
      <w:r w:rsidR="004B47C4">
        <w:rPr>
          <w:sz w:val="24"/>
          <w:szCs w:val="24"/>
        </w:rPr>
        <w:t xml:space="preserve"> We acknowledge as well that preclinical comparisons of medications, including therapeutic antibodies, will not provide substitute for clinical assessment of toxicities, which </w:t>
      </w:r>
      <w:r>
        <w:rPr>
          <w:sz w:val="24"/>
          <w:szCs w:val="24"/>
        </w:rPr>
        <w:t>are</w:t>
      </w:r>
      <w:r w:rsidR="004B47C4">
        <w:rPr>
          <w:sz w:val="24"/>
          <w:szCs w:val="24"/>
        </w:rPr>
        <w:t xml:space="preserve"> extremely important in guiding decision making for patient management.</w:t>
      </w:r>
      <w:r w:rsidR="00541FFF">
        <w:rPr>
          <w:sz w:val="24"/>
          <w:szCs w:val="24"/>
        </w:rPr>
        <w:t xml:space="preserve"> The toxicity due to checkpoint blockade is, however, mostly attributable to auto-immunity</w:t>
      </w:r>
      <w:r w:rsidR="001421DE">
        <w:rPr>
          <w:sz w:val="24"/>
          <w:szCs w:val="24"/>
        </w:rPr>
        <w:t>.</w:t>
      </w:r>
      <w:r w:rsidR="001421DE">
        <w:rPr>
          <w:sz w:val="24"/>
          <w:szCs w:val="24"/>
        </w:rPr>
        <w:fldChar w:fldCharType="begin" w:fldLock="1"/>
      </w:r>
      <w:r w:rsidR="001421DE">
        <w:rPr>
          <w:sz w:val="24"/>
          <w:szCs w:val="24"/>
        </w:rPr>
        <w:instrText>ADDIN CSL_CITATION { "citationItems" : [ { "id" : "ITEM-1", "itemData" : { "DOI" : "10.1016/j.ejca.2015.11.016", "abstract" : "Cancer immunotherapy is coming of age; it has prompted a paradigm shift in oncology, in which therapeutic agents are used to target immune cells rather than cancer cells. The first generation of new immunotherapies corresponds to antagonistic antibodies that block specific immune checkpoint molecules cytotoxic T-lymphocyte-associated antigen 4 (CTLA-4), programmed cell death protein (PD-1) and its ligand PD-L1. Targeting these checkpoints in patients living with cancer had led to long-lasting tumour responses. By unba-lancing the immune system, these new immunotherapies also generate dysimmune toxicities, called immune-related adverse events (IRAEs) that mainly involve the gut, skin, endocrine glands, liver, and lung but can potentially affect any tissue. In view of their undisputed clinical efficacy, anti-CTLA-4 and anti-PD-1 antibodies are entering in the routine oncological practice, and the number of patients exposed to these drugs will increase dramatically in the near future. Although steroids can be used to treat these IRAEs, the associated immunosup-pression may compromise the antitumour response. Oncologists must be ready to detect and manage these new types of adverse events. This review focuses on the mechanisms of IRAE generation, putative relationship between dysimmune toxicity and antitumour efficacy, as a basis for management guidelines.", "author" : [ { "dropping-particle" : "", "family" : "Michot", "given" : "J M", "non-dropping-particle" : "", "parse-names" : false, "suffix" : "" }, { "dropping-particle" : "", "family" : "Bigenwald", "given" : "C", "non-dropping-particle" : "", "parse-names" : false, "suffix" : "" }, { "dropping-particle" : "", "family" : "Champiat", "given" : "S", "non-dropping-particle" : "", "parse-names" : false, "suffix" : "" }, { "dropping-particle" : "", "family" : "Collins", "given" : "M", "non-dropping-particle" : "", "parse-names" : false, "suffix" : "" }, { "dropping-particle" : "", "family" : "Carbonnel", "given" : "F", "non-dropping-particle" : "", "parse-names" : false, "suffix" : "" }, { "dropping-particle" : "", "family" : "Postel-Vinay", "given" : "S", "non-dropping-particle" : "", "parse-names" : false, "suffix" : "" }, { "dropping-particle" : "", "family" : "Berdelou", "given" : "A", "non-dropping-particle" : "", "parse-names" : false, "suffix" : "" }, { "dropping-particle" : "", "family" : "Varga", "given" : "A", "non-dropping-particle" : "", "parse-names" : false, "suffix" : "" }, { "dropping-particle" : "", "family" : "Bahleda", "given" : "R", "non-dropping-particle" : "", "parse-names" : false, "suffix" : "" }, { "dropping-particle" : "", "family" : "Hollebecque", "given" : "A", "non-dropping-particle" : "", "parse-names" : false, "suffix" : "" }, { "dropping-particle" : "", "family" : "Massard", "given" : "C", "non-dropping-particle" : "", "parse-names" : false, "suffix" : "" }, { "dropping-particle" : "", "family" : "Fuerea", "given" : "A", "non-dropping-particle" : "", "parse-names" : false, "suffix" : "" }, { "dropping-particle" : "", "family" : "Ribrag", "given" : "V", "non-dropping-particle" : "", "parse-names" : false, "suffix" : "" }, { "dropping-particle" : "", "family" : "Gazzah", "given" : "A", "non-dropping-particle" : "", "parse-names" : false, "suffix" : "" }, { "dropping-particle" : "", "family" : "Armand", "given" : "J P", "non-dropping-particle" : "", "parse-names" : false, "suffix" : "" }, { "dropping-particle" : "", "family" : "Amellal", "given" : "N", "non-dropping-particle" : "", "parse-names" : false, "suffix" : "" }, { "dropping-particle" : "", "family" : "Angevin", "given" : "E", "non-dropping-particle" : "", "parse-names" : false, "suffix" : "" }, { "dropping-particle" : "", "family" : "Noel", "given" : "N", "non-dropping-particle" : "", "parse-names" : false, "suffix" : "" }, { "dropping-particle" : "", "family" : "Boutros", "given" : "C", "non-dropping-particle" : "", "parse-names" : false, "suffix" : "" }, { "dropping-particle" : "", "family" : "Mateus", "given" : "C", "non-dropping-particle" : "", "parse-names" : false, "suffix" : "" }, { "dropping-particle" : "", "family" : "Robert", "given" : "C", "non-dropping-particle" : "", "parse-names" : false, "suffix" : "" }, { "dropping-particle" : "", "family" : "Soria", "given" : "J C", "non-dropping-particle" : "", "parse-names" : false, "suffix" : "" }, { "dropping-particle" : "", "family" : "Marabelle", "given" : "A", "non-dropping-particle" : "", "parse-names" : false, "suffix" : "" }, { "dropping-particle" : "", "family" : "Lambotte", "given" : "O", "non-dropping-particle" : "", "parse-names" : false, "suffix" : "" } ], "container-title" : "European Journal of Cancer", "id" : "ITEM-1", "issued" : { "date-parts" : [ [ "2016" ] ] }, "page" : "139-148", "title" : "Immune-related adverse events with immune checkpoint blockade: a comprehensive review ScienceDirect", "type" : "article-journal", "volume" : "54" }, "uris" : [ "http://www.mendeley.com/documents/?uuid=1ad53691-a6d3-31b2-ad30-5aae3570c3dd" ] } ], "mendeley" : { "formattedCitation" : "(33)", "manualFormatting" : "[33]", "plainTextFormattedCitation" : "(33)", "previouslyFormattedCitation" : "(33)" }, "properties" : { "noteIndex" : 0 }, "schema" : "https://github.com/citation-style-language/schema/raw/master/csl-citation.json" }</w:instrText>
      </w:r>
      <w:r w:rsidR="001421DE">
        <w:rPr>
          <w:sz w:val="24"/>
          <w:szCs w:val="24"/>
        </w:rPr>
        <w:fldChar w:fldCharType="separate"/>
      </w:r>
      <w:r w:rsidR="001421DE">
        <w:rPr>
          <w:noProof/>
          <w:sz w:val="24"/>
          <w:szCs w:val="24"/>
        </w:rPr>
        <w:t>[</w:t>
      </w:r>
      <w:r w:rsidR="001421DE" w:rsidRPr="001421DE">
        <w:rPr>
          <w:noProof/>
          <w:sz w:val="24"/>
          <w:szCs w:val="24"/>
        </w:rPr>
        <w:t>33</w:t>
      </w:r>
      <w:r w:rsidR="001421DE">
        <w:rPr>
          <w:noProof/>
          <w:sz w:val="24"/>
          <w:szCs w:val="24"/>
        </w:rPr>
        <w:t>]</w:t>
      </w:r>
      <w:r w:rsidR="001421DE">
        <w:rPr>
          <w:sz w:val="24"/>
          <w:szCs w:val="24"/>
        </w:rPr>
        <w:fldChar w:fldCharType="end"/>
      </w:r>
      <w:r w:rsidR="001421DE">
        <w:rPr>
          <w:sz w:val="24"/>
          <w:szCs w:val="24"/>
        </w:rPr>
        <w:t xml:space="preserve"> </w:t>
      </w:r>
      <w:r>
        <w:rPr>
          <w:sz w:val="24"/>
          <w:szCs w:val="24"/>
        </w:rPr>
        <w:t xml:space="preserve">Since these complications are detected in studies </w:t>
      </w:r>
      <w:r w:rsidR="001421DE">
        <w:rPr>
          <w:sz w:val="24"/>
          <w:szCs w:val="24"/>
        </w:rPr>
        <w:t>on PD-1-</w:t>
      </w:r>
      <w:r>
        <w:rPr>
          <w:sz w:val="24"/>
          <w:szCs w:val="24"/>
        </w:rPr>
        <w:t>knockout</w:t>
      </w:r>
      <w:r w:rsidR="001421DE">
        <w:rPr>
          <w:sz w:val="24"/>
          <w:szCs w:val="24"/>
        </w:rPr>
        <w:t xml:space="preserve"> mice</w:t>
      </w:r>
      <w:r>
        <w:rPr>
          <w:sz w:val="24"/>
          <w:szCs w:val="24"/>
        </w:rPr>
        <w:t>, they are likely to be</w:t>
      </w:r>
      <w:r w:rsidR="00541FFF">
        <w:rPr>
          <w:sz w:val="24"/>
          <w:szCs w:val="24"/>
        </w:rPr>
        <w:t xml:space="preserve"> attributable to on-target effects of the antibodies</w:t>
      </w:r>
      <w:r w:rsidR="001421DE">
        <w:rPr>
          <w:sz w:val="24"/>
          <w:szCs w:val="24"/>
        </w:rPr>
        <w:t>.</w:t>
      </w:r>
      <w:r w:rsidR="001421DE">
        <w:rPr>
          <w:sz w:val="24"/>
          <w:szCs w:val="24"/>
        </w:rPr>
        <w:fldChar w:fldCharType="begin" w:fldLock="1"/>
      </w:r>
      <w:r w:rsidR="001421DE">
        <w:rPr>
          <w:sz w:val="24"/>
          <w:szCs w:val="24"/>
        </w:rPr>
        <w:instrText>ADDIN CSL_CITATION { "citationItems" : [ { "id" : "ITEM-1", "itemData" : { "DOI" : "10.1084/jem.20100466", "ISSN" : "1540-9538", "PMID" : "21300912", "abstract" : "Stimulatory and inhibitory co-receptors play fundamental roles in the regulation of the immune system. We describe a new mouse model of spontaneous autoimmune disease. Activation-induced cytidine deaminase-linked autoimmunity (aida) mice harbor a loss-of-function mutation in the gene encoding lymphocyte activation gene 3 (LAG-3), an inhibitory co-receptor. Although LAG-3 deficiency alone did not induce autoimmunity in nonautoimmune-prone mouse strains, it induced lethal myocarditis in BALB/c mice deficient for the gene encoding the inhibitory co-receptor programmed cell death 1 (PD-1). In addition, LAG-3 deficiency alone accelerated type 1 diabetes mellitus in nonobese diabetic mice. These results demonstrate that LAG-3 acts synergistically with PD-1 and/or other immunoregulatory genes to prevent autoimmunity in mice.", "author" : [ { "dropping-particle" : "", "family" : "Okazaki", "given" : "Taku", "non-dropping-particle" : "", "parse-names" : false, "suffix" : "" }, { "dropping-particle" : "", "family" : "Okazaki", "given" : "Il-mi", "non-dropping-particle" : "", "parse-names" : false, "suffix" : "" }, { "dropping-particle" : "", "family" : "Wang", "given" : "Jian", "non-dropping-particle" : "", "parse-names" : false, "suffix" : "" }, { "dropping-particle" : "", "family" : "Sugiura", "given" : "Daisuke", "non-dropping-particle" : "", "parse-names" : false, "suffix" : "" }, { "dropping-particle" : "", "family" : "Nakaki", "given" : "Fumio", "non-dropping-particle" : "", "parse-names" : false, "suffix" : "" }, { "dropping-particle" : "", "family" : "Yoshida", "given" : "Taku", "non-dropping-particle" : "", "parse-names" : false, "suffix" : "" }, { "dropping-particle" : "", "family" : "Kato", "given" : "Yu", "non-dropping-particle" : "", "parse-names" : false, "suffix" : "" }, { "dropping-particle" : "", "family" : "Fagarasan", "given" : "Sidonia", "non-dropping-particle" : "", "parse-names" : false, "suffix" : "" }, { "dropping-particle" : "", "family" : "Muramatsu", "given" : "Masamichi", "non-dropping-particle" : "", "parse-names" : false, "suffix" : "" }, { "dropping-particle" : "", "family" : "Eto", "given" : "Tomoo", "non-dropping-particle" : "", "parse-names" : false, "suffix" : "" }, { "dropping-particle" : "", "family" : "Hioki", "given" : "Kyoji", "non-dropping-particle" : "", "parse-names" : false, "suffix" : "" }, { "dropping-particle" : "", "family" : "Honjo", "given" : "Tasuku", "non-dropping-particle" : "", "parse-names" : false, "suffix" : "" } ], "container-title" : "The Journal of experimental medicine", "id" : "ITEM-1", "issue" : "2", "issued" : { "date-parts" : [ [ "2011", "2", "14" ] ] }, "page" : "395-407", "publisher" : "The Rockefeller University Press", "title" : "PD-1 and LAG-3 inhibitory co-receptors act synergistically to prevent autoimmunity in mice.", "type" : "article-journal", "volume" : "208" }, "uris" : [ "http://www.mendeley.com/documents/?uuid=7a0b90c6-cd97-3e96-9730-781378fb71b4" ] } ], "mendeley" : { "formattedCitation" : "(34)", "manualFormatting" : "[34]", "plainTextFormattedCitation" : "(34)", "previouslyFormattedCitation" : "(34)" }, "properties" : { "noteIndex" : 0 }, "schema" : "https://github.com/citation-style-language/schema/raw/master/csl-citation.json" }</w:instrText>
      </w:r>
      <w:r w:rsidR="001421DE">
        <w:rPr>
          <w:sz w:val="24"/>
          <w:szCs w:val="24"/>
        </w:rPr>
        <w:fldChar w:fldCharType="separate"/>
      </w:r>
      <w:r w:rsidR="001421DE">
        <w:rPr>
          <w:noProof/>
          <w:sz w:val="24"/>
          <w:szCs w:val="24"/>
        </w:rPr>
        <w:t>[</w:t>
      </w:r>
      <w:r w:rsidR="001421DE" w:rsidRPr="001421DE">
        <w:rPr>
          <w:noProof/>
          <w:sz w:val="24"/>
          <w:szCs w:val="24"/>
        </w:rPr>
        <w:t>34</w:t>
      </w:r>
      <w:r w:rsidR="001421DE">
        <w:rPr>
          <w:noProof/>
          <w:sz w:val="24"/>
          <w:szCs w:val="24"/>
        </w:rPr>
        <w:t>]</w:t>
      </w:r>
      <w:r w:rsidR="001421DE">
        <w:rPr>
          <w:sz w:val="24"/>
          <w:szCs w:val="24"/>
        </w:rPr>
        <w:fldChar w:fldCharType="end"/>
      </w:r>
      <w:r w:rsidR="004B47C4">
        <w:rPr>
          <w:sz w:val="24"/>
          <w:szCs w:val="24"/>
        </w:rPr>
        <w:t xml:space="preserve"> </w:t>
      </w:r>
      <w:r w:rsidRPr="003C6F14">
        <w:rPr>
          <w:sz w:val="24"/>
          <w:szCs w:val="24"/>
        </w:rPr>
        <w:t>A further limitation of our manuscript is the focus on the PD-1/PD-L1 interaction. Other known or unknown ligands of PD-1 may be differently affected by the reported drugs.</w:t>
      </w:r>
      <w:r>
        <w:rPr>
          <w:sz w:val="24"/>
          <w:szCs w:val="24"/>
        </w:rPr>
        <w:t xml:space="preserve"> La</w:t>
      </w:r>
      <w:r w:rsidR="004B47C4">
        <w:rPr>
          <w:sz w:val="24"/>
          <w:szCs w:val="24"/>
        </w:rPr>
        <w:t>stly, we recognise that comparing two medications will not provide a general answer</w:t>
      </w:r>
      <w:r w:rsidR="00541FFF">
        <w:rPr>
          <w:sz w:val="24"/>
          <w:szCs w:val="24"/>
        </w:rPr>
        <w:t xml:space="preserve"> for a class of drugs</w:t>
      </w:r>
      <w:r w:rsidR="004B47C4">
        <w:rPr>
          <w:sz w:val="24"/>
          <w:szCs w:val="24"/>
        </w:rPr>
        <w:t xml:space="preserve"> and cannot substitute for in depth analysis </w:t>
      </w:r>
      <w:r w:rsidR="00541FFF">
        <w:rPr>
          <w:sz w:val="24"/>
          <w:szCs w:val="24"/>
        </w:rPr>
        <w:t>of</w:t>
      </w:r>
      <w:r w:rsidR="004B47C4">
        <w:rPr>
          <w:sz w:val="24"/>
          <w:szCs w:val="24"/>
        </w:rPr>
        <w:t xml:space="preserve"> </w:t>
      </w:r>
      <w:r w:rsidR="00541FFF">
        <w:rPr>
          <w:sz w:val="24"/>
          <w:szCs w:val="24"/>
        </w:rPr>
        <w:t xml:space="preserve">every </w:t>
      </w:r>
      <w:r w:rsidR="004B47C4">
        <w:rPr>
          <w:sz w:val="24"/>
          <w:szCs w:val="24"/>
        </w:rPr>
        <w:t xml:space="preserve">new agent. In view of these </w:t>
      </w:r>
      <w:r w:rsidR="00190AB0">
        <w:rPr>
          <w:sz w:val="24"/>
          <w:szCs w:val="24"/>
        </w:rPr>
        <w:t>considerations</w:t>
      </w:r>
      <w:r w:rsidR="004B47C4">
        <w:rPr>
          <w:sz w:val="24"/>
          <w:szCs w:val="24"/>
        </w:rPr>
        <w:t xml:space="preserve">, we </w:t>
      </w:r>
      <w:r w:rsidR="00166D6F">
        <w:rPr>
          <w:sz w:val="24"/>
          <w:szCs w:val="24"/>
        </w:rPr>
        <w:t xml:space="preserve">also </w:t>
      </w:r>
      <w:r w:rsidR="004B47C4">
        <w:rPr>
          <w:sz w:val="24"/>
          <w:szCs w:val="24"/>
        </w:rPr>
        <w:t xml:space="preserve">explicitly do not comment on the </w:t>
      </w:r>
      <w:r w:rsidR="004B47C4" w:rsidRPr="00800743">
        <w:rPr>
          <w:sz w:val="24"/>
          <w:szCs w:val="24"/>
        </w:rPr>
        <w:t>interchangeability</w:t>
      </w:r>
      <w:r w:rsidR="004B47C4">
        <w:rPr>
          <w:sz w:val="24"/>
          <w:szCs w:val="24"/>
        </w:rPr>
        <w:t xml:space="preserve"> of </w:t>
      </w:r>
      <w:r w:rsidR="00541FFF">
        <w:rPr>
          <w:sz w:val="24"/>
          <w:szCs w:val="24"/>
        </w:rPr>
        <w:t>anti-PD1 and anti-PD-L1 therapy.</w:t>
      </w:r>
    </w:p>
    <w:p w14:paraId="56CE1BA4" w14:textId="77777777" w:rsidR="001421DE" w:rsidRPr="00800743" w:rsidRDefault="001421DE" w:rsidP="00C20157">
      <w:pPr>
        <w:spacing w:line="480" w:lineRule="auto"/>
        <w:jc w:val="both"/>
        <w:rPr>
          <w:sz w:val="24"/>
          <w:szCs w:val="24"/>
        </w:rPr>
      </w:pPr>
    </w:p>
    <w:p w14:paraId="0D81356F" w14:textId="1E68F35C" w:rsidR="00E4298E" w:rsidRDefault="007E4E3C" w:rsidP="00C20157">
      <w:pPr>
        <w:spacing w:line="480" w:lineRule="auto"/>
        <w:jc w:val="both"/>
        <w:rPr>
          <w:sz w:val="24"/>
          <w:szCs w:val="24"/>
        </w:rPr>
      </w:pPr>
      <w:r w:rsidRPr="00800743">
        <w:rPr>
          <w:sz w:val="24"/>
          <w:szCs w:val="24"/>
        </w:rPr>
        <w:t xml:space="preserve">Our attempt </w:t>
      </w:r>
      <w:r w:rsidR="00470AD0">
        <w:rPr>
          <w:sz w:val="24"/>
          <w:szCs w:val="24"/>
        </w:rPr>
        <w:t>to compare</w:t>
      </w:r>
      <w:r w:rsidRPr="00800743">
        <w:rPr>
          <w:sz w:val="24"/>
          <w:szCs w:val="24"/>
        </w:rPr>
        <w:t xml:space="preserve"> the preclinical evidence </w:t>
      </w:r>
      <w:r w:rsidR="00470AD0">
        <w:rPr>
          <w:sz w:val="24"/>
          <w:szCs w:val="24"/>
        </w:rPr>
        <w:t>supporting</w:t>
      </w:r>
      <w:r w:rsidR="00470AD0" w:rsidRPr="00800743">
        <w:rPr>
          <w:sz w:val="24"/>
          <w:szCs w:val="24"/>
        </w:rPr>
        <w:t xml:space="preserve"> </w:t>
      </w:r>
      <w:r w:rsidRPr="00800743">
        <w:rPr>
          <w:sz w:val="24"/>
          <w:szCs w:val="24"/>
        </w:rPr>
        <w:t xml:space="preserve">the clinical use of </w:t>
      </w:r>
      <w:r w:rsidR="00392C96">
        <w:rPr>
          <w:sz w:val="24"/>
          <w:szCs w:val="24"/>
        </w:rPr>
        <w:t>nivolumab</w:t>
      </w:r>
      <w:r w:rsidRPr="00800743">
        <w:rPr>
          <w:sz w:val="24"/>
          <w:szCs w:val="24"/>
        </w:rPr>
        <w:t xml:space="preserve"> and </w:t>
      </w:r>
      <w:r w:rsidR="00392C96">
        <w:rPr>
          <w:sz w:val="24"/>
          <w:szCs w:val="24"/>
        </w:rPr>
        <w:t>pembrolizumab</w:t>
      </w:r>
      <w:r w:rsidRPr="00800743">
        <w:rPr>
          <w:sz w:val="24"/>
          <w:szCs w:val="24"/>
        </w:rPr>
        <w:t xml:space="preserve"> highlights a </w:t>
      </w:r>
      <w:r w:rsidR="00470AD0">
        <w:rPr>
          <w:sz w:val="24"/>
          <w:szCs w:val="24"/>
        </w:rPr>
        <w:t>degree of</w:t>
      </w:r>
      <w:r w:rsidR="00470AD0" w:rsidRPr="00800743">
        <w:rPr>
          <w:sz w:val="24"/>
          <w:szCs w:val="24"/>
        </w:rPr>
        <w:t xml:space="preserve"> </w:t>
      </w:r>
      <w:r w:rsidRPr="00800743">
        <w:rPr>
          <w:sz w:val="24"/>
          <w:szCs w:val="24"/>
        </w:rPr>
        <w:t xml:space="preserve">non-concordance of the </w:t>
      </w:r>
      <w:r w:rsidR="00106CA2">
        <w:rPr>
          <w:sz w:val="24"/>
          <w:szCs w:val="24"/>
        </w:rPr>
        <w:t xml:space="preserve">reported </w:t>
      </w:r>
      <w:r w:rsidRPr="00800743">
        <w:rPr>
          <w:sz w:val="24"/>
          <w:szCs w:val="24"/>
        </w:rPr>
        <w:t xml:space="preserve">data </w:t>
      </w:r>
      <w:r w:rsidR="003C6F14">
        <w:rPr>
          <w:sz w:val="24"/>
          <w:szCs w:val="24"/>
        </w:rPr>
        <w:t>and thereby the data available to scientists and licensing agencies</w:t>
      </w:r>
      <w:r w:rsidRPr="00800743">
        <w:rPr>
          <w:sz w:val="24"/>
          <w:szCs w:val="24"/>
        </w:rPr>
        <w:t xml:space="preserve">. Although the key aspects of pharmacodynamics and pharmacokinetics are addressed, </w:t>
      </w:r>
      <w:r w:rsidR="003C6F14">
        <w:rPr>
          <w:sz w:val="24"/>
          <w:szCs w:val="24"/>
        </w:rPr>
        <w:t xml:space="preserve">we wonder </w:t>
      </w:r>
      <w:r w:rsidR="00106CA2">
        <w:rPr>
          <w:sz w:val="24"/>
          <w:szCs w:val="24"/>
        </w:rPr>
        <w:t xml:space="preserve">whether </w:t>
      </w:r>
      <w:r w:rsidR="003C6F14">
        <w:rPr>
          <w:sz w:val="24"/>
          <w:szCs w:val="24"/>
        </w:rPr>
        <w:t xml:space="preserve">the field should strive towards greater concordance when reporting the </w:t>
      </w:r>
      <w:r w:rsidR="003C6F14">
        <w:rPr>
          <w:sz w:val="24"/>
          <w:szCs w:val="24"/>
        </w:rPr>
        <w:lastRenderedPageBreak/>
        <w:t>assessment of drugs from similar classes to facilitate academic dialogue. In other areas of medicine, such as cardiovascular medicine, interchangeability of drugs within the same class has been reflected in clinical guidelines. This question should remain a focus as we develop immunotherapy in cancer.</w:t>
      </w:r>
      <w:r w:rsidRPr="00800743">
        <w:rPr>
          <w:sz w:val="24"/>
          <w:szCs w:val="24"/>
        </w:rPr>
        <w:t xml:space="preserve"> </w:t>
      </w:r>
    </w:p>
    <w:p w14:paraId="05954E31" w14:textId="5145A84D" w:rsidR="00B34B05" w:rsidRDefault="008422F6" w:rsidP="00D76C0E">
      <w:pPr>
        <w:spacing w:line="480" w:lineRule="auto"/>
        <w:jc w:val="both"/>
        <w:rPr>
          <w:sz w:val="24"/>
          <w:szCs w:val="24"/>
        </w:rPr>
      </w:pPr>
      <w:r>
        <w:rPr>
          <w:sz w:val="24"/>
          <w:szCs w:val="24"/>
        </w:rPr>
        <w:t xml:space="preserve">In summary, the available </w:t>
      </w:r>
      <w:r w:rsidR="00470AD0">
        <w:rPr>
          <w:sz w:val="24"/>
          <w:szCs w:val="24"/>
        </w:rPr>
        <w:t>molecular</w:t>
      </w:r>
      <w:r w:rsidR="003C6F14">
        <w:rPr>
          <w:sz w:val="24"/>
          <w:szCs w:val="24"/>
        </w:rPr>
        <w:t xml:space="preserve">, </w:t>
      </w:r>
      <w:r>
        <w:rPr>
          <w:sz w:val="24"/>
          <w:szCs w:val="24"/>
        </w:rPr>
        <w:t xml:space="preserve">pre-clinical </w:t>
      </w:r>
      <w:r w:rsidR="003C6F14">
        <w:rPr>
          <w:sz w:val="24"/>
          <w:szCs w:val="24"/>
        </w:rPr>
        <w:t xml:space="preserve">and early clinical </w:t>
      </w:r>
      <w:r>
        <w:rPr>
          <w:sz w:val="24"/>
          <w:szCs w:val="24"/>
        </w:rPr>
        <w:t xml:space="preserve">data on </w:t>
      </w:r>
      <w:r w:rsidR="00392C96">
        <w:rPr>
          <w:sz w:val="24"/>
          <w:szCs w:val="24"/>
        </w:rPr>
        <w:t>nivolumab</w:t>
      </w:r>
      <w:r>
        <w:rPr>
          <w:sz w:val="24"/>
          <w:szCs w:val="24"/>
        </w:rPr>
        <w:t xml:space="preserve"> and </w:t>
      </w:r>
      <w:r w:rsidR="00392C96">
        <w:rPr>
          <w:sz w:val="24"/>
          <w:szCs w:val="24"/>
        </w:rPr>
        <w:t>pembrolizumab</w:t>
      </w:r>
      <w:r>
        <w:rPr>
          <w:sz w:val="24"/>
          <w:szCs w:val="24"/>
        </w:rPr>
        <w:t xml:space="preserve"> support the conclusions</w:t>
      </w:r>
      <w:r w:rsidR="00470AD0">
        <w:rPr>
          <w:sz w:val="24"/>
          <w:szCs w:val="24"/>
        </w:rPr>
        <w:t xml:space="preserve"> </w:t>
      </w:r>
      <w:r>
        <w:rPr>
          <w:sz w:val="24"/>
          <w:szCs w:val="24"/>
        </w:rPr>
        <w:t xml:space="preserve">that both drugs </w:t>
      </w:r>
      <w:r w:rsidR="00166D6F">
        <w:rPr>
          <w:sz w:val="24"/>
          <w:szCs w:val="24"/>
        </w:rPr>
        <w:t>may well</w:t>
      </w:r>
      <w:r>
        <w:rPr>
          <w:sz w:val="24"/>
          <w:szCs w:val="24"/>
        </w:rPr>
        <w:t xml:space="preserve"> be interchangeable. This in turn means that disparity of </w:t>
      </w:r>
      <w:r w:rsidR="005B0FA7">
        <w:rPr>
          <w:sz w:val="24"/>
          <w:szCs w:val="24"/>
        </w:rPr>
        <w:t>trial results are most likely due to drug-independent reasons, possibly reasons of trial design and patient selection</w:t>
      </w:r>
      <w:r w:rsidR="00470AD0">
        <w:rPr>
          <w:sz w:val="24"/>
          <w:szCs w:val="24"/>
        </w:rPr>
        <w:t>,</w:t>
      </w:r>
      <w:r w:rsidR="00EA25FF">
        <w:rPr>
          <w:sz w:val="24"/>
          <w:szCs w:val="24"/>
        </w:rPr>
        <w:fldChar w:fldCharType="begin" w:fldLock="1"/>
      </w:r>
      <w:r w:rsidR="001421DE">
        <w:rPr>
          <w:sz w:val="24"/>
          <w:szCs w:val="24"/>
        </w:rPr>
        <w:instrText>ADDIN CSL_CITATION { "citationItems" : [ { "id" : "ITEM-1", "itemData" : { "DOI" : "10.1016/j.molmed.2017.03.001", "ISSN" : "14714914", "author" : [ { "dropping-particle" : "", "family" : "Flint", "given" : "Thomas R.", "non-dropping-particle" : "", "parse-names" : false, "suffix" : "" }, { "dropping-particle" : "", "family" : "Fearon", "given" : "Douglas T.", "non-dropping-particle" : "", "parse-names" : false, "suffix" : "" }, { "dropping-particle" : "", "family" : "Janowitz", "given" : "Tobias", "non-dropping-particle" : "", "parse-names" : false, "suffix" : "" } ], "container-title" : "Trends in Molecular Medicine", "id" : "ITEM-1", "issue" : "5", "issued" : { "date-parts" : [ [ "2017", "5" ] ] }, "page" : "451-464", "title" : "Connecting the Metabolic and Immune Responses to Cancer", "type" : "article-journal", "volume" : "23" }, "uris" : [ "http://www.mendeley.com/documents/?uuid=b51444e8-b97f-4838-ba5a-7ff1e80a8173" ] } ], "mendeley" : { "formattedCitation" : "(35)", "manualFormatting" : "[33]", "plainTextFormattedCitation" : "(35)", "previouslyFormattedCitation" : "(35)" }, "properties" : { "noteIndex" : 0 }, "schema" : "https://github.com/citation-style-language/schema/raw/master/csl-citation.json" }</w:instrText>
      </w:r>
      <w:r w:rsidR="00EA25FF">
        <w:rPr>
          <w:sz w:val="24"/>
          <w:szCs w:val="24"/>
        </w:rPr>
        <w:fldChar w:fldCharType="separate"/>
      </w:r>
      <w:r w:rsidR="00EA25FF">
        <w:rPr>
          <w:noProof/>
          <w:sz w:val="24"/>
          <w:szCs w:val="24"/>
        </w:rPr>
        <w:t>[</w:t>
      </w:r>
      <w:r w:rsidR="00EA25FF" w:rsidRPr="00B62618">
        <w:rPr>
          <w:noProof/>
          <w:sz w:val="24"/>
          <w:szCs w:val="24"/>
        </w:rPr>
        <w:t>33</w:t>
      </w:r>
      <w:r w:rsidR="00EA25FF">
        <w:rPr>
          <w:noProof/>
          <w:sz w:val="24"/>
          <w:szCs w:val="24"/>
        </w:rPr>
        <w:t>]</w:t>
      </w:r>
      <w:r w:rsidR="00EA25FF">
        <w:rPr>
          <w:sz w:val="24"/>
          <w:szCs w:val="24"/>
        </w:rPr>
        <w:fldChar w:fldCharType="end"/>
      </w:r>
      <w:r w:rsidR="00470AD0">
        <w:rPr>
          <w:sz w:val="24"/>
          <w:szCs w:val="24"/>
        </w:rPr>
        <w:t xml:space="preserve"> which </w:t>
      </w:r>
      <w:r w:rsidR="0024671D">
        <w:rPr>
          <w:sz w:val="24"/>
          <w:szCs w:val="24"/>
        </w:rPr>
        <w:t xml:space="preserve">should be carefully examined and </w:t>
      </w:r>
      <w:r w:rsidR="00470AD0">
        <w:rPr>
          <w:sz w:val="24"/>
          <w:szCs w:val="24"/>
        </w:rPr>
        <w:t>are likely to be highly informative</w:t>
      </w:r>
      <w:r w:rsidR="005B0FA7">
        <w:rPr>
          <w:sz w:val="24"/>
          <w:szCs w:val="24"/>
        </w:rPr>
        <w:t>.</w:t>
      </w:r>
      <w:r w:rsidR="00EA25FF" w:rsidRPr="00800743">
        <w:rPr>
          <w:sz w:val="24"/>
          <w:szCs w:val="24"/>
        </w:rPr>
        <w:t xml:space="preserve"> </w:t>
      </w:r>
    </w:p>
    <w:p w14:paraId="6D82AF4C" w14:textId="77777777" w:rsidR="00D76C0E" w:rsidRDefault="00D76C0E" w:rsidP="00D76C0E">
      <w:pPr>
        <w:spacing w:line="480" w:lineRule="auto"/>
        <w:jc w:val="both"/>
        <w:rPr>
          <w:b/>
          <w:sz w:val="24"/>
          <w:szCs w:val="24"/>
        </w:rPr>
      </w:pPr>
    </w:p>
    <w:p w14:paraId="0CE8EF54" w14:textId="5F322E13" w:rsidR="006A12AB" w:rsidRDefault="000C6051" w:rsidP="00C20157">
      <w:pPr>
        <w:spacing w:after="200" w:line="480" w:lineRule="auto"/>
        <w:jc w:val="both"/>
        <w:rPr>
          <w:b/>
          <w:sz w:val="24"/>
          <w:szCs w:val="24"/>
        </w:rPr>
      </w:pPr>
      <w:r>
        <w:rPr>
          <w:b/>
          <w:sz w:val="24"/>
          <w:szCs w:val="24"/>
        </w:rPr>
        <w:t>A</w:t>
      </w:r>
      <w:r w:rsidRPr="000C6051">
        <w:rPr>
          <w:b/>
          <w:sz w:val="24"/>
          <w:szCs w:val="24"/>
        </w:rPr>
        <w:t xml:space="preserve">cknowledgements </w:t>
      </w:r>
    </w:p>
    <w:p w14:paraId="46AFD0B8" w14:textId="1B260646" w:rsidR="008E2AC6" w:rsidRPr="008E2AC6" w:rsidRDefault="00541FFF" w:rsidP="008E2AC6">
      <w:pPr>
        <w:spacing w:after="200" w:line="480" w:lineRule="auto"/>
        <w:jc w:val="both"/>
        <w:rPr>
          <w:sz w:val="24"/>
          <w:szCs w:val="24"/>
          <w:lang w:val="en-US"/>
        </w:rPr>
      </w:pPr>
      <w:r>
        <w:rPr>
          <w:sz w:val="24"/>
          <w:szCs w:val="24"/>
        </w:rPr>
        <w:t xml:space="preserve">We are grateful to </w:t>
      </w:r>
      <w:r w:rsidR="00166D6F">
        <w:rPr>
          <w:sz w:val="24"/>
          <w:szCs w:val="24"/>
        </w:rPr>
        <w:t>the colleagues</w:t>
      </w:r>
      <w:r>
        <w:rPr>
          <w:sz w:val="24"/>
          <w:szCs w:val="24"/>
        </w:rPr>
        <w:t xml:space="preserve"> who reviewed and commented on this manuscript. </w:t>
      </w:r>
      <w:r w:rsidR="00D76C0E" w:rsidRPr="00D76C0E">
        <w:rPr>
          <w:sz w:val="24"/>
          <w:szCs w:val="24"/>
          <w:lang w:val="en-US"/>
        </w:rPr>
        <w:t>We also th</w:t>
      </w:r>
      <w:r w:rsidR="00D76C0E">
        <w:rPr>
          <w:sz w:val="24"/>
          <w:szCs w:val="24"/>
          <w:lang w:val="en-US"/>
        </w:rPr>
        <w:t>ank the University of Cambridge</w:t>
      </w:r>
      <w:r w:rsidR="00D76C0E" w:rsidRPr="00D76C0E">
        <w:rPr>
          <w:sz w:val="24"/>
          <w:szCs w:val="24"/>
          <w:lang w:val="en-US"/>
        </w:rPr>
        <w:t xml:space="preserve">. </w:t>
      </w:r>
      <w:r w:rsidR="00D76C0E">
        <w:rPr>
          <w:sz w:val="24"/>
          <w:szCs w:val="24"/>
        </w:rPr>
        <w:t>H.L. is in receipt of a scholarship from the Rosetrees Trust.</w:t>
      </w:r>
      <w:r>
        <w:rPr>
          <w:sz w:val="24"/>
          <w:szCs w:val="24"/>
        </w:rPr>
        <w:t xml:space="preserve"> </w:t>
      </w:r>
      <w:r w:rsidR="008E2AC6" w:rsidRPr="008E2AC6">
        <w:rPr>
          <w:sz w:val="24"/>
          <w:szCs w:val="24"/>
          <w:lang w:val="en-US"/>
        </w:rPr>
        <w:t xml:space="preserve">SI is supported by JSPS KAKENHI Grant number 16K07276. </w:t>
      </w:r>
      <w:r w:rsidR="008E2AC6" w:rsidRPr="00D76C0E">
        <w:rPr>
          <w:sz w:val="24"/>
          <w:szCs w:val="24"/>
          <w:lang w:val="en-US"/>
        </w:rPr>
        <w:t>T.J. was supported by the Wellcome Trust Translational Medicine and Therapeutics Programme and the University of Cambridge Department of Oncology (</w:t>
      </w:r>
      <w:bookmarkStart w:id="0" w:name="_GoBack"/>
      <w:r w:rsidR="008E2AC6">
        <w:rPr>
          <w:sz w:val="24"/>
          <w:szCs w:val="24"/>
          <w:lang w:val="en-US"/>
        </w:rPr>
        <w:t>RJAG/076</w:t>
      </w:r>
      <w:bookmarkEnd w:id="0"/>
      <w:r w:rsidR="008E2AC6" w:rsidRPr="00D76C0E">
        <w:rPr>
          <w:sz w:val="24"/>
          <w:szCs w:val="24"/>
          <w:lang w:val="en-US"/>
        </w:rPr>
        <w:t>).</w:t>
      </w:r>
    </w:p>
    <w:p w14:paraId="4A7127E2" w14:textId="7D54BF66" w:rsidR="00541FFF" w:rsidRPr="00541FFF" w:rsidRDefault="00541FFF" w:rsidP="00D76C0E">
      <w:pPr>
        <w:spacing w:after="200" w:line="480" w:lineRule="auto"/>
        <w:jc w:val="both"/>
        <w:rPr>
          <w:sz w:val="24"/>
          <w:szCs w:val="24"/>
        </w:rPr>
      </w:pPr>
    </w:p>
    <w:p w14:paraId="3589AA9D" w14:textId="77777777" w:rsidR="00F026B9" w:rsidRDefault="00F026B9" w:rsidP="00C20157">
      <w:pPr>
        <w:spacing w:after="200" w:line="480" w:lineRule="auto"/>
        <w:jc w:val="both"/>
        <w:rPr>
          <w:b/>
          <w:sz w:val="24"/>
          <w:szCs w:val="24"/>
        </w:rPr>
      </w:pPr>
    </w:p>
    <w:p w14:paraId="2BD89CA3" w14:textId="002CE65F" w:rsidR="000C6051" w:rsidRPr="006A12AB" w:rsidRDefault="000C6051" w:rsidP="00C20157">
      <w:pPr>
        <w:spacing w:after="200" w:line="480" w:lineRule="auto"/>
        <w:jc w:val="both"/>
        <w:rPr>
          <w:sz w:val="24"/>
          <w:szCs w:val="24"/>
        </w:rPr>
      </w:pPr>
      <w:r>
        <w:rPr>
          <w:b/>
          <w:sz w:val="24"/>
          <w:szCs w:val="24"/>
        </w:rPr>
        <w:t>Conflict of interest statement</w:t>
      </w:r>
    </w:p>
    <w:p w14:paraId="387CBEA2" w14:textId="79A02AA4" w:rsidR="000C6051" w:rsidRPr="000C6051" w:rsidRDefault="000C6051" w:rsidP="00C20157">
      <w:pPr>
        <w:spacing w:after="200" w:line="480" w:lineRule="auto"/>
        <w:jc w:val="both"/>
        <w:rPr>
          <w:sz w:val="24"/>
          <w:szCs w:val="24"/>
        </w:rPr>
      </w:pPr>
      <w:r>
        <w:rPr>
          <w:sz w:val="24"/>
          <w:szCs w:val="24"/>
        </w:rPr>
        <w:t>The authors report no conflict of interest.</w:t>
      </w:r>
      <w:r w:rsidR="00166D6F">
        <w:rPr>
          <w:sz w:val="24"/>
          <w:szCs w:val="24"/>
        </w:rPr>
        <w:t xml:space="preserve"> The drug names are in alphabetical order.</w:t>
      </w:r>
    </w:p>
    <w:p w14:paraId="6B909CD1" w14:textId="77777777" w:rsidR="0026742A" w:rsidRDefault="0026742A" w:rsidP="00C20157">
      <w:pPr>
        <w:jc w:val="both"/>
        <w:rPr>
          <w:b/>
          <w:sz w:val="24"/>
          <w:szCs w:val="24"/>
        </w:rPr>
      </w:pPr>
      <w:r>
        <w:rPr>
          <w:b/>
          <w:sz w:val="24"/>
          <w:szCs w:val="24"/>
        </w:rPr>
        <w:br w:type="page"/>
      </w:r>
    </w:p>
    <w:p w14:paraId="591C1E1D" w14:textId="2CF34CDC" w:rsidR="001421DE" w:rsidRDefault="007E4E3C" w:rsidP="001421DE">
      <w:pPr>
        <w:spacing w:line="480" w:lineRule="auto"/>
        <w:jc w:val="both"/>
        <w:outlineLvl w:val="0"/>
        <w:rPr>
          <w:sz w:val="24"/>
          <w:szCs w:val="24"/>
        </w:rPr>
      </w:pPr>
      <w:r w:rsidRPr="00800743">
        <w:rPr>
          <w:b/>
          <w:sz w:val="24"/>
          <w:szCs w:val="24"/>
        </w:rPr>
        <w:lastRenderedPageBreak/>
        <w:t>References</w:t>
      </w:r>
    </w:p>
    <w:p w14:paraId="4C534D81" w14:textId="78C222E1" w:rsidR="0090056A" w:rsidRPr="0090056A" w:rsidRDefault="001421DE" w:rsidP="0090056A">
      <w:pPr>
        <w:widowControl w:val="0"/>
        <w:autoSpaceDE w:val="0"/>
        <w:autoSpaceDN w:val="0"/>
        <w:adjustRightInd w:val="0"/>
        <w:spacing w:line="480" w:lineRule="auto"/>
        <w:ind w:left="640" w:hanging="640"/>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90056A" w:rsidRPr="0090056A">
        <w:rPr>
          <w:noProof/>
          <w:sz w:val="24"/>
          <w:szCs w:val="24"/>
        </w:rPr>
        <w:t xml:space="preserve">1. </w:t>
      </w:r>
      <w:r w:rsidR="0090056A" w:rsidRPr="0090056A">
        <w:rPr>
          <w:noProof/>
          <w:sz w:val="24"/>
          <w:szCs w:val="24"/>
        </w:rPr>
        <w:tab/>
        <w:t xml:space="preserve">Keir ME, Butte MJ, Freeman GJ, Sharpe AH. PD-1 and Its Ligands in Tolerance and Immunity. Annu Rev Immunol. 2008 Apr;26(1):677–704. </w:t>
      </w:r>
    </w:p>
    <w:p w14:paraId="32D132A5" w14:textId="5A156E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 </w:t>
      </w:r>
      <w:r w:rsidRPr="0090056A">
        <w:rPr>
          <w:noProof/>
          <w:sz w:val="24"/>
          <w:szCs w:val="24"/>
        </w:rPr>
        <w:tab/>
        <w:t>Azuma T, Yao S, Zhu G, Flies AS, Flies SJ, Chen L. B7-H1 is a ubiquitous antiapoptotic receptor on cancer cells. Blood</w:t>
      </w:r>
      <w:r w:rsidR="00375C8B">
        <w:rPr>
          <w:noProof/>
          <w:sz w:val="24"/>
          <w:szCs w:val="24"/>
        </w:rPr>
        <w:t>. 2008</w:t>
      </w:r>
      <w:r w:rsidRPr="0090056A">
        <w:rPr>
          <w:noProof/>
          <w:sz w:val="24"/>
          <w:szCs w:val="24"/>
        </w:rPr>
        <w:t xml:space="preserve">;111(7). </w:t>
      </w:r>
    </w:p>
    <w:p w14:paraId="1E90A32F" w14:textId="15931415"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3. </w:t>
      </w:r>
      <w:r w:rsidRPr="0090056A">
        <w:rPr>
          <w:noProof/>
          <w:sz w:val="24"/>
          <w:szCs w:val="24"/>
        </w:rPr>
        <w:tab/>
        <w:t xml:space="preserve">Freeman GJ, Long AJ, Iwai Y, Bourque K, Chernova T, Nishimura H, et al. Engagement of the Pd-1 Immunoinhibitory Receptor by a Novel B7 Family Member Leads to Negative Regulation of Lymphocyte Activation. J Exp Med. 2000;192(7). </w:t>
      </w:r>
    </w:p>
    <w:p w14:paraId="2DD1013D"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4. </w:t>
      </w:r>
      <w:r w:rsidRPr="0090056A">
        <w:rPr>
          <w:noProof/>
          <w:sz w:val="24"/>
          <w:szCs w:val="24"/>
        </w:rPr>
        <w:tab/>
        <w:t xml:space="preserve">Chen X-L, Yuan S-X, Chen C, Mao Y-X, Xu G, Wang X-Y. [Expression of B7-H1 protein in human pancreatic carcinoma tissues and its clinical significance]. Ai Zheng. 2009 Dec;28(12):1328–32. </w:t>
      </w:r>
    </w:p>
    <w:p w14:paraId="46295FB8"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5. </w:t>
      </w:r>
      <w:r w:rsidRPr="0090056A">
        <w:rPr>
          <w:noProof/>
          <w:sz w:val="24"/>
          <w:szCs w:val="24"/>
        </w:rPr>
        <w:tab/>
        <w:t xml:space="preserve">Chen L, Deng H, Lu M, Xu B, Wang Q, Jiang J, et al. B7-H1 expression associates with tumor invasion and predicts patient’s survival in human esophageal cancer. Int J Clin Exp Pathol. 2014;7(9):6015–23. </w:t>
      </w:r>
    </w:p>
    <w:p w14:paraId="3C49F886" w14:textId="684AC3B8"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6. </w:t>
      </w:r>
      <w:r w:rsidRPr="0090056A">
        <w:rPr>
          <w:noProof/>
          <w:sz w:val="24"/>
          <w:szCs w:val="24"/>
        </w:rPr>
        <w:tab/>
        <w:t xml:space="preserve">Zheng H, Liu X, Zhang J, Rice SJ, Wagman M, Kong Y, et al. Expression of PD-1 on CD4&amp;lt;sup&amp;gt;+&amp;lt;/sup&amp;gt; T cells in peripheral blood associates with poor clinical outcome in non-small cell lung cancer. Oncotarget. 2016 Aug 29;7(35):56233–40. </w:t>
      </w:r>
    </w:p>
    <w:p w14:paraId="7CD00EFB" w14:textId="4DFF7DCA"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7. </w:t>
      </w:r>
      <w:r w:rsidRPr="0090056A">
        <w:rPr>
          <w:noProof/>
          <w:sz w:val="24"/>
          <w:szCs w:val="24"/>
        </w:rPr>
        <w:tab/>
        <w:t xml:space="preserve">Larkin J, Chiarion-Sileni V, Gonzalez R, Grob JJ, Cowey CL, Lao CD, et al. Combined Nivolumab and Ipilimumab or Monotherapy in Untreated Melanoma. N Engl J Med. 2015 Jul 2;373(1):23–34. </w:t>
      </w:r>
    </w:p>
    <w:p w14:paraId="54DBBF60" w14:textId="4FF4C8E3"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8. </w:t>
      </w:r>
      <w:r w:rsidRPr="0090056A">
        <w:rPr>
          <w:noProof/>
          <w:sz w:val="24"/>
          <w:szCs w:val="24"/>
        </w:rPr>
        <w:tab/>
        <w:t>Pembrolizumab plus ipilimumab safe, effective for advanced melanoma.</w:t>
      </w:r>
      <w:r w:rsidR="00375C8B">
        <w:rPr>
          <w:noProof/>
          <w:sz w:val="24"/>
          <w:szCs w:val="24"/>
        </w:rPr>
        <w:t xml:space="preserve"> 2016.</w:t>
      </w:r>
    </w:p>
    <w:p w14:paraId="0D499A06" w14:textId="4FD65D2D"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lastRenderedPageBreak/>
        <w:t xml:space="preserve">9. </w:t>
      </w:r>
      <w:r w:rsidRPr="0090056A">
        <w:rPr>
          <w:noProof/>
          <w:sz w:val="24"/>
          <w:szCs w:val="24"/>
        </w:rPr>
        <w:tab/>
        <w:t xml:space="preserve">Dosage, Administration. HIGHLIGHTS OF PRESCRIBING INFORMATION. Warn Precautions. 2017;3(25). </w:t>
      </w:r>
    </w:p>
    <w:p w14:paraId="5BA68AFB" w14:textId="6323E9E8"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10. </w:t>
      </w:r>
      <w:r w:rsidRPr="0090056A">
        <w:rPr>
          <w:noProof/>
          <w:sz w:val="24"/>
          <w:szCs w:val="24"/>
        </w:rPr>
        <w:tab/>
        <w:t xml:space="preserve">Bellmunt J, de Wit R, Vaughn DJ, Fradet Y, Lee J-L, Fong L, et al. Pembrolizumab as Second-Line Therapy for Advanced Urothelial Carcinoma. N Engl J Med. 2017 Mar 16;376(11):1015–26. </w:t>
      </w:r>
    </w:p>
    <w:p w14:paraId="1F2E9EDF" w14:textId="27731ACD"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11. </w:t>
      </w:r>
      <w:r w:rsidRPr="0090056A">
        <w:rPr>
          <w:noProof/>
          <w:sz w:val="24"/>
          <w:szCs w:val="24"/>
        </w:rPr>
        <w:tab/>
        <w:t>Motzer RJ, Escudier B, McDermott DF, George S, Hammers HJ, Srinivas S, et al. Nivolumab versus Everolimus in Advanced Renal-Cell Carcinoma. N Engl J Me</w:t>
      </w:r>
      <w:r w:rsidR="00375C8B">
        <w:rPr>
          <w:noProof/>
          <w:sz w:val="24"/>
          <w:szCs w:val="24"/>
        </w:rPr>
        <w:t>d. 2015 Nov 5</w:t>
      </w:r>
      <w:r w:rsidRPr="0090056A">
        <w:rPr>
          <w:noProof/>
          <w:sz w:val="24"/>
          <w:szCs w:val="24"/>
        </w:rPr>
        <w:t xml:space="preserve">;373(19):1803–13. </w:t>
      </w:r>
    </w:p>
    <w:p w14:paraId="5A9182C3" w14:textId="2DF5225A"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12. </w:t>
      </w:r>
      <w:r w:rsidRPr="0090056A">
        <w:rPr>
          <w:noProof/>
          <w:sz w:val="24"/>
          <w:szCs w:val="24"/>
        </w:rPr>
        <w:tab/>
        <w:t xml:space="preserve">Reck M, Rodríguez-Abreu D, Robinson AG, Hui R, Csőszi T, Fülöp A, et al. Pembrolizumab versus Chemotherapy for PD-L1–Positive Non–Small-Cell Lung Cancer. N Engl J Med. 2016 Nov 10;375(19):1823–33. </w:t>
      </w:r>
    </w:p>
    <w:p w14:paraId="1B52640F" w14:textId="2FEA4C61"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13. </w:t>
      </w:r>
      <w:r w:rsidRPr="0090056A">
        <w:rPr>
          <w:noProof/>
          <w:sz w:val="24"/>
          <w:szCs w:val="24"/>
        </w:rPr>
        <w:tab/>
        <w:t xml:space="preserve">Inman S. Nivolumab Misses PFS Endpoint in Frontline Phase III NSCLC Study. 2016. </w:t>
      </w:r>
    </w:p>
    <w:p w14:paraId="42D55889" w14:textId="74FD5065"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14. </w:t>
      </w:r>
      <w:r w:rsidRPr="0090056A">
        <w:rPr>
          <w:noProof/>
          <w:sz w:val="24"/>
          <w:szCs w:val="24"/>
        </w:rPr>
        <w:tab/>
        <w:t xml:space="preserve">Ayyar BV, Arora S, O’Kennedy R. Coming-of-Age of Antibodies in Cancer Therapeutics. Trends Pharmacol Sci. 2016;37(12):1009–28. </w:t>
      </w:r>
    </w:p>
    <w:p w14:paraId="0DB24562" w14:textId="09EF38A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15. </w:t>
      </w:r>
      <w:r w:rsidRPr="0090056A">
        <w:rPr>
          <w:noProof/>
          <w:sz w:val="24"/>
          <w:szCs w:val="24"/>
        </w:rPr>
        <w:tab/>
        <w:t xml:space="preserve">Blumenthal GM, Pazdur R. Approvals in 2016: the march of the checkpoint inhibitors. Nat Rev Clin Oncol. 2017 Feb 20;14(3):131–2. </w:t>
      </w:r>
    </w:p>
    <w:p w14:paraId="0B1C6A44" w14:textId="16C79E3D"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16. </w:t>
      </w:r>
      <w:r w:rsidRPr="0090056A">
        <w:rPr>
          <w:noProof/>
          <w:sz w:val="24"/>
          <w:szCs w:val="24"/>
        </w:rPr>
        <w:tab/>
        <w:t xml:space="preserve">Connell CM, Raby S, Beh I, Flint T, Williams E, Fearon DT, et al. Cancer immunotherapy trial registrations increase exponentially but chronic immunosuppressive glucocorticoid therapy may compromise outcomes. Ann Oncol  Off J Eur Soc Med Oncol. </w:t>
      </w:r>
      <w:r w:rsidR="00705285">
        <w:rPr>
          <w:noProof/>
          <w:sz w:val="24"/>
          <w:szCs w:val="24"/>
        </w:rPr>
        <w:t>2017 Apr.</w:t>
      </w:r>
      <w:r w:rsidRPr="0090056A">
        <w:rPr>
          <w:noProof/>
          <w:sz w:val="24"/>
          <w:szCs w:val="24"/>
        </w:rPr>
        <w:t xml:space="preserve"> </w:t>
      </w:r>
    </w:p>
    <w:p w14:paraId="5C2565E1"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17. </w:t>
      </w:r>
      <w:r w:rsidRPr="0090056A">
        <w:rPr>
          <w:noProof/>
          <w:sz w:val="24"/>
          <w:szCs w:val="24"/>
        </w:rPr>
        <w:tab/>
        <w:t xml:space="preserve">Perera RM, Zoncu R, Johns TG, Pypaert M, Lee F-T, Mellman I, et al. Internalization, intracellular trafficking, and biodistribution of monoclonal antibody </w:t>
      </w:r>
      <w:r w:rsidRPr="0090056A">
        <w:rPr>
          <w:noProof/>
          <w:sz w:val="24"/>
          <w:szCs w:val="24"/>
        </w:rPr>
        <w:lastRenderedPageBreak/>
        <w:t xml:space="preserve">806: a novel anti-epidermal growth factor receptor antibody. Neoplasia. 2007 Dec;9(12):1099–110. </w:t>
      </w:r>
    </w:p>
    <w:p w14:paraId="21C244E7"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18. </w:t>
      </w:r>
      <w:r w:rsidRPr="0090056A">
        <w:rPr>
          <w:noProof/>
          <w:sz w:val="24"/>
          <w:szCs w:val="24"/>
        </w:rPr>
        <w:tab/>
        <w:t xml:space="preserve">Spaargarensjli M, Defizes LHK, Boonstrag J, De Laat$ SW. Antibody-induced Dimerization Activates the Epidermal Growth Factor Receptor Tyrosine Kinase*. J Biol Chem. 1991;266(3):1733–9. </w:t>
      </w:r>
    </w:p>
    <w:p w14:paraId="34DA156E"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19. </w:t>
      </w:r>
      <w:r w:rsidRPr="0090056A">
        <w:rPr>
          <w:noProof/>
          <w:sz w:val="24"/>
          <w:szCs w:val="24"/>
        </w:rPr>
        <w:tab/>
        <w:t xml:space="preserve">Barok M, Isola J, Palyi-Krekk Z, Nagy P, Juhasz I, Vereb G, et al. Trastuzumab causes antibody-dependent cellular cytotoxicity-mediated growth inhibition of submacroscopic JIMT-1 breast cancer xenografts despite intrinsic drug resistance. Mol Cancer Ther. 2007 Jul;6(7):2065–72. </w:t>
      </w:r>
    </w:p>
    <w:p w14:paraId="2D74E9B0"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20. </w:t>
      </w:r>
      <w:r w:rsidRPr="0090056A">
        <w:rPr>
          <w:noProof/>
          <w:sz w:val="24"/>
          <w:szCs w:val="24"/>
        </w:rPr>
        <w:tab/>
        <w:t xml:space="preserve">Lewis Phillips GD, Li G, Dugger DL, Crocker LM, Parsons KL, Mai E, et al. Targeting HER2-Positive Breast Cancer with Trastuzumab-DM1, an Antibody–Cytotoxic Drug Conjugate. Cancer Res. 2008;68(22). </w:t>
      </w:r>
    </w:p>
    <w:p w14:paraId="7935DEC6" w14:textId="0473A9F0"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21. </w:t>
      </w:r>
      <w:r w:rsidRPr="0090056A">
        <w:rPr>
          <w:noProof/>
          <w:sz w:val="24"/>
          <w:szCs w:val="24"/>
        </w:rPr>
        <w:tab/>
        <w:t>EMA. Assessment report OPDIVO International non-proprietary name: nivolumab. 2015</w:t>
      </w:r>
      <w:r w:rsidR="00375C8B">
        <w:rPr>
          <w:noProof/>
          <w:sz w:val="24"/>
          <w:szCs w:val="24"/>
        </w:rPr>
        <w:t>.</w:t>
      </w:r>
    </w:p>
    <w:p w14:paraId="22B049F8" w14:textId="74A0653B"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22. </w:t>
      </w:r>
      <w:r w:rsidRPr="0090056A">
        <w:rPr>
          <w:noProof/>
          <w:sz w:val="24"/>
          <w:szCs w:val="24"/>
        </w:rPr>
        <w:tab/>
        <w:t>EMA. Assessment report Keytruda International non-proprietary name: pembrolizumab. 2015</w:t>
      </w:r>
      <w:r w:rsidR="00375C8B">
        <w:rPr>
          <w:noProof/>
          <w:sz w:val="24"/>
          <w:szCs w:val="24"/>
        </w:rPr>
        <w:t>.</w:t>
      </w:r>
    </w:p>
    <w:p w14:paraId="6012621E"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23. </w:t>
      </w:r>
      <w:r w:rsidRPr="0090056A">
        <w:rPr>
          <w:noProof/>
          <w:sz w:val="24"/>
          <w:szCs w:val="24"/>
        </w:rPr>
        <w:tab/>
        <w:t xml:space="preserve">Scapin G, Yang X, Prosise WW, McCoy M, Reichert P, Johnston JM, et al. Structure of full-length human anti-PD1 therapeutic IgG4 antibody pembrolizumab. Nat Struct Mol Biol. 2015 Nov;22(12):953–8. </w:t>
      </w:r>
    </w:p>
    <w:p w14:paraId="3C4B0D7D"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24. </w:t>
      </w:r>
      <w:r w:rsidRPr="0090056A">
        <w:rPr>
          <w:noProof/>
          <w:sz w:val="24"/>
          <w:szCs w:val="24"/>
        </w:rPr>
        <w:tab/>
        <w:t xml:space="preserve">Zak KM, Kitel R, Przetocka S, Golik P, Guzik K, Musielak B, et al. Structure of the Complex of Human Programmed Death 1, PD-1, and Its Ligand PD-L1. Vol. 23, Structure. 2015. </w:t>
      </w:r>
    </w:p>
    <w:p w14:paraId="2651402A"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25. </w:t>
      </w:r>
      <w:r w:rsidRPr="0090056A">
        <w:rPr>
          <w:noProof/>
          <w:sz w:val="24"/>
          <w:szCs w:val="24"/>
        </w:rPr>
        <w:tab/>
        <w:t>Tan S, Zhang H, Chai Y, Song H, Tong Z, Wang Q, et al. An unexpected N-</w:t>
      </w:r>
      <w:r w:rsidRPr="0090056A">
        <w:rPr>
          <w:noProof/>
          <w:sz w:val="24"/>
          <w:szCs w:val="24"/>
        </w:rPr>
        <w:lastRenderedPageBreak/>
        <w:t xml:space="preserve">terminal loop in PD-1 dominates binding by nivolumab. Nat Commun. 2017 Feb;8:14369. </w:t>
      </w:r>
    </w:p>
    <w:p w14:paraId="1617573D"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26. </w:t>
      </w:r>
      <w:r w:rsidRPr="0090056A">
        <w:rPr>
          <w:noProof/>
          <w:sz w:val="24"/>
          <w:szCs w:val="24"/>
        </w:rPr>
        <w:tab/>
        <w:t xml:space="preserve">Lee JY, Lee HT, Shin W, Chae J, Choi J, Kim SH, et al. Structural basis of checkpoint blockade by monoclonal antibodies in cancer immunotherapy. Nat Commun. 2016 Oct;7:13354. </w:t>
      </w:r>
    </w:p>
    <w:p w14:paraId="187A79AF" w14:textId="7777777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27. </w:t>
      </w:r>
      <w:r w:rsidRPr="0090056A">
        <w:rPr>
          <w:noProof/>
          <w:sz w:val="24"/>
          <w:szCs w:val="24"/>
        </w:rPr>
        <w:tab/>
        <w:t xml:space="preserve">Na Z, Yeo SP, Bharath SR, Bowler MW, Balıkçı E, Wang C-I, et al. Structural basis for blocking PD-1-mediated immune suppression by therapeutic antibody pembrolizumab. Cell Res. 2017 Jan;27(1):147–50. </w:t>
      </w:r>
    </w:p>
    <w:p w14:paraId="2D9ADCBB" w14:textId="41346661"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28. </w:t>
      </w:r>
      <w:r w:rsidRPr="0090056A">
        <w:rPr>
          <w:noProof/>
          <w:sz w:val="24"/>
          <w:szCs w:val="24"/>
        </w:rPr>
        <w:tab/>
        <w:t>Parry R V, Chemnitz JM, Frauwirth KA, Lanfranco AR, Braunstein I, Kobayashi S V, et al. CTLA-4 and PD-1 receptors inhibit T-cell activation by distinct mechanisms. Mol Cell Biol. 2005 Nov</w:t>
      </w:r>
      <w:r w:rsidR="00375C8B">
        <w:rPr>
          <w:noProof/>
          <w:sz w:val="24"/>
          <w:szCs w:val="24"/>
        </w:rPr>
        <w:t xml:space="preserve">;25(21):9543–53. </w:t>
      </w:r>
    </w:p>
    <w:p w14:paraId="2912C794" w14:textId="32A01986"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29. </w:t>
      </w:r>
      <w:r w:rsidRPr="0090056A">
        <w:rPr>
          <w:noProof/>
          <w:sz w:val="24"/>
          <w:szCs w:val="24"/>
        </w:rPr>
        <w:tab/>
        <w:t xml:space="preserve">Kane LP, Andres PG, Howland KC, Abbas AK, Weiss A. Akt provides the CD28 costimulatory signal for up-regulation of IL-2 and IFN-|[gamma]| but not TH2 cytokines. Nat Immunol. 2001 Jan 1;2(1):37–44. </w:t>
      </w:r>
    </w:p>
    <w:p w14:paraId="507F43D8" w14:textId="28634C3C"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30. </w:t>
      </w:r>
      <w:r w:rsidRPr="0090056A">
        <w:rPr>
          <w:noProof/>
          <w:sz w:val="24"/>
          <w:szCs w:val="24"/>
        </w:rPr>
        <w:tab/>
        <w:t xml:space="preserve">Brahmer JR, Drake CG, Wollner I, Powderly JD, Picus J, Sharfman WH, et al. Phase I study of single-agent anti-programmed death-1 (MDX-1106) in refractory solid tumors: safety, clinical activity, pharmacodynamics, and immunologic correlates. J Clin Oncol. 2010 Jul 1;28(19):3167–75. </w:t>
      </w:r>
    </w:p>
    <w:p w14:paraId="3D5A8F75" w14:textId="19F4EDB3"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31. </w:t>
      </w:r>
      <w:r w:rsidRPr="0090056A">
        <w:rPr>
          <w:noProof/>
          <w:sz w:val="24"/>
          <w:szCs w:val="24"/>
        </w:rPr>
        <w:tab/>
        <w:t xml:space="preserve">Patnaik A, Kang SP, Rasco D, Papadopoulos KP, Elassaiss-Schaap J, Beeram M, et al. Phase I Study of Pembrolizumab (MK-3475; Anti–PD-1 Monoclonal Antibody) in Patients with Advanced Solid Tumors. Clin Cancer Res. 2015;21(19). </w:t>
      </w:r>
    </w:p>
    <w:p w14:paraId="563E5B1D" w14:textId="2FC9EB57"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32. </w:t>
      </w:r>
      <w:r w:rsidRPr="0090056A">
        <w:rPr>
          <w:noProof/>
          <w:sz w:val="24"/>
          <w:szCs w:val="24"/>
        </w:rPr>
        <w:tab/>
        <w:t xml:space="preserve">Hünig T. The storm has cleared: lessons from the CD28 superagonist TGN1412 trial. Nat Rev Immunol. 2012 Apr 10;12(5):317. </w:t>
      </w:r>
    </w:p>
    <w:p w14:paraId="313A38AF" w14:textId="7BC1796A"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lastRenderedPageBreak/>
        <w:t xml:space="preserve">33. </w:t>
      </w:r>
      <w:r w:rsidRPr="0090056A">
        <w:rPr>
          <w:noProof/>
          <w:sz w:val="24"/>
          <w:szCs w:val="24"/>
        </w:rPr>
        <w:tab/>
        <w:t xml:space="preserve">Michot JM, Bigenwald C, Champiat S, Collins M, Carbonnel F, Postel-Vinay S, et al. Immune-related adverse events with immune checkpoint blockade: a comprehensive review ScienceDirect. Eur J Cancer. 2016;54:139–48. </w:t>
      </w:r>
    </w:p>
    <w:p w14:paraId="219D608D" w14:textId="7321259E" w:rsidR="0090056A" w:rsidRPr="0090056A" w:rsidRDefault="0090056A" w:rsidP="0090056A">
      <w:pPr>
        <w:widowControl w:val="0"/>
        <w:autoSpaceDE w:val="0"/>
        <w:autoSpaceDN w:val="0"/>
        <w:adjustRightInd w:val="0"/>
        <w:spacing w:line="480" w:lineRule="auto"/>
        <w:ind w:left="640" w:hanging="640"/>
        <w:rPr>
          <w:noProof/>
          <w:sz w:val="24"/>
          <w:szCs w:val="24"/>
        </w:rPr>
      </w:pPr>
      <w:r w:rsidRPr="0090056A">
        <w:rPr>
          <w:noProof/>
          <w:sz w:val="24"/>
          <w:szCs w:val="24"/>
        </w:rPr>
        <w:t xml:space="preserve">34. </w:t>
      </w:r>
      <w:r w:rsidRPr="0090056A">
        <w:rPr>
          <w:noProof/>
          <w:sz w:val="24"/>
          <w:szCs w:val="24"/>
        </w:rPr>
        <w:tab/>
        <w:t xml:space="preserve">Okazaki T, Okazaki I, Wang J, Sugiura D, Nakaki F, Yoshida T, et al. PD-1 and LAG-3 inhibitory co-receptors act synergistically to prevent autoimmunity in mice. J Exp Med. 2011 Feb 14;208(2):395–407. </w:t>
      </w:r>
    </w:p>
    <w:p w14:paraId="2D8DC5EF" w14:textId="346B1EAF" w:rsidR="0090056A" w:rsidRPr="0090056A" w:rsidRDefault="0090056A" w:rsidP="0090056A">
      <w:pPr>
        <w:widowControl w:val="0"/>
        <w:autoSpaceDE w:val="0"/>
        <w:autoSpaceDN w:val="0"/>
        <w:adjustRightInd w:val="0"/>
        <w:spacing w:line="480" w:lineRule="auto"/>
        <w:ind w:left="640" w:hanging="640"/>
        <w:rPr>
          <w:noProof/>
          <w:sz w:val="24"/>
        </w:rPr>
      </w:pPr>
      <w:r w:rsidRPr="0090056A">
        <w:rPr>
          <w:noProof/>
          <w:sz w:val="24"/>
          <w:szCs w:val="24"/>
        </w:rPr>
        <w:t xml:space="preserve">35. </w:t>
      </w:r>
      <w:r w:rsidRPr="0090056A">
        <w:rPr>
          <w:noProof/>
          <w:sz w:val="24"/>
          <w:szCs w:val="24"/>
        </w:rPr>
        <w:tab/>
        <w:t>Flint TR, Fearon DT, Janowitz T. Connecting the Metabolic and Immune Responses to Cancer. Trends Mol Med. 2017 May</w:t>
      </w:r>
      <w:r w:rsidR="00375C8B">
        <w:rPr>
          <w:noProof/>
          <w:sz w:val="24"/>
          <w:szCs w:val="24"/>
        </w:rPr>
        <w:t>;</w:t>
      </w:r>
      <w:r w:rsidRPr="0090056A">
        <w:rPr>
          <w:noProof/>
          <w:sz w:val="24"/>
          <w:szCs w:val="24"/>
        </w:rPr>
        <w:t>23(5):451–64.</w:t>
      </w:r>
    </w:p>
    <w:p w14:paraId="1DB7715F" w14:textId="169C0AF5" w:rsidR="000C6051" w:rsidRDefault="001421DE" w:rsidP="0090056A">
      <w:pPr>
        <w:widowControl w:val="0"/>
        <w:autoSpaceDE w:val="0"/>
        <w:autoSpaceDN w:val="0"/>
        <w:adjustRightInd w:val="0"/>
        <w:spacing w:line="480" w:lineRule="auto"/>
        <w:ind w:left="640" w:hanging="640"/>
        <w:rPr>
          <w:sz w:val="24"/>
          <w:szCs w:val="24"/>
        </w:rPr>
      </w:pPr>
      <w:r>
        <w:rPr>
          <w:sz w:val="24"/>
          <w:szCs w:val="24"/>
        </w:rPr>
        <w:fldChar w:fldCharType="end"/>
      </w:r>
    </w:p>
    <w:p w14:paraId="5E2BF054" w14:textId="77777777" w:rsidR="000C6051" w:rsidRDefault="000C6051" w:rsidP="00C20157">
      <w:pPr>
        <w:jc w:val="both"/>
        <w:rPr>
          <w:sz w:val="24"/>
          <w:szCs w:val="24"/>
        </w:rPr>
      </w:pPr>
      <w:r>
        <w:rPr>
          <w:sz w:val="24"/>
          <w:szCs w:val="24"/>
        </w:rPr>
        <w:br w:type="page"/>
      </w:r>
    </w:p>
    <w:p w14:paraId="37A1E3A3" w14:textId="77777777" w:rsidR="00A860CC" w:rsidRDefault="00F026B9" w:rsidP="0008040D">
      <w:pPr>
        <w:pStyle w:val="HTMLPreformatted"/>
        <w:shd w:val="clear" w:color="auto" w:fill="FFFFFF"/>
        <w:spacing w:line="480" w:lineRule="auto"/>
        <w:rPr>
          <w:rFonts w:ascii="Arial" w:eastAsia="Arial" w:hAnsi="Arial" w:cs="Arial"/>
          <w:color w:val="000000"/>
          <w:sz w:val="24"/>
          <w:szCs w:val="24"/>
        </w:rPr>
      </w:pPr>
      <w:r w:rsidRPr="00A860CC">
        <w:rPr>
          <w:rFonts w:ascii="Arial" w:eastAsia="Arial" w:hAnsi="Arial" w:cs="Arial"/>
          <w:b/>
          <w:color w:val="000000"/>
          <w:sz w:val="24"/>
          <w:szCs w:val="24"/>
        </w:rPr>
        <w:lastRenderedPageBreak/>
        <w:t>Figure</w:t>
      </w:r>
      <w:r w:rsidR="0033223A" w:rsidRPr="00A860CC">
        <w:rPr>
          <w:rFonts w:ascii="Arial" w:eastAsia="Arial" w:hAnsi="Arial" w:cs="Arial"/>
          <w:b/>
          <w:color w:val="000000"/>
          <w:sz w:val="24"/>
          <w:szCs w:val="24"/>
        </w:rPr>
        <w:t xml:space="preserve"> 1: </w:t>
      </w:r>
      <w:r w:rsidRPr="00A860CC">
        <w:rPr>
          <w:rFonts w:ascii="Arial" w:eastAsia="Arial" w:hAnsi="Arial" w:cs="Arial"/>
          <w:b/>
          <w:color w:val="000000"/>
          <w:sz w:val="24"/>
          <w:szCs w:val="24"/>
        </w:rPr>
        <w:t>Structural comparison of nivolumab and pembrolizumab in complex with the extracellular domain of PD-1</w:t>
      </w:r>
      <w:r w:rsidR="0033223A" w:rsidRPr="00A860CC">
        <w:rPr>
          <w:rFonts w:ascii="Arial" w:eastAsia="Arial" w:hAnsi="Arial" w:cs="Arial"/>
          <w:color w:val="000000"/>
          <w:sz w:val="24"/>
          <w:szCs w:val="24"/>
        </w:rPr>
        <w:t xml:space="preserve"> </w:t>
      </w:r>
    </w:p>
    <w:p w14:paraId="72B70682" w14:textId="77777777" w:rsidR="0090056A" w:rsidRDefault="0090056A" w:rsidP="0008040D">
      <w:pPr>
        <w:pStyle w:val="HTMLPreformatted"/>
        <w:shd w:val="clear" w:color="auto" w:fill="FFFFFF"/>
        <w:spacing w:line="480" w:lineRule="auto"/>
        <w:rPr>
          <w:rFonts w:ascii="Arial" w:eastAsia="Arial" w:hAnsi="Arial" w:cs="Arial"/>
          <w:color w:val="000000"/>
          <w:sz w:val="24"/>
          <w:szCs w:val="24"/>
        </w:rPr>
      </w:pPr>
    </w:p>
    <w:p w14:paraId="62CC6E39" w14:textId="5FC4EED0" w:rsidR="00A860CC" w:rsidRPr="00A860CC" w:rsidRDefault="007029BB" w:rsidP="0008040D">
      <w:pPr>
        <w:pStyle w:val="HTMLPreformatted"/>
        <w:shd w:val="clear" w:color="auto" w:fill="FFFFFF"/>
        <w:spacing w:line="480" w:lineRule="auto"/>
        <w:jc w:val="both"/>
        <w:rPr>
          <w:rFonts w:ascii="Arial" w:eastAsia="Arial" w:hAnsi="Arial" w:cs="Arial"/>
          <w:color w:val="000000"/>
          <w:sz w:val="24"/>
          <w:szCs w:val="24"/>
        </w:rPr>
      </w:pPr>
      <w:r w:rsidRPr="00A860CC">
        <w:rPr>
          <w:rFonts w:ascii="Arial" w:eastAsia="Arial" w:hAnsi="Arial" w:cs="Arial"/>
          <w:color w:val="000000"/>
          <w:sz w:val="24"/>
          <w:szCs w:val="24"/>
        </w:rPr>
        <w:t xml:space="preserve">(a) Ribbon diagram of the extracellular domain of PD-1. The molecular surface of PD-1 is represented in faint transparent blue, and the PD-L1 binding area in yellow. The (b) PD-1-nivolumab complex (PDB id : 5WT9) and (c) PD-1-pembrolizumab complex  (PDB id : 5GGS) are shown as ribbon diagrams. Nivolumab and pembrolizumab are shown in red and blue, respectively. PD-1 in both complexes is drawn in light blue with transparent surfaces. (d) Surface representation of PD-1 from the PD-1-nivolumab complex. The PD-L1 and nivolumab binding areas on PD-1 are shown in yellow and red, respectively. The overlapping residues for binding both with PD-L1 and nivolumab are shown in orange. (e) Surface representation of PD-1 from the PD-1-pembrolizumab complex. The PD-L1 and pembrolizumab binding areas on PD-1 are shown in yellow and blue, respectively. The overlapping residues for binding both with PD-L1 and pembrolizumab are shown in cyan. (a), (d) and (e) are drawn with the same orientations. Amino acid single letter codes and primary sequence numbers are provided in (d) and (e). </w:t>
      </w:r>
      <w:r w:rsidR="00A860CC" w:rsidRPr="00A860CC">
        <w:rPr>
          <w:rFonts w:ascii="Arial" w:eastAsia="Arial" w:hAnsi="Arial" w:cs="Arial"/>
          <w:color w:val="000000"/>
          <w:sz w:val="24"/>
          <w:szCs w:val="24"/>
        </w:rPr>
        <w:t>The differences in appearance in (a),</w:t>
      </w:r>
      <w:r w:rsidR="001311D2">
        <w:rPr>
          <w:rFonts w:ascii="Arial" w:eastAsia="Arial" w:hAnsi="Arial" w:cs="Arial"/>
          <w:color w:val="000000"/>
          <w:sz w:val="24"/>
          <w:szCs w:val="24"/>
        </w:rPr>
        <w:t xml:space="preserve"> </w:t>
      </w:r>
      <w:r w:rsidR="00A860CC" w:rsidRPr="00A860CC">
        <w:rPr>
          <w:rFonts w:ascii="Arial" w:eastAsia="Arial" w:hAnsi="Arial" w:cs="Arial"/>
          <w:color w:val="000000"/>
          <w:sz w:val="24"/>
          <w:szCs w:val="24"/>
        </w:rPr>
        <w:t>(d), and (e) are a consequence of the fact that both antibodies stabilize different parts of the flexible PD-1 loop structures.</w:t>
      </w:r>
      <w:r w:rsidR="001311D2">
        <w:rPr>
          <w:rFonts w:ascii="Arial" w:eastAsia="Arial" w:hAnsi="Arial" w:cs="Arial"/>
          <w:color w:val="000000"/>
          <w:sz w:val="24"/>
          <w:szCs w:val="24"/>
        </w:rPr>
        <w:t xml:space="preserve"> Lack of stabilisation of a flexible loop would impair the structural resolution by x-ray crystallography.</w:t>
      </w:r>
    </w:p>
    <w:p w14:paraId="67931569" w14:textId="5D65D0DE" w:rsidR="007029BB" w:rsidRPr="00A860CC" w:rsidRDefault="007029BB" w:rsidP="0008040D">
      <w:pPr>
        <w:spacing w:line="480" w:lineRule="auto"/>
        <w:jc w:val="both"/>
        <w:rPr>
          <w:sz w:val="24"/>
          <w:szCs w:val="24"/>
        </w:rPr>
      </w:pPr>
    </w:p>
    <w:p w14:paraId="33395342" w14:textId="77777777" w:rsidR="0008040D" w:rsidRDefault="0008040D">
      <w:pPr>
        <w:rPr>
          <w:sz w:val="24"/>
          <w:szCs w:val="24"/>
        </w:rPr>
      </w:pPr>
      <w:r>
        <w:rPr>
          <w:sz w:val="24"/>
          <w:szCs w:val="24"/>
        </w:rPr>
        <w:br w:type="page"/>
      </w:r>
    </w:p>
    <w:p w14:paraId="09A78A58" w14:textId="46D6A308" w:rsidR="00C20157" w:rsidRPr="00F026B9" w:rsidRDefault="00F026B9" w:rsidP="0008040D">
      <w:pPr>
        <w:spacing w:line="480" w:lineRule="auto"/>
        <w:jc w:val="both"/>
        <w:rPr>
          <w:b/>
          <w:sz w:val="24"/>
          <w:szCs w:val="24"/>
        </w:rPr>
      </w:pPr>
      <w:r>
        <w:rPr>
          <w:b/>
          <w:sz w:val="24"/>
          <w:szCs w:val="24"/>
        </w:rPr>
        <w:lastRenderedPageBreak/>
        <w:t>Tabl</w:t>
      </w:r>
      <w:r w:rsidR="00C20157" w:rsidRPr="00F026B9">
        <w:rPr>
          <w:b/>
          <w:sz w:val="24"/>
          <w:szCs w:val="24"/>
        </w:rPr>
        <w:t>e 1: Comparison of the structural properties of nivolumab and pembrolizumab.</w:t>
      </w:r>
    </w:p>
    <w:p w14:paraId="3018CB40" w14:textId="77777777" w:rsidR="00C20157" w:rsidRDefault="00C20157" w:rsidP="0008040D">
      <w:pPr>
        <w:spacing w:line="480" w:lineRule="auto"/>
        <w:jc w:val="both"/>
        <w:rPr>
          <w:sz w:val="24"/>
          <w:szCs w:val="24"/>
        </w:rPr>
      </w:pPr>
    </w:p>
    <w:p w14:paraId="0EDD0106" w14:textId="7281A1A2" w:rsidR="00C20157" w:rsidRDefault="00C20157" w:rsidP="0008040D">
      <w:pPr>
        <w:spacing w:line="480" w:lineRule="auto"/>
        <w:jc w:val="both"/>
        <w:rPr>
          <w:sz w:val="24"/>
          <w:szCs w:val="24"/>
        </w:rPr>
      </w:pPr>
      <w:r>
        <w:rPr>
          <w:sz w:val="24"/>
          <w:szCs w:val="24"/>
        </w:rPr>
        <w:t xml:space="preserve">Comparison of the epitope, affinity, specificity, degree of humanisation, antibody class and glucose modifications of nivolumab and pembrolizumab, alongside a discussion of the expected effect of these properties on clinical outcome. (PD-1 = Programmed cell death protein 1; ELISA = Enzyme-linked immunosorbent assay; CD28 = Cluster of differentiation 28 protein; ICOS = Inducible T-cell Costimulator protein; CTLA-4 = </w:t>
      </w:r>
      <w:r w:rsidRPr="00C20157">
        <w:rPr>
          <w:sz w:val="24"/>
          <w:szCs w:val="24"/>
        </w:rPr>
        <w:t>cytotoxic T-lymphocyte-associated protein 4</w:t>
      </w:r>
      <w:r>
        <w:rPr>
          <w:sz w:val="24"/>
          <w:szCs w:val="24"/>
        </w:rPr>
        <w:t xml:space="preserve">; BTLA = </w:t>
      </w:r>
      <w:r w:rsidRPr="00C20157">
        <w:rPr>
          <w:sz w:val="24"/>
          <w:szCs w:val="24"/>
        </w:rPr>
        <w:t>B- and T-lymphocyte attenuator protein</w:t>
      </w:r>
      <w:r>
        <w:rPr>
          <w:sz w:val="24"/>
          <w:szCs w:val="24"/>
        </w:rPr>
        <w:t xml:space="preserve">; CHO = Chinese hamster ovary cell) </w:t>
      </w:r>
    </w:p>
    <w:p w14:paraId="7222C028" w14:textId="77777777" w:rsidR="0090056A" w:rsidRDefault="0090056A" w:rsidP="0008040D">
      <w:pPr>
        <w:spacing w:line="480" w:lineRule="auto"/>
        <w:jc w:val="both"/>
        <w:rPr>
          <w:b/>
          <w:sz w:val="24"/>
          <w:szCs w:val="24"/>
        </w:rPr>
      </w:pPr>
    </w:p>
    <w:p w14:paraId="668E73BB" w14:textId="77777777" w:rsidR="00F026B9" w:rsidRDefault="00F026B9" w:rsidP="0008040D">
      <w:pPr>
        <w:spacing w:line="480" w:lineRule="auto"/>
        <w:jc w:val="both"/>
        <w:outlineLvl w:val="0"/>
        <w:rPr>
          <w:b/>
          <w:sz w:val="24"/>
          <w:szCs w:val="24"/>
        </w:rPr>
      </w:pPr>
    </w:p>
    <w:p w14:paraId="01FACA38" w14:textId="77777777" w:rsidR="00F026B9" w:rsidRDefault="00F026B9" w:rsidP="0008040D">
      <w:pPr>
        <w:spacing w:line="480" w:lineRule="auto"/>
        <w:jc w:val="both"/>
        <w:outlineLvl w:val="0"/>
        <w:rPr>
          <w:b/>
          <w:sz w:val="24"/>
          <w:szCs w:val="24"/>
        </w:rPr>
      </w:pPr>
    </w:p>
    <w:p w14:paraId="463F6035" w14:textId="77777777" w:rsidR="0008040D" w:rsidRDefault="0008040D">
      <w:pPr>
        <w:rPr>
          <w:b/>
          <w:sz w:val="24"/>
          <w:szCs w:val="24"/>
        </w:rPr>
      </w:pPr>
      <w:r>
        <w:rPr>
          <w:b/>
          <w:sz w:val="24"/>
          <w:szCs w:val="24"/>
        </w:rPr>
        <w:br w:type="page"/>
      </w:r>
    </w:p>
    <w:p w14:paraId="62CEBC40" w14:textId="393BCD4A" w:rsidR="00C20157" w:rsidRPr="00F026B9" w:rsidRDefault="00C20157" w:rsidP="0008040D">
      <w:pPr>
        <w:spacing w:line="480" w:lineRule="auto"/>
        <w:jc w:val="both"/>
        <w:outlineLvl w:val="0"/>
        <w:rPr>
          <w:b/>
          <w:sz w:val="24"/>
          <w:szCs w:val="24"/>
        </w:rPr>
      </w:pPr>
      <w:r w:rsidRPr="00F026B9">
        <w:rPr>
          <w:b/>
          <w:sz w:val="24"/>
          <w:szCs w:val="24"/>
        </w:rPr>
        <w:lastRenderedPageBreak/>
        <w:t>Table 2: Pharmacokinetic properties of nivolumab and pembrolizumab</w:t>
      </w:r>
      <w:r w:rsidRPr="00F026B9">
        <w:rPr>
          <w:b/>
          <w:sz w:val="24"/>
          <w:szCs w:val="24"/>
        </w:rPr>
        <w:fldChar w:fldCharType="begin" w:fldLock="1"/>
      </w:r>
      <w:r w:rsidR="00700962" w:rsidRPr="00F026B9">
        <w:rPr>
          <w:b/>
          <w:sz w:val="24"/>
          <w:szCs w:val="24"/>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"id" : "ITEM-2", "itemData" : { "abstract" : "Telephone +44 (0)20 3660 6000 Facsimile +44 (0)20 3660 5555 Send a question via our website www.ema.europa.eu/contact", "author" : [ { "dropping-particle" : "", "family" : "EMA", "given" : "", "non-dropping-particle" : "", "parse-names" : false, "suffix" : "" } ], "id" : "ITEM-2", "issued" : { "date-parts" : [ [ "2015" ] ] }, "title" : "Assessment report Keytruda International non-proprietary name: pembrolizumab", "type" : "article-journal" }, "uris" : [ "http://www.mendeley.com/documents/?uuid=87086084-a430-402b-b2d3-c194dd88f64a" ] } ], "mendeley" : { "formattedCitation" : "(21,22)", "plainTextFormattedCitation" : "(21,22)", "previouslyFormattedCitation" : "(21,22)" }, "properties" : { "noteIndex" : 0 }, "schema" : "https://github.com/citation-style-language/schema/raw/master/csl-citation.json" }</w:instrText>
      </w:r>
      <w:r w:rsidRPr="00F026B9">
        <w:rPr>
          <w:b/>
          <w:sz w:val="24"/>
          <w:szCs w:val="24"/>
        </w:rPr>
        <w:fldChar w:fldCharType="separate"/>
      </w:r>
      <w:r w:rsidR="00C0435A" w:rsidRPr="00F026B9">
        <w:rPr>
          <w:b/>
          <w:noProof/>
          <w:sz w:val="24"/>
          <w:szCs w:val="24"/>
        </w:rPr>
        <w:t>(21,22)</w:t>
      </w:r>
      <w:r w:rsidRPr="00F026B9">
        <w:rPr>
          <w:b/>
          <w:sz w:val="24"/>
          <w:szCs w:val="24"/>
        </w:rPr>
        <w:fldChar w:fldCharType="end"/>
      </w:r>
    </w:p>
    <w:p w14:paraId="7B72FB40" w14:textId="14BC3B3A" w:rsidR="00C20157" w:rsidRPr="00C20157" w:rsidRDefault="00C20157" w:rsidP="0008040D">
      <w:pPr>
        <w:spacing w:line="480" w:lineRule="auto"/>
        <w:jc w:val="both"/>
        <w:rPr>
          <w:sz w:val="24"/>
          <w:szCs w:val="24"/>
        </w:rPr>
      </w:pPr>
      <w:r>
        <w:rPr>
          <w:sz w:val="24"/>
          <w:szCs w:val="24"/>
        </w:rPr>
        <w:t xml:space="preserve">Comparison of the clearance, terminal half-life, recommended dose and steady state concentrations of nivolumab and pembrolizumab. </w:t>
      </w:r>
    </w:p>
    <w:p w14:paraId="4F7D014B" w14:textId="77777777" w:rsidR="00C20157" w:rsidRDefault="00C20157" w:rsidP="00C20157">
      <w:pPr>
        <w:jc w:val="both"/>
        <w:rPr>
          <w:b/>
          <w:sz w:val="24"/>
          <w:szCs w:val="24"/>
        </w:rPr>
      </w:pPr>
    </w:p>
    <w:p w14:paraId="55A2570D" w14:textId="260AAB7E" w:rsidR="00C20157" w:rsidRDefault="00C20157" w:rsidP="00C20157">
      <w:pPr>
        <w:jc w:val="both"/>
        <w:rPr>
          <w:b/>
          <w:sz w:val="24"/>
          <w:szCs w:val="24"/>
        </w:rPr>
      </w:pPr>
    </w:p>
    <w:p w14:paraId="17C49C04" w14:textId="77777777" w:rsidR="0008040D" w:rsidRDefault="0008040D">
      <w:pPr>
        <w:rPr>
          <w:b/>
          <w:sz w:val="24"/>
          <w:szCs w:val="24"/>
        </w:rPr>
      </w:pPr>
      <w:r>
        <w:rPr>
          <w:b/>
          <w:sz w:val="24"/>
          <w:szCs w:val="24"/>
        </w:rPr>
        <w:br w:type="page"/>
      </w:r>
    </w:p>
    <w:p w14:paraId="3BEDE316" w14:textId="085AA04F" w:rsidR="0033223A" w:rsidRDefault="00F026B9" w:rsidP="00C20157">
      <w:pPr>
        <w:jc w:val="both"/>
        <w:rPr>
          <w:b/>
          <w:sz w:val="24"/>
          <w:szCs w:val="24"/>
        </w:rPr>
      </w:pPr>
      <w:r>
        <w:rPr>
          <w:b/>
          <w:sz w:val="24"/>
          <w:szCs w:val="24"/>
        </w:rPr>
        <w:lastRenderedPageBreak/>
        <w:t>Figure 1</w:t>
      </w:r>
    </w:p>
    <w:p w14:paraId="3C3EB746" w14:textId="15CEC3F0" w:rsidR="00F026B9" w:rsidRDefault="007029BB" w:rsidP="00C20157">
      <w:pPr>
        <w:jc w:val="both"/>
        <w:rPr>
          <w:b/>
          <w:sz w:val="24"/>
          <w:szCs w:val="24"/>
        </w:rPr>
      </w:pPr>
      <w:r>
        <w:rPr>
          <w:b/>
          <w:noProof/>
          <w:sz w:val="24"/>
          <w:szCs w:val="24"/>
        </w:rPr>
        <w:drawing>
          <wp:inline distT="0" distB="0" distL="0" distR="0" wp14:anchorId="383F7DEB" wp14:editId="68812ED1">
            <wp:extent cx="5943600" cy="4403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Figures-new.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03090"/>
                    </a:xfrm>
                    <a:prstGeom prst="rect">
                      <a:avLst/>
                    </a:prstGeom>
                  </pic:spPr>
                </pic:pic>
              </a:graphicData>
            </a:graphic>
          </wp:inline>
        </w:drawing>
      </w:r>
    </w:p>
    <w:p w14:paraId="302D91D1" w14:textId="7DC0720B" w:rsidR="0033223A" w:rsidRDefault="0033223A" w:rsidP="00C20157">
      <w:pPr>
        <w:jc w:val="both"/>
        <w:rPr>
          <w:b/>
          <w:sz w:val="24"/>
          <w:szCs w:val="24"/>
        </w:rPr>
      </w:pPr>
    </w:p>
    <w:p w14:paraId="5F3FDC0F" w14:textId="77777777" w:rsidR="0033223A" w:rsidRDefault="0033223A" w:rsidP="00C20157">
      <w:pPr>
        <w:jc w:val="both"/>
        <w:rPr>
          <w:b/>
          <w:sz w:val="24"/>
          <w:szCs w:val="24"/>
        </w:rPr>
      </w:pPr>
    </w:p>
    <w:p w14:paraId="2FEA2330" w14:textId="77777777" w:rsidR="0033223A" w:rsidRDefault="0033223A" w:rsidP="00C20157">
      <w:pPr>
        <w:jc w:val="both"/>
        <w:rPr>
          <w:b/>
          <w:sz w:val="24"/>
          <w:szCs w:val="24"/>
        </w:rPr>
      </w:pPr>
    </w:p>
    <w:p w14:paraId="4454A5F4" w14:textId="77777777" w:rsidR="0033223A" w:rsidRDefault="0033223A" w:rsidP="00C20157">
      <w:pPr>
        <w:jc w:val="both"/>
        <w:rPr>
          <w:b/>
          <w:sz w:val="24"/>
          <w:szCs w:val="24"/>
        </w:rPr>
      </w:pPr>
    </w:p>
    <w:p w14:paraId="3A357235" w14:textId="77777777" w:rsidR="0033223A" w:rsidRDefault="0033223A" w:rsidP="00C20157">
      <w:pPr>
        <w:jc w:val="both"/>
        <w:rPr>
          <w:b/>
          <w:sz w:val="24"/>
          <w:szCs w:val="24"/>
        </w:rPr>
      </w:pPr>
    </w:p>
    <w:p w14:paraId="39210C15" w14:textId="77777777" w:rsidR="00381C83" w:rsidRDefault="00381C83" w:rsidP="00C20157">
      <w:pPr>
        <w:jc w:val="both"/>
        <w:rPr>
          <w:b/>
          <w:sz w:val="24"/>
          <w:szCs w:val="24"/>
        </w:rPr>
      </w:pPr>
    </w:p>
    <w:p w14:paraId="2F6B3D30" w14:textId="77777777" w:rsidR="0033223A" w:rsidRDefault="0033223A" w:rsidP="00C20157">
      <w:pPr>
        <w:jc w:val="both"/>
        <w:rPr>
          <w:b/>
          <w:sz w:val="24"/>
          <w:szCs w:val="24"/>
        </w:rPr>
      </w:pPr>
    </w:p>
    <w:p w14:paraId="40171D6C" w14:textId="77777777" w:rsidR="0033223A" w:rsidRDefault="0033223A" w:rsidP="00C20157">
      <w:pPr>
        <w:jc w:val="both"/>
        <w:rPr>
          <w:b/>
          <w:sz w:val="24"/>
          <w:szCs w:val="24"/>
        </w:rPr>
      </w:pPr>
    </w:p>
    <w:p w14:paraId="51D0A0E9" w14:textId="77777777" w:rsidR="0033223A" w:rsidRDefault="0033223A" w:rsidP="00C20157">
      <w:pPr>
        <w:jc w:val="both"/>
        <w:rPr>
          <w:b/>
          <w:sz w:val="24"/>
          <w:szCs w:val="24"/>
        </w:rPr>
      </w:pPr>
    </w:p>
    <w:p w14:paraId="4BB9DAF8" w14:textId="77777777" w:rsidR="0033223A" w:rsidRDefault="0033223A" w:rsidP="00C20157">
      <w:pPr>
        <w:jc w:val="both"/>
        <w:rPr>
          <w:b/>
          <w:sz w:val="24"/>
          <w:szCs w:val="24"/>
        </w:rPr>
      </w:pPr>
    </w:p>
    <w:p w14:paraId="34122B25" w14:textId="77777777" w:rsidR="0033223A" w:rsidRDefault="0033223A" w:rsidP="00C20157">
      <w:pPr>
        <w:jc w:val="both"/>
        <w:rPr>
          <w:b/>
          <w:sz w:val="24"/>
          <w:szCs w:val="24"/>
        </w:rPr>
      </w:pPr>
    </w:p>
    <w:p w14:paraId="380DF61F" w14:textId="77777777" w:rsidR="0033223A" w:rsidRDefault="0033223A" w:rsidP="00C20157">
      <w:pPr>
        <w:jc w:val="both"/>
        <w:rPr>
          <w:b/>
          <w:sz w:val="24"/>
          <w:szCs w:val="24"/>
        </w:rPr>
      </w:pPr>
    </w:p>
    <w:p w14:paraId="0AA7C846" w14:textId="77777777" w:rsidR="0033223A" w:rsidRDefault="0033223A" w:rsidP="00C20157">
      <w:pPr>
        <w:jc w:val="both"/>
        <w:rPr>
          <w:b/>
          <w:sz w:val="24"/>
          <w:szCs w:val="24"/>
        </w:rPr>
      </w:pPr>
    </w:p>
    <w:p w14:paraId="61BAE411" w14:textId="77777777" w:rsidR="0033223A" w:rsidRDefault="0033223A" w:rsidP="00C20157">
      <w:pPr>
        <w:jc w:val="both"/>
        <w:rPr>
          <w:b/>
          <w:sz w:val="24"/>
          <w:szCs w:val="24"/>
        </w:rPr>
      </w:pPr>
    </w:p>
    <w:p w14:paraId="59CC5AAF" w14:textId="77777777" w:rsidR="0033223A" w:rsidRDefault="0033223A" w:rsidP="00C20157">
      <w:pPr>
        <w:jc w:val="both"/>
        <w:rPr>
          <w:b/>
          <w:sz w:val="24"/>
          <w:szCs w:val="24"/>
        </w:rPr>
      </w:pPr>
    </w:p>
    <w:p w14:paraId="0FBFC4BE" w14:textId="77777777" w:rsidR="0033223A" w:rsidRDefault="0033223A" w:rsidP="00C20157">
      <w:pPr>
        <w:jc w:val="both"/>
        <w:rPr>
          <w:b/>
          <w:sz w:val="24"/>
          <w:szCs w:val="24"/>
        </w:rPr>
      </w:pPr>
    </w:p>
    <w:p w14:paraId="4AEB6658" w14:textId="77777777" w:rsidR="0033223A" w:rsidRDefault="0033223A" w:rsidP="00C20157">
      <w:pPr>
        <w:jc w:val="both"/>
        <w:rPr>
          <w:b/>
          <w:sz w:val="24"/>
          <w:szCs w:val="24"/>
        </w:rPr>
      </w:pPr>
    </w:p>
    <w:p w14:paraId="56AFB75C" w14:textId="3DB9EE03" w:rsidR="000C6051" w:rsidRDefault="000C6051" w:rsidP="00C20157">
      <w:pPr>
        <w:jc w:val="both"/>
        <w:rPr>
          <w:b/>
          <w:sz w:val="24"/>
          <w:szCs w:val="24"/>
        </w:rPr>
      </w:pPr>
      <w:r w:rsidRPr="00800743">
        <w:rPr>
          <w:b/>
          <w:sz w:val="24"/>
          <w:szCs w:val="24"/>
        </w:rPr>
        <w:lastRenderedPageBreak/>
        <w:t>Table 1</w:t>
      </w:r>
    </w:p>
    <w:p w14:paraId="20ECCF72" w14:textId="77777777" w:rsidR="00F026B9" w:rsidRPr="00800743" w:rsidRDefault="00F026B9" w:rsidP="00C20157">
      <w:pPr>
        <w:jc w:val="both"/>
        <w:rPr>
          <w:sz w:val="24"/>
          <w:szCs w:val="24"/>
        </w:rPr>
      </w:pPr>
    </w:p>
    <w:tbl>
      <w:tblPr>
        <w:tblStyle w:val="a"/>
        <w:tblW w:w="9600"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2415"/>
        <w:gridCol w:w="2340"/>
        <w:gridCol w:w="2700"/>
      </w:tblGrid>
      <w:tr w:rsidR="000C6051" w:rsidRPr="0026742A" w14:paraId="7614BFCF" w14:textId="77777777" w:rsidTr="00EB7F56">
        <w:trPr>
          <w:trHeight w:val="74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A2408" w14:textId="77777777" w:rsidR="000C6051" w:rsidRPr="0026742A" w:rsidRDefault="000C6051" w:rsidP="00C20157">
            <w:pPr>
              <w:jc w:val="both"/>
              <w:rPr>
                <w:rFonts w:asciiTheme="minorHAnsi" w:hAnsiTheme="minorHAnsi"/>
                <w:b/>
              </w:rPr>
            </w:pPr>
            <w:r w:rsidRPr="0026742A">
              <w:rPr>
                <w:rFonts w:asciiTheme="minorHAnsi" w:hAnsiTheme="minorHAnsi"/>
                <w:b/>
              </w:rPr>
              <w:t>Antibody property</w:t>
            </w:r>
          </w:p>
        </w:tc>
        <w:tc>
          <w:tcPr>
            <w:tcW w:w="24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E5180E" w14:textId="77777777" w:rsidR="000C6051" w:rsidRPr="0026742A" w:rsidRDefault="000C6051" w:rsidP="00C20157">
            <w:pPr>
              <w:jc w:val="both"/>
              <w:rPr>
                <w:rFonts w:asciiTheme="minorHAnsi" w:hAnsiTheme="minorHAnsi"/>
                <w:b/>
              </w:rPr>
            </w:pPr>
            <w:r>
              <w:rPr>
                <w:rFonts w:asciiTheme="minorHAnsi" w:hAnsiTheme="minorHAnsi"/>
                <w:b/>
              </w:rPr>
              <w:t>Nivolumab</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ED8A00F" w14:textId="77777777" w:rsidR="000C6051" w:rsidRPr="0026742A" w:rsidRDefault="000C6051" w:rsidP="00C20157">
            <w:pPr>
              <w:jc w:val="both"/>
              <w:rPr>
                <w:rFonts w:asciiTheme="minorHAnsi" w:hAnsiTheme="minorHAnsi"/>
                <w:b/>
              </w:rPr>
            </w:pPr>
            <w:r>
              <w:rPr>
                <w:rFonts w:asciiTheme="minorHAnsi" w:hAnsiTheme="minorHAnsi"/>
                <w:b/>
              </w:rPr>
              <w:t>Pembrolizumab</w:t>
            </w:r>
          </w:p>
        </w:tc>
        <w:tc>
          <w:tcPr>
            <w:tcW w:w="27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7814A86" w14:textId="77777777" w:rsidR="000C6051" w:rsidRPr="0026742A" w:rsidRDefault="000C6051" w:rsidP="00C20157">
            <w:pPr>
              <w:jc w:val="both"/>
              <w:rPr>
                <w:rFonts w:asciiTheme="minorHAnsi" w:hAnsiTheme="minorHAnsi"/>
                <w:b/>
              </w:rPr>
            </w:pPr>
            <w:r w:rsidRPr="0026742A">
              <w:rPr>
                <w:rFonts w:asciiTheme="minorHAnsi" w:hAnsiTheme="minorHAnsi"/>
                <w:b/>
              </w:rPr>
              <w:t>Expected effect on clinical outcome</w:t>
            </w:r>
          </w:p>
        </w:tc>
      </w:tr>
      <w:tr w:rsidR="000C6051" w:rsidRPr="0026742A" w14:paraId="6B3CF45E" w14:textId="77777777" w:rsidTr="00EB7F56">
        <w:trPr>
          <w:trHeight w:val="2100"/>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0F4CD5" w14:textId="77777777" w:rsidR="000C6051" w:rsidRPr="0026742A" w:rsidRDefault="000C6051" w:rsidP="00C20157">
            <w:pPr>
              <w:jc w:val="both"/>
              <w:rPr>
                <w:rFonts w:asciiTheme="minorHAnsi" w:hAnsiTheme="minorHAnsi"/>
              </w:rPr>
            </w:pPr>
            <w:r w:rsidRPr="0026742A">
              <w:rPr>
                <w:rFonts w:asciiTheme="minorHAnsi" w:hAnsiTheme="minorHAnsi"/>
              </w:rPr>
              <w:t>EPITOPE</w:t>
            </w:r>
          </w:p>
        </w:tc>
        <w:tc>
          <w:tcPr>
            <w:tcW w:w="2415" w:type="dxa"/>
            <w:tcBorders>
              <w:bottom w:val="single" w:sz="8" w:space="0" w:color="000000"/>
              <w:right w:val="single" w:sz="8" w:space="0" w:color="000000"/>
            </w:tcBorders>
            <w:tcMar>
              <w:top w:w="100" w:type="dxa"/>
              <w:left w:w="100" w:type="dxa"/>
              <w:bottom w:w="100" w:type="dxa"/>
              <w:right w:w="100" w:type="dxa"/>
            </w:tcMar>
          </w:tcPr>
          <w:p w14:paraId="070338C3" w14:textId="77777777" w:rsidR="000C6051" w:rsidRPr="0026742A" w:rsidRDefault="000C6051" w:rsidP="00C20157">
            <w:pPr>
              <w:jc w:val="both"/>
              <w:rPr>
                <w:rFonts w:asciiTheme="minorHAnsi" w:hAnsiTheme="minorHAnsi"/>
              </w:rPr>
            </w:pPr>
            <w:r w:rsidRPr="0026742A">
              <w:rPr>
                <w:rFonts w:asciiTheme="minorHAnsi" w:hAnsiTheme="minorHAnsi"/>
              </w:rPr>
              <w:t>Binding is dominated by interactions with the PD-1 N-loop.</w:t>
            </w:r>
          </w:p>
          <w:p w14:paraId="21A538DB" w14:textId="26D6999C" w:rsidR="000C6051" w:rsidRPr="0026742A" w:rsidRDefault="000C6051" w:rsidP="00C20157">
            <w:pPr>
              <w:jc w:val="both"/>
              <w:rPr>
                <w:rFonts w:asciiTheme="minorHAnsi" w:hAnsiTheme="minorHAnsi"/>
                <w:vertAlign w:val="superscript"/>
              </w:rPr>
            </w:pPr>
            <w:r w:rsidRPr="0026742A">
              <w:rPr>
                <w:rFonts w:asciiTheme="minorHAnsi" w:hAnsiTheme="minorHAnsi"/>
              </w:rPr>
              <w:t xml:space="preserve">Total buried surface 1487-1932.5 </w:t>
            </w:r>
            <w:r w:rsidRPr="0026742A">
              <w:rPr>
                <w:rFonts w:asciiTheme="minorHAnsi" w:hAnsiTheme="minorHAnsi"/>
                <w:highlight w:val="white"/>
              </w:rPr>
              <w:t>Å</w:t>
            </w:r>
            <w:r w:rsidRPr="0026742A">
              <w:rPr>
                <w:rFonts w:asciiTheme="minorHAnsi" w:hAnsiTheme="minorHAnsi"/>
                <w:highlight w:val="white"/>
                <w:vertAlign w:val="superscript"/>
              </w:rPr>
              <w:t>2</w:t>
            </w:r>
            <w:r w:rsidRPr="0026742A">
              <w:rPr>
                <w:rFonts w:asciiTheme="minorHAnsi" w:hAnsiTheme="minorHAnsi"/>
                <w:highlight w:val="white"/>
              </w:rPr>
              <w:t xml:space="preserve"> </w:t>
            </w:r>
            <w:r w:rsidRPr="0026742A">
              <w:rPr>
                <w:rFonts w:asciiTheme="minorHAnsi" w:hAnsiTheme="minorHAnsi"/>
                <w:vertAlign w:val="superscript"/>
              </w:rPr>
              <w:fldChar w:fldCharType="begin" w:fldLock="1"/>
            </w:r>
            <w:r w:rsidR="00700962">
              <w:rPr>
                <w:rFonts w:asciiTheme="minorHAnsi" w:hAnsiTheme="minorHAnsi"/>
                <w:vertAlign w:val="superscript"/>
              </w:rPr>
              <w:instrText>ADDIN CSL_CITATION { "citationItems" : [ { "id" : "ITEM-1", "itemData" : { "DOI" : "10.1038/ncomms14369", "ISSN" : "2041-1723", "author" : [ { "dropping-particle" : "", "family" : "Tan", "given" : "Shuguang", "non-dropping-particle" : "", "parse-names" : false, "suffix" : "" }, { "dropping-particle" : "", "family" : "Zhang", "given" : "Hao", "non-dropping-particle" : "", "parse-names" : false, "suffix" : "" }, { "dropping-particle" : "", "family" : "Chai", "given" : "Yan", "non-dropping-particle" : "", "parse-names" : false, "suffix" : "" }, { "dropping-particle" : "", "family" : "Song", "given" : "Hao", "non-dropping-particle" : "", "parse-names" : false, "suffix" : "" }, { "dropping-particle" : "", "family" : "Tong", "given" : "Zhou", "non-dropping-particle" : "", "parse-names" : false, "suffix" : "" }, { "dropping-particle" : "", "family" : "Wang", "given" : "Qihui", "non-dropping-particle" : "", "parse-names" : false, "suffix" : "" }, { "dropping-particle" : "", "family" : "Qi", "given" : "Jianxun", "non-dropping-particle" : "", "parse-names" : false, "suffix" : "" }, { "dropping-particle" : "", "family" : "Wong", "given" : "Gary", "non-dropping-particle" : "", "parse-names" : false, "suffix" : "" }, { "dropping-particle" : "", "family" : "Zhu", "given" : "Xiaodong", "non-dropping-particle" : "", "parse-names" : false, "suffix" : "" }, { "dropping-particle" : "", "family" : "Liu", "given" : "William J.", "non-dropping-particle" : "", "parse-names" : false, "suffix" : "" }, { "dropping-particle" : "", "family" : "Gao", "given" : "Shan", "non-dropping-particle" : "", "parse-names" : false, "suffix" : "" }, { "dropping-particle" : "", "family" : "Wang", "given" : "Zhongfu", "non-dropping-particle" : "", "parse-names" : false, "suffix" : "" }, { "dropping-particle" : "", "family" : "Shi", "given" : "Yi", "non-dropping-particle" : "", "parse-names" : false, "suffix" : "" }, { "dropping-particle" : "", "family" : "Yang", "given" : "Fuquan", "non-dropping-particle" : "", "parse-names" : false, "suffix" : "" }, { "dropping-particle" : "", "family" : "Gao", "given" : "George F.", "non-dropping-particle" : "", "parse-names" : false, "suffix" : "" }, { "dropping-particle" : "", "family" : "Yan", "given" : "Jinghua", "non-dropping-particle" : "", "parse-names" : false, "suffix" : "" } ], "container-title" : "Nature Communications", "id" : "ITEM-1", "issued" : { "date-parts" : [ [ "2017", "2" ] ] }, "page" : "14369", "publisher" : "Nature Publishing Group", "title" : "An unexpected N-terminal loop in PD-1 dominates binding by nivolumab", "type" : "article-journal", "volume" : "8" }, "uris" : [ "http://www.mendeley.com/documents/?uuid=5487fb50-6f72-49ec-ac1e-0246a0262ef4" ] }, { "id" : "ITEM-2", "itemData" : { "DOI" : "10.1038/ncomms13354", "ISSN" : "2041-1723", "author" : [ { "dropping-particle" : "", "family" : "Lee", "given" : "Ju Yeon", "non-dropping-particle" : "", "parse-names" : false, "suffix" : "" }, { "dropping-particle" : "", "family" : "Lee", "given" : "Hyun Tae", "non-dropping-particle" : "", "parse-names" : false, "suffix" : "" }, { "dropping-particle" : "", "family" : "Shin", "given" : "Woori", "non-dropping-particle" : "", "parse-names" : false, "suffix" : "" }, { "dropping-particle" : "", "family" : "Chae", "given" : "Jongseok", "non-dropping-particle" : "", "parse-names" : false, "suffix" : "" }, { "dropping-particle" : "", "family" : "Choi", "given" : "Jaemo", "non-dropping-particle" : "", "parse-names" : false, "suffix" : "" }, { "dropping-particle" : "", "family" : "Kim", "given" : "Sung Hyun", "non-dropping-particle" : "", "parse-names" : false, "suffix" : "" }, { "dropping-particle" : "", "family" : "Lim", "given" : "Heejin", "non-dropping-particle" : "", "parse-names" : false, "suffix" : "" }, { "dropping-particle" : "", "family" : "Won Heo", "given" : "Tae", "non-dropping-particle" : "", "parse-names" : false, "suffix" : "" }, { "dropping-particle" : "", "family" : "Park", "given" : "Kyeong Young", "non-dropping-particle" : "", "parse-names" : false, "suffix" : "" }, { "dropping-particle" : "", "family" : "Lee", "given" : "Yeon Ji", "non-dropping-particle" : "", "parse-names" : false, "suffix" : "" }, { "dropping-particle" : "", "family" : "Ryu", "given" : "Seong Eon", "non-dropping-particle" : "", "parse-names" : false, "suffix" : "" }, { "dropping-particle" : "", "family" : "Son", "given" : "Ji Young", "non-dropping-particle" : "", "parse-names" : false, "suffix" : "" }, { "dropping-particle" : "", "family" : "Lee", "given" : "Jee Un", "non-dropping-particle" : "", "parse-names" : false, "suffix" : "" }, { "dropping-particle" : "", "family" : "Heo", "given" : "Yong-Seok", "non-dropping-particle" : "", "parse-names" : false, "suffix" : "" } ], "container-title" : "Nature Communications", "id" : "ITEM-2", "issued" : { "date-parts" : [ [ "2016", "10" ] ] }, "page" : "13354", "publisher" : "Nature Publishing Group", "title" : "Structural basis of checkpoint blockade by monoclonal antibodies in cancer immunotherapy", "type" : "article-journal", "volume" : "7" }, "uris" : [ "http://www.mendeley.com/documents/?uuid=ce9710a4-ab11-4754-bfd2-459b1ff3f623" ] } ], "mendeley" : { "formattedCitation" : "(25,26)", "plainTextFormattedCitation" : "(25,26)", "previouslyFormattedCitation" : "(25,26)" }, "properties" : { "noteIndex" : 0 }, "schema" : "https://github.com/citation-style-language/schema/raw/master/csl-citation.json" }</w:instrText>
            </w:r>
            <w:r w:rsidRPr="0026742A">
              <w:rPr>
                <w:rFonts w:asciiTheme="minorHAnsi" w:hAnsiTheme="minorHAnsi"/>
                <w:vertAlign w:val="superscript"/>
              </w:rPr>
              <w:fldChar w:fldCharType="separate"/>
            </w:r>
            <w:r w:rsidR="00C0435A" w:rsidRPr="00C0435A">
              <w:rPr>
                <w:rFonts w:asciiTheme="minorHAnsi" w:hAnsiTheme="minorHAnsi"/>
                <w:noProof/>
              </w:rPr>
              <w:t>(25,26)</w:t>
            </w:r>
            <w:r w:rsidRPr="0026742A">
              <w:rPr>
                <w:rFonts w:asciiTheme="minorHAnsi" w:hAnsiTheme="minorHAnsi"/>
                <w:vertAlign w:val="superscript"/>
              </w:rPr>
              <w:fldChar w:fldCharType="end"/>
            </w:r>
          </w:p>
        </w:tc>
        <w:tc>
          <w:tcPr>
            <w:tcW w:w="2340" w:type="dxa"/>
            <w:tcBorders>
              <w:bottom w:val="single" w:sz="8" w:space="0" w:color="000000"/>
              <w:right w:val="single" w:sz="8" w:space="0" w:color="000000"/>
            </w:tcBorders>
            <w:tcMar>
              <w:top w:w="100" w:type="dxa"/>
              <w:left w:w="100" w:type="dxa"/>
              <w:bottom w:w="100" w:type="dxa"/>
              <w:right w:w="100" w:type="dxa"/>
            </w:tcMar>
          </w:tcPr>
          <w:p w14:paraId="5A82DCE2" w14:textId="77777777" w:rsidR="000C6051" w:rsidRPr="0026742A" w:rsidRDefault="000C6051" w:rsidP="00C20157">
            <w:pPr>
              <w:jc w:val="both"/>
              <w:rPr>
                <w:rFonts w:asciiTheme="minorHAnsi" w:hAnsiTheme="minorHAnsi"/>
              </w:rPr>
            </w:pPr>
            <w:r w:rsidRPr="0026742A">
              <w:rPr>
                <w:rFonts w:asciiTheme="minorHAnsi" w:hAnsiTheme="minorHAnsi"/>
              </w:rPr>
              <w:t>Binding dominated by interactions with PD-1 CD loop.</w:t>
            </w:r>
          </w:p>
          <w:p w14:paraId="6960B433" w14:textId="7B7ABC0C" w:rsidR="000C6051" w:rsidRPr="0026742A" w:rsidRDefault="000C6051" w:rsidP="00C20157">
            <w:pPr>
              <w:jc w:val="both"/>
              <w:rPr>
                <w:rFonts w:asciiTheme="minorHAnsi" w:hAnsiTheme="minorHAnsi"/>
                <w:highlight w:val="white"/>
                <w:vertAlign w:val="superscript"/>
              </w:rPr>
            </w:pPr>
            <w:r w:rsidRPr="0026742A">
              <w:rPr>
                <w:rFonts w:asciiTheme="minorHAnsi" w:hAnsiTheme="minorHAnsi"/>
              </w:rPr>
              <w:t xml:space="preserve">Total buried surface </w:t>
            </w:r>
            <w:r w:rsidRPr="0026742A">
              <w:rPr>
                <w:rFonts w:asciiTheme="minorHAnsi" w:hAnsiTheme="minorHAnsi"/>
                <w:highlight w:val="white"/>
              </w:rPr>
              <w:t>1774-2126 Å</w:t>
            </w:r>
            <w:r w:rsidRPr="0026742A">
              <w:rPr>
                <w:rFonts w:asciiTheme="minorHAnsi" w:hAnsiTheme="minorHAnsi"/>
                <w:highlight w:val="white"/>
                <w:vertAlign w:val="superscript"/>
              </w:rPr>
              <w:t xml:space="preserve">2 </w:t>
            </w:r>
            <w:r w:rsidRPr="0026742A">
              <w:rPr>
                <w:rFonts w:asciiTheme="minorHAnsi" w:hAnsiTheme="minorHAnsi"/>
                <w:highlight w:val="white"/>
                <w:vertAlign w:val="superscript"/>
              </w:rPr>
              <w:fldChar w:fldCharType="begin" w:fldLock="1"/>
            </w:r>
            <w:r w:rsidR="00700962">
              <w:rPr>
                <w:rFonts w:asciiTheme="minorHAnsi" w:hAnsiTheme="minorHAnsi"/>
                <w:highlight w:val="white"/>
                <w:vertAlign w:val="superscript"/>
              </w:rPr>
              <w:instrText>ADDIN CSL_CITATION { "citationItems" : [ { "id" : "ITEM-1", "itemData" : { "DOI" : "10.1038/ncomms13354", "ISSN" : "2041-1723", "author" : [ { "dropping-particle" : "", "family" : "Lee", "given" : "Ju Yeon", "non-dropping-particle" : "", "parse-names" : false, "suffix" : "" }, { "dropping-particle" : "", "family" : "Lee", "given" : "Hyun Tae", "non-dropping-particle" : "", "parse-names" : false, "suffix" : "" }, { "dropping-particle" : "", "family" : "Shin", "given" : "Woori", "non-dropping-particle" : "", "parse-names" : false, "suffix" : "" }, { "dropping-particle" : "", "family" : "Chae", "given" : "Jongseok", "non-dropping-particle" : "", "parse-names" : false, "suffix" : "" }, { "dropping-particle" : "", "family" : "Choi", "given" : "Jaemo", "non-dropping-particle" : "", "parse-names" : false, "suffix" : "" }, { "dropping-particle" : "", "family" : "Kim", "given" : "Sung Hyun", "non-dropping-particle" : "", "parse-names" : false, "suffix" : "" }, { "dropping-particle" : "", "family" : "Lim", "given" : "Heejin", "non-dropping-particle" : "", "parse-names" : false, "suffix" : "" }, { "dropping-particle" : "", "family" : "Won Heo", "given" : "Tae", "non-dropping-particle" : "", "parse-names" : false, "suffix" : "" }, { "dropping-particle" : "", "family" : "Park", "given" : "Kyeong Young", "non-dropping-particle" : "", "parse-names" : false, "suffix" : "" }, { "dropping-particle" : "", "family" : "Lee", "given" : "Yeon Ji", "non-dropping-particle" : "", "parse-names" : false, "suffix" : "" }, { "dropping-particle" : "", "family" : "Ryu", "given" : "Seong Eon", "non-dropping-particle" : "", "parse-names" : false, "suffix" : "" }, { "dropping-particle" : "", "family" : "Son", "given" : "Ji Young", "non-dropping-particle" : "", "parse-names" : false, "suffix" : "" }, { "dropping-particle" : "", "family" : "Lee", "given" : "Jee Un", "non-dropping-particle" : "", "parse-names" : false, "suffix" : "" }, { "dropping-particle" : "", "family" : "Heo", "given" : "Yong-Seok", "non-dropping-particle" : "", "parse-names" : false, "suffix" : "" } ], "container-title" : "Nature Communications", "id" : "ITEM-1", "issued" : { "date-parts" : [ [ "2016", "10" ] ] }, "page" : "13354", "publisher" : "Nature Publishing Group", "title" : "Structural basis of checkpoint blockade by monoclonal antibodies in cancer immunotherapy", "type" : "article-journal", "volume" : "7" }, "uris" : [ "http://www.mendeley.com/documents/?uuid=ce9710a4-ab11-4754-bfd2-459b1ff3f623" ] }, { "id" : "ITEM-2", "itemData" : { "DOI" : "10.1038/cr.2016.77", "ISSN" : "1748-7838", "PMID" : "27325296", "author" : [ { "dropping-particle" : "", "family" : "Na", "given" : "Zhenkun", "non-dropping-particle" : "", "parse-names" : false, "suffix" : "" }, { "dropping-particle" : "", "family" : "Yeo", "given" : "Siok Ping", "non-dropping-particle" : "", "parse-names" : false, "suffix" : "" }, { "dropping-particle" : "", "family" : "Bharath", "given" : "Sakshibeedu R", "non-dropping-particle" : "", "parse-names" : false, "suffix" : "" }, { "dropping-particle" : "", "family" : "Bowler", "given" : "Matthew W", "non-dropping-particle" : "", "parse-names" : false, "suffix" : "" }, { "dropping-particle" : "", "family" : "Bal\u0131k\u00e7\u0131", "given" : "Esra", "non-dropping-particle" : "", "parse-names" : false, "suffix" : "" }, { "dropping-particle" : "", "family" : "Wang", "given" : "Cheng-I", "non-dropping-particle" : "", "parse-names" : false, "suffix" : "" }, { "dropping-particle" : "", "family" : "Song", "given" : "Haiwei", "non-dropping-particle" : "", "parse-names" : false, "suffix" : "" } ], "container-title" : "Cell research", "id" : "ITEM-2", "issue" : "1", "issued" : { "date-parts" : [ [ "2017", "1" ] ] }, "page" : "147-150", "publisher" : "Nature Publishing Group", "title" : "Structural basis for blocking PD-1-mediated immune suppression by therapeutic antibody pembrolizumab.", "type" : "article-journal", "volume" : "27" }, "uris" : [ "http://www.mendeley.com/documents/?uuid=6ed510bb-0927-4fff-af9e-16c30f54b09d" ] } ], "mendeley" : { "formattedCitation" : "(26,27)", "plainTextFormattedCitation" : "(26,27)", "previouslyFormattedCitation" : "(26,27)" }, "properties" : { "noteIndex" : 0 }, "schema" : "https://github.com/citation-style-language/schema/raw/master/csl-citation.json" }</w:instrText>
            </w:r>
            <w:r w:rsidRPr="0026742A">
              <w:rPr>
                <w:rFonts w:asciiTheme="minorHAnsi" w:hAnsiTheme="minorHAnsi"/>
                <w:highlight w:val="white"/>
                <w:vertAlign w:val="superscript"/>
              </w:rPr>
              <w:fldChar w:fldCharType="separate"/>
            </w:r>
            <w:r w:rsidR="00C0435A" w:rsidRPr="00C0435A">
              <w:rPr>
                <w:rFonts w:asciiTheme="minorHAnsi" w:hAnsiTheme="minorHAnsi"/>
                <w:noProof/>
                <w:highlight w:val="white"/>
              </w:rPr>
              <w:t>(26,27)</w:t>
            </w:r>
            <w:r w:rsidRPr="0026742A">
              <w:rPr>
                <w:rFonts w:asciiTheme="minorHAnsi" w:hAnsiTheme="minorHAnsi"/>
                <w:highlight w:val="white"/>
                <w:vertAlign w:val="superscript"/>
              </w:rPr>
              <w:fldChar w:fldCharType="end"/>
            </w:r>
          </w:p>
        </w:tc>
        <w:tc>
          <w:tcPr>
            <w:tcW w:w="2700" w:type="dxa"/>
            <w:tcBorders>
              <w:bottom w:val="single" w:sz="8" w:space="0" w:color="000000"/>
              <w:right w:val="single" w:sz="8" w:space="0" w:color="000000"/>
            </w:tcBorders>
            <w:tcMar>
              <w:top w:w="100" w:type="dxa"/>
              <w:left w:w="100" w:type="dxa"/>
              <w:bottom w:w="100" w:type="dxa"/>
              <w:right w:w="100" w:type="dxa"/>
            </w:tcMar>
          </w:tcPr>
          <w:p w14:paraId="3DEDEA29" w14:textId="77777777" w:rsidR="000C6051" w:rsidRPr="0026742A" w:rsidRDefault="000C6051" w:rsidP="00C20157">
            <w:pPr>
              <w:jc w:val="both"/>
              <w:rPr>
                <w:rFonts w:asciiTheme="minorHAnsi" w:hAnsiTheme="minorHAnsi"/>
              </w:rPr>
            </w:pPr>
            <w:r w:rsidRPr="0026742A">
              <w:rPr>
                <w:rFonts w:asciiTheme="minorHAnsi" w:hAnsiTheme="minorHAnsi"/>
              </w:rPr>
              <w:t xml:space="preserve">The epitope determines the drug’s molecular target and therefore its mode of action. Good choice of target is crucial for clinical efficacy and reducing on-target side effects. </w:t>
            </w:r>
          </w:p>
        </w:tc>
      </w:tr>
      <w:tr w:rsidR="000C6051" w:rsidRPr="0026742A" w14:paraId="068AE3B2" w14:textId="77777777" w:rsidTr="00EB7F56">
        <w:trPr>
          <w:trHeight w:val="1820"/>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77B34F" w14:textId="77777777" w:rsidR="000C6051" w:rsidRPr="0026742A" w:rsidRDefault="000C6051" w:rsidP="00C20157">
            <w:pPr>
              <w:jc w:val="both"/>
              <w:rPr>
                <w:rFonts w:asciiTheme="minorHAnsi" w:hAnsiTheme="minorHAnsi"/>
              </w:rPr>
            </w:pPr>
            <w:r w:rsidRPr="0026742A">
              <w:rPr>
                <w:rFonts w:asciiTheme="minorHAnsi" w:hAnsiTheme="minorHAnsi"/>
              </w:rPr>
              <w:t>AFFINITY</w:t>
            </w:r>
          </w:p>
        </w:tc>
        <w:tc>
          <w:tcPr>
            <w:tcW w:w="2415" w:type="dxa"/>
            <w:tcBorders>
              <w:bottom w:val="single" w:sz="8" w:space="0" w:color="000000"/>
              <w:right w:val="single" w:sz="8" w:space="0" w:color="000000"/>
            </w:tcBorders>
            <w:tcMar>
              <w:top w:w="100" w:type="dxa"/>
              <w:left w:w="100" w:type="dxa"/>
              <w:bottom w:w="100" w:type="dxa"/>
              <w:right w:w="100" w:type="dxa"/>
            </w:tcMar>
          </w:tcPr>
          <w:p w14:paraId="3726AC99" w14:textId="22818898" w:rsidR="000C6051" w:rsidRPr="0026742A" w:rsidRDefault="000C6051" w:rsidP="00C20157">
            <w:pPr>
              <w:jc w:val="both"/>
              <w:rPr>
                <w:rFonts w:asciiTheme="minorHAnsi" w:hAnsiTheme="minorHAnsi"/>
                <w:vertAlign w:val="superscript"/>
              </w:rPr>
            </w:pPr>
            <w:r w:rsidRPr="0026742A">
              <w:rPr>
                <w:rFonts w:asciiTheme="minorHAnsi" w:hAnsiTheme="minorHAnsi"/>
              </w:rPr>
              <w:t>Affinity for recombinant human PD-1 protein (surface plasmon resonance):  K</w:t>
            </w:r>
            <w:r w:rsidRPr="0026742A">
              <w:rPr>
                <w:rFonts w:asciiTheme="minorHAnsi" w:hAnsiTheme="minorHAnsi"/>
                <w:vertAlign w:val="subscript"/>
              </w:rPr>
              <w:t>d</w:t>
            </w:r>
            <w:r w:rsidRPr="0026742A">
              <w:rPr>
                <w:rFonts w:asciiTheme="minorHAnsi" w:hAnsiTheme="minorHAnsi"/>
              </w:rPr>
              <w:t>=3.06 pM</w:t>
            </w:r>
            <w:r w:rsidRPr="0026742A">
              <w:rPr>
                <w:rFonts w:asciiTheme="minorHAnsi" w:hAnsiTheme="minorHAnsi"/>
              </w:rPr>
              <w:fldChar w:fldCharType="begin" w:fldLock="1"/>
            </w:r>
            <w:r w:rsidR="00700962">
              <w:rPr>
                <w:rFonts w:asciiTheme="minorHAnsi" w:hAnsiTheme="minorHAnsi"/>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"mendeley" : { "formattedCitation" : "(21)", "plainTextFormattedCitation" : "(21)", "previouslyFormattedCitation" : "(21)" }, "properties" : { "noteIndex" : 0 }, "schema" : "https://github.com/citation-style-language/schema/raw/master/csl-citation.json" }</w:instrText>
            </w:r>
            <w:r w:rsidRPr="0026742A">
              <w:rPr>
                <w:rFonts w:asciiTheme="minorHAnsi" w:hAnsiTheme="minorHAnsi"/>
              </w:rPr>
              <w:fldChar w:fldCharType="separate"/>
            </w:r>
            <w:r w:rsidR="00C0435A" w:rsidRPr="00C0435A">
              <w:rPr>
                <w:rFonts w:asciiTheme="minorHAnsi" w:hAnsiTheme="minorHAnsi"/>
                <w:noProof/>
              </w:rPr>
              <w:t>(21)</w:t>
            </w:r>
            <w:r w:rsidRPr="0026742A">
              <w:rPr>
                <w:rFonts w:asciiTheme="minorHAnsi" w:hAnsiTheme="minorHAnsi"/>
              </w:rPr>
              <w:fldChar w:fldCharType="end"/>
            </w:r>
          </w:p>
        </w:tc>
        <w:tc>
          <w:tcPr>
            <w:tcW w:w="2340" w:type="dxa"/>
            <w:tcBorders>
              <w:bottom w:val="single" w:sz="8" w:space="0" w:color="000000"/>
              <w:right w:val="single" w:sz="8" w:space="0" w:color="000000"/>
            </w:tcBorders>
            <w:tcMar>
              <w:top w:w="100" w:type="dxa"/>
              <w:left w:w="100" w:type="dxa"/>
              <w:bottom w:w="100" w:type="dxa"/>
              <w:right w:w="100" w:type="dxa"/>
            </w:tcMar>
          </w:tcPr>
          <w:p w14:paraId="61B84DAF" w14:textId="7447B357" w:rsidR="000C6051" w:rsidRPr="0026742A" w:rsidRDefault="000C6051" w:rsidP="00C20157">
            <w:pPr>
              <w:jc w:val="both"/>
              <w:rPr>
                <w:rFonts w:asciiTheme="minorHAnsi" w:hAnsiTheme="minorHAnsi"/>
                <w:vertAlign w:val="superscript"/>
              </w:rPr>
            </w:pPr>
            <w:r w:rsidRPr="0026742A">
              <w:rPr>
                <w:rFonts w:asciiTheme="minorHAnsi" w:hAnsiTheme="minorHAnsi"/>
              </w:rPr>
              <w:t>Affinity for recombinant human PD-1 protein (ELISA): K</w:t>
            </w:r>
            <w:r w:rsidRPr="0026742A">
              <w:rPr>
                <w:rFonts w:asciiTheme="minorHAnsi" w:hAnsiTheme="minorHAnsi"/>
                <w:vertAlign w:val="subscript"/>
              </w:rPr>
              <w:t>d</w:t>
            </w:r>
            <w:r w:rsidRPr="0026742A">
              <w:rPr>
                <w:rFonts w:asciiTheme="minorHAnsi" w:hAnsiTheme="minorHAnsi"/>
              </w:rPr>
              <w:t>=29 pM</w:t>
            </w:r>
            <w:r w:rsidRPr="0026742A">
              <w:rPr>
                <w:rFonts w:asciiTheme="minorHAnsi" w:hAnsiTheme="minorHAnsi"/>
                <w:vertAlign w:val="superscript"/>
              </w:rPr>
              <w:fldChar w:fldCharType="begin" w:fldLock="1"/>
            </w:r>
            <w:r w:rsidR="00700962">
              <w:rPr>
                <w:rFonts w:asciiTheme="minorHAnsi" w:hAnsiTheme="minorHAnsi"/>
                <w:vertAlign w:val="superscript"/>
              </w:rPr>
              <w:instrText>ADDIN CSL_CITATION { "citationItems" : [ { "id" : "ITEM-1", "itemData" : { "abstract" : "Telephone +44 (0)20 3660 6000 Facsimile +44 (0)20 3660 5555 Send a question via our website www.ema.europa.eu/contact", "author" : [ { "dropping-particle" : "", "family" : "EMA", "given" : "", "non-dropping-particle" : "", "parse-names" : false, "suffix" : "" } ], "id" : "ITEM-1", "issued" : { "date-parts" : [ [ "2015" ] ] }, "title" : "Assessment report Keytruda International non-proprietary name: pembrolizumab", "type" : "article-journal" }, "uris" : [ "http://www.mendeley.com/documents/?uuid=87086084-a430-402b-b2d3-c194dd88f64a" ] } ], "mendeley" : { "formattedCitation" : "(22)", "plainTextFormattedCitation" : "(22)", "previouslyFormattedCitation" : "(22)" }, "properties" : { "noteIndex" : 0 }, "schema" : "https://github.com/citation-style-language/schema/raw/master/csl-citation.json" }</w:instrText>
            </w:r>
            <w:r w:rsidRPr="0026742A">
              <w:rPr>
                <w:rFonts w:asciiTheme="minorHAnsi" w:hAnsiTheme="minorHAnsi"/>
                <w:vertAlign w:val="superscript"/>
              </w:rPr>
              <w:fldChar w:fldCharType="separate"/>
            </w:r>
            <w:r w:rsidR="00C0435A" w:rsidRPr="00C0435A">
              <w:rPr>
                <w:rFonts w:asciiTheme="minorHAnsi" w:hAnsiTheme="minorHAnsi"/>
                <w:noProof/>
              </w:rPr>
              <w:t>(22)</w:t>
            </w:r>
            <w:r w:rsidRPr="0026742A">
              <w:rPr>
                <w:rFonts w:asciiTheme="minorHAnsi" w:hAnsiTheme="minorHAnsi"/>
                <w:vertAlign w:val="superscript"/>
              </w:rPr>
              <w:fldChar w:fldCharType="end"/>
            </w:r>
          </w:p>
        </w:tc>
        <w:tc>
          <w:tcPr>
            <w:tcW w:w="2700" w:type="dxa"/>
            <w:tcBorders>
              <w:bottom w:val="single" w:sz="8" w:space="0" w:color="000000"/>
              <w:right w:val="single" w:sz="8" w:space="0" w:color="000000"/>
            </w:tcBorders>
            <w:tcMar>
              <w:top w:w="100" w:type="dxa"/>
              <w:left w:w="100" w:type="dxa"/>
              <w:bottom w:w="100" w:type="dxa"/>
              <w:right w:w="100" w:type="dxa"/>
            </w:tcMar>
          </w:tcPr>
          <w:p w14:paraId="76892630" w14:textId="77777777" w:rsidR="000C6051" w:rsidRPr="0026742A" w:rsidRDefault="000C6051" w:rsidP="00C20157">
            <w:pPr>
              <w:jc w:val="both"/>
              <w:rPr>
                <w:rFonts w:asciiTheme="minorHAnsi" w:hAnsiTheme="minorHAnsi"/>
              </w:rPr>
            </w:pPr>
            <w:r w:rsidRPr="0026742A">
              <w:rPr>
                <w:rFonts w:asciiTheme="minorHAnsi" w:hAnsiTheme="minorHAnsi"/>
              </w:rPr>
              <w:t>The strength with which antibody binds target molecule alters drug potency, dosing regimen and degree of on-target side effects.</w:t>
            </w:r>
          </w:p>
        </w:tc>
      </w:tr>
      <w:tr w:rsidR="000C6051" w:rsidRPr="0026742A" w14:paraId="683F93BA" w14:textId="77777777" w:rsidTr="00EB7F56">
        <w:trPr>
          <w:trHeight w:val="1620"/>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4DD87E" w14:textId="77777777" w:rsidR="000C6051" w:rsidRPr="0026742A" w:rsidRDefault="000C6051" w:rsidP="00C20157">
            <w:pPr>
              <w:jc w:val="both"/>
              <w:rPr>
                <w:rFonts w:asciiTheme="minorHAnsi" w:hAnsiTheme="minorHAnsi"/>
              </w:rPr>
            </w:pPr>
            <w:r w:rsidRPr="0026742A">
              <w:rPr>
                <w:rFonts w:asciiTheme="minorHAnsi" w:hAnsiTheme="minorHAnsi"/>
              </w:rPr>
              <w:t>SPECIFICITY</w:t>
            </w:r>
          </w:p>
        </w:tc>
        <w:tc>
          <w:tcPr>
            <w:tcW w:w="2415" w:type="dxa"/>
            <w:tcBorders>
              <w:bottom w:val="single" w:sz="8" w:space="0" w:color="000000"/>
              <w:right w:val="single" w:sz="8" w:space="0" w:color="000000"/>
            </w:tcBorders>
            <w:tcMar>
              <w:top w:w="100" w:type="dxa"/>
              <w:left w:w="100" w:type="dxa"/>
              <w:bottom w:w="100" w:type="dxa"/>
              <w:right w:w="100" w:type="dxa"/>
            </w:tcMar>
          </w:tcPr>
          <w:p w14:paraId="5A770F6C" w14:textId="46971C0D" w:rsidR="000C6051" w:rsidRPr="0026742A" w:rsidRDefault="000C6051" w:rsidP="00C20157">
            <w:pPr>
              <w:jc w:val="both"/>
              <w:rPr>
                <w:rFonts w:asciiTheme="minorHAnsi" w:hAnsiTheme="minorHAnsi"/>
                <w:vertAlign w:val="superscript"/>
              </w:rPr>
            </w:pPr>
            <w:r w:rsidRPr="0026742A">
              <w:rPr>
                <w:rFonts w:asciiTheme="minorHAnsi" w:hAnsiTheme="minorHAnsi"/>
              </w:rPr>
              <w:t>No binding to other members of superfamily: CD28, ICOS, CTLA-4, and BTLA (ELISA).</w:t>
            </w:r>
            <w:r w:rsidRPr="0026742A">
              <w:rPr>
                <w:rFonts w:asciiTheme="minorHAnsi" w:hAnsiTheme="minorHAnsi"/>
                <w:vertAlign w:val="superscript"/>
              </w:rPr>
              <w:fldChar w:fldCharType="begin" w:fldLock="1"/>
            </w:r>
            <w:r w:rsidR="00700962">
              <w:rPr>
                <w:rFonts w:asciiTheme="minorHAnsi" w:hAnsiTheme="minorHAnsi"/>
                <w:vertAlign w:val="superscript"/>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"mendeley" : { "formattedCitation" : "(21)", "plainTextFormattedCitation" : "(21)", "previouslyFormattedCitation" : "(21)" }, "properties" : { "noteIndex" : 0 }, "schema" : "https://github.com/citation-style-language/schema/raw/master/csl-citation.json" }</w:instrText>
            </w:r>
            <w:r w:rsidRPr="0026742A">
              <w:rPr>
                <w:rFonts w:asciiTheme="minorHAnsi" w:hAnsiTheme="minorHAnsi"/>
                <w:vertAlign w:val="superscript"/>
              </w:rPr>
              <w:fldChar w:fldCharType="separate"/>
            </w:r>
            <w:r w:rsidR="00C0435A" w:rsidRPr="00C0435A">
              <w:rPr>
                <w:rFonts w:asciiTheme="minorHAnsi" w:hAnsiTheme="minorHAnsi"/>
                <w:noProof/>
              </w:rPr>
              <w:t>(21)</w:t>
            </w:r>
            <w:r w:rsidRPr="0026742A">
              <w:rPr>
                <w:rFonts w:asciiTheme="minorHAnsi" w:hAnsiTheme="minorHAnsi"/>
                <w:vertAlign w:val="superscript"/>
              </w:rPr>
              <w:fldChar w:fldCharType="end"/>
            </w:r>
          </w:p>
        </w:tc>
        <w:tc>
          <w:tcPr>
            <w:tcW w:w="2340" w:type="dxa"/>
            <w:tcBorders>
              <w:bottom w:val="single" w:sz="8" w:space="0" w:color="000000"/>
              <w:right w:val="single" w:sz="8" w:space="0" w:color="000000"/>
            </w:tcBorders>
            <w:tcMar>
              <w:top w:w="100" w:type="dxa"/>
              <w:left w:w="100" w:type="dxa"/>
              <w:bottom w:w="100" w:type="dxa"/>
              <w:right w:w="100" w:type="dxa"/>
            </w:tcMar>
          </w:tcPr>
          <w:p w14:paraId="24977E2C" w14:textId="61B78028" w:rsidR="000C6051" w:rsidRPr="0026742A" w:rsidRDefault="000C6051" w:rsidP="0008040D">
            <w:pPr>
              <w:jc w:val="both"/>
              <w:rPr>
                <w:rFonts w:asciiTheme="minorHAnsi" w:hAnsiTheme="minorHAnsi"/>
              </w:rPr>
            </w:pPr>
            <w:r w:rsidRPr="0026742A">
              <w:rPr>
                <w:rFonts w:asciiTheme="minorHAnsi" w:hAnsiTheme="minorHAnsi"/>
              </w:rPr>
              <w:t>No</w:t>
            </w:r>
            <w:r w:rsidR="0008040D">
              <w:rPr>
                <w:rFonts w:asciiTheme="minorHAnsi" w:hAnsiTheme="minorHAnsi"/>
              </w:rPr>
              <w:t xml:space="preserve"> data found.</w:t>
            </w:r>
          </w:p>
        </w:tc>
        <w:tc>
          <w:tcPr>
            <w:tcW w:w="2700" w:type="dxa"/>
            <w:tcBorders>
              <w:bottom w:val="single" w:sz="8" w:space="0" w:color="000000"/>
              <w:right w:val="single" w:sz="8" w:space="0" w:color="000000"/>
            </w:tcBorders>
            <w:tcMar>
              <w:top w:w="100" w:type="dxa"/>
              <w:left w:w="100" w:type="dxa"/>
              <w:bottom w:w="100" w:type="dxa"/>
              <w:right w:w="100" w:type="dxa"/>
            </w:tcMar>
          </w:tcPr>
          <w:p w14:paraId="62D032F4" w14:textId="77777777" w:rsidR="000C6051" w:rsidRPr="0026742A" w:rsidRDefault="000C6051" w:rsidP="00C20157">
            <w:pPr>
              <w:jc w:val="both"/>
              <w:rPr>
                <w:rFonts w:asciiTheme="minorHAnsi" w:hAnsiTheme="minorHAnsi"/>
              </w:rPr>
            </w:pPr>
            <w:r w:rsidRPr="0026742A">
              <w:rPr>
                <w:rFonts w:asciiTheme="minorHAnsi" w:hAnsiTheme="minorHAnsi"/>
              </w:rPr>
              <w:t>As antibody specificity decreases, off-target side effects become more likely.</w:t>
            </w:r>
          </w:p>
        </w:tc>
      </w:tr>
      <w:tr w:rsidR="000C6051" w:rsidRPr="0026742A" w14:paraId="63DE302D" w14:textId="77777777" w:rsidTr="00EB7F56">
        <w:trPr>
          <w:trHeight w:val="2100"/>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1345A5" w14:textId="77777777" w:rsidR="000C6051" w:rsidRPr="0026742A" w:rsidRDefault="000C6051" w:rsidP="00C20157">
            <w:pPr>
              <w:jc w:val="both"/>
              <w:rPr>
                <w:rFonts w:asciiTheme="minorHAnsi" w:hAnsiTheme="minorHAnsi"/>
              </w:rPr>
            </w:pPr>
            <w:r w:rsidRPr="0026742A">
              <w:rPr>
                <w:rFonts w:asciiTheme="minorHAnsi" w:hAnsiTheme="minorHAnsi"/>
              </w:rPr>
              <w:t>DEGREE OF HUMANISATION</w:t>
            </w:r>
          </w:p>
        </w:tc>
        <w:tc>
          <w:tcPr>
            <w:tcW w:w="2415" w:type="dxa"/>
            <w:tcBorders>
              <w:bottom w:val="single" w:sz="8" w:space="0" w:color="000000"/>
              <w:right w:val="single" w:sz="8" w:space="0" w:color="000000"/>
            </w:tcBorders>
            <w:tcMar>
              <w:top w:w="100" w:type="dxa"/>
              <w:left w:w="100" w:type="dxa"/>
              <w:bottom w:w="100" w:type="dxa"/>
              <w:right w:w="100" w:type="dxa"/>
            </w:tcMar>
          </w:tcPr>
          <w:p w14:paraId="0063CD8C" w14:textId="77777777" w:rsidR="000C6051" w:rsidRPr="0026742A" w:rsidRDefault="000C6051" w:rsidP="00C20157">
            <w:pPr>
              <w:jc w:val="both"/>
              <w:rPr>
                <w:rFonts w:asciiTheme="minorHAnsi" w:hAnsiTheme="minorHAnsi"/>
              </w:rPr>
            </w:pPr>
            <w:r w:rsidRPr="0026742A">
              <w:rPr>
                <w:rFonts w:asciiTheme="minorHAnsi" w:hAnsiTheme="minorHAnsi"/>
              </w:rPr>
              <w:t xml:space="preserve">Antibody generated in humanised mice containing human immunoglobulin minilocus for both the heavy chain and light chain kappa locus. </w:t>
            </w:r>
          </w:p>
        </w:tc>
        <w:tc>
          <w:tcPr>
            <w:tcW w:w="2340" w:type="dxa"/>
            <w:tcBorders>
              <w:bottom w:val="single" w:sz="8" w:space="0" w:color="000000"/>
              <w:right w:val="single" w:sz="8" w:space="0" w:color="000000"/>
            </w:tcBorders>
            <w:tcMar>
              <w:top w:w="100" w:type="dxa"/>
              <w:left w:w="100" w:type="dxa"/>
              <w:bottom w:w="100" w:type="dxa"/>
              <w:right w:w="100" w:type="dxa"/>
            </w:tcMar>
          </w:tcPr>
          <w:p w14:paraId="0FD117FA" w14:textId="77777777" w:rsidR="000C6051" w:rsidRPr="0026742A" w:rsidRDefault="000C6051" w:rsidP="00C20157">
            <w:pPr>
              <w:jc w:val="both"/>
              <w:rPr>
                <w:rFonts w:asciiTheme="minorHAnsi" w:hAnsiTheme="minorHAnsi"/>
              </w:rPr>
            </w:pPr>
            <w:r w:rsidRPr="0026742A">
              <w:rPr>
                <w:rFonts w:asciiTheme="minorHAnsi" w:hAnsiTheme="minorHAnsi"/>
              </w:rPr>
              <w:t xml:space="preserve">Antibody generated in humanised mice containing human immunoglobulin minilocus for both the heavy chain and light chain locus. </w:t>
            </w:r>
          </w:p>
        </w:tc>
        <w:tc>
          <w:tcPr>
            <w:tcW w:w="2700" w:type="dxa"/>
            <w:tcBorders>
              <w:bottom w:val="single" w:sz="8" w:space="0" w:color="000000"/>
              <w:right w:val="single" w:sz="8" w:space="0" w:color="000000"/>
            </w:tcBorders>
            <w:tcMar>
              <w:top w:w="100" w:type="dxa"/>
              <w:left w:w="100" w:type="dxa"/>
              <w:bottom w:w="100" w:type="dxa"/>
              <w:right w:w="100" w:type="dxa"/>
            </w:tcMar>
          </w:tcPr>
          <w:p w14:paraId="63919A6D" w14:textId="77777777" w:rsidR="000C6051" w:rsidRPr="0026742A" w:rsidRDefault="000C6051" w:rsidP="00C20157">
            <w:pPr>
              <w:jc w:val="both"/>
              <w:rPr>
                <w:rFonts w:asciiTheme="minorHAnsi" w:hAnsiTheme="minorHAnsi"/>
              </w:rPr>
            </w:pPr>
            <w:r w:rsidRPr="0026742A">
              <w:rPr>
                <w:rFonts w:asciiTheme="minorHAnsi" w:hAnsiTheme="minorHAnsi"/>
              </w:rPr>
              <w:t>As the proportion of human sequences increase, immunogenicity of the drug decreases thus increasing drug stability and potency.</w:t>
            </w:r>
          </w:p>
        </w:tc>
      </w:tr>
      <w:tr w:rsidR="000C6051" w:rsidRPr="0026742A" w14:paraId="42EF4B60" w14:textId="77777777" w:rsidTr="00EB7F56">
        <w:trPr>
          <w:trHeight w:val="3400"/>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EB25EF" w14:textId="77777777" w:rsidR="000C6051" w:rsidRPr="0026742A" w:rsidRDefault="000C6051" w:rsidP="00C20157">
            <w:pPr>
              <w:jc w:val="both"/>
              <w:rPr>
                <w:rFonts w:asciiTheme="minorHAnsi" w:hAnsiTheme="minorHAnsi"/>
              </w:rPr>
            </w:pPr>
            <w:r w:rsidRPr="0026742A">
              <w:rPr>
                <w:rFonts w:asciiTheme="minorHAnsi" w:hAnsiTheme="minorHAnsi"/>
              </w:rPr>
              <w:lastRenderedPageBreak/>
              <w:t>ANTIBODY CLASS</w:t>
            </w:r>
          </w:p>
        </w:tc>
        <w:tc>
          <w:tcPr>
            <w:tcW w:w="2415" w:type="dxa"/>
            <w:tcBorders>
              <w:bottom w:val="single" w:sz="8" w:space="0" w:color="000000"/>
              <w:right w:val="single" w:sz="8" w:space="0" w:color="000000"/>
            </w:tcBorders>
            <w:tcMar>
              <w:top w:w="100" w:type="dxa"/>
              <w:left w:w="100" w:type="dxa"/>
              <w:bottom w:w="100" w:type="dxa"/>
              <w:right w:w="100" w:type="dxa"/>
            </w:tcMar>
          </w:tcPr>
          <w:p w14:paraId="211B17C5" w14:textId="77777777" w:rsidR="000C6051" w:rsidRPr="0026742A" w:rsidRDefault="000C6051" w:rsidP="00C20157">
            <w:pPr>
              <w:jc w:val="both"/>
              <w:rPr>
                <w:rFonts w:asciiTheme="minorHAnsi" w:hAnsiTheme="minorHAnsi"/>
              </w:rPr>
            </w:pPr>
            <w:r w:rsidRPr="0026742A">
              <w:rPr>
                <w:rFonts w:asciiTheme="minorHAnsi" w:hAnsiTheme="minorHAnsi"/>
              </w:rPr>
              <w:t>IgG4 subclass</w:t>
            </w:r>
          </w:p>
        </w:tc>
        <w:tc>
          <w:tcPr>
            <w:tcW w:w="2340" w:type="dxa"/>
            <w:tcBorders>
              <w:bottom w:val="single" w:sz="8" w:space="0" w:color="000000"/>
              <w:right w:val="single" w:sz="8" w:space="0" w:color="000000"/>
            </w:tcBorders>
            <w:tcMar>
              <w:top w:w="100" w:type="dxa"/>
              <w:left w:w="100" w:type="dxa"/>
              <w:bottom w:w="100" w:type="dxa"/>
              <w:right w:w="100" w:type="dxa"/>
            </w:tcMar>
          </w:tcPr>
          <w:p w14:paraId="276BA128" w14:textId="77777777" w:rsidR="000C6051" w:rsidRPr="0026742A" w:rsidRDefault="000C6051" w:rsidP="00C20157">
            <w:pPr>
              <w:jc w:val="both"/>
              <w:rPr>
                <w:rFonts w:asciiTheme="minorHAnsi" w:hAnsiTheme="minorHAnsi"/>
              </w:rPr>
            </w:pPr>
            <w:r w:rsidRPr="0026742A">
              <w:rPr>
                <w:rFonts w:asciiTheme="minorHAnsi" w:hAnsiTheme="minorHAnsi"/>
              </w:rPr>
              <w:t>IgG4 subclass</w:t>
            </w:r>
          </w:p>
        </w:tc>
        <w:tc>
          <w:tcPr>
            <w:tcW w:w="2700" w:type="dxa"/>
            <w:tcBorders>
              <w:bottom w:val="single" w:sz="8" w:space="0" w:color="000000"/>
              <w:right w:val="single" w:sz="8" w:space="0" w:color="000000"/>
            </w:tcBorders>
            <w:tcMar>
              <w:top w:w="100" w:type="dxa"/>
              <w:left w:w="100" w:type="dxa"/>
              <w:bottom w:w="100" w:type="dxa"/>
              <w:right w:w="100" w:type="dxa"/>
            </w:tcMar>
          </w:tcPr>
          <w:p w14:paraId="67124509" w14:textId="77777777" w:rsidR="000C6051" w:rsidRPr="0026742A" w:rsidRDefault="000C6051" w:rsidP="00C20157">
            <w:pPr>
              <w:jc w:val="both"/>
              <w:rPr>
                <w:rFonts w:asciiTheme="minorHAnsi" w:hAnsiTheme="minorHAnsi"/>
              </w:rPr>
            </w:pPr>
            <w:r w:rsidRPr="0026742A">
              <w:rPr>
                <w:rFonts w:asciiTheme="minorHAnsi" w:hAnsiTheme="minorHAnsi"/>
              </w:rPr>
              <w:t xml:space="preserve">Affects avidity, mechanism of drug action (certain isotypes competent for antibody dependent cell cytotoxicity) and molecular size. Thus affects clinical efficacy, potency, and tissue penetration. </w:t>
            </w:r>
          </w:p>
        </w:tc>
      </w:tr>
      <w:tr w:rsidR="000C6051" w:rsidRPr="0026742A" w14:paraId="60A9ECD9" w14:textId="77777777" w:rsidTr="00EB7F56">
        <w:trPr>
          <w:trHeight w:val="2100"/>
        </w:trPr>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2B8B4C" w14:textId="77777777" w:rsidR="000C6051" w:rsidRPr="0026742A" w:rsidRDefault="000C6051" w:rsidP="00C20157">
            <w:pPr>
              <w:jc w:val="both"/>
              <w:rPr>
                <w:rFonts w:asciiTheme="minorHAnsi" w:hAnsiTheme="minorHAnsi"/>
              </w:rPr>
            </w:pPr>
            <w:r w:rsidRPr="0026742A">
              <w:rPr>
                <w:rFonts w:asciiTheme="minorHAnsi" w:hAnsiTheme="minorHAnsi"/>
              </w:rPr>
              <w:t>GLUCOSE MODIFICATIONS</w:t>
            </w:r>
          </w:p>
        </w:tc>
        <w:tc>
          <w:tcPr>
            <w:tcW w:w="2415" w:type="dxa"/>
            <w:tcBorders>
              <w:bottom w:val="single" w:sz="8" w:space="0" w:color="000000"/>
              <w:right w:val="single" w:sz="8" w:space="0" w:color="000000"/>
            </w:tcBorders>
            <w:tcMar>
              <w:top w:w="100" w:type="dxa"/>
              <w:left w:w="100" w:type="dxa"/>
              <w:bottom w:w="100" w:type="dxa"/>
              <w:right w:w="100" w:type="dxa"/>
            </w:tcMar>
          </w:tcPr>
          <w:p w14:paraId="2E8BD241" w14:textId="77777777" w:rsidR="000C6051" w:rsidRPr="0026742A" w:rsidRDefault="000C6051" w:rsidP="00C20157">
            <w:pPr>
              <w:jc w:val="both"/>
              <w:rPr>
                <w:rFonts w:asciiTheme="minorHAnsi" w:hAnsiTheme="minorHAnsi"/>
              </w:rPr>
            </w:pPr>
            <w:r w:rsidRPr="0026742A">
              <w:rPr>
                <w:rFonts w:asciiTheme="minorHAnsi" w:hAnsiTheme="minorHAnsi"/>
              </w:rPr>
              <w:t>CHO production – no additional sugar modifications</w:t>
            </w:r>
          </w:p>
        </w:tc>
        <w:tc>
          <w:tcPr>
            <w:tcW w:w="2340" w:type="dxa"/>
            <w:tcBorders>
              <w:bottom w:val="single" w:sz="8" w:space="0" w:color="000000"/>
              <w:right w:val="single" w:sz="8" w:space="0" w:color="000000"/>
            </w:tcBorders>
            <w:tcMar>
              <w:top w:w="100" w:type="dxa"/>
              <w:left w:w="100" w:type="dxa"/>
              <w:bottom w:w="100" w:type="dxa"/>
              <w:right w:w="100" w:type="dxa"/>
            </w:tcMar>
          </w:tcPr>
          <w:p w14:paraId="450DD3D1" w14:textId="77777777" w:rsidR="000C6051" w:rsidRPr="0026742A" w:rsidRDefault="000C6051" w:rsidP="00C20157">
            <w:pPr>
              <w:jc w:val="both"/>
              <w:rPr>
                <w:rFonts w:asciiTheme="minorHAnsi" w:hAnsiTheme="minorHAnsi"/>
              </w:rPr>
            </w:pPr>
            <w:r w:rsidRPr="0026742A">
              <w:rPr>
                <w:rFonts w:asciiTheme="minorHAnsi" w:hAnsiTheme="minorHAnsi"/>
              </w:rPr>
              <w:t>CHO production – no additional sugar modifications</w:t>
            </w:r>
          </w:p>
        </w:tc>
        <w:tc>
          <w:tcPr>
            <w:tcW w:w="2700" w:type="dxa"/>
            <w:tcBorders>
              <w:bottom w:val="single" w:sz="8" w:space="0" w:color="000000"/>
              <w:right w:val="single" w:sz="8" w:space="0" w:color="000000"/>
            </w:tcBorders>
            <w:tcMar>
              <w:top w:w="100" w:type="dxa"/>
              <w:left w:w="100" w:type="dxa"/>
              <w:bottom w:w="100" w:type="dxa"/>
              <w:right w:w="100" w:type="dxa"/>
            </w:tcMar>
          </w:tcPr>
          <w:p w14:paraId="3E83C85A" w14:textId="77777777" w:rsidR="000C6051" w:rsidRPr="0026742A" w:rsidRDefault="000C6051" w:rsidP="00C20157">
            <w:pPr>
              <w:jc w:val="both"/>
              <w:rPr>
                <w:rFonts w:asciiTheme="minorHAnsi" w:hAnsiTheme="minorHAnsi"/>
              </w:rPr>
            </w:pPr>
            <w:r w:rsidRPr="0026742A">
              <w:rPr>
                <w:rFonts w:asciiTheme="minorHAnsi" w:hAnsiTheme="minorHAnsi"/>
              </w:rPr>
              <w:t>Fc region binding to immune receptors can be modulated by targeted sugar modifications. This can enhance mechanisms of action and affect drug stability.</w:t>
            </w:r>
          </w:p>
        </w:tc>
      </w:tr>
    </w:tbl>
    <w:p w14:paraId="4A6E3D35" w14:textId="77777777" w:rsidR="00E4298E" w:rsidRDefault="00E4298E" w:rsidP="00C20157">
      <w:pPr>
        <w:widowControl w:val="0"/>
        <w:autoSpaceDE w:val="0"/>
        <w:autoSpaceDN w:val="0"/>
        <w:adjustRightInd w:val="0"/>
        <w:spacing w:line="480" w:lineRule="auto"/>
        <w:ind w:left="640" w:hanging="640"/>
        <w:jc w:val="both"/>
        <w:rPr>
          <w:sz w:val="24"/>
          <w:szCs w:val="24"/>
        </w:rPr>
      </w:pPr>
    </w:p>
    <w:p w14:paraId="2649E940" w14:textId="23E4ABB5" w:rsidR="000C6051" w:rsidRPr="00800743" w:rsidRDefault="000C6051" w:rsidP="00C20157">
      <w:pPr>
        <w:spacing w:line="480" w:lineRule="auto"/>
        <w:jc w:val="both"/>
        <w:outlineLvl w:val="0"/>
        <w:rPr>
          <w:sz w:val="24"/>
          <w:szCs w:val="24"/>
        </w:rPr>
      </w:pPr>
      <w:r w:rsidRPr="00800743">
        <w:rPr>
          <w:b/>
          <w:sz w:val="24"/>
          <w:szCs w:val="24"/>
        </w:rPr>
        <w:t xml:space="preserve">Table 2: </w:t>
      </w:r>
      <w:r w:rsidRPr="00800743">
        <w:rPr>
          <w:sz w:val="24"/>
          <w:szCs w:val="24"/>
        </w:rPr>
        <w:t xml:space="preserve">Pharmacokinetic properties of </w:t>
      </w:r>
      <w:r>
        <w:rPr>
          <w:sz w:val="24"/>
          <w:szCs w:val="24"/>
        </w:rPr>
        <w:t>nivolumab</w:t>
      </w:r>
      <w:r w:rsidRPr="00800743">
        <w:rPr>
          <w:sz w:val="24"/>
          <w:szCs w:val="24"/>
        </w:rPr>
        <w:t xml:space="preserve"> and </w:t>
      </w:r>
      <w:r>
        <w:rPr>
          <w:sz w:val="24"/>
          <w:szCs w:val="24"/>
        </w:rPr>
        <w:t>pembrolizumab</w:t>
      </w:r>
      <w:r w:rsidRPr="00800743">
        <w:rPr>
          <w:sz w:val="24"/>
          <w:szCs w:val="24"/>
        </w:rPr>
        <w:fldChar w:fldCharType="begin" w:fldLock="1"/>
      </w:r>
      <w:r w:rsidR="0090056A">
        <w:rPr>
          <w:sz w:val="24"/>
          <w:szCs w:val="24"/>
        </w:rPr>
        <w:instrText>ADDIN CSL_CITATION { "citationItems" : [ { "id" : "ITEM-1", "itemData" : { "abstract" : "Telephone +44 (0)20 3660 6000 Facsimile +44 (0)20 3660 5520 Send a question via our website www.ema.europa.eu/contact", "author" : [ { "dropping-particle" : "", "family" : "EMA", "given" : "", "non-dropping-particle" : "", "parse-names" : false, "suffix" : "" } ], "id" : "ITEM-1", "issued" : { "date-parts" : [ [ "2015" ] ] }, "title" : "Assessment report OPDIVO International non-proprietary name: nivolumab", "type" : "article-journal" }, "uris" : [ "http://www.mendeley.com/documents/?uuid=cb660391-6c24-4e58-9bbf-5af8261df55b" ] }, { "id" : "ITEM-2", "itemData" : { "abstract" : "Telephone +44 (0)20 3660 6000 Facsimile +44 (0)20 3660 5555 Send a question via our website www.ema.europa.eu/contact", "author" : [ { "dropping-particle" : "", "family" : "EMA", "given" : "", "non-dropping-particle" : "", "parse-names" : false, "suffix" : "" } ], "id" : "ITEM-2", "issued" : { "date-parts" : [ [ "2015" ] ] }, "title" : "Assessment report Keytruda International non-proprietary name: pembrolizumab", "type" : "article-journal" }, "uris" : [ "http://www.mendeley.com/documents/?uuid=87086084-a430-402b-b2d3-c194dd88f64a" ] } ], "mendeley" : { "formattedCitation" : "(21,22)", "manualFormatting" : "[21,22]", "plainTextFormattedCitation" : "(21,22)", "previouslyFormattedCitation" : "(21,22)" }, "properties" : { "noteIndex" : 0 }, "schema" : "https://github.com/citation-style-language/schema/raw/master/csl-citation.json" }</w:instrText>
      </w:r>
      <w:r w:rsidRPr="00800743">
        <w:rPr>
          <w:sz w:val="24"/>
          <w:szCs w:val="24"/>
        </w:rPr>
        <w:fldChar w:fldCharType="separate"/>
      </w:r>
      <w:r w:rsidR="0090056A">
        <w:rPr>
          <w:noProof/>
          <w:sz w:val="24"/>
          <w:szCs w:val="24"/>
        </w:rPr>
        <w:t>[</w:t>
      </w:r>
      <w:r w:rsidR="00C0435A" w:rsidRPr="00C0435A">
        <w:rPr>
          <w:noProof/>
          <w:sz w:val="24"/>
          <w:szCs w:val="24"/>
        </w:rPr>
        <w:t>21,22</w:t>
      </w:r>
      <w:r w:rsidR="0090056A">
        <w:rPr>
          <w:noProof/>
          <w:sz w:val="24"/>
          <w:szCs w:val="24"/>
        </w:rPr>
        <w:t>]</w:t>
      </w:r>
      <w:r w:rsidRPr="00800743">
        <w:rPr>
          <w:sz w:val="24"/>
          <w:szCs w:val="24"/>
        </w:rPr>
        <w:fldChar w:fldCharType="end"/>
      </w:r>
    </w:p>
    <w:tbl>
      <w:tblPr>
        <w:tblStyle w:val="a0"/>
        <w:tblW w:w="9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30"/>
        <w:gridCol w:w="3045"/>
        <w:gridCol w:w="3115"/>
      </w:tblGrid>
      <w:tr w:rsidR="000C6051" w:rsidRPr="0026742A" w14:paraId="1C4C5F11" w14:textId="77777777" w:rsidTr="00EB7F56">
        <w:trPr>
          <w:trHeight w:val="480"/>
        </w:trPr>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60F1E" w14:textId="77777777" w:rsidR="000C6051" w:rsidRPr="0026742A" w:rsidRDefault="000C6051" w:rsidP="00C20157">
            <w:pPr>
              <w:jc w:val="both"/>
              <w:rPr>
                <w:rFonts w:asciiTheme="minorHAnsi" w:hAnsiTheme="minorHAnsi"/>
              </w:rPr>
            </w:pPr>
            <w:r w:rsidRPr="0026742A">
              <w:rPr>
                <w:rFonts w:asciiTheme="minorHAnsi" w:hAnsiTheme="minorHAnsi"/>
              </w:rPr>
              <w:t xml:space="preserve"> </w:t>
            </w:r>
          </w:p>
        </w:tc>
        <w:tc>
          <w:tcPr>
            <w:tcW w:w="3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FEEE0E" w14:textId="77777777" w:rsidR="000C6051" w:rsidRPr="0026742A" w:rsidRDefault="000C6051" w:rsidP="00C20157">
            <w:pPr>
              <w:jc w:val="both"/>
              <w:rPr>
                <w:rFonts w:asciiTheme="minorHAnsi" w:hAnsiTheme="minorHAnsi"/>
                <w:b/>
              </w:rPr>
            </w:pPr>
            <w:r>
              <w:rPr>
                <w:rFonts w:asciiTheme="minorHAnsi" w:hAnsiTheme="minorHAnsi"/>
                <w:b/>
              </w:rPr>
              <w:t>Nivolumab</w:t>
            </w:r>
          </w:p>
        </w:tc>
        <w:tc>
          <w:tcPr>
            <w:tcW w:w="31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FF682C" w14:textId="77777777" w:rsidR="000C6051" w:rsidRPr="0026742A" w:rsidRDefault="000C6051" w:rsidP="00C20157">
            <w:pPr>
              <w:jc w:val="both"/>
              <w:rPr>
                <w:rFonts w:asciiTheme="minorHAnsi" w:hAnsiTheme="minorHAnsi"/>
                <w:b/>
              </w:rPr>
            </w:pPr>
            <w:r>
              <w:rPr>
                <w:rFonts w:asciiTheme="minorHAnsi" w:hAnsiTheme="minorHAnsi"/>
                <w:b/>
              </w:rPr>
              <w:t>Pembrolizumab</w:t>
            </w:r>
          </w:p>
        </w:tc>
      </w:tr>
      <w:tr w:rsidR="000C6051" w:rsidRPr="0026742A" w14:paraId="2FF5875A" w14:textId="77777777" w:rsidTr="00EB7F56">
        <w:trPr>
          <w:trHeight w:val="740"/>
        </w:trPr>
        <w:tc>
          <w:tcPr>
            <w:tcW w:w="30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E7C50D" w14:textId="77777777" w:rsidR="000C6051" w:rsidRPr="0026742A" w:rsidRDefault="000C6051" w:rsidP="00C20157">
            <w:pPr>
              <w:jc w:val="both"/>
              <w:rPr>
                <w:rFonts w:asciiTheme="minorHAnsi" w:hAnsiTheme="minorHAnsi"/>
                <w:b/>
              </w:rPr>
            </w:pPr>
            <w:r w:rsidRPr="0026742A">
              <w:rPr>
                <w:rFonts w:asciiTheme="minorHAnsi" w:hAnsiTheme="minorHAnsi"/>
                <w:b/>
              </w:rPr>
              <w:t>Clearance</w:t>
            </w:r>
          </w:p>
        </w:tc>
        <w:tc>
          <w:tcPr>
            <w:tcW w:w="3045" w:type="dxa"/>
            <w:tcBorders>
              <w:bottom w:val="single" w:sz="8" w:space="0" w:color="000000"/>
              <w:right w:val="single" w:sz="8" w:space="0" w:color="000000"/>
            </w:tcBorders>
            <w:tcMar>
              <w:top w:w="100" w:type="dxa"/>
              <w:left w:w="100" w:type="dxa"/>
              <w:bottom w:w="100" w:type="dxa"/>
              <w:right w:w="100" w:type="dxa"/>
            </w:tcMar>
          </w:tcPr>
          <w:p w14:paraId="2E7F4E34" w14:textId="77777777" w:rsidR="000C6051" w:rsidRPr="0026742A" w:rsidRDefault="000C6051" w:rsidP="00C20157">
            <w:pPr>
              <w:jc w:val="both"/>
              <w:rPr>
                <w:rFonts w:asciiTheme="minorHAnsi" w:hAnsiTheme="minorHAnsi"/>
              </w:rPr>
            </w:pPr>
            <w:r w:rsidRPr="0026742A">
              <w:rPr>
                <w:rFonts w:asciiTheme="minorHAnsi" w:hAnsiTheme="minorHAnsi"/>
              </w:rPr>
              <w:t>0.2 L/day via non-specific catabolism</w:t>
            </w:r>
          </w:p>
        </w:tc>
        <w:tc>
          <w:tcPr>
            <w:tcW w:w="3115" w:type="dxa"/>
            <w:tcBorders>
              <w:bottom w:val="single" w:sz="8" w:space="0" w:color="000000"/>
              <w:right w:val="single" w:sz="8" w:space="0" w:color="000000"/>
            </w:tcBorders>
            <w:tcMar>
              <w:top w:w="100" w:type="dxa"/>
              <w:left w:w="100" w:type="dxa"/>
              <w:bottom w:w="100" w:type="dxa"/>
              <w:right w:w="100" w:type="dxa"/>
            </w:tcMar>
          </w:tcPr>
          <w:p w14:paraId="64E7E97F" w14:textId="77777777" w:rsidR="000C6051" w:rsidRPr="0026742A" w:rsidRDefault="000C6051" w:rsidP="00C20157">
            <w:pPr>
              <w:jc w:val="both"/>
              <w:rPr>
                <w:rFonts w:asciiTheme="minorHAnsi" w:hAnsiTheme="minorHAnsi"/>
              </w:rPr>
            </w:pPr>
            <w:r w:rsidRPr="0026742A">
              <w:rPr>
                <w:rFonts w:asciiTheme="minorHAnsi" w:hAnsiTheme="minorHAnsi"/>
              </w:rPr>
              <w:t>0.2 L/day via non-specific catabolism</w:t>
            </w:r>
          </w:p>
        </w:tc>
      </w:tr>
      <w:tr w:rsidR="000C6051" w:rsidRPr="0026742A" w14:paraId="7E7A4BA4" w14:textId="77777777" w:rsidTr="00EB7F56">
        <w:trPr>
          <w:trHeight w:val="480"/>
        </w:trPr>
        <w:tc>
          <w:tcPr>
            <w:tcW w:w="30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5655D8" w14:textId="77777777" w:rsidR="000C6051" w:rsidRPr="0026742A" w:rsidRDefault="000C6051" w:rsidP="00C20157">
            <w:pPr>
              <w:jc w:val="both"/>
              <w:rPr>
                <w:rFonts w:asciiTheme="minorHAnsi" w:hAnsiTheme="minorHAnsi"/>
                <w:b/>
              </w:rPr>
            </w:pPr>
            <w:r w:rsidRPr="0026742A">
              <w:rPr>
                <w:rFonts w:asciiTheme="minorHAnsi" w:hAnsiTheme="minorHAnsi"/>
                <w:b/>
              </w:rPr>
              <w:t>Terminal half life</w:t>
            </w:r>
          </w:p>
        </w:tc>
        <w:tc>
          <w:tcPr>
            <w:tcW w:w="3045" w:type="dxa"/>
            <w:tcBorders>
              <w:bottom w:val="single" w:sz="8" w:space="0" w:color="000000"/>
              <w:right w:val="single" w:sz="8" w:space="0" w:color="000000"/>
            </w:tcBorders>
            <w:tcMar>
              <w:top w:w="100" w:type="dxa"/>
              <w:left w:w="100" w:type="dxa"/>
              <w:bottom w:w="100" w:type="dxa"/>
              <w:right w:w="100" w:type="dxa"/>
            </w:tcMar>
          </w:tcPr>
          <w:p w14:paraId="00282A9F" w14:textId="77777777" w:rsidR="000C6051" w:rsidRPr="0026742A" w:rsidRDefault="000C6051" w:rsidP="00C20157">
            <w:pPr>
              <w:jc w:val="both"/>
              <w:rPr>
                <w:rFonts w:asciiTheme="minorHAnsi" w:hAnsiTheme="minorHAnsi"/>
              </w:rPr>
            </w:pPr>
            <w:r w:rsidRPr="0026742A">
              <w:rPr>
                <w:rFonts w:asciiTheme="minorHAnsi" w:hAnsiTheme="minorHAnsi"/>
              </w:rPr>
              <w:t>26.7 days</w:t>
            </w:r>
          </w:p>
        </w:tc>
        <w:tc>
          <w:tcPr>
            <w:tcW w:w="3115" w:type="dxa"/>
            <w:tcBorders>
              <w:bottom w:val="single" w:sz="8" w:space="0" w:color="000000"/>
              <w:right w:val="single" w:sz="8" w:space="0" w:color="000000"/>
            </w:tcBorders>
            <w:tcMar>
              <w:top w:w="100" w:type="dxa"/>
              <w:left w:w="100" w:type="dxa"/>
              <w:bottom w:w="100" w:type="dxa"/>
              <w:right w:w="100" w:type="dxa"/>
            </w:tcMar>
          </w:tcPr>
          <w:p w14:paraId="1FF7BF80" w14:textId="77777777" w:rsidR="000C6051" w:rsidRPr="0026742A" w:rsidRDefault="000C6051" w:rsidP="00C20157">
            <w:pPr>
              <w:jc w:val="both"/>
              <w:rPr>
                <w:rFonts w:asciiTheme="minorHAnsi" w:hAnsiTheme="minorHAnsi"/>
              </w:rPr>
            </w:pPr>
            <w:r w:rsidRPr="0026742A">
              <w:rPr>
                <w:rFonts w:asciiTheme="minorHAnsi" w:hAnsiTheme="minorHAnsi"/>
              </w:rPr>
              <w:t>26 days</w:t>
            </w:r>
          </w:p>
        </w:tc>
      </w:tr>
      <w:tr w:rsidR="000C6051" w:rsidRPr="0026742A" w14:paraId="5594A576" w14:textId="77777777" w:rsidTr="00EB7F56">
        <w:trPr>
          <w:trHeight w:val="1280"/>
        </w:trPr>
        <w:tc>
          <w:tcPr>
            <w:tcW w:w="30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B4DF5F" w14:textId="77777777" w:rsidR="000C6051" w:rsidRPr="0026742A" w:rsidRDefault="000C6051" w:rsidP="00C20157">
            <w:pPr>
              <w:jc w:val="both"/>
              <w:rPr>
                <w:rFonts w:asciiTheme="minorHAnsi" w:hAnsiTheme="minorHAnsi"/>
                <w:b/>
              </w:rPr>
            </w:pPr>
            <w:r w:rsidRPr="0026742A">
              <w:rPr>
                <w:rFonts w:asciiTheme="minorHAnsi" w:hAnsiTheme="minorHAnsi"/>
                <w:b/>
              </w:rPr>
              <w:t>Steady state concentrations</w:t>
            </w:r>
          </w:p>
        </w:tc>
        <w:tc>
          <w:tcPr>
            <w:tcW w:w="3045" w:type="dxa"/>
            <w:tcBorders>
              <w:bottom w:val="single" w:sz="8" w:space="0" w:color="000000"/>
              <w:right w:val="single" w:sz="8" w:space="0" w:color="000000"/>
            </w:tcBorders>
            <w:tcMar>
              <w:top w:w="100" w:type="dxa"/>
              <w:left w:w="100" w:type="dxa"/>
              <w:bottom w:w="100" w:type="dxa"/>
              <w:right w:w="100" w:type="dxa"/>
            </w:tcMar>
          </w:tcPr>
          <w:p w14:paraId="19E9FEAE" w14:textId="77777777" w:rsidR="000C6051" w:rsidRPr="0026742A" w:rsidRDefault="000C6051" w:rsidP="00C20157">
            <w:pPr>
              <w:jc w:val="both"/>
              <w:rPr>
                <w:rFonts w:asciiTheme="minorHAnsi" w:hAnsiTheme="minorHAnsi"/>
              </w:rPr>
            </w:pPr>
            <w:r w:rsidRPr="0026742A">
              <w:rPr>
                <w:rFonts w:asciiTheme="minorHAnsi" w:hAnsiTheme="minorHAnsi"/>
              </w:rPr>
              <w:t>Reached by 12 weeks when administered at 3 mg/kg every 2 weeks (6 doses)</w:t>
            </w:r>
          </w:p>
        </w:tc>
        <w:tc>
          <w:tcPr>
            <w:tcW w:w="3115" w:type="dxa"/>
            <w:tcBorders>
              <w:bottom w:val="single" w:sz="8" w:space="0" w:color="000000"/>
              <w:right w:val="single" w:sz="8" w:space="0" w:color="000000"/>
            </w:tcBorders>
            <w:tcMar>
              <w:top w:w="100" w:type="dxa"/>
              <w:left w:w="100" w:type="dxa"/>
              <w:bottom w:w="100" w:type="dxa"/>
              <w:right w:w="100" w:type="dxa"/>
            </w:tcMar>
          </w:tcPr>
          <w:p w14:paraId="40DC1168" w14:textId="77777777" w:rsidR="000C6051" w:rsidRPr="0026742A" w:rsidRDefault="000C6051" w:rsidP="00C20157">
            <w:pPr>
              <w:jc w:val="both"/>
              <w:rPr>
                <w:rFonts w:asciiTheme="minorHAnsi" w:hAnsiTheme="minorHAnsi"/>
              </w:rPr>
            </w:pPr>
            <w:r w:rsidRPr="0026742A">
              <w:rPr>
                <w:rFonts w:asciiTheme="minorHAnsi" w:hAnsiTheme="minorHAnsi"/>
              </w:rPr>
              <w:t>Reached by 18 weeks when administered at 2 mg/kg every 3 weeks (6 doses)</w:t>
            </w:r>
          </w:p>
        </w:tc>
      </w:tr>
      <w:tr w:rsidR="000C6051" w:rsidRPr="0026742A" w14:paraId="232F6B0D" w14:textId="77777777" w:rsidTr="00EB7F56">
        <w:trPr>
          <w:trHeight w:val="740"/>
        </w:trPr>
        <w:tc>
          <w:tcPr>
            <w:tcW w:w="30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9C822C" w14:textId="77777777" w:rsidR="000C6051" w:rsidRPr="0026742A" w:rsidRDefault="000C6051" w:rsidP="00C20157">
            <w:pPr>
              <w:jc w:val="both"/>
              <w:rPr>
                <w:rFonts w:asciiTheme="minorHAnsi" w:hAnsiTheme="minorHAnsi"/>
                <w:b/>
              </w:rPr>
            </w:pPr>
            <w:r w:rsidRPr="0026742A">
              <w:rPr>
                <w:rFonts w:asciiTheme="minorHAnsi" w:hAnsiTheme="minorHAnsi"/>
                <w:b/>
              </w:rPr>
              <w:t>Recommended dose</w:t>
            </w:r>
          </w:p>
        </w:tc>
        <w:tc>
          <w:tcPr>
            <w:tcW w:w="3045" w:type="dxa"/>
            <w:tcBorders>
              <w:bottom w:val="single" w:sz="8" w:space="0" w:color="000000"/>
              <w:right w:val="single" w:sz="8" w:space="0" w:color="000000"/>
            </w:tcBorders>
            <w:tcMar>
              <w:top w:w="100" w:type="dxa"/>
              <w:left w:w="100" w:type="dxa"/>
              <w:bottom w:w="100" w:type="dxa"/>
              <w:right w:w="100" w:type="dxa"/>
            </w:tcMar>
          </w:tcPr>
          <w:p w14:paraId="093AB7D1" w14:textId="77777777" w:rsidR="000C6051" w:rsidRPr="0026742A" w:rsidRDefault="000C6051" w:rsidP="00C20157">
            <w:pPr>
              <w:jc w:val="both"/>
              <w:rPr>
                <w:rFonts w:asciiTheme="minorHAnsi" w:hAnsiTheme="minorHAnsi"/>
              </w:rPr>
            </w:pPr>
            <w:r w:rsidRPr="0026742A">
              <w:rPr>
                <w:rFonts w:asciiTheme="minorHAnsi" w:hAnsiTheme="minorHAnsi"/>
              </w:rPr>
              <w:t>3 mg/kg iv over 60 min every 2 weeks</w:t>
            </w:r>
          </w:p>
        </w:tc>
        <w:tc>
          <w:tcPr>
            <w:tcW w:w="3115" w:type="dxa"/>
            <w:tcBorders>
              <w:bottom w:val="single" w:sz="8" w:space="0" w:color="000000"/>
              <w:right w:val="single" w:sz="8" w:space="0" w:color="000000"/>
            </w:tcBorders>
            <w:tcMar>
              <w:top w:w="100" w:type="dxa"/>
              <w:left w:w="100" w:type="dxa"/>
              <w:bottom w:w="100" w:type="dxa"/>
              <w:right w:w="100" w:type="dxa"/>
            </w:tcMar>
          </w:tcPr>
          <w:p w14:paraId="2CAA7AA2" w14:textId="77777777" w:rsidR="000C6051" w:rsidRPr="0026742A" w:rsidRDefault="000C6051" w:rsidP="00C20157">
            <w:pPr>
              <w:jc w:val="both"/>
              <w:rPr>
                <w:rFonts w:asciiTheme="minorHAnsi" w:hAnsiTheme="minorHAnsi"/>
              </w:rPr>
            </w:pPr>
            <w:r w:rsidRPr="0026742A">
              <w:rPr>
                <w:rFonts w:asciiTheme="minorHAnsi" w:hAnsiTheme="minorHAnsi"/>
              </w:rPr>
              <w:t>2 mg/kg iv over 30 min every 3 weeks</w:t>
            </w:r>
          </w:p>
        </w:tc>
      </w:tr>
    </w:tbl>
    <w:p w14:paraId="6D2A8F29" w14:textId="77777777" w:rsidR="000C6051" w:rsidRPr="00800743" w:rsidRDefault="000C6051" w:rsidP="00C20157">
      <w:pPr>
        <w:spacing w:line="480" w:lineRule="auto"/>
        <w:jc w:val="both"/>
        <w:rPr>
          <w:sz w:val="24"/>
          <w:szCs w:val="24"/>
        </w:rPr>
      </w:pPr>
      <w:r w:rsidRPr="00800743">
        <w:rPr>
          <w:sz w:val="24"/>
          <w:szCs w:val="24"/>
        </w:rPr>
        <w:t xml:space="preserve"> </w:t>
      </w:r>
    </w:p>
    <w:p w14:paraId="40A5736D" w14:textId="77777777" w:rsidR="000C6051" w:rsidRPr="00800743" w:rsidRDefault="000C6051" w:rsidP="00C20157">
      <w:pPr>
        <w:widowControl w:val="0"/>
        <w:autoSpaceDE w:val="0"/>
        <w:autoSpaceDN w:val="0"/>
        <w:adjustRightInd w:val="0"/>
        <w:spacing w:line="480" w:lineRule="auto"/>
        <w:ind w:left="640" w:hanging="640"/>
        <w:jc w:val="both"/>
        <w:rPr>
          <w:sz w:val="24"/>
          <w:szCs w:val="24"/>
        </w:rPr>
      </w:pPr>
    </w:p>
    <w:sectPr w:rsidR="000C6051" w:rsidRPr="00800743">
      <w:footerReference w:type="default" r:id="rId9"/>
      <w:pgSz w:w="12240" w:h="15840"/>
      <w:pgMar w:top="1440" w:right="1440" w:bottom="1440" w:left="1440" w:header="0" w:footer="720" w:gutter="0"/>
      <w:pgNumType w:start="1"/>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C99CFD" w15:done="0"/>
  <w15:commentEx w15:paraId="49D7F60C" w15:done="0"/>
  <w15:commentEx w15:paraId="6A0515DF" w15:done="0"/>
  <w15:commentEx w15:paraId="2D6B2875" w15:done="0"/>
  <w15:commentEx w15:paraId="231E70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1D7EE" w14:textId="77777777" w:rsidR="00375C8B" w:rsidRDefault="00375C8B" w:rsidP="00800743">
      <w:pPr>
        <w:spacing w:line="240" w:lineRule="auto"/>
      </w:pPr>
      <w:r>
        <w:separator/>
      </w:r>
    </w:p>
  </w:endnote>
  <w:endnote w:type="continuationSeparator" w:id="0">
    <w:p w14:paraId="2540B0CF" w14:textId="77777777" w:rsidR="00375C8B" w:rsidRDefault="00375C8B" w:rsidP="00800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083840"/>
      <w:docPartObj>
        <w:docPartGallery w:val="Page Numbers (Bottom of Page)"/>
        <w:docPartUnique/>
      </w:docPartObj>
    </w:sdtPr>
    <w:sdtEndPr>
      <w:rPr>
        <w:noProof/>
      </w:rPr>
    </w:sdtEndPr>
    <w:sdtContent>
      <w:p w14:paraId="65D32878" w14:textId="3915F36D" w:rsidR="00375C8B" w:rsidRDefault="00375C8B">
        <w:pPr>
          <w:pStyle w:val="Footer"/>
          <w:jc w:val="right"/>
        </w:pPr>
        <w:r>
          <w:fldChar w:fldCharType="begin"/>
        </w:r>
        <w:r>
          <w:instrText xml:space="preserve"> PAGE   \* MERGEFORMAT </w:instrText>
        </w:r>
        <w:r>
          <w:fldChar w:fldCharType="separate"/>
        </w:r>
        <w:r w:rsidR="00A2497D">
          <w:rPr>
            <w:noProof/>
          </w:rPr>
          <w:t>15</w:t>
        </w:r>
        <w:r>
          <w:rPr>
            <w:noProof/>
          </w:rPr>
          <w:fldChar w:fldCharType="end"/>
        </w:r>
      </w:p>
    </w:sdtContent>
  </w:sdt>
  <w:p w14:paraId="5F0CC8D3" w14:textId="77777777" w:rsidR="00375C8B" w:rsidRDefault="00375C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9B2B7" w14:textId="77777777" w:rsidR="00375C8B" w:rsidRDefault="00375C8B" w:rsidP="00800743">
      <w:pPr>
        <w:spacing w:line="240" w:lineRule="auto"/>
      </w:pPr>
      <w:r>
        <w:separator/>
      </w:r>
    </w:p>
  </w:footnote>
  <w:footnote w:type="continuationSeparator" w:id="0">
    <w:p w14:paraId="7E4E37B0" w14:textId="77777777" w:rsidR="00375C8B" w:rsidRDefault="00375C8B" w:rsidP="00800743">
      <w:pPr>
        <w:spacing w:line="240" w:lineRule="auto"/>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ssal Lee">
    <w15:presenceInfo w15:providerId="None" w15:userId="Hassal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4298E"/>
    <w:rsid w:val="0001593E"/>
    <w:rsid w:val="00071B21"/>
    <w:rsid w:val="0008040D"/>
    <w:rsid w:val="000B124D"/>
    <w:rsid w:val="000B13E0"/>
    <w:rsid w:val="000B7114"/>
    <w:rsid w:val="000C6051"/>
    <w:rsid w:val="000C6069"/>
    <w:rsid w:val="000D00A8"/>
    <w:rsid w:val="000F5DDB"/>
    <w:rsid w:val="00106CA2"/>
    <w:rsid w:val="001101F2"/>
    <w:rsid w:val="001311D2"/>
    <w:rsid w:val="001421DE"/>
    <w:rsid w:val="00166AD2"/>
    <w:rsid w:val="00166D6F"/>
    <w:rsid w:val="00175432"/>
    <w:rsid w:val="00190AB0"/>
    <w:rsid w:val="001E45E8"/>
    <w:rsid w:val="001E4A78"/>
    <w:rsid w:val="00215825"/>
    <w:rsid w:val="00217D1E"/>
    <w:rsid w:val="0024671D"/>
    <w:rsid w:val="0026742A"/>
    <w:rsid w:val="00272334"/>
    <w:rsid w:val="00281EC5"/>
    <w:rsid w:val="00291272"/>
    <w:rsid w:val="00293874"/>
    <w:rsid w:val="002C7BAE"/>
    <w:rsid w:val="0030467C"/>
    <w:rsid w:val="0032608E"/>
    <w:rsid w:val="0033209C"/>
    <w:rsid w:val="0033223A"/>
    <w:rsid w:val="00355302"/>
    <w:rsid w:val="00365450"/>
    <w:rsid w:val="00375C8B"/>
    <w:rsid w:val="00381C83"/>
    <w:rsid w:val="00392C96"/>
    <w:rsid w:val="00396CFC"/>
    <w:rsid w:val="003B1017"/>
    <w:rsid w:val="003C6F14"/>
    <w:rsid w:val="003E47E2"/>
    <w:rsid w:val="00401AEF"/>
    <w:rsid w:val="004024FA"/>
    <w:rsid w:val="0041572E"/>
    <w:rsid w:val="0045515E"/>
    <w:rsid w:val="00470AD0"/>
    <w:rsid w:val="00472DA2"/>
    <w:rsid w:val="00487BD3"/>
    <w:rsid w:val="004B47C4"/>
    <w:rsid w:val="004C019E"/>
    <w:rsid w:val="00501997"/>
    <w:rsid w:val="00502361"/>
    <w:rsid w:val="00521CDF"/>
    <w:rsid w:val="00522035"/>
    <w:rsid w:val="00541FFF"/>
    <w:rsid w:val="00562651"/>
    <w:rsid w:val="00576CCD"/>
    <w:rsid w:val="005A0895"/>
    <w:rsid w:val="005B0FA7"/>
    <w:rsid w:val="005B409F"/>
    <w:rsid w:val="005D3402"/>
    <w:rsid w:val="005F5C3C"/>
    <w:rsid w:val="0060100E"/>
    <w:rsid w:val="00607A14"/>
    <w:rsid w:val="00635AC8"/>
    <w:rsid w:val="00653310"/>
    <w:rsid w:val="0065409D"/>
    <w:rsid w:val="00664BDB"/>
    <w:rsid w:val="006773B0"/>
    <w:rsid w:val="00687CB4"/>
    <w:rsid w:val="006A12AB"/>
    <w:rsid w:val="006B503B"/>
    <w:rsid w:val="00700962"/>
    <w:rsid w:val="007029BB"/>
    <w:rsid w:val="0070446C"/>
    <w:rsid w:val="00705285"/>
    <w:rsid w:val="0072447F"/>
    <w:rsid w:val="0073059E"/>
    <w:rsid w:val="0074242C"/>
    <w:rsid w:val="00747B24"/>
    <w:rsid w:val="007740C6"/>
    <w:rsid w:val="00784C1C"/>
    <w:rsid w:val="007A53B3"/>
    <w:rsid w:val="007D11AA"/>
    <w:rsid w:val="007E4E3C"/>
    <w:rsid w:val="00800743"/>
    <w:rsid w:val="008422F6"/>
    <w:rsid w:val="0084633E"/>
    <w:rsid w:val="00856B04"/>
    <w:rsid w:val="00857CF2"/>
    <w:rsid w:val="008A468B"/>
    <w:rsid w:val="008C0CF1"/>
    <w:rsid w:val="008E2AC6"/>
    <w:rsid w:val="0090056A"/>
    <w:rsid w:val="00906DEE"/>
    <w:rsid w:val="00925F79"/>
    <w:rsid w:val="00990FB2"/>
    <w:rsid w:val="009A116B"/>
    <w:rsid w:val="009A6643"/>
    <w:rsid w:val="009C585D"/>
    <w:rsid w:val="009E123D"/>
    <w:rsid w:val="009F17E8"/>
    <w:rsid w:val="00A05CC2"/>
    <w:rsid w:val="00A1122F"/>
    <w:rsid w:val="00A2497D"/>
    <w:rsid w:val="00A31A8E"/>
    <w:rsid w:val="00A65481"/>
    <w:rsid w:val="00A728F2"/>
    <w:rsid w:val="00A860CC"/>
    <w:rsid w:val="00AC2505"/>
    <w:rsid w:val="00AD3C55"/>
    <w:rsid w:val="00AF3950"/>
    <w:rsid w:val="00AF5FA0"/>
    <w:rsid w:val="00AF7BE0"/>
    <w:rsid w:val="00B34B05"/>
    <w:rsid w:val="00B4721F"/>
    <w:rsid w:val="00B62618"/>
    <w:rsid w:val="00B643D7"/>
    <w:rsid w:val="00B715BB"/>
    <w:rsid w:val="00B720EE"/>
    <w:rsid w:val="00B753B4"/>
    <w:rsid w:val="00BA21EF"/>
    <w:rsid w:val="00BB4FE4"/>
    <w:rsid w:val="00BE503B"/>
    <w:rsid w:val="00BF4ECA"/>
    <w:rsid w:val="00C01BE9"/>
    <w:rsid w:val="00C0435A"/>
    <w:rsid w:val="00C06E9F"/>
    <w:rsid w:val="00C20157"/>
    <w:rsid w:val="00C50B75"/>
    <w:rsid w:val="00C83BFE"/>
    <w:rsid w:val="00CC4DBB"/>
    <w:rsid w:val="00D024D5"/>
    <w:rsid w:val="00D179A6"/>
    <w:rsid w:val="00D3637F"/>
    <w:rsid w:val="00D37FE0"/>
    <w:rsid w:val="00D569D2"/>
    <w:rsid w:val="00D63FEC"/>
    <w:rsid w:val="00D76C0E"/>
    <w:rsid w:val="00DB01EA"/>
    <w:rsid w:val="00DC6D52"/>
    <w:rsid w:val="00DE7933"/>
    <w:rsid w:val="00DF2140"/>
    <w:rsid w:val="00E32B98"/>
    <w:rsid w:val="00E40844"/>
    <w:rsid w:val="00E4298E"/>
    <w:rsid w:val="00E46596"/>
    <w:rsid w:val="00E55ECA"/>
    <w:rsid w:val="00E83796"/>
    <w:rsid w:val="00E87776"/>
    <w:rsid w:val="00E924BF"/>
    <w:rsid w:val="00EA25FF"/>
    <w:rsid w:val="00EB7F56"/>
    <w:rsid w:val="00EC0ED0"/>
    <w:rsid w:val="00ED06A0"/>
    <w:rsid w:val="00EE0455"/>
    <w:rsid w:val="00EF2054"/>
    <w:rsid w:val="00EF29E7"/>
    <w:rsid w:val="00EF510F"/>
    <w:rsid w:val="00EF7A7A"/>
    <w:rsid w:val="00F0037F"/>
    <w:rsid w:val="00F026B9"/>
    <w:rsid w:val="00F1770C"/>
    <w:rsid w:val="00F35779"/>
    <w:rsid w:val="00FA08F0"/>
    <w:rsid w:val="00FA3959"/>
    <w:rsid w:val="00FB0AAF"/>
    <w:rsid w:val="00FF2B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E6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next w:val="Normal"/>
    <w:link w:val="TitleChar"/>
    <w:uiPriority w:val="10"/>
    <w:qFormat/>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F2B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B53"/>
    <w:rPr>
      <w:rFonts w:ascii="Tahoma" w:hAnsi="Tahoma" w:cs="Tahoma"/>
      <w:sz w:val="16"/>
      <w:szCs w:val="16"/>
    </w:rPr>
  </w:style>
  <w:style w:type="paragraph" w:customStyle="1" w:styleId="Normal1">
    <w:name w:val="Normal1"/>
    <w:rsid w:val="00ED06A0"/>
    <w:pPr>
      <w:spacing w:after="200"/>
    </w:pPr>
    <w:rPr>
      <w:rFonts w:ascii="Calibri" w:eastAsia="Calibri" w:hAnsi="Calibri" w:cs="Calibri"/>
      <w:lang w:eastAsia="en-US"/>
    </w:rPr>
  </w:style>
  <w:style w:type="character" w:customStyle="1" w:styleId="fn">
    <w:name w:val="fn"/>
    <w:basedOn w:val="DefaultParagraphFont"/>
    <w:rsid w:val="00800743"/>
  </w:style>
  <w:style w:type="character" w:customStyle="1" w:styleId="adr">
    <w:name w:val="adr"/>
    <w:basedOn w:val="DefaultParagraphFont"/>
    <w:rsid w:val="00800743"/>
  </w:style>
  <w:style w:type="character" w:customStyle="1" w:styleId="street-address">
    <w:name w:val="street-address"/>
    <w:basedOn w:val="DefaultParagraphFont"/>
    <w:rsid w:val="00800743"/>
  </w:style>
  <w:style w:type="character" w:customStyle="1" w:styleId="locality">
    <w:name w:val="locality"/>
    <w:basedOn w:val="DefaultParagraphFont"/>
    <w:rsid w:val="00800743"/>
  </w:style>
  <w:style w:type="character" w:customStyle="1" w:styleId="postal-code">
    <w:name w:val="postal-code"/>
    <w:basedOn w:val="DefaultParagraphFont"/>
    <w:rsid w:val="00800743"/>
  </w:style>
  <w:style w:type="character" w:customStyle="1" w:styleId="country-name">
    <w:name w:val="country-name"/>
    <w:basedOn w:val="DefaultParagraphFont"/>
    <w:rsid w:val="00800743"/>
  </w:style>
  <w:style w:type="paragraph" w:styleId="Header">
    <w:name w:val="header"/>
    <w:basedOn w:val="Normal"/>
    <w:link w:val="HeaderChar"/>
    <w:uiPriority w:val="99"/>
    <w:unhideWhenUsed/>
    <w:rsid w:val="00800743"/>
    <w:pPr>
      <w:tabs>
        <w:tab w:val="center" w:pos="4513"/>
        <w:tab w:val="right" w:pos="9026"/>
      </w:tabs>
      <w:spacing w:line="240" w:lineRule="auto"/>
    </w:pPr>
  </w:style>
  <w:style w:type="character" w:customStyle="1" w:styleId="HeaderChar">
    <w:name w:val="Header Char"/>
    <w:basedOn w:val="DefaultParagraphFont"/>
    <w:link w:val="Header"/>
    <w:uiPriority w:val="99"/>
    <w:rsid w:val="00800743"/>
  </w:style>
  <w:style w:type="paragraph" w:styleId="Footer">
    <w:name w:val="footer"/>
    <w:basedOn w:val="Normal"/>
    <w:link w:val="FooterChar"/>
    <w:uiPriority w:val="99"/>
    <w:unhideWhenUsed/>
    <w:rsid w:val="00800743"/>
    <w:pPr>
      <w:tabs>
        <w:tab w:val="center" w:pos="4513"/>
        <w:tab w:val="right" w:pos="9026"/>
      </w:tabs>
      <w:spacing w:line="240" w:lineRule="auto"/>
    </w:pPr>
  </w:style>
  <w:style w:type="character" w:customStyle="1" w:styleId="FooterChar">
    <w:name w:val="Footer Char"/>
    <w:basedOn w:val="DefaultParagraphFont"/>
    <w:link w:val="Footer"/>
    <w:uiPriority w:val="99"/>
    <w:rsid w:val="00800743"/>
  </w:style>
  <w:style w:type="character" w:styleId="CommentReference">
    <w:name w:val="annotation reference"/>
    <w:basedOn w:val="DefaultParagraphFont"/>
    <w:uiPriority w:val="99"/>
    <w:semiHidden/>
    <w:unhideWhenUsed/>
    <w:rsid w:val="00A728F2"/>
    <w:rPr>
      <w:sz w:val="18"/>
      <w:szCs w:val="18"/>
    </w:rPr>
  </w:style>
  <w:style w:type="paragraph" w:styleId="CommentText">
    <w:name w:val="annotation text"/>
    <w:basedOn w:val="Normal"/>
    <w:link w:val="CommentTextChar"/>
    <w:uiPriority w:val="99"/>
    <w:semiHidden/>
    <w:unhideWhenUsed/>
    <w:rsid w:val="00A728F2"/>
    <w:pPr>
      <w:spacing w:line="240" w:lineRule="auto"/>
    </w:pPr>
    <w:rPr>
      <w:sz w:val="24"/>
      <w:szCs w:val="24"/>
    </w:rPr>
  </w:style>
  <w:style w:type="character" w:customStyle="1" w:styleId="CommentTextChar">
    <w:name w:val="Comment Text Char"/>
    <w:basedOn w:val="DefaultParagraphFont"/>
    <w:link w:val="CommentText"/>
    <w:uiPriority w:val="99"/>
    <w:semiHidden/>
    <w:rsid w:val="00A728F2"/>
    <w:rPr>
      <w:sz w:val="24"/>
      <w:szCs w:val="24"/>
    </w:rPr>
  </w:style>
  <w:style w:type="paragraph" w:styleId="CommentSubject">
    <w:name w:val="annotation subject"/>
    <w:basedOn w:val="CommentText"/>
    <w:next w:val="CommentText"/>
    <w:link w:val="CommentSubjectChar"/>
    <w:uiPriority w:val="99"/>
    <w:semiHidden/>
    <w:unhideWhenUsed/>
    <w:rsid w:val="00A728F2"/>
    <w:rPr>
      <w:b/>
      <w:bCs/>
      <w:sz w:val="20"/>
      <w:szCs w:val="20"/>
    </w:rPr>
  </w:style>
  <w:style w:type="character" w:customStyle="1" w:styleId="CommentSubjectChar">
    <w:name w:val="Comment Subject Char"/>
    <w:basedOn w:val="CommentTextChar"/>
    <w:link w:val="CommentSubject"/>
    <w:uiPriority w:val="99"/>
    <w:semiHidden/>
    <w:rsid w:val="00A728F2"/>
    <w:rPr>
      <w:b/>
      <w:bCs/>
      <w:sz w:val="20"/>
      <w:szCs w:val="20"/>
    </w:rPr>
  </w:style>
  <w:style w:type="character" w:customStyle="1" w:styleId="TitleChar">
    <w:name w:val="Title Char"/>
    <w:aliases w:val="title Char"/>
    <w:basedOn w:val="DefaultParagraphFont"/>
    <w:link w:val="Title"/>
    <w:uiPriority w:val="10"/>
    <w:rsid w:val="00A31A8E"/>
    <w:rPr>
      <w:sz w:val="52"/>
      <w:szCs w:val="52"/>
    </w:rPr>
  </w:style>
  <w:style w:type="character" w:styleId="Hyperlink">
    <w:name w:val="Hyperlink"/>
    <w:basedOn w:val="DefaultParagraphFont"/>
    <w:uiPriority w:val="99"/>
    <w:unhideWhenUsed/>
    <w:rsid w:val="00A31A8E"/>
    <w:rPr>
      <w:color w:val="0000FF"/>
      <w:u w:val="single"/>
    </w:rPr>
  </w:style>
  <w:style w:type="paragraph" w:customStyle="1" w:styleId="desc">
    <w:name w:val="desc"/>
    <w:basedOn w:val="Normal"/>
    <w:rsid w:val="00A31A8E"/>
    <w:pPr>
      <w:spacing w:before="100" w:beforeAutospacing="1" w:after="100" w:afterAutospacing="1" w:line="240" w:lineRule="auto"/>
    </w:pPr>
    <w:rPr>
      <w:rFonts w:ascii="Times New Roman" w:hAnsi="Times New Roman" w:cs="Times New Roman"/>
      <w:color w:val="auto"/>
      <w:sz w:val="24"/>
      <w:szCs w:val="24"/>
    </w:rPr>
  </w:style>
  <w:style w:type="paragraph" w:customStyle="1" w:styleId="details">
    <w:name w:val="details"/>
    <w:basedOn w:val="Normal"/>
    <w:rsid w:val="00A31A8E"/>
    <w:pPr>
      <w:spacing w:before="100" w:beforeAutospacing="1" w:after="100" w:afterAutospacing="1" w:line="240" w:lineRule="auto"/>
    </w:pPr>
    <w:rPr>
      <w:rFonts w:ascii="Times New Roman" w:hAnsi="Times New Roman" w:cs="Times New Roman"/>
      <w:color w:val="auto"/>
      <w:sz w:val="24"/>
      <w:szCs w:val="24"/>
    </w:rPr>
  </w:style>
  <w:style w:type="character" w:customStyle="1" w:styleId="jrnl">
    <w:name w:val="jrnl"/>
    <w:basedOn w:val="DefaultParagraphFont"/>
    <w:rsid w:val="00A31A8E"/>
  </w:style>
  <w:style w:type="character" w:customStyle="1" w:styleId="apple-converted-space">
    <w:name w:val="apple-converted-space"/>
    <w:basedOn w:val="DefaultParagraphFont"/>
    <w:rsid w:val="00C20157"/>
  </w:style>
  <w:style w:type="character" w:styleId="Emphasis">
    <w:name w:val="Emphasis"/>
    <w:basedOn w:val="DefaultParagraphFont"/>
    <w:uiPriority w:val="20"/>
    <w:qFormat/>
    <w:rsid w:val="00C20157"/>
    <w:rPr>
      <w:i/>
      <w:iCs/>
    </w:rPr>
  </w:style>
  <w:style w:type="character" w:styleId="FollowedHyperlink">
    <w:name w:val="FollowedHyperlink"/>
    <w:basedOn w:val="DefaultParagraphFont"/>
    <w:uiPriority w:val="99"/>
    <w:semiHidden/>
    <w:unhideWhenUsed/>
    <w:rsid w:val="00B62618"/>
    <w:rPr>
      <w:color w:val="800080" w:themeColor="followedHyperlink"/>
      <w:u w:val="single"/>
    </w:rPr>
  </w:style>
  <w:style w:type="paragraph" w:styleId="ListParagraph">
    <w:name w:val="List Paragraph"/>
    <w:basedOn w:val="Normal"/>
    <w:uiPriority w:val="34"/>
    <w:qFormat/>
    <w:rsid w:val="0073059E"/>
    <w:pPr>
      <w:ind w:left="720"/>
      <w:contextualSpacing/>
    </w:pPr>
  </w:style>
  <w:style w:type="paragraph" w:styleId="HTMLPreformatted">
    <w:name w:val="HTML Preformatted"/>
    <w:basedOn w:val="Normal"/>
    <w:link w:val="HTMLPreformattedChar"/>
    <w:uiPriority w:val="99"/>
    <w:semiHidden/>
    <w:unhideWhenUsed/>
    <w:rsid w:val="00A8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A860CC"/>
    <w:rPr>
      <w:rFonts w:ascii="Courier New" w:eastAsia="Times New Roman" w:hAnsi="Courier New" w:cs="Courier New"/>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next w:val="Normal"/>
    <w:link w:val="TitleChar"/>
    <w:uiPriority w:val="10"/>
    <w:qFormat/>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F2B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B53"/>
    <w:rPr>
      <w:rFonts w:ascii="Tahoma" w:hAnsi="Tahoma" w:cs="Tahoma"/>
      <w:sz w:val="16"/>
      <w:szCs w:val="16"/>
    </w:rPr>
  </w:style>
  <w:style w:type="paragraph" w:customStyle="1" w:styleId="Normal1">
    <w:name w:val="Normal1"/>
    <w:rsid w:val="00ED06A0"/>
    <w:pPr>
      <w:spacing w:after="200"/>
    </w:pPr>
    <w:rPr>
      <w:rFonts w:ascii="Calibri" w:eastAsia="Calibri" w:hAnsi="Calibri" w:cs="Calibri"/>
      <w:lang w:eastAsia="en-US"/>
    </w:rPr>
  </w:style>
  <w:style w:type="character" w:customStyle="1" w:styleId="fn">
    <w:name w:val="fn"/>
    <w:basedOn w:val="DefaultParagraphFont"/>
    <w:rsid w:val="00800743"/>
  </w:style>
  <w:style w:type="character" w:customStyle="1" w:styleId="adr">
    <w:name w:val="adr"/>
    <w:basedOn w:val="DefaultParagraphFont"/>
    <w:rsid w:val="00800743"/>
  </w:style>
  <w:style w:type="character" w:customStyle="1" w:styleId="street-address">
    <w:name w:val="street-address"/>
    <w:basedOn w:val="DefaultParagraphFont"/>
    <w:rsid w:val="00800743"/>
  </w:style>
  <w:style w:type="character" w:customStyle="1" w:styleId="locality">
    <w:name w:val="locality"/>
    <w:basedOn w:val="DefaultParagraphFont"/>
    <w:rsid w:val="00800743"/>
  </w:style>
  <w:style w:type="character" w:customStyle="1" w:styleId="postal-code">
    <w:name w:val="postal-code"/>
    <w:basedOn w:val="DefaultParagraphFont"/>
    <w:rsid w:val="00800743"/>
  </w:style>
  <w:style w:type="character" w:customStyle="1" w:styleId="country-name">
    <w:name w:val="country-name"/>
    <w:basedOn w:val="DefaultParagraphFont"/>
    <w:rsid w:val="00800743"/>
  </w:style>
  <w:style w:type="paragraph" w:styleId="Header">
    <w:name w:val="header"/>
    <w:basedOn w:val="Normal"/>
    <w:link w:val="HeaderChar"/>
    <w:uiPriority w:val="99"/>
    <w:unhideWhenUsed/>
    <w:rsid w:val="00800743"/>
    <w:pPr>
      <w:tabs>
        <w:tab w:val="center" w:pos="4513"/>
        <w:tab w:val="right" w:pos="9026"/>
      </w:tabs>
      <w:spacing w:line="240" w:lineRule="auto"/>
    </w:pPr>
  </w:style>
  <w:style w:type="character" w:customStyle="1" w:styleId="HeaderChar">
    <w:name w:val="Header Char"/>
    <w:basedOn w:val="DefaultParagraphFont"/>
    <w:link w:val="Header"/>
    <w:uiPriority w:val="99"/>
    <w:rsid w:val="00800743"/>
  </w:style>
  <w:style w:type="paragraph" w:styleId="Footer">
    <w:name w:val="footer"/>
    <w:basedOn w:val="Normal"/>
    <w:link w:val="FooterChar"/>
    <w:uiPriority w:val="99"/>
    <w:unhideWhenUsed/>
    <w:rsid w:val="00800743"/>
    <w:pPr>
      <w:tabs>
        <w:tab w:val="center" w:pos="4513"/>
        <w:tab w:val="right" w:pos="9026"/>
      </w:tabs>
      <w:spacing w:line="240" w:lineRule="auto"/>
    </w:pPr>
  </w:style>
  <w:style w:type="character" w:customStyle="1" w:styleId="FooterChar">
    <w:name w:val="Footer Char"/>
    <w:basedOn w:val="DefaultParagraphFont"/>
    <w:link w:val="Footer"/>
    <w:uiPriority w:val="99"/>
    <w:rsid w:val="00800743"/>
  </w:style>
  <w:style w:type="character" w:styleId="CommentReference">
    <w:name w:val="annotation reference"/>
    <w:basedOn w:val="DefaultParagraphFont"/>
    <w:uiPriority w:val="99"/>
    <w:semiHidden/>
    <w:unhideWhenUsed/>
    <w:rsid w:val="00A728F2"/>
    <w:rPr>
      <w:sz w:val="18"/>
      <w:szCs w:val="18"/>
    </w:rPr>
  </w:style>
  <w:style w:type="paragraph" w:styleId="CommentText">
    <w:name w:val="annotation text"/>
    <w:basedOn w:val="Normal"/>
    <w:link w:val="CommentTextChar"/>
    <w:uiPriority w:val="99"/>
    <w:semiHidden/>
    <w:unhideWhenUsed/>
    <w:rsid w:val="00A728F2"/>
    <w:pPr>
      <w:spacing w:line="240" w:lineRule="auto"/>
    </w:pPr>
    <w:rPr>
      <w:sz w:val="24"/>
      <w:szCs w:val="24"/>
    </w:rPr>
  </w:style>
  <w:style w:type="character" w:customStyle="1" w:styleId="CommentTextChar">
    <w:name w:val="Comment Text Char"/>
    <w:basedOn w:val="DefaultParagraphFont"/>
    <w:link w:val="CommentText"/>
    <w:uiPriority w:val="99"/>
    <w:semiHidden/>
    <w:rsid w:val="00A728F2"/>
    <w:rPr>
      <w:sz w:val="24"/>
      <w:szCs w:val="24"/>
    </w:rPr>
  </w:style>
  <w:style w:type="paragraph" w:styleId="CommentSubject">
    <w:name w:val="annotation subject"/>
    <w:basedOn w:val="CommentText"/>
    <w:next w:val="CommentText"/>
    <w:link w:val="CommentSubjectChar"/>
    <w:uiPriority w:val="99"/>
    <w:semiHidden/>
    <w:unhideWhenUsed/>
    <w:rsid w:val="00A728F2"/>
    <w:rPr>
      <w:b/>
      <w:bCs/>
      <w:sz w:val="20"/>
      <w:szCs w:val="20"/>
    </w:rPr>
  </w:style>
  <w:style w:type="character" w:customStyle="1" w:styleId="CommentSubjectChar">
    <w:name w:val="Comment Subject Char"/>
    <w:basedOn w:val="CommentTextChar"/>
    <w:link w:val="CommentSubject"/>
    <w:uiPriority w:val="99"/>
    <w:semiHidden/>
    <w:rsid w:val="00A728F2"/>
    <w:rPr>
      <w:b/>
      <w:bCs/>
      <w:sz w:val="20"/>
      <w:szCs w:val="20"/>
    </w:rPr>
  </w:style>
  <w:style w:type="character" w:customStyle="1" w:styleId="TitleChar">
    <w:name w:val="Title Char"/>
    <w:aliases w:val="title Char"/>
    <w:basedOn w:val="DefaultParagraphFont"/>
    <w:link w:val="Title"/>
    <w:uiPriority w:val="10"/>
    <w:rsid w:val="00A31A8E"/>
    <w:rPr>
      <w:sz w:val="52"/>
      <w:szCs w:val="52"/>
    </w:rPr>
  </w:style>
  <w:style w:type="character" w:styleId="Hyperlink">
    <w:name w:val="Hyperlink"/>
    <w:basedOn w:val="DefaultParagraphFont"/>
    <w:uiPriority w:val="99"/>
    <w:unhideWhenUsed/>
    <w:rsid w:val="00A31A8E"/>
    <w:rPr>
      <w:color w:val="0000FF"/>
      <w:u w:val="single"/>
    </w:rPr>
  </w:style>
  <w:style w:type="paragraph" w:customStyle="1" w:styleId="desc">
    <w:name w:val="desc"/>
    <w:basedOn w:val="Normal"/>
    <w:rsid w:val="00A31A8E"/>
    <w:pPr>
      <w:spacing w:before="100" w:beforeAutospacing="1" w:after="100" w:afterAutospacing="1" w:line="240" w:lineRule="auto"/>
    </w:pPr>
    <w:rPr>
      <w:rFonts w:ascii="Times New Roman" w:hAnsi="Times New Roman" w:cs="Times New Roman"/>
      <w:color w:val="auto"/>
      <w:sz w:val="24"/>
      <w:szCs w:val="24"/>
    </w:rPr>
  </w:style>
  <w:style w:type="paragraph" w:customStyle="1" w:styleId="details">
    <w:name w:val="details"/>
    <w:basedOn w:val="Normal"/>
    <w:rsid w:val="00A31A8E"/>
    <w:pPr>
      <w:spacing w:before="100" w:beforeAutospacing="1" w:after="100" w:afterAutospacing="1" w:line="240" w:lineRule="auto"/>
    </w:pPr>
    <w:rPr>
      <w:rFonts w:ascii="Times New Roman" w:hAnsi="Times New Roman" w:cs="Times New Roman"/>
      <w:color w:val="auto"/>
      <w:sz w:val="24"/>
      <w:szCs w:val="24"/>
    </w:rPr>
  </w:style>
  <w:style w:type="character" w:customStyle="1" w:styleId="jrnl">
    <w:name w:val="jrnl"/>
    <w:basedOn w:val="DefaultParagraphFont"/>
    <w:rsid w:val="00A31A8E"/>
  </w:style>
  <w:style w:type="character" w:customStyle="1" w:styleId="apple-converted-space">
    <w:name w:val="apple-converted-space"/>
    <w:basedOn w:val="DefaultParagraphFont"/>
    <w:rsid w:val="00C20157"/>
  </w:style>
  <w:style w:type="character" w:styleId="Emphasis">
    <w:name w:val="Emphasis"/>
    <w:basedOn w:val="DefaultParagraphFont"/>
    <w:uiPriority w:val="20"/>
    <w:qFormat/>
    <w:rsid w:val="00C20157"/>
    <w:rPr>
      <w:i/>
      <w:iCs/>
    </w:rPr>
  </w:style>
  <w:style w:type="character" w:styleId="FollowedHyperlink">
    <w:name w:val="FollowedHyperlink"/>
    <w:basedOn w:val="DefaultParagraphFont"/>
    <w:uiPriority w:val="99"/>
    <w:semiHidden/>
    <w:unhideWhenUsed/>
    <w:rsid w:val="00B62618"/>
    <w:rPr>
      <w:color w:val="800080" w:themeColor="followedHyperlink"/>
      <w:u w:val="single"/>
    </w:rPr>
  </w:style>
  <w:style w:type="paragraph" w:styleId="ListParagraph">
    <w:name w:val="List Paragraph"/>
    <w:basedOn w:val="Normal"/>
    <w:uiPriority w:val="34"/>
    <w:qFormat/>
    <w:rsid w:val="0073059E"/>
    <w:pPr>
      <w:ind w:left="720"/>
      <w:contextualSpacing/>
    </w:pPr>
  </w:style>
  <w:style w:type="paragraph" w:styleId="HTMLPreformatted">
    <w:name w:val="HTML Preformatted"/>
    <w:basedOn w:val="Normal"/>
    <w:link w:val="HTMLPreformattedChar"/>
    <w:uiPriority w:val="99"/>
    <w:semiHidden/>
    <w:unhideWhenUsed/>
    <w:rsid w:val="00A86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A860CC"/>
    <w:rPr>
      <w:rFonts w:ascii="Courier New" w:eastAsia="Times New Roman" w:hAnsi="Courier New" w:cs="Courier New"/>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87490">
      <w:bodyDiv w:val="1"/>
      <w:marLeft w:val="0"/>
      <w:marRight w:val="0"/>
      <w:marTop w:val="0"/>
      <w:marBottom w:val="0"/>
      <w:divBdr>
        <w:top w:val="none" w:sz="0" w:space="0" w:color="auto"/>
        <w:left w:val="none" w:sz="0" w:space="0" w:color="auto"/>
        <w:bottom w:val="none" w:sz="0" w:space="0" w:color="auto"/>
        <w:right w:val="none" w:sz="0" w:space="0" w:color="auto"/>
      </w:divBdr>
    </w:div>
    <w:div w:id="767697597">
      <w:bodyDiv w:val="1"/>
      <w:marLeft w:val="0"/>
      <w:marRight w:val="0"/>
      <w:marTop w:val="0"/>
      <w:marBottom w:val="0"/>
      <w:divBdr>
        <w:top w:val="none" w:sz="0" w:space="0" w:color="auto"/>
        <w:left w:val="none" w:sz="0" w:space="0" w:color="auto"/>
        <w:bottom w:val="none" w:sz="0" w:space="0" w:color="auto"/>
        <w:right w:val="none" w:sz="0" w:space="0" w:color="auto"/>
      </w:divBdr>
      <w:divsChild>
        <w:div w:id="638613847">
          <w:marLeft w:val="0"/>
          <w:marRight w:val="0"/>
          <w:marTop w:val="0"/>
          <w:marBottom w:val="0"/>
          <w:divBdr>
            <w:top w:val="none" w:sz="0" w:space="0" w:color="auto"/>
            <w:left w:val="none" w:sz="0" w:space="0" w:color="auto"/>
            <w:bottom w:val="none" w:sz="0" w:space="0" w:color="auto"/>
            <w:right w:val="none" w:sz="0" w:space="0" w:color="auto"/>
          </w:divBdr>
        </w:div>
      </w:divsChild>
    </w:div>
    <w:div w:id="1098327742">
      <w:bodyDiv w:val="1"/>
      <w:marLeft w:val="0"/>
      <w:marRight w:val="0"/>
      <w:marTop w:val="0"/>
      <w:marBottom w:val="0"/>
      <w:divBdr>
        <w:top w:val="none" w:sz="0" w:space="0" w:color="auto"/>
        <w:left w:val="none" w:sz="0" w:space="0" w:color="auto"/>
        <w:bottom w:val="none" w:sz="0" w:space="0" w:color="auto"/>
        <w:right w:val="none" w:sz="0" w:space="0" w:color="auto"/>
      </w:divBdr>
    </w:div>
    <w:div w:id="1277327482">
      <w:bodyDiv w:val="1"/>
      <w:marLeft w:val="0"/>
      <w:marRight w:val="0"/>
      <w:marTop w:val="0"/>
      <w:marBottom w:val="0"/>
      <w:divBdr>
        <w:top w:val="none" w:sz="0" w:space="0" w:color="auto"/>
        <w:left w:val="none" w:sz="0" w:space="0" w:color="auto"/>
        <w:bottom w:val="none" w:sz="0" w:space="0" w:color="auto"/>
        <w:right w:val="none" w:sz="0" w:space="0" w:color="auto"/>
      </w:divBdr>
    </w:div>
    <w:div w:id="1898860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BE083-55E1-44E3-A9D5-AF9F2C8A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26963</Words>
  <Characters>153690</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Camridge Research Institute</Company>
  <LinksUpToDate>false</LinksUpToDate>
  <CharactersWithSpaces>180293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Janowitz</dc:creator>
  <cp:lastModifiedBy>Tobias Janowitz</cp:lastModifiedBy>
  <cp:revision>2</cp:revision>
  <cp:lastPrinted>2017-05-09T11:17:00Z</cp:lastPrinted>
  <dcterms:created xsi:type="dcterms:W3CDTF">2017-07-05T15:10:00Z</dcterms:created>
  <dcterms:modified xsi:type="dcterms:W3CDTF">2017-07-05T15:10:00Z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http://www.zotero.org/styles/annals-of-oncology</vt:lpwstr>
  </property>
  <property fmtid="{D5CDD505-2E9C-101B-9397-08002B2CF9AE}" pid="7" name="Mendeley Recent Style Name 2_1">
    <vt:lpwstr>Annals of Oncology</vt:lpwstr>
  </property>
  <property fmtid="{D5CDD505-2E9C-101B-9397-08002B2CF9AE}" pid="8" name="Mendeley Recent Style Id 3_1">
    <vt:lpwstr>http://www.zotero.org/styles/cell</vt:lpwstr>
  </property>
  <property fmtid="{D5CDD505-2E9C-101B-9397-08002B2CF9AE}" pid="9" name="Mendeley Recent Style Name 3_1">
    <vt:lpwstr>Cell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http://www.zotero.org/styles/the-lancet-oncology</vt:lpwstr>
  </property>
  <property fmtid="{D5CDD505-2E9C-101B-9397-08002B2CF9AE}" pid="19" name="Mendeley Recent Style Name 8_1">
    <vt:lpwstr>The Lancet Oncology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2914c719-6570-3f64-bfd3-73b2214491f1</vt:lpwstr>
  </property>
  <property fmtid="{D5CDD505-2E9C-101B-9397-08002B2CF9AE}" pid="24" name="Mendeley Citation Style_1">
    <vt:lpwstr>http://www.zotero.org/styles/vancouver</vt:lpwstr>
  </property>
</Properties>
</file>