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6177E" w14:textId="77777777" w:rsidR="003F0DC2" w:rsidRPr="00976A6F" w:rsidRDefault="003F0DC2" w:rsidP="00FE3121">
      <w:pPr>
        <w:pStyle w:val="MDPI11articletype"/>
        <w:rPr>
          <w:lang w:val="en-GB"/>
        </w:rPr>
      </w:pPr>
      <w:bookmarkStart w:id="0" w:name="OLE_LINK3"/>
      <w:r w:rsidRPr="00976A6F">
        <w:rPr>
          <w:lang w:val="en-GB"/>
        </w:rPr>
        <w:t>Article</w:t>
      </w:r>
    </w:p>
    <w:p w14:paraId="0F000588" w14:textId="77777777" w:rsidR="003F0DC2" w:rsidRPr="00976A6F" w:rsidRDefault="003F0DC2" w:rsidP="0089740D">
      <w:pPr>
        <w:pStyle w:val="MDPI12title"/>
        <w:rPr>
          <w:lang w:val="en-GB"/>
        </w:rPr>
      </w:pPr>
      <w:r w:rsidRPr="00976A6F">
        <w:rPr>
          <w:lang w:val="en-GB"/>
        </w:rPr>
        <w:t xml:space="preserve">Alcohol </w:t>
      </w:r>
      <w:r w:rsidR="0089740D" w:rsidRPr="00976A6F">
        <w:rPr>
          <w:lang w:val="en-GB"/>
        </w:rPr>
        <w:t xml:space="preserve">Marketing </w:t>
      </w:r>
      <w:r w:rsidRPr="00976A6F">
        <w:rPr>
          <w:lang w:val="en-GB"/>
        </w:rPr>
        <w:t xml:space="preserve">during the UEFA EURO 2016 </w:t>
      </w:r>
      <w:r w:rsidR="0089740D" w:rsidRPr="00976A6F">
        <w:rPr>
          <w:lang w:val="en-GB"/>
        </w:rPr>
        <w:t>Football Tournament</w:t>
      </w:r>
      <w:r w:rsidRPr="00976A6F">
        <w:rPr>
          <w:lang w:val="en-GB"/>
        </w:rPr>
        <w:t xml:space="preserve">: A </w:t>
      </w:r>
      <w:r w:rsidR="0089740D" w:rsidRPr="00976A6F">
        <w:rPr>
          <w:lang w:val="en-GB"/>
        </w:rPr>
        <w:t>Frequency Analysis</w:t>
      </w:r>
    </w:p>
    <w:p w14:paraId="0EE0F432" w14:textId="77777777" w:rsidR="003F0DC2" w:rsidRPr="00976A6F" w:rsidRDefault="003F0DC2" w:rsidP="0089740D">
      <w:pPr>
        <w:pStyle w:val="MDPI13authornames"/>
        <w:rPr>
          <w:lang w:val="en-GB"/>
        </w:rPr>
      </w:pPr>
      <w:r w:rsidRPr="00976A6F">
        <w:rPr>
          <w:lang w:val="en-GB"/>
        </w:rPr>
        <w:t>Richard I. Purves</w:t>
      </w:r>
      <w:r w:rsidR="0089740D" w:rsidRPr="00976A6F">
        <w:rPr>
          <w:lang w:val="en-GB"/>
        </w:rPr>
        <w:t xml:space="preserve"> </w:t>
      </w:r>
      <w:r w:rsidRPr="00976A6F">
        <w:rPr>
          <w:vertAlign w:val="superscript"/>
          <w:lang w:val="en-GB"/>
        </w:rPr>
        <w:t>1</w:t>
      </w:r>
      <w:r w:rsidR="0089740D" w:rsidRPr="00976A6F">
        <w:rPr>
          <w:vertAlign w:val="superscript"/>
          <w:lang w:val="en-GB"/>
        </w:rPr>
        <w:t>,</w:t>
      </w:r>
      <w:r w:rsidRPr="00976A6F">
        <w:rPr>
          <w:lang w:val="en-GB"/>
        </w:rPr>
        <w:t>*, Nathan Critchlow</w:t>
      </w:r>
      <w:r w:rsidR="0089740D" w:rsidRPr="00976A6F">
        <w:rPr>
          <w:lang w:val="en-GB"/>
        </w:rPr>
        <w:t xml:space="preserve"> </w:t>
      </w:r>
      <w:r w:rsidRPr="00976A6F">
        <w:rPr>
          <w:vertAlign w:val="superscript"/>
          <w:lang w:val="en-GB"/>
        </w:rPr>
        <w:t>1</w:t>
      </w:r>
      <w:r w:rsidRPr="00976A6F">
        <w:rPr>
          <w:lang w:val="en-GB"/>
        </w:rPr>
        <w:t>, Martine Stead</w:t>
      </w:r>
      <w:r w:rsidR="0089740D" w:rsidRPr="00976A6F">
        <w:rPr>
          <w:lang w:val="en-GB"/>
        </w:rPr>
        <w:t xml:space="preserve"> </w:t>
      </w:r>
      <w:r w:rsidRPr="00976A6F">
        <w:rPr>
          <w:vertAlign w:val="superscript"/>
          <w:lang w:val="en-GB"/>
        </w:rPr>
        <w:t>1</w:t>
      </w:r>
      <w:r w:rsidRPr="00976A6F">
        <w:rPr>
          <w:lang w:val="en-GB"/>
        </w:rPr>
        <w:t>, Jean Adams</w:t>
      </w:r>
      <w:r w:rsidR="0089740D" w:rsidRPr="00976A6F">
        <w:rPr>
          <w:lang w:val="en-GB"/>
        </w:rPr>
        <w:t xml:space="preserve"> </w:t>
      </w:r>
      <w:r w:rsidRPr="00976A6F">
        <w:rPr>
          <w:vertAlign w:val="superscript"/>
          <w:lang w:val="en-GB"/>
        </w:rPr>
        <w:t>2</w:t>
      </w:r>
      <w:r w:rsidRPr="00976A6F">
        <w:rPr>
          <w:lang w:val="en-GB"/>
        </w:rPr>
        <w:t xml:space="preserve"> and Katherine Brown</w:t>
      </w:r>
      <w:r w:rsidR="0089740D" w:rsidRPr="00976A6F">
        <w:rPr>
          <w:lang w:val="en-GB"/>
        </w:rPr>
        <w:t xml:space="preserve"> </w:t>
      </w:r>
      <w:r w:rsidRPr="00976A6F">
        <w:rPr>
          <w:vertAlign w:val="superscript"/>
          <w:lang w:val="en-GB"/>
        </w:rPr>
        <w:t>3</w:t>
      </w:r>
    </w:p>
    <w:p w14:paraId="6704E812" w14:textId="40B1EC40" w:rsidR="003F0DC2" w:rsidRPr="00976A6F" w:rsidRDefault="003F0DC2" w:rsidP="0089740D">
      <w:pPr>
        <w:pStyle w:val="MDPI16affiliation"/>
        <w:rPr>
          <w:lang w:val="en-GB"/>
        </w:rPr>
      </w:pPr>
      <w:r w:rsidRPr="00976A6F">
        <w:rPr>
          <w:vertAlign w:val="superscript"/>
          <w:lang w:val="en-GB"/>
        </w:rPr>
        <w:t>1</w:t>
      </w:r>
      <w:r w:rsidRPr="00976A6F">
        <w:rPr>
          <w:lang w:val="en-GB"/>
        </w:rPr>
        <w:tab/>
        <w:t xml:space="preserve">Institute for Social Marketing and UK Centre for Tobacco &amp; Alcohol Studies, Faculty of Health Sciences &amp; </w:t>
      </w:r>
      <w:bookmarkStart w:id="1" w:name="_GoBack"/>
      <w:bookmarkEnd w:id="1"/>
      <w:r w:rsidRPr="00976A6F">
        <w:rPr>
          <w:lang w:val="en-GB"/>
        </w:rPr>
        <w:t xml:space="preserve">Sport, University of Stirling, </w:t>
      </w:r>
      <w:r w:rsidR="0089740D" w:rsidRPr="00976A6F">
        <w:rPr>
          <w:lang w:val="en-GB"/>
        </w:rPr>
        <w:t>Scotland</w:t>
      </w:r>
      <w:r w:rsidR="00E60ED7" w:rsidRPr="00976A6F">
        <w:rPr>
          <w:lang w:val="en-GB"/>
        </w:rPr>
        <w:t xml:space="preserve"> FK94LA</w:t>
      </w:r>
      <w:r w:rsidR="0089740D" w:rsidRPr="00976A6F">
        <w:rPr>
          <w:lang w:val="en-GB"/>
        </w:rPr>
        <w:t>, UK</w:t>
      </w:r>
      <w:r w:rsidRPr="00976A6F">
        <w:rPr>
          <w:lang w:val="en-GB"/>
        </w:rPr>
        <w:t xml:space="preserve">; </w:t>
      </w:r>
      <w:r w:rsidR="0089740D" w:rsidRPr="00976A6F">
        <w:rPr>
          <w:lang w:val="en-GB"/>
        </w:rPr>
        <w:t>na</w:t>
      </w:r>
      <w:r w:rsidR="002E39F5">
        <w:rPr>
          <w:lang w:val="en-GB"/>
        </w:rPr>
        <w:t>than.critchlow@stir.ac.uk</w:t>
      </w:r>
      <w:r w:rsidRPr="00976A6F">
        <w:rPr>
          <w:lang w:val="en-GB"/>
        </w:rPr>
        <w:t xml:space="preserve">; </w:t>
      </w:r>
      <w:r w:rsidR="002E39F5">
        <w:rPr>
          <w:lang w:val="en-GB"/>
        </w:rPr>
        <w:t>martine.stead@stir.ac.uk</w:t>
      </w:r>
    </w:p>
    <w:p w14:paraId="4247E670" w14:textId="5132DAE7" w:rsidR="003F0DC2" w:rsidRPr="00976A6F" w:rsidRDefault="003F0DC2" w:rsidP="0089740D">
      <w:pPr>
        <w:pStyle w:val="MDPI16affiliation"/>
        <w:rPr>
          <w:lang w:val="en-GB"/>
        </w:rPr>
      </w:pPr>
      <w:r w:rsidRPr="00976A6F">
        <w:rPr>
          <w:vertAlign w:val="superscript"/>
          <w:lang w:val="en-GB"/>
        </w:rPr>
        <w:t>2</w:t>
      </w:r>
      <w:r w:rsidRPr="00976A6F">
        <w:rPr>
          <w:lang w:val="en-GB"/>
        </w:rPr>
        <w:tab/>
        <w:t xml:space="preserve">MRC Epidemiology Unit, University of Cambridge School of Clinical Medicine, Cambridge Biomedical Campus, </w:t>
      </w:r>
      <w:r w:rsidR="0089740D" w:rsidRPr="00976A6F">
        <w:rPr>
          <w:lang w:val="en-GB"/>
        </w:rPr>
        <w:t>Cambridge</w:t>
      </w:r>
      <w:r w:rsidR="00E60ED7" w:rsidRPr="00976A6F">
        <w:rPr>
          <w:lang w:val="en-GB"/>
        </w:rPr>
        <w:t xml:space="preserve"> CB20QQ, </w:t>
      </w:r>
      <w:r w:rsidR="0089740D" w:rsidRPr="00976A6F">
        <w:rPr>
          <w:lang w:val="en-GB"/>
        </w:rPr>
        <w:t>UK</w:t>
      </w:r>
      <w:r w:rsidRPr="00976A6F">
        <w:rPr>
          <w:lang w:val="en-GB"/>
        </w:rPr>
        <w:t xml:space="preserve">; </w:t>
      </w:r>
      <w:r w:rsidRPr="00976A6F">
        <w:rPr>
          <w:rStyle w:val="rpc41"/>
          <w:lang w:val="en-GB"/>
        </w:rPr>
        <w:t>jma79@medschl.cam.ac.uk</w:t>
      </w:r>
    </w:p>
    <w:p w14:paraId="5B601FBE" w14:textId="15280A22" w:rsidR="003F0DC2" w:rsidRPr="00976A6F" w:rsidRDefault="003F0DC2" w:rsidP="0089740D">
      <w:pPr>
        <w:pStyle w:val="MDPI16affiliation"/>
        <w:rPr>
          <w:lang w:val="en-GB"/>
        </w:rPr>
      </w:pPr>
      <w:r w:rsidRPr="00976A6F">
        <w:rPr>
          <w:vertAlign w:val="superscript"/>
          <w:lang w:val="en-GB"/>
        </w:rPr>
        <w:t>3</w:t>
      </w:r>
      <w:r w:rsidRPr="00976A6F">
        <w:rPr>
          <w:lang w:val="en-GB"/>
        </w:rPr>
        <w:tab/>
        <w:t>The Institute of A</w:t>
      </w:r>
      <w:r w:rsidR="00E60ED7" w:rsidRPr="00976A6F">
        <w:rPr>
          <w:lang w:val="en-GB"/>
        </w:rPr>
        <w:t>lcohol Studies, Alliance House</w:t>
      </w:r>
      <w:r w:rsidRPr="00976A6F">
        <w:rPr>
          <w:lang w:val="en-GB"/>
        </w:rPr>
        <w:t xml:space="preserve">, </w:t>
      </w:r>
      <w:r w:rsidR="0089740D" w:rsidRPr="00976A6F">
        <w:rPr>
          <w:lang w:val="en-GB"/>
        </w:rPr>
        <w:t>London</w:t>
      </w:r>
      <w:r w:rsidR="00E60ED7" w:rsidRPr="00976A6F">
        <w:rPr>
          <w:lang w:val="en-GB"/>
        </w:rPr>
        <w:t xml:space="preserve"> SW1H 0QS</w:t>
      </w:r>
      <w:r w:rsidR="0089740D" w:rsidRPr="00976A6F">
        <w:rPr>
          <w:lang w:val="en-GB"/>
        </w:rPr>
        <w:t>, UK</w:t>
      </w:r>
      <w:r w:rsidRPr="00976A6F">
        <w:rPr>
          <w:lang w:val="en-GB"/>
        </w:rPr>
        <w:t>; KBrown@ias.org.uk</w:t>
      </w:r>
    </w:p>
    <w:p w14:paraId="11AE99B0" w14:textId="6C926ADA" w:rsidR="003F0DC2" w:rsidRPr="00976A6F" w:rsidRDefault="003F0DC2" w:rsidP="0089740D">
      <w:pPr>
        <w:pStyle w:val="Mdeck2authorcorrespondence"/>
        <w:rPr>
          <w:lang w:val="en-GB"/>
        </w:rPr>
      </w:pPr>
      <w:r w:rsidRPr="00976A6F">
        <w:rPr>
          <w:b/>
          <w:lang w:val="en-GB"/>
        </w:rPr>
        <w:t>*</w:t>
      </w:r>
      <w:r w:rsidRPr="00976A6F">
        <w:rPr>
          <w:lang w:val="en-GB"/>
        </w:rPr>
        <w:tab/>
        <w:t>Correspondence: r</w:t>
      </w:r>
      <w:r w:rsidR="00E60ED7" w:rsidRPr="00976A6F">
        <w:rPr>
          <w:lang w:val="en-GB"/>
        </w:rPr>
        <w:t>.i.purves@stir.ac.uk; Tel.: +44-</w:t>
      </w:r>
      <w:r w:rsidRPr="00976A6F">
        <w:rPr>
          <w:lang w:val="en-GB"/>
        </w:rPr>
        <w:t>017</w:t>
      </w:r>
      <w:r w:rsidR="00E60ED7" w:rsidRPr="00976A6F">
        <w:rPr>
          <w:lang w:val="en-GB"/>
        </w:rPr>
        <w:t>-86</w:t>
      </w:r>
      <w:r w:rsidRPr="00976A6F">
        <w:rPr>
          <w:lang w:val="en-GB"/>
        </w:rPr>
        <w:t>6</w:t>
      </w:r>
      <w:r w:rsidR="00E60ED7" w:rsidRPr="00976A6F">
        <w:rPr>
          <w:lang w:val="en-GB"/>
        </w:rPr>
        <w:t>-</w:t>
      </w:r>
      <w:r w:rsidRPr="00976A6F">
        <w:rPr>
          <w:lang w:val="en-GB"/>
        </w:rPr>
        <w:t>7352</w:t>
      </w:r>
    </w:p>
    <w:p w14:paraId="357678D1" w14:textId="08F5557C" w:rsidR="003F0DC2" w:rsidRPr="00976A6F" w:rsidRDefault="003F0DC2" w:rsidP="005F25E4">
      <w:pPr>
        <w:pStyle w:val="MDPI14history"/>
        <w:rPr>
          <w:lang w:val="en-GB"/>
        </w:rPr>
      </w:pPr>
      <w:r w:rsidRPr="00976A6F">
        <w:rPr>
          <w:lang w:val="en-GB"/>
        </w:rPr>
        <w:t xml:space="preserve">Received: </w:t>
      </w:r>
      <w:r w:rsidR="00E60ED7" w:rsidRPr="00976A6F">
        <w:t>23 June</w:t>
      </w:r>
      <w:r w:rsidRPr="00976A6F">
        <w:rPr>
          <w:lang w:val="en-GB"/>
        </w:rPr>
        <w:t xml:space="preserve">; Accepted: </w:t>
      </w:r>
      <w:r w:rsidR="00E60ED7" w:rsidRPr="00976A6F">
        <w:t>26 June</w:t>
      </w:r>
      <w:r w:rsidRPr="00976A6F">
        <w:rPr>
          <w:lang w:val="en-GB"/>
        </w:rPr>
        <w:t>; Published: date</w:t>
      </w:r>
    </w:p>
    <w:p w14:paraId="1D05CB43" w14:textId="425519E0" w:rsidR="003F0DC2" w:rsidRPr="00976A6F" w:rsidRDefault="003F0DC2" w:rsidP="00DA14AF">
      <w:pPr>
        <w:pStyle w:val="MDPI17abstract"/>
        <w:rPr>
          <w:lang w:val="en-GB"/>
        </w:rPr>
      </w:pPr>
      <w:r w:rsidRPr="00976A6F">
        <w:rPr>
          <w:b/>
          <w:lang w:val="en-GB"/>
        </w:rPr>
        <w:t xml:space="preserve">Abstract: </w:t>
      </w:r>
      <w:r w:rsidRPr="00976A6F">
        <w:rPr>
          <w:lang w:val="en-GB"/>
        </w:rPr>
        <w:t xml:space="preserve">This study examined the frequency and nature of alcohol marketing references in broadcasts of the </w:t>
      </w:r>
      <w:r w:rsidR="00E72149" w:rsidRPr="00976A6F">
        <w:rPr>
          <w:lang w:val="en-GB"/>
        </w:rPr>
        <w:t xml:space="preserve">2016 </w:t>
      </w:r>
      <w:r w:rsidRPr="00976A6F">
        <w:rPr>
          <w:lang w:val="en-GB"/>
        </w:rPr>
        <w:t>UEFA</w:t>
      </w:r>
      <w:r w:rsidR="005978F9" w:rsidRPr="00976A6F">
        <w:rPr>
          <w:lang w:val="en-GB"/>
        </w:rPr>
        <w:t xml:space="preserve"> (Union of European Football Associations) European</w:t>
      </w:r>
      <w:r w:rsidR="00E72149" w:rsidRPr="00976A6F">
        <w:rPr>
          <w:lang w:val="en-GB"/>
        </w:rPr>
        <w:t xml:space="preserve"> Championships</w:t>
      </w:r>
      <w:r w:rsidR="005978F9" w:rsidRPr="00976A6F">
        <w:rPr>
          <w:lang w:val="en-GB"/>
        </w:rPr>
        <w:t xml:space="preserve"> </w:t>
      </w:r>
      <w:r w:rsidRPr="00976A6F">
        <w:rPr>
          <w:lang w:val="en-GB"/>
        </w:rPr>
        <w:t>football tournament in the United Kingdom (UK). Eighteen matches from across the tournament were recorded in full as broadcast in the UK, including all four matches featuring the English national team and all seven featuring the French national team. All visual and verbal references to alcohol marketing were recorded using a tool with high inter-rater reliab</w:t>
      </w:r>
      <w:r w:rsidR="0089740D" w:rsidRPr="00976A6F">
        <w:rPr>
          <w:lang w:val="en-GB"/>
        </w:rPr>
        <w:t>ility. A total of 2</w:t>
      </w:r>
      <w:r w:rsidRPr="00976A6F">
        <w:rPr>
          <w:lang w:val="en-GB"/>
        </w:rPr>
        <w:t>213 alcohol marketing references were recorded, an average of 122.94 per broadcast and 0.65 per broadcast minute (0.52 per minute in-play and 0.80 per minute out-of-play). Almost all references were visual (97.5%), with 77.9% occurring around the pitch border. Almost all (90.6%) were indirect references to alcohol brands (</w:t>
      </w:r>
      <w:r w:rsidR="00DA14AF" w:rsidRPr="00976A6F">
        <w:rPr>
          <w:lang w:val="en-GB"/>
        </w:rPr>
        <w:t>e.g.,</w:t>
      </w:r>
      <w:r w:rsidRPr="00976A6F">
        <w:rPr>
          <w:lang w:val="en-GB"/>
        </w:rPr>
        <w:t xml:space="preserve"> references to well-known slogans), compared to only 9.4% direct references to brands (</w:t>
      </w:r>
      <w:r w:rsidR="00DA14AF" w:rsidRPr="00976A6F">
        <w:rPr>
          <w:lang w:val="en-GB"/>
        </w:rPr>
        <w:t>e.g.,</w:t>
      </w:r>
      <w:r w:rsidRPr="00976A6F">
        <w:rPr>
          <w:lang w:val="en-GB"/>
        </w:rPr>
        <w:t xml:space="preserve"> brand names). The frequency of references to alcohol marketing was high. Although the overall proportion of direct brand references was low, the high proportion of indirect references demonstrates that alcohol producers were able to circumvent the French national law governing alcohol marketing (the Loi Évin) using indirect </w:t>
      </w:r>
      <w:r w:rsidR="00B86E95" w:rsidRPr="00976A6F">
        <w:rPr>
          <w:lang w:val="en-GB"/>
        </w:rPr>
        <w:t>“</w:t>
      </w:r>
      <w:r w:rsidRPr="00976A6F">
        <w:rPr>
          <w:lang w:val="en-GB"/>
        </w:rPr>
        <w:t>alibi marketing</w:t>
      </w:r>
      <w:r w:rsidR="00B86E95" w:rsidRPr="00976A6F">
        <w:rPr>
          <w:lang w:val="en-GB"/>
        </w:rPr>
        <w:t>”</w:t>
      </w:r>
      <w:r w:rsidRPr="00976A6F">
        <w:rPr>
          <w:lang w:val="en-GB"/>
        </w:rPr>
        <w:t>. To ensure the spirit of the Loi Évin regulations are achieved, stricter enforcement may be required to limit exposure to alcohol marketing, particularly for young people.</w:t>
      </w:r>
    </w:p>
    <w:p w14:paraId="02537AF2" w14:textId="77777777" w:rsidR="003F0DC2" w:rsidRPr="00976A6F" w:rsidRDefault="003F0DC2" w:rsidP="00DA14AF">
      <w:pPr>
        <w:pStyle w:val="MDPI18keywords"/>
        <w:rPr>
          <w:lang w:val="en-GB"/>
        </w:rPr>
      </w:pPr>
      <w:r w:rsidRPr="00976A6F">
        <w:rPr>
          <w:b/>
          <w:lang w:val="en-GB"/>
        </w:rPr>
        <w:t xml:space="preserve">Keywords: </w:t>
      </w:r>
      <w:r w:rsidRPr="00976A6F">
        <w:rPr>
          <w:lang w:val="en-GB"/>
        </w:rPr>
        <w:t>alcohol marketing; alcohol policy; marketing regulations; sponsorship; frequency analysis</w:t>
      </w:r>
    </w:p>
    <w:p w14:paraId="57A052D4" w14:textId="77777777" w:rsidR="003F0DC2" w:rsidRPr="00976A6F" w:rsidRDefault="003F0DC2" w:rsidP="00DA14AF">
      <w:pPr>
        <w:pStyle w:val="MDPI19line"/>
        <w:pBdr>
          <w:bottom w:val="single" w:sz="4" w:space="1" w:color="auto"/>
        </w:pBdr>
        <w:spacing w:after="480"/>
        <w:rPr>
          <w:lang w:val="en-GB"/>
        </w:rPr>
      </w:pPr>
    </w:p>
    <w:p w14:paraId="3C9682B5" w14:textId="77777777" w:rsidR="003F0DC2" w:rsidRPr="00976A6F" w:rsidRDefault="003F0DC2" w:rsidP="00DA14AF">
      <w:pPr>
        <w:pStyle w:val="MDPI21heading1"/>
        <w:rPr>
          <w:lang w:val="en-GB"/>
        </w:rPr>
      </w:pPr>
      <w:r w:rsidRPr="00976A6F">
        <w:rPr>
          <w:lang w:val="en-GB" w:eastAsia="zh-CN"/>
        </w:rPr>
        <w:t xml:space="preserve">1. </w:t>
      </w:r>
      <w:r w:rsidRPr="00976A6F">
        <w:rPr>
          <w:lang w:val="en-GB"/>
        </w:rPr>
        <w:t>Introduction</w:t>
      </w:r>
    </w:p>
    <w:p w14:paraId="7521359D" w14:textId="0EE6736E" w:rsidR="003F0DC2" w:rsidRPr="00976A6F" w:rsidRDefault="003F0DC2" w:rsidP="00FE3121">
      <w:pPr>
        <w:pStyle w:val="MDPI31text"/>
        <w:rPr>
          <w:b/>
          <w:lang w:val="en-GB"/>
        </w:rPr>
      </w:pPr>
      <w:r w:rsidRPr="00976A6F">
        <w:rPr>
          <w:lang w:val="en-GB"/>
        </w:rPr>
        <w:t>Sponsorship of high-profile sporting and cultural events is an important and lucrative alcohol marketing strategy. It creates high levels of awareness and allows brands to be associated with attractive and emotionally arousing cultural phenomena such as music or sport [1,2]. Having positive emotional responses to alcohol brands ha</w:t>
      </w:r>
      <w:r w:rsidR="007F5262" w:rsidRPr="00976A6F">
        <w:rPr>
          <w:lang w:val="en-GB"/>
        </w:rPr>
        <w:t>ve</w:t>
      </w:r>
      <w:r w:rsidRPr="00976A6F">
        <w:rPr>
          <w:lang w:val="en-GB"/>
        </w:rPr>
        <w:t xml:space="preserve"> been associated with increased likelihood of consumption </w:t>
      </w:r>
      <w:r w:rsidR="0089740D" w:rsidRPr="00976A6F">
        <w:rPr>
          <w:lang w:val="en-GB"/>
        </w:rPr>
        <w:t>[3–5</w:t>
      </w:r>
      <w:r w:rsidRPr="00976A6F">
        <w:rPr>
          <w:lang w:val="en-GB"/>
        </w:rPr>
        <w:t xml:space="preserve">] and alcohol companies have reported increased sales as a result of sponsorship [1]. Exposure to alcohol marketing, including alcohol sports sponsorship, is associated with increased rates of underage and risky drinking </w:t>
      </w:r>
      <w:r w:rsidR="0089740D" w:rsidRPr="00976A6F">
        <w:rPr>
          <w:lang w:val="en-GB"/>
        </w:rPr>
        <w:t>[6–8</w:t>
      </w:r>
      <w:r w:rsidRPr="00976A6F">
        <w:rPr>
          <w:lang w:val="en-GB"/>
        </w:rPr>
        <w:t>]. As well as raising awareness, sponsorship creates positive emotional associations with products and helps to shape norms [2,9]. Consequently, many countries restrict alcohol advertising and sponsorship activities in attempts to protect young people and promote public health [10]. In France, for example, the Loi Évin restricts the placement of alcohol advertising to print media with a largely adult readership (</w:t>
      </w:r>
      <w:r w:rsidR="00DA14AF" w:rsidRPr="00976A6F">
        <w:rPr>
          <w:lang w:val="en-GB"/>
        </w:rPr>
        <w:t>e.g.,</w:t>
      </w:r>
      <w:r w:rsidRPr="00976A6F">
        <w:rPr>
          <w:lang w:val="en-GB"/>
        </w:rPr>
        <w:t xml:space="preserve"> magazines about travel or home design), the content of which must be based on factual and informative data about the product. No lifestyle messages can be featured and all advertisements must display a mandatory health warning </w:t>
      </w:r>
      <w:r w:rsidRPr="00976A6F">
        <w:rPr>
          <w:lang w:val="en-GB"/>
        </w:rPr>
        <w:lastRenderedPageBreak/>
        <w:t xml:space="preserve">[11,12]. Broadcast advertising of alcohol products on television and radio are prohibited in France, as is alcohol sponsorship of sporting and cultural events [13]. </w:t>
      </w:r>
    </w:p>
    <w:p w14:paraId="1612BC67" w14:textId="77777777" w:rsidR="003F0DC2" w:rsidRPr="00976A6F" w:rsidRDefault="003F0DC2" w:rsidP="00FE3121">
      <w:pPr>
        <w:pStyle w:val="MDPI31text"/>
        <w:rPr>
          <w:b/>
          <w:lang w:val="en-GB"/>
        </w:rPr>
      </w:pPr>
      <w:r w:rsidRPr="00976A6F">
        <w:rPr>
          <w:lang w:val="en-GB"/>
        </w:rPr>
        <w:t>International football tournaments provide a particularly high-profile platform for sponsorship and marketing. The final of the 2014 FIFA (Fédération Internationale de Football Association) World Cup, for example, attracted an average global television audience of around 570 million [14]. Similarly, televised broadcasts of the 2012 UEFA (Union of European Football Associations) European football tournament (typically referred to as the EURO) attracted more than 300 million viewers across 230 worldwide territories [15]. Although the methods used to record the presence of alcohol marketing have differed between studies, previous research has consistently found a high volume of alcohol marketing references present in broadcasts of both tournaments. For example, a frequency analysis of the UEFA EURO 2012 football tournament counted every time a brand logo appeared and found an average of 221.75 references per broadcast [16], whereas a frequency analysis of the 2014 World Cup in Brazil found that alcohol references appeared on screen approximately 100 times per broadcast [17].</w:t>
      </w:r>
    </w:p>
    <w:p w14:paraId="67D27257" w14:textId="6C32BC3D" w:rsidR="003F0DC2" w:rsidRPr="00976A6F" w:rsidRDefault="003F0DC2" w:rsidP="00FE3121">
      <w:pPr>
        <w:pStyle w:val="MDPI31text"/>
        <w:rPr>
          <w:b/>
          <w:lang w:val="en-GB"/>
        </w:rPr>
      </w:pPr>
      <w:r w:rsidRPr="00976A6F">
        <w:rPr>
          <w:lang w:val="en-GB"/>
        </w:rPr>
        <w:t xml:space="preserve">The UEFA EURO 2016 tournament differs from previous tournaments in two ways. First, the number of teams featuring at the tournament increased from 16 to 24, which increased the number of matches played and the potential interest from television audiences in competing nations. Second, it was the first time that the tournament had been held in France since the introduction of the Loi Évin in 1991 (France last hosted the Euro tournament in 1984). Despite the legal restrictions on alcohol sponsorship, however, beer producer Carlsberg was again named as one of the 10 key sponsors of EURO 2016 [18]. Carlsberg has sponsored the UEFA EURO tournament since 1988 and claims that this is a profitable relationship, reporting that its sponsorship of the UEFA EURO 2012 tournament </w:t>
      </w:r>
      <w:r w:rsidR="00B86E95" w:rsidRPr="00976A6F">
        <w:rPr>
          <w:lang w:val="en-GB"/>
        </w:rPr>
        <w:t>“</w:t>
      </w:r>
      <w:r w:rsidRPr="00976A6F">
        <w:rPr>
          <w:lang w:val="en-GB"/>
        </w:rPr>
        <w:t>surpassed all expectations</w:t>
      </w:r>
      <w:r w:rsidR="00B86E95" w:rsidRPr="00976A6F">
        <w:rPr>
          <w:lang w:val="en-GB"/>
        </w:rPr>
        <w:t>”</w:t>
      </w:r>
      <w:r w:rsidRPr="00976A6F">
        <w:rPr>
          <w:lang w:val="en-GB"/>
        </w:rPr>
        <w:t xml:space="preserve"> in terms of fan engagement and beer sales [19]. </w:t>
      </w:r>
    </w:p>
    <w:p w14:paraId="0F7952EB" w14:textId="77777777" w:rsidR="003F0DC2" w:rsidRPr="00976A6F" w:rsidRDefault="003F0DC2" w:rsidP="00FE3121">
      <w:pPr>
        <w:pStyle w:val="MDPI31text"/>
        <w:rPr>
          <w:b/>
          <w:lang w:val="en-GB"/>
        </w:rPr>
      </w:pPr>
      <w:r w:rsidRPr="00976A6F">
        <w:rPr>
          <w:lang w:val="en-GB"/>
        </w:rPr>
        <w:t xml:space="preserve">Recent research has raised questions about the Loi Évin, with cross-sectional surveys reporting that young people in France recall exposure to alcohol marketing through a range of channels, including at sporting and cultural events, despite such marketing being supposedly prohibited [11]. These findings have wider implications, given that the Loi Évin is often cited as an exemplar of marketing policy by those who advocate for tighter restrictions </w:t>
      </w:r>
      <w:r w:rsidR="0089740D" w:rsidRPr="00976A6F">
        <w:rPr>
          <w:lang w:val="en-GB"/>
        </w:rPr>
        <w:t>[20–22</w:t>
      </w:r>
      <w:r w:rsidRPr="00976A6F">
        <w:rPr>
          <w:lang w:val="en-GB"/>
        </w:rPr>
        <w:t>]. Building on this debate, this study explores the frequency and nature of alcohol marketing references in UK broadcasts of the UEFA EURO 2016 football tournament. By doing so it explores what impact, if any, the Loi Évin had on the presence of alcohol marketing at the tournament and the types of marketing messages that audiences were exposed to during the tournament.</w:t>
      </w:r>
    </w:p>
    <w:p w14:paraId="3C6EB6A5" w14:textId="77777777" w:rsidR="003F0DC2" w:rsidRPr="00976A6F" w:rsidRDefault="003F0DC2" w:rsidP="00DA14AF">
      <w:pPr>
        <w:pStyle w:val="MDPI21heading1"/>
        <w:rPr>
          <w:lang w:val="en-GB"/>
        </w:rPr>
      </w:pPr>
      <w:r w:rsidRPr="00976A6F">
        <w:rPr>
          <w:lang w:val="en-GB" w:eastAsia="zh-CN"/>
        </w:rPr>
        <w:t xml:space="preserve">2. </w:t>
      </w:r>
      <w:r w:rsidR="00DA14AF" w:rsidRPr="00976A6F">
        <w:rPr>
          <w:lang w:val="en-GB"/>
        </w:rPr>
        <w:t>Materials and Methods</w:t>
      </w:r>
    </w:p>
    <w:p w14:paraId="7E61B766" w14:textId="77777777" w:rsidR="003F0DC2" w:rsidRPr="00976A6F" w:rsidRDefault="003F0DC2" w:rsidP="00DA14AF">
      <w:pPr>
        <w:pStyle w:val="MDPI22heading2"/>
        <w:rPr>
          <w:noProof w:val="0"/>
          <w:lang w:val="en-GB"/>
        </w:rPr>
      </w:pPr>
      <w:r w:rsidRPr="00976A6F">
        <w:rPr>
          <w:noProof w:val="0"/>
          <w:lang w:val="en-GB"/>
        </w:rPr>
        <w:t>2.1</w:t>
      </w:r>
      <w:r w:rsidR="00FE3121" w:rsidRPr="00976A6F">
        <w:rPr>
          <w:noProof w:val="0"/>
          <w:lang w:val="en-GB"/>
        </w:rPr>
        <w:t>.</w:t>
      </w:r>
      <w:r w:rsidRPr="00976A6F">
        <w:rPr>
          <w:noProof w:val="0"/>
          <w:lang w:val="en-GB"/>
        </w:rPr>
        <w:t xml:space="preserve"> Design</w:t>
      </w:r>
    </w:p>
    <w:p w14:paraId="05C5ADA2" w14:textId="77777777" w:rsidR="003F0DC2" w:rsidRPr="00976A6F" w:rsidRDefault="003F0DC2" w:rsidP="00FE3121">
      <w:pPr>
        <w:pStyle w:val="MDPI31text"/>
        <w:rPr>
          <w:lang w:val="en-GB"/>
        </w:rPr>
      </w:pPr>
      <w:r w:rsidRPr="00976A6F">
        <w:rPr>
          <w:lang w:val="en-GB"/>
        </w:rPr>
        <w:t>A frequency analysis of all verbal and visual references to alcohol marketing was conducted on 18 matches from the UEFA EURO 2016 football tournament, as broadcast in the UK. The design and approach was informed by previous studies into alcohol sponsorship of televised top class English club football [23] and the UEFA EURO</w:t>
      </w:r>
      <w:r w:rsidR="00DA14AF" w:rsidRPr="00976A6F">
        <w:rPr>
          <w:lang w:val="en-GB"/>
        </w:rPr>
        <w:t xml:space="preserve"> 2012 football tournament [16].</w:t>
      </w:r>
    </w:p>
    <w:p w14:paraId="0BA2D0C9" w14:textId="77777777" w:rsidR="003F0DC2" w:rsidRPr="00976A6F" w:rsidRDefault="003F0DC2" w:rsidP="00DA14AF">
      <w:pPr>
        <w:pStyle w:val="MDPI22heading2"/>
        <w:rPr>
          <w:noProof w:val="0"/>
          <w:lang w:val="en-GB"/>
        </w:rPr>
      </w:pPr>
      <w:r w:rsidRPr="00976A6F">
        <w:rPr>
          <w:noProof w:val="0"/>
          <w:lang w:val="en-GB"/>
        </w:rPr>
        <w:t>2.2</w:t>
      </w:r>
      <w:r w:rsidR="00FE3121" w:rsidRPr="00976A6F">
        <w:rPr>
          <w:noProof w:val="0"/>
          <w:lang w:val="en-GB"/>
        </w:rPr>
        <w:t>.</w:t>
      </w:r>
      <w:r w:rsidRPr="00976A6F">
        <w:rPr>
          <w:noProof w:val="0"/>
          <w:lang w:val="en-GB"/>
        </w:rPr>
        <w:t xml:space="preserve"> Selection of </w:t>
      </w:r>
      <w:r w:rsidR="00FE3121" w:rsidRPr="00976A6F">
        <w:rPr>
          <w:noProof w:val="0"/>
          <w:lang w:val="en-GB"/>
        </w:rPr>
        <w:t>Broadcasts</w:t>
      </w:r>
    </w:p>
    <w:p w14:paraId="00305397" w14:textId="77777777" w:rsidR="00FE3121" w:rsidRPr="00976A6F" w:rsidRDefault="003F0DC2" w:rsidP="00DA14AF">
      <w:pPr>
        <w:pStyle w:val="MDPI31text"/>
        <w:rPr>
          <w:lang w:val="en-GB"/>
        </w:rPr>
      </w:pPr>
      <w:r w:rsidRPr="00976A6F">
        <w:rPr>
          <w:lang w:val="en-GB"/>
        </w:rPr>
        <w:t>Eighteen matches from across the UEFA EURO football tournament were recorded as broadcast in the UK on the public service broadcaster BBC and the main commercial broadcaster ITV (STV in Scotland) (Table 1). Given the UK context of the study, all the matches featuring the English national team were purposively sampled (</w:t>
      </w:r>
      <w:r w:rsidRPr="00976A6F">
        <w:rPr>
          <w:i/>
          <w:lang w:val="en-GB"/>
        </w:rPr>
        <w:t>n</w:t>
      </w:r>
      <w:r w:rsidRPr="00976A6F">
        <w:rPr>
          <w:lang w:val="en-GB"/>
        </w:rPr>
        <w:t xml:space="preserve"> = 4). As this study considered the effectiveness of Loi Évin, all broadcasts involving the host nation France (</w:t>
      </w:r>
      <w:r w:rsidRPr="00976A6F">
        <w:rPr>
          <w:i/>
          <w:lang w:val="en-GB"/>
        </w:rPr>
        <w:t>n</w:t>
      </w:r>
      <w:r w:rsidRPr="00976A6F">
        <w:rPr>
          <w:lang w:val="en-GB"/>
        </w:rPr>
        <w:t xml:space="preserve"> = 7) were also purposively sampled to provide insight into matches where international interest and television audiences were likely to be high. This has </w:t>
      </w:r>
      <w:r w:rsidR="00FE3121" w:rsidRPr="00976A6F">
        <w:rPr>
          <w:lang w:val="en-GB"/>
        </w:rPr>
        <w:t>proven to be the case in previous tournaments where matches featuring the host nation have tended to attract the most viewers globally [14]. All broadcasts involving the Republic of Ireland (</w:t>
      </w:r>
      <w:r w:rsidR="00FE3121" w:rsidRPr="00976A6F">
        <w:rPr>
          <w:i/>
          <w:lang w:val="en-GB"/>
        </w:rPr>
        <w:t>n</w:t>
      </w:r>
      <w:r w:rsidR="00FE3121" w:rsidRPr="00976A6F">
        <w:rPr>
          <w:lang w:val="en-GB"/>
        </w:rPr>
        <w:t xml:space="preserve"> = 4) were also purposively sampled, as the introduction of tighter restrictions on alcohol sponsorship, and the implications these may have for hosting international sporting events, were being debated in Ireland </w:t>
      </w:r>
      <w:r w:rsidR="00FE3121" w:rsidRPr="00976A6F">
        <w:rPr>
          <w:lang w:val="en-GB"/>
        </w:rPr>
        <w:lastRenderedPageBreak/>
        <w:t>at the same time as the tournament [24,25]. As both England and the Republic of Ireland were eliminated from the tournament in the round of 16, two additional matches were randomly selected for the quarter finals, while both semi-finals were recorded. As the final was shown on both ITV and BBC, both broadcasts were recorded. The BBC broadcast was chosen for analysis, as it had the higher audience share [26].</w:t>
      </w:r>
    </w:p>
    <w:p w14:paraId="59036D8B" w14:textId="77777777" w:rsidR="003F0DC2" w:rsidRPr="00976A6F" w:rsidRDefault="00FE3121" w:rsidP="00DA14AF">
      <w:pPr>
        <w:pStyle w:val="MDPI41tablecaption"/>
        <w:jc w:val="center"/>
        <w:rPr>
          <w:lang w:val="en-GB"/>
        </w:rPr>
      </w:pPr>
      <w:r w:rsidRPr="00976A6F">
        <w:rPr>
          <w:b/>
          <w:lang w:val="en-GB"/>
        </w:rPr>
        <w:t xml:space="preserve">Table 1. </w:t>
      </w:r>
      <w:r w:rsidRPr="00976A6F">
        <w:rPr>
          <w:lang w:val="en-GB"/>
        </w:rPr>
        <w:t>Characteristics of the eighteen matches as broadcast on UK television.</w:t>
      </w:r>
    </w:p>
    <w:tbl>
      <w:tblPr>
        <w:tblStyle w:val="TableGrid"/>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752"/>
        <w:gridCol w:w="1348"/>
        <w:gridCol w:w="1012"/>
        <w:gridCol w:w="1452"/>
      </w:tblGrid>
      <w:tr w:rsidR="003F0DC2" w:rsidRPr="00976A6F" w14:paraId="058BDE2E" w14:textId="77777777" w:rsidTr="00FE3121">
        <w:trPr>
          <w:jc w:val="center"/>
        </w:trPr>
        <w:tc>
          <w:tcPr>
            <w:tcW w:w="1289" w:type="pct"/>
            <w:tcBorders>
              <w:top w:val="single" w:sz="8" w:space="0" w:color="auto"/>
              <w:bottom w:val="single" w:sz="4" w:space="0" w:color="auto"/>
            </w:tcBorders>
            <w:vAlign w:val="center"/>
          </w:tcPr>
          <w:p w14:paraId="738E5558" w14:textId="77777777" w:rsidR="003F0DC2" w:rsidRPr="00976A6F" w:rsidRDefault="003F0DC2" w:rsidP="00FE3121">
            <w:pPr>
              <w:adjustRightInd w:val="0"/>
              <w:snapToGrid w:val="0"/>
              <w:spacing w:line="240" w:lineRule="auto"/>
              <w:jc w:val="center"/>
              <w:rPr>
                <w:rFonts w:ascii="Palatino Linotype" w:hAnsi="Palatino Linotype"/>
                <w:b/>
                <w:sz w:val="18"/>
                <w:szCs w:val="18"/>
                <w:lang w:val="en-GB"/>
              </w:rPr>
            </w:pPr>
            <w:r w:rsidRPr="00976A6F">
              <w:rPr>
                <w:rFonts w:ascii="Palatino Linotype" w:hAnsi="Palatino Linotype"/>
                <w:b/>
                <w:sz w:val="18"/>
                <w:szCs w:val="18"/>
                <w:lang w:val="en-GB"/>
              </w:rPr>
              <w:t>Date</w:t>
            </w:r>
          </w:p>
        </w:tc>
        <w:tc>
          <w:tcPr>
            <w:tcW w:w="1556" w:type="pct"/>
            <w:tcBorders>
              <w:top w:val="single" w:sz="8" w:space="0" w:color="auto"/>
              <w:bottom w:val="single" w:sz="4" w:space="0" w:color="auto"/>
            </w:tcBorders>
            <w:vAlign w:val="center"/>
          </w:tcPr>
          <w:p w14:paraId="366D161E" w14:textId="77777777" w:rsidR="003F0DC2" w:rsidRPr="00976A6F" w:rsidRDefault="003F0DC2" w:rsidP="00FE3121">
            <w:pPr>
              <w:adjustRightInd w:val="0"/>
              <w:snapToGrid w:val="0"/>
              <w:spacing w:line="240" w:lineRule="auto"/>
              <w:jc w:val="center"/>
              <w:rPr>
                <w:rFonts w:ascii="Palatino Linotype" w:hAnsi="Palatino Linotype"/>
                <w:b/>
                <w:sz w:val="18"/>
                <w:szCs w:val="18"/>
                <w:lang w:val="en-GB"/>
              </w:rPr>
            </w:pPr>
            <w:r w:rsidRPr="00976A6F">
              <w:rPr>
                <w:rFonts w:ascii="Palatino Linotype" w:hAnsi="Palatino Linotype"/>
                <w:b/>
                <w:sz w:val="18"/>
                <w:szCs w:val="18"/>
                <w:lang w:val="en-GB"/>
              </w:rPr>
              <w:t>Teams</w:t>
            </w:r>
          </w:p>
        </w:tc>
        <w:tc>
          <w:tcPr>
            <w:tcW w:w="762" w:type="pct"/>
            <w:tcBorders>
              <w:top w:val="single" w:sz="8" w:space="0" w:color="auto"/>
              <w:bottom w:val="single" w:sz="4" w:space="0" w:color="auto"/>
            </w:tcBorders>
            <w:vAlign w:val="center"/>
          </w:tcPr>
          <w:p w14:paraId="11F64E33" w14:textId="77777777" w:rsidR="003F0DC2" w:rsidRPr="00976A6F" w:rsidRDefault="003F0DC2" w:rsidP="00FE3121">
            <w:pPr>
              <w:adjustRightInd w:val="0"/>
              <w:snapToGrid w:val="0"/>
              <w:spacing w:line="240" w:lineRule="auto"/>
              <w:jc w:val="center"/>
              <w:rPr>
                <w:rFonts w:ascii="Palatino Linotype" w:hAnsi="Palatino Linotype"/>
                <w:b/>
                <w:sz w:val="18"/>
                <w:szCs w:val="18"/>
                <w:lang w:val="en-GB"/>
              </w:rPr>
            </w:pPr>
            <w:r w:rsidRPr="00976A6F">
              <w:rPr>
                <w:rFonts w:ascii="Palatino Linotype" w:hAnsi="Palatino Linotype"/>
                <w:b/>
                <w:sz w:val="18"/>
                <w:szCs w:val="18"/>
                <w:lang w:val="en-GB"/>
              </w:rPr>
              <w:t>Time (GMT)</w:t>
            </w:r>
          </w:p>
        </w:tc>
        <w:tc>
          <w:tcPr>
            <w:tcW w:w="572" w:type="pct"/>
            <w:tcBorders>
              <w:top w:val="single" w:sz="8" w:space="0" w:color="auto"/>
              <w:bottom w:val="single" w:sz="4" w:space="0" w:color="auto"/>
            </w:tcBorders>
            <w:vAlign w:val="center"/>
          </w:tcPr>
          <w:p w14:paraId="3122B114" w14:textId="77777777" w:rsidR="003F0DC2" w:rsidRPr="00976A6F" w:rsidRDefault="003F0DC2" w:rsidP="00FE3121">
            <w:pPr>
              <w:adjustRightInd w:val="0"/>
              <w:snapToGrid w:val="0"/>
              <w:spacing w:line="240" w:lineRule="auto"/>
              <w:jc w:val="center"/>
              <w:rPr>
                <w:rFonts w:ascii="Palatino Linotype" w:hAnsi="Palatino Linotype"/>
                <w:b/>
                <w:sz w:val="18"/>
                <w:szCs w:val="18"/>
                <w:lang w:val="en-GB"/>
              </w:rPr>
            </w:pPr>
            <w:r w:rsidRPr="00976A6F">
              <w:rPr>
                <w:rFonts w:ascii="Palatino Linotype" w:hAnsi="Palatino Linotype"/>
                <w:b/>
                <w:sz w:val="18"/>
                <w:szCs w:val="18"/>
                <w:lang w:val="en-GB"/>
              </w:rPr>
              <w:t>Channel</w:t>
            </w:r>
          </w:p>
        </w:tc>
        <w:tc>
          <w:tcPr>
            <w:tcW w:w="821" w:type="pct"/>
            <w:tcBorders>
              <w:top w:val="single" w:sz="8" w:space="0" w:color="auto"/>
              <w:bottom w:val="single" w:sz="4" w:space="0" w:color="auto"/>
            </w:tcBorders>
            <w:vAlign w:val="center"/>
          </w:tcPr>
          <w:p w14:paraId="1AF008BC" w14:textId="716C5217" w:rsidR="003F0DC2" w:rsidRPr="00976A6F" w:rsidRDefault="003F0DC2" w:rsidP="00FE3121">
            <w:pPr>
              <w:adjustRightInd w:val="0"/>
              <w:snapToGrid w:val="0"/>
              <w:spacing w:line="240" w:lineRule="auto"/>
              <w:jc w:val="center"/>
              <w:rPr>
                <w:rFonts w:ascii="Palatino Linotype" w:hAnsi="Palatino Linotype"/>
                <w:b/>
                <w:sz w:val="18"/>
                <w:szCs w:val="18"/>
                <w:lang w:val="en-GB"/>
              </w:rPr>
            </w:pPr>
            <w:r w:rsidRPr="00976A6F">
              <w:rPr>
                <w:rFonts w:ascii="Palatino Linotype" w:hAnsi="Palatino Linotype"/>
                <w:b/>
                <w:sz w:val="18"/>
                <w:szCs w:val="18"/>
                <w:lang w:val="en-GB"/>
              </w:rPr>
              <w:t>Length (</w:t>
            </w:r>
            <w:r w:rsidR="00DA14AF" w:rsidRPr="00976A6F">
              <w:rPr>
                <w:rFonts w:ascii="Palatino Linotype" w:hAnsi="Palatino Linotype"/>
                <w:b/>
                <w:sz w:val="18"/>
                <w:szCs w:val="18"/>
                <w:lang w:val="en-GB"/>
              </w:rPr>
              <w:t>min</w:t>
            </w:r>
            <w:r w:rsidRPr="00976A6F">
              <w:rPr>
                <w:rFonts w:ascii="Palatino Linotype" w:hAnsi="Palatino Linotype"/>
                <w:b/>
                <w:sz w:val="18"/>
                <w:szCs w:val="18"/>
                <w:lang w:val="en-GB"/>
              </w:rPr>
              <w:t>)</w:t>
            </w:r>
          </w:p>
        </w:tc>
      </w:tr>
      <w:tr w:rsidR="003F0DC2" w:rsidRPr="00976A6F" w14:paraId="1BEA9882" w14:textId="77777777" w:rsidTr="00FE3121">
        <w:trPr>
          <w:jc w:val="center"/>
        </w:trPr>
        <w:tc>
          <w:tcPr>
            <w:tcW w:w="1289" w:type="pct"/>
            <w:tcBorders>
              <w:top w:val="single" w:sz="4" w:space="0" w:color="auto"/>
            </w:tcBorders>
            <w:vAlign w:val="center"/>
          </w:tcPr>
          <w:p w14:paraId="61D741EE" w14:textId="77777777" w:rsidR="003F0DC2" w:rsidRPr="00976A6F" w:rsidRDefault="003F0DC2" w:rsidP="00FE3121">
            <w:pPr>
              <w:adjustRightInd w:val="0"/>
              <w:snapToGrid w:val="0"/>
              <w:spacing w:line="240" w:lineRule="auto"/>
              <w:jc w:val="center"/>
              <w:rPr>
                <w:rFonts w:ascii="Palatino Linotype" w:hAnsi="Palatino Linotype"/>
                <w:i/>
                <w:sz w:val="18"/>
                <w:szCs w:val="18"/>
                <w:lang w:val="en-GB"/>
              </w:rPr>
            </w:pPr>
            <w:r w:rsidRPr="00976A6F">
              <w:rPr>
                <w:rFonts w:ascii="Palatino Linotype" w:hAnsi="Palatino Linotype"/>
                <w:i/>
                <w:sz w:val="18"/>
                <w:szCs w:val="18"/>
                <w:lang w:val="en-GB"/>
              </w:rPr>
              <w:t>Group stage (n = 9)</w:t>
            </w:r>
          </w:p>
        </w:tc>
        <w:tc>
          <w:tcPr>
            <w:tcW w:w="1556" w:type="pct"/>
            <w:tcBorders>
              <w:top w:val="single" w:sz="4" w:space="0" w:color="auto"/>
            </w:tcBorders>
            <w:vAlign w:val="center"/>
          </w:tcPr>
          <w:p w14:paraId="1A0942A5"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762" w:type="pct"/>
            <w:tcBorders>
              <w:top w:val="single" w:sz="4" w:space="0" w:color="auto"/>
            </w:tcBorders>
            <w:vAlign w:val="center"/>
          </w:tcPr>
          <w:p w14:paraId="704E7F18"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572" w:type="pct"/>
            <w:tcBorders>
              <w:top w:val="single" w:sz="4" w:space="0" w:color="auto"/>
            </w:tcBorders>
            <w:vAlign w:val="center"/>
          </w:tcPr>
          <w:p w14:paraId="0E6E9CAE"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821" w:type="pct"/>
            <w:tcBorders>
              <w:top w:val="single" w:sz="4" w:space="0" w:color="auto"/>
            </w:tcBorders>
            <w:vAlign w:val="center"/>
          </w:tcPr>
          <w:p w14:paraId="447D747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r>
      <w:tr w:rsidR="003F0DC2" w:rsidRPr="00976A6F" w14:paraId="40171C00" w14:textId="77777777" w:rsidTr="00FE3121">
        <w:trPr>
          <w:jc w:val="center"/>
        </w:trPr>
        <w:tc>
          <w:tcPr>
            <w:tcW w:w="1289" w:type="pct"/>
            <w:vAlign w:val="center"/>
          </w:tcPr>
          <w:p w14:paraId="11E97671" w14:textId="639625C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Friday 10 June</w:t>
            </w:r>
          </w:p>
        </w:tc>
        <w:tc>
          <w:tcPr>
            <w:tcW w:w="1556" w:type="pct"/>
            <w:vAlign w:val="center"/>
          </w:tcPr>
          <w:p w14:paraId="44717DE7" w14:textId="05EF12BE"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France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Romania</w:t>
            </w:r>
          </w:p>
        </w:tc>
        <w:tc>
          <w:tcPr>
            <w:tcW w:w="762" w:type="pct"/>
            <w:vAlign w:val="center"/>
          </w:tcPr>
          <w:p w14:paraId="50F7F13E"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vAlign w:val="center"/>
          </w:tcPr>
          <w:p w14:paraId="52EEA7B2"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STV</w:t>
            </w:r>
          </w:p>
        </w:tc>
        <w:tc>
          <w:tcPr>
            <w:tcW w:w="821" w:type="pct"/>
            <w:vAlign w:val="center"/>
          </w:tcPr>
          <w:p w14:paraId="28A43F24"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184</w:t>
            </w:r>
          </w:p>
        </w:tc>
      </w:tr>
      <w:tr w:rsidR="003F0DC2" w:rsidRPr="00976A6F" w14:paraId="2153FC12" w14:textId="77777777" w:rsidTr="00FE3121">
        <w:trPr>
          <w:jc w:val="center"/>
        </w:trPr>
        <w:tc>
          <w:tcPr>
            <w:tcW w:w="1289" w:type="pct"/>
            <w:vAlign w:val="center"/>
          </w:tcPr>
          <w:p w14:paraId="5199F042" w14:textId="12343304"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Saturday 11 June</w:t>
            </w:r>
          </w:p>
        </w:tc>
        <w:tc>
          <w:tcPr>
            <w:tcW w:w="1556" w:type="pct"/>
            <w:vAlign w:val="center"/>
          </w:tcPr>
          <w:p w14:paraId="19A30007" w14:textId="3FAEA4D1"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England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Russia</w:t>
            </w:r>
          </w:p>
        </w:tc>
        <w:tc>
          <w:tcPr>
            <w:tcW w:w="762" w:type="pct"/>
            <w:vAlign w:val="center"/>
          </w:tcPr>
          <w:p w14:paraId="1D44BD2D"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vAlign w:val="center"/>
          </w:tcPr>
          <w:p w14:paraId="711A1666"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ITV</w:t>
            </w:r>
          </w:p>
        </w:tc>
        <w:tc>
          <w:tcPr>
            <w:tcW w:w="821" w:type="pct"/>
            <w:vAlign w:val="center"/>
          </w:tcPr>
          <w:p w14:paraId="10DA49F5"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208</w:t>
            </w:r>
          </w:p>
        </w:tc>
      </w:tr>
      <w:tr w:rsidR="003F0DC2" w:rsidRPr="00976A6F" w14:paraId="541E7535" w14:textId="77777777" w:rsidTr="00FE3121">
        <w:trPr>
          <w:jc w:val="center"/>
        </w:trPr>
        <w:tc>
          <w:tcPr>
            <w:tcW w:w="1289" w:type="pct"/>
            <w:vAlign w:val="center"/>
          </w:tcPr>
          <w:p w14:paraId="2DF9FDA1" w14:textId="7795CD42"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Monday 13 June</w:t>
            </w:r>
          </w:p>
        </w:tc>
        <w:tc>
          <w:tcPr>
            <w:tcW w:w="1556" w:type="pct"/>
            <w:vAlign w:val="center"/>
          </w:tcPr>
          <w:p w14:paraId="6A83E114" w14:textId="29F5BCB2"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Republic of Ireland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Sweden</w:t>
            </w:r>
          </w:p>
        </w:tc>
        <w:tc>
          <w:tcPr>
            <w:tcW w:w="762" w:type="pct"/>
            <w:vAlign w:val="center"/>
          </w:tcPr>
          <w:p w14:paraId="605EA311"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17:00</w:t>
            </w:r>
          </w:p>
        </w:tc>
        <w:tc>
          <w:tcPr>
            <w:tcW w:w="572" w:type="pct"/>
            <w:vAlign w:val="center"/>
          </w:tcPr>
          <w:p w14:paraId="29A2A51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BBC One</w:t>
            </w:r>
          </w:p>
        </w:tc>
        <w:tc>
          <w:tcPr>
            <w:tcW w:w="821" w:type="pct"/>
            <w:vAlign w:val="center"/>
          </w:tcPr>
          <w:p w14:paraId="5FA4E628"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155</w:t>
            </w:r>
          </w:p>
        </w:tc>
      </w:tr>
      <w:tr w:rsidR="003F0DC2" w:rsidRPr="00976A6F" w14:paraId="2B5FD61B" w14:textId="77777777" w:rsidTr="00FE3121">
        <w:trPr>
          <w:jc w:val="center"/>
        </w:trPr>
        <w:tc>
          <w:tcPr>
            <w:tcW w:w="1289" w:type="pct"/>
            <w:vAlign w:val="center"/>
          </w:tcPr>
          <w:p w14:paraId="2F834294" w14:textId="48F04EA4"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Wednesday 15 June</w:t>
            </w:r>
          </w:p>
        </w:tc>
        <w:tc>
          <w:tcPr>
            <w:tcW w:w="1556" w:type="pct"/>
            <w:vAlign w:val="center"/>
          </w:tcPr>
          <w:p w14:paraId="599DF6D0" w14:textId="5354B92D"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France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Albania</w:t>
            </w:r>
          </w:p>
        </w:tc>
        <w:tc>
          <w:tcPr>
            <w:tcW w:w="762" w:type="pct"/>
            <w:vAlign w:val="center"/>
          </w:tcPr>
          <w:p w14:paraId="1C127B9B"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vAlign w:val="center"/>
          </w:tcPr>
          <w:p w14:paraId="0C1CAE52"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STV</w:t>
            </w:r>
          </w:p>
        </w:tc>
        <w:tc>
          <w:tcPr>
            <w:tcW w:w="821" w:type="pct"/>
            <w:vAlign w:val="center"/>
          </w:tcPr>
          <w:p w14:paraId="43583E6E"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167</w:t>
            </w:r>
          </w:p>
        </w:tc>
      </w:tr>
      <w:tr w:rsidR="003F0DC2" w:rsidRPr="00976A6F" w14:paraId="4E1E0387" w14:textId="77777777" w:rsidTr="00FE3121">
        <w:trPr>
          <w:jc w:val="center"/>
        </w:trPr>
        <w:tc>
          <w:tcPr>
            <w:tcW w:w="1289" w:type="pct"/>
            <w:vAlign w:val="center"/>
          </w:tcPr>
          <w:p w14:paraId="16A5A2FA" w14:textId="4605D88C"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Thursday 16 June</w:t>
            </w:r>
          </w:p>
        </w:tc>
        <w:tc>
          <w:tcPr>
            <w:tcW w:w="1556" w:type="pct"/>
            <w:vAlign w:val="center"/>
          </w:tcPr>
          <w:p w14:paraId="6B6A0A23" w14:textId="7450DC3F"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England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Wales</w:t>
            </w:r>
          </w:p>
        </w:tc>
        <w:tc>
          <w:tcPr>
            <w:tcW w:w="762" w:type="pct"/>
            <w:vAlign w:val="center"/>
          </w:tcPr>
          <w:p w14:paraId="5E13DF31"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14:00</w:t>
            </w:r>
          </w:p>
        </w:tc>
        <w:tc>
          <w:tcPr>
            <w:tcW w:w="572" w:type="pct"/>
            <w:vAlign w:val="center"/>
          </w:tcPr>
          <w:p w14:paraId="3B664C05"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BBC One</w:t>
            </w:r>
          </w:p>
        </w:tc>
        <w:tc>
          <w:tcPr>
            <w:tcW w:w="821" w:type="pct"/>
            <w:vAlign w:val="center"/>
          </w:tcPr>
          <w:p w14:paraId="5E7F20E6"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179</w:t>
            </w:r>
          </w:p>
        </w:tc>
      </w:tr>
      <w:tr w:rsidR="003F0DC2" w:rsidRPr="00976A6F" w14:paraId="6344A0B0" w14:textId="77777777" w:rsidTr="00FE3121">
        <w:trPr>
          <w:jc w:val="center"/>
        </w:trPr>
        <w:tc>
          <w:tcPr>
            <w:tcW w:w="1289" w:type="pct"/>
            <w:vAlign w:val="center"/>
          </w:tcPr>
          <w:p w14:paraId="707A2210" w14:textId="69514D12"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Saturday 18 June</w:t>
            </w:r>
          </w:p>
        </w:tc>
        <w:tc>
          <w:tcPr>
            <w:tcW w:w="1556" w:type="pct"/>
            <w:vAlign w:val="center"/>
          </w:tcPr>
          <w:p w14:paraId="1879BFB8" w14:textId="5D1E421D"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Republic of Ireland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Belgium</w:t>
            </w:r>
          </w:p>
        </w:tc>
        <w:tc>
          <w:tcPr>
            <w:tcW w:w="762" w:type="pct"/>
            <w:vAlign w:val="center"/>
          </w:tcPr>
          <w:p w14:paraId="11BCABB8"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14:00</w:t>
            </w:r>
          </w:p>
        </w:tc>
        <w:tc>
          <w:tcPr>
            <w:tcW w:w="572" w:type="pct"/>
            <w:vAlign w:val="center"/>
          </w:tcPr>
          <w:p w14:paraId="0E147C53"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ITV</w:t>
            </w:r>
          </w:p>
        </w:tc>
        <w:tc>
          <w:tcPr>
            <w:tcW w:w="821" w:type="pct"/>
            <w:vAlign w:val="center"/>
          </w:tcPr>
          <w:p w14:paraId="42F244C2"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211</w:t>
            </w:r>
          </w:p>
        </w:tc>
      </w:tr>
      <w:tr w:rsidR="003F0DC2" w:rsidRPr="00976A6F" w14:paraId="5D4540ED" w14:textId="77777777" w:rsidTr="00FE3121">
        <w:trPr>
          <w:jc w:val="center"/>
        </w:trPr>
        <w:tc>
          <w:tcPr>
            <w:tcW w:w="1289" w:type="pct"/>
            <w:vAlign w:val="center"/>
          </w:tcPr>
          <w:p w14:paraId="5AD57473" w14:textId="6F06A00D"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Sunday 19 June</w:t>
            </w:r>
          </w:p>
        </w:tc>
        <w:tc>
          <w:tcPr>
            <w:tcW w:w="1556" w:type="pct"/>
            <w:vAlign w:val="center"/>
          </w:tcPr>
          <w:p w14:paraId="49E14AED" w14:textId="6CDB3BA8"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France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Switzerland</w:t>
            </w:r>
          </w:p>
        </w:tc>
        <w:tc>
          <w:tcPr>
            <w:tcW w:w="762" w:type="pct"/>
            <w:vAlign w:val="center"/>
          </w:tcPr>
          <w:p w14:paraId="63043632"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vAlign w:val="center"/>
          </w:tcPr>
          <w:p w14:paraId="339FFCA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BBC One</w:t>
            </w:r>
          </w:p>
        </w:tc>
        <w:tc>
          <w:tcPr>
            <w:tcW w:w="821" w:type="pct"/>
            <w:vAlign w:val="center"/>
          </w:tcPr>
          <w:p w14:paraId="1BAD2A87"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154</w:t>
            </w:r>
          </w:p>
        </w:tc>
      </w:tr>
      <w:tr w:rsidR="003F0DC2" w:rsidRPr="00976A6F" w14:paraId="7ADA370F" w14:textId="77777777" w:rsidTr="00391850">
        <w:trPr>
          <w:jc w:val="center"/>
        </w:trPr>
        <w:tc>
          <w:tcPr>
            <w:tcW w:w="1289" w:type="pct"/>
            <w:tcBorders>
              <w:bottom w:val="nil"/>
            </w:tcBorders>
            <w:vAlign w:val="center"/>
          </w:tcPr>
          <w:p w14:paraId="44D8B3AA" w14:textId="6C36FDDE"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Monday 20 June</w:t>
            </w:r>
          </w:p>
        </w:tc>
        <w:tc>
          <w:tcPr>
            <w:tcW w:w="1556" w:type="pct"/>
            <w:tcBorders>
              <w:bottom w:val="nil"/>
            </w:tcBorders>
            <w:vAlign w:val="center"/>
          </w:tcPr>
          <w:p w14:paraId="48716C5B" w14:textId="318C962A"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England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Slovakia</w:t>
            </w:r>
          </w:p>
        </w:tc>
        <w:tc>
          <w:tcPr>
            <w:tcW w:w="762" w:type="pct"/>
            <w:tcBorders>
              <w:bottom w:val="nil"/>
            </w:tcBorders>
            <w:vAlign w:val="center"/>
          </w:tcPr>
          <w:p w14:paraId="4256B29B"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tcBorders>
              <w:bottom w:val="nil"/>
            </w:tcBorders>
            <w:vAlign w:val="center"/>
          </w:tcPr>
          <w:p w14:paraId="130EAC18"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ITV</w:t>
            </w:r>
          </w:p>
        </w:tc>
        <w:tc>
          <w:tcPr>
            <w:tcW w:w="821" w:type="pct"/>
            <w:tcBorders>
              <w:bottom w:val="nil"/>
            </w:tcBorders>
            <w:vAlign w:val="center"/>
          </w:tcPr>
          <w:p w14:paraId="34ECC8A5"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193</w:t>
            </w:r>
          </w:p>
        </w:tc>
      </w:tr>
      <w:tr w:rsidR="003F0DC2" w:rsidRPr="00976A6F" w14:paraId="2722EC6B" w14:textId="77777777" w:rsidTr="00391850">
        <w:trPr>
          <w:jc w:val="center"/>
        </w:trPr>
        <w:tc>
          <w:tcPr>
            <w:tcW w:w="1289" w:type="pct"/>
            <w:tcBorders>
              <w:top w:val="nil"/>
              <w:bottom w:val="single" w:sz="4" w:space="0" w:color="auto"/>
            </w:tcBorders>
            <w:vAlign w:val="center"/>
          </w:tcPr>
          <w:p w14:paraId="207F217A" w14:textId="14B62443"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Wednesday 22 June</w:t>
            </w:r>
          </w:p>
        </w:tc>
        <w:tc>
          <w:tcPr>
            <w:tcW w:w="1556" w:type="pct"/>
            <w:tcBorders>
              <w:top w:val="nil"/>
              <w:bottom w:val="single" w:sz="4" w:space="0" w:color="auto"/>
            </w:tcBorders>
            <w:vAlign w:val="center"/>
          </w:tcPr>
          <w:p w14:paraId="483415DE" w14:textId="7969A61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Republic of Ireland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Italy</w:t>
            </w:r>
          </w:p>
        </w:tc>
        <w:tc>
          <w:tcPr>
            <w:tcW w:w="762" w:type="pct"/>
            <w:tcBorders>
              <w:top w:val="nil"/>
              <w:bottom w:val="single" w:sz="4" w:space="0" w:color="auto"/>
            </w:tcBorders>
            <w:vAlign w:val="center"/>
          </w:tcPr>
          <w:p w14:paraId="1137C99B"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tcBorders>
              <w:top w:val="nil"/>
              <w:bottom w:val="single" w:sz="4" w:space="0" w:color="auto"/>
            </w:tcBorders>
            <w:vAlign w:val="center"/>
          </w:tcPr>
          <w:p w14:paraId="243DFEA0"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STV</w:t>
            </w:r>
          </w:p>
        </w:tc>
        <w:tc>
          <w:tcPr>
            <w:tcW w:w="821" w:type="pct"/>
            <w:tcBorders>
              <w:top w:val="nil"/>
              <w:bottom w:val="single" w:sz="4" w:space="0" w:color="auto"/>
            </w:tcBorders>
            <w:vAlign w:val="center"/>
          </w:tcPr>
          <w:p w14:paraId="795E0641"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180</w:t>
            </w:r>
          </w:p>
        </w:tc>
      </w:tr>
      <w:tr w:rsidR="003F0DC2" w:rsidRPr="00976A6F" w14:paraId="4CE8203B" w14:textId="77777777" w:rsidTr="00391850">
        <w:trPr>
          <w:jc w:val="center"/>
        </w:trPr>
        <w:tc>
          <w:tcPr>
            <w:tcW w:w="1289" w:type="pct"/>
            <w:tcBorders>
              <w:top w:val="single" w:sz="4" w:space="0" w:color="auto"/>
            </w:tcBorders>
            <w:vAlign w:val="center"/>
          </w:tcPr>
          <w:p w14:paraId="01D481A4" w14:textId="77777777" w:rsidR="003F0DC2" w:rsidRPr="00976A6F" w:rsidRDefault="003F0DC2" w:rsidP="00FE3121">
            <w:pPr>
              <w:adjustRightInd w:val="0"/>
              <w:snapToGrid w:val="0"/>
              <w:spacing w:line="240" w:lineRule="auto"/>
              <w:jc w:val="center"/>
              <w:rPr>
                <w:rFonts w:ascii="Palatino Linotype" w:hAnsi="Palatino Linotype"/>
                <w:i/>
                <w:sz w:val="18"/>
                <w:szCs w:val="18"/>
                <w:lang w:val="en-GB"/>
              </w:rPr>
            </w:pPr>
            <w:r w:rsidRPr="00976A6F">
              <w:rPr>
                <w:rFonts w:ascii="Palatino Linotype" w:hAnsi="Palatino Linotype"/>
                <w:i/>
                <w:sz w:val="18"/>
                <w:szCs w:val="18"/>
                <w:lang w:val="en-GB"/>
              </w:rPr>
              <w:t>Round of 16 (n</w:t>
            </w:r>
            <w:r w:rsidRPr="00976A6F">
              <w:rPr>
                <w:rFonts w:ascii="Palatino Linotype" w:hAnsi="Palatino Linotype"/>
                <w:sz w:val="18"/>
                <w:szCs w:val="18"/>
                <w:lang w:val="en-GB"/>
              </w:rPr>
              <w:t xml:space="preserve"> </w:t>
            </w:r>
            <w:r w:rsidR="00DA14AF" w:rsidRPr="00976A6F">
              <w:rPr>
                <w:rFonts w:ascii="Palatino Linotype" w:hAnsi="Palatino Linotype"/>
                <w:i/>
                <w:sz w:val="18"/>
                <w:szCs w:val="18"/>
                <w:lang w:val="en-GB"/>
              </w:rPr>
              <w:t xml:space="preserve">= </w:t>
            </w:r>
            <w:r w:rsidRPr="00976A6F">
              <w:rPr>
                <w:rFonts w:ascii="Palatino Linotype" w:hAnsi="Palatino Linotype"/>
                <w:i/>
                <w:sz w:val="18"/>
                <w:szCs w:val="18"/>
                <w:lang w:val="en-GB"/>
              </w:rPr>
              <w:t>3)</w:t>
            </w:r>
          </w:p>
        </w:tc>
        <w:tc>
          <w:tcPr>
            <w:tcW w:w="1556" w:type="pct"/>
            <w:tcBorders>
              <w:top w:val="single" w:sz="4" w:space="0" w:color="auto"/>
            </w:tcBorders>
            <w:vAlign w:val="center"/>
          </w:tcPr>
          <w:p w14:paraId="507E2FF7"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762" w:type="pct"/>
            <w:tcBorders>
              <w:top w:val="single" w:sz="4" w:space="0" w:color="auto"/>
            </w:tcBorders>
            <w:vAlign w:val="center"/>
          </w:tcPr>
          <w:p w14:paraId="14030A33"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572" w:type="pct"/>
            <w:tcBorders>
              <w:top w:val="single" w:sz="4" w:space="0" w:color="auto"/>
            </w:tcBorders>
            <w:vAlign w:val="center"/>
          </w:tcPr>
          <w:p w14:paraId="53AB0D7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821" w:type="pct"/>
            <w:tcBorders>
              <w:top w:val="single" w:sz="4" w:space="0" w:color="auto"/>
            </w:tcBorders>
            <w:vAlign w:val="center"/>
          </w:tcPr>
          <w:p w14:paraId="64312869"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r>
      <w:tr w:rsidR="003F0DC2" w:rsidRPr="00976A6F" w14:paraId="4C04A57F" w14:textId="77777777" w:rsidTr="00FE3121">
        <w:trPr>
          <w:jc w:val="center"/>
        </w:trPr>
        <w:tc>
          <w:tcPr>
            <w:tcW w:w="1289" w:type="pct"/>
            <w:vAlign w:val="center"/>
          </w:tcPr>
          <w:p w14:paraId="00295A58" w14:textId="2A99E67F"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Sunday 26 June</w:t>
            </w:r>
          </w:p>
        </w:tc>
        <w:tc>
          <w:tcPr>
            <w:tcW w:w="1556" w:type="pct"/>
            <w:vAlign w:val="center"/>
          </w:tcPr>
          <w:p w14:paraId="4D7B8C74" w14:textId="6515C294"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France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Republic of Ireland</w:t>
            </w:r>
          </w:p>
        </w:tc>
        <w:tc>
          <w:tcPr>
            <w:tcW w:w="762" w:type="pct"/>
            <w:vAlign w:val="center"/>
          </w:tcPr>
          <w:p w14:paraId="17C8179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14:00</w:t>
            </w:r>
          </w:p>
        </w:tc>
        <w:tc>
          <w:tcPr>
            <w:tcW w:w="572" w:type="pct"/>
            <w:vAlign w:val="center"/>
          </w:tcPr>
          <w:p w14:paraId="723E78E3"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STV</w:t>
            </w:r>
          </w:p>
        </w:tc>
        <w:tc>
          <w:tcPr>
            <w:tcW w:w="821" w:type="pct"/>
            <w:vAlign w:val="center"/>
          </w:tcPr>
          <w:p w14:paraId="61B085AA"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182</w:t>
            </w:r>
          </w:p>
        </w:tc>
      </w:tr>
      <w:tr w:rsidR="003F0DC2" w:rsidRPr="00976A6F" w14:paraId="127C4CEA" w14:textId="77777777" w:rsidTr="00391850">
        <w:trPr>
          <w:jc w:val="center"/>
        </w:trPr>
        <w:tc>
          <w:tcPr>
            <w:tcW w:w="1289" w:type="pct"/>
            <w:tcBorders>
              <w:bottom w:val="nil"/>
            </w:tcBorders>
            <w:vAlign w:val="center"/>
          </w:tcPr>
          <w:p w14:paraId="694DD1B3" w14:textId="6D2C6CE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Monday 27 June</w:t>
            </w:r>
          </w:p>
        </w:tc>
        <w:tc>
          <w:tcPr>
            <w:tcW w:w="1556" w:type="pct"/>
            <w:tcBorders>
              <w:bottom w:val="nil"/>
            </w:tcBorders>
            <w:vAlign w:val="center"/>
          </w:tcPr>
          <w:p w14:paraId="6972B4B0" w14:textId="0ED69C48"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Italy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Spain</w:t>
            </w:r>
          </w:p>
        </w:tc>
        <w:tc>
          <w:tcPr>
            <w:tcW w:w="762" w:type="pct"/>
            <w:tcBorders>
              <w:bottom w:val="nil"/>
            </w:tcBorders>
            <w:vAlign w:val="center"/>
          </w:tcPr>
          <w:p w14:paraId="708ABD05"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17:00</w:t>
            </w:r>
          </w:p>
        </w:tc>
        <w:tc>
          <w:tcPr>
            <w:tcW w:w="572" w:type="pct"/>
            <w:tcBorders>
              <w:bottom w:val="nil"/>
            </w:tcBorders>
            <w:vAlign w:val="center"/>
          </w:tcPr>
          <w:p w14:paraId="1582570A"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BBC One</w:t>
            </w:r>
          </w:p>
        </w:tc>
        <w:tc>
          <w:tcPr>
            <w:tcW w:w="821" w:type="pct"/>
            <w:tcBorders>
              <w:bottom w:val="nil"/>
            </w:tcBorders>
            <w:vAlign w:val="center"/>
          </w:tcPr>
          <w:p w14:paraId="4451D59A"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153</w:t>
            </w:r>
          </w:p>
        </w:tc>
      </w:tr>
      <w:tr w:rsidR="003F0DC2" w:rsidRPr="00976A6F" w14:paraId="0F604604" w14:textId="77777777" w:rsidTr="00391850">
        <w:trPr>
          <w:jc w:val="center"/>
        </w:trPr>
        <w:tc>
          <w:tcPr>
            <w:tcW w:w="1289" w:type="pct"/>
            <w:tcBorders>
              <w:top w:val="nil"/>
              <w:bottom w:val="single" w:sz="4" w:space="0" w:color="auto"/>
            </w:tcBorders>
            <w:vAlign w:val="center"/>
          </w:tcPr>
          <w:p w14:paraId="459F69ED" w14:textId="5C5AC0CB"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Monday 27 June</w:t>
            </w:r>
          </w:p>
        </w:tc>
        <w:tc>
          <w:tcPr>
            <w:tcW w:w="1556" w:type="pct"/>
            <w:tcBorders>
              <w:top w:val="nil"/>
              <w:bottom w:val="single" w:sz="4" w:space="0" w:color="auto"/>
            </w:tcBorders>
            <w:vAlign w:val="center"/>
          </w:tcPr>
          <w:p w14:paraId="0FAF766D" w14:textId="5A363AF0"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England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Iceland</w:t>
            </w:r>
          </w:p>
        </w:tc>
        <w:tc>
          <w:tcPr>
            <w:tcW w:w="762" w:type="pct"/>
            <w:tcBorders>
              <w:top w:val="nil"/>
              <w:bottom w:val="single" w:sz="4" w:space="0" w:color="auto"/>
            </w:tcBorders>
            <w:vAlign w:val="center"/>
          </w:tcPr>
          <w:p w14:paraId="595EF875"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tcBorders>
              <w:top w:val="nil"/>
              <w:bottom w:val="single" w:sz="4" w:space="0" w:color="auto"/>
            </w:tcBorders>
            <w:vAlign w:val="center"/>
          </w:tcPr>
          <w:p w14:paraId="2B6E7792"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STV</w:t>
            </w:r>
          </w:p>
        </w:tc>
        <w:tc>
          <w:tcPr>
            <w:tcW w:w="821" w:type="pct"/>
            <w:tcBorders>
              <w:top w:val="nil"/>
              <w:bottom w:val="single" w:sz="4" w:space="0" w:color="auto"/>
            </w:tcBorders>
            <w:vAlign w:val="center"/>
          </w:tcPr>
          <w:p w14:paraId="47EDF86D"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212</w:t>
            </w:r>
          </w:p>
        </w:tc>
      </w:tr>
      <w:tr w:rsidR="003F0DC2" w:rsidRPr="00976A6F" w14:paraId="27835FA8" w14:textId="77777777" w:rsidTr="00391850">
        <w:trPr>
          <w:jc w:val="center"/>
        </w:trPr>
        <w:tc>
          <w:tcPr>
            <w:tcW w:w="1289" w:type="pct"/>
            <w:tcBorders>
              <w:top w:val="single" w:sz="4" w:space="0" w:color="auto"/>
            </w:tcBorders>
            <w:vAlign w:val="center"/>
          </w:tcPr>
          <w:p w14:paraId="7B6AC7D0" w14:textId="77777777" w:rsidR="003F0DC2" w:rsidRPr="00976A6F" w:rsidRDefault="003F0DC2" w:rsidP="00FE3121">
            <w:pPr>
              <w:adjustRightInd w:val="0"/>
              <w:snapToGrid w:val="0"/>
              <w:spacing w:line="240" w:lineRule="auto"/>
              <w:jc w:val="center"/>
              <w:rPr>
                <w:rFonts w:ascii="Palatino Linotype" w:hAnsi="Palatino Linotype"/>
                <w:i/>
                <w:sz w:val="18"/>
                <w:szCs w:val="18"/>
                <w:lang w:val="en-GB"/>
              </w:rPr>
            </w:pPr>
            <w:r w:rsidRPr="00976A6F">
              <w:rPr>
                <w:rFonts w:ascii="Palatino Linotype" w:hAnsi="Palatino Linotype"/>
                <w:i/>
                <w:sz w:val="18"/>
                <w:szCs w:val="18"/>
                <w:lang w:val="en-GB"/>
              </w:rPr>
              <w:t>Quarter-Finals (n</w:t>
            </w:r>
            <w:r w:rsidR="00DA14AF" w:rsidRPr="00976A6F">
              <w:rPr>
                <w:rFonts w:ascii="Palatino Linotype" w:hAnsi="Palatino Linotype"/>
                <w:sz w:val="18"/>
                <w:szCs w:val="18"/>
                <w:lang w:val="en-GB"/>
              </w:rPr>
              <w:t xml:space="preserve"> = </w:t>
            </w:r>
            <w:r w:rsidRPr="00976A6F">
              <w:rPr>
                <w:rFonts w:ascii="Palatino Linotype" w:hAnsi="Palatino Linotype"/>
                <w:i/>
                <w:sz w:val="18"/>
                <w:szCs w:val="18"/>
                <w:lang w:val="en-GB"/>
              </w:rPr>
              <w:t>3)</w:t>
            </w:r>
          </w:p>
        </w:tc>
        <w:tc>
          <w:tcPr>
            <w:tcW w:w="1556" w:type="pct"/>
            <w:tcBorders>
              <w:top w:val="single" w:sz="4" w:space="0" w:color="auto"/>
            </w:tcBorders>
            <w:vAlign w:val="center"/>
          </w:tcPr>
          <w:p w14:paraId="4A8077E3"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762" w:type="pct"/>
            <w:tcBorders>
              <w:top w:val="single" w:sz="4" w:space="0" w:color="auto"/>
            </w:tcBorders>
            <w:vAlign w:val="center"/>
          </w:tcPr>
          <w:p w14:paraId="3D842D16"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572" w:type="pct"/>
            <w:tcBorders>
              <w:top w:val="single" w:sz="4" w:space="0" w:color="auto"/>
            </w:tcBorders>
            <w:vAlign w:val="center"/>
          </w:tcPr>
          <w:p w14:paraId="12C274DE"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821" w:type="pct"/>
            <w:tcBorders>
              <w:top w:val="single" w:sz="4" w:space="0" w:color="auto"/>
            </w:tcBorders>
            <w:vAlign w:val="center"/>
          </w:tcPr>
          <w:p w14:paraId="490A3440"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r>
      <w:tr w:rsidR="003F0DC2" w:rsidRPr="00976A6F" w14:paraId="0508E792" w14:textId="77777777" w:rsidTr="00FE3121">
        <w:trPr>
          <w:jc w:val="center"/>
        </w:trPr>
        <w:tc>
          <w:tcPr>
            <w:tcW w:w="1289" w:type="pct"/>
            <w:vAlign w:val="center"/>
          </w:tcPr>
          <w:p w14:paraId="75F972CA"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Thursday 30</w:t>
            </w:r>
            <w:r w:rsidR="00DA14AF" w:rsidRPr="00976A6F">
              <w:rPr>
                <w:rFonts w:ascii="Palatino Linotype" w:hAnsi="Palatino Linotype"/>
                <w:sz w:val="18"/>
                <w:szCs w:val="18"/>
                <w:lang w:val="en-GB"/>
              </w:rPr>
              <w:t>th</w:t>
            </w:r>
            <w:r w:rsidRPr="00976A6F">
              <w:rPr>
                <w:rFonts w:ascii="Palatino Linotype" w:hAnsi="Palatino Linotype"/>
                <w:sz w:val="18"/>
                <w:szCs w:val="18"/>
                <w:lang w:val="en-GB"/>
              </w:rPr>
              <w:t xml:space="preserve"> June</w:t>
            </w:r>
          </w:p>
        </w:tc>
        <w:tc>
          <w:tcPr>
            <w:tcW w:w="1556" w:type="pct"/>
            <w:vAlign w:val="center"/>
          </w:tcPr>
          <w:p w14:paraId="7DB5A983" w14:textId="6D7FFFA6"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Poland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Portugal</w:t>
            </w:r>
          </w:p>
        </w:tc>
        <w:tc>
          <w:tcPr>
            <w:tcW w:w="762" w:type="pct"/>
            <w:vAlign w:val="center"/>
          </w:tcPr>
          <w:p w14:paraId="3D3509CA"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vAlign w:val="center"/>
          </w:tcPr>
          <w:p w14:paraId="36C56652"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STV</w:t>
            </w:r>
          </w:p>
        </w:tc>
        <w:tc>
          <w:tcPr>
            <w:tcW w:w="821" w:type="pct"/>
            <w:vAlign w:val="center"/>
          </w:tcPr>
          <w:p w14:paraId="4DF32CC2"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224</w:t>
            </w:r>
          </w:p>
        </w:tc>
      </w:tr>
      <w:tr w:rsidR="003F0DC2" w:rsidRPr="00976A6F" w14:paraId="3245DA65" w14:textId="77777777" w:rsidTr="00391850">
        <w:trPr>
          <w:jc w:val="center"/>
        </w:trPr>
        <w:tc>
          <w:tcPr>
            <w:tcW w:w="1289" w:type="pct"/>
            <w:tcBorders>
              <w:bottom w:val="nil"/>
            </w:tcBorders>
            <w:vAlign w:val="center"/>
          </w:tcPr>
          <w:p w14:paraId="41A87E64" w14:textId="20A314B9"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Friday 1 July</w:t>
            </w:r>
          </w:p>
        </w:tc>
        <w:tc>
          <w:tcPr>
            <w:tcW w:w="1556" w:type="pct"/>
            <w:tcBorders>
              <w:bottom w:val="nil"/>
            </w:tcBorders>
            <w:vAlign w:val="center"/>
          </w:tcPr>
          <w:p w14:paraId="78059E90" w14:textId="627F63D0"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Wales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Belgium</w:t>
            </w:r>
          </w:p>
        </w:tc>
        <w:tc>
          <w:tcPr>
            <w:tcW w:w="762" w:type="pct"/>
            <w:tcBorders>
              <w:bottom w:val="nil"/>
            </w:tcBorders>
            <w:vAlign w:val="center"/>
          </w:tcPr>
          <w:p w14:paraId="0AA0EB28"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tcBorders>
              <w:bottom w:val="nil"/>
            </w:tcBorders>
            <w:vAlign w:val="center"/>
          </w:tcPr>
          <w:p w14:paraId="5A6A2649"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BBC One</w:t>
            </w:r>
          </w:p>
        </w:tc>
        <w:tc>
          <w:tcPr>
            <w:tcW w:w="821" w:type="pct"/>
            <w:tcBorders>
              <w:bottom w:val="nil"/>
            </w:tcBorders>
            <w:vAlign w:val="center"/>
          </w:tcPr>
          <w:p w14:paraId="354BA6A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160</w:t>
            </w:r>
          </w:p>
        </w:tc>
      </w:tr>
      <w:tr w:rsidR="003F0DC2" w:rsidRPr="00976A6F" w14:paraId="77DA1543" w14:textId="77777777" w:rsidTr="00391850">
        <w:trPr>
          <w:jc w:val="center"/>
        </w:trPr>
        <w:tc>
          <w:tcPr>
            <w:tcW w:w="1289" w:type="pct"/>
            <w:tcBorders>
              <w:top w:val="nil"/>
              <w:bottom w:val="single" w:sz="4" w:space="0" w:color="auto"/>
            </w:tcBorders>
            <w:vAlign w:val="center"/>
          </w:tcPr>
          <w:p w14:paraId="3CD81A3A" w14:textId="2B5EC30B"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Sunday 3 July</w:t>
            </w:r>
          </w:p>
        </w:tc>
        <w:tc>
          <w:tcPr>
            <w:tcW w:w="1556" w:type="pct"/>
            <w:tcBorders>
              <w:top w:val="nil"/>
              <w:bottom w:val="single" w:sz="4" w:space="0" w:color="auto"/>
            </w:tcBorders>
            <w:vAlign w:val="center"/>
          </w:tcPr>
          <w:p w14:paraId="4972EC20" w14:textId="4C24FA9A"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France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Iceland</w:t>
            </w:r>
          </w:p>
        </w:tc>
        <w:tc>
          <w:tcPr>
            <w:tcW w:w="762" w:type="pct"/>
            <w:tcBorders>
              <w:top w:val="nil"/>
              <w:bottom w:val="single" w:sz="4" w:space="0" w:color="auto"/>
            </w:tcBorders>
            <w:vAlign w:val="center"/>
          </w:tcPr>
          <w:p w14:paraId="58D96549"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tcBorders>
              <w:top w:val="nil"/>
              <w:bottom w:val="single" w:sz="4" w:space="0" w:color="auto"/>
            </w:tcBorders>
            <w:vAlign w:val="center"/>
          </w:tcPr>
          <w:p w14:paraId="270F7D4F"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STV</w:t>
            </w:r>
          </w:p>
        </w:tc>
        <w:tc>
          <w:tcPr>
            <w:tcW w:w="821" w:type="pct"/>
            <w:tcBorders>
              <w:top w:val="nil"/>
              <w:bottom w:val="single" w:sz="4" w:space="0" w:color="auto"/>
            </w:tcBorders>
            <w:vAlign w:val="center"/>
          </w:tcPr>
          <w:p w14:paraId="184706B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182</w:t>
            </w:r>
          </w:p>
        </w:tc>
      </w:tr>
      <w:tr w:rsidR="003F0DC2" w:rsidRPr="00976A6F" w14:paraId="1C8CDEA3" w14:textId="77777777" w:rsidTr="00391850">
        <w:trPr>
          <w:jc w:val="center"/>
        </w:trPr>
        <w:tc>
          <w:tcPr>
            <w:tcW w:w="1289" w:type="pct"/>
            <w:tcBorders>
              <w:top w:val="single" w:sz="4" w:space="0" w:color="auto"/>
            </w:tcBorders>
            <w:vAlign w:val="center"/>
          </w:tcPr>
          <w:p w14:paraId="046EA9AC" w14:textId="77777777" w:rsidR="003F0DC2" w:rsidRPr="00976A6F" w:rsidRDefault="003F0DC2" w:rsidP="00FE3121">
            <w:pPr>
              <w:adjustRightInd w:val="0"/>
              <w:snapToGrid w:val="0"/>
              <w:spacing w:line="240" w:lineRule="auto"/>
              <w:jc w:val="center"/>
              <w:rPr>
                <w:rFonts w:ascii="Palatino Linotype" w:hAnsi="Palatino Linotype"/>
                <w:i/>
                <w:sz w:val="18"/>
                <w:szCs w:val="18"/>
                <w:lang w:val="en-GB"/>
              </w:rPr>
            </w:pPr>
            <w:r w:rsidRPr="00976A6F">
              <w:rPr>
                <w:rFonts w:ascii="Palatino Linotype" w:hAnsi="Palatino Linotype"/>
                <w:i/>
                <w:sz w:val="18"/>
                <w:szCs w:val="18"/>
                <w:lang w:val="en-GB"/>
              </w:rPr>
              <w:t>Semi-Finals (n</w:t>
            </w:r>
            <w:r w:rsidR="00DA14AF" w:rsidRPr="00976A6F">
              <w:rPr>
                <w:rFonts w:ascii="Palatino Linotype" w:hAnsi="Palatino Linotype"/>
                <w:sz w:val="18"/>
                <w:szCs w:val="18"/>
                <w:lang w:val="en-GB"/>
              </w:rPr>
              <w:t xml:space="preserve"> = </w:t>
            </w:r>
            <w:r w:rsidRPr="00976A6F">
              <w:rPr>
                <w:rFonts w:ascii="Palatino Linotype" w:hAnsi="Palatino Linotype"/>
                <w:i/>
                <w:sz w:val="18"/>
                <w:szCs w:val="18"/>
                <w:lang w:val="en-GB"/>
              </w:rPr>
              <w:t>2)</w:t>
            </w:r>
          </w:p>
        </w:tc>
        <w:tc>
          <w:tcPr>
            <w:tcW w:w="1556" w:type="pct"/>
            <w:tcBorders>
              <w:top w:val="single" w:sz="4" w:space="0" w:color="auto"/>
            </w:tcBorders>
            <w:vAlign w:val="center"/>
          </w:tcPr>
          <w:p w14:paraId="246FE88E"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762" w:type="pct"/>
            <w:tcBorders>
              <w:top w:val="single" w:sz="4" w:space="0" w:color="auto"/>
            </w:tcBorders>
            <w:vAlign w:val="center"/>
          </w:tcPr>
          <w:p w14:paraId="7439447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572" w:type="pct"/>
            <w:tcBorders>
              <w:top w:val="single" w:sz="4" w:space="0" w:color="auto"/>
            </w:tcBorders>
            <w:vAlign w:val="center"/>
          </w:tcPr>
          <w:p w14:paraId="54052C07"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821" w:type="pct"/>
            <w:tcBorders>
              <w:top w:val="single" w:sz="4" w:space="0" w:color="auto"/>
            </w:tcBorders>
            <w:vAlign w:val="center"/>
          </w:tcPr>
          <w:p w14:paraId="6576E06F"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r>
      <w:tr w:rsidR="003F0DC2" w:rsidRPr="00976A6F" w14:paraId="1FF56D73" w14:textId="77777777" w:rsidTr="00391850">
        <w:trPr>
          <w:jc w:val="center"/>
        </w:trPr>
        <w:tc>
          <w:tcPr>
            <w:tcW w:w="1289" w:type="pct"/>
            <w:tcBorders>
              <w:bottom w:val="nil"/>
            </w:tcBorders>
            <w:vAlign w:val="center"/>
          </w:tcPr>
          <w:p w14:paraId="6345E4A9" w14:textId="6D6D3B8F"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Wednesday 6 July</w:t>
            </w:r>
          </w:p>
        </w:tc>
        <w:tc>
          <w:tcPr>
            <w:tcW w:w="1556" w:type="pct"/>
            <w:tcBorders>
              <w:bottom w:val="nil"/>
            </w:tcBorders>
            <w:vAlign w:val="center"/>
          </w:tcPr>
          <w:p w14:paraId="0B62123F" w14:textId="41AED032"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Portugal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Wales</w:t>
            </w:r>
          </w:p>
        </w:tc>
        <w:tc>
          <w:tcPr>
            <w:tcW w:w="762" w:type="pct"/>
            <w:tcBorders>
              <w:bottom w:val="nil"/>
            </w:tcBorders>
            <w:vAlign w:val="center"/>
          </w:tcPr>
          <w:p w14:paraId="4C62AF1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tcBorders>
              <w:bottom w:val="nil"/>
            </w:tcBorders>
            <w:vAlign w:val="center"/>
          </w:tcPr>
          <w:p w14:paraId="00E4B62B"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ITV</w:t>
            </w:r>
          </w:p>
        </w:tc>
        <w:tc>
          <w:tcPr>
            <w:tcW w:w="821" w:type="pct"/>
            <w:tcBorders>
              <w:bottom w:val="nil"/>
            </w:tcBorders>
            <w:vAlign w:val="center"/>
          </w:tcPr>
          <w:p w14:paraId="612D3FC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194</w:t>
            </w:r>
          </w:p>
        </w:tc>
      </w:tr>
      <w:tr w:rsidR="003F0DC2" w:rsidRPr="00976A6F" w14:paraId="39BA21D3" w14:textId="77777777" w:rsidTr="00391850">
        <w:trPr>
          <w:jc w:val="center"/>
        </w:trPr>
        <w:tc>
          <w:tcPr>
            <w:tcW w:w="1289" w:type="pct"/>
            <w:tcBorders>
              <w:top w:val="nil"/>
              <w:bottom w:val="single" w:sz="4" w:space="0" w:color="auto"/>
            </w:tcBorders>
            <w:vAlign w:val="center"/>
          </w:tcPr>
          <w:p w14:paraId="257488C8" w14:textId="1292D07E"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Thursday 7 July</w:t>
            </w:r>
          </w:p>
        </w:tc>
        <w:tc>
          <w:tcPr>
            <w:tcW w:w="1556" w:type="pct"/>
            <w:tcBorders>
              <w:top w:val="nil"/>
              <w:bottom w:val="single" w:sz="4" w:space="0" w:color="auto"/>
            </w:tcBorders>
            <w:vAlign w:val="center"/>
          </w:tcPr>
          <w:p w14:paraId="02B01662"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Germany v France</w:t>
            </w:r>
          </w:p>
        </w:tc>
        <w:tc>
          <w:tcPr>
            <w:tcW w:w="762" w:type="pct"/>
            <w:tcBorders>
              <w:top w:val="nil"/>
              <w:bottom w:val="single" w:sz="4" w:space="0" w:color="auto"/>
            </w:tcBorders>
            <w:vAlign w:val="center"/>
          </w:tcPr>
          <w:p w14:paraId="38576A25"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tcBorders>
              <w:top w:val="nil"/>
              <w:bottom w:val="single" w:sz="4" w:space="0" w:color="auto"/>
            </w:tcBorders>
            <w:vAlign w:val="center"/>
          </w:tcPr>
          <w:p w14:paraId="0C8FDE4B"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BBC One</w:t>
            </w:r>
          </w:p>
        </w:tc>
        <w:tc>
          <w:tcPr>
            <w:tcW w:w="821" w:type="pct"/>
            <w:tcBorders>
              <w:top w:val="nil"/>
              <w:bottom w:val="single" w:sz="4" w:space="0" w:color="auto"/>
            </w:tcBorders>
            <w:vAlign w:val="center"/>
          </w:tcPr>
          <w:p w14:paraId="064FAD5B"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155</w:t>
            </w:r>
          </w:p>
        </w:tc>
      </w:tr>
      <w:tr w:rsidR="003F0DC2" w:rsidRPr="00976A6F" w14:paraId="663F0A3F" w14:textId="77777777" w:rsidTr="00391850">
        <w:trPr>
          <w:jc w:val="center"/>
        </w:trPr>
        <w:tc>
          <w:tcPr>
            <w:tcW w:w="1289" w:type="pct"/>
            <w:tcBorders>
              <w:top w:val="single" w:sz="4" w:space="0" w:color="auto"/>
            </w:tcBorders>
            <w:vAlign w:val="center"/>
          </w:tcPr>
          <w:p w14:paraId="34B0641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i/>
                <w:sz w:val="18"/>
                <w:szCs w:val="18"/>
                <w:lang w:val="en-GB"/>
              </w:rPr>
              <w:t>Final (n</w:t>
            </w:r>
            <w:r w:rsidR="00DA14AF" w:rsidRPr="00976A6F">
              <w:rPr>
                <w:rFonts w:ascii="Palatino Linotype" w:hAnsi="Palatino Linotype"/>
                <w:sz w:val="18"/>
                <w:szCs w:val="18"/>
                <w:lang w:val="en-GB"/>
              </w:rPr>
              <w:t xml:space="preserve"> = </w:t>
            </w:r>
            <w:r w:rsidRPr="00976A6F">
              <w:rPr>
                <w:rFonts w:ascii="Palatino Linotype" w:hAnsi="Palatino Linotype"/>
                <w:i/>
                <w:sz w:val="18"/>
                <w:szCs w:val="18"/>
                <w:lang w:val="en-GB"/>
              </w:rPr>
              <w:t>1)</w:t>
            </w:r>
          </w:p>
        </w:tc>
        <w:tc>
          <w:tcPr>
            <w:tcW w:w="1556" w:type="pct"/>
            <w:tcBorders>
              <w:top w:val="single" w:sz="4" w:space="0" w:color="auto"/>
            </w:tcBorders>
            <w:vAlign w:val="center"/>
          </w:tcPr>
          <w:p w14:paraId="6DFD5272"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762" w:type="pct"/>
            <w:tcBorders>
              <w:top w:val="single" w:sz="4" w:space="0" w:color="auto"/>
            </w:tcBorders>
            <w:vAlign w:val="center"/>
          </w:tcPr>
          <w:p w14:paraId="2A50DC2C"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572" w:type="pct"/>
            <w:tcBorders>
              <w:top w:val="single" w:sz="4" w:space="0" w:color="auto"/>
            </w:tcBorders>
            <w:vAlign w:val="center"/>
          </w:tcPr>
          <w:p w14:paraId="7B1B4817"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c>
          <w:tcPr>
            <w:tcW w:w="821" w:type="pct"/>
            <w:tcBorders>
              <w:top w:val="single" w:sz="4" w:space="0" w:color="auto"/>
            </w:tcBorders>
            <w:vAlign w:val="center"/>
          </w:tcPr>
          <w:p w14:paraId="60A99ED4"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p>
        </w:tc>
      </w:tr>
      <w:tr w:rsidR="003F0DC2" w:rsidRPr="00976A6F" w14:paraId="03897CC2" w14:textId="77777777" w:rsidTr="00FE3121">
        <w:trPr>
          <w:jc w:val="center"/>
        </w:trPr>
        <w:tc>
          <w:tcPr>
            <w:tcW w:w="1289" w:type="pct"/>
            <w:vAlign w:val="center"/>
          </w:tcPr>
          <w:p w14:paraId="1B790DEC" w14:textId="255528D9"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Sunday 10 July</w:t>
            </w:r>
          </w:p>
        </w:tc>
        <w:tc>
          <w:tcPr>
            <w:tcW w:w="1556" w:type="pct"/>
            <w:vAlign w:val="center"/>
          </w:tcPr>
          <w:p w14:paraId="0E17D3F4" w14:textId="6A75D75E"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Portugal v</w:t>
            </w:r>
            <w:r w:rsidR="005978F9" w:rsidRPr="00976A6F">
              <w:rPr>
                <w:rFonts w:ascii="Palatino Linotype" w:hAnsi="Palatino Linotype"/>
                <w:sz w:val="18"/>
                <w:szCs w:val="18"/>
                <w:lang w:val="en-GB"/>
              </w:rPr>
              <w:t>s.</w:t>
            </w:r>
            <w:r w:rsidRPr="00976A6F">
              <w:rPr>
                <w:rFonts w:ascii="Palatino Linotype" w:hAnsi="Palatino Linotype"/>
                <w:sz w:val="18"/>
                <w:szCs w:val="18"/>
                <w:lang w:val="en-GB"/>
              </w:rPr>
              <w:t xml:space="preserve"> France</w:t>
            </w:r>
          </w:p>
        </w:tc>
        <w:tc>
          <w:tcPr>
            <w:tcW w:w="762" w:type="pct"/>
            <w:vAlign w:val="center"/>
          </w:tcPr>
          <w:p w14:paraId="432AFA7A"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20:00</w:t>
            </w:r>
          </w:p>
        </w:tc>
        <w:tc>
          <w:tcPr>
            <w:tcW w:w="572" w:type="pct"/>
            <w:vAlign w:val="center"/>
          </w:tcPr>
          <w:p w14:paraId="62D7F50F"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BBC One</w:t>
            </w:r>
          </w:p>
        </w:tc>
        <w:tc>
          <w:tcPr>
            <w:tcW w:w="821" w:type="pct"/>
            <w:vAlign w:val="center"/>
          </w:tcPr>
          <w:p w14:paraId="11E11905" w14:textId="77777777" w:rsidR="003F0DC2" w:rsidRPr="00976A6F" w:rsidRDefault="003F0DC2" w:rsidP="00FE3121">
            <w:pPr>
              <w:adjustRightInd w:val="0"/>
              <w:snapToGrid w:val="0"/>
              <w:spacing w:line="240" w:lineRule="auto"/>
              <w:jc w:val="center"/>
              <w:rPr>
                <w:rFonts w:ascii="Palatino Linotype" w:hAnsi="Palatino Linotype"/>
                <w:sz w:val="18"/>
                <w:szCs w:val="18"/>
                <w:lang w:val="en-GB"/>
              </w:rPr>
            </w:pPr>
            <w:r w:rsidRPr="00976A6F">
              <w:rPr>
                <w:rFonts w:ascii="Palatino Linotype" w:hAnsi="Palatino Linotype"/>
                <w:sz w:val="18"/>
                <w:szCs w:val="18"/>
                <w:lang w:val="en-GB"/>
              </w:rPr>
              <w:t>243</w:t>
            </w:r>
          </w:p>
        </w:tc>
      </w:tr>
    </w:tbl>
    <w:p w14:paraId="4C83CAD5" w14:textId="3789245F" w:rsidR="003F0DC2" w:rsidRPr="00976A6F" w:rsidRDefault="003F0DC2" w:rsidP="00FE3121">
      <w:pPr>
        <w:pStyle w:val="MDPI31text"/>
        <w:spacing w:before="240"/>
        <w:rPr>
          <w:lang w:val="en-GB"/>
        </w:rPr>
      </w:pPr>
      <w:r w:rsidRPr="00976A6F">
        <w:rPr>
          <w:lang w:val="en-GB"/>
        </w:rPr>
        <w:t>All the selected broadcasts were recorded in their entirety using recordable DVD players. Each recording included normal playing time, added time, extra time, penalty-shoot outs, pre-and post-match interviews and discussion, half-time analysis, and any commercial breaks. The recordings excluded any pre</w:t>
      </w:r>
      <w:r w:rsidR="00B8620B" w:rsidRPr="00976A6F">
        <w:rPr>
          <w:lang w:val="en-GB"/>
        </w:rPr>
        <w:t>-</w:t>
      </w:r>
      <w:r w:rsidRPr="00976A6F">
        <w:rPr>
          <w:lang w:val="en-GB"/>
        </w:rPr>
        <w:t xml:space="preserve"> or post-match discussion, interviews or highlights that were not part of the main scheduled broadcast (</w:t>
      </w:r>
      <w:r w:rsidR="00DA14AF" w:rsidRPr="00976A6F">
        <w:rPr>
          <w:lang w:val="en-GB"/>
        </w:rPr>
        <w:t>e.g.,</w:t>
      </w:r>
      <w:r w:rsidRPr="00976A6F">
        <w:rPr>
          <w:lang w:val="en-GB"/>
        </w:rPr>
        <w:t xml:space="preserve"> content on on-demand television, content uploaded to sports news sites, </w:t>
      </w:r>
      <w:r w:rsidR="00C03B5A" w:rsidRPr="00976A6F">
        <w:rPr>
          <w:lang w:val="en-GB"/>
        </w:rPr>
        <w:t xml:space="preserve">and </w:t>
      </w:r>
      <w:r w:rsidRPr="00976A6F">
        <w:rPr>
          <w:lang w:val="en-GB"/>
        </w:rPr>
        <w:t>content accessible through interactive television).</w:t>
      </w:r>
    </w:p>
    <w:p w14:paraId="77093B98" w14:textId="77777777" w:rsidR="003F0DC2" w:rsidRPr="00976A6F" w:rsidRDefault="003F0DC2" w:rsidP="00FE3121">
      <w:pPr>
        <w:pStyle w:val="MDPI22heading2"/>
        <w:rPr>
          <w:noProof w:val="0"/>
          <w:lang w:val="en-GB"/>
        </w:rPr>
      </w:pPr>
      <w:r w:rsidRPr="00976A6F">
        <w:rPr>
          <w:noProof w:val="0"/>
          <w:lang w:val="en-GB"/>
        </w:rPr>
        <w:t>2.3</w:t>
      </w:r>
      <w:r w:rsidR="00FE3121" w:rsidRPr="00976A6F">
        <w:rPr>
          <w:noProof w:val="0"/>
          <w:lang w:val="en-GB"/>
        </w:rPr>
        <w:t>.</w:t>
      </w:r>
      <w:r w:rsidRPr="00976A6F">
        <w:rPr>
          <w:noProof w:val="0"/>
          <w:lang w:val="en-GB"/>
        </w:rPr>
        <w:t xml:space="preserve"> Defining </w:t>
      </w:r>
      <w:r w:rsidR="00FE3121" w:rsidRPr="00976A6F">
        <w:rPr>
          <w:noProof w:val="0"/>
          <w:lang w:val="en-GB"/>
        </w:rPr>
        <w:t>Alcohol Marketing References</w:t>
      </w:r>
    </w:p>
    <w:p w14:paraId="38403DD7" w14:textId="1E7D1335" w:rsidR="003F0DC2" w:rsidRPr="00976A6F" w:rsidRDefault="003F0DC2" w:rsidP="00FE3121">
      <w:pPr>
        <w:pStyle w:val="MDPI31text"/>
        <w:rPr>
          <w:lang w:val="en-GB"/>
        </w:rPr>
      </w:pPr>
      <w:r w:rsidRPr="00976A6F">
        <w:rPr>
          <w:lang w:val="en-GB"/>
        </w:rPr>
        <w:t>A reference was defined as any visual and/or verbal reference to an alcohol brand, lasting one second or more, during the broadcasted programme or commercial breaks. In order to capture total exposure, a reference was counted each time it appeared or was heard, irrespective of whether it had been previously seen (</w:t>
      </w:r>
      <w:r w:rsidR="00DA14AF" w:rsidRPr="00976A6F">
        <w:rPr>
          <w:lang w:val="en-GB"/>
        </w:rPr>
        <w:t>e.g.,</w:t>
      </w:r>
      <w:r w:rsidRPr="00976A6F">
        <w:rPr>
          <w:lang w:val="en-GB"/>
        </w:rPr>
        <w:t xml:space="preserve"> a pitch side advertising board seen in-play first and then again in a replay of that action). A new reference was counted each time the camera changed shot, even if the reference source remained the same (</w:t>
      </w:r>
      <w:r w:rsidR="00DA14AF" w:rsidRPr="00976A6F">
        <w:rPr>
          <w:lang w:val="en-GB"/>
        </w:rPr>
        <w:t>e.g.,</w:t>
      </w:r>
      <w:r w:rsidRPr="00976A6F">
        <w:rPr>
          <w:lang w:val="en-GB"/>
        </w:rPr>
        <w:t xml:space="preserve"> pitch side advertising first viewed from behind the goal and then again when the shot reverted to the wide side-line angle). A new reference was also counted if a source went out of shot for more than a second (</w:t>
      </w:r>
      <w:r w:rsidR="00DA14AF" w:rsidRPr="00976A6F">
        <w:rPr>
          <w:lang w:val="en-GB"/>
        </w:rPr>
        <w:t>e.g.,</w:t>
      </w:r>
      <w:r w:rsidRPr="00976A6F">
        <w:rPr>
          <w:lang w:val="en-GB"/>
        </w:rPr>
        <w:t xml:space="preserve"> if the camera panned away from the pitch side advertising and then back again). If multiple different references were presented at the same time (</w:t>
      </w:r>
      <w:r w:rsidR="00DA14AF" w:rsidRPr="00976A6F">
        <w:rPr>
          <w:lang w:val="en-GB"/>
        </w:rPr>
        <w:t>e.g.,</w:t>
      </w:r>
      <w:r w:rsidRPr="00976A6F">
        <w:rPr>
          <w:lang w:val="en-GB"/>
        </w:rPr>
        <w:t xml:space="preserve"> static and electronic pitch advertising), each was recorded as a separate reference, not combined. If multiple identical references were visible at the same time (for example, if the same brand name or slogan appeared multiple times on the pitch border or on an interview board), they were recorded as </w:t>
      </w:r>
      <w:r w:rsidR="00103EBF" w:rsidRPr="00976A6F">
        <w:rPr>
          <w:lang w:val="en-GB"/>
        </w:rPr>
        <w:t>“</w:t>
      </w:r>
      <w:r w:rsidRPr="00976A6F">
        <w:rPr>
          <w:lang w:val="en-GB"/>
        </w:rPr>
        <w:t>identical references visible at the same time</w:t>
      </w:r>
      <w:r w:rsidR="00103EBF" w:rsidRPr="00976A6F">
        <w:rPr>
          <w:lang w:val="en-GB"/>
        </w:rPr>
        <w:t>”</w:t>
      </w:r>
      <w:r w:rsidRPr="00976A6F">
        <w:rPr>
          <w:lang w:val="en-GB"/>
        </w:rPr>
        <w:t xml:space="preserve">. </w:t>
      </w:r>
    </w:p>
    <w:p w14:paraId="13913241" w14:textId="77777777" w:rsidR="003F0DC2" w:rsidRPr="00976A6F" w:rsidRDefault="003F0DC2" w:rsidP="00DA14AF">
      <w:pPr>
        <w:pStyle w:val="MDPI22heading2"/>
        <w:rPr>
          <w:noProof w:val="0"/>
          <w:lang w:val="en-GB"/>
        </w:rPr>
      </w:pPr>
      <w:r w:rsidRPr="00976A6F">
        <w:rPr>
          <w:noProof w:val="0"/>
          <w:lang w:val="en-GB"/>
        </w:rPr>
        <w:lastRenderedPageBreak/>
        <w:t>2.4</w:t>
      </w:r>
      <w:r w:rsidR="00FE3121" w:rsidRPr="00976A6F">
        <w:rPr>
          <w:noProof w:val="0"/>
          <w:lang w:val="en-GB"/>
        </w:rPr>
        <w:t>.</w:t>
      </w:r>
      <w:r w:rsidRPr="00976A6F">
        <w:rPr>
          <w:noProof w:val="0"/>
          <w:lang w:val="en-GB"/>
        </w:rPr>
        <w:t xml:space="preserve"> Codebook </w:t>
      </w:r>
      <w:r w:rsidR="00FE3121" w:rsidRPr="00976A6F">
        <w:rPr>
          <w:noProof w:val="0"/>
          <w:lang w:val="en-GB"/>
        </w:rPr>
        <w:t>Variables</w:t>
      </w:r>
    </w:p>
    <w:p w14:paraId="4441B696" w14:textId="77777777" w:rsidR="003F0DC2" w:rsidRPr="00976A6F" w:rsidRDefault="003F0DC2" w:rsidP="00FE3121">
      <w:pPr>
        <w:pStyle w:val="MDPI31text"/>
        <w:rPr>
          <w:lang w:val="en-GB"/>
        </w:rPr>
      </w:pPr>
      <w:r w:rsidRPr="00976A6F">
        <w:rPr>
          <w:lang w:val="en-GB"/>
        </w:rPr>
        <w:t>All alcohol marketing references were captured using a codebook that was developed based on two similar previous studies which recorded alcohol references in professional televised football [16,23]. Each reference was coded on the following nominal or continuous criteria. Full definitions are provided in Appendix A</w:t>
      </w:r>
      <w:r w:rsidR="00FE3121" w:rsidRPr="00976A6F">
        <w:rPr>
          <w:lang w:val="en-GB"/>
        </w:rPr>
        <w:t>.</w:t>
      </w:r>
    </w:p>
    <w:p w14:paraId="28068391" w14:textId="23450FAE" w:rsidR="003F0DC2" w:rsidRPr="00976A6F" w:rsidRDefault="003F0DC2" w:rsidP="00103EBF">
      <w:pPr>
        <w:pStyle w:val="MDPI38bullet"/>
        <w:rPr>
          <w:lang w:val="en-GB"/>
        </w:rPr>
      </w:pPr>
      <w:r w:rsidRPr="00976A6F">
        <w:rPr>
          <w:lang w:val="en-GB"/>
        </w:rPr>
        <w:t>Broadcast segment (</w:t>
      </w:r>
      <w:r w:rsidR="00DA14AF" w:rsidRPr="00976A6F">
        <w:rPr>
          <w:lang w:val="en-GB"/>
        </w:rPr>
        <w:t>e.g.,</w:t>
      </w:r>
      <w:r w:rsidRPr="00976A6F">
        <w:rPr>
          <w:lang w:val="en-GB"/>
        </w:rPr>
        <w:t xml:space="preserve"> pre-match, first half,</w:t>
      </w:r>
      <w:r w:rsidR="00C03B5A" w:rsidRPr="00976A6F">
        <w:rPr>
          <w:lang w:val="en-GB"/>
        </w:rPr>
        <w:t xml:space="preserve"> and</w:t>
      </w:r>
      <w:r w:rsidRPr="00976A6F">
        <w:rPr>
          <w:lang w:val="en-GB"/>
        </w:rPr>
        <w:t xml:space="preserve"> half time).</w:t>
      </w:r>
    </w:p>
    <w:p w14:paraId="1CF21ACF" w14:textId="2B773E69" w:rsidR="003F0DC2" w:rsidRPr="00976A6F" w:rsidRDefault="003F0DC2" w:rsidP="00103EBF">
      <w:pPr>
        <w:pStyle w:val="MDPI38bullet"/>
      </w:pPr>
      <w:r w:rsidRPr="00976A6F">
        <w:t>Location (</w:t>
      </w:r>
      <w:r w:rsidR="00DA14AF" w:rsidRPr="00976A6F">
        <w:t>e.g.,</w:t>
      </w:r>
      <w:r w:rsidRPr="00976A6F">
        <w:t xml:space="preserve"> pitch border, interview area, </w:t>
      </w:r>
      <w:r w:rsidR="00C03B5A" w:rsidRPr="00976A6F">
        <w:t xml:space="preserve">and </w:t>
      </w:r>
      <w:r w:rsidRPr="00976A6F">
        <w:t xml:space="preserve">pre-recorded video segments). </w:t>
      </w:r>
    </w:p>
    <w:p w14:paraId="0EFB3578" w14:textId="77777777" w:rsidR="003F0DC2" w:rsidRPr="00976A6F" w:rsidRDefault="003F0DC2" w:rsidP="00103EBF">
      <w:pPr>
        <w:pStyle w:val="MDPI38bullet"/>
      </w:pPr>
      <w:r w:rsidRPr="00976A6F">
        <w:t>Format (</w:t>
      </w:r>
      <w:r w:rsidR="00DA14AF" w:rsidRPr="00976A6F">
        <w:t>e.g.,</w:t>
      </w:r>
      <w:r w:rsidRPr="00976A6F">
        <w:t xml:space="preserve"> static advertising, electronic advertising, and commercial advertisement). </w:t>
      </w:r>
    </w:p>
    <w:p w14:paraId="563EEDE5" w14:textId="77777777" w:rsidR="003F0DC2" w:rsidRPr="00976A6F" w:rsidRDefault="003F0DC2" w:rsidP="00103EBF">
      <w:pPr>
        <w:pStyle w:val="MDPI38bullet"/>
      </w:pPr>
      <w:r w:rsidRPr="00976A6F">
        <w:t xml:space="preserve">Duration of reference (in seconds). </w:t>
      </w:r>
    </w:p>
    <w:p w14:paraId="473957F6" w14:textId="77777777" w:rsidR="003F0DC2" w:rsidRPr="00976A6F" w:rsidRDefault="003F0DC2" w:rsidP="00103EBF">
      <w:pPr>
        <w:pStyle w:val="MDPI38bullet"/>
      </w:pPr>
      <w:r w:rsidRPr="00976A6F">
        <w:t>Identical reference visible at same time (</w:t>
      </w:r>
      <w:r w:rsidR="00DA14AF" w:rsidRPr="00976A6F">
        <w:t>e.g.,</w:t>
      </w:r>
      <w:r w:rsidRPr="00976A6F">
        <w:t xml:space="preserve"> multiple pitch borders). </w:t>
      </w:r>
    </w:p>
    <w:p w14:paraId="7DF0562D" w14:textId="67FFFF95" w:rsidR="003F0DC2" w:rsidRPr="00976A6F" w:rsidRDefault="003F0DC2" w:rsidP="00103EBF">
      <w:pPr>
        <w:pStyle w:val="MDPI38bullet"/>
      </w:pPr>
      <w:r w:rsidRPr="00976A6F">
        <w:t>Alcohol brand featured (</w:t>
      </w:r>
      <w:r w:rsidR="00DA14AF" w:rsidRPr="00976A6F">
        <w:t>e.g.,</w:t>
      </w:r>
      <w:r w:rsidRPr="00976A6F">
        <w:t xml:space="preserve"> Carlsberg</w:t>
      </w:r>
      <w:r w:rsidR="00C03B5A" w:rsidRPr="00976A6F">
        <w:t xml:space="preserve"> and </w:t>
      </w:r>
      <w:r w:rsidRPr="00976A6F">
        <w:t xml:space="preserve">Fosters). </w:t>
      </w:r>
    </w:p>
    <w:p w14:paraId="0826E613" w14:textId="62FCD9A8" w:rsidR="003F0DC2" w:rsidRPr="00976A6F" w:rsidRDefault="003F0DC2" w:rsidP="00103EBF">
      <w:pPr>
        <w:pStyle w:val="MDPI38bullet"/>
      </w:pPr>
      <w:r w:rsidRPr="00976A6F">
        <w:t>Nature of brand reference (</w:t>
      </w:r>
      <w:r w:rsidR="00DA14AF" w:rsidRPr="00976A6F">
        <w:t>e.g.,</w:t>
      </w:r>
      <w:r w:rsidRPr="00976A6F">
        <w:t xml:space="preserve"> direct reference</w:t>
      </w:r>
      <w:r w:rsidR="00DA14AF" w:rsidRPr="00976A6F">
        <w:t>—such as brand names/logo</w:t>
      </w:r>
      <w:r w:rsidR="00C03B5A" w:rsidRPr="00976A6F">
        <w:t>—</w:t>
      </w:r>
      <w:r w:rsidRPr="00976A6F">
        <w:t>or indirect reference</w:t>
      </w:r>
      <w:r w:rsidR="00DA14AF" w:rsidRPr="00976A6F">
        <w:t>—</w:t>
      </w:r>
      <w:r w:rsidRPr="00976A6F">
        <w:t>although a name/logo did not appear, the brand was identifiable from other signifiers such as phrases from brand sl</w:t>
      </w:r>
      <w:r w:rsidR="00FE3121" w:rsidRPr="00976A6F">
        <w:t>ogans, colours, and typefaces).</w:t>
      </w:r>
    </w:p>
    <w:p w14:paraId="575525C4" w14:textId="77777777" w:rsidR="003F0DC2" w:rsidRPr="00976A6F" w:rsidRDefault="003F0DC2" w:rsidP="00FE3121">
      <w:pPr>
        <w:pStyle w:val="MDPI22heading2"/>
        <w:rPr>
          <w:noProof w:val="0"/>
          <w:lang w:val="en-GB"/>
        </w:rPr>
      </w:pPr>
      <w:r w:rsidRPr="00976A6F">
        <w:rPr>
          <w:noProof w:val="0"/>
          <w:lang w:val="en-GB"/>
        </w:rPr>
        <w:t>2.5</w:t>
      </w:r>
      <w:r w:rsidR="00FE3121" w:rsidRPr="00976A6F">
        <w:rPr>
          <w:noProof w:val="0"/>
          <w:lang w:val="en-GB"/>
        </w:rPr>
        <w:t>.</w:t>
      </w:r>
      <w:r w:rsidRPr="00976A6F">
        <w:rPr>
          <w:noProof w:val="0"/>
          <w:lang w:val="en-GB"/>
        </w:rPr>
        <w:t xml:space="preserve"> Procedure and </w:t>
      </w:r>
      <w:r w:rsidR="00FE3121" w:rsidRPr="00976A6F">
        <w:rPr>
          <w:noProof w:val="0"/>
          <w:lang w:val="en-GB"/>
        </w:rPr>
        <w:t>Inter-Rater Reliability</w:t>
      </w:r>
    </w:p>
    <w:p w14:paraId="7896B940" w14:textId="77777777" w:rsidR="003F0DC2" w:rsidRPr="00976A6F" w:rsidRDefault="003F0DC2" w:rsidP="00FE3121">
      <w:pPr>
        <w:pStyle w:val="MDPI31text"/>
        <w:rPr>
          <w:lang w:val="en-GB"/>
        </w:rPr>
      </w:pPr>
      <w:r w:rsidRPr="00976A6F">
        <w:rPr>
          <w:lang w:val="en-GB"/>
        </w:rPr>
        <w:t xml:space="preserve">An initial codebook was developed and piloted on a recorded match from the FIFA World Cup 2014, and revised based on discussion between RP, NC and MS. After being recorded, all 18 broadcasts were systematically coded by RP or NC, while all commercial breaks were coded by an additional researcher (LR). All DVDs were played on Windows Media Player, using the pause and rewind function as required. Data were coded into a Microsoft Excel spreadsheet designed around the codebook. A separate spreadsheet was used for each broadcast. </w:t>
      </w:r>
    </w:p>
    <w:p w14:paraId="494DBF6A" w14:textId="49C2802D" w:rsidR="003F0DC2" w:rsidRPr="00976A6F" w:rsidRDefault="003F0DC2" w:rsidP="00FE3121">
      <w:pPr>
        <w:pStyle w:val="MDPI31text"/>
        <w:rPr>
          <w:lang w:val="en-GB"/>
        </w:rPr>
      </w:pPr>
      <w:bookmarkStart w:id="2" w:name="_Hlk485932082"/>
      <w:r w:rsidRPr="00976A6F">
        <w:rPr>
          <w:lang w:val="en-GB"/>
        </w:rPr>
        <w:t>RP and NC both coded one broadcast in full (France vs</w:t>
      </w:r>
      <w:r w:rsidR="00C03B5A" w:rsidRPr="00976A6F">
        <w:rPr>
          <w:lang w:val="en-GB"/>
        </w:rPr>
        <w:t>.</w:t>
      </w:r>
      <w:r w:rsidRPr="00976A6F">
        <w:rPr>
          <w:lang w:val="en-GB"/>
        </w:rPr>
        <w:t xml:space="preserve"> Germany). Inter-rater reliability was established through percentage agreement on the number of references coded for the categorical variables (</w:t>
      </w:r>
      <w:r w:rsidR="00DA14AF" w:rsidRPr="00976A6F">
        <w:rPr>
          <w:lang w:val="en-GB"/>
        </w:rPr>
        <w:t>e.g.,</w:t>
      </w:r>
      <w:r w:rsidRPr="00976A6F">
        <w:rPr>
          <w:lang w:val="en-GB"/>
        </w:rPr>
        <w:t xml:space="preserve"> number of references in the pre-match). When averaged for each section of the codebook, there was high agreement for broadcast segment (95%), reference type (98%), reference location (98%), reference format (94%), content of the reference (99%), and which brand was featured (99%). These estimates exceed the suggested 70% threshold for acceptable inter-rater agreement using the percentage measure [27]. A breakdown of agreement by variable is reported in Appendix B.</w:t>
      </w:r>
    </w:p>
    <w:bookmarkEnd w:id="2"/>
    <w:p w14:paraId="46B52664" w14:textId="77777777" w:rsidR="003F0DC2" w:rsidRPr="00976A6F" w:rsidRDefault="003F0DC2" w:rsidP="00FE3121">
      <w:pPr>
        <w:pStyle w:val="MDPI22heading2"/>
        <w:rPr>
          <w:noProof w:val="0"/>
          <w:lang w:val="en-GB"/>
        </w:rPr>
      </w:pPr>
      <w:r w:rsidRPr="00976A6F">
        <w:rPr>
          <w:noProof w:val="0"/>
          <w:lang w:val="en-GB"/>
        </w:rPr>
        <w:t>2.6</w:t>
      </w:r>
      <w:r w:rsidR="00FE3121" w:rsidRPr="00976A6F">
        <w:rPr>
          <w:noProof w:val="0"/>
          <w:lang w:val="en-GB"/>
        </w:rPr>
        <w:t>.</w:t>
      </w:r>
      <w:r w:rsidRPr="00976A6F">
        <w:rPr>
          <w:noProof w:val="0"/>
          <w:lang w:val="en-GB"/>
        </w:rPr>
        <w:t xml:space="preserve"> Ethics</w:t>
      </w:r>
    </w:p>
    <w:p w14:paraId="2E8E9ED9" w14:textId="77777777" w:rsidR="003F0DC2" w:rsidRPr="00976A6F" w:rsidRDefault="003F0DC2" w:rsidP="00FE3121">
      <w:pPr>
        <w:pStyle w:val="MDPI31text"/>
        <w:rPr>
          <w:lang w:val="en-GB"/>
        </w:rPr>
      </w:pPr>
      <w:r w:rsidRPr="00976A6F">
        <w:rPr>
          <w:lang w:val="en-GB"/>
        </w:rPr>
        <w:t xml:space="preserve">As this study was based on publicly available television broadcasts, and did not include any research participants, no ethical approval was required. </w:t>
      </w:r>
    </w:p>
    <w:p w14:paraId="3070C07A" w14:textId="77777777" w:rsidR="003F0DC2" w:rsidRPr="00976A6F" w:rsidRDefault="003F0DC2" w:rsidP="00FE3121">
      <w:pPr>
        <w:pStyle w:val="MDPI22heading2"/>
        <w:rPr>
          <w:noProof w:val="0"/>
          <w:lang w:val="en-GB"/>
        </w:rPr>
      </w:pPr>
      <w:r w:rsidRPr="00976A6F">
        <w:rPr>
          <w:noProof w:val="0"/>
          <w:lang w:val="en-GB"/>
        </w:rPr>
        <w:t>2.7</w:t>
      </w:r>
      <w:r w:rsidR="00FE3121" w:rsidRPr="00976A6F">
        <w:rPr>
          <w:noProof w:val="0"/>
          <w:lang w:val="en-GB"/>
        </w:rPr>
        <w:t>.</w:t>
      </w:r>
      <w:r w:rsidRPr="00976A6F">
        <w:rPr>
          <w:noProof w:val="0"/>
          <w:lang w:val="en-GB"/>
        </w:rPr>
        <w:t xml:space="preserve"> Data </w:t>
      </w:r>
      <w:r w:rsidR="00FE3121" w:rsidRPr="00976A6F">
        <w:rPr>
          <w:noProof w:val="0"/>
          <w:lang w:val="en-GB"/>
        </w:rPr>
        <w:t>Analysis</w:t>
      </w:r>
    </w:p>
    <w:p w14:paraId="7094D365" w14:textId="30B5CC64" w:rsidR="003F0DC2" w:rsidRPr="00976A6F" w:rsidRDefault="003F0DC2" w:rsidP="00FE3121">
      <w:pPr>
        <w:pStyle w:val="MDPI31text"/>
        <w:rPr>
          <w:lang w:val="en-GB"/>
        </w:rPr>
      </w:pPr>
      <w:r w:rsidRPr="00976A6F">
        <w:rPr>
          <w:lang w:val="en-GB"/>
        </w:rPr>
        <w:t>Data w</w:t>
      </w:r>
      <w:r w:rsidR="00C03B5A" w:rsidRPr="00976A6F">
        <w:rPr>
          <w:lang w:val="en-GB"/>
        </w:rPr>
        <w:t>ere</w:t>
      </w:r>
      <w:r w:rsidRPr="00976A6F">
        <w:rPr>
          <w:lang w:val="en-GB"/>
        </w:rPr>
        <w:t xml:space="preserve"> analysed using SPSS version 23</w:t>
      </w:r>
      <w:r w:rsidR="005978F9" w:rsidRPr="00976A6F">
        <w:rPr>
          <w:lang w:val="en-GB"/>
        </w:rPr>
        <w:t xml:space="preserve"> </w:t>
      </w:r>
      <w:r w:rsidR="00103EBF" w:rsidRPr="00976A6F">
        <w:rPr>
          <w:lang w:val="en-GB"/>
        </w:rPr>
        <w:t>(</w:t>
      </w:r>
      <w:r w:rsidR="005978F9" w:rsidRPr="00976A6F">
        <w:rPr>
          <w:lang w:val="en-GB"/>
        </w:rPr>
        <w:t>SPSS Inc., Chicago, IL, United States</w:t>
      </w:r>
      <w:r w:rsidR="00103EBF" w:rsidRPr="00976A6F">
        <w:rPr>
          <w:lang w:val="en-GB"/>
        </w:rPr>
        <w:t>)</w:t>
      </w:r>
      <w:r w:rsidRPr="00976A6F">
        <w:rPr>
          <w:lang w:val="en-GB"/>
        </w:rPr>
        <w:t xml:space="preserve">. Frequencies were computed for broadcast segment, location of the reference, format of the reference, brand referenced and content of the reference. Medians and modes were computed for duration of references and number of identical references, due to variation in the distribution of data for these variables. Means were computed for the total number of references per broadcast and the average number of references per broadcast minute (overall, in-play and out-of-play). A series of independent samples </w:t>
      </w:r>
      <w:r w:rsidRPr="00976A6F">
        <w:rPr>
          <w:i/>
          <w:lang w:val="en-GB"/>
        </w:rPr>
        <w:t>t</w:t>
      </w:r>
      <w:r w:rsidRPr="00976A6F">
        <w:rPr>
          <w:lang w:val="en-GB"/>
        </w:rPr>
        <w:t xml:space="preserve">-tests were conducted to explore whether the average number of references per match differed by whether the match involved England or not, whether it was broadcast on a commercial channel or not, whether it was broadcast at the weekend or on a weekday, or whether it was broadcast in the afternoon or evening. The average number of references per broadcast minute was computed by dividing the total number of references by the length of each broadcast, and then by dividing the number of references in-play and out-of-play by the respective length of each section in the broadcast. A paired samples </w:t>
      </w:r>
      <w:r w:rsidRPr="00976A6F">
        <w:rPr>
          <w:i/>
          <w:lang w:val="en-GB"/>
        </w:rPr>
        <w:t>t</w:t>
      </w:r>
      <w:r w:rsidR="0089740D" w:rsidRPr="00976A6F">
        <w:rPr>
          <w:lang w:val="en-GB"/>
        </w:rPr>
        <w:t>-test, based on 2</w:t>
      </w:r>
      <w:r w:rsidRPr="00976A6F">
        <w:rPr>
          <w:lang w:val="en-GB"/>
        </w:rPr>
        <w:t>000 bootstrapped comparisons, was used to compare the average number of references per in-play minute to the average number of references per out-of-play minute. Cross-tabulations were used to compare the content of marketing (</w:t>
      </w:r>
      <w:r w:rsidR="00DA14AF" w:rsidRPr="00976A6F">
        <w:rPr>
          <w:lang w:val="en-GB"/>
        </w:rPr>
        <w:t>e.g.,</w:t>
      </w:r>
      <w:r w:rsidRPr="00976A6F">
        <w:rPr>
          <w:lang w:val="en-GB"/>
        </w:rPr>
        <w:t xml:space="preserve"> direct reference versus indirect reference</w:t>
      </w:r>
      <w:r w:rsidR="00DA14AF" w:rsidRPr="00976A6F">
        <w:rPr>
          <w:lang w:val="en-GB"/>
        </w:rPr>
        <w:t>—</w:t>
      </w:r>
      <w:r w:rsidRPr="00976A6F">
        <w:rPr>
          <w:lang w:val="en-GB"/>
        </w:rPr>
        <w:t>see Appendix A) to the location of marketing and the brand that was featured.</w:t>
      </w:r>
      <w:r w:rsidR="0089740D" w:rsidRPr="00976A6F">
        <w:rPr>
          <w:lang w:val="en-GB"/>
        </w:rPr>
        <w:t xml:space="preserve"> </w:t>
      </w:r>
    </w:p>
    <w:p w14:paraId="187ECA0C" w14:textId="77777777" w:rsidR="003F0DC2" w:rsidRPr="00976A6F" w:rsidRDefault="003F0DC2" w:rsidP="00FE3121">
      <w:pPr>
        <w:pStyle w:val="MDPI21heading1"/>
        <w:rPr>
          <w:lang w:val="en-GB"/>
        </w:rPr>
      </w:pPr>
      <w:r w:rsidRPr="00976A6F">
        <w:rPr>
          <w:lang w:val="en-GB"/>
        </w:rPr>
        <w:lastRenderedPageBreak/>
        <w:t>3. Results</w:t>
      </w:r>
    </w:p>
    <w:p w14:paraId="5319E7AE" w14:textId="77777777" w:rsidR="003F0DC2" w:rsidRPr="00976A6F" w:rsidRDefault="003F0DC2" w:rsidP="00FE3121">
      <w:pPr>
        <w:pStyle w:val="MDPI22heading2"/>
        <w:rPr>
          <w:noProof w:val="0"/>
          <w:lang w:val="en-GB"/>
        </w:rPr>
      </w:pPr>
      <w:r w:rsidRPr="00976A6F">
        <w:rPr>
          <w:noProof w:val="0"/>
          <w:lang w:val="en-GB"/>
        </w:rPr>
        <w:t>3.1</w:t>
      </w:r>
      <w:r w:rsidR="00FE3121" w:rsidRPr="00976A6F">
        <w:rPr>
          <w:noProof w:val="0"/>
          <w:lang w:val="en-GB"/>
        </w:rPr>
        <w:t>.</w:t>
      </w:r>
      <w:r w:rsidRPr="00976A6F">
        <w:rPr>
          <w:noProof w:val="0"/>
          <w:lang w:val="en-GB"/>
        </w:rPr>
        <w:t xml:space="preserve"> Number of </w:t>
      </w:r>
      <w:r w:rsidR="00FE3121" w:rsidRPr="00976A6F">
        <w:rPr>
          <w:noProof w:val="0"/>
          <w:lang w:val="en-GB"/>
        </w:rPr>
        <w:t xml:space="preserve">Alcohol Marketing References </w:t>
      </w:r>
      <w:r w:rsidRPr="00976A6F">
        <w:rPr>
          <w:noProof w:val="0"/>
          <w:lang w:val="en-GB"/>
        </w:rPr>
        <w:t xml:space="preserve">by </w:t>
      </w:r>
      <w:r w:rsidR="00FE3121" w:rsidRPr="00976A6F">
        <w:rPr>
          <w:noProof w:val="0"/>
          <w:lang w:val="en-GB"/>
        </w:rPr>
        <w:t>Broadcast Characteristic</w:t>
      </w:r>
    </w:p>
    <w:p w14:paraId="23D9D654" w14:textId="77777777" w:rsidR="003F0DC2" w:rsidRPr="00976A6F" w:rsidRDefault="0089740D" w:rsidP="00FE3121">
      <w:pPr>
        <w:pStyle w:val="MDPI22heading2"/>
        <w:spacing w:before="0" w:after="0"/>
        <w:ind w:firstLine="420"/>
        <w:jc w:val="both"/>
        <w:rPr>
          <w:i w:val="0"/>
          <w:noProof w:val="0"/>
          <w:lang w:val="en-GB"/>
        </w:rPr>
      </w:pPr>
      <w:r w:rsidRPr="00976A6F">
        <w:rPr>
          <w:i w:val="0"/>
          <w:noProof w:val="0"/>
          <w:lang w:val="en-GB"/>
        </w:rPr>
        <w:t>A total of 2</w:t>
      </w:r>
      <w:r w:rsidR="003F0DC2" w:rsidRPr="00976A6F">
        <w:rPr>
          <w:i w:val="0"/>
          <w:noProof w:val="0"/>
          <w:lang w:val="en-GB"/>
        </w:rPr>
        <w:t xml:space="preserve">213 alcohol marketing references were recorded across the 18 broadcasts, with an average of 122.94 per broadcast (SD = 42.87) (Table 2). A series of independent samples </w:t>
      </w:r>
      <w:r w:rsidR="003F0DC2" w:rsidRPr="00976A6F">
        <w:rPr>
          <w:noProof w:val="0"/>
          <w:lang w:val="en-GB"/>
        </w:rPr>
        <w:t>t</w:t>
      </w:r>
      <w:r w:rsidR="003F0DC2" w:rsidRPr="00976A6F">
        <w:rPr>
          <w:i w:val="0"/>
          <w:noProof w:val="0"/>
          <w:lang w:val="en-GB"/>
        </w:rPr>
        <w:t>-tests found the average number of references per broadcast did not differ dependent on whether a match involved the English national team or not (</w:t>
      </w:r>
      <w:r w:rsidR="003F0DC2" w:rsidRPr="00976A6F">
        <w:rPr>
          <w:noProof w:val="0"/>
          <w:lang w:val="en-GB"/>
        </w:rPr>
        <w:t>p</w:t>
      </w:r>
      <w:r w:rsidR="003F0DC2" w:rsidRPr="00976A6F">
        <w:rPr>
          <w:i w:val="0"/>
          <w:noProof w:val="0"/>
          <w:lang w:val="en-GB"/>
        </w:rPr>
        <w:t xml:space="preserve"> = 0.64), whether it was broadcast by a commercial (ITV/STV) or a non-commercial broadcaster (</w:t>
      </w:r>
      <w:r w:rsidR="003F0DC2" w:rsidRPr="00976A6F">
        <w:rPr>
          <w:noProof w:val="0"/>
          <w:lang w:val="en-GB"/>
        </w:rPr>
        <w:t>p</w:t>
      </w:r>
      <w:r w:rsidR="003F0DC2" w:rsidRPr="00976A6F">
        <w:rPr>
          <w:i w:val="0"/>
          <w:noProof w:val="0"/>
          <w:lang w:val="en-GB"/>
        </w:rPr>
        <w:t xml:space="preserve"> = 0.58), whether the broadcast was midweek or at the weekend (</w:t>
      </w:r>
      <w:r w:rsidR="003F0DC2" w:rsidRPr="00976A6F">
        <w:rPr>
          <w:noProof w:val="0"/>
          <w:lang w:val="en-GB"/>
        </w:rPr>
        <w:t>p</w:t>
      </w:r>
      <w:r w:rsidR="003F0DC2" w:rsidRPr="00976A6F">
        <w:rPr>
          <w:i w:val="0"/>
          <w:noProof w:val="0"/>
          <w:lang w:val="en-GB"/>
        </w:rPr>
        <w:t xml:space="preserve"> = 0.76), or whether the match kicked off in the afternoon or in the evening (</w:t>
      </w:r>
      <w:r w:rsidR="003F0DC2" w:rsidRPr="00976A6F">
        <w:rPr>
          <w:noProof w:val="0"/>
          <w:lang w:val="en-GB"/>
        </w:rPr>
        <w:t>p</w:t>
      </w:r>
      <w:r w:rsidR="003F0DC2" w:rsidRPr="00976A6F">
        <w:rPr>
          <w:i w:val="0"/>
          <w:noProof w:val="0"/>
          <w:lang w:val="en-GB"/>
        </w:rPr>
        <w:t xml:space="preserve"> = 0.94) (Table 2). </w:t>
      </w:r>
    </w:p>
    <w:p w14:paraId="77001F5E" w14:textId="77777777" w:rsidR="00283CB9" w:rsidRPr="00976A6F" w:rsidRDefault="00283CB9" w:rsidP="00DA14AF">
      <w:pPr>
        <w:pStyle w:val="MDPI41tablecaption"/>
        <w:rPr>
          <w:lang w:val="en-GB"/>
        </w:rPr>
      </w:pPr>
      <w:r w:rsidRPr="00976A6F">
        <w:rPr>
          <w:rFonts w:eastAsia="Calibri"/>
          <w:b/>
          <w:lang w:val="en-GB"/>
        </w:rPr>
        <w:t xml:space="preserve">Table 2. </w:t>
      </w:r>
      <w:r w:rsidRPr="00976A6F">
        <w:rPr>
          <w:rFonts w:eastAsia="Calibri"/>
          <w:lang w:val="en-GB"/>
        </w:rPr>
        <w:t xml:space="preserve">Descriptive statistics and independent samples </w:t>
      </w:r>
      <w:r w:rsidRPr="00976A6F">
        <w:rPr>
          <w:rFonts w:eastAsia="Calibri"/>
          <w:i/>
          <w:lang w:val="en-GB"/>
        </w:rPr>
        <w:t>t</w:t>
      </w:r>
      <w:r w:rsidRPr="00976A6F">
        <w:rPr>
          <w:rFonts w:eastAsia="Calibri"/>
          <w:lang w:val="en-GB"/>
        </w:rPr>
        <w:t>-tests comparing alcohol marketing references across different types of broadcast.</w:t>
      </w:r>
    </w:p>
    <w:tbl>
      <w:tblPr>
        <w:tblStyle w:val="TableGrid1"/>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396"/>
        <w:gridCol w:w="711"/>
        <w:gridCol w:w="621"/>
        <w:gridCol w:w="621"/>
        <w:gridCol w:w="488"/>
      </w:tblGrid>
      <w:tr w:rsidR="001D798A" w:rsidRPr="00976A6F" w14:paraId="7C51599D" w14:textId="77777777" w:rsidTr="001D798A">
        <w:trPr>
          <w:jc w:val="center"/>
        </w:trPr>
        <w:tc>
          <w:tcPr>
            <w:tcW w:w="0" w:type="auto"/>
            <w:tcBorders>
              <w:top w:val="single" w:sz="8" w:space="0" w:color="auto"/>
              <w:bottom w:val="single" w:sz="4" w:space="0" w:color="auto"/>
            </w:tcBorders>
            <w:vAlign w:val="center"/>
          </w:tcPr>
          <w:p w14:paraId="5AC04498" w14:textId="77777777" w:rsidR="001D798A" w:rsidRPr="00976A6F" w:rsidRDefault="001D798A" w:rsidP="00383B9F">
            <w:pPr>
              <w:adjustRightInd w:val="0"/>
              <w:snapToGrid w:val="0"/>
              <w:spacing w:line="240" w:lineRule="auto"/>
              <w:jc w:val="center"/>
              <w:rPr>
                <w:rFonts w:ascii="Palatino Linotype" w:eastAsia="Calibri" w:hAnsi="Palatino Linotype"/>
                <w:b/>
                <w:sz w:val="18"/>
                <w:szCs w:val="18"/>
              </w:rPr>
            </w:pPr>
            <w:r w:rsidRPr="00976A6F">
              <w:rPr>
                <w:rFonts w:ascii="Palatino Linotype" w:eastAsia="Calibri" w:hAnsi="Palatino Linotype"/>
                <w:b/>
                <w:sz w:val="18"/>
                <w:szCs w:val="18"/>
              </w:rPr>
              <w:t>Variable</w:t>
            </w:r>
          </w:p>
        </w:tc>
        <w:tc>
          <w:tcPr>
            <w:tcW w:w="0" w:type="auto"/>
            <w:tcBorders>
              <w:top w:val="single" w:sz="8" w:space="0" w:color="auto"/>
              <w:bottom w:val="single" w:sz="4" w:space="0" w:color="auto"/>
            </w:tcBorders>
            <w:vAlign w:val="center"/>
          </w:tcPr>
          <w:p w14:paraId="1D146758" w14:textId="77777777" w:rsidR="001D798A" w:rsidRPr="00976A6F" w:rsidRDefault="001D798A" w:rsidP="00383B9F">
            <w:pPr>
              <w:adjustRightInd w:val="0"/>
              <w:snapToGrid w:val="0"/>
              <w:spacing w:line="240" w:lineRule="auto"/>
              <w:jc w:val="center"/>
              <w:rPr>
                <w:rFonts w:ascii="Palatino Linotype" w:eastAsia="Calibri" w:hAnsi="Palatino Linotype"/>
                <w:b/>
                <w:i/>
                <w:sz w:val="18"/>
                <w:szCs w:val="18"/>
              </w:rPr>
            </w:pPr>
            <w:r w:rsidRPr="00976A6F">
              <w:rPr>
                <w:rFonts w:ascii="Palatino Linotype" w:eastAsia="Calibri" w:hAnsi="Palatino Linotype"/>
                <w:b/>
                <w:i/>
                <w:sz w:val="18"/>
                <w:szCs w:val="18"/>
              </w:rPr>
              <w:t>n</w:t>
            </w:r>
          </w:p>
        </w:tc>
        <w:tc>
          <w:tcPr>
            <w:tcW w:w="0" w:type="auto"/>
            <w:tcBorders>
              <w:top w:val="single" w:sz="8" w:space="0" w:color="auto"/>
              <w:bottom w:val="single" w:sz="4" w:space="0" w:color="auto"/>
            </w:tcBorders>
            <w:vAlign w:val="center"/>
          </w:tcPr>
          <w:p w14:paraId="09E555FA" w14:textId="26936E11" w:rsidR="001D798A" w:rsidRPr="00976A6F" w:rsidRDefault="001D798A" w:rsidP="00383B9F">
            <w:pPr>
              <w:adjustRightInd w:val="0"/>
              <w:snapToGrid w:val="0"/>
              <w:spacing w:line="240" w:lineRule="auto"/>
              <w:jc w:val="center"/>
              <w:rPr>
                <w:rFonts w:ascii="Palatino Linotype" w:eastAsia="Calibri" w:hAnsi="Palatino Linotype"/>
                <w:b/>
                <w:sz w:val="18"/>
                <w:szCs w:val="18"/>
              </w:rPr>
            </w:pPr>
            <w:r w:rsidRPr="00976A6F">
              <w:rPr>
                <w:rFonts w:ascii="Palatino Linotype" w:eastAsia="Calibri" w:hAnsi="Palatino Linotype"/>
                <w:b/>
                <w:sz w:val="18"/>
                <w:szCs w:val="18"/>
              </w:rPr>
              <w:t>M</w:t>
            </w:r>
            <w:r w:rsidR="005978F9" w:rsidRPr="00976A6F">
              <w:rPr>
                <w:rFonts w:ascii="Palatino Linotype" w:eastAsia="Calibri" w:hAnsi="Palatino Linotype"/>
                <w:b/>
                <w:sz w:val="18"/>
                <w:szCs w:val="18"/>
              </w:rPr>
              <w:t>ean</w:t>
            </w:r>
          </w:p>
        </w:tc>
        <w:tc>
          <w:tcPr>
            <w:tcW w:w="0" w:type="auto"/>
            <w:tcBorders>
              <w:top w:val="single" w:sz="8" w:space="0" w:color="auto"/>
              <w:bottom w:val="single" w:sz="4" w:space="0" w:color="auto"/>
            </w:tcBorders>
            <w:vAlign w:val="center"/>
          </w:tcPr>
          <w:p w14:paraId="3E200E5E" w14:textId="77777777" w:rsidR="001D798A" w:rsidRPr="00976A6F" w:rsidRDefault="001D798A" w:rsidP="00383B9F">
            <w:pPr>
              <w:adjustRightInd w:val="0"/>
              <w:snapToGrid w:val="0"/>
              <w:spacing w:line="240" w:lineRule="auto"/>
              <w:jc w:val="center"/>
              <w:rPr>
                <w:rFonts w:ascii="Palatino Linotype" w:eastAsia="Calibri" w:hAnsi="Palatino Linotype"/>
                <w:b/>
                <w:sz w:val="18"/>
                <w:szCs w:val="18"/>
              </w:rPr>
            </w:pPr>
            <w:r w:rsidRPr="00976A6F">
              <w:rPr>
                <w:rFonts w:ascii="Palatino Linotype" w:eastAsia="Calibri" w:hAnsi="Palatino Linotype"/>
                <w:b/>
                <w:sz w:val="18"/>
                <w:szCs w:val="18"/>
              </w:rPr>
              <w:t>SD</w:t>
            </w:r>
          </w:p>
        </w:tc>
        <w:tc>
          <w:tcPr>
            <w:tcW w:w="0" w:type="auto"/>
            <w:tcBorders>
              <w:top w:val="single" w:sz="8" w:space="0" w:color="auto"/>
              <w:bottom w:val="single" w:sz="4" w:space="0" w:color="auto"/>
            </w:tcBorders>
            <w:vAlign w:val="center"/>
          </w:tcPr>
          <w:p w14:paraId="584F7D10" w14:textId="77777777" w:rsidR="001D798A" w:rsidRPr="00976A6F" w:rsidRDefault="001D798A" w:rsidP="00383B9F">
            <w:pPr>
              <w:adjustRightInd w:val="0"/>
              <w:snapToGrid w:val="0"/>
              <w:spacing w:line="240" w:lineRule="auto"/>
              <w:jc w:val="center"/>
              <w:rPr>
                <w:rFonts w:ascii="Palatino Linotype" w:eastAsia="Calibri" w:hAnsi="Palatino Linotype"/>
                <w:b/>
                <w:i/>
                <w:sz w:val="18"/>
                <w:szCs w:val="18"/>
                <w:vertAlign w:val="superscript"/>
              </w:rPr>
            </w:pPr>
            <w:r w:rsidRPr="00976A6F">
              <w:rPr>
                <w:rFonts w:ascii="Palatino Linotype" w:eastAsia="Calibri" w:hAnsi="Palatino Linotype"/>
                <w:b/>
                <w:i/>
                <w:sz w:val="18"/>
                <w:szCs w:val="18"/>
              </w:rPr>
              <w:t>t</w:t>
            </w:r>
          </w:p>
        </w:tc>
        <w:tc>
          <w:tcPr>
            <w:tcW w:w="0" w:type="auto"/>
            <w:tcBorders>
              <w:top w:val="single" w:sz="8" w:space="0" w:color="auto"/>
              <w:bottom w:val="single" w:sz="4" w:space="0" w:color="auto"/>
            </w:tcBorders>
            <w:vAlign w:val="center"/>
          </w:tcPr>
          <w:p w14:paraId="7C7DAC8B" w14:textId="77777777" w:rsidR="001D798A" w:rsidRPr="00976A6F" w:rsidRDefault="001D798A" w:rsidP="00383B9F">
            <w:pPr>
              <w:adjustRightInd w:val="0"/>
              <w:snapToGrid w:val="0"/>
              <w:spacing w:line="240" w:lineRule="auto"/>
              <w:jc w:val="center"/>
              <w:rPr>
                <w:rFonts w:ascii="Palatino Linotype" w:eastAsia="Calibri" w:hAnsi="Palatino Linotype"/>
                <w:b/>
                <w:i/>
                <w:sz w:val="18"/>
                <w:szCs w:val="18"/>
              </w:rPr>
            </w:pPr>
            <w:r w:rsidRPr="00976A6F">
              <w:rPr>
                <w:rFonts w:ascii="Palatino Linotype" w:eastAsia="Calibri" w:hAnsi="Palatino Linotype"/>
                <w:b/>
                <w:i/>
                <w:sz w:val="18"/>
                <w:szCs w:val="18"/>
              </w:rPr>
              <w:t>p</w:t>
            </w:r>
          </w:p>
        </w:tc>
      </w:tr>
      <w:tr w:rsidR="001D798A" w:rsidRPr="00976A6F" w14:paraId="3A700EFC" w14:textId="77777777" w:rsidTr="001D798A">
        <w:trPr>
          <w:jc w:val="center"/>
        </w:trPr>
        <w:tc>
          <w:tcPr>
            <w:tcW w:w="0" w:type="auto"/>
            <w:tcBorders>
              <w:top w:val="single" w:sz="4" w:space="0" w:color="auto"/>
              <w:bottom w:val="single" w:sz="4" w:space="0" w:color="auto"/>
            </w:tcBorders>
            <w:vAlign w:val="center"/>
          </w:tcPr>
          <w:p w14:paraId="57E7C575" w14:textId="77777777" w:rsidR="001D798A" w:rsidRPr="00976A6F" w:rsidRDefault="001D798A" w:rsidP="00383B9F">
            <w:pPr>
              <w:adjustRightInd w:val="0"/>
              <w:snapToGrid w:val="0"/>
              <w:spacing w:line="240" w:lineRule="auto"/>
              <w:jc w:val="center"/>
              <w:rPr>
                <w:rFonts w:ascii="Palatino Linotype" w:eastAsia="Calibri" w:hAnsi="Palatino Linotype"/>
                <w:i/>
                <w:sz w:val="18"/>
                <w:szCs w:val="18"/>
              </w:rPr>
            </w:pPr>
            <w:r w:rsidRPr="00976A6F">
              <w:rPr>
                <w:rFonts w:ascii="Palatino Linotype" w:eastAsia="Calibri" w:hAnsi="Palatino Linotype"/>
                <w:i/>
                <w:sz w:val="18"/>
                <w:szCs w:val="18"/>
              </w:rPr>
              <w:t>Overall</w:t>
            </w:r>
          </w:p>
        </w:tc>
        <w:tc>
          <w:tcPr>
            <w:tcW w:w="0" w:type="auto"/>
            <w:tcBorders>
              <w:top w:val="single" w:sz="4" w:space="0" w:color="auto"/>
              <w:bottom w:val="single" w:sz="4" w:space="0" w:color="auto"/>
            </w:tcBorders>
            <w:vAlign w:val="center"/>
          </w:tcPr>
          <w:p w14:paraId="718F0938"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18</w:t>
            </w:r>
          </w:p>
        </w:tc>
        <w:tc>
          <w:tcPr>
            <w:tcW w:w="0" w:type="auto"/>
            <w:tcBorders>
              <w:top w:val="single" w:sz="4" w:space="0" w:color="auto"/>
              <w:bottom w:val="single" w:sz="4" w:space="0" w:color="auto"/>
            </w:tcBorders>
            <w:vAlign w:val="center"/>
          </w:tcPr>
          <w:p w14:paraId="17B25D32"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122.94</w:t>
            </w:r>
          </w:p>
        </w:tc>
        <w:tc>
          <w:tcPr>
            <w:tcW w:w="0" w:type="auto"/>
            <w:tcBorders>
              <w:top w:val="single" w:sz="4" w:space="0" w:color="auto"/>
              <w:bottom w:val="single" w:sz="4" w:space="0" w:color="auto"/>
            </w:tcBorders>
            <w:vAlign w:val="center"/>
          </w:tcPr>
          <w:p w14:paraId="30ADF745"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42.87</w:t>
            </w:r>
          </w:p>
        </w:tc>
        <w:tc>
          <w:tcPr>
            <w:tcW w:w="0" w:type="auto"/>
            <w:tcBorders>
              <w:top w:val="single" w:sz="4" w:space="0" w:color="auto"/>
              <w:bottom w:val="single" w:sz="4" w:space="0" w:color="auto"/>
            </w:tcBorders>
            <w:vAlign w:val="center"/>
          </w:tcPr>
          <w:p w14:paraId="5274CE8F"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w:t>
            </w:r>
          </w:p>
        </w:tc>
        <w:tc>
          <w:tcPr>
            <w:tcW w:w="0" w:type="auto"/>
            <w:tcBorders>
              <w:top w:val="single" w:sz="4" w:space="0" w:color="auto"/>
              <w:bottom w:val="single" w:sz="4" w:space="0" w:color="auto"/>
            </w:tcBorders>
            <w:vAlign w:val="center"/>
          </w:tcPr>
          <w:p w14:paraId="662527AD"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w:t>
            </w:r>
          </w:p>
        </w:tc>
      </w:tr>
      <w:tr w:rsidR="001D798A" w:rsidRPr="00976A6F" w14:paraId="3F69D590" w14:textId="77777777" w:rsidTr="001D798A">
        <w:trPr>
          <w:jc w:val="center"/>
        </w:trPr>
        <w:tc>
          <w:tcPr>
            <w:tcW w:w="0" w:type="auto"/>
            <w:tcBorders>
              <w:top w:val="single" w:sz="4" w:space="0" w:color="auto"/>
            </w:tcBorders>
            <w:vAlign w:val="center"/>
          </w:tcPr>
          <w:p w14:paraId="57B0F33D" w14:textId="77777777" w:rsidR="001D798A" w:rsidRPr="00976A6F" w:rsidRDefault="001D798A" w:rsidP="00383B9F">
            <w:pPr>
              <w:adjustRightInd w:val="0"/>
              <w:snapToGrid w:val="0"/>
              <w:spacing w:line="240" w:lineRule="auto"/>
              <w:jc w:val="center"/>
              <w:rPr>
                <w:rFonts w:ascii="Palatino Linotype" w:eastAsia="Calibri" w:hAnsi="Palatino Linotype"/>
                <w:i/>
                <w:sz w:val="18"/>
                <w:szCs w:val="18"/>
              </w:rPr>
            </w:pPr>
            <w:r w:rsidRPr="00976A6F">
              <w:rPr>
                <w:rFonts w:ascii="Palatino Linotype" w:eastAsia="Calibri" w:hAnsi="Palatino Linotype"/>
                <w:i/>
                <w:sz w:val="18"/>
                <w:szCs w:val="18"/>
              </w:rPr>
              <w:t>National focus</w:t>
            </w:r>
          </w:p>
        </w:tc>
        <w:tc>
          <w:tcPr>
            <w:tcW w:w="0" w:type="auto"/>
            <w:tcBorders>
              <w:top w:val="single" w:sz="4" w:space="0" w:color="auto"/>
            </w:tcBorders>
            <w:vAlign w:val="center"/>
          </w:tcPr>
          <w:p w14:paraId="3A704526"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top w:val="single" w:sz="4" w:space="0" w:color="auto"/>
            </w:tcBorders>
            <w:vAlign w:val="center"/>
          </w:tcPr>
          <w:p w14:paraId="72788DA7"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top w:val="single" w:sz="4" w:space="0" w:color="auto"/>
            </w:tcBorders>
            <w:vAlign w:val="center"/>
          </w:tcPr>
          <w:p w14:paraId="15DF3503"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top w:val="single" w:sz="4" w:space="0" w:color="auto"/>
            </w:tcBorders>
            <w:vAlign w:val="center"/>
          </w:tcPr>
          <w:p w14:paraId="62D54405" w14:textId="50E661BC"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hAnsi="Palatino Linotype"/>
                <w:sz w:val="18"/>
                <w:szCs w:val="18"/>
              </w:rPr>
              <w:t>−</w:t>
            </w:r>
            <w:r w:rsidRPr="00976A6F">
              <w:rPr>
                <w:rFonts w:ascii="Palatino Linotype" w:eastAsia="Calibri" w:hAnsi="Palatino Linotype"/>
                <w:sz w:val="18"/>
                <w:szCs w:val="18"/>
              </w:rPr>
              <w:t>0.05</w:t>
            </w:r>
          </w:p>
        </w:tc>
        <w:tc>
          <w:tcPr>
            <w:tcW w:w="0" w:type="auto"/>
            <w:tcBorders>
              <w:top w:val="single" w:sz="4" w:space="0" w:color="auto"/>
            </w:tcBorders>
            <w:vAlign w:val="center"/>
          </w:tcPr>
          <w:p w14:paraId="2A9F6170"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n.s.</w:t>
            </w:r>
          </w:p>
        </w:tc>
      </w:tr>
      <w:tr w:rsidR="001D798A" w:rsidRPr="00976A6F" w14:paraId="2F64665E" w14:textId="77777777" w:rsidTr="00283CB9">
        <w:trPr>
          <w:jc w:val="center"/>
        </w:trPr>
        <w:tc>
          <w:tcPr>
            <w:tcW w:w="0" w:type="auto"/>
            <w:vAlign w:val="center"/>
          </w:tcPr>
          <w:p w14:paraId="5A32C0EA"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Matches involving England</w:t>
            </w:r>
          </w:p>
        </w:tc>
        <w:tc>
          <w:tcPr>
            <w:tcW w:w="0" w:type="auto"/>
            <w:vAlign w:val="center"/>
          </w:tcPr>
          <w:p w14:paraId="681FB569"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w:t>
            </w:r>
          </w:p>
        </w:tc>
        <w:tc>
          <w:tcPr>
            <w:tcW w:w="0" w:type="auto"/>
            <w:vAlign w:val="center"/>
          </w:tcPr>
          <w:p w14:paraId="698338D6"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120.29</w:t>
            </w:r>
          </w:p>
        </w:tc>
        <w:tc>
          <w:tcPr>
            <w:tcW w:w="0" w:type="auto"/>
            <w:vAlign w:val="center"/>
          </w:tcPr>
          <w:p w14:paraId="6A28466D"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46.35</w:t>
            </w:r>
          </w:p>
        </w:tc>
        <w:tc>
          <w:tcPr>
            <w:tcW w:w="0" w:type="auto"/>
            <w:vAlign w:val="center"/>
          </w:tcPr>
          <w:p w14:paraId="1CF555B6"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vAlign w:val="center"/>
          </w:tcPr>
          <w:p w14:paraId="0AE5DD38"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r>
      <w:tr w:rsidR="001D798A" w:rsidRPr="00976A6F" w14:paraId="551FDEB1" w14:textId="77777777" w:rsidTr="001D798A">
        <w:trPr>
          <w:jc w:val="center"/>
        </w:trPr>
        <w:tc>
          <w:tcPr>
            <w:tcW w:w="0" w:type="auto"/>
            <w:tcBorders>
              <w:bottom w:val="nil"/>
            </w:tcBorders>
            <w:vAlign w:val="center"/>
          </w:tcPr>
          <w:p w14:paraId="39B7E064"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Matches involving other teams</w:t>
            </w:r>
          </w:p>
        </w:tc>
        <w:tc>
          <w:tcPr>
            <w:tcW w:w="0" w:type="auto"/>
            <w:tcBorders>
              <w:bottom w:val="nil"/>
            </w:tcBorders>
            <w:vAlign w:val="center"/>
          </w:tcPr>
          <w:p w14:paraId="5E2837AA"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14</w:t>
            </w:r>
          </w:p>
        </w:tc>
        <w:tc>
          <w:tcPr>
            <w:tcW w:w="0" w:type="auto"/>
            <w:tcBorders>
              <w:bottom w:val="nil"/>
            </w:tcBorders>
            <w:vAlign w:val="center"/>
          </w:tcPr>
          <w:p w14:paraId="51FA1973"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132.25</w:t>
            </w:r>
          </w:p>
        </w:tc>
        <w:tc>
          <w:tcPr>
            <w:tcW w:w="0" w:type="auto"/>
            <w:tcBorders>
              <w:bottom w:val="nil"/>
            </w:tcBorders>
            <w:vAlign w:val="center"/>
          </w:tcPr>
          <w:p w14:paraId="02AF2680"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30.92</w:t>
            </w:r>
          </w:p>
        </w:tc>
        <w:tc>
          <w:tcPr>
            <w:tcW w:w="0" w:type="auto"/>
            <w:tcBorders>
              <w:bottom w:val="nil"/>
            </w:tcBorders>
            <w:vAlign w:val="center"/>
          </w:tcPr>
          <w:p w14:paraId="7494E8F1"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bottom w:val="nil"/>
            </w:tcBorders>
            <w:vAlign w:val="center"/>
          </w:tcPr>
          <w:p w14:paraId="0FB95C8A"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r>
      <w:tr w:rsidR="001D798A" w:rsidRPr="00976A6F" w14:paraId="1EDB45EF" w14:textId="77777777" w:rsidTr="001D798A">
        <w:trPr>
          <w:jc w:val="center"/>
        </w:trPr>
        <w:tc>
          <w:tcPr>
            <w:tcW w:w="0" w:type="auto"/>
            <w:tcBorders>
              <w:top w:val="single" w:sz="4" w:space="0" w:color="auto"/>
            </w:tcBorders>
            <w:vAlign w:val="center"/>
          </w:tcPr>
          <w:p w14:paraId="0676A7F7" w14:textId="77777777" w:rsidR="001D798A" w:rsidRPr="00976A6F" w:rsidRDefault="001D798A" w:rsidP="00383B9F">
            <w:pPr>
              <w:adjustRightInd w:val="0"/>
              <w:snapToGrid w:val="0"/>
              <w:spacing w:line="240" w:lineRule="auto"/>
              <w:jc w:val="center"/>
              <w:rPr>
                <w:rFonts w:ascii="Palatino Linotype" w:eastAsia="Calibri" w:hAnsi="Palatino Linotype"/>
                <w:i/>
                <w:sz w:val="18"/>
                <w:szCs w:val="18"/>
              </w:rPr>
            </w:pPr>
            <w:r w:rsidRPr="00976A6F">
              <w:rPr>
                <w:rFonts w:ascii="Palatino Linotype" w:eastAsia="Calibri" w:hAnsi="Palatino Linotype"/>
                <w:i/>
                <w:sz w:val="18"/>
                <w:szCs w:val="18"/>
              </w:rPr>
              <w:t>Broadcast channel</w:t>
            </w:r>
          </w:p>
        </w:tc>
        <w:tc>
          <w:tcPr>
            <w:tcW w:w="0" w:type="auto"/>
            <w:tcBorders>
              <w:top w:val="single" w:sz="4" w:space="0" w:color="auto"/>
            </w:tcBorders>
            <w:vAlign w:val="center"/>
          </w:tcPr>
          <w:p w14:paraId="1116510D"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top w:val="single" w:sz="4" w:space="0" w:color="auto"/>
            </w:tcBorders>
            <w:vAlign w:val="center"/>
          </w:tcPr>
          <w:p w14:paraId="70771086"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top w:val="single" w:sz="4" w:space="0" w:color="auto"/>
            </w:tcBorders>
            <w:vAlign w:val="center"/>
          </w:tcPr>
          <w:p w14:paraId="22C1D034"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top w:val="single" w:sz="4" w:space="0" w:color="auto"/>
            </w:tcBorders>
            <w:vAlign w:val="center"/>
          </w:tcPr>
          <w:p w14:paraId="10C2D25F" w14:textId="0A2B5E14"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hAnsi="Palatino Linotype"/>
                <w:sz w:val="18"/>
                <w:szCs w:val="18"/>
              </w:rPr>
              <w:t>−</w:t>
            </w:r>
            <w:r w:rsidRPr="00976A6F">
              <w:rPr>
                <w:rFonts w:ascii="Palatino Linotype" w:eastAsia="Calibri" w:hAnsi="Palatino Linotype"/>
                <w:sz w:val="18"/>
                <w:szCs w:val="18"/>
              </w:rPr>
              <w:t>0.56</w:t>
            </w:r>
          </w:p>
        </w:tc>
        <w:tc>
          <w:tcPr>
            <w:tcW w:w="0" w:type="auto"/>
            <w:tcBorders>
              <w:top w:val="single" w:sz="4" w:space="0" w:color="auto"/>
            </w:tcBorders>
            <w:vAlign w:val="center"/>
          </w:tcPr>
          <w:p w14:paraId="1D0D35F2"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n.s.</w:t>
            </w:r>
          </w:p>
        </w:tc>
      </w:tr>
      <w:tr w:rsidR="001D798A" w:rsidRPr="00976A6F" w14:paraId="1B782CE4" w14:textId="77777777" w:rsidTr="001D798A">
        <w:trPr>
          <w:jc w:val="center"/>
        </w:trPr>
        <w:tc>
          <w:tcPr>
            <w:tcW w:w="0" w:type="auto"/>
            <w:tcBorders>
              <w:bottom w:val="nil"/>
            </w:tcBorders>
            <w:vAlign w:val="center"/>
          </w:tcPr>
          <w:p w14:paraId="5D16B6A4"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BBC</w:t>
            </w:r>
          </w:p>
        </w:tc>
        <w:tc>
          <w:tcPr>
            <w:tcW w:w="0" w:type="auto"/>
            <w:tcBorders>
              <w:bottom w:val="nil"/>
            </w:tcBorders>
            <w:vAlign w:val="center"/>
          </w:tcPr>
          <w:p w14:paraId="4B69A318"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7</w:t>
            </w:r>
          </w:p>
        </w:tc>
        <w:tc>
          <w:tcPr>
            <w:tcW w:w="0" w:type="auto"/>
            <w:tcBorders>
              <w:bottom w:val="nil"/>
            </w:tcBorders>
            <w:vAlign w:val="center"/>
          </w:tcPr>
          <w:p w14:paraId="3260B856"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115.71</w:t>
            </w:r>
          </w:p>
        </w:tc>
        <w:tc>
          <w:tcPr>
            <w:tcW w:w="0" w:type="auto"/>
            <w:tcBorders>
              <w:bottom w:val="nil"/>
            </w:tcBorders>
            <w:vAlign w:val="center"/>
          </w:tcPr>
          <w:p w14:paraId="438C8CC4"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49.34</w:t>
            </w:r>
          </w:p>
        </w:tc>
        <w:tc>
          <w:tcPr>
            <w:tcW w:w="0" w:type="auto"/>
            <w:tcBorders>
              <w:bottom w:val="nil"/>
            </w:tcBorders>
            <w:vAlign w:val="center"/>
          </w:tcPr>
          <w:p w14:paraId="7C69317F"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bottom w:val="nil"/>
            </w:tcBorders>
            <w:vAlign w:val="center"/>
          </w:tcPr>
          <w:p w14:paraId="6A9CC681"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r>
      <w:tr w:rsidR="001D798A" w:rsidRPr="00976A6F" w14:paraId="7C147F68" w14:textId="77777777" w:rsidTr="001D798A">
        <w:trPr>
          <w:jc w:val="center"/>
        </w:trPr>
        <w:tc>
          <w:tcPr>
            <w:tcW w:w="0" w:type="auto"/>
            <w:tcBorders>
              <w:top w:val="nil"/>
              <w:bottom w:val="single" w:sz="4" w:space="0" w:color="auto"/>
            </w:tcBorders>
            <w:vAlign w:val="center"/>
          </w:tcPr>
          <w:p w14:paraId="6C5EDB20"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ITV/STV</w:t>
            </w:r>
          </w:p>
        </w:tc>
        <w:tc>
          <w:tcPr>
            <w:tcW w:w="0" w:type="auto"/>
            <w:tcBorders>
              <w:top w:val="nil"/>
              <w:bottom w:val="single" w:sz="4" w:space="0" w:color="auto"/>
            </w:tcBorders>
            <w:vAlign w:val="center"/>
          </w:tcPr>
          <w:p w14:paraId="0E095297"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11</w:t>
            </w:r>
          </w:p>
        </w:tc>
        <w:tc>
          <w:tcPr>
            <w:tcW w:w="0" w:type="auto"/>
            <w:tcBorders>
              <w:top w:val="nil"/>
              <w:bottom w:val="single" w:sz="4" w:space="0" w:color="auto"/>
            </w:tcBorders>
            <w:vAlign w:val="center"/>
          </w:tcPr>
          <w:p w14:paraId="4928C139"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127.55</w:t>
            </w:r>
          </w:p>
        </w:tc>
        <w:tc>
          <w:tcPr>
            <w:tcW w:w="0" w:type="auto"/>
            <w:tcBorders>
              <w:top w:val="nil"/>
              <w:bottom w:val="single" w:sz="4" w:space="0" w:color="auto"/>
            </w:tcBorders>
            <w:vAlign w:val="center"/>
          </w:tcPr>
          <w:p w14:paraId="3B899554"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40.04</w:t>
            </w:r>
          </w:p>
        </w:tc>
        <w:tc>
          <w:tcPr>
            <w:tcW w:w="0" w:type="auto"/>
            <w:tcBorders>
              <w:top w:val="nil"/>
              <w:bottom w:val="single" w:sz="4" w:space="0" w:color="auto"/>
            </w:tcBorders>
            <w:vAlign w:val="center"/>
          </w:tcPr>
          <w:p w14:paraId="3580D2EF"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top w:val="nil"/>
              <w:bottom w:val="single" w:sz="4" w:space="0" w:color="auto"/>
            </w:tcBorders>
            <w:vAlign w:val="center"/>
          </w:tcPr>
          <w:p w14:paraId="2A28D8DE"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r>
      <w:tr w:rsidR="001D798A" w:rsidRPr="00976A6F" w14:paraId="6B50C392" w14:textId="77777777" w:rsidTr="00283CB9">
        <w:trPr>
          <w:jc w:val="center"/>
        </w:trPr>
        <w:tc>
          <w:tcPr>
            <w:tcW w:w="0" w:type="auto"/>
            <w:vAlign w:val="center"/>
          </w:tcPr>
          <w:p w14:paraId="4D365D7F" w14:textId="77777777" w:rsidR="001D798A" w:rsidRPr="00976A6F" w:rsidRDefault="001D798A" w:rsidP="00383B9F">
            <w:pPr>
              <w:adjustRightInd w:val="0"/>
              <w:snapToGrid w:val="0"/>
              <w:spacing w:line="240" w:lineRule="auto"/>
              <w:jc w:val="center"/>
              <w:rPr>
                <w:rFonts w:ascii="Palatino Linotype" w:eastAsia="Calibri" w:hAnsi="Palatino Linotype"/>
                <w:i/>
                <w:sz w:val="18"/>
                <w:szCs w:val="18"/>
              </w:rPr>
            </w:pPr>
            <w:r w:rsidRPr="00976A6F">
              <w:rPr>
                <w:rFonts w:ascii="Palatino Linotype" w:eastAsia="Calibri" w:hAnsi="Palatino Linotype"/>
                <w:i/>
                <w:sz w:val="18"/>
                <w:szCs w:val="18"/>
              </w:rPr>
              <w:t>Day of match</w:t>
            </w:r>
          </w:p>
        </w:tc>
        <w:tc>
          <w:tcPr>
            <w:tcW w:w="0" w:type="auto"/>
            <w:vAlign w:val="center"/>
          </w:tcPr>
          <w:p w14:paraId="39ADA548"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vAlign w:val="center"/>
          </w:tcPr>
          <w:p w14:paraId="0C08ED7A"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vAlign w:val="center"/>
          </w:tcPr>
          <w:p w14:paraId="4D8B1312"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vAlign w:val="center"/>
          </w:tcPr>
          <w:p w14:paraId="7E42F98F"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0.31</w:t>
            </w:r>
          </w:p>
        </w:tc>
        <w:tc>
          <w:tcPr>
            <w:tcW w:w="0" w:type="auto"/>
            <w:vAlign w:val="center"/>
          </w:tcPr>
          <w:p w14:paraId="6A6CCF12"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n.s.</w:t>
            </w:r>
          </w:p>
        </w:tc>
      </w:tr>
      <w:tr w:rsidR="001D798A" w:rsidRPr="00976A6F" w14:paraId="7020E0BC" w14:textId="77777777" w:rsidTr="00283CB9">
        <w:trPr>
          <w:jc w:val="center"/>
        </w:trPr>
        <w:tc>
          <w:tcPr>
            <w:tcW w:w="0" w:type="auto"/>
            <w:vAlign w:val="center"/>
          </w:tcPr>
          <w:p w14:paraId="146BB6AC" w14:textId="750A9C3C"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Weekday (Monday–Thursday)</w:t>
            </w:r>
          </w:p>
        </w:tc>
        <w:tc>
          <w:tcPr>
            <w:tcW w:w="0" w:type="auto"/>
            <w:vAlign w:val="center"/>
          </w:tcPr>
          <w:p w14:paraId="034B9711"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10</w:t>
            </w:r>
          </w:p>
        </w:tc>
        <w:tc>
          <w:tcPr>
            <w:tcW w:w="0" w:type="auto"/>
            <w:vAlign w:val="center"/>
          </w:tcPr>
          <w:p w14:paraId="3E9C8456"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125.80</w:t>
            </w:r>
          </w:p>
        </w:tc>
        <w:tc>
          <w:tcPr>
            <w:tcW w:w="0" w:type="auto"/>
            <w:vAlign w:val="center"/>
          </w:tcPr>
          <w:p w14:paraId="158DB7F8"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35.86</w:t>
            </w:r>
          </w:p>
        </w:tc>
        <w:tc>
          <w:tcPr>
            <w:tcW w:w="0" w:type="auto"/>
            <w:vAlign w:val="center"/>
          </w:tcPr>
          <w:p w14:paraId="7900441D"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vAlign w:val="center"/>
          </w:tcPr>
          <w:p w14:paraId="1A41FA02"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r>
      <w:tr w:rsidR="001D798A" w:rsidRPr="00976A6F" w14:paraId="5AC0CC5F" w14:textId="77777777" w:rsidTr="001D798A">
        <w:trPr>
          <w:jc w:val="center"/>
        </w:trPr>
        <w:tc>
          <w:tcPr>
            <w:tcW w:w="0" w:type="auto"/>
            <w:tcBorders>
              <w:bottom w:val="nil"/>
            </w:tcBorders>
            <w:vAlign w:val="center"/>
          </w:tcPr>
          <w:p w14:paraId="385A8D79" w14:textId="53F0F72A"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Weekend (Friday–Sunday)</w:t>
            </w:r>
          </w:p>
        </w:tc>
        <w:tc>
          <w:tcPr>
            <w:tcW w:w="0" w:type="auto"/>
            <w:tcBorders>
              <w:bottom w:val="nil"/>
            </w:tcBorders>
            <w:vAlign w:val="center"/>
          </w:tcPr>
          <w:p w14:paraId="04F23A7F"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8</w:t>
            </w:r>
          </w:p>
        </w:tc>
        <w:tc>
          <w:tcPr>
            <w:tcW w:w="0" w:type="auto"/>
            <w:tcBorders>
              <w:bottom w:val="nil"/>
            </w:tcBorders>
            <w:vAlign w:val="center"/>
          </w:tcPr>
          <w:p w14:paraId="26160CBD"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119.38</w:t>
            </w:r>
          </w:p>
        </w:tc>
        <w:tc>
          <w:tcPr>
            <w:tcW w:w="0" w:type="auto"/>
            <w:tcBorders>
              <w:bottom w:val="nil"/>
            </w:tcBorders>
            <w:vAlign w:val="center"/>
          </w:tcPr>
          <w:p w14:paraId="36F372FF"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52.75</w:t>
            </w:r>
          </w:p>
        </w:tc>
        <w:tc>
          <w:tcPr>
            <w:tcW w:w="0" w:type="auto"/>
            <w:tcBorders>
              <w:bottom w:val="nil"/>
            </w:tcBorders>
            <w:vAlign w:val="center"/>
          </w:tcPr>
          <w:p w14:paraId="7D6082C0"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bottom w:val="nil"/>
            </w:tcBorders>
            <w:vAlign w:val="center"/>
          </w:tcPr>
          <w:p w14:paraId="7A84FBE7"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r>
      <w:tr w:rsidR="001D798A" w:rsidRPr="00976A6F" w14:paraId="16989B08" w14:textId="77777777" w:rsidTr="001D798A">
        <w:trPr>
          <w:jc w:val="center"/>
        </w:trPr>
        <w:tc>
          <w:tcPr>
            <w:tcW w:w="0" w:type="auto"/>
            <w:tcBorders>
              <w:top w:val="single" w:sz="4" w:space="0" w:color="auto"/>
            </w:tcBorders>
            <w:vAlign w:val="center"/>
          </w:tcPr>
          <w:p w14:paraId="15F495DC" w14:textId="77777777" w:rsidR="001D798A" w:rsidRPr="00976A6F" w:rsidRDefault="001D798A" w:rsidP="00383B9F">
            <w:pPr>
              <w:adjustRightInd w:val="0"/>
              <w:snapToGrid w:val="0"/>
              <w:spacing w:line="240" w:lineRule="auto"/>
              <w:jc w:val="center"/>
              <w:rPr>
                <w:rFonts w:ascii="Palatino Linotype" w:eastAsia="Calibri" w:hAnsi="Palatino Linotype"/>
                <w:i/>
                <w:sz w:val="18"/>
                <w:szCs w:val="18"/>
              </w:rPr>
            </w:pPr>
            <w:r w:rsidRPr="00976A6F">
              <w:rPr>
                <w:rFonts w:ascii="Palatino Linotype" w:eastAsia="Calibri" w:hAnsi="Palatino Linotype"/>
                <w:i/>
                <w:sz w:val="18"/>
                <w:szCs w:val="18"/>
              </w:rPr>
              <w:t>Time of kick off</w:t>
            </w:r>
          </w:p>
        </w:tc>
        <w:tc>
          <w:tcPr>
            <w:tcW w:w="0" w:type="auto"/>
            <w:tcBorders>
              <w:top w:val="single" w:sz="4" w:space="0" w:color="auto"/>
            </w:tcBorders>
            <w:vAlign w:val="center"/>
          </w:tcPr>
          <w:p w14:paraId="6325D1DE"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top w:val="single" w:sz="4" w:space="0" w:color="auto"/>
            </w:tcBorders>
            <w:vAlign w:val="center"/>
          </w:tcPr>
          <w:p w14:paraId="069788FB"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top w:val="single" w:sz="4" w:space="0" w:color="auto"/>
            </w:tcBorders>
            <w:vAlign w:val="center"/>
          </w:tcPr>
          <w:p w14:paraId="7E6EC864"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tcBorders>
              <w:top w:val="single" w:sz="4" w:space="0" w:color="auto"/>
            </w:tcBorders>
            <w:vAlign w:val="center"/>
          </w:tcPr>
          <w:p w14:paraId="61F22B9A"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0.08</w:t>
            </w:r>
          </w:p>
        </w:tc>
        <w:tc>
          <w:tcPr>
            <w:tcW w:w="0" w:type="auto"/>
            <w:tcBorders>
              <w:top w:val="single" w:sz="4" w:space="0" w:color="auto"/>
            </w:tcBorders>
            <w:vAlign w:val="center"/>
          </w:tcPr>
          <w:p w14:paraId="227FA98F"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n.s</w:t>
            </w:r>
          </w:p>
        </w:tc>
      </w:tr>
      <w:tr w:rsidR="001D798A" w:rsidRPr="00976A6F" w14:paraId="28F456A3" w14:textId="77777777" w:rsidTr="00283CB9">
        <w:trPr>
          <w:jc w:val="center"/>
        </w:trPr>
        <w:tc>
          <w:tcPr>
            <w:tcW w:w="0" w:type="auto"/>
            <w:vAlign w:val="center"/>
          </w:tcPr>
          <w:p w14:paraId="778051B4" w14:textId="235B67F8" w:rsidR="001D798A" w:rsidRPr="00976A6F" w:rsidRDefault="001D798A" w:rsidP="00C03B5A">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 xml:space="preserve">Afternoon (14:00 </w:t>
            </w:r>
            <w:r w:rsidR="00C03B5A" w:rsidRPr="00976A6F">
              <w:rPr>
                <w:rFonts w:ascii="Palatino Linotype" w:eastAsia="Calibri" w:hAnsi="Palatino Linotype"/>
                <w:sz w:val="18"/>
                <w:szCs w:val="18"/>
              </w:rPr>
              <w:t xml:space="preserve">and </w:t>
            </w:r>
            <w:r w:rsidRPr="00976A6F">
              <w:rPr>
                <w:rFonts w:ascii="Palatino Linotype" w:eastAsia="Calibri" w:hAnsi="Palatino Linotype"/>
                <w:sz w:val="18"/>
                <w:szCs w:val="18"/>
              </w:rPr>
              <w:t>17:00 GMT)</w:t>
            </w:r>
          </w:p>
        </w:tc>
        <w:tc>
          <w:tcPr>
            <w:tcW w:w="0" w:type="auto"/>
            <w:vAlign w:val="center"/>
          </w:tcPr>
          <w:p w14:paraId="10CB5164"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5</w:t>
            </w:r>
          </w:p>
        </w:tc>
        <w:tc>
          <w:tcPr>
            <w:tcW w:w="0" w:type="auto"/>
            <w:vAlign w:val="center"/>
          </w:tcPr>
          <w:p w14:paraId="4BD74329"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124.20</w:t>
            </w:r>
          </w:p>
        </w:tc>
        <w:tc>
          <w:tcPr>
            <w:tcW w:w="0" w:type="auto"/>
            <w:vAlign w:val="center"/>
          </w:tcPr>
          <w:p w14:paraId="1C385330"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22.11</w:t>
            </w:r>
          </w:p>
        </w:tc>
        <w:tc>
          <w:tcPr>
            <w:tcW w:w="0" w:type="auto"/>
            <w:vAlign w:val="center"/>
          </w:tcPr>
          <w:p w14:paraId="13459934"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vAlign w:val="center"/>
          </w:tcPr>
          <w:p w14:paraId="70132160"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r>
      <w:tr w:rsidR="001D798A" w:rsidRPr="00976A6F" w14:paraId="69C90F13" w14:textId="77777777" w:rsidTr="00283CB9">
        <w:trPr>
          <w:jc w:val="center"/>
        </w:trPr>
        <w:tc>
          <w:tcPr>
            <w:tcW w:w="0" w:type="auto"/>
            <w:vAlign w:val="center"/>
          </w:tcPr>
          <w:p w14:paraId="40AC814F"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Evening (20:00 GMT)</w:t>
            </w:r>
          </w:p>
        </w:tc>
        <w:tc>
          <w:tcPr>
            <w:tcW w:w="0" w:type="auto"/>
            <w:vAlign w:val="center"/>
          </w:tcPr>
          <w:p w14:paraId="34E9823A"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13</w:t>
            </w:r>
          </w:p>
        </w:tc>
        <w:tc>
          <w:tcPr>
            <w:tcW w:w="0" w:type="auto"/>
            <w:vAlign w:val="center"/>
          </w:tcPr>
          <w:p w14:paraId="0F211ABD"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122.46</w:t>
            </w:r>
          </w:p>
        </w:tc>
        <w:tc>
          <w:tcPr>
            <w:tcW w:w="0" w:type="auto"/>
            <w:vAlign w:val="center"/>
          </w:tcPr>
          <w:p w14:paraId="040B80D5"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49.39</w:t>
            </w:r>
          </w:p>
        </w:tc>
        <w:tc>
          <w:tcPr>
            <w:tcW w:w="0" w:type="auto"/>
            <w:vAlign w:val="center"/>
          </w:tcPr>
          <w:p w14:paraId="438CB2AC"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c>
          <w:tcPr>
            <w:tcW w:w="0" w:type="auto"/>
            <w:vAlign w:val="center"/>
          </w:tcPr>
          <w:p w14:paraId="07AF43CF" w14:textId="77777777" w:rsidR="001D798A" w:rsidRPr="00976A6F" w:rsidRDefault="001D798A" w:rsidP="00383B9F">
            <w:pPr>
              <w:adjustRightInd w:val="0"/>
              <w:snapToGrid w:val="0"/>
              <w:spacing w:line="240" w:lineRule="auto"/>
              <w:jc w:val="center"/>
              <w:rPr>
                <w:rFonts w:ascii="Palatino Linotype" w:eastAsia="Calibri" w:hAnsi="Palatino Linotype"/>
                <w:sz w:val="18"/>
                <w:szCs w:val="18"/>
              </w:rPr>
            </w:pPr>
          </w:p>
        </w:tc>
      </w:tr>
    </w:tbl>
    <w:p w14:paraId="6154328D" w14:textId="279A8E44" w:rsidR="00283CB9" w:rsidRPr="00976A6F" w:rsidRDefault="00DE1564" w:rsidP="00DA14AF">
      <w:pPr>
        <w:pStyle w:val="MDPI43tablefooter"/>
        <w:ind w:left="425" w:right="425"/>
        <w:rPr>
          <w:lang w:val="en-GB"/>
        </w:rPr>
      </w:pPr>
      <w:r w:rsidRPr="00976A6F">
        <w:rPr>
          <w:lang w:val="en-GB"/>
        </w:rPr>
        <w:t xml:space="preserve">n.s.: </w:t>
      </w:r>
      <w:r w:rsidR="005978F9" w:rsidRPr="00976A6F">
        <w:rPr>
          <w:lang w:val="en-GB"/>
        </w:rPr>
        <w:t>non-significant</w:t>
      </w:r>
    </w:p>
    <w:p w14:paraId="2E9BD1C1" w14:textId="77777777" w:rsidR="007F0C0B" w:rsidRPr="00976A6F" w:rsidRDefault="007F0C0B" w:rsidP="007F0C0B">
      <w:pPr>
        <w:pStyle w:val="MDPI31text"/>
        <w:rPr>
          <w:lang w:val="en-GB"/>
        </w:rPr>
      </w:pPr>
    </w:p>
    <w:p w14:paraId="76244594" w14:textId="77777777" w:rsidR="003F0DC2" w:rsidRPr="00976A6F" w:rsidRDefault="003F0DC2" w:rsidP="00283CB9">
      <w:pPr>
        <w:pStyle w:val="MDPI22heading2"/>
        <w:rPr>
          <w:noProof w:val="0"/>
          <w:lang w:val="en-GB"/>
        </w:rPr>
      </w:pPr>
      <w:r w:rsidRPr="00976A6F">
        <w:rPr>
          <w:noProof w:val="0"/>
          <w:lang w:val="en-GB"/>
        </w:rPr>
        <w:t>3.2</w:t>
      </w:r>
      <w:r w:rsidR="00283CB9" w:rsidRPr="00976A6F">
        <w:rPr>
          <w:noProof w:val="0"/>
          <w:lang w:val="en-GB"/>
        </w:rPr>
        <w:t>.</w:t>
      </w:r>
      <w:r w:rsidRPr="00976A6F">
        <w:rPr>
          <w:noProof w:val="0"/>
          <w:lang w:val="en-GB"/>
        </w:rPr>
        <w:t xml:space="preserve"> Alcohol </w:t>
      </w:r>
      <w:r w:rsidR="00283CB9" w:rsidRPr="00976A6F">
        <w:rPr>
          <w:noProof w:val="0"/>
          <w:lang w:val="en-GB"/>
        </w:rPr>
        <w:t xml:space="preserve">Marketing References </w:t>
      </w:r>
      <w:r w:rsidRPr="00976A6F">
        <w:rPr>
          <w:noProof w:val="0"/>
          <w:lang w:val="en-GB"/>
        </w:rPr>
        <w:t xml:space="preserve">per </w:t>
      </w:r>
      <w:r w:rsidR="00283CB9" w:rsidRPr="00976A6F">
        <w:rPr>
          <w:noProof w:val="0"/>
          <w:lang w:val="en-GB"/>
        </w:rPr>
        <w:t>Minute</w:t>
      </w:r>
    </w:p>
    <w:p w14:paraId="688E305B" w14:textId="6F507EBF" w:rsidR="003F0DC2" w:rsidRPr="00976A6F" w:rsidRDefault="003F0DC2" w:rsidP="00283CB9">
      <w:pPr>
        <w:pStyle w:val="MDPI31text"/>
        <w:rPr>
          <w:lang w:val="en-GB"/>
        </w:rPr>
      </w:pPr>
      <w:r w:rsidRPr="00976A6F">
        <w:rPr>
          <w:lang w:val="en-GB"/>
        </w:rPr>
        <w:t>The 18 broadcasts provided a total of 55.6 h of footage. The average number of references per minute across the 18 broadcasts was 0.65 (SD = 0.17; range: 0.31</w:t>
      </w:r>
      <w:r w:rsidR="00391850" w:rsidRPr="00976A6F">
        <w:rPr>
          <w:lang w:val="en-GB"/>
        </w:rPr>
        <w:t>–</w:t>
      </w:r>
      <w:r w:rsidRPr="00976A6F">
        <w:rPr>
          <w:lang w:val="en-GB"/>
        </w:rPr>
        <w:t xml:space="preserve">0.87). A paired samples </w:t>
      </w:r>
      <w:r w:rsidRPr="00976A6F">
        <w:rPr>
          <w:i/>
          <w:lang w:val="en-GB"/>
        </w:rPr>
        <w:t>t</w:t>
      </w:r>
      <w:r w:rsidRPr="00976A6F">
        <w:rPr>
          <w:lang w:val="en-GB"/>
        </w:rPr>
        <w:t>-test showed a significant decrease in the average number of references per minute in out-of-play sections (M = 0.52, SD = 0.12) compared to the average number of references per minute during in-play</w:t>
      </w:r>
      <w:r w:rsidR="005978F9" w:rsidRPr="00976A6F">
        <w:rPr>
          <w:lang w:val="en-GB"/>
        </w:rPr>
        <w:t xml:space="preserve"> sections (M = 0.80, SD = 0.29), t (17) = −4.43, </w:t>
      </w:r>
      <w:r w:rsidR="005978F9" w:rsidRPr="00976A6F">
        <w:rPr>
          <w:i/>
          <w:lang w:val="en-GB"/>
        </w:rPr>
        <w:t>p</w:t>
      </w:r>
      <w:r w:rsidR="005978F9" w:rsidRPr="00976A6F">
        <w:rPr>
          <w:lang w:val="en-GB"/>
        </w:rPr>
        <w:t xml:space="preserve"> &lt; 0.001, d = 2.15. The mean difference between out-of-play and in-play sections was −0.28, with a bootstrapped 95% confidence interval of −0.41 to −0.17.</w:t>
      </w:r>
    </w:p>
    <w:p w14:paraId="31E1FAFC" w14:textId="77777777" w:rsidR="003F0DC2" w:rsidRPr="00976A6F" w:rsidRDefault="003F0DC2" w:rsidP="00283CB9">
      <w:pPr>
        <w:pStyle w:val="MDPI22heading2"/>
        <w:rPr>
          <w:noProof w:val="0"/>
          <w:lang w:val="en-GB"/>
        </w:rPr>
      </w:pPr>
      <w:r w:rsidRPr="00976A6F">
        <w:rPr>
          <w:noProof w:val="0"/>
          <w:lang w:val="en-GB"/>
        </w:rPr>
        <w:t>3.3</w:t>
      </w:r>
      <w:r w:rsidR="00283CB9" w:rsidRPr="00976A6F">
        <w:rPr>
          <w:noProof w:val="0"/>
          <w:lang w:val="en-GB"/>
        </w:rPr>
        <w:t>.</w:t>
      </w:r>
      <w:r w:rsidRPr="00976A6F">
        <w:rPr>
          <w:noProof w:val="0"/>
          <w:lang w:val="en-GB"/>
        </w:rPr>
        <w:t xml:space="preserve"> Broadcast </w:t>
      </w:r>
      <w:r w:rsidR="00283CB9" w:rsidRPr="00976A6F">
        <w:rPr>
          <w:noProof w:val="0"/>
          <w:lang w:val="en-GB"/>
        </w:rPr>
        <w:t>Segment</w:t>
      </w:r>
    </w:p>
    <w:p w14:paraId="45666CEA" w14:textId="3A63526F" w:rsidR="0057637A" w:rsidRPr="00976A6F" w:rsidRDefault="003F0DC2" w:rsidP="00283CB9">
      <w:pPr>
        <w:pStyle w:val="MDPI31text"/>
        <w:rPr>
          <w:lang w:val="en-GB"/>
        </w:rPr>
      </w:pPr>
      <w:r w:rsidRPr="00976A6F">
        <w:rPr>
          <w:lang w:val="en-GB"/>
        </w:rPr>
        <w:t>Most references appeared in the first (25.6%) or second halves of standard regulation time (31.6%), followed by the pre-match build-up (16.9%), post-match analysis (11.3%), and half-time discussion (7.5%) (Table 3). Only a small proportion of references were recorded in extra-time (3.9%) and breaks in extra-time (1.2%), as these periods only featured in two of the 18 matches, while penalties only featured in one match (0.3%). Only a small proportion of references feat</w:t>
      </w:r>
      <w:r w:rsidR="008E6865" w:rsidRPr="00976A6F">
        <w:rPr>
          <w:lang w:val="en-GB"/>
        </w:rPr>
        <w:t>ured in commercial breaks (1.7%)</w:t>
      </w:r>
      <w:r w:rsidRPr="00976A6F">
        <w:rPr>
          <w:lang w:val="en-GB"/>
        </w:rPr>
        <w:t xml:space="preserve">, and these periods only occurred in the 11 matches broadcast on ITV/STV (BBC programmes do not include commercial breaks). More references appeared during in-play sections (61.5%) compared to out-of-play sections (38.5%). </w:t>
      </w:r>
    </w:p>
    <w:p w14:paraId="3CECB010" w14:textId="77777777" w:rsidR="007F0C0B" w:rsidRPr="00976A6F" w:rsidRDefault="007F0C0B" w:rsidP="00283CB9">
      <w:pPr>
        <w:pStyle w:val="MDPI31text"/>
        <w:rPr>
          <w:lang w:val="en-GB"/>
        </w:rPr>
      </w:pPr>
    </w:p>
    <w:p w14:paraId="2ACAB0C8" w14:textId="77777777" w:rsidR="007F0C0B" w:rsidRDefault="007F0C0B" w:rsidP="00283CB9">
      <w:pPr>
        <w:pStyle w:val="MDPI31text"/>
        <w:rPr>
          <w:lang w:val="en-GB"/>
        </w:rPr>
      </w:pPr>
    </w:p>
    <w:p w14:paraId="7A615438" w14:textId="77777777" w:rsidR="00976A6F" w:rsidRDefault="00976A6F" w:rsidP="00283CB9">
      <w:pPr>
        <w:pStyle w:val="MDPI31text"/>
        <w:rPr>
          <w:lang w:val="en-GB"/>
        </w:rPr>
      </w:pPr>
    </w:p>
    <w:p w14:paraId="216749B5" w14:textId="77777777" w:rsidR="00976A6F" w:rsidRPr="00976A6F" w:rsidRDefault="00976A6F" w:rsidP="00283CB9">
      <w:pPr>
        <w:pStyle w:val="MDPI31text"/>
        <w:rPr>
          <w:lang w:val="en-GB"/>
        </w:rPr>
      </w:pPr>
    </w:p>
    <w:p w14:paraId="50313F6A" w14:textId="77777777" w:rsidR="0030698C" w:rsidRPr="00976A6F" w:rsidRDefault="0030698C" w:rsidP="0030698C">
      <w:pPr>
        <w:pStyle w:val="MDPI41tablecaption"/>
        <w:jc w:val="center"/>
        <w:rPr>
          <w:lang w:val="en-GB"/>
        </w:rPr>
      </w:pPr>
      <w:r w:rsidRPr="00976A6F">
        <w:rPr>
          <w:rFonts w:eastAsia="Calibri"/>
          <w:b/>
          <w:lang w:val="en-GB"/>
        </w:rPr>
        <w:lastRenderedPageBreak/>
        <w:t>Table 3.</w:t>
      </w:r>
      <w:r w:rsidRPr="00976A6F">
        <w:rPr>
          <w:rFonts w:eastAsia="Calibri"/>
          <w:lang w:val="en-GB"/>
        </w:rPr>
        <w:t xml:space="preserve"> Location of the alcohol references.</w:t>
      </w:r>
    </w:p>
    <w:tbl>
      <w:tblPr>
        <w:tblStyle w:val="TableGrid2"/>
        <w:tblW w:w="3699"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1447"/>
        <w:gridCol w:w="1324"/>
      </w:tblGrid>
      <w:tr w:rsidR="0030698C" w:rsidRPr="00976A6F" w14:paraId="0119EA13" w14:textId="77777777" w:rsidTr="0030698C">
        <w:trPr>
          <w:jc w:val="center"/>
        </w:trPr>
        <w:tc>
          <w:tcPr>
            <w:tcW w:w="2882" w:type="pct"/>
            <w:tcBorders>
              <w:top w:val="single" w:sz="8" w:space="0" w:color="auto"/>
              <w:bottom w:val="single" w:sz="4" w:space="0" w:color="auto"/>
            </w:tcBorders>
            <w:vAlign w:val="center"/>
          </w:tcPr>
          <w:p w14:paraId="0C5AA2F2"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b/>
                <w:sz w:val="20"/>
                <w:szCs w:val="20"/>
              </w:rPr>
              <w:t>Reference Characteristic</w:t>
            </w:r>
          </w:p>
        </w:tc>
        <w:tc>
          <w:tcPr>
            <w:tcW w:w="1106" w:type="pct"/>
            <w:tcBorders>
              <w:top w:val="single" w:sz="8" w:space="0" w:color="auto"/>
              <w:bottom w:val="single" w:sz="4" w:space="0" w:color="auto"/>
            </w:tcBorders>
            <w:vAlign w:val="center"/>
          </w:tcPr>
          <w:p w14:paraId="0C29E4CD" w14:textId="77777777" w:rsidR="0030698C" w:rsidRPr="00976A6F" w:rsidRDefault="0030698C" w:rsidP="0030698C">
            <w:pPr>
              <w:adjustRightInd w:val="0"/>
              <w:snapToGrid w:val="0"/>
              <w:spacing w:line="240" w:lineRule="auto"/>
              <w:jc w:val="center"/>
              <w:rPr>
                <w:rFonts w:ascii="Palatino Linotype" w:eastAsia="Calibri" w:hAnsi="Palatino Linotype"/>
                <w:b/>
                <w:i/>
                <w:sz w:val="20"/>
                <w:szCs w:val="20"/>
              </w:rPr>
            </w:pPr>
            <w:r w:rsidRPr="00976A6F">
              <w:rPr>
                <w:rFonts w:ascii="Palatino Linotype" w:eastAsia="Calibri" w:hAnsi="Palatino Linotype"/>
                <w:b/>
                <w:i/>
                <w:sz w:val="20"/>
                <w:szCs w:val="20"/>
              </w:rPr>
              <w:t>n</w:t>
            </w:r>
          </w:p>
        </w:tc>
        <w:tc>
          <w:tcPr>
            <w:tcW w:w="1012" w:type="pct"/>
            <w:tcBorders>
              <w:top w:val="single" w:sz="8" w:space="0" w:color="auto"/>
              <w:bottom w:val="single" w:sz="4" w:space="0" w:color="auto"/>
            </w:tcBorders>
            <w:vAlign w:val="center"/>
          </w:tcPr>
          <w:p w14:paraId="3E3B3981" w14:textId="77777777" w:rsidR="0030698C" w:rsidRPr="00976A6F" w:rsidRDefault="0030698C" w:rsidP="0030698C">
            <w:pPr>
              <w:adjustRightInd w:val="0"/>
              <w:snapToGrid w:val="0"/>
              <w:spacing w:line="240" w:lineRule="auto"/>
              <w:jc w:val="center"/>
              <w:rPr>
                <w:rFonts w:ascii="Palatino Linotype" w:eastAsia="Calibri" w:hAnsi="Palatino Linotype"/>
                <w:b/>
                <w:sz w:val="20"/>
                <w:szCs w:val="20"/>
              </w:rPr>
            </w:pPr>
            <w:r w:rsidRPr="00976A6F">
              <w:rPr>
                <w:rFonts w:ascii="Palatino Linotype" w:eastAsia="Calibri" w:hAnsi="Palatino Linotype"/>
                <w:b/>
                <w:sz w:val="20"/>
                <w:szCs w:val="20"/>
              </w:rPr>
              <w:t>%</w:t>
            </w:r>
          </w:p>
        </w:tc>
      </w:tr>
      <w:tr w:rsidR="0030698C" w:rsidRPr="00976A6F" w14:paraId="56B3EF3A" w14:textId="77777777" w:rsidTr="0030698C">
        <w:trPr>
          <w:jc w:val="center"/>
        </w:trPr>
        <w:tc>
          <w:tcPr>
            <w:tcW w:w="2882" w:type="pct"/>
            <w:tcBorders>
              <w:top w:val="single" w:sz="4" w:space="0" w:color="auto"/>
              <w:bottom w:val="nil"/>
            </w:tcBorders>
            <w:vAlign w:val="center"/>
          </w:tcPr>
          <w:p w14:paraId="5A359712" w14:textId="77777777" w:rsidR="0030698C" w:rsidRPr="00976A6F" w:rsidRDefault="0030698C" w:rsidP="0030698C">
            <w:pPr>
              <w:adjustRightInd w:val="0"/>
              <w:snapToGrid w:val="0"/>
              <w:spacing w:line="240" w:lineRule="auto"/>
              <w:jc w:val="center"/>
              <w:rPr>
                <w:rFonts w:ascii="Palatino Linotype" w:eastAsia="Calibri" w:hAnsi="Palatino Linotype"/>
                <w:i/>
                <w:sz w:val="20"/>
                <w:szCs w:val="20"/>
              </w:rPr>
            </w:pPr>
            <w:r w:rsidRPr="00976A6F">
              <w:rPr>
                <w:rFonts w:ascii="Palatino Linotype" w:eastAsia="Calibri" w:hAnsi="Palatino Linotype"/>
                <w:i/>
                <w:sz w:val="20"/>
                <w:szCs w:val="20"/>
              </w:rPr>
              <w:t>Broadcast segment</w:t>
            </w:r>
          </w:p>
        </w:tc>
        <w:tc>
          <w:tcPr>
            <w:tcW w:w="1106" w:type="pct"/>
            <w:tcBorders>
              <w:top w:val="single" w:sz="4" w:space="0" w:color="auto"/>
              <w:bottom w:val="nil"/>
            </w:tcBorders>
            <w:vAlign w:val="center"/>
          </w:tcPr>
          <w:p w14:paraId="54F161E9" w14:textId="77777777" w:rsidR="0030698C" w:rsidRPr="00976A6F" w:rsidRDefault="0030698C" w:rsidP="0030698C">
            <w:pPr>
              <w:adjustRightInd w:val="0"/>
              <w:snapToGrid w:val="0"/>
              <w:spacing w:line="240" w:lineRule="auto"/>
              <w:jc w:val="center"/>
              <w:rPr>
                <w:rFonts w:ascii="Palatino Linotype" w:eastAsia="Calibri" w:hAnsi="Palatino Linotype"/>
                <w:i/>
                <w:sz w:val="20"/>
                <w:szCs w:val="20"/>
              </w:rPr>
            </w:pPr>
          </w:p>
        </w:tc>
        <w:tc>
          <w:tcPr>
            <w:tcW w:w="1012" w:type="pct"/>
            <w:tcBorders>
              <w:top w:val="single" w:sz="4" w:space="0" w:color="auto"/>
              <w:bottom w:val="nil"/>
            </w:tcBorders>
            <w:vAlign w:val="center"/>
          </w:tcPr>
          <w:p w14:paraId="4B45FAD1"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p>
        </w:tc>
      </w:tr>
      <w:tr w:rsidR="0030698C" w:rsidRPr="00976A6F" w14:paraId="48FD2221" w14:textId="77777777" w:rsidTr="0030698C">
        <w:trPr>
          <w:jc w:val="center"/>
        </w:trPr>
        <w:tc>
          <w:tcPr>
            <w:tcW w:w="2882" w:type="pct"/>
            <w:tcBorders>
              <w:top w:val="nil"/>
            </w:tcBorders>
            <w:vAlign w:val="center"/>
          </w:tcPr>
          <w:p w14:paraId="4FED72F7"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Pre-match</w:t>
            </w:r>
          </w:p>
        </w:tc>
        <w:tc>
          <w:tcPr>
            <w:tcW w:w="1106" w:type="pct"/>
            <w:tcBorders>
              <w:top w:val="nil"/>
            </w:tcBorders>
            <w:vAlign w:val="center"/>
          </w:tcPr>
          <w:p w14:paraId="636040F9"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374</w:t>
            </w:r>
          </w:p>
        </w:tc>
        <w:tc>
          <w:tcPr>
            <w:tcW w:w="1012" w:type="pct"/>
            <w:tcBorders>
              <w:top w:val="nil"/>
            </w:tcBorders>
            <w:vAlign w:val="center"/>
          </w:tcPr>
          <w:p w14:paraId="7EA98917"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16.9</w:t>
            </w:r>
          </w:p>
        </w:tc>
      </w:tr>
      <w:tr w:rsidR="0030698C" w:rsidRPr="00976A6F" w14:paraId="5564E81D" w14:textId="77777777" w:rsidTr="0030698C">
        <w:trPr>
          <w:jc w:val="center"/>
        </w:trPr>
        <w:tc>
          <w:tcPr>
            <w:tcW w:w="2882" w:type="pct"/>
            <w:vAlign w:val="center"/>
          </w:tcPr>
          <w:p w14:paraId="32131FAF"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First half</w:t>
            </w:r>
          </w:p>
        </w:tc>
        <w:tc>
          <w:tcPr>
            <w:tcW w:w="1106" w:type="pct"/>
            <w:vAlign w:val="center"/>
          </w:tcPr>
          <w:p w14:paraId="22B3524B"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567</w:t>
            </w:r>
          </w:p>
        </w:tc>
        <w:tc>
          <w:tcPr>
            <w:tcW w:w="1012" w:type="pct"/>
            <w:vAlign w:val="center"/>
          </w:tcPr>
          <w:p w14:paraId="5468D94B"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25.6</w:t>
            </w:r>
          </w:p>
        </w:tc>
      </w:tr>
      <w:tr w:rsidR="0030698C" w:rsidRPr="00976A6F" w14:paraId="3129501A" w14:textId="77777777" w:rsidTr="0030698C">
        <w:trPr>
          <w:jc w:val="center"/>
        </w:trPr>
        <w:tc>
          <w:tcPr>
            <w:tcW w:w="2882" w:type="pct"/>
            <w:vAlign w:val="center"/>
          </w:tcPr>
          <w:p w14:paraId="1B298085"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Half-time</w:t>
            </w:r>
          </w:p>
        </w:tc>
        <w:tc>
          <w:tcPr>
            <w:tcW w:w="1106" w:type="pct"/>
            <w:vAlign w:val="center"/>
          </w:tcPr>
          <w:p w14:paraId="22343BF2"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165</w:t>
            </w:r>
          </w:p>
        </w:tc>
        <w:tc>
          <w:tcPr>
            <w:tcW w:w="1012" w:type="pct"/>
            <w:vAlign w:val="center"/>
          </w:tcPr>
          <w:p w14:paraId="48EC6D48"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7.5</w:t>
            </w:r>
          </w:p>
        </w:tc>
      </w:tr>
      <w:tr w:rsidR="0030698C" w:rsidRPr="00976A6F" w14:paraId="7C203AF9" w14:textId="77777777" w:rsidTr="0030698C">
        <w:trPr>
          <w:jc w:val="center"/>
        </w:trPr>
        <w:tc>
          <w:tcPr>
            <w:tcW w:w="2882" w:type="pct"/>
            <w:vAlign w:val="center"/>
          </w:tcPr>
          <w:p w14:paraId="18F2D355"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Second half</w:t>
            </w:r>
          </w:p>
        </w:tc>
        <w:tc>
          <w:tcPr>
            <w:tcW w:w="1106" w:type="pct"/>
            <w:vAlign w:val="center"/>
          </w:tcPr>
          <w:p w14:paraId="36A22E35"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701</w:t>
            </w:r>
          </w:p>
        </w:tc>
        <w:tc>
          <w:tcPr>
            <w:tcW w:w="1012" w:type="pct"/>
            <w:vAlign w:val="center"/>
          </w:tcPr>
          <w:p w14:paraId="06D3884A"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31.6</w:t>
            </w:r>
          </w:p>
        </w:tc>
      </w:tr>
      <w:tr w:rsidR="0030698C" w:rsidRPr="00976A6F" w14:paraId="6CEA7913" w14:textId="77777777" w:rsidTr="0030698C">
        <w:trPr>
          <w:jc w:val="center"/>
        </w:trPr>
        <w:tc>
          <w:tcPr>
            <w:tcW w:w="2882" w:type="pct"/>
            <w:vAlign w:val="center"/>
          </w:tcPr>
          <w:p w14:paraId="7B835638"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Extra time</w:t>
            </w:r>
            <w:r w:rsidRPr="00976A6F">
              <w:rPr>
                <w:rFonts w:ascii="Palatino Linotype" w:eastAsia="Calibri" w:hAnsi="Palatino Linotype"/>
                <w:sz w:val="20"/>
                <w:szCs w:val="20"/>
                <w:vertAlign w:val="superscript"/>
              </w:rPr>
              <w:t xml:space="preserve"> </w:t>
            </w:r>
          </w:p>
        </w:tc>
        <w:tc>
          <w:tcPr>
            <w:tcW w:w="1106" w:type="pct"/>
            <w:vAlign w:val="center"/>
          </w:tcPr>
          <w:p w14:paraId="788F949B"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86</w:t>
            </w:r>
          </w:p>
        </w:tc>
        <w:tc>
          <w:tcPr>
            <w:tcW w:w="1012" w:type="pct"/>
            <w:vAlign w:val="center"/>
          </w:tcPr>
          <w:p w14:paraId="3744FEA9"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3.9</w:t>
            </w:r>
          </w:p>
        </w:tc>
      </w:tr>
      <w:tr w:rsidR="0030698C" w:rsidRPr="00976A6F" w14:paraId="0A9E0557" w14:textId="77777777" w:rsidTr="0030698C">
        <w:trPr>
          <w:jc w:val="center"/>
        </w:trPr>
        <w:tc>
          <w:tcPr>
            <w:tcW w:w="2882" w:type="pct"/>
            <w:vAlign w:val="center"/>
          </w:tcPr>
          <w:p w14:paraId="7A33CC61"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Breaks in extra time</w:t>
            </w:r>
          </w:p>
        </w:tc>
        <w:tc>
          <w:tcPr>
            <w:tcW w:w="1106" w:type="pct"/>
            <w:vAlign w:val="center"/>
          </w:tcPr>
          <w:p w14:paraId="30349675"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27</w:t>
            </w:r>
          </w:p>
        </w:tc>
        <w:tc>
          <w:tcPr>
            <w:tcW w:w="1012" w:type="pct"/>
            <w:vAlign w:val="center"/>
          </w:tcPr>
          <w:p w14:paraId="6C7CCBA9"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1.2</w:t>
            </w:r>
          </w:p>
        </w:tc>
      </w:tr>
      <w:tr w:rsidR="0030698C" w:rsidRPr="00976A6F" w14:paraId="4DE68484" w14:textId="77777777" w:rsidTr="0030698C">
        <w:trPr>
          <w:jc w:val="center"/>
        </w:trPr>
        <w:tc>
          <w:tcPr>
            <w:tcW w:w="2882" w:type="pct"/>
            <w:vAlign w:val="center"/>
          </w:tcPr>
          <w:p w14:paraId="6B3F804B" w14:textId="77777777" w:rsidR="0030698C" w:rsidRPr="00976A6F" w:rsidRDefault="0030698C" w:rsidP="0030698C">
            <w:pPr>
              <w:adjustRightInd w:val="0"/>
              <w:snapToGrid w:val="0"/>
              <w:spacing w:line="240" w:lineRule="auto"/>
              <w:jc w:val="center"/>
              <w:rPr>
                <w:rFonts w:ascii="Palatino Linotype" w:eastAsiaTheme="minorEastAsia" w:hAnsi="Palatino Linotype"/>
                <w:sz w:val="20"/>
                <w:szCs w:val="20"/>
                <w:lang w:eastAsia="zh-CN"/>
              </w:rPr>
            </w:pPr>
            <w:r w:rsidRPr="00976A6F">
              <w:rPr>
                <w:rFonts w:ascii="Palatino Linotype" w:eastAsia="Calibri" w:hAnsi="Palatino Linotype"/>
                <w:sz w:val="20"/>
                <w:szCs w:val="20"/>
              </w:rPr>
              <w:t>Penalties</w:t>
            </w:r>
            <w:r w:rsidRPr="00976A6F">
              <w:rPr>
                <w:rFonts w:ascii="Palatino Linotype" w:eastAsia="Calibri" w:hAnsi="Palatino Linotype"/>
                <w:sz w:val="20"/>
                <w:szCs w:val="20"/>
                <w:vertAlign w:val="superscript"/>
              </w:rPr>
              <w:t xml:space="preserve"> </w:t>
            </w:r>
          </w:p>
        </w:tc>
        <w:tc>
          <w:tcPr>
            <w:tcW w:w="1106" w:type="pct"/>
            <w:vAlign w:val="center"/>
          </w:tcPr>
          <w:p w14:paraId="7E29A518"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7</w:t>
            </w:r>
          </w:p>
        </w:tc>
        <w:tc>
          <w:tcPr>
            <w:tcW w:w="1012" w:type="pct"/>
            <w:vAlign w:val="center"/>
          </w:tcPr>
          <w:p w14:paraId="1EAF80A2"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0.3</w:t>
            </w:r>
          </w:p>
        </w:tc>
      </w:tr>
      <w:tr w:rsidR="0030698C" w:rsidRPr="00976A6F" w14:paraId="4EA86375" w14:textId="77777777" w:rsidTr="0030698C">
        <w:trPr>
          <w:jc w:val="center"/>
        </w:trPr>
        <w:tc>
          <w:tcPr>
            <w:tcW w:w="2882" w:type="pct"/>
            <w:vAlign w:val="center"/>
          </w:tcPr>
          <w:p w14:paraId="1F76A89A"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Post-match</w:t>
            </w:r>
          </w:p>
        </w:tc>
        <w:tc>
          <w:tcPr>
            <w:tcW w:w="1106" w:type="pct"/>
            <w:vAlign w:val="center"/>
          </w:tcPr>
          <w:p w14:paraId="262EDDF6"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249</w:t>
            </w:r>
          </w:p>
        </w:tc>
        <w:tc>
          <w:tcPr>
            <w:tcW w:w="1012" w:type="pct"/>
            <w:vAlign w:val="center"/>
          </w:tcPr>
          <w:p w14:paraId="6F05DAD0"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11.3</w:t>
            </w:r>
          </w:p>
        </w:tc>
      </w:tr>
      <w:tr w:rsidR="0030698C" w:rsidRPr="00976A6F" w14:paraId="0B0EF80A" w14:textId="77777777" w:rsidTr="0030698C">
        <w:trPr>
          <w:jc w:val="center"/>
        </w:trPr>
        <w:tc>
          <w:tcPr>
            <w:tcW w:w="2882" w:type="pct"/>
            <w:vAlign w:val="center"/>
          </w:tcPr>
          <w:p w14:paraId="2CFC701F"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Commercial break</w:t>
            </w:r>
          </w:p>
        </w:tc>
        <w:tc>
          <w:tcPr>
            <w:tcW w:w="1106" w:type="pct"/>
            <w:vAlign w:val="center"/>
          </w:tcPr>
          <w:p w14:paraId="6B662F53"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37</w:t>
            </w:r>
          </w:p>
        </w:tc>
        <w:tc>
          <w:tcPr>
            <w:tcW w:w="1012" w:type="pct"/>
            <w:vAlign w:val="center"/>
          </w:tcPr>
          <w:p w14:paraId="4A3269BB"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1.7</w:t>
            </w:r>
          </w:p>
        </w:tc>
      </w:tr>
      <w:tr w:rsidR="0030698C" w:rsidRPr="00976A6F" w14:paraId="5773D99E" w14:textId="77777777" w:rsidTr="0030698C">
        <w:trPr>
          <w:jc w:val="center"/>
        </w:trPr>
        <w:tc>
          <w:tcPr>
            <w:tcW w:w="2882" w:type="pct"/>
            <w:vAlign w:val="center"/>
          </w:tcPr>
          <w:p w14:paraId="584E4796"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Total in play</w:t>
            </w:r>
          </w:p>
        </w:tc>
        <w:tc>
          <w:tcPr>
            <w:tcW w:w="1106" w:type="pct"/>
            <w:vAlign w:val="center"/>
          </w:tcPr>
          <w:p w14:paraId="4E1D28EC"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1361</w:t>
            </w:r>
          </w:p>
        </w:tc>
        <w:tc>
          <w:tcPr>
            <w:tcW w:w="1012" w:type="pct"/>
            <w:vAlign w:val="center"/>
          </w:tcPr>
          <w:p w14:paraId="4FB7C0FF"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61.5</w:t>
            </w:r>
          </w:p>
        </w:tc>
      </w:tr>
      <w:tr w:rsidR="0030698C" w:rsidRPr="00976A6F" w14:paraId="03A93B79" w14:textId="77777777" w:rsidTr="0030698C">
        <w:trPr>
          <w:jc w:val="center"/>
        </w:trPr>
        <w:tc>
          <w:tcPr>
            <w:tcW w:w="2882" w:type="pct"/>
            <w:tcBorders>
              <w:bottom w:val="single" w:sz="4" w:space="0" w:color="auto"/>
            </w:tcBorders>
            <w:vAlign w:val="center"/>
          </w:tcPr>
          <w:p w14:paraId="12705A38"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Total out of play</w:t>
            </w:r>
          </w:p>
        </w:tc>
        <w:tc>
          <w:tcPr>
            <w:tcW w:w="1106" w:type="pct"/>
            <w:tcBorders>
              <w:bottom w:val="single" w:sz="4" w:space="0" w:color="auto"/>
            </w:tcBorders>
            <w:vAlign w:val="center"/>
          </w:tcPr>
          <w:p w14:paraId="7B41C552"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852</w:t>
            </w:r>
          </w:p>
        </w:tc>
        <w:tc>
          <w:tcPr>
            <w:tcW w:w="1012" w:type="pct"/>
            <w:tcBorders>
              <w:bottom w:val="single" w:sz="4" w:space="0" w:color="auto"/>
            </w:tcBorders>
            <w:vAlign w:val="center"/>
          </w:tcPr>
          <w:p w14:paraId="253BD6B9"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38.5</w:t>
            </w:r>
          </w:p>
        </w:tc>
      </w:tr>
      <w:tr w:rsidR="0030698C" w:rsidRPr="00976A6F" w14:paraId="0FB9033A" w14:textId="77777777" w:rsidTr="0030698C">
        <w:trPr>
          <w:jc w:val="center"/>
        </w:trPr>
        <w:tc>
          <w:tcPr>
            <w:tcW w:w="2882" w:type="pct"/>
            <w:tcBorders>
              <w:top w:val="single" w:sz="4" w:space="0" w:color="auto"/>
              <w:bottom w:val="nil"/>
            </w:tcBorders>
            <w:vAlign w:val="center"/>
          </w:tcPr>
          <w:p w14:paraId="0E5B3048" w14:textId="77777777" w:rsidR="0030698C" w:rsidRPr="00976A6F" w:rsidRDefault="0030698C" w:rsidP="0030698C">
            <w:pPr>
              <w:adjustRightInd w:val="0"/>
              <w:snapToGrid w:val="0"/>
              <w:spacing w:line="240" w:lineRule="auto"/>
              <w:jc w:val="center"/>
              <w:rPr>
                <w:rFonts w:ascii="Palatino Linotype" w:eastAsia="Calibri" w:hAnsi="Palatino Linotype"/>
                <w:i/>
                <w:sz w:val="20"/>
                <w:szCs w:val="20"/>
              </w:rPr>
            </w:pPr>
            <w:r w:rsidRPr="00976A6F">
              <w:rPr>
                <w:rFonts w:ascii="Palatino Linotype" w:eastAsia="Calibri" w:hAnsi="Palatino Linotype"/>
                <w:i/>
                <w:sz w:val="20"/>
                <w:szCs w:val="20"/>
              </w:rPr>
              <w:t>Location in broadcast</w:t>
            </w:r>
          </w:p>
        </w:tc>
        <w:tc>
          <w:tcPr>
            <w:tcW w:w="1106" w:type="pct"/>
            <w:tcBorders>
              <w:top w:val="single" w:sz="4" w:space="0" w:color="auto"/>
              <w:bottom w:val="nil"/>
            </w:tcBorders>
            <w:vAlign w:val="center"/>
          </w:tcPr>
          <w:p w14:paraId="5B57EAC9"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p>
        </w:tc>
        <w:tc>
          <w:tcPr>
            <w:tcW w:w="1012" w:type="pct"/>
            <w:tcBorders>
              <w:top w:val="single" w:sz="4" w:space="0" w:color="auto"/>
              <w:bottom w:val="nil"/>
            </w:tcBorders>
            <w:vAlign w:val="center"/>
          </w:tcPr>
          <w:p w14:paraId="56D6F670"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p>
        </w:tc>
      </w:tr>
      <w:tr w:rsidR="0030698C" w:rsidRPr="00976A6F" w14:paraId="50925732" w14:textId="77777777" w:rsidTr="0030698C">
        <w:trPr>
          <w:jc w:val="center"/>
        </w:trPr>
        <w:tc>
          <w:tcPr>
            <w:tcW w:w="2882" w:type="pct"/>
            <w:tcBorders>
              <w:top w:val="nil"/>
            </w:tcBorders>
            <w:vAlign w:val="center"/>
          </w:tcPr>
          <w:p w14:paraId="47BD880F"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Pitch border</w:t>
            </w:r>
          </w:p>
        </w:tc>
        <w:tc>
          <w:tcPr>
            <w:tcW w:w="1106" w:type="pct"/>
            <w:tcBorders>
              <w:top w:val="nil"/>
            </w:tcBorders>
            <w:vAlign w:val="center"/>
          </w:tcPr>
          <w:p w14:paraId="4D1985EF"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1724</w:t>
            </w:r>
          </w:p>
        </w:tc>
        <w:tc>
          <w:tcPr>
            <w:tcW w:w="1012" w:type="pct"/>
            <w:tcBorders>
              <w:top w:val="nil"/>
            </w:tcBorders>
            <w:vAlign w:val="center"/>
          </w:tcPr>
          <w:p w14:paraId="6733FD89"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77.9</w:t>
            </w:r>
          </w:p>
        </w:tc>
      </w:tr>
      <w:tr w:rsidR="0030698C" w:rsidRPr="00976A6F" w14:paraId="5ED5520C" w14:textId="77777777" w:rsidTr="0030698C">
        <w:trPr>
          <w:jc w:val="center"/>
        </w:trPr>
        <w:tc>
          <w:tcPr>
            <w:tcW w:w="2882" w:type="pct"/>
            <w:vAlign w:val="center"/>
          </w:tcPr>
          <w:p w14:paraId="1927FE9F"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Video Segment</w:t>
            </w:r>
          </w:p>
        </w:tc>
        <w:tc>
          <w:tcPr>
            <w:tcW w:w="1106" w:type="pct"/>
            <w:vAlign w:val="center"/>
          </w:tcPr>
          <w:p w14:paraId="2E5FCAFE"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326</w:t>
            </w:r>
          </w:p>
        </w:tc>
        <w:tc>
          <w:tcPr>
            <w:tcW w:w="1012" w:type="pct"/>
            <w:vAlign w:val="center"/>
          </w:tcPr>
          <w:p w14:paraId="2BFB32B7"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14.7</w:t>
            </w:r>
          </w:p>
        </w:tc>
      </w:tr>
      <w:tr w:rsidR="0030698C" w:rsidRPr="00976A6F" w14:paraId="5A321E91" w14:textId="77777777" w:rsidTr="0030698C">
        <w:trPr>
          <w:jc w:val="center"/>
        </w:trPr>
        <w:tc>
          <w:tcPr>
            <w:tcW w:w="2882" w:type="pct"/>
            <w:vAlign w:val="center"/>
          </w:tcPr>
          <w:p w14:paraId="38B97FB6"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Crowd</w:t>
            </w:r>
          </w:p>
        </w:tc>
        <w:tc>
          <w:tcPr>
            <w:tcW w:w="1106" w:type="pct"/>
            <w:vAlign w:val="center"/>
          </w:tcPr>
          <w:p w14:paraId="3F652B6E"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49</w:t>
            </w:r>
          </w:p>
        </w:tc>
        <w:tc>
          <w:tcPr>
            <w:tcW w:w="1012" w:type="pct"/>
            <w:vAlign w:val="center"/>
          </w:tcPr>
          <w:p w14:paraId="273FEB49"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2.2</w:t>
            </w:r>
          </w:p>
        </w:tc>
      </w:tr>
      <w:tr w:rsidR="0030698C" w:rsidRPr="00976A6F" w14:paraId="30F2F1AC" w14:textId="77777777" w:rsidTr="0030698C">
        <w:trPr>
          <w:jc w:val="center"/>
        </w:trPr>
        <w:tc>
          <w:tcPr>
            <w:tcW w:w="2882" w:type="pct"/>
            <w:vAlign w:val="center"/>
          </w:tcPr>
          <w:p w14:paraId="4FCB92B7"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Interview area</w:t>
            </w:r>
          </w:p>
        </w:tc>
        <w:tc>
          <w:tcPr>
            <w:tcW w:w="1106" w:type="pct"/>
            <w:vAlign w:val="center"/>
          </w:tcPr>
          <w:p w14:paraId="4FC861DA"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44</w:t>
            </w:r>
          </w:p>
        </w:tc>
        <w:tc>
          <w:tcPr>
            <w:tcW w:w="1012" w:type="pct"/>
            <w:vAlign w:val="center"/>
          </w:tcPr>
          <w:p w14:paraId="555ECD33"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2.0</w:t>
            </w:r>
          </w:p>
        </w:tc>
      </w:tr>
      <w:tr w:rsidR="0030698C" w:rsidRPr="00976A6F" w14:paraId="4B3A0444" w14:textId="77777777" w:rsidTr="0030698C">
        <w:trPr>
          <w:jc w:val="center"/>
        </w:trPr>
        <w:tc>
          <w:tcPr>
            <w:tcW w:w="2882" w:type="pct"/>
            <w:vAlign w:val="center"/>
          </w:tcPr>
          <w:p w14:paraId="732E2CA5"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Commercial break</w:t>
            </w:r>
          </w:p>
        </w:tc>
        <w:tc>
          <w:tcPr>
            <w:tcW w:w="1106" w:type="pct"/>
            <w:vAlign w:val="center"/>
          </w:tcPr>
          <w:p w14:paraId="4D73BBFD"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37</w:t>
            </w:r>
          </w:p>
        </w:tc>
        <w:tc>
          <w:tcPr>
            <w:tcW w:w="1012" w:type="pct"/>
            <w:vAlign w:val="center"/>
          </w:tcPr>
          <w:p w14:paraId="6BFFB119"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1.7</w:t>
            </w:r>
          </w:p>
        </w:tc>
      </w:tr>
      <w:tr w:rsidR="0030698C" w:rsidRPr="00976A6F" w14:paraId="260FB0D1" w14:textId="77777777" w:rsidTr="0030698C">
        <w:trPr>
          <w:jc w:val="center"/>
        </w:trPr>
        <w:tc>
          <w:tcPr>
            <w:tcW w:w="2882" w:type="pct"/>
            <w:vAlign w:val="center"/>
          </w:tcPr>
          <w:p w14:paraId="0BC28C08"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Sponsorship lead in</w:t>
            </w:r>
          </w:p>
        </w:tc>
        <w:tc>
          <w:tcPr>
            <w:tcW w:w="1106" w:type="pct"/>
            <w:vAlign w:val="center"/>
          </w:tcPr>
          <w:p w14:paraId="4182D4E4"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19</w:t>
            </w:r>
          </w:p>
        </w:tc>
        <w:tc>
          <w:tcPr>
            <w:tcW w:w="1012" w:type="pct"/>
            <w:vAlign w:val="center"/>
          </w:tcPr>
          <w:p w14:paraId="532DFB54"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0.9</w:t>
            </w:r>
          </w:p>
        </w:tc>
      </w:tr>
      <w:tr w:rsidR="0030698C" w:rsidRPr="00976A6F" w14:paraId="257709F8" w14:textId="77777777" w:rsidTr="0030698C">
        <w:trPr>
          <w:jc w:val="center"/>
        </w:trPr>
        <w:tc>
          <w:tcPr>
            <w:tcW w:w="2882" w:type="pct"/>
            <w:vAlign w:val="center"/>
          </w:tcPr>
          <w:p w14:paraId="42FEF999"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Stadium interior</w:t>
            </w:r>
          </w:p>
        </w:tc>
        <w:tc>
          <w:tcPr>
            <w:tcW w:w="1106" w:type="pct"/>
            <w:vAlign w:val="center"/>
          </w:tcPr>
          <w:p w14:paraId="4ABA3AD9"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13</w:t>
            </w:r>
          </w:p>
        </w:tc>
        <w:tc>
          <w:tcPr>
            <w:tcW w:w="1012" w:type="pct"/>
            <w:vAlign w:val="center"/>
          </w:tcPr>
          <w:p w14:paraId="65706F9F"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0.6</w:t>
            </w:r>
          </w:p>
        </w:tc>
      </w:tr>
      <w:tr w:rsidR="0030698C" w:rsidRPr="00976A6F" w14:paraId="2482EB8D" w14:textId="77777777" w:rsidTr="0030698C">
        <w:trPr>
          <w:jc w:val="center"/>
        </w:trPr>
        <w:tc>
          <w:tcPr>
            <w:tcW w:w="2882" w:type="pct"/>
            <w:vAlign w:val="center"/>
          </w:tcPr>
          <w:p w14:paraId="62C63573"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TV studio</w:t>
            </w:r>
          </w:p>
        </w:tc>
        <w:tc>
          <w:tcPr>
            <w:tcW w:w="1106" w:type="pct"/>
            <w:vAlign w:val="center"/>
          </w:tcPr>
          <w:p w14:paraId="68FD6C1E"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w:t>
            </w:r>
          </w:p>
        </w:tc>
        <w:tc>
          <w:tcPr>
            <w:tcW w:w="1012" w:type="pct"/>
            <w:vAlign w:val="center"/>
          </w:tcPr>
          <w:p w14:paraId="5D29B7F4" w14:textId="77777777" w:rsidR="0030698C" w:rsidRPr="00976A6F" w:rsidRDefault="0030698C" w:rsidP="0030698C">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&lt;0.01</w:t>
            </w:r>
          </w:p>
        </w:tc>
      </w:tr>
    </w:tbl>
    <w:p w14:paraId="056D1EE9" w14:textId="77777777" w:rsidR="003F0DC2" w:rsidRPr="00976A6F" w:rsidRDefault="003F0DC2" w:rsidP="00283CB9">
      <w:pPr>
        <w:pStyle w:val="MDPI22heading2"/>
        <w:rPr>
          <w:noProof w:val="0"/>
          <w:lang w:val="en-GB"/>
        </w:rPr>
      </w:pPr>
      <w:r w:rsidRPr="00976A6F">
        <w:rPr>
          <w:noProof w:val="0"/>
          <w:lang w:val="en-GB"/>
        </w:rPr>
        <w:t>3.4</w:t>
      </w:r>
      <w:r w:rsidR="00283CB9" w:rsidRPr="00976A6F">
        <w:rPr>
          <w:noProof w:val="0"/>
          <w:lang w:val="en-GB"/>
        </w:rPr>
        <w:t>.</w:t>
      </w:r>
      <w:r w:rsidRPr="00976A6F">
        <w:rPr>
          <w:noProof w:val="0"/>
          <w:lang w:val="en-GB"/>
        </w:rPr>
        <w:t xml:space="preserve"> Location in </w:t>
      </w:r>
      <w:r w:rsidR="00283CB9" w:rsidRPr="00976A6F">
        <w:rPr>
          <w:noProof w:val="0"/>
          <w:lang w:val="en-GB"/>
        </w:rPr>
        <w:t>Broadcast</w:t>
      </w:r>
    </w:p>
    <w:p w14:paraId="46477236" w14:textId="77777777" w:rsidR="003F0DC2" w:rsidRPr="00976A6F" w:rsidRDefault="003F0DC2" w:rsidP="00283CB9">
      <w:pPr>
        <w:pStyle w:val="MDPI31text"/>
        <w:rPr>
          <w:lang w:val="en-GB"/>
        </w:rPr>
      </w:pPr>
      <w:r w:rsidRPr="00976A6F">
        <w:rPr>
          <w:lang w:val="en-GB"/>
        </w:rPr>
        <w:t>Most alcohol marketing references appeared around the pitch border of the featured match (77.9%) (Table 3). The second most frequent location was in pre-recorded video segments (14.7%), which included highlights from other matches from the UEFA EURO 2016 tournament, matches from the qualification stages and matches from other tournaments (</w:t>
      </w:r>
      <w:r w:rsidR="00DA14AF" w:rsidRPr="00976A6F">
        <w:rPr>
          <w:lang w:val="en-GB"/>
        </w:rPr>
        <w:t>e.g.,</w:t>
      </w:r>
      <w:r w:rsidRPr="00976A6F">
        <w:rPr>
          <w:lang w:val="en-GB"/>
        </w:rPr>
        <w:t xml:space="preserve"> FIFA World Cups and previous UEFA EURO tournaments). Pitch border advertising was also a common feature in these other matches. </w:t>
      </w:r>
    </w:p>
    <w:p w14:paraId="3DF569D8" w14:textId="77777777" w:rsidR="003F0DC2" w:rsidRPr="00976A6F" w:rsidRDefault="003F0DC2" w:rsidP="00B276D7">
      <w:pPr>
        <w:pStyle w:val="MDPI22heading2"/>
        <w:rPr>
          <w:noProof w:val="0"/>
          <w:lang w:val="en-GB"/>
        </w:rPr>
      </w:pPr>
      <w:r w:rsidRPr="00976A6F">
        <w:rPr>
          <w:noProof w:val="0"/>
          <w:lang w:val="en-GB"/>
        </w:rPr>
        <w:t>3.5</w:t>
      </w:r>
      <w:r w:rsidR="00B276D7" w:rsidRPr="00976A6F">
        <w:rPr>
          <w:noProof w:val="0"/>
          <w:lang w:val="en-GB"/>
        </w:rPr>
        <w:t>.</w:t>
      </w:r>
      <w:r w:rsidRPr="00976A6F">
        <w:rPr>
          <w:noProof w:val="0"/>
          <w:lang w:val="en-GB"/>
        </w:rPr>
        <w:t xml:space="preserve"> Format of </w:t>
      </w:r>
      <w:r w:rsidR="00B276D7" w:rsidRPr="00976A6F">
        <w:rPr>
          <w:noProof w:val="0"/>
          <w:lang w:val="en-GB"/>
        </w:rPr>
        <w:t>Alcohol Marketing References</w:t>
      </w:r>
    </w:p>
    <w:p w14:paraId="0AEA5059" w14:textId="37AE70D0" w:rsidR="003F0DC2" w:rsidRPr="00976A6F" w:rsidRDefault="003F0DC2" w:rsidP="00B276D7">
      <w:pPr>
        <w:pStyle w:val="MDPI31text"/>
        <w:rPr>
          <w:lang w:val="en-GB"/>
        </w:rPr>
      </w:pPr>
      <w:r w:rsidRPr="00976A6F">
        <w:rPr>
          <w:lang w:val="en-GB"/>
        </w:rPr>
        <w:t xml:space="preserve">Almost all references were visual (97.5%). Only a small number were both verbal and visual (2.5%), all of which were sponsorship lead-ins or commercial breaks on ITV/STV. Most references were coded as </w:t>
      </w:r>
      <w:r w:rsidR="00B86E95" w:rsidRPr="00976A6F">
        <w:rPr>
          <w:lang w:val="en-GB"/>
        </w:rPr>
        <w:t>“</w:t>
      </w:r>
      <w:r w:rsidRPr="00976A6F">
        <w:rPr>
          <w:lang w:val="en-GB"/>
        </w:rPr>
        <w:t>Electronic pitch side (all)</w:t>
      </w:r>
      <w:r w:rsidR="00B86E95" w:rsidRPr="00976A6F">
        <w:rPr>
          <w:lang w:val="en-GB"/>
        </w:rPr>
        <w:t>”</w:t>
      </w:r>
      <w:r w:rsidRPr="00976A6F">
        <w:rPr>
          <w:lang w:val="en-GB"/>
        </w:rPr>
        <w:t xml:space="preserve">, (37.9%); </w:t>
      </w:r>
      <w:r w:rsidR="00B86E95" w:rsidRPr="00976A6F">
        <w:rPr>
          <w:lang w:val="en-GB"/>
        </w:rPr>
        <w:t>“</w:t>
      </w:r>
      <w:r w:rsidRPr="00976A6F">
        <w:rPr>
          <w:lang w:val="en-GB"/>
        </w:rPr>
        <w:t>Electronic pitch side (part)</w:t>
      </w:r>
      <w:r w:rsidR="00B86E95" w:rsidRPr="00976A6F">
        <w:rPr>
          <w:lang w:val="en-GB"/>
        </w:rPr>
        <w:t>”</w:t>
      </w:r>
      <w:r w:rsidRPr="00976A6F">
        <w:rPr>
          <w:lang w:val="en-GB"/>
        </w:rPr>
        <w:t xml:space="preserve">, (36.0%); or </w:t>
      </w:r>
      <w:r w:rsidR="00C03B5A" w:rsidRPr="00976A6F">
        <w:rPr>
          <w:lang w:val="en-GB"/>
        </w:rPr>
        <w:t>“</w:t>
      </w:r>
      <w:r w:rsidRPr="00976A6F">
        <w:rPr>
          <w:lang w:val="en-GB"/>
        </w:rPr>
        <w:t>static advertising</w:t>
      </w:r>
      <w:r w:rsidR="00C03B5A" w:rsidRPr="00976A6F">
        <w:rPr>
          <w:lang w:val="en-GB"/>
        </w:rPr>
        <w:t>”</w:t>
      </w:r>
      <w:r w:rsidRPr="00976A6F">
        <w:rPr>
          <w:lang w:val="en-GB"/>
        </w:rPr>
        <w:t xml:space="preserve"> (20.1%) (Table 4). </w:t>
      </w:r>
    </w:p>
    <w:p w14:paraId="09CFB357" w14:textId="77777777" w:rsidR="003F0DC2" w:rsidRPr="00976A6F" w:rsidRDefault="003F0DC2" w:rsidP="00B276D7">
      <w:pPr>
        <w:pStyle w:val="MDPI22heading2"/>
        <w:rPr>
          <w:noProof w:val="0"/>
          <w:lang w:val="en-GB"/>
        </w:rPr>
      </w:pPr>
      <w:r w:rsidRPr="00976A6F">
        <w:rPr>
          <w:noProof w:val="0"/>
          <w:lang w:val="en-GB"/>
        </w:rPr>
        <w:t>3.6</w:t>
      </w:r>
      <w:r w:rsidR="00B276D7" w:rsidRPr="00976A6F">
        <w:rPr>
          <w:noProof w:val="0"/>
          <w:lang w:val="en-GB"/>
        </w:rPr>
        <w:t>.</w:t>
      </w:r>
      <w:r w:rsidRPr="00976A6F">
        <w:rPr>
          <w:noProof w:val="0"/>
          <w:lang w:val="en-GB"/>
        </w:rPr>
        <w:t xml:space="preserve"> Duration of </w:t>
      </w:r>
      <w:r w:rsidR="00B276D7" w:rsidRPr="00976A6F">
        <w:rPr>
          <w:noProof w:val="0"/>
          <w:lang w:val="en-GB"/>
        </w:rPr>
        <w:t>Alcohol Marketing References</w:t>
      </w:r>
    </w:p>
    <w:p w14:paraId="001FB88C" w14:textId="31A15C9D" w:rsidR="003F0DC2" w:rsidRPr="00976A6F" w:rsidRDefault="003F0DC2" w:rsidP="00B276D7">
      <w:pPr>
        <w:pStyle w:val="MDPI31text"/>
        <w:rPr>
          <w:rFonts w:eastAsiaTheme="minorEastAsia"/>
          <w:lang w:val="en-GB" w:eastAsia="zh-CN"/>
        </w:rPr>
      </w:pPr>
      <w:r w:rsidRPr="00976A6F">
        <w:rPr>
          <w:lang w:val="en-GB"/>
        </w:rPr>
        <w:t>The median duration of references was 4.47 s (interquartile range = 2.24</w:t>
      </w:r>
      <w:r w:rsidR="0057637A" w:rsidRPr="00976A6F">
        <w:rPr>
          <w:lang w:val="en-GB"/>
        </w:rPr>
        <w:t>–</w:t>
      </w:r>
      <w:r w:rsidRPr="00976A6F">
        <w:rPr>
          <w:lang w:val="en-GB"/>
        </w:rPr>
        <w:t>9.45). The mode duration was 2 s</w:t>
      </w:r>
      <w:r w:rsidR="00383B9F" w:rsidRPr="00976A6F">
        <w:rPr>
          <w:rFonts w:eastAsiaTheme="minorEastAsia" w:hint="eastAsia"/>
          <w:lang w:val="en-GB" w:eastAsia="zh-CN"/>
        </w:rPr>
        <w:t>.</w:t>
      </w:r>
    </w:p>
    <w:p w14:paraId="5BF77F37" w14:textId="77777777" w:rsidR="003F0DC2" w:rsidRPr="00976A6F" w:rsidRDefault="003F0DC2" w:rsidP="00B276D7">
      <w:pPr>
        <w:pStyle w:val="MDPI22heading2"/>
        <w:rPr>
          <w:noProof w:val="0"/>
          <w:lang w:val="en-GB"/>
        </w:rPr>
      </w:pPr>
      <w:r w:rsidRPr="00976A6F">
        <w:rPr>
          <w:noProof w:val="0"/>
          <w:lang w:val="en-GB"/>
        </w:rPr>
        <w:t>3.7</w:t>
      </w:r>
      <w:r w:rsidR="00B276D7" w:rsidRPr="00976A6F">
        <w:rPr>
          <w:noProof w:val="0"/>
          <w:lang w:val="en-GB"/>
        </w:rPr>
        <w:t>.</w:t>
      </w:r>
      <w:r w:rsidRPr="00976A6F">
        <w:rPr>
          <w:noProof w:val="0"/>
          <w:lang w:val="en-GB"/>
        </w:rPr>
        <w:t xml:space="preserve"> Number of </w:t>
      </w:r>
      <w:r w:rsidR="00B276D7" w:rsidRPr="00976A6F">
        <w:rPr>
          <w:noProof w:val="0"/>
          <w:lang w:val="en-GB"/>
        </w:rPr>
        <w:t xml:space="preserve">Identical Instances Visible </w:t>
      </w:r>
      <w:r w:rsidRPr="00976A6F">
        <w:rPr>
          <w:noProof w:val="0"/>
          <w:lang w:val="en-GB"/>
        </w:rPr>
        <w:t xml:space="preserve">for </w:t>
      </w:r>
      <w:r w:rsidR="00B276D7" w:rsidRPr="00976A6F">
        <w:rPr>
          <w:noProof w:val="0"/>
          <w:lang w:val="en-GB"/>
        </w:rPr>
        <w:t>Each Alcohol Marketing Reference</w:t>
      </w:r>
    </w:p>
    <w:p w14:paraId="40D84F34" w14:textId="3FB570A3" w:rsidR="003F0DC2" w:rsidRPr="00976A6F" w:rsidRDefault="003F0DC2" w:rsidP="00B276D7">
      <w:pPr>
        <w:pStyle w:val="MDPI31text"/>
        <w:rPr>
          <w:lang w:val="en-GB"/>
        </w:rPr>
      </w:pPr>
      <w:r w:rsidRPr="00976A6F">
        <w:rPr>
          <w:lang w:val="en-GB"/>
        </w:rPr>
        <w:t>The median number of identical instances visible alongside each marketing reference was 1.83 (interquartile range = 1.02</w:t>
      </w:r>
      <w:r w:rsidR="00391850" w:rsidRPr="00976A6F">
        <w:rPr>
          <w:lang w:val="en-GB"/>
        </w:rPr>
        <w:t>–</w:t>
      </w:r>
      <w:r w:rsidRPr="00976A6F">
        <w:rPr>
          <w:lang w:val="en-GB"/>
        </w:rPr>
        <w:t>5.17). The mode number of identical instances was 1.</w:t>
      </w:r>
    </w:p>
    <w:p w14:paraId="4563472C" w14:textId="77777777" w:rsidR="003F0DC2" w:rsidRPr="00976A6F" w:rsidRDefault="003F0DC2" w:rsidP="00B276D7">
      <w:pPr>
        <w:pStyle w:val="MDPI22heading2"/>
        <w:rPr>
          <w:noProof w:val="0"/>
          <w:lang w:val="en-GB"/>
        </w:rPr>
      </w:pPr>
      <w:r w:rsidRPr="00976A6F">
        <w:rPr>
          <w:noProof w:val="0"/>
          <w:lang w:val="en-GB"/>
        </w:rPr>
        <w:t>3.8</w:t>
      </w:r>
      <w:r w:rsidR="00B276D7" w:rsidRPr="00976A6F">
        <w:rPr>
          <w:noProof w:val="0"/>
          <w:lang w:val="en-GB"/>
        </w:rPr>
        <w:t>.</w:t>
      </w:r>
      <w:r w:rsidRPr="00976A6F">
        <w:rPr>
          <w:noProof w:val="0"/>
          <w:lang w:val="en-GB"/>
        </w:rPr>
        <w:t xml:space="preserve"> Content of </w:t>
      </w:r>
      <w:r w:rsidR="00B276D7" w:rsidRPr="00976A6F">
        <w:rPr>
          <w:noProof w:val="0"/>
          <w:lang w:val="en-GB"/>
        </w:rPr>
        <w:t xml:space="preserve">Alcohol Marketing References </w:t>
      </w:r>
      <w:r w:rsidRPr="00976A6F">
        <w:rPr>
          <w:noProof w:val="0"/>
          <w:lang w:val="en-GB"/>
        </w:rPr>
        <w:t xml:space="preserve">and </w:t>
      </w:r>
      <w:r w:rsidR="00B276D7" w:rsidRPr="00976A6F">
        <w:rPr>
          <w:noProof w:val="0"/>
          <w:lang w:val="en-GB"/>
        </w:rPr>
        <w:t>Brands Featured</w:t>
      </w:r>
    </w:p>
    <w:p w14:paraId="0CAE2F31" w14:textId="7B1C3EC8" w:rsidR="003F0DC2" w:rsidRPr="00976A6F" w:rsidRDefault="003F0DC2" w:rsidP="00B276D7">
      <w:pPr>
        <w:pStyle w:val="MDPI31text"/>
        <w:rPr>
          <w:lang w:val="en-GB"/>
        </w:rPr>
      </w:pPr>
      <w:r w:rsidRPr="00976A6F">
        <w:rPr>
          <w:lang w:val="en-GB"/>
        </w:rPr>
        <w:t>Only 9.4% of the references were defined as a direct reference to a brand (i.e.</w:t>
      </w:r>
      <w:r w:rsidR="00383B9F" w:rsidRPr="00976A6F">
        <w:rPr>
          <w:lang w:val="en-GB"/>
        </w:rPr>
        <w:t>,</w:t>
      </w:r>
      <w:r w:rsidRPr="00976A6F">
        <w:rPr>
          <w:lang w:val="en-GB"/>
        </w:rPr>
        <w:t xml:space="preserve"> brand name or logo) (Table 4). Nearly two thirds of these direct references were for Carlsberg (60.9%), with the remainder referring to over 26 other alcohol brands (Appendix C). Most direct references appeared </w:t>
      </w:r>
      <w:r w:rsidRPr="00976A6F">
        <w:rPr>
          <w:lang w:val="en-GB"/>
        </w:rPr>
        <w:lastRenderedPageBreak/>
        <w:t>in pre-recorded video segments (49.3%), followed by references in the crowd (23.2%) and commercial breaks (17.9%).</w:t>
      </w:r>
    </w:p>
    <w:p w14:paraId="2E868D2A" w14:textId="4448D789" w:rsidR="00976A6F" w:rsidRDefault="003F0DC2" w:rsidP="00976A6F">
      <w:pPr>
        <w:pStyle w:val="MDPI31text"/>
        <w:rPr>
          <w:lang w:val="en-GB"/>
        </w:rPr>
      </w:pPr>
      <w:r w:rsidRPr="00976A6F">
        <w:rPr>
          <w:lang w:val="en-GB"/>
        </w:rPr>
        <w:t xml:space="preserve">Most references were instead indirect brand references (90.6%). Almost all references recorded as indirect were for Carlsberg (99.9%) and comprised either the single word </w:t>
      </w:r>
      <w:r w:rsidR="00B86E95" w:rsidRPr="00976A6F">
        <w:rPr>
          <w:lang w:val="en-GB"/>
        </w:rPr>
        <w:t>“</w:t>
      </w:r>
      <w:r w:rsidRPr="00976A6F">
        <w:rPr>
          <w:lang w:val="en-GB"/>
        </w:rPr>
        <w:t>Probably</w:t>
      </w:r>
      <w:r w:rsidR="00B86E95" w:rsidRPr="00976A6F">
        <w:rPr>
          <w:lang w:val="en-GB"/>
        </w:rPr>
        <w:t>”</w:t>
      </w:r>
      <w:r w:rsidRPr="00976A6F">
        <w:rPr>
          <w:lang w:val="en-GB"/>
        </w:rPr>
        <w:t xml:space="preserve"> or the phrase </w:t>
      </w:r>
      <w:r w:rsidR="00B86E95" w:rsidRPr="00976A6F">
        <w:rPr>
          <w:lang w:val="en-GB"/>
        </w:rPr>
        <w:t>“</w:t>
      </w:r>
      <w:r w:rsidRPr="00976A6F">
        <w:rPr>
          <w:lang w:val="en-GB"/>
        </w:rPr>
        <w:t>…the best in the world</w:t>
      </w:r>
      <w:r w:rsidR="00B86E95" w:rsidRPr="00976A6F">
        <w:rPr>
          <w:lang w:val="en-GB"/>
        </w:rPr>
        <w:t>”</w:t>
      </w:r>
      <w:r w:rsidRPr="00976A6F">
        <w:rPr>
          <w:lang w:val="en-GB"/>
        </w:rPr>
        <w:t>. In both cases</w:t>
      </w:r>
      <w:r w:rsidR="00C03B5A" w:rsidRPr="00976A6F">
        <w:rPr>
          <w:lang w:val="en-GB"/>
        </w:rPr>
        <w:t>,</w:t>
      </w:r>
      <w:r w:rsidRPr="00976A6F">
        <w:rPr>
          <w:lang w:val="en-GB"/>
        </w:rPr>
        <w:t xml:space="preserve"> the text appeared in white on a dark green background, the colours associated with Carlsberg, and in the same or a very similar font to that used on their brand logo. Most indirect references appeared on the pitch side border (85.8%) or in pre-recorded video segments (including highlights of other matches) (11.2%).</w:t>
      </w:r>
    </w:p>
    <w:p w14:paraId="61373F74" w14:textId="1FC78512" w:rsidR="00976A6F" w:rsidRDefault="00976A6F" w:rsidP="00976A6F">
      <w:pPr>
        <w:pStyle w:val="MDPI41tablecaption"/>
        <w:jc w:val="center"/>
        <w:rPr>
          <w:lang w:val="en-GB"/>
        </w:rPr>
      </w:pPr>
      <w:r w:rsidRPr="00976A6F">
        <w:rPr>
          <w:rFonts w:eastAsia="Calibri"/>
          <w:b/>
          <w:lang w:val="en-GB"/>
        </w:rPr>
        <w:t xml:space="preserve">Table 4. </w:t>
      </w:r>
      <w:r w:rsidRPr="00976A6F">
        <w:rPr>
          <w:rFonts w:eastAsia="Calibri"/>
          <w:lang w:val="en-GB"/>
        </w:rPr>
        <w:t>Format and content of alcohol references.</w:t>
      </w:r>
    </w:p>
    <w:tbl>
      <w:tblPr>
        <w:tblStyle w:val="TableGrid3"/>
        <w:tblW w:w="3687"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1503"/>
        <w:gridCol w:w="1559"/>
      </w:tblGrid>
      <w:tr w:rsidR="00976A6F" w:rsidRPr="00976A6F" w14:paraId="250CA014" w14:textId="77777777" w:rsidTr="004702EA">
        <w:trPr>
          <w:jc w:val="center"/>
        </w:trPr>
        <w:tc>
          <w:tcPr>
            <w:tcW w:w="2653" w:type="pct"/>
            <w:tcBorders>
              <w:top w:val="single" w:sz="8" w:space="0" w:color="auto"/>
              <w:bottom w:val="single" w:sz="4" w:space="0" w:color="auto"/>
            </w:tcBorders>
            <w:shd w:val="clear" w:color="auto" w:fill="auto"/>
            <w:vAlign w:val="center"/>
          </w:tcPr>
          <w:p w14:paraId="14A4A8E3"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b/>
                <w:sz w:val="20"/>
                <w:szCs w:val="20"/>
              </w:rPr>
              <w:t>Reference Characteristics</w:t>
            </w:r>
          </w:p>
        </w:tc>
        <w:tc>
          <w:tcPr>
            <w:tcW w:w="1152" w:type="pct"/>
            <w:tcBorders>
              <w:top w:val="single" w:sz="8" w:space="0" w:color="auto"/>
              <w:bottom w:val="single" w:sz="4" w:space="0" w:color="auto"/>
            </w:tcBorders>
            <w:vAlign w:val="center"/>
          </w:tcPr>
          <w:p w14:paraId="0BEFD1C7" w14:textId="77777777" w:rsidR="00976A6F" w:rsidRPr="00976A6F" w:rsidRDefault="00976A6F" w:rsidP="004702EA">
            <w:pPr>
              <w:adjustRightInd w:val="0"/>
              <w:snapToGrid w:val="0"/>
              <w:spacing w:line="240" w:lineRule="auto"/>
              <w:jc w:val="center"/>
              <w:rPr>
                <w:rFonts w:ascii="Palatino Linotype" w:eastAsia="Calibri" w:hAnsi="Palatino Linotype"/>
                <w:b/>
                <w:i/>
                <w:sz w:val="20"/>
                <w:szCs w:val="20"/>
              </w:rPr>
            </w:pPr>
            <w:r w:rsidRPr="00976A6F">
              <w:rPr>
                <w:rFonts w:ascii="Palatino Linotype" w:eastAsia="Calibri" w:hAnsi="Palatino Linotype"/>
                <w:b/>
                <w:i/>
                <w:sz w:val="20"/>
                <w:szCs w:val="20"/>
              </w:rPr>
              <w:t>n</w:t>
            </w:r>
          </w:p>
        </w:tc>
        <w:tc>
          <w:tcPr>
            <w:tcW w:w="1195" w:type="pct"/>
            <w:tcBorders>
              <w:top w:val="single" w:sz="8" w:space="0" w:color="auto"/>
              <w:bottom w:val="single" w:sz="4" w:space="0" w:color="auto"/>
            </w:tcBorders>
            <w:vAlign w:val="center"/>
          </w:tcPr>
          <w:p w14:paraId="0A4F7372" w14:textId="77777777" w:rsidR="00976A6F" w:rsidRPr="00976A6F" w:rsidRDefault="00976A6F" w:rsidP="004702EA">
            <w:pPr>
              <w:adjustRightInd w:val="0"/>
              <w:snapToGrid w:val="0"/>
              <w:spacing w:line="240" w:lineRule="auto"/>
              <w:jc w:val="center"/>
              <w:rPr>
                <w:rFonts w:ascii="Palatino Linotype" w:eastAsia="Calibri" w:hAnsi="Palatino Linotype"/>
                <w:b/>
                <w:sz w:val="20"/>
                <w:szCs w:val="20"/>
              </w:rPr>
            </w:pPr>
            <w:r w:rsidRPr="00976A6F">
              <w:rPr>
                <w:rFonts w:ascii="Palatino Linotype" w:eastAsia="Calibri" w:hAnsi="Palatino Linotype"/>
                <w:b/>
                <w:sz w:val="20"/>
                <w:szCs w:val="20"/>
              </w:rPr>
              <w:t>%</w:t>
            </w:r>
          </w:p>
        </w:tc>
      </w:tr>
      <w:tr w:rsidR="00976A6F" w:rsidRPr="00976A6F" w14:paraId="53B31B69" w14:textId="77777777" w:rsidTr="004702EA">
        <w:trPr>
          <w:jc w:val="center"/>
        </w:trPr>
        <w:tc>
          <w:tcPr>
            <w:tcW w:w="2653" w:type="pct"/>
            <w:tcBorders>
              <w:top w:val="single" w:sz="4" w:space="0" w:color="auto"/>
              <w:bottom w:val="nil"/>
            </w:tcBorders>
            <w:shd w:val="clear" w:color="auto" w:fill="auto"/>
            <w:vAlign w:val="center"/>
          </w:tcPr>
          <w:p w14:paraId="7065D390" w14:textId="77777777" w:rsidR="00976A6F" w:rsidRPr="00976A6F" w:rsidRDefault="00976A6F" w:rsidP="004702EA">
            <w:pPr>
              <w:adjustRightInd w:val="0"/>
              <w:snapToGrid w:val="0"/>
              <w:spacing w:line="240" w:lineRule="auto"/>
              <w:jc w:val="center"/>
              <w:rPr>
                <w:rFonts w:ascii="Palatino Linotype" w:eastAsia="Calibri" w:hAnsi="Palatino Linotype"/>
                <w:i/>
                <w:sz w:val="20"/>
                <w:szCs w:val="20"/>
              </w:rPr>
            </w:pPr>
            <w:r w:rsidRPr="00976A6F">
              <w:rPr>
                <w:rFonts w:ascii="Palatino Linotype" w:eastAsia="Calibri" w:hAnsi="Palatino Linotype"/>
                <w:i/>
                <w:sz w:val="20"/>
                <w:szCs w:val="20"/>
              </w:rPr>
              <w:t>Format of reference</w:t>
            </w:r>
          </w:p>
        </w:tc>
        <w:tc>
          <w:tcPr>
            <w:tcW w:w="1152" w:type="pct"/>
            <w:tcBorders>
              <w:top w:val="single" w:sz="4" w:space="0" w:color="auto"/>
              <w:bottom w:val="nil"/>
            </w:tcBorders>
            <w:vAlign w:val="center"/>
          </w:tcPr>
          <w:p w14:paraId="0D723347"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p>
        </w:tc>
        <w:tc>
          <w:tcPr>
            <w:tcW w:w="1195" w:type="pct"/>
            <w:tcBorders>
              <w:top w:val="single" w:sz="4" w:space="0" w:color="auto"/>
              <w:bottom w:val="nil"/>
            </w:tcBorders>
            <w:vAlign w:val="center"/>
          </w:tcPr>
          <w:p w14:paraId="7125D6EC"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p>
        </w:tc>
      </w:tr>
      <w:tr w:rsidR="00976A6F" w:rsidRPr="00976A6F" w14:paraId="4D65CA0D" w14:textId="77777777" w:rsidTr="004702EA">
        <w:trPr>
          <w:jc w:val="center"/>
        </w:trPr>
        <w:tc>
          <w:tcPr>
            <w:tcW w:w="2653" w:type="pct"/>
            <w:tcBorders>
              <w:top w:val="nil"/>
            </w:tcBorders>
            <w:shd w:val="clear" w:color="auto" w:fill="auto"/>
            <w:vAlign w:val="center"/>
          </w:tcPr>
          <w:p w14:paraId="192F78C4"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Electronic pitch side (all)</w:t>
            </w:r>
          </w:p>
        </w:tc>
        <w:tc>
          <w:tcPr>
            <w:tcW w:w="1152" w:type="pct"/>
            <w:tcBorders>
              <w:top w:val="nil"/>
            </w:tcBorders>
            <w:vAlign w:val="center"/>
          </w:tcPr>
          <w:p w14:paraId="4D38C714"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838</w:t>
            </w:r>
          </w:p>
        </w:tc>
        <w:tc>
          <w:tcPr>
            <w:tcW w:w="1195" w:type="pct"/>
            <w:tcBorders>
              <w:top w:val="nil"/>
            </w:tcBorders>
            <w:vAlign w:val="center"/>
          </w:tcPr>
          <w:p w14:paraId="163A15DF"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37.9</w:t>
            </w:r>
          </w:p>
        </w:tc>
      </w:tr>
      <w:tr w:rsidR="00976A6F" w:rsidRPr="00976A6F" w14:paraId="4D278DC7" w14:textId="77777777" w:rsidTr="004702EA">
        <w:trPr>
          <w:jc w:val="center"/>
        </w:trPr>
        <w:tc>
          <w:tcPr>
            <w:tcW w:w="2653" w:type="pct"/>
            <w:shd w:val="clear" w:color="auto" w:fill="auto"/>
            <w:vAlign w:val="center"/>
          </w:tcPr>
          <w:p w14:paraId="55053DD9"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Electronic pitch side (part)</w:t>
            </w:r>
          </w:p>
        </w:tc>
        <w:tc>
          <w:tcPr>
            <w:tcW w:w="1152" w:type="pct"/>
            <w:vAlign w:val="center"/>
          </w:tcPr>
          <w:p w14:paraId="4522819A"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797</w:t>
            </w:r>
          </w:p>
        </w:tc>
        <w:tc>
          <w:tcPr>
            <w:tcW w:w="1195" w:type="pct"/>
            <w:vAlign w:val="center"/>
          </w:tcPr>
          <w:p w14:paraId="57D2CDA1"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36.0</w:t>
            </w:r>
          </w:p>
        </w:tc>
      </w:tr>
      <w:tr w:rsidR="00976A6F" w:rsidRPr="00976A6F" w14:paraId="15394700" w14:textId="77777777" w:rsidTr="004702EA">
        <w:trPr>
          <w:jc w:val="center"/>
        </w:trPr>
        <w:tc>
          <w:tcPr>
            <w:tcW w:w="2653" w:type="pct"/>
            <w:shd w:val="clear" w:color="auto" w:fill="auto"/>
            <w:vAlign w:val="center"/>
          </w:tcPr>
          <w:p w14:paraId="0176E18A"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Static advertising</w:t>
            </w:r>
          </w:p>
        </w:tc>
        <w:tc>
          <w:tcPr>
            <w:tcW w:w="1152" w:type="pct"/>
            <w:vAlign w:val="center"/>
          </w:tcPr>
          <w:p w14:paraId="48B7213B"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445</w:t>
            </w:r>
          </w:p>
        </w:tc>
        <w:tc>
          <w:tcPr>
            <w:tcW w:w="1195" w:type="pct"/>
            <w:vAlign w:val="center"/>
          </w:tcPr>
          <w:p w14:paraId="3482B3D2"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20.1</w:t>
            </w:r>
          </w:p>
        </w:tc>
      </w:tr>
      <w:tr w:rsidR="00976A6F" w:rsidRPr="00976A6F" w14:paraId="0F96C258" w14:textId="77777777" w:rsidTr="004702EA">
        <w:trPr>
          <w:jc w:val="center"/>
        </w:trPr>
        <w:tc>
          <w:tcPr>
            <w:tcW w:w="2653" w:type="pct"/>
            <w:shd w:val="clear" w:color="auto" w:fill="auto"/>
            <w:vAlign w:val="center"/>
          </w:tcPr>
          <w:p w14:paraId="516577F5"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Branded merchandise</w:t>
            </w:r>
          </w:p>
        </w:tc>
        <w:tc>
          <w:tcPr>
            <w:tcW w:w="1152" w:type="pct"/>
            <w:vAlign w:val="center"/>
          </w:tcPr>
          <w:p w14:paraId="3CB7CB3E"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56</w:t>
            </w:r>
          </w:p>
        </w:tc>
        <w:tc>
          <w:tcPr>
            <w:tcW w:w="1195" w:type="pct"/>
            <w:vAlign w:val="center"/>
          </w:tcPr>
          <w:p w14:paraId="71FCF02C"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2.5</w:t>
            </w:r>
          </w:p>
        </w:tc>
      </w:tr>
      <w:tr w:rsidR="00976A6F" w:rsidRPr="00976A6F" w14:paraId="2143BF4F" w14:textId="77777777" w:rsidTr="004702EA">
        <w:trPr>
          <w:jc w:val="center"/>
        </w:trPr>
        <w:tc>
          <w:tcPr>
            <w:tcW w:w="2653" w:type="pct"/>
            <w:shd w:val="clear" w:color="auto" w:fill="auto"/>
            <w:vAlign w:val="center"/>
          </w:tcPr>
          <w:p w14:paraId="25AA7546"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Commercial break</w:t>
            </w:r>
          </w:p>
        </w:tc>
        <w:tc>
          <w:tcPr>
            <w:tcW w:w="1152" w:type="pct"/>
            <w:vAlign w:val="center"/>
          </w:tcPr>
          <w:p w14:paraId="1761C6F7"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37</w:t>
            </w:r>
          </w:p>
        </w:tc>
        <w:tc>
          <w:tcPr>
            <w:tcW w:w="1195" w:type="pct"/>
            <w:vAlign w:val="center"/>
          </w:tcPr>
          <w:p w14:paraId="1D1A9E9D"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1.7</w:t>
            </w:r>
          </w:p>
        </w:tc>
      </w:tr>
      <w:tr w:rsidR="00976A6F" w:rsidRPr="00976A6F" w14:paraId="3C38D34E" w14:textId="77777777" w:rsidTr="004702EA">
        <w:trPr>
          <w:jc w:val="center"/>
        </w:trPr>
        <w:tc>
          <w:tcPr>
            <w:tcW w:w="2653" w:type="pct"/>
            <w:shd w:val="clear" w:color="auto" w:fill="auto"/>
            <w:vAlign w:val="center"/>
          </w:tcPr>
          <w:p w14:paraId="3F0EFE1C"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Sponsorship lead-in</w:t>
            </w:r>
          </w:p>
        </w:tc>
        <w:tc>
          <w:tcPr>
            <w:tcW w:w="1152" w:type="pct"/>
            <w:vAlign w:val="center"/>
          </w:tcPr>
          <w:p w14:paraId="3D374BCB"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19</w:t>
            </w:r>
          </w:p>
        </w:tc>
        <w:tc>
          <w:tcPr>
            <w:tcW w:w="1195" w:type="pct"/>
            <w:vAlign w:val="center"/>
          </w:tcPr>
          <w:p w14:paraId="0D637980"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0.9</w:t>
            </w:r>
          </w:p>
        </w:tc>
      </w:tr>
      <w:tr w:rsidR="00976A6F" w:rsidRPr="00976A6F" w14:paraId="30B12DB8" w14:textId="77777777" w:rsidTr="004702EA">
        <w:trPr>
          <w:jc w:val="center"/>
        </w:trPr>
        <w:tc>
          <w:tcPr>
            <w:tcW w:w="2653" w:type="pct"/>
            <w:shd w:val="clear" w:color="auto" w:fill="auto"/>
            <w:vAlign w:val="center"/>
          </w:tcPr>
          <w:p w14:paraId="6B0F2CD4"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Product or packaging</w:t>
            </w:r>
          </w:p>
        </w:tc>
        <w:tc>
          <w:tcPr>
            <w:tcW w:w="1152" w:type="pct"/>
            <w:vAlign w:val="center"/>
          </w:tcPr>
          <w:p w14:paraId="4037A485"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17</w:t>
            </w:r>
          </w:p>
        </w:tc>
        <w:tc>
          <w:tcPr>
            <w:tcW w:w="1195" w:type="pct"/>
            <w:vAlign w:val="center"/>
          </w:tcPr>
          <w:p w14:paraId="31AF648C"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0.8</w:t>
            </w:r>
          </w:p>
        </w:tc>
      </w:tr>
      <w:tr w:rsidR="00976A6F" w:rsidRPr="00976A6F" w14:paraId="1C4EEB8F" w14:textId="77777777" w:rsidTr="004702EA">
        <w:trPr>
          <w:jc w:val="center"/>
        </w:trPr>
        <w:tc>
          <w:tcPr>
            <w:tcW w:w="2653" w:type="pct"/>
            <w:tcBorders>
              <w:bottom w:val="single" w:sz="4" w:space="0" w:color="auto"/>
            </w:tcBorders>
            <w:shd w:val="clear" w:color="auto" w:fill="auto"/>
            <w:vAlign w:val="center"/>
          </w:tcPr>
          <w:p w14:paraId="1833C409"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Other</w:t>
            </w:r>
          </w:p>
        </w:tc>
        <w:tc>
          <w:tcPr>
            <w:tcW w:w="1152" w:type="pct"/>
            <w:tcBorders>
              <w:bottom w:val="single" w:sz="4" w:space="0" w:color="auto"/>
            </w:tcBorders>
            <w:vAlign w:val="center"/>
          </w:tcPr>
          <w:p w14:paraId="14F45F18"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4</w:t>
            </w:r>
          </w:p>
        </w:tc>
        <w:tc>
          <w:tcPr>
            <w:tcW w:w="1195" w:type="pct"/>
            <w:tcBorders>
              <w:bottom w:val="single" w:sz="4" w:space="0" w:color="auto"/>
            </w:tcBorders>
            <w:vAlign w:val="center"/>
          </w:tcPr>
          <w:p w14:paraId="7DF0DCAE"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0.1</w:t>
            </w:r>
          </w:p>
        </w:tc>
      </w:tr>
      <w:tr w:rsidR="00976A6F" w:rsidRPr="00976A6F" w14:paraId="41F029DC" w14:textId="77777777" w:rsidTr="004702EA">
        <w:trPr>
          <w:jc w:val="center"/>
        </w:trPr>
        <w:tc>
          <w:tcPr>
            <w:tcW w:w="2653" w:type="pct"/>
            <w:tcBorders>
              <w:top w:val="single" w:sz="4" w:space="0" w:color="auto"/>
              <w:bottom w:val="nil"/>
            </w:tcBorders>
            <w:shd w:val="clear" w:color="auto" w:fill="auto"/>
            <w:vAlign w:val="center"/>
          </w:tcPr>
          <w:p w14:paraId="1AAF999A" w14:textId="77777777" w:rsidR="00976A6F" w:rsidRPr="00976A6F" w:rsidRDefault="00976A6F" w:rsidP="004702EA">
            <w:pPr>
              <w:adjustRightInd w:val="0"/>
              <w:snapToGrid w:val="0"/>
              <w:spacing w:line="240" w:lineRule="auto"/>
              <w:jc w:val="center"/>
              <w:rPr>
                <w:rFonts w:ascii="Palatino Linotype" w:eastAsia="Calibri" w:hAnsi="Palatino Linotype"/>
                <w:i/>
                <w:sz w:val="20"/>
                <w:szCs w:val="20"/>
              </w:rPr>
            </w:pPr>
            <w:r w:rsidRPr="00976A6F">
              <w:rPr>
                <w:rFonts w:ascii="Palatino Linotype" w:eastAsia="Calibri" w:hAnsi="Palatino Linotype"/>
                <w:i/>
                <w:sz w:val="20"/>
                <w:szCs w:val="20"/>
              </w:rPr>
              <w:t>Type of reference</w:t>
            </w:r>
          </w:p>
        </w:tc>
        <w:tc>
          <w:tcPr>
            <w:tcW w:w="1152" w:type="pct"/>
            <w:tcBorders>
              <w:top w:val="single" w:sz="4" w:space="0" w:color="auto"/>
              <w:bottom w:val="nil"/>
            </w:tcBorders>
            <w:vAlign w:val="center"/>
          </w:tcPr>
          <w:p w14:paraId="5DA47BD1"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p>
        </w:tc>
        <w:tc>
          <w:tcPr>
            <w:tcW w:w="1195" w:type="pct"/>
            <w:tcBorders>
              <w:top w:val="single" w:sz="4" w:space="0" w:color="auto"/>
              <w:bottom w:val="nil"/>
            </w:tcBorders>
            <w:vAlign w:val="center"/>
          </w:tcPr>
          <w:p w14:paraId="0A2ED6B9"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p>
        </w:tc>
      </w:tr>
      <w:tr w:rsidR="00976A6F" w:rsidRPr="00976A6F" w14:paraId="630A4F95" w14:textId="77777777" w:rsidTr="004702EA">
        <w:trPr>
          <w:jc w:val="center"/>
        </w:trPr>
        <w:tc>
          <w:tcPr>
            <w:tcW w:w="2653" w:type="pct"/>
            <w:tcBorders>
              <w:top w:val="nil"/>
            </w:tcBorders>
            <w:shd w:val="clear" w:color="auto" w:fill="auto"/>
            <w:vAlign w:val="center"/>
          </w:tcPr>
          <w:p w14:paraId="3582AEAB"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Visual only</w:t>
            </w:r>
          </w:p>
        </w:tc>
        <w:tc>
          <w:tcPr>
            <w:tcW w:w="1152" w:type="pct"/>
            <w:tcBorders>
              <w:top w:val="nil"/>
            </w:tcBorders>
            <w:vAlign w:val="center"/>
          </w:tcPr>
          <w:p w14:paraId="7173B67A"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2157</w:t>
            </w:r>
          </w:p>
        </w:tc>
        <w:tc>
          <w:tcPr>
            <w:tcW w:w="1195" w:type="pct"/>
            <w:tcBorders>
              <w:top w:val="nil"/>
            </w:tcBorders>
            <w:vAlign w:val="center"/>
          </w:tcPr>
          <w:p w14:paraId="7F2C56C9"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97.5</w:t>
            </w:r>
          </w:p>
        </w:tc>
      </w:tr>
      <w:tr w:rsidR="00976A6F" w:rsidRPr="00976A6F" w14:paraId="0FDF8C48" w14:textId="77777777" w:rsidTr="004702EA">
        <w:trPr>
          <w:jc w:val="center"/>
        </w:trPr>
        <w:tc>
          <w:tcPr>
            <w:tcW w:w="2653" w:type="pct"/>
            <w:tcBorders>
              <w:bottom w:val="single" w:sz="4" w:space="0" w:color="auto"/>
            </w:tcBorders>
            <w:shd w:val="clear" w:color="auto" w:fill="auto"/>
            <w:vAlign w:val="center"/>
          </w:tcPr>
          <w:p w14:paraId="1D9BFCFE"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Verbal and visual</w:t>
            </w:r>
          </w:p>
        </w:tc>
        <w:tc>
          <w:tcPr>
            <w:tcW w:w="1152" w:type="pct"/>
            <w:tcBorders>
              <w:bottom w:val="single" w:sz="4" w:space="0" w:color="auto"/>
            </w:tcBorders>
            <w:vAlign w:val="center"/>
          </w:tcPr>
          <w:p w14:paraId="04456B67"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56</w:t>
            </w:r>
          </w:p>
        </w:tc>
        <w:tc>
          <w:tcPr>
            <w:tcW w:w="1195" w:type="pct"/>
            <w:tcBorders>
              <w:bottom w:val="single" w:sz="4" w:space="0" w:color="auto"/>
            </w:tcBorders>
            <w:vAlign w:val="center"/>
          </w:tcPr>
          <w:p w14:paraId="7635FAB3"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2.5</w:t>
            </w:r>
          </w:p>
        </w:tc>
      </w:tr>
      <w:tr w:rsidR="00976A6F" w:rsidRPr="00976A6F" w14:paraId="45A56B65" w14:textId="77777777" w:rsidTr="004702EA">
        <w:trPr>
          <w:jc w:val="center"/>
        </w:trPr>
        <w:tc>
          <w:tcPr>
            <w:tcW w:w="2653" w:type="pct"/>
            <w:tcBorders>
              <w:top w:val="single" w:sz="4" w:space="0" w:color="auto"/>
              <w:bottom w:val="nil"/>
            </w:tcBorders>
            <w:shd w:val="clear" w:color="auto" w:fill="auto"/>
            <w:vAlign w:val="center"/>
          </w:tcPr>
          <w:p w14:paraId="0E156553" w14:textId="77777777" w:rsidR="00976A6F" w:rsidRPr="00976A6F" w:rsidRDefault="00976A6F" w:rsidP="004702EA">
            <w:pPr>
              <w:adjustRightInd w:val="0"/>
              <w:snapToGrid w:val="0"/>
              <w:spacing w:line="240" w:lineRule="auto"/>
              <w:jc w:val="center"/>
              <w:rPr>
                <w:rFonts w:ascii="Palatino Linotype" w:eastAsia="Calibri" w:hAnsi="Palatino Linotype"/>
                <w:i/>
                <w:sz w:val="20"/>
                <w:szCs w:val="20"/>
              </w:rPr>
            </w:pPr>
            <w:r w:rsidRPr="00976A6F">
              <w:rPr>
                <w:rFonts w:ascii="Palatino Linotype" w:eastAsia="Calibri" w:hAnsi="Palatino Linotype"/>
                <w:i/>
                <w:sz w:val="20"/>
                <w:szCs w:val="20"/>
              </w:rPr>
              <w:t>Nature of reference</w:t>
            </w:r>
          </w:p>
        </w:tc>
        <w:tc>
          <w:tcPr>
            <w:tcW w:w="1152" w:type="pct"/>
            <w:tcBorders>
              <w:top w:val="single" w:sz="4" w:space="0" w:color="auto"/>
              <w:bottom w:val="nil"/>
            </w:tcBorders>
            <w:vAlign w:val="center"/>
          </w:tcPr>
          <w:p w14:paraId="65DCD959"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p>
        </w:tc>
        <w:tc>
          <w:tcPr>
            <w:tcW w:w="1195" w:type="pct"/>
            <w:tcBorders>
              <w:top w:val="single" w:sz="4" w:space="0" w:color="auto"/>
              <w:bottom w:val="nil"/>
            </w:tcBorders>
            <w:vAlign w:val="center"/>
          </w:tcPr>
          <w:p w14:paraId="648B0E03"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p>
        </w:tc>
      </w:tr>
      <w:tr w:rsidR="00976A6F" w:rsidRPr="00976A6F" w14:paraId="18ECA571" w14:textId="77777777" w:rsidTr="004702EA">
        <w:trPr>
          <w:jc w:val="center"/>
        </w:trPr>
        <w:tc>
          <w:tcPr>
            <w:tcW w:w="2653" w:type="pct"/>
            <w:tcBorders>
              <w:top w:val="nil"/>
            </w:tcBorders>
            <w:shd w:val="clear" w:color="auto" w:fill="auto"/>
            <w:vAlign w:val="center"/>
          </w:tcPr>
          <w:p w14:paraId="7615E784"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Indirect reference</w:t>
            </w:r>
          </w:p>
        </w:tc>
        <w:tc>
          <w:tcPr>
            <w:tcW w:w="1152" w:type="pct"/>
            <w:tcBorders>
              <w:top w:val="nil"/>
            </w:tcBorders>
            <w:vAlign w:val="center"/>
          </w:tcPr>
          <w:p w14:paraId="415FAD63"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2006</w:t>
            </w:r>
          </w:p>
        </w:tc>
        <w:tc>
          <w:tcPr>
            <w:tcW w:w="1195" w:type="pct"/>
            <w:tcBorders>
              <w:top w:val="nil"/>
            </w:tcBorders>
            <w:vAlign w:val="center"/>
          </w:tcPr>
          <w:p w14:paraId="0E8B8150"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90.6</w:t>
            </w:r>
          </w:p>
        </w:tc>
      </w:tr>
      <w:tr w:rsidR="00976A6F" w:rsidRPr="00976A6F" w14:paraId="4F12C112" w14:textId="77777777" w:rsidTr="004702EA">
        <w:trPr>
          <w:jc w:val="center"/>
        </w:trPr>
        <w:tc>
          <w:tcPr>
            <w:tcW w:w="2653" w:type="pct"/>
            <w:tcBorders>
              <w:bottom w:val="single" w:sz="4" w:space="0" w:color="auto"/>
            </w:tcBorders>
            <w:shd w:val="clear" w:color="auto" w:fill="auto"/>
            <w:vAlign w:val="center"/>
          </w:tcPr>
          <w:p w14:paraId="4993AF8D"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Direct reference</w:t>
            </w:r>
          </w:p>
        </w:tc>
        <w:tc>
          <w:tcPr>
            <w:tcW w:w="1152" w:type="pct"/>
            <w:tcBorders>
              <w:bottom w:val="single" w:sz="4" w:space="0" w:color="auto"/>
            </w:tcBorders>
            <w:vAlign w:val="center"/>
          </w:tcPr>
          <w:p w14:paraId="41C28359"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207</w:t>
            </w:r>
          </w:p>
        </w:tc>
        <w:tc>
          <w:tcPr>
            <w:tcW w:w="1195" w:type="pct"/>
            <w:tcBorders>
              <w:bottom w:val="single" w:sz="4" w:space="0" w:color="auto"/>
            </w:tcBorders>
            <w:vAlign w:val="center"/>
          </w:tcPr>
          <w:p w14:paraId="5E35BFFA"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9.4</w:t>
            </w:r>
          </w:p>
        </w:tc>
      </w:tr>
      <w:tr w:rsidR="00976A6F" w:rsidRPr="00976A6F" w14:paraId="78F891B8" w14:textId="77777777" w:rsidTr="004702EA">
        <w:trPr>
          <w:jc w:val="center"/>
        </w:trPr>
        <w:tc>
          <w:tcPr>
            <w:tcW w:w="2653" w:type="pct"/>
            <w:tcBorders>
              <w:top w:val="single" w:sz="4" w:space="0" w:color="auto"/>
              <w:bottom w:val="nil"/>
            </w:tcBorders>
            <w:shd w:val="clear" w:color="auto" w:fill="auto"/>
            <w:vAlign w:val="center"/>
          </w:tcPr>
          <w:p w14:paraId="1D85B4EB" w14:textId="77777777" w:rsidR="00976A6F" w:rsidRPr="00976A6F" w:rsidRDefault="00976A6F" w:rsidP="004702EA">
            <w:pPr>
              <w:adjustRightInd w:val="0"/>
              <w:snapToGrid w:val="0"/>
              <w:spacing w:line="240" w:lineRule="auto"/>
              <w:jc w:val="center"/>
              <w:rPr>
                <w:rFonts w:ascii="Palatino Linotype" w:eastAsia="Calibri" w:hAnsi="Palatino Linotype"/>
                <w:i/>
                <w:sz w:val="20"/>
                <w:szCs w:val="20"/>
              </w:rPr>
            </w:pPr>
            <w:r w:rsidRPr="00976A6F">
              <w:rPr>
                <w:rFonts w:ascii="Palatino Linotype" w:eastAsia="Calibri" w:hAnsi="Palatino Linotype"/>
                <w:i/>
                <w:sz w:val="20"/>
                <w:szCs w:val="20"/>
              </w:rPr>
              <w:t>Alcohol brands featured</w:t>
            </w:r>
          </w:p>
        </w:tc>
        <w:tc>
          <w:tcPr>
            <w:tcW w:w="1152" w:type="pct"/>
            <w:tcBorders>
              <w:top w:val="single" w:sz="4" w:space="0" w:color="auto"/>
              <w:bottom w:val="nil"/>
            </w:tcBorders>
            <w:vAlign w:val="center"/>
          </w:tcPr>
          <w:p w14:paraId="2D7A6BFF"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p>
        </w:tc>
        <w:tc>
          <w:tcPr>
            <w:tcW w:w="1195" w:type="pct"/>
            <w:tcBorders>
              <w:top w:val="single" w:sz="4" w:space="0" w:color="auto"/>
              <w:bottom w:val="nil"/>
            </w:tcBorders>
            <w:vAlign w:val="center"/>
          </w:tcPr>
          <w:p w14:paraId="4C8DDA32"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p>
        </w:tc>
      </w:tr>
      <w:tr w:rsidR="00976A6F" w:rsidRPr="00976A6F" w14:paraId="54635148" w14:textId="77777777" w:rsidTr="004702EA">
        <w:trPr>
          <w:jc w:val="center"/>
        </w:trPr>
        <w:tc>
          <w:tcPr>
            <w:tcW w:w="2653" w:type="pct"/>
            <w:tcBorders>
              <w:top w:val="nil"/>
            </w:tcBorders>
            <w:shd w:val="clear" w:color="auto" w:fill="auto"/>
            <w:vAlign w:val="center"/>
          </w:tcPr>
          <w:p w14:paraId="72FB2CB6"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Carlsberg</w:t>
            </w:r>
          </w:p>
        </w:tc>
        <w:tc>
          <w:tcPr>
            <w:tcW w:w="1152" w:type="pct"/>
            <w:tcBorders>
              <w:top w:val="nil"/>
            </w:tcBorders>
            <w:vAlign w:val="center"/>
          </w:tcPr>
          <w:p w14:paraId="28EF3F79"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2129</w:t>
            </w:r>
          </w:p>
        </w:tc>
        <w:tc>
          <w:tcPr>
            <w:tcW w:w="1195" w:type="pct"/>
            <w:tcBorders>
              <w:top w:val="nil"/>
            </w:tcBorders>
            <w:vAlign w:val="center"/>
          </w:tcPr>
          <w:p w14:paraId="7D62DA72"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96.2</w:t>
            </w:r>
          </w:p>
        </w:tc>
      </w:tr>
      <w:tr w:rsidR="00976A6F" w:rsidRPr="00976A6F" w14:paraId="60FEEAE7" w14:textId="77777777" w:rsidTr="004702EA">
        <w:trPr>
          <w:jc w:val="center"/>
        </w:trPr>
        <w:tc>
          <w:tcPr>
            <w:tcW w:w="2653" w:type="pct"/>
            <w:vAlign w:val="center"/>
          </w:tcPr>
          <w:p w14:paraId="01321964"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Other</w:t>
            </w:r>
          </w:p>
        </w:tc>
        <w:tc>
          <w:tcPr>
            <w:tcW w:w="1152" w:type="pct"/>
            <w:vAlign w:val="center"/>
          </w:tcPr>
          <w:p w14:paraId="7A04C9D2"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84</w:t>
            </w:r>
          </w:p>
        </w:tc>
        <w:tc>
          <w:tcPr>
            <w:tcW w:w="1195" w:type="pct"/>
            <w:vAlign w:val="center"/>
          </w:tcPr>
          <w:p w14:paraId="24BF7BD9" w14:textId="77777777" w:rsidR="00976A6F" w:rsidRPr="00976A6F" w:rsidRDefault="00976A6F" w:rsidP="004702EA">
            <w:pPr>
              <w:adjustRightInd w:val="0"/>
              <w:snapToGrid w:val="0"/>
              <w:spacing w:line="240" w:lineRule="auto"/>
              <w:jc w:val="center"/>
              <w:rPr>
                <w:rFonts w:ascii="Palatino Linotype" w:eastAsia="Calibri" w:hAnsi="Palatino Linotype"/>
                <w:sz w:val="20"/>
                <w:szCs w:val="20"/>
              </w:rPr>
            </w:pPr>
            <w:r w:rsidRPr="00976A6F">
              <w:rPr>
                <w:rFonts w:ascii="Palatino Linotype" w:eastAsia="Calibri" w:hAnsi="Palatino Linotype"/>
                <w:sz w:val="20"/>
                <w:szCs w:val="20"/>
              </w:rPr>
              <w:t>3.8</w:t>
            </w:r>
          </w:p>
        </w:tc>
      </w:tr>
    </w:tbl>
    <w:p w14:paraId="1F8A3875" w14:textId="77777777" w:rsidR="00976A6F" w:rsidRPr="00976A6F" w:rsidRDefault="00976A6F" w:rsidP="00383B9F">
      <w:pPr>
        <w:pStyle w:val="MDPI31text"/>
        <w:rPr>
          <w:lang w:val="en-GB"/>
        </w:rPr>
      </w:pPr>
    </w:p>
    <w:p w14:paraId="48F4D2B7" w14:textId="77777777" w:rsidR="003F0DC2" w:rsidRPr="00976A6F" w:rsidRDefault="003F0DC2" w:rsidP="00383B9F">
      <w:pPr>
        <w:pStyle w:val="MDPI21heading1"/>
        <w:rPr>
          <w:lang w:val="en-GB"/>
        </w:rPr>
      </w:pPr>
      <w:r w:rsidRPr="00976A6F">
        <w:rPr>
          <w:lang w:val="en-GB"/>
        </w:rPr>
        <w:t>4. Discussion</w:t>
      </w:r>
    </w:p>
    <w:p w14:paraId="7344A572" w14:textId="0D44D052" w:rsidR="003F0DC2" w:rsidRPr="00976A6F" w:rsidRDefault="003F0DC2" w:rsidP="00B276D7">
      <w:pPr>
        <w:pStyle w:val="MDPI31text"/>
        <w:rPr>
          <w:lang w:val="en-GB"/>
        </w:rPr>
      </w:pPr>
      <w:r w:rsidRPr="00976A6F">
        <w:rPr>
          <w:lang w:val="en-GB"/>
        </w:rPr>
        <w:t xml:space="preserve">This study found a high volume of alcohol marketing in UK broadcasts of the UEFA EURO 2016 football tournament, with an average of 122 references per broadcast and average of 0.65 per broadcast minute. This is consistent with previous research </w:t>
      </w:r>
      <w:r w:rsidR="00C03B5A" w:rsidRPr="00976A6F">
        <w:rPr>
          <w:lang w:val="en-GB"/>
        </w:rPr>
        <w:t xml:space="preserve">that </w:t>
      </w:r>
      <w:r w:rsidRPr="00976A6F">
        <w:rPr>
          <w:lang w:val="en-GB"/>
        </w:rPr>
        <w:t>has suggested that alcohol marketing does feature frequently in broadcasts of international football tournaments [16,23]. This study builds on previous research by providing greater insight into the design of marketing, how and where it appeared (</w:t>
      </w:r>
      <w:r w:rsidR="00DA14AF" w:rsidRPr="00976A6F">
        <w:rPr>
          <w:lang w:val="en-GB"/>
        </w:rPr>
        <w:t>e.g.,</w:t>
      </w:r>
      <w:r w:rsidRPr="00976A6F">
        <w:rPr>
          <w:lang w:val="en-GB"/>
        </w:rPr>
        <w:t xml:space="preserve"> duration, location and the number of identical references), and the nature of the marketing message (</w:t>
      </w:r>
      <w:r w:rsidR="00DA14AF" w:rsidRPr="00976A6F">
        <w:rPr>
          <w:lang w:val="en-GB"/>
        </w:rPr>
        <w:t>e.g.,</w:t>
      </w:r>
      <w:r w:rsidRPr="00976A6F">
        <w:rPr>
          <w:lang w:val="en-GB"/>
        </w:rPr>
        <w:t xml:space="preserve"> whether the reference to a brand was direct or indirect). </w:t>
      </w:r>
    </w:p>
    <w:p w14:paraId="2B8C06FE" w14:textId="23F88998" w:rsidR="003F0DC2" w:rsidRPr="00976A6F" w:rsidRDefault="003F0DC2" w:rsidP="00B276D7">
      <w:pPr>
        <w:pStyle w:val="MDPI31text"/>
        <w:rPr>
          <w:lang w:val="en-GB"/>
        </w:rPr>
      </w:pPr>
      <w:r w:rsidRPr="00976A6F">
        <w:rPr>
          <w:lang w:val="en-GB"/>
        </w:rPr>
        <w:t xml:space="preserve">There was no difference in the number of alcohol marketing references across different broadcasts, including on weekdays versus weekends or matches involving England compared to those involving other teams. Notably, the volume of alcohol marketing was consistent regardless of whether the match was broadcast on a channel that does not carry advertising or sponsorship to remain independent from commercial interests [28] or a channel whose programming is primarily funded by advertising [29]. This can be explained by the broadcasts on the non-commercial channel showing video segments </w:t>
      </w:r>
      <w:r w:rsidR="00C03B5A" w:rsidRPr="00976A6F">
        <w:rPr>
          <w:lang w:val="en-GB"/>
        </w:rPr>
        <w:t xml:space="preserve">that </w:t>
      </w:r>
      <w:r w:rsidRPr="00976A6F">
        <w:rPr>
          <w:lang w:val="en-GB"/>
        </w:rPr>
        <w:t>featured examples of alcohol marketing instead of commercial advertising breaks. There was also no difference for the volume of alcohol marketing for broadcasts in the afternoon (</w:t>
      </w:r>
      <w:r w:rsidR="00DA14AF" w:rsidRPr="00976A6F">
        <w:rPr>
          <w:lang w:val="en-GB"/>
        </w:rPr>
        <w:t>e.g.,</w:t>
      </w:r>
      <w:r w:rsidRPr="00976A6F">
        <w:rPr>
          <w:lang w:val="en-GB"/>
        </w:rPr>
        <w:t xml:space="preserve"> 14:00 or 17:00 GMT) compared to the evening. This is important as more young people may have watched the games with an earlier start time, with anecdotal evidence suggesting that some schools allowed students to watch high-profile matches during school hours [30] or suggestions that some employers screened matches to staff to improve working morale [31]. That the </w:t>
      </w:r>
      <w:r w:rsidRPr="00976A6F">
        <w:rPr>
          <w:lang w:val="en-GB"/>
        </w:rPr>
        <w:lastRenderedPageBreak/>
        <w:t>volume of marketing was consistently high across the tournament is therefore consistent with suggested concerns that sport sponsorship may help to normalise alcohol consumption [32,33]</w:t>
      </w:r>
      <w:r w:rsidR="00383B9F" w:rsidRPr="00976A6F">
        <w:rPr>
          <w:lang w:val="en-GB"/>
        </w:rPr>
        <w:t>.</w:t>
      </w:r>
    </w:p>
    <w:p w14:paraId="35F50C6D" w14:textId="328866A0" w:rsidR="003F0DC2" w:rsidRPr="00976A6F" w:rsidRDefault="003F0DC2" w:rsidP="00B276D7">
      <w:pPr>
        <w:pStyle w:val="MDPI31text"/>
        <w:rPr>
          <w:lang w:val="en-GB"/>
        </w:rPr>
      </w:pPr>
      <w:r w:rsidRPr="00976A6F">
        <w:rPr>
          <w:lang w:val="en-GB"/>
        </w:rPr>
        <w:t xml:space="preserve">A unique characteristic of this study is that it examined references at an international football tournament held in France, a country with restrictive alcohol marketing regulations. In the early stages of coding it was identified that broadcast footage of each match was identical across the three countries. We confirmed this by obtaining recordings from matches broadcast in both France and Ireland and conducting a detailed comparison of in-match footage from broadcasts in both France (England versus Russia) and Ireland (Ireland versus Sweden) with the same matches as broadcast in the UK. This was consistent with press coverage explaining that international broadcasters joined the </w:t>
      </w:r>
      <w:r w:rsidR="00B86E95" w:rsidRPr="00976A6F">
        <w:rPr>
          <w:lang w:val="en-GB"/>
        </w:rPr>
        <w:t>“</w:t>
      </w:r>
      <w:r w:rsidRPr="00976A6F">
        <w:rPr>
          <w:lang w:val="en-GB"/>
        </w:rPr>
        <w:t>world feed</w:t>
      </w:r>
      <w:r w:rsidR="00B86E95" w:rsidRPr="00976A6F">
        <w:rPr>
          <w:lang w:val="en-GB"/>
        </w:rPr>
        <w:t>”</w:t>
      </w:r>
      <w:r w:rsidRPr="00976A6F">
        <w:rPr>
          <w:lang w:val="en-GB"/>
        </w:rPr>
        <w:t xml:space="preserve"> supplied by UEFA’s International Broadcast Centre and overlaid their own commentary </w:t>
      </w:r>
      <w:r w:rsidR="0089740D" w:rsidRPr="00976A6F">
        <w:rPr>
          <w:lang w:val="en-GB"/>
        </w:rPr>
        <w:t>[34–36</w:t>
      </w:r>
      <w:r w:rsidRPr="00976A6F">
        <w:rPr>
          <w:lang w:val="en-GB"/>
        </w:rPr>
        <w:t>]. Therefore, in-play footage for all matches was the same in all three countries whereas the out-of-play sections (</w:t>
      </w:r>
      <w:r w:rsidR="00DA14AF" w:rsidRPr="00976A6F">
        <w:rPr>
          <w:lang w:val="en-GB"/>
        </w:rPr>
        <w:t>e.g.,</w:t>
      </w:r>
      <w:r w:rsidRPr="00976A6F">
        <w:rPr>
          <w:lang w:val="en-GB"/>
        </w:rPr>
        <w:t xml:space="preserve"> pre-match and post-match studio discussions) were different. The results</w:t>
      </w:r>
      <w:r w:rsidR="00C03B5A" w:rsidRPr="00976A6F">
        <w:rPr>
          <w:lang w:val="en-GB"/>
        </w:rPr>
        <w:t>,</w:t>
      </w:r>
      <w:r w:rsidRPr="00976A6F">
        <w:rPr>
          <w:lang w:val="en-GB"/>
        </w:rPr>
        <w:t xml:space="preserve"> however, indicate that alcohol companies were able to circumvent the regulations to ensure alcohol marketing references were present at the tournament, despite the Loi Évin prohibiting marketing through sport sponsorship [11,12]. Instead marketing references were frequently reported in high-profile locations throughout broadcasts, in particular on electronic pitch side advertising during the match when the audience size is likely to be at its peak. Despite frequent presence, however, almost all marketing references were indirect in nature. In such references, no brand name or logo appeared but the brand was still identifiable from other signifiers such as phrases from the brand slogan, colours and typeface used. This suggests that the Loi Évin had an impact on the presence of alcohol marketing at the tournament, by ensuring brand names were for the most part not shown, but still represents a circumvention of the regulations as these references were paid-for media as part of the sponsorship rights afforded to Carlsberg. </w:t>
      </w:r>
    </w:p>
    <w:p w14:paraId="14EA7663" w14:textId="77777777" w:rsidR="003F0DC2" w:rsidRPr="00976A6F" w:rsidRDefault="003F0DC2" w:rsidP="00B276D7">
      <w:pPr>
        <w:pStyle w:val="MDPI31text"/>
        <w:rPr>
          <w:lang w:val="en-GB"/>
        </w:rPr>
      </w:pPr>
      <w:r w:rsidRPr="00976A6F">
        <w:rPr>
          <w:lang w:val="en-GB"/>
        </w:rPr>
        <w:t xml:space="preserve">Although it was indirect references that appeared most frequently and in highly visible locations, the results also show that subtle and consumer-endorsed marketing practices were used to directly promote alcohol brands during the tournament, particularly through merchandise or products in the stadium crowds. Such references present unique challenges to enforcing marketing regulations because, although they are intentional marketing, their appearance in broadcasts is underpinned by individual consumer decisions. For example, during the tournament Carlsberg’s Icelandic distributor reportedly arranged to sell customized Iceland national team shirts with the brand’s logo prominent </w:t>
      </w:r>
      <w:r w:rsidR="0089740D" w:rsidRPr="00976A6F">
        <w:rPr>
          <w:lang w:val="en-GB"/>
        </w:rPr>
        <w:t>[37,38</w:t>
      </w:r>
      <w:r w:rsidRPr="00976A6F">
        <w:rPr>
          <w:lang w:val="en-GB"/>
        </w:rPr>
        <w:t>]. These branded shirts then featured prominently on supporters in the crowds during broadcasts of high-profile matches, including those of particular interest to UK audiences (England versus Iceland) and audiences in the host country (France versus Iceland). Other examples included branded beer cups (as a 0.5% version of Carlsberg was available in the stadiums), replica football jerseys for football clubs which have an alcohol sponsor (</w:t>
      </w:r>
      <w:r w:rsidR="00DA14AF" w:rsidRPr="00976A6F">
        <w:rPr>
          <w:lang w:val="en-GB"/>
        </w:rPr>
        <w:t>e.g.,</w:t>
      </w:r>
      <w:r w:rsidRPr="00976A6F">
        <w:rPr>
          <w:lang w:val="en-GB"/>
        </w:rPr>
        <w:t xml:space="preserve"> an Everton shirt with Chang beer), and Carlsberg-branded wigs with hair coloured to match nations’ flags. </w:t>
      </w:r>
    </w:p>
    <w:p w14:paraId="01CC5DB4" w14:textId="26F11981" w:rsidR="003F0DC2" w:rsidRPr="00976A6F" w:rsidRDefault="003F0DC2" w:rsidP="00B276D7">
      <w:pPr>
        <w:pStyle w:val="MDPI31text"/>
        <w:rPr>
          <w:lang w:val="en-GB"/>
        </w:rPr>
      </w:pPr>
      <w:r w:rsidRPr="00976A6F">
        <w:rPr>
          <w:lang w:val="en-GB"/>
        </w:rPr>
        <w:t xml:space="preserve">The Loi Évin has had previous success in restricting alcohol marketing in sports tournaments, including the 1998 FIFA World Cup [39] and 2007 Rugby World Cup [40]. Despite these previous tough stances, there is recent evidence of indirect alcohol marketing appearing again at sporting events in France. This has been achieved through </w:t>
      </w:r>
      <w:r w:rsidR="00B86E95" w:rsidRPr="00976A6F">
        <w:rPr>
          <w:lang w:val="en-GB"/>
        </w:rPr>
        <w:t>“</w:t>
      </w:r>
      <w:r w:rsidRPr="00976A6F">
        <w:rPr>
          <w:lang w:val="en-GB"/>
        </w:rPr>
        <w:t>alibi marketing</w:t>
      </w:r>
      <w:r w:rsidR="00B86E95" w:rsidRPr="00976A6F">
        <w:rPr>
          <w:lang w:val="en-GB"/>
        </w:rPr>
        <w:t>”</w:t>
      </w:r>
      <w:r w:rsidRPr="00976A6F">
        <w:rPr>
          <w:lang w:val="en-GB"/>
        </w:rPr>
        <w:t xml:space="preserve">, a practice </w:t>
      </w:r>
      <w:r w:rsidR="00C03B5A" w:rsidRPr="00976A6F">
        <w:rPr>
          <w:lang w:val="en-GB"/>
        </w:rPr>
        <w:t xml:space="preserve">that </w:t>
      </w:r>
      <w:r w:rsidRPr="00976A6F">
        <w:rPr>
          <w:lang w:val="en-GB"/>
        </w:rPr>
        <w:t xml:space="preserve">emerged in the 1990s to promote tobacco products within </w:t>
      </w:r>
      <w:r w:rsidR="00B86E95" w:rsidRPr="00976A6F">
        <w:rPr>
          <w:lang w:val="en-GB"/>
        </w:rPr>
        <w:t>“</w:t>
      </w:r>
      <w:r w:rsidRPr="00976A6F">
        <w:rPr>
          <w:lang w:val="en-GB"/>
        </w:rPr>
        <w:t>dark markets</w:t>
      </w:r>
      <w:r w:rsidR="00B86E95" w:rsidRPr="00976A6F">
        <w:rPr>
          <w:lang w:val="en-GB"/>
        </w:rPr>
        <w:t>”</w:t>
      </w:r>
      <w:r w:rsidRPr="00976A6F">
        <w:rPr>
          <w:lang w:val="en-GB"/>
        </w:rPr>
        <w:t xml:space="preserve"> where tobacco advertising was restricted [41]. Alibi marketing involves distilling a brand identity into its key components (</w:t>
      </w:r>
      <w:r w:rsidR="00DA14AF" w:rsidRPr="00976A6F">
        <w:rPr>
          <w:lang w:val="en-GB"/>
        </w:rPr>
        <w:t>e.g.,</w:t>
      </w:r>
      <w:r w:rsidRPr="00976A6F">
        <w:rPr>
          <w:lang w:val="en-GB"/>
        </w:rPr>
        <w:t xml:space="preserve"> phrases from a slogan) and using these in place of a conventional logo or name. This strategy has since been adopted by alcohol marketers, with examples including Heineken’s sponsorship of the European Rugby Champions Cup, which was rebranded as the </w:t>
      </w:r>
      <w:r w:rsidR="00B86E95" w:rsidRPr="00976A6F">
        <w:rPr>
          <w:lang w:val="en-GB"/>
        </w:rPr>
        <w:t>“</w:t>
      </w:r>
      <w:r w:rsidRPr="00976A6F">
        <w:rPr>
          <w:lang w:val="en-GB"/>
        </w:rPr>
        <w:t>H Cup</w:t>
      </w:r>
      <w:r w:rsidR="00B86E95" w:rsidRPr="00976A6F">
        <w:rPr>
          <w:lang w:val="en-GB"/>
        </w:rPr>
        <w:t>”</w:t>
      </w:r>
      <w:r w:rsidRPr="00976A6F">
        <w:rPr>
          <w:lang w:val="en-GB"/>
        </w:rPr>
        <w:t xml:space="preserve"> in France [42], and pitch side advertising during UEFA Champions League games, where Heineken’s usual branded pitch border advertising was replaced in French matches with an </w:t>
      </w:r>
      <w:r w:rsidR="00B86E95" w:rsidRPr="00976A6F">
        <w:rPr>
          <w:lang w:val="en-GB"/>
        </w:rPr>
        <w:t>“</w:t>
      </w:r>
      <w:r w:rsidRPr="00976A6F">
        <w:rPr>
          <w:lang w:val="en-GB"/>
        </w:rPr>
        <w:t>Enjoy Responsibly</w:t>
      </w:r>
      <w:r w:rsidR="00B86E95" w:rsidRPr="00976A6F">
        <w:rPr>
          <w:lang w:val="en-GB"/>
        </w:rPr>
        <w:t>”</w:t>
      </w:r>
      <w:r w:rsidRPr="00976A6F">
        <w:rPr>
          <w:lang w:val="en-GB"/>
        </w:rPr>
        <w:t xml:space="preserve"> message which featured their red star logo on a green background [43]. Our study therefore provides further evidence of alibi marketing being used in France to promote alcohol. This offers a potential explanation why recent cross-sectional survey research reported that over a third of young people in France recalled seeing alcohol marketing at sporting events and concerts at least once in the past month [11]. Market research conducted by Carlsberg has confirmed that viewers made the connection between the alibi </w:t>
      </w:r>
      <w:r w:rsidRPr="00976A6F">
        <w:rPr>
          <w:lang w:val="en-GB"/>
        </w:rPr>
        <w:lastRenderedPageBreak/>
        <w:t>marketing displayed at the UEFA EURO 2016 tournament and the beer brand. Carlsberg reported that viewer recall of their brand for the tournament was 50 per</w:t>
      </w:r>
      <w:r w:rsidR="00C03B5A" w:rsidRPr="00976A6F">
        <w:rPr>
          <w:lang w:val="en-GB"/>
        </w:rPr>
        <w:t xml:space="preserve"> </w:t>
      </w:r>
      <w:r w:rsidRPr="00976A6F">
        <w:rPr>
          <w:lang w:val="en-GB"/>
        </w:rPr>
        <w:t>cent. This was reportedly higher than other sponsors Coca-Cola and McDonald’s and that only McDonald’s “I’m lovin’ it” slogan achieved higher viewer recall than Carlsberg’s “Probably, the best in the world” [44].</w:t>
      </w:r>
    </w:p>
    <w:p w14:paraId="18337C8A" w14:textId="77777777" w:rsidR="003F0DC2" w:rsidRPr="00976A6F" w:rsidRDefault="003F0DC2" w:rsidP="00B276D7">
      <w:pPr>
        <w:pStyle w:val="MDPI31text"/>
        <w:rPr>
          <w:lang w:val="en-GB"/>
        </w:rPr>
      </w:pPr>
      <w:r w:rsidRPr="00976A6F">
        <w:rPr>
          <w:lang w:val="en-GB"/>
        </w:rPr>
        <w:t xml:space="preserve">There are two potential explanations for the presence of alcohol marketing at UEFA EURO 2016. The first is that the Loi Évin is not currently equipped to address alibi marketing. The basis of the law, however, is that the forms of marketing which are allowed are explicitly specified (with sport sponsorship and TV advertising explicitly prohibited), and any form of marketing that is not explicitly stated in the law is still considered to be prohibited [12]. Therefore, the fact that alibi marketing is not specified in the Loi Évin did not provide a mandate for it to be used at UEFA EURO 2016 and cannot explain the high presence of marketing we found. </w:t>
      </w:r>
    </w:p>
    <w:p w14:paraId="0A3D6BD1" w14:textId="7593ABE3" w:rsidR="003F0DC2" w:rsidRPr="00976A6F" w:rsidRDefault="003F0DC2" w:rsidP="00B276D7">
      <w:pPr>
        <w:pStyle w:val="MDPI31text"/>
        <w:rPr>
          <w:lang w:val="en-GB"/>
        </w:rPr>
      </w:pPr>
      <w:r w:rsidRPr="00976A6F">
        <w:rPr>
          <w:lang w:val="en-GB"/>
        </w:rPr>
        <w:t xml:space="preserve">The second explanation is that the law is not being correctly enforced or adhered to by marketers. Consistent with this suggestion, we observed that even when marketing did appear, most examples did not comply with other Loi Évin regulations which state that marketing must be restricted to factual information about the product and must contain health warnings. </w:t>
      </w:r>
      <w:r w:rsidR="00B86E95" w:rsidRPr="00976A6F">
        <w:rPr>
          <w:lang w:val="en-GB"/>
        </w:rPr>
        <w:t>“</w:t>
      </w:r>
      <w:r w:rsidRPr="00976A6F">
        <w:rPr>
          <w:lang w:val="en-GB"/>
        </w:rPr>
        <w:t>Probably the best in the world</w:t>
      </w:r>
      <w:r w:rsidR="00B86E95" w:rsidRPr="00976A6F">
        <w:rPr>
          <w:lang w:val="en-GB"/>
        </w:rPr>
        <w:t>”</w:t>
      </w:r>
      <w:r w:rsidRPr="00976A6F">
        <w:rPr>
          <w:lang w:val="en-GB"/>
        </w:rPr>
        <w:t xml:space="preserve"> is not simple factual information about the Carlsberg product and, apart from during the commercial breaks which fell under UK legislation, no health warnings accompanied the marketing (</w:t>
      </w:r>
      <w:r w:rsidR="00DA14AF" w:rsidRPr="00976A6F">
        <w:rPr>
          <w:lang w:val="en-GB"/>
        </w:rPr>
        <w:t>e.g.,</w:t>
      </w:r>
      <w:r w:rsidRPr="00976A6F">
        <w:rPr>
          <w:lang w:val="en-GB"/>
        </w:rPr>
        <w:t xml:space="preserve"> on pitchside advertising). Previous research suggests that it is not unusual for alcohol sponsorship of sport to not comply with existing national policies during intentional tournaments. For example, an analysis of broadcasts of the 2014 FIFA World Cup in eight countries found that advertisements during games contained content which violated self-regulatory codes [45]. Experiences at other international football tournaments, including the 2014 FIFA World Cup in Brazil and the scheduled 2018 FIFA World Cup in Russia suggest that existing policies can be diluted to coincide with major tournaments </w:t>
      </w:r>
      <w:r w:rsidR="0089740D" w:rsidRPr="00976A6F">
        <w:rPr>
          <w:lang w:val="en-GB"/>
        </w:rPr>
        <w:t>[46–48</w:t>
      </w:r>
      <w:r w:rsidRPr="00976A6F">
        <w:rPr>
          <w:lang w:val="en-GB"/>
        </w:rPr>
        <w:t xml:space="preserve">]. </w:t>
      </w:r>
    </w:p>
    <w:p w14:paraId="715DE573" w14:textId="3D362983" w:rsidR="003F0DC2" w:rsidRPr="00976A6F" w:rsidRDefault="003F0DC2" w:rsidP="00B276D7">
      <w:pPr>
        <w:pStyle w:val="MDPI31text"/>
        <w:rPr>
          <w:lang w:val="en-GB"/>
        </w:rPr>
      </w:pPr>
      <w:r w:rsidRPr="00976A6F">
        <w:rPr>
          <w:lang w:val="en-GB"/>
        </w:rPr>
        <w:t xml:space="preserve">The alcohol industry has defended their marketing activity at UEFA EURO 2016. Carlsberg, the brand whose slogan appeared in most of the marketing references recorded, have stated that they comply with the legal requirements of all countries in which they operate and strictly applied the Loi Évin law by not advertising their beer brands and did not link their partnership to alcohol </w:t>
      </w:r>
      <w:r w:rsidR="0089740D" w:rsidRPr="00976A6F">
        <w:rPr>
          <w:lang w:val="en-GB"/>
        </w:rPr>
        <w:t>[49,50</w:t>
      </w:r>
      <w:r w:rsidRPr="00976A6F">
        <w:rPr>
          <w:lang w:val="en-GB"/>
        </w:rPr>
        <w:t>]. This defen</w:t>
      </w:r>
      <w:r w:rsidR="00C03B5A" w:rsidRPr="00976A6F">
        <w:rPr>
          <w:lang w:val="en-GB"/>
        </w:rPr>
        <w:t>c</w:t>
      </w:r>
      <w:r w:rsidRPr="00976A6F">
        <w:rPr>
          <w:lang w:val="en-GB"/>
        </w:rPr>
        <w:t xml:space="preserve">e, however, has been contested by the Association Nationale de Prevention en Alcoologie et Addictologie, an organization who address alcohol-related harm in France, who are intending to pursue legal action against the brands whose marketing appeared at the tournament [51]. </w:t>
      </w:r>
    </w:p>
    <w:p w14:paraId="3A385348" w14:textId="77777777" w:rsidR="003F0DC2" w:rsidRPr="00976A6F" w:rsidRDefault="003F0DC2" w:rsidP="00B276D7">
      <w:pPr>
        <w:pStyle w:val="MDPI22heading2"/>
        <w:rPr>
          <w:noProof w:val="0"/>
          <w:lang w:val="en-GB"/>
        </w:rPr>
      </w:pPr>
      <w:r w:rsidRPr="00976A6F">
        <w:rPr>
          <w:noProof w:val="0"/>
          <w:lang w:val="en-GB"/>
        </w:rPr>
        <w:t>4.1</w:t>
      </w:r>
      <w:r w:rsidR="00B276D7" w:rsidRPr="00976A6F">
        <w:rPr>
          <w:noProof w:val="0"/>
          <w:lang w:val="en-GB"/>
        </w:rPr>
        <w:t>.</w:t>
      </w:r>
      <w:r w:rsidRPr="00976A6F">
        <w:rPr>
          <w:noProof w:val="0"/>
          <w:lang w:val="en-GB"/>
        </w:rPr>
        <w:t xml:space="preserve"> Limitations and </w:t>
      </w:r>
      <w:r w:rsidR="00B276D7" w:rsidRPr="00976A6F">
        <w:rPr>
          <w:noProof w:val="0"/>
          <w:lang w:val="en-GB"/>
        </w:rPr>
        <w:t>Future Directions</w:t>
      </w:r>
    </w:p>
    <w:p w14:paraId="1DDFB737" w14:textId="77777777" w:rsidR="003F0DC2" w:rsidRPr="00976A6F" w:rsidRDefault="003F0DC2" w:rsidP="00B276D7">
      <w:pPr>
        <w:pStyle w:val="MDPI31text"/>
        <w:rPr>
          <w:lang w:val="en-GB"/>
        </w:rPr>
      </w:pPr>
      <w:r w:rsidRPr="00976A6F">
        <w:rPr>
          <w:lang w:val="en-GB"/>
        </w:rPr>
        <w:t>The coding framework we used showed high inter-rater reliability, which indicates that the results are likely to be reliable. Nevertheless, the study does have three limitations. First, this study expanded on the coding frameworks used in previous studies to explore where, what and how alcohol marketing references were made. Although these amendments provide greater detail about marketing (for example, regarding the number of identical references that appeared at any one time and the duration they were on the screen), the change in coding procedure means that the findings cannot be directly compared to the frequency of references in the previous tournament, UEFA EURO 2012 [16]. As the previous tournament was held in Poland and Ukraine, where the regulations on alcohol marketing are not as strong as in France [10], use of an identical coding protocol would have provided a quasi-experimental means of evaluating to what extent, if at all, the Loi Évin reduced the presence of marketing. Future studies should consider using standardised coding procedures to evaluate marketing across sporting tournaments to enable objective comparisons between countries with different regulatory approaches.</w:t>
      </w:r>
    </w:p>
    <w:p w14:paraId="2A848C74" w14:textId="77777777" w:rsidR="003F0DC2" w:rsidRPr="00976A6F" w:rsidRDefault="003F0DC2" w:rsidP="00B276D7">
      <w:pPr>
        <w:pStyle w:val="MDPI31text"/>
        <w:rPr>
          <w:lang w:val="en-GB"/>
        </w:rPr>
      </w:pPr>
      <w:r w:rsidRPr="00976A6F">
        <w:rPr>
          <w:lang w:val="en-GB"/>
        </w:rPr>
        <w:t xml:space="preserve">Second, this study only considered UK broadcasts of UEFA EURO 2016. While the in-play footage was identical in all countries, as all international broadcasters joined a central UEFA feed before the match kicked off </w:t>
      </w:r>
      <w:r w:rsidR="0089740D" w:rsidRPr="00976A6F">
        <w:rPr>
          <w:lang w:val="en-GB"/>
        </w:rPr>
        <w:t>[33–35</w:t>
      </w:r>
      <w:r w:rsidRPr="00976A6F">
        <w:rPr>
          <w:lang w:val="en-GB"/>
        </w:rPr>
        <w:t>], almost 40% of the references appeared in out-of-play segments (</w:t>
      </w:r>
      <w:r w:rsidR="00DA14AF" w:rsidRPr="00976A6F">
        <w:rPr>
          <w:lang w:val="en-GB"/>
        </w:rPr>
        <w:t>e.g.,</w:t>
      </w:r>
      <w:r w:rsidRPr="00976A6F">
        <w:rPr>
          <w:lang w:val="en-GB"/>
        </w:rPr>
        <w:t xml:space="preserve"> pre-match, half-time and post-match). As regional broadcasters have greater autonomy over these segments, the results cannot be generalised to other countries. Future research should therefore focus on broadcasts of the same matches in different countries, to understand the impact of country-</w:t>
      </w:r>
      <w:r w:rsidRPr="00976A6F">
        <w:rPr>
          <w:lang w:val="en-GB"/>
        </w:rPr>
        <w:lastRenderedPageBreak/>
        <w:t>specific regulatory approaches (</w:t>
      </w:r>
      <w:r w:rsidR="00DA14AF" w:rsidRPr="00976A6F">
        <w:rPr>
          <w:lang w:val="en-GB"/>
        </w:rPr>
        <w:t>e.g.,</w:t>
      </w:r>
      <w:r w:rsidRPr="00976A6F">
        <w:rPr>
          <w:lang w:val="en-GB"/>
        </w:rPr>
        <w:t xml:space="preserve"> commercial advertising breaks are not permitted in France, whereas they were in the UK). </w:t>
      </w:r>
    </w:p>
    <w:p w14:paraId="3A0CFEF4" w14:textId="2D915FA6" w:rsidR="003F0DC2" w:rsidRPr="00976A6F" w:rsidRDefault="003F0DC2" w:rsidP="00B276D7">
      <w:pPr>
        <w:pStyle w:val="MDPI31text"/>
        <w:rPr>
          <w:lang w:val="en-GB"/>
        </w:rPr>
      </w:pPr>
      <w:r w:rsidRPr="00976A6F">
        <w:rPr>
          <w:lang w:val="en-GB"/>
        </w:rPr>
        <w:t>Third, as this study only considered an international football tournament, the findings may not be generali</w:t>
      </w:r>
      <w:r w:rsidR="005F4717" w:rsidRPr="00976A6F">
        <w:rPr>
          <w:lang w:val="en-GB"/>
        </w:rPr>
        <w:t>z</w:t>
      </w:r>
      <w:r w:rsidRPr="00976A6F">
        <w:rPr>
          <w:lang w:val="en-GB"/>
        </w:rPr>
        <w:t xml:space="preserve">able to other forms of televised football. For example, sponsor logos were not permitted on the players’ match shirts during the tournament (although </w:t>
      </w:r>
      <w:r w:rsidR="00B86E95" w:rsidRPr="00976A6F">
        <w:rPr>
          <w:lang w:val="en-GB"/>
        </w:rPr>
        <w:t>“</w:t>
      </w:r>
      <w:r w:rsidRPr="00976A6F">
        <w:rPr>
          <w:lang w:val="en-GB"/>
        </w:rPr>
        <w:t>Carlsberg</w:t>
      </w:r>
      <w:r w:rsidR="00B86E95" w:rsidRPr="00976A6F">
        <w:rPr>
          <w:lang w:val="en-GB"/>
        </w:rPr>
        <w:t>”</w:t>
      </w:r>
      <w:r w:rsidRPr="00976A6F">
        <w:rPr>
          <w:lang w:val="en-GB"/>
        </w:rPr>
        <w:t xml:space="preserve"> logos were observed on replica Icelandic national team shirts worn by supporters in the crowd). As shirt sponsorship is permitted in many club-level competitions, such as England’s Premier League, it is possible that the frequency of marketing references may be greater in broadcasts of these matches [23]. Future research should therefore explore how the frequency, volume and type of alcohol marketing references differs between international and national-level sporting events and the potential implications this has for exposure.</w:t>
      </w:r>
    </w:p>
    <w:p w14:paraId="1F9DB50D" w14:textId="77777777" w:rsidR="003F0DC2" w:rsidRPr="00976A6F" w:rsidRDefault="003F0DC2" w:rsidP="00B276D7">
      <w:pPr>
        <w:pStyle w:val="MDPI21heading1"/>
        <w:rPr>
          <w:lang w:val="en-GB"/>
        </w:rPr>
      </w:pPr>
      <w:r w:rsidRPr="00976A6F">
        <w:rPr>
          <w:lang w:val="en-GB"/>
        </w:rPr>
        <w:t>5. Conclusions</w:t>
      </w:r>
    </w:p>
    <w:p w14:paraId="00378879" w14:textId="77777777" w:rsidR="003F0DC2" w:rsidRPr="00976A6F" w:rsidRDefault="003F0DC2" w:rsidP="00B276D7">
      <w:pPr>
        <w:pStyle w:val="MDPI31text"/>
        <w:rPr>
          <w:color w:val="auto"/>
          <w:lang w:val="en-GB"/>
        </w:rPr>
      </w:pPr>
      <w:r w:rsidRPr="00976A6F">
        <w:rPr>
          <w:color w:val="auto"/>
          <w:lang w:val="en-GB"/>
        </w:rPr>
        <w:t>This study adds to a growing body of evidence confirming that international football tournaments provide a high profile platform to market alcohol. The results help to extend previous research by exploring in detail the location, format and nature of alcohol references during broadcasts. The majority of marketing references were indirect in nature, demonstrating a growing use of alibi marketing to circumvent marketing restrictions. To ensure the spirit of the Loi Évin regulations are achieved, stricter enforcement may be required to limit exposure to alcohol marketing references, particularly for young people.</w:t>
      </w:r>
    </w:p>
    <w:p w14:paraId="6D7B27C7" w14:textId="77777777" w:rsidR="003F0DC2" w:rsidRPr="00976A6F" w:rsidRDefault="003F0DC2" w:rsidP="00B276D7">
      <w:pPr>
        <w:pStyle w:val="MDPI62Acknowledgments"/>
        <w:spacing w:before="240"/>
        <w:rPr>
          <w:color w:val="auto"/>
          <w:lang w:val="en-GB"/>
        </w:rPr>
      </w:pPr>
      <w:r w:rsidRPr="00976A6F">
        <w:rPr>
          <w:b/>
          <w:color w:val="auto"/>
          <w:lang w:val="en-GB"/>
        </w:rPr>
        <w:t>Acknowledgments:</w:t>
      </w:r>
      <w:r w:rsidRPr="00976A6F">
        <w:rPr>
          <w:color w:val="auto"/>
          <w:lang w:val="en-GB"/>
        </w:rPr>
        <w:t xml:space="preserve"> This research was funded by the Institute of Alcohol Studies, Scottish Health Actions on Alcohol Problems and Alcohol Action Ireland.</w:t>
      </w:r>
    </w:p>
    <w:p w14:paraId="28B1E260" w14:textId="5F36BDC7" w:rsidR="003F0DC2" w:rsidRPr="00976A6F" w:rsidRDefault="003F0DC2" w:rsidP="00FE3121">
      <w:pPr>
        <w:pStyle w:val="MDPI63AuthorContributions"/>
        <w:rPr>
          <w:b/>
          <w:lang w:val="en-GB"/>
        </w:rPr>
      </w:pPr>
      <w:r w:rsidRPr="00976A6F">
        <w:rPr>
          <w:b/>
          <w:lang w:val="en-GB"/>
        </w:rPr>
        <w:t xml:space="preserve">Author Contributions: </w:t>
      </w:r>
      <w:r w:rsidRPr="00976A6F">
        <w:rPr>
          <w:lang w:val="en-GB"/>
        </w:rPr>
        <w:t>R</w:t>
      </w:r>
      <w:r w:rsidR="005978F9" w:rsidRPr="00976A6F">
        <w:rPr>
          <w:lang w:val="en-GB"/>
        </w:rPr>
        <w:t>ichard I. Purves</w:t>
      </w:r>
      <w:r w:rsidRPr="00976A6F">
        <w:rPr>
          <w:lang w:val="en-GB"/>
        </w:rPr>
        <w:t xml:space="preserve">, </w:t>
      </w:r>
      <w:r w:rsidR="005978F9" w:rsidRPr="00976A6F">
        <w:rPr>
          <w:lang w:val="en-GB"/>
        </w:rPr>
        <w:t>Nathan Critchlow</w:t>
      </w:r>
      <w:r w:rsidRPr="00976A6F">
        <w:rPr>
          <w:lang w:val="en-GB"/>
        </w:rPr>
        <w:t xml:space="preserve"> and M</w:t>
      </w:r>
      <w:r w:rsidR="005978F9" w:rsidRPr="00976A6F">
        <w:rPr>
          <w:lang w:val="en-GB"/>
        </w:rPr>
        <w:t xml:space="preserve">artine Stead </w:t>
      </w:r>
      <w:r w:rsidRPr="00976A6F">
        <w:rPr>
          <w:lang w:val="en-GB"/>
        </w:rPr>
        <w:t>conceived and designed the study; R</w:t>
      </w:r>
      <w:r w:rsidR="005978F9" w:rsidRPr="00976A6F">
        <w:rPr>
          <w:lang w:val="en-GB"/>
        </w:rPr>
        <w:t>ichard I Purves</w:t>
      </w:r>
      <w:r w:rsidRPr="00976A6F">
        <w:rPr>
          <w:lang w:val="en-GB"/>
        </w:rPr>
        <w:t xml:space="preserve"> and N</w:t>
      </w:r>
      <w:r w:rsidR="005978F9" w:rsidRPr="00976A6F">
        <w:rPr>
          <w:lang w:val="en-GB"/>
        </w:rPr>
        <w:t>athan Critchlow</w:t>
      </w:r>
      <w:r w:rsidRPr="00976A6F">
        <w:rPr>
          <w:lang w:val="en-GB"/>
        </w:rPr>
        <w:t xml:space="preserve"> recorded and coded the broadcasts; R</w:t>
      </w:r>
      <w:r w:rsidR="005978F9" w:rsidRPr="00976A6F">
        <w:rPr>
          <w:lang w:val="en-GB"/>
        </w:rPr>
        <w:t>ichard I Purves</w:t>
      </w:r>
      <w:r w:rsidRPr="00976A6F">
        <w:rPr>
          <w:lang w:val="en-GB"/>
        </w:rPr>
        <w:t xml:space="preserve"> and N</w:t>
      </w:r>
      <w:r w:rsidR="005978F9" w:rsidRPr="00976A6F">
        <w:rPr>
          <w:lang w:val="en-GB"/>
        </w:rPr>
        <w:t>athan Critchlow</w:t>
      </w:r>
      <w:r w:rsidRPr="00976A6F">
        <w:rPr>
          <w:lang w:val="en-GB"/>
        </w:rPr>
        <w:t xml:space="preserve"> analysed the data; J</w:t>
      </w:r>
      <w:r w:rsidR="005978F9" w:rsidRPr="00976A6F">
        <w:rPr>
          <w:lang w:val="en-GB"/>
        </w:rPr>
        <w:t>ean Adams</w:t>
      </w:r>
      <w:r w:rsidRPr="00976A6F">
        <w:rPr>
          <w:lang w:val="en-GB"/>
        </w:rPr>
        <w:t xml:space="preserve"> advised on the analysis; M</w:t>
      </w:r>
      <w:r w:rsidR="005978F9" w:rsidRPr="00976A6F">
        <w:rPr>
          <w:lang w:val="en-GB"/>
        </w:rPr>
        <w:t>artine Stead,</w:t>
      </w:r>
      <w:r w:rsidRPr="00976A6F">
        <w:rPr>
          <w:lang w:val="en-GB"/>
        </w:rPr>
        <w:t xml:space="preserve"> J</w:t>
      </w:r>
      <w:r w:rsidR="005978F9" w:rsidRPr="00976A6F">
        <w:rPr>
          <w:lang w:val="en-GB"/>
        </w:rPr>
        <w:t>ean Adams</w:t>
      </w:r>
      <w:r w:rsidRPr="00976A6F">
        <w:rPr>
          <w:lang w:val="en-GB"/>
        </w:rPr>
        <w:t xml:space="preserve"> and K</w:t>
      </w:r>
      <w:r w:rsidR="005978F9" w:rsidRPr="00976A6F">
        <w:rPr>
          <w:lang w:val="en-GB"/>
        </w:rPr>
        <w:t>atherine Brown</w:t>
      </w:r>
      <w:r w:rsidRPr="00976A6F">
        <w:rPr>
          <w:lang w:val="en-GB"/>
        </w:rPr>
        <w:t xml:space="preserve"> contributed to the interpretation of the results; R</w:t>
      </w:r>
      <w:r w:rsidR="005978F9" w:rsidRPr="00976A6F">
        <w:rPr>
          <w:lang w:val="en-GB"/>
        </w:rPr>
        <w:t xml:space="preserve">ichard I Purves </w:t>
      </w:r>
      <w:r w:rsidRPr="00976A6F">
        <w:rPr>
          <w:lang w:val="en-GB"/>
        </w:rPr>
        <w:t>wrote the initial manuscript with input from N</w:t>
      </w:r>
      <w:r w:rsidR="005978F9" w:rsidRPr="00976A6F">
        <w:rPr>
          <w:lang w:val="en-GB"/>
        </w:rPr>
        <w:t>athan Critchlow</w:t>
      </w:r>
      <w:r w:rsidRPr="00976A6F">
        <w:rPr>
          <w:lang w:val="en-GB"/>
        </w:rPr>
        <w:t xml:space="preserve"> and M</w:t>
      </w:r>
      <w:r w:rsidR="005978F9" w:rsidRPr="00976A6F">
        <w:rPr>
          <w:lang w:val="en-GB"/>
        </w:rPr>
        <w:t xml:space="preserve">artine </w:t>
      </w:r>
      <w:r w:rsidRPr="00976A6F">
        <w:rPr>
          <w:lang w:val="en-GB"/>
        </w:rPr>
        <w:t>S</w:t>
      </w:r>
      <w:r w:rsidR="005978F9" w:rsidRPr="00976A6F">
        <w:rPr>
          <w:lang w:val="en-GB"/>
        </w:rPr>
        <w:t>tead</w:t>
      </w:r>
      <w:r w:rsidRPr="00976A6F">
        <w:rPr>
          <w:lang w:val="en-GB"/>
        </w:rPr>
        <w:t>; all authors read and approved the final manuscript.</w:t>
      </w:r>
    </w:p>
    <w:p w14:paraId="4B464016" w14:textId="77777777" w:rsidR="003F0DC2" w:rsidRPr="00976A6F" w:rsidRDefault="003F0DC2" w:rsidP="00FE3121">
      <w:pPr>
        <w:pStyle w:val="MDPI64CoI"/>
        <w:rPr>
          <w:lang w:val="en-GB"/>
        </w:rPr>
      </w:pPr>
      <w:r w:rsidRPr="00976A6F">
        <w:rPr>
          <w:b/>
          <w:lang w:val="en-GB"/>
        </w:rPr>
        <w:t>Conflicts of Interest:</w:t>
      </w:r>
      <w:r w:rsidRPr="00976A6F">
        <w:rPr>
          <w:lang w:val="en-GB"/>
        </w:rPr>
        <w:t xml:space="preserve"> Katherine Brown is the Director of the Institute of Alcohol Studies and had a role in the writing of the manuscript. The other authors declare no conflict of interest.</w:t>
      </w:r>
    </w:p>
    <w:p w14:paraId="39816E00" w14:textId="77777777" w:rsidR="00976A6F" w:rsidRDefault="00976A6F" w:rsidP="00940256">
      <w:pPr>
        <w:pStyle w:val="MDPI21heading1"/>
        <w:rPr>
          <w:lang w:val="en-GB"/>
        </w:rPr>
      </w:pPr>
    </w:p>
    <w:p w14:paraId="3565B790" w14:textId="77777777" w:rsidR="00976A6F" w:rsidRDefault="00976A6F" w:rsidP="00940256">
      <w:pPr>
        <w:pStyle w:val="MDPI21heading1"/>
        <w:rPr>
          <w:lang w:val="en-GB"/>
        </w:rPr>
      </w:pPr>
    </w:p>
    <w:p w14:paraId="1A3FE6AE" w14:textId="77777777" w:rsidR="00976A6F" w:rsidRDefault="00976A6F" w:rsidP="00940256">
      <w:pPr>
        <w:pStyle w:val="MDPI21heading1"/>
        <w:rPr>
          <w:lang w:val="en-GB"/>
        </w:rPr>
      </w:pPr>
    </w:p>
    <w:p w14:paraId="2081731C" w14:textId="77777777" w:rsidR="00976A6F" w:rsidRDefault="00976A6F" w:rsidP="00940256">
      <w:pPr>
        <w:pStyle w:val="MDPI21heading1"/>
        <w:rPr>
          <w:lang w:val="en-GB"/>
        </w:rPr>
      </w:pPr>
    </w:p>
    <w:p w14:paraId="2129C11B" w14:textId="77777777" w:rsidR="00976A6F" w:rsidRDefault="00976A6F" w:rsidP="00940256">
      <w:pPr>
        <w:pStyle w:val="MDPI21heading1"/>
        <w:rPr>
          <w:lang w:val="en-GB"/>
        </w:rPr>
      </w:pPr>
    </w:p>
    <w:p w14:paraId="59E1EAAB" w14:textId="77777777" w:rsidR="00976A6F" w:rsidRDefault="00976A6F" w:rsidP="00940256">
      <w:pPr>
        <w:pStyle w:val="MDPI21heading1"/>
        <w:rPr>
          <w:lang w:val="en-GB"/>
        </w:rPr>
      </w:pPr>
    </w:p>
    <w:p w14:paraId="4AF4955C" w14:textId="77777777" w:rsidR="00976A6F" w:rsidRDefault="00976A6F" w:rsidP="00940256">
      <w:pPr>
        <w:pStyle w:val="MDPI21heading1"/>
        <w:rPr>
          <w:lang w:val="en-GB"/>
        </w:rPr>
      </w:pPr>
    </w:p>
    <w:p w14:paraId="2412D233" w14:textId="77777777" w:rsidR="00976A6F" w:rsidRDefault="00976A6F" w:rsidP="00940256">
      <w:pPr>
        <w:pStyle w:val="MDPI21heading1"/>
        <w:rPr>
          <w:lang w:val="en-GB"/>
        </w:rPr>
      </w:pPr>
    </w:p>
    <w:p w14:paraId="0116B7F6" w14:textId="77777777" w:rsidR="00976A6F" w:rsidRDefault="00976A6F" w:rsidP="00940256">
      <w:pPr>
        <w:pStyle w:val="MDPI21heading1"/>
        <w:rPr>
          <w:lang w:val="en-GB"/>
        </w:rPr>
      </w:pPr>
    </w:p>
    <w:p w14:paraId="5F9C0C24" w14:textId="77777777" w:rsidR="00976A6F" w:rsidRDefault="00976A6F" w:rsidP="00940256">
      <w:pPr>
        <w:pStyle w:val="MDPI21heading1"/>
        <w:rPr>
          <w:lang w:val="en-GB"/>
        </w:rPr>
      </w:pPr>
    </w:p>
    <w:p w14:paraId="008AAEA1" w14:textId="77777777" w:rsidR="00976A6F" w:rsidRDefault="00976A6F" w:rsidP="00940256">
      <w:pPr>
        <w:pStyle w:val="MDPI21heading1"/>
        <w:rPr>
          <w:lang w:val="en-GB"/>
        </w:rPr>
      </w:pPr>
    </w:p>
    <w:p w14:paraId="21169441" w14:textId="77777777" w:rsidR="00976A6F" w:rsidRDefault="00976A6F" w:rsidP="00940256">
      <w:pPr>
        <w:pStyle w:val="MDPI21heading1"/>
        <w:rPr>
          <w:lang w:val="en-GB"/>
        </w:rPr>
      </w:pPr>
    </w:p>
    <w:p w14:paraId="61156335" w14:textId="195F2733" w:rsidR="00357F2D" w:rsidRPr="00976A6F" w:rsidRDefault="003F0DC2" w:rsidP="00940256">
      <w:pPr>
        <w:pStyle w:val="MDPI21heading1"/>
        <w:rPr>
          <w:lang w:val="en-GB"/>
        </w:rPr>
      </w:pPr>
      <w:r w:rsidRPr="00976A6F">
        <w:rPr>
          <w:lang w:val="en-GB"/>
        </w:rPr>
        <w:lastRenderedPageBreak/>
        <w:t>Appendix A</w:t>
      </w:r>
    </w:p>
    <w:p w14:paraId="0C8BD295" w14:textId="4433A9E8" w:rsidR="003F0DC2" w:rsidRPr="00976A6F" w:rsidRDefault="003F0DC2" w:rsidP="00940256">
      <w:pPr>
        <w:pStyle w:val="MDPI41tablecaption"/>
        <w:jc w:val="center"/>
        <w:rPr>
          <w:lang w:val="en-GB"/>
        </w:rPr>
      </w:pPr>
      <w:r w:rsidRPr="00976A6F">
        <w:rPr>
          <w:b/>
          <w:lang w:val="en-GB"/>
        </w:rPr>
        <w:t>Table A1.</w:t>
      </w:r>
      <w:r w:rsidRPr="00976A6F">
        <w:rPr>
          <w:lang w:val="en-GB"/>
        </w:rPr>
        <w:t xml:space="preserve"> Variables and definitions measured in the frequency analysis codebook</w:t>
      </w:r>
      <w:r w:rsidR="00940256" w:rsidRPr="00976A6F">
        <w:rPr>
          <w:lang w:val="en-GB"/>
        </w:rPr>
        <w:t>.</w:t>
      </w:r>
    </w:p>
    <w:tbl>
      <w:tblPr>
        <w:tblStyle w:val="TableGrid"/>
        <w:tblW w:w="8642"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tblGrid>
      <w:tr w:rsidR="003F0DC2" w:rsidRPr="00976A6F" w14:paraId="33E7B2C1" w14:textId="77777777" w:rsidTr="009D0441">
        <w:trPr>
          <w:jc w:val="center"/>
        </w:trPr>
        <w:tc>
          <w:tcPr>
            <w:tcW w:w="1413" w:type="dxa"/>
            <w:tcBorders>
              <w:top w:val="single" w:sz="8" w:space="0" w:color="auto"/>
              <w:bottom w:val="single" w:sz="4" w:space="0" w:color="auto"/>
            </w:tcBorders>
            <w:vAlign w:val="center"/>
          </w:tcPr>
          <w:p w14:paraId="6B1A47F0" w14:textId="77777777" w:rsidR="003F0DC2" w:rsidRPr="00976A6F" w:rsidRDefault="003F0DC2" w:rsidP="00940256">
            <w:pPr>
              <w:adjustRightInd w:val="0"/>
              <w:snapToGrid w:val="0"/>
              <w:spacing w:line="240" w:lineRule="auto"/>
              <w:jc w:val="center"/>
              <w:rPr>
                <w:rFonts w:ascii="Palatino Linotype" w:hAnsi="Palatino Linotype"/>
                <w:b/>
                <w:sz w:val="16"/>
                <w:szCs w:val="16"/>
                <w:lang w:val="en-GB"/>
              </w:rPr>
            </w:pPr>
            <w:r w:rsidRPr="00976A6F">
              <w:rPr>
                <w:rFonts w:ascii="Palatino Linotype" w:hAnsi="Palatino Linotype"/>
                <w:b/>
                <w:sz w:val="16"/>
                <w:szCs w:val="16"/>
                <w:lang w:val="en-GB"/>
              </w:rPr>
              <w:t>Variable</w:t>
            </w:r>
          </w:p>
        </w:tc>
        <w:tc>
          <w:tcPr>
            <w:tcW w:w="7229" w:type="dxa"/>
            <w:tcBorders>
              <w:top w:val="single" w:sz="8" w:space="0" w:color="auto"/>
              <w:bottom w:val="single" w:sz="4" w:space="0" w:color="auto"/>
            </w:tcBorders>
            <w:vAlign w:val="center"/>
          </w:tcPr>
          <w:p w14:paraId="6A46A9A9" w14:textId="77777777" w:rsidR="003F0DC2" w:rsidRPr="00976A6F" w:rsidRDefault="003F0DC2" w:rsidP="00940256">
            <w:pPr>
              <w:adjustRightInd w:val="0"/>
              <w:snapToGrid w:val="0"/>
              <w:spacing w:line="240" w:lineRule="auto"/>
              <w:jc w:val="center"/>
              <w:rPr>
                <w:rFonts w:ascii="Palatino Linotype" w:hAnsi="Palatino Linotype"/>
                <w:b/>
                <w:sz w:val="16"/>
                <w:szCs w:val="16"/>
                <w:lang w:val="en-GB"/>
              </w:rPr>
            </w:pPr>
            <w:r w:rsidRPr="00976A6F">
              <w:rPr>
                <w:rFonts w:ascii="Palatino Linotype" w:hAnsi="Palatino Linotype"/>
                <w:b/>
                <w:sz w:val="16"/>
                <w:szCs w:val="16"/>
                <w:lang w:val="en-GB"/>
              </w:rPr>
              <w:t>Definition(s)</w:t>
            </w:r>
          </w:p>
        </w:tc>
      </w:tr>
      <w:tr w:rsidR="003F0DC2" w:rsidRPr="00976A6F" w14:paraId="32C5EEC6" w14:textId="77777777" w:rsidTr="009D0441">
        <w:trPr>
          <w:jc w:val="center"/>
        </w:trPr>
        <w:tc>
          <w:tcPr>
            <w:tcW w:w="1413" w:type="dxa"/>
            <w:tcBorders>
              <w:top w:val="single" w:sz="4" w:space="0" w:color="auto"/>
              <w:bottom w:val="single" w:sz="4" w:space="0" w:color="auto"/>
            </w:tcBorders>
            <w:vAlign w:val="center"/>
          </w:tcPr>
          <w:p w14:paraId="5AC16157" w14:textId="77777777" w:rsidR="003F0DC2" w:rsidRPr="00976A6F" w:rsidRDefault="003F0DC2" w:rsidP="00940256">
            <w:pPr>
              <w:adjustRightInd w:val="0"/>
              <w:snapToGrid w:val="0"/>
              <w:spacing w:line="240" w:lineRule="auto"/>
              <w:jc w:val="center"/>
              <w:rPr>
                <w:rFonts w:ascii="Palatino Linotype" w:hAnsi="Palatino Linotype"/>
                <w:i/>
                <w:sz w:val="16"/>
                <w:szCs w:val="16"/>
                <w:lang w:val="en-GB"/>
              </w:rPr>
            </w:pPr>
            <w:r w:rsidRPr="00976A6F">
              <w:rPr>
                <w:rFonts w:ascii="Palatino Linotype" w:hAnsi="Palatino Linotype"/>
                <w:i/>
                <w:sz w:val="16"/>
                <w:szCs w:val="16"/>
                <w:lang w:val="en-GB"/>
              </w:rPr>
              <w:t>Time of reference</w:t>
            </w:r>
          </w:p>
        </w:tc>
        <w:tc>
          <w:tcPr>
            <w:tcW w:w="7229" w:type="dxa"/>
            <w:tcBorders>
              <w:top w:val="single" w:sz="4" w:space="0" w:color="auto"/>
              <w:bottom w:val="single" w:sz="4" w:space="0" w:color="auto"/>
            </w:tcBorders>
            <w:vAlign w:val="center"/>
          </w:tcPr>
          <w:p w14:paraId="47C02E88" w14:textId="77777777" w:rsidR="003F0DC2" w:rsidRPr="00976A6F" w:rsidRDefault="003F0DC2" w:rsidP="00940256">
            <w:pPr>
              <w:adjustRightInd w:val="0"/>
              <w:snapToGrid w:val="0"/>
              <w:spacing w:line="240" w:lineRule="auto"/>
              <w:jc w:val="center"/>
              <w:rPr>
                <w:rFonts w:ascii="Palatino Linotype" w:hAnsi="Palatino Linotype"/>
                <w:sz w:val="16"/>
                <w:szCs w:val="16"/>
                <w:lang w:val="en-GB"/>
              </w:rPr>
            </w:pPr>
            <w:r w:rsidRPr="00976A6F">
              <w:rPr>
                <w:rFonts w:ascii="Palatino Linotype" w:hAnsi="Palatino Linotype"/>
                <w:sz w:val="16"/>
                <w:szCs w:val="16"/>
                <w:lang w:val="en-GB"/>
              </w:rPr>
              <w:t>Recorded in hours, minutes and seconds, using the start of the broadcast as the 00:00:00 reference.</w:t>
            </w:r>
          </w:p>
        </w:tc>
      </w:tr>
      <w:tr w:rsidR="003F0DC2" w:rsidRPr="00976A6F" w14:paraId="569AD323" w14:textId="77777777" w:rsidTr="009D0441">
        <w:trPr>
          <w:jc w:val="center"/>
        </w:trPr>
        <w:tc>
          <w:tcPr>
            <w:tcW w:w="1413" w:type="dxa"/>
            <w:tcBorders>
              <w:top w:val="single" w:sz="4" w:space="0" w:color="auto"/>
              <w:bottom w:val="single" w:sz="4" w:space="0" w:color="auto"/>
            </w:tcBorders>
            <w:vAlign w:val="center"/>
          </w:tcPr>
          <w:p w14:paraId="6E65F3D3" w14:textId="77777777" w:rsidR="003F0DC2" w:rsidRPr="00976A6F" w:rsidRDefault="003F0DC2" w:rsidP="00940256">
            <w:pPr>
              <w:adjustRightInd w:val="0"/>
              <w:snapToGrid w:val="0"/>
              <w:spacing w:line="240" w:lineRule="auto"/>
              <w:jc w:val="center"/>
              <w:rPr>
                <w:rFonts w:ascii="Palatino Linotype" w:hAnsi="Palatino Linotype"/>
                <w:i/>
                <w:sz w:val="16"/>
                <w:szCs w:val="16"/>
                <w:lang w:val="en-GB"/>
              </w:rPr>
            </w:pPr>
            <w:r w:rsidRPr="00976A6F">
              <w:rPr>
                <w:rFonts w:ascii="Palatino Linotype" w:hAnsi="Palatino Linotype"/>
                <w:i/>
                <w:sz w:val="16"/>
                <w:szCs w:val="16"/>
                <w:lang w:val="en-GB"/>
              </w:rPr>
              <w:t>Broadcast segment</w:t>
            </w:r>
          </w:p>
        </w:tc>
        <w:tc>
          <w:tcPr>
            <w:tcW w:w="7229" w:type="dxa"/>
            <w:tcBorders>
              <w:top w:val="single" w:sz="4" w:space="0" w:color="auto"/>
              <w:bottom w:val="single" w:sz="4" w:space="0" w:color="auto"/>
            </w:tcBorders>
            <w:vAlign w:val="center"/>
          </w:tcPr>
          <w:p w14:paraId="5847D3F2" w14:textId="28F468C0" w:rsidR="003F0DC2" w:rsidRPr="00976A6F" w:rsidRDefault="003F0DC2" w:rsidP="00B86E95">
            <w:pPr>
              <w:adjustRightInd w:val="0"/>
              <w:snapToGrid w:val="0"/>
              <w:spacing w:line="240" w:lineRule="auto"/>
              <w:rPr>
                <w:rFonts w:ascii="Palatino Linotype" w:hAnsi="Palatino Linotype"/>
                <w:sz w:val="16"/>
                <w:szCs w:val="16"/>
                <w:lang w:val="en-GB"/>
              </w:rPr>
            </w:pPr>
            <w:r w:rsidRPr="00976A6F">
              <w:rPr>
                <w:rFonts w:ascii="Palatino Linotype" w:hAnsi="Palatino Linotype"/>
                <w:sz w:val="16"/>
                <w:szCs w:val="16"/>
                <w:lang w:val="en-GB"/>
              </w:rPr>
              <w:t>Broadcast segment was re</w:t>
            </w:r>
            <w:r w:rsidR="001D798A" w:rsidRPr="00976A6F">
              <w:rPr>
                <w:rFonts w:ascii="Palatino Linotype" w:hAnsi="Palatino Linotype"/>
                <w:sz w:val="16"/>
                <w:szCs w:val="16"/>
                <w:lang w:val="en-GB"/>
              </w:rPr>
              <w:t>corded as one of: (1) Pre-match</w:t>
            </w:r>
            <w:r w:rsidR="009D0441" w:rsidRPr="00976A6F">
              <w:rPr>
                <w:rFonts w:ascii="Palatino Linotype" w:hAnsi="Palatino Linotype"/>
                <w:sz w:val="16"/>
                <w:szCs w:val="16"/>
                <w:lang w:val="en-GB"/>
              </w:rPr>
              <w:t>—</w:t>
            </w:r>
            <w:r w:rsidRPr="00976A6F">
              <w:rPr>
                <w:rFonts w:ascii="Palatino Linotype" w:hAnsi="Palatino Linotype"/>
                <w:sz w:val="16"/>
                <w:szCs w:val="16"/>
                <w:lang w:val="en-GB"/>
              </w:rPr>
              <w:t>from beginning of broadcast until the first half begins; (2) First half</w:t>
            </w:r>
            <w:r w:rsidR="00B86E95" w:rsidRPr="00976A6F">
              <w:rPr>
                <w:rFonts w:ascii="Palatino Linotype" w:hAnsi="Palatino Linotype"/>
                <w:sz w:val="16"/>
                <w:szCs w:val="16"/>
                <w:lang w:val="en-GB"/>
              </w:rPr>
              <w:t>—</w:t>
            </w:r>
            <w:r w:rsidRPr="00976A6F">
              <w:rPr>
                <w:rFonts w:ascii="Palatino Linotype" w:hAnsi="Palatino Linotype"/>
                <w:sz w:val="16"/>
                <w:szCs w:val="16"/>
                <w:lang w:val="en-GB"/>
              </w:rPr>
              <w:t>as indicated by match referee; (3) Half-time</w:t>
            </w:r>
            <w:r w:rsidR="00B86E95" w:rsidRPr="00976A6F">
              <w:rPr>
                <w:rFonts w:ascii="Palatino Linotype" w:hAnsi="Palatino Linotype"/>
                <w:sz w:val="16"/>
                <w:szCs w:val="16"/>
                <w:lang w:val="en-GB"/>
              </w:rPr>
              <w:t>—</w:t>
            </w:r>
            <w:r w:rsidRPr="00976A6F">
              <w:rPr>
                <w:rFonts w:ascii="Palatino Linotype" w:hAnsi="Palatino Linotype"/>
                <w:sz w:val="16"/>
                <w:szCs w:val="16"/>
                <w:lang w:val="en-GB"/>
              </w:rPr>
              <w:t>from end of first half until start of second half, as indicated by match referee; (4) Second half, as indicated by match referee, includin</w:t>
            </w:r>
            <w:r w:rsidR="001D798A" w:rsidRPr="00976A6F">
              <w:rPr>
                <w:rFonts w:ascii="Palatino Linotype" w:hAnsi="Palatino Linotype"/>
                <w:sz w:val="16"/>
                <w:szCs w:val="16"/>
                <w:lang w:val="en-GB"/>
              </w:rPr>
              <w:t>g injury time; (5) Extra-time</w:t>
            </w:r>
            <w:r w:rsidR="00B86E95" w:rsidRPr="00976A6F">
              <w:rPr>
                <w:rFonts w:ascii="Palatino Linotype" w:hAnsi="Palatino Linotype"/>
                <w:sz w:val="16"/>
                <w:szCs w:val="16"/>
                <w:lang w:val="en-GB"/>
              </w:rPr>
              <w:t>—</w:t>
            </w:r>
            <w:r w:rsidRPr="00976A6F">
              <w:rPr>
                <w:rFonts w:ascii="Palatino Linotype" w:hAnsi="Palatino Linotype"/>
                <w:sz w:val="16"/>
                <w:szCs w:val="16"/>
                <w:lang w:val="en-GB"/>
              </w:rPr>
              <w:t>any open play required after the conclusion of the second half in order to settle the ma</w:t>
            </w:r>
            <w:r w:rsidR="001D798A" w:rsidRPr="00976A6F">
              <w:rPr>
                <w:rFonts w:ascii="Palatino Linotype" w:hAnsi="Palatino Linotype"/>
                <w:sz w:val="16"/>
                <w:szCs w:val="16"/>
                <w:lang w:val="en-GB"/>
              </w:rPr>
              <w:t>tch; (6) Breaks in extra-time</w:t>
            </w:r>
            <w:r w:rsidR="00B86E95" w:rsidRPr="00976A6F">
              <w:rPr>
                <w:rFonts w:ascii="Palatino Linotype" w:hAnsi="Palatino Linotype"/>
                <w:sz w:val="16"/>
                <w:szCs w:val="16"/>
                <w:lang w:val="en-GB"/>
              </w:rPr>
              <w:t>—</w:t>
            </w:r>
            <w:r w:rsidRPr="00976A6F">
              <w:rPr>
                <w:rFonts w:ascii="Palatino Linotype" w:hAnsi="Palatino Linotype"/>
                <w:sz w:val="16"/>
                <w:szCs w:val="16"/>
                <w:lang w:val="en-GB"/>
              </w:rPr>
              <w:t>coverage occurring during breaks in extra time, as indicated by the</w:t>
            </w:r>
            <w:r w:rsidR="001D798A" w:rsidRPr="00976A6F">
              <w:rPr>
                <w:rFonts w:ascii="Palatino Linotype" w:hAnsi="Palatino Linotype"/>
                <w:sz w:val="16"/>
                <w:szCs w:val="16"/>
                <w:lang w:val="en-GB"/>
              </w:rPr>
              <w:t xml:space="preserve"> match referee; (7) Penalties</w:t>
            </w:r>
            <w:r w:rsidR="00B86E95" w:rsidRPr="00976A6F">
              <w:rPr>
                <w:rFonts w:ascii="Palatino Linotype" w:hAnsi="Palatino Linotype"/>
                <w:sz w:val="16"/>
                <w:szCs w:val="16"/>
                <w:lang w:val="en-GB"/>
              </w:rPr>
              <w:t>—</w:t>
            </w:r>
            <w:r w:rsidRPr="00976A6F">
              <w:rPr>
                <w:rFonts w:ascii="Palatino Linotype" w:hAnsi="Palatino Linotype"/>
                <w:sz w:val="16"/>
                <w:szCs w:val="16"/>
                <w:lang w:val="en-GB"/>
              </w:rPr>
              <w:t>after the end of extra-time and until the match result has</w:t>
            </w:r>
            <w:r w:rsidR="001D798A" w:rsidRPr="00976A6F">
              <w:rPr>
                <w:rFonts w:ascii="Palatino Linotype" w:hAnsi="Palatino Linotype"/>
                <w:sz w:val="16"/>
                <w:szCs w:val="16"/>
                <w:lang w:val="en-GB"/>
              </w:rPr>
              <w:t xml:space="preserve"> been settled; (8) Post-match</w:t>
            </w:r>
            <w:r w:rsidR="00B86E95" w:rsidRPr="00976A6F">
              <w:rPr>
                <w:rFonts w:ascii="Palatino Linotype" w:hAnsi="Palatino Linotype"/>
                <w:sz w:val="16"/>
                <w:szCs w:val="16"/>
                <w:lang w:val="en-GB"/>
              </w:rPr>
              <w:t>—</w:t>
            </w:r>
            <w:r w:rsidRPr="00976A6F">
              <w:rPr>
                <w:rFonts w:ascii="Palatino Linotype" w:hAnsi="Palatino Linotype"/>
                <w:sz w:val="16"/>
                <w:szCs w:val="16"/>
                <w:lang w:val="en-GB"/>
              </w:rPr>
              <w:t>content after the referee has indicated the end of the match until end of the programme; and (9) Commercial breaks during the broadcasted programme, not including those immediately before or after.</w:t>
            </w:r>
          </w:p>
        </w:tc>
      </w:tr>
      <w:tr w:rsidR="003F0DC2" w:rsidRPr="00976A6F" w14:paraId="2139024E" w14:textId="77777777" w:rsidTr="009D0441">
        <w:trPr>
          <w:jc w:val="center"/>
        </w:trPr>
        <w:tc>
          <w:tcPr>
            <w:tcW w:w="1413" w:type="dxa"/>
            <w:tcBorders>
              <w:top w:val="single" w:sz="4" w:space="0" w:color="auto"/>
              <w:bottom w:val="single" w:sz="4" w:space="0" w:color="auto"/>
            </w:tcBorders>
            <w:vAlign w:val="center"/>
          </w:tcPr>
          <w:p w14:paraId="0CA2D8F5" w14:textId="77777777" w:rsidR="003F0DC2" w:rsidRPr="00976A6F" w:rsidRDefault="003F0DC2" w:rsidP="00940256">
            <w:pPr>
              <w:adjustRightInd w:val="0"/>
              <w:snapToGrid w:val="0"/>
              <w:spacing w:line="240" w:lineRule="auto"/>
              <w:jc w:val="center"/>
              <w:rPr>
                <w:rFonts w:ascii="Palatino Linotype" w:hAnsi="Palatino Linotype"/>
                <w:i/>
                <w:sz w:val="16"/>
                <w:szCs w:val="16"/>
                <w:lang w:val="en-GB"/>
              </w:rPr>
            </w:pPr>
            <w:r w:rsidRPr="00976A6F">
              <w:rPr>
                <w:rFonts w:ascii="Palatino Linotype" w:hAnsi="Palatino Linotype"/>
                <w:i/>
                <w:sz w:val="16"/>
                <w:szCs w:val="16"/>
                <w:lang w:val="en-GB"/>
              </w:rPr>
              <w:t>Location</w:t>
            </w:r>
          </w:p>
        </w:tc>
        <w:tc>
          <w:tcPr>
            <w:tcW w:w="7229" w:type="dxa"/>
            <w:tcBorders>
              <w:top w:val="single" w:sz="4" w:space="0" w:color="auto"/>
              <w:bottom w:val="single" w:sz="4" w:space="0" w:color="auto"/>
            </w:tcBorders>
            <w:vAlign w:val="center"/>
          </w:tcPr>
          <w:p w14:paraId="5E69F06A" w14:textId="34664FE2" w:rsidR="003F0DC2" w:rsidRPr="00976A6F" w:rsidRDefault="003F0DC2" w:rsidP="001D798A">
            <w:pPr>
              <w:adjustRightInd w:val="0"/>
              <w:snapToGrid w:val="0"/>
              <w:spacing w:line="240" w:lineRule="auto"/>
              <w:rPr>
                <w:rFonts w:ascii="Palatino Linotype" w:hAnsi="Palatino Linotype"/>
                <w:sz w:val="16"/>
                <w:szCs w:val="16"/>
                <w:lang w:val="en-GB"/>
              </w:rPr>
            </w:pPr>
            <w:r w:rsidRPr="00976A6F">
              <w:rPr>
                <w:rFonts w:ascii="Palatino Linotype" w:hAnsi="Palatino Linotype"/>
                <w:sz w:val="16"/>
                <w:szCs w:val="16"/>
                <w:lang w:val="en-GB"/>
              </w:rPr>
              <w:t>One of: (1) Stadium crowd; (2) Field of play; (3) Interview area; (4) Pitch border to start of the stadium crowd; (5) On-screen graphics; (6) Short video introductions featuring the tournament sponsors which begin or end a segment of the broadcast; (7) TV studio; (8) Stadium interior</w:t>
            </w:r>
            <w:r w:rsidR="001D798A" w:rsidRPr="00976A6F">
              <w:rPr>
                <w:rFonts w:ascii="Palatino Linotype" w:hAnsi="Palatino Linotype"/>
                <w:sz w:val="16"/>
                <w:szCs w:val="16"/>
                <w:lang w:val="en-GB"/>
              </w:rPr>
              <w:t>—</w:t>
            </w:r>
            <w:r w:rsidRPr="00976A6F">
              <w:rPr>
                <w:rFonts w:ascii="Palatino Linotype" w:hAnsi="Palatino Linotype"/>
                <w:sz w:val="16"/>
                <w:szCs w:val="16"/>
                <w:lang w:val="en-GB"/>
              </w:rPr>
              <w:t>any temporary of fixed features in the stadium not covered in other categories (</w:t>
            </w:r>
            <w:r w:rsidR="00DA14AF" w:rsidRPr="00976A6F">
              <w:rPr>
                <w:rFonts w:ascii="Palatino Linotype" w:hAnsi="Palatino Linotype"/>
                <w:sz w:val="16"/>
                <w:szCs w:val="16"/>
                <w:lang w:val="en-GB"/>
              </w:rPr>
              <w:t>e.g.,</w:t>
            </w:r>
            <w:r w:rsidRPr="00976A6F">
              <w:rPr>
                <w:rFonts w:ascii="Palatino Linotype" w:hAnsi="Palatino Linotype"/>
                <w:sz w:val="16"/>
                <w:szCs w:val="16"/>
                <w:lang w:val="en-GB"/>
              </w:rPr>
              <w:t xml:space="preserve"> sponsorship boards on upper tiers); (9) Pre-recorded video segments (</w:t>
            </w:r>
            <w:r w:rsidR="00DA14AF" w:rsidRPr="00976A6F">
              <w:rPr>
                <w:rFonts w:ascii="Palatino Linotype" w:hAnsi="Palatino Linotype"/>
                <w:sz w:val="16"/>
                <w:szCs w:val="16"/>
                <w:lang w:val="en-GB"/>
              </w:rPr>
              <w:t>e.g.,</w:t>
            </w:r>
            <w:r w:rsidRPr="00976A6F">
              <w:rPr>
                <w:rFonts w:ascii="Palatino Linotype" w:hAnsi="Palatino Linotype"/>
                <w:sz w:val="16"/>
                <w:szCs w:val="16"/>
                <w:lang w:val="en-GB"/>
              </w:rPr>
              <w:t xml:space="preserve"> highlights of other matches); (10) Off-screen verbal references (</w:t>
            </w:r>
            <w:r w:rsidR="00DA14AF" w:rsidRPr="00976A6F">
              <w:rPr>
                <w:rFonts w:ascii="Palatino Linotype" w:hAnsi="Palatino Linotype"/>
                <w:sz w:val="16"/>
                <w:szCs w:val="16"/>
                <w:lang w:val="en-GB"/>
              </w:rPr>
              <w:t>e.g.,</w:t>
            </w:r>
            <w:r w:rsidRPr="00976A6F">
              <w:rPr>
                <w:rFonts w:ascii="Palatino Linotype" w:hAnsi="Palatino Linotype"/>
                <w:sz w:val="16"/>
                <w:szCs w:val="16"/>
                <w:lang w:val="en-GB"/>
              </w:rPr>
              <w:t xml:space="preserve"> match commentator)</w:t>
            </w:r>
            <w:r w:rsidR="00B86E95" w:rsidRPr="00976A6F">
              <w:rPr>
                <w:rFonts w:ascii="Palatino Linotype" w:hAnsi="Palatino Linotype"/>
                <w:sz w:val="16"/>
                <w:szCs w:val="16"/>
                <w:lang w:val="en-GB"/>
              </w:rPr>
              <w:t>;</w:t>
            </w:r>
            <w:r w:rsidRPr="00976A6F">
              <w:rPr>
                <w:rFonts w:ascii="Palatino Linotype" w:hAnsi="Palatino Linotype"/>
                <w:sz w:val="16"/>
                <w:szCs w:val="16"/>
                <w:lang w:val="en-GB"/>
              </w:rPr>
              <w:t xml:space="preserve"> and (10) other. </w:t>
            </w:r>
          </w:p>
        </w:tc>
      </w:tr>
      <w:tr w:rsidR="003F0DC2" w:rsidRPr="00976A6F" w14:paraId="34A22CC0" w14:textId="77777777" w:rsidTr="009D0441">
        <w:trPr>
          <w:jc w:val="center"/>
        </w:trPr>
        <w:tc>
          <w:tcPr>
            <w:tcW w:w="1413" w:type="dxa"/>
            <w:tcBorders>
              <w:top w:val="single" w:sz="4" w:space="0" w:color="auto"/>
              <w:bottom w:val="single" w:sz="4" w:space="0" w:color="auto"/>
            </w:tcBorders>
            <w:vAlign w:val="center"/>
          </w:tcPr>
          <w:p w14:paraId="231A1E1D" w14:textId="77777777" w:rsidR="003F0DC2" w:rsidRPr="00976A6F" w:rsidRDefault="003F0DC2" w:rsidP="00940256">
            <w:pPr>
              <w:adjustRightInd w:val="0"/>
              <w:snapToGrid w:val="0"/>
              <w:spacing w:line="240" w:lineRule="auto"/>
              <w:jc w:val="center"/>
              <w:rPr>
                <w:rFonts w:ascii="Palatino Linotype" w:hAnsi="Palatino Linotype"/>
                <w:i/>
                <w:sz w:val="16"/>
                <w:szCs w:val="16"/>
                <w:lang w:val="en-GB"/>
              </w:rPr>
            </w:pPr>
            <w:r w:rsidRPr="00976A6F">
              <w:rPr>
                <w:rFonts w:ascii="Palatino Linotype" w:hAnsi="Palatino Linotype"/>
                <w:i/>
                <w:sz w:val="16"/>
                <w:szCs w:val="16"/>
                <w:lang w:val="en-GB"/>
              </w:rPr>
              <w:t xml:space="preserve">Type </w:t>
            </w:r>
          </w:p>
        </w:tc>
        <w:tc>
          <w:tcPr>
            <w:tcW w:w="7229" w:type="dxa"/>
            <w:tcBorders>
              <w:top w:val="single" w:sz="4" w:space="0" w:color="auto"/>
              <w:bottom w:val="single" w:sz="4" w:space="0" w:color="auto"/>
            </w:tcBorders>
            <w:vAlign w:val="center"/>
          </w:tcPr>
          <w:p w14:paraId="3C0205B8" w14:textId="2330FA29" w:rsidR="003F0DC2" w:rsidRPr="00976A6F" w:rsidRDefault="003F0DC2" w:rsidP="00B86E95">
            <w:pPr>
              <w:adjustRightInd w:val="0"/>
              <w:snapToGrid w:val="0"/>
              <w:spacing w:line="240" w:lineRule="auto"/>
              <w:rPr>
                <w:rFonts w:ascii="Palatino Linotype" w:hAnsi="Palatino Linotype"/>
                <w:sz w:val="16"/>
                <w:szCs w:val="16"/>
                <w:lang w:val="en-GB"/>
              </w:rPr>
            </w:pPr>
            <w:r w:rsidRPr="00976A6F">
              <w:rPr>
                <w:rFonts w:ascii="Palatino Linotype" w:hAnsi="Palatino Linotype"/>
                <w:sz w:val="16"/>
                <w:szCs w:val="16"/>
                <w:lang w:val="en-GB"/>
              </w:rPr>
              <w:t>Recorded as visual (</w:t>
            </w:r>
            <w:r w:rsidR="00DA14AF" w:rsidRPr="00976A6F">
              <w:rPr>
                <w:rFonts w:ascii="Palatino Linotype" w:hAnsi="Palatino Linotype"/>
                <w:sz w:val="16"/>
                <w:szCs w:val="16"/>
                <w:lang w:val="en-GB"/>
              </w:rPr>
              <w:t>e.g.,</w:t>
            </w:r>
            <w:r w:rsidRPr="00976A6F">
              <w:rPr>
                <w:rFonts w:ascii="Palatino Linotype" w:hAnsi="Palatino Linotype"/>
                <w:sz w:val="16"/>
                <w:szCs w:val="16"/>
                <w:lang w:val="en-GB"/>
              </w:rPr>
              <w:t xml:space="preserve"> advertising board), verbal (</w:t>
            </w:r>
            <w:r w:rsidR="00DA14AF" w:rsidRPr="00976A6F">
              <w:rPr>
                <w:rFonts w:ascii="Palatino Linotype" w:hAnsi="Palatino Linotype"/>
                <w:sz w:val="16"/>
                <w:szCs w:val="16"/>
                <w:lang w:val="en-GB"/>
              </w:rPr>
              <w:t>e.g.,</w:t>
            </w:r>
            <w:r w:rsidRPr="00976A6F">
              <w:rPr>
                <w:rFonts w:ascii="Palatino Linotype" w:hAnsi="Palatino Linotype"/>
                <w:sz w:val="16"/>
                <w:szCs w:val="16"/>
                <w:lang w:val="en-GB"/>
              </w:rPr>
              <w:t xml:space="preserve"> commentator reference) or both (</w:t>
            </w:r>
            <w:r w:rsidR="00DA14AF" w:rsidRPr="00976A6F">
              <w:rPr>
                <w:rFonts w:ascii="Palatino Linotype" w:hAnsi="Palatino Linotype"/>
                <w:sz w:val="16"/>
                <w:szCs w:val="16"/>
                <w:lang w:val="en-GB"/>
              </w:rPr>
              <w:t>e.g.,</w:t>
            </w:r>
            <w:r w:rsidRPr="00976A6F">
              <w:rPr>
                <w:rFonts w:ascii="Palatino Linotype" w:hAnsi="Palatino Linotype"/>
                <w:sz w:val="16"/>
                <w:szCs w:val="16"/>
                <w:lang w:val="en-GB"/>
              </w:rPr>
              <w:t xml:space="preserve"> commercial advert with voiceover). </w:t>
            </w:r>
          </w:p>
        </w:tc>
      </w:tr>
      <w:tr w:rsidR="003F0DC2" w:rsidRPr="00976A6F" w14:paraId="3F675A31" w14:textId="77777777" w:rsidTr="009D0441">
        <w:trPr>
          <w:jc w:val="center"/>
        </w:trPr>
        <w:tc>
          <w:tcPr>
            <w:tcW w:w="1413" w:type="dxa"/>
            <w:tcBorders>
              <w:top w:val="single" w:sz="4" w:space="0" w:color="auto"/>
              <w:bottom w:val="single" w:sz="4" w:space="0" w:color="auto"/>
            </w:tcBorders>
            <w:vAlign w:val="center"/>
          </w:tcPr>
          <w:p w14:paraId="4C9B9179" w14:textId="77777777" w:rsidR="003F0DC2" w:rsidRPr="00976A6F" w:rsidRDefault="003F0DC2" w:rsidP="00940256">
            <w:pPr>
              <w:adjustRightInd w:val="0"/>
              <w:snapToGrid w:val="0"/>
              <w:spacing w:line="240" w:lineRule="auto"/>
              <w:jc w:val="center"/>
              <w:rPr>
                <w:rFonts w:ascii="Palatino Linotype" w:hAnsi="Palatino Linotype"/>
                <w:i/>
                <w:sz w:val="16"/>
                <w:szCs w:val="16"/>
                <w:lang w:val="en-GB"/>
              </w:rPr>
            </w:pPr>
            <w:r w:rsidRPr="00976A6F">
              <w:rPr>
                <w:rFonts w:ascii="Palatino Linotype" w:hAnsi="Palatino Linotype"/>
                <w:i/>
                <w:sz w:val="16"/>
                <w:szCs w:val="16"/>
                <w:lang w:val="en-GB"/>
              </w:rPr>
              <w:t xml:space="preserve">Format </w:t>
            </w:r>
          </w:p>
        </w:tc>
        <w:tc>
          <w:tcPr>
            <w:tcW w:w="7229" w:type="dxa"/>
            <w:tcBorders>
              <w:top w:val="single" w:sz="4" w:space="0" w:color="auto"/>
              <w:bottom w:val="single" w:sz="4" w:space="0" w:color="auto"/>
            </w:tcBorders>
            <w:vAlign w:val="center"/>
          </w:tcPr>
          <w:p w14:paraId="0728B2FD" w14:textId="5E805661" w:rsidR="003F0DC2" w:rsidRPr="00976A6F" w:rsidRDefault="003F0DC2" w:rsidP="00940256">
            <w:pPr>
              <w:adjustRightInd w:val="0"/>
              <w:snapToGrid w:val="0"/>
              <w:spacing w:line="240" w:lineRule="auto"/>
              <w:rPr>
                <w:rFonts w:ascii="Palatino Linotype" w:hAnsi="Palatino Linotype"/>
                <w:sz w:val="16"/>
                <w:szCs w:val="16"/>
                <w:lang w:val="en-GB"/>
              </w:rPr>
            </w:pPr>
            <w:r w:rsidRPr="00976A6F">
              <w:rPr>
                <w:rFonts w:ascii="Palatino Linotype" w:hAnsi="Palatino Linotype"/>
                <w:sz w:val="16"/>
                <w:szCs w:val="16"/>
                <w:lang w:val="en-GB"/>
              </w:rPr>
              <w:t>One of: (1) Static advertising fixed in location (</w:t>
            </w:r>
            <w:r w:rsidR="00DA14AF" w:rsidRPr="00976A6F">
              <w:rPr>
                <w:rFonts w:ascii="Palatino Linotype" w:hAnsi="Palatino Linotype"/>
                <w:sz w:val="16"/>
                <w:szCs w:val="16"/>
                <w:lang w:val="en-GB"/>
              </w:rPr>
              <w:t>e.g.,</w:t>
            </w:r>
            <w:r w:rsidRPr="00976A6F">
              <w:rPr>
                <w:rFonts w:ascii="Palatino Linotype" w:hAnsi="Palatino Linotype"/>
                <w:sz w:val="16"/>
                <w:szCs w:val="16"/>
                <w:lang w:val="en-GB"/>
              </w:rPr>
              <w:t xml:space="preserve"> logos on interview boards); (2) Electronic all</w:t>
            </w:r>
            <w:r w:rsidR="001D798A" w:rsidRPr="00976A6F">
              <w:rPr>
                <w:rFonts w:ascii="Palatino Linotype" w:hAnsi="Palatino Linotype"/>
                <w:sz w:val="16"/>
                <w:szCs w:val="16"/>
                <w:lang w:val="en-GB"/>
              </w:rPr>
              <w:t>—</w:t>
            </w:r>
            <w:r w:rsidRPr="00976A6F">
              <w:rPr>
                <w:rFonts w:ascii="Palatino Linotype" w:hAnsi="Palatino Linotype"/>
                <w:sz w:val="16"/>
                <w:szCs w:val="16"/>
                <w:lang w:val="en-GB"/>
              </w:rPr>
              <w:t>instances of electronic/dynamic advertising which covers all the available pitch side boards; (3) Electronic part</w:t>
            </w:r>
            <w:r w:rsidR="001D798A" w:rsidRPr="00976A6F">
              <w:rPr>
                <w:rFonts w:ascii="Palatino Linotype" w:hAnsi="Palatino Linotype"/>
                <w:sz w:val="16"/>
                <w:szCs w:val="16"/>
                <w:lang w:val="en-GB"/>
              </w:rPr>
              <w:t>—</w:t>
            </w:r>
            <w:r w:rsidRPr="00976A6F">
              <w:rPr>
                <w:rFonts w:ascii="Palatino Linotype" w:hAnsi="Palatino Linotype"/>
                <w:sz w:val="16"/>
                <w:szCs w:val="16"/>
                <w:lang w:val="en-GB"/>
              </w:rPr>
              <w:t>instances of electronic/dynamic advertising which only covers part of available pitch side boards; (4) Product or packaging; (5) Verbal reference; (6) Branded merchandise</w:t>
            </w:r>
            <w:r w:rsidR="001D798A" w:rsidRPr="00976A6F">
              <w:rPr>
                <w:rFonts w:ascii="Palatino Linotype" w:hAnsi="Palatino Linotype"/>
                <w:sz w:val="16"/>
                <w:szCs w:val="16"/>
                <w:lang w:val="en-GB"/>
              </w:rPr>
              <w:t>—</w:t>
            </w:r>
            <w:r w:rsidRPr="00976A6F">
              <w:rPr>
                <w:rFonts w:ascii="Palatino Linotype" w:hAnsi="Palatino Linotype"/>
                <w:sz w:val="16"/>
                <w:szCs w:val="16"/>
                <w:lang w:val="en-GB"/>
              </w:rPr>
              <w:t>any item other than the actual product which display a brand logo, slogan or image; (7) Integrated on-screen graphic</w:t>
            </w:r>
            <w:r w:rsidR="001D798A" w:rsidRPr="00976A6F">
              <w:rPr>
                <w:rFonts w:ascii="Palatino Linotype" w:hAnsi="Palatino Linotype"/>
                <w:sz w:val="16"/>
                <w:szCs w:val="16"/>
                <w:lang w:val="en-GB"/>
              </w:rPr>
              <w:t>—</w:t>
            </w:r>
            <w:r w:rsidRPr="00976A6F">
              <w:rPr>
                <w:rFonts w:ascii="Palatino Linotype" w:hAnsi="Palatino Linotype"/>
                <w:sz w:val="16"/>
                <w:szCs w:val="16"/>
                <w:lang w:val="en-GB"/>
              </w:rPr>
              <w:t>such as logos used to transition between broadcast sections (</w:t>
            </w:r>
            <w:r w:rsidR="00DA14AF" w:rsidRPr="00976A6F">
              <w:rPr>
                <w:rFonts w:ascii="Palatino Linotype" w:hAnsi="Palatino Linotype"/>
                <w:sz w:val="16"/>
                <w:szCs w:val="16"/>
                <w:lang w:val="en-GB"/>
              </w:rPr>
              <w:t>e.g.,</w:t>
            </w:r>
            <w:r w:rsidRPr="00976A6F">
              <w:rPr>
                <w:rFonts w:ascii="Palatino Linotype" w:hAnsi="Palatino Linotype"/>
                <w:sz w:val="16"/>
                <w:szCs w:val="16"/>
                <w:lang w:val="en-GB"/>
              </w:rPr>
              <w:t xml:space="preserve"> into match replays, opening credits); (8) Short video introductions featuring the tournament sponsors which begin or end a segment of the broadcast; and (9) Other. </w:t>
            </w:r>
          </w:p>
        </w:tc>
      </w:tr>
      <w:tr w:rsidR="003F0DC2" w:rsidRPr="00976A6F" w14:paraId="79629B6D" w14:textId="77777777" w:rsidTr="009D0441">
        <w:trPr>
          <w:jc w:val="center"/>
        </w:trPr>
        <w:tc>
          <w:tcPr>
            <w:tcW w:w="1413" w:type="dxa"/>
            <w:tcBorders>
              <w:top w:val="single" w:sz="4" w:space="0" w:color="auto"/>
              <w:bottom w:val="single" w:sz="4" w:space="0" w:color="auto"/>
            </w:tcBorders>
            <w:vAlign w:val="center"/>
          </w:tcPr>
          <w:p w14:paraId="7AFBF22C" w14:textId="77777777" w:rsidR="003F0DC2" w:rsidRPr="00976A6F" w:rsidRDefault="003F0DC2" w:rsidP="00940256">
            <w:pPr>
              <w:adjustRightInd w:val="0"/>
              <w:snapToGrid w:val="0"/>
              <w:spacing w:line="240" w:lineRule="auto"/>
              <w:jc w:val="center"/>
              <w:rPr>
                <w:rFonts w:ascii="Palatino Linotype" w:hAnsi="Palatino Linotype"/>
                <w:sz w:val="16"/>
                <w:szCs w:val="16"/>
                <w:lang w:val="en-GB"/>
              </w:rPr>
            </w:pPr>
            <w:r w:rsidRPr="00976A6F">
              <w:rPr>
                <w:rFonts w:ascii="Palatino Linotype" w:hAnsi="Palatino Linotype"/>
                <w:i/>
                <w:sz w:val="16"/>
                <w:szCs w:val="16"/>
                <w:lang w:val="en-GB"/>
              </w:rPr>
              <w:t>Duration</w:t>
            </w:r>
          </w:p>
        </w:tc>
        <w:tc>
          <w:tcPr>
            <w:tcW w:w="7229" w:type="dxa"/>
            <w:tcBorders>
              <w:top w:val="single" w:sz="4" w:space="0" w:color="auto"/>
              <w:bottom w:val="single" w:sz="4" w:space="0" w:color="auto"/>
            </w:tcBorders>
            <w:vAlign w:val="center"/>
          </w:tcPr>
          <w:p w14:paraId="2E86832A" w14:textId="77777777" w:rsidR="003F0DC2" w:rsidRPr="00976A6F" w:rsidRDefault="003F0DC2" w:rsidP="00940256">
            <w:pPr>
              <w:adjustRightInd w:val="0"/>
              <w:snapToGrid w:val="0"/>
              <w:spacing w:line="240" w:lineRule="auto"/>
              <w:jc w:val="center"/>
              <w:rPr>
                <w:rFonts w:ascii="Palatino Linotype" w:hAnsi="Palatino Linotype"/>
                <w:sz w:val="16"/>
                <w:szCs w:val="16"/>
                <w:lang w:val="en-GB"/>
              </w:rPr>
            </w:pPr>
            <w:r w:rsidRPr="00976A6F">
              <w:rPr>
                <w:rFonts w:ascii="Palatino Linotype" w:hAnsi="Palatino Linotype"/>
                <w:sz w:val="16"/>
                <w:szCs w:val="16"/>
                <w:lang w:val="en-GB"/>
              </w:rPr>
              <w:t xml:space="preserve">Total duration the reference lasted for (seconds). </w:t>
            </w:r>
          </w:p>
        </w:tc>
      </w:tr>
      <w:tr w:rsidR="003F0DC2" w:rsidRPr="00976A6F" w14:paraId="6EB6976C" w14:textId="77777777" w:rsidTr="009D0441">
        <w:trPr>
          <w:jc w:val="center"/>
        </w:trPr>
        <w:tc>
          <w:tcPr>
            <w:tcW w:w="1413" w:type="dxa"/>
            <w:tcBorders>
              <w:top w:val="single" w:sz="4" w:space="0" w:color="auto"/>
              <w:bottom w:val="single" w:sz="4" w:space="0" w:color="auto"/>
            </w:tcBorders>
            <w:vAlign w:val="center"/>
          </w:tcPr>
          <w:p w14:paraId="56F19524" w14:textId="77777777" w:rsidR="003F0DC2" w:rsidRPr="00976A6F" w:rsidRDefault="003F0DC2" w:rsidP="00940256">
            <w:pPr>
              <w:pStyle w:val="Heading3"/>
              <w:adjustRightInd w:val="0"/>
              <w:snapToGrid w:val="0"/>
              <w:spacing w:line="240" w:lineRule="auto"/>
              <w:ind w:left="0"/>
              <w:jc w:val="center"/>
              <w:outlineLvl w:val="2"/>
              <w:rPr>
                <w:rFonts w:ascii="Palatino Linotype" w:hAnsi="Palatino Linotype"/>
                <w:b w:val="0"/>
                <w:i/>
                <w:sz w:val="16"/>
                <w:szCs w:val="16"/>
                <w:lang w:val="en-GB"/>
              </w:rPr>
            </w:pPr>
            <w:r w:rsidRPr="00976A6F">
              <w:rPr>
                <w:rFonts w:ascii="Palatino Linotype" w:hAnsi="Palatino Linotype"/>
                <w:b w:val="0"/>
                <w:i/>
                <w:sz w:val="16"/>
                <w:szCs w:val="16"/>
                <w:lang w:val="en-GB"/>
              </w:rPr>
              <w:t>Number of identical references visible at same time</w:t>
            </w:r>
          </w:p>
        </w:tc>
        <w:tc>
          <w:tcPr>
            <w:tcW w:w="7229" w:type="dxa"/>
            <w:tcBorders>
              <w:top w:val="single" w:sz="4" w:space="0" w:color="auto"/>
              <w:bottom w:val="single" w:sz="4" w:space="0" w:color="auto"/>
            </w:tcBorders>
            <w:vAlign w:val="center"/>
          </w:tcPr>
          <w:p w14:paraId="0CF35954" w14:textId="77777777" w:rsidR="003F0DC2" w:rsidRPr="00976A6F" w:rsidRDefault="003F0DC2" w:rsidP="00940256">
            <w:pPr>
              <w:adjustRightInd w:val="0"/>
              <w:snapToGrid w:val="0"/>
              <w:spacing w:line="240" w:lineRule="auto"/>
              <w:rPr>
                <w:rFonts w:ascii="Palatino Linotype" w:hAnsi="Palatino Linotype"/>
                <w:sz w:val="16"/>
                <w:szCs w:val="16"/>
                <w:lang w:val="en-GB"/>
              </w:rPr>
            </w:pPr>
            <w:r w:rsidRPr="00976A6F">
              <w:rPr>
                <w:rFonts w:ascii="Palatino Linotype" w:hAnsi="Palatino Linotype"/>
                <w:sz w:val="16"/>
                <w:szCs w:val="16"/>
                <w:lang w:val="en-GB"/>
              </w:rPr>
              <w:t xml:space="preserve">The maximum total number of identical references visible on screen </w:t>
            </w:r>
            <w:r w:rsidRPr="00976A6F">
              <w:rPr>
                <w:rFonts w:ascii="Palatino Linotype" w:hAnsi="Palatino Linotype"/>
                <w:i/>
                <w:sz w:val="16"/>
                <w:szCs w:val="16"/>
                <w:lang w:val="en-GB"/>
              </w:rPr>
              <w:t>at any one point</w:t>
            </w:r>
            <w:r w:rsidRPr="00976A6F">
              <w:rPr>
                <w:rFonts w:ascii="Palatino Linotype" w:hAnsi="Palatino Linotype"/>
                <w:sz w:val="16"/>
                <w:szCs w:val="16"/>
                <w:lang w:val="en-GB"/>
              </w:rPr>
              <w:t>, not the maximum number visible across the total duration of the reference.</w:t>
            </w:r>
          </w:p>
        </w:tc>
      </w:tr>
      <w:tr w:rsidR="003F0DC2" w:rsidRPr="00976A6F" w14:paraId="7CF89F8E" w14:textId="77777777" w:rsidTr="009D0441">
        <w:trPr>
          <w:jc w:val="center"/>
        </w:trPr>
        <w:tc>
          <w:tcPr>
            <w:tcW w:w="1413" w:type="dxa"/>
            <w:tcBorders>
              <w:top w:val="single" w:sz="4" w:space="0" w:color="auto"/>
              <w:bottom w:val="single" w:sz="4" w:space="0" w:color="auto"/>
            </w:tcBorders>
            <w:vAlign w:val="center"/>
          </w:tcPr>
          <w:p w14:paraId="2A53216C" w14:textId="63E6D483" w:rsidR="003F0DC2" w:rsidRPr="00976A6F" w:rsidRDefault="003F0DC2" w:rsidP="00940256">
            <w:pPr>
              <w:pStyle w:val="Heading3"/>
              <w:adjustRightInd w:val="0"/>
              <w:snapToGrid w:val="0"/>
              <w:spacing w:line="240" w:lineRule="auto"/>
              <w:ind w:left="0"/>
              <w:jc w:val="center"/>
              <w:outlineLvl w:val="2"/>
              <w:rPr>
                <w:rFonts w:ascii="Palatino Linotype" w:hAnsi="Palatino Linotype"/>
                <w:b w:val="0"/>
                <w:i/>
                <w:sz w:val="16"/>
                <w:szCs w:val="16"/>
                <w:lang w:val="en-GB"/>
              </w:rPr>
            </w:pPr>
            <w:r w:rsidRPr="00976A6F">
              <w:rPr>
                <w:rFonts w:ascii="Palatino Linotype" w:hAnsi="Palatino Linotype"/>
                <w:i/>
                <w:sz w:val="16"/>
                <w:szCs w:val="16"/>
                <w:lang w:val="en-GB"/>
              </w:rPr>
              <w:t xml:space="preserve">Nature of the alcohol brand reference </w:t>
            </w:r>
          </w:p>
        </w:tc>
        <w:tc>
          <w:tcPr>
            <w:tcW w:w="7229" w:type="dxa"/>
            <w:tcBorders>
              <w:top w:val="single" w:sz="4" w:space="0" w:color="auto"/>
              <w:bottom w:val="single" w:sz="4" w:space="0" w:color="auto"/>
            </w:tcBorders>
            <w:vAlign w:val="center"/>
          </w:tcPr>
          <w:p w14:paraId="52360207" w14:textId="2F0D97C5" w:rsidR="003F0DC2" w:rsidRPr="00976A6F" w:rsidRDefault="003F0DC2" w:rsidP="00B86E95">
            <w:pPr>
              <w:adjustRightInd w:val="0"/>
              <w:snapToGrid w:val="0"/>
              <w:spacing w:line="240" w:lineRule="auto"/>
              <w:rPr>
                <w:rFonts w:ascii="Palatino Linotype" w:hAnsi="Palatino Linotype"/>
                <w:sz w:val="16"/>
                <w:szCs w:val="16"/>
                <w:lang w:val="en-GB"/>
              </w:rPr>
            </w:pPr>
            <w:r w:rsidRPr="00976A6F">
              <w:rPr>
                <w:rFonts w:ascii="Palatino Linotype" w:hAnsi="Palatino Linotype"/>
                <w:sz w:val="16"/>
                <w:szCs w:val="16"/>
                <w:lang w:val="en-GB"/>
              </w:rPr>
              <w:t>One of: (1) Direct brand reference</w:t>
            </w:r>
            <w:r w:rsidR="001D798A" w:rsidRPr="00976A6F">
              <w:rPr>
                <w:rFonts w:ascii="Palatino Linotype" w:hAnsi="Palatino Linotype"/>
                <w:sz w:val="16"/>
                <w:szCs w:val="16"/>
                <w:lang w:val="en-GB"/>
              </w:rPr>
              <w:t>—</w:t>
            </w:r>
            <w:r w:rsidRPr="00976A6F">
              <w:rPr>
                <w:rFonts w:ascii="Palatino Linotype" w:hAnsi="Palatino Linotype"/>
                <w:sz w:val="16"/>
                <w:szCs w:val="16"/>
                <w:lang w:val="en-GB"/>
              </w:rPr>
              <w:t>such as brand names or logos;</w:t>
            </w:r>
            <w:r w:rsidR="001D798A" w:rsidRPr="00976A6F">
              <w:rPr>
                <w:rFonts w:ascii="Palatino Linotype" w:hAnsi="Palatino Linotype"/>
                <w:sz w:val="16"/>
                <w:szCs w:val="16"/>
                <w:lang w:val="en-GB"/>
              </w:rPr>
              <w:t xml:space="preserve"> (2) Indirect brand reference</w:t>
            </w:r>
            <w:r w:rsidR="00B86E95" w:rsidRPr="00976A6F">
              <w:rPr>
                <w:rFonts w:ascii="Palatino Linotype" w:hAnsi="Palatino Linotype"/>
                <w:sz w:val="16"/>
                <w:szCs w:val="16"/>
                <w:lang w:val="en-GB"/>
              </w:rPr>
              <w:t>—</w:t>
            </w:r>
            <w:r w:rsidRPr="00976A6F">
              <w:rPr>
                <w:rFonts w:ascii="Palatino Linotype" w:hAnsi="Palatino Linotype"/>
                <w:sz w:val="16"/>
                <w:szCs w:val="16"/>
                <w:lang w:val="en-GB"/>
              </w:rPr>
              <w:t xml:space="preserve">although a brand name did not appear, the brand was still identifiable from other signifiers such as phrases from the brand slogan, colour, and typeface. Generic references to alcohol where there was no obvious brand link (such as commentators mentioning that fans or players might </w:t>
            </w:r>
            <w:r w:rsidR="00B86E95" w:rsidRPr="00976A6F">
              <w:rPr>
                <w:rFonts w:ascii="Palatino Linotype" w:hAnsi="Palatino Linotype"/>
                <w:sz w:val="16"/>
                <w:szCs w:val="16"/>
                <w:lang w:val="en-GB"/>
              </w:rPr>
              <w:t>“</w:t>
            </w:r>
            <w:r w:rsidRPr="00976A6F">
              <w:rPr>
                <w:rFonts w:ascii="Palatino Linotype" w:hAnsi="Palatino Linotype"/>
                <w:sz w:val="16"/>
                <w:szCs w:val="16"/>
                <w:lang w:val="en-GB"/>
              </w:rPr>
              <w:t>enjoy a beer</w:t>
            </w:r>
            <w:r w:rsidR="00B86E95" w:rsidRPr="00976A6F">
              <w:rPr>
                <w:rFonts w:ascii="Palatino Linotype" w:hAnsi="Palatino Linotype"/>
                <w:sz w:val="16"/>
                <w:szCs w:val="16"/>
                <w:lang w:val="en-GB"/>
              </w:rPr>
              <w:t>”</w:t>
            </w:r>
            <w:r w:rsidRPr="00976A6F">
              <w:rPr>
                <w:rFonts w:ascii="Palatino Linotype" w:hAnsi="Palatino Linotype"/>
                <w:sz w:val="16"/>
                <w:szCs w:val="16"/>
                <w:lang w:val="en-GB"/>
              </w:rPr>
              <w:t>) were excluded.</w:t>
            </w:r>
            <w:r w:rsidR="0089740D" w:rsidRPr="00976A6F">
              <w:rPr>
                <w:rFonts w:ascii="Palatino Linotype" w:hAnsi="Palatino Linotype"/>
                <w:sz w:val="16"/>
                <w:szCs w:val="16"/>
                <w:lang w:val="en-GB"/>
              </w:rPr>
              <w:t xml:space="preserve"> </w:t>
            </w:r>
          </w:p>
        </w:tc>
      </w:tr>
      <w:tr w:rsidR="003F0DC2" w:rsidRPr="00976A6F" w14:paraId="28D65B28" w14:textId="77777777" w:rsidTr="009D0441">
        <w:trPr>
          <w:jc w:val="center"/>
        </w:trPr>
        <w:tc>
          <w:tcPr>
            <w:tcW w:w="1413" w:type="dxa"/>
            <w:tcBorders>
              <w:top w:val="single" w:sz="4" w:space="0" w:color="auto"/>
            </w:tcBorders>
            <w:vAlign w:val="center"/>
          </w:tcPr>
          <w:p w14:paraId="690E02B2" w14:textId="77777777" w:rsidR="003F0DC2" w:rsidRPr="00976A6F" w:rsidRDefault="003F0DC2" w:rsidP="00940256">
            <w:pPr>
              <w:adjustRightInd w:val="0"/>
              <w:snapToGrid w:val="0"/>
              <w:spacing w:line="240" w:lineRule="auto"/>
              <w:jc w:val="center"/>
              <w:rPr>
                <w:rFonts w:ascii="Palatino Linotype" w:hAnsi="Palatino Linotype"/>
                <w:i/>
                <w:sz w:val="16"/>
                <w:szCs w:val="16"/>
                <w:lang w:val="en-GB"/>
              </w:rPr>
            </w:pPr>
            <w:r w:rsidRPr="00976A6F">
              <w:rPr>
                <w:rFonts w:ascii="Palatino Linotype" w:hAnsi="Palatino Linotype"/>
                <w:i/>
                <w:sz w:val="16"/>
                <w:szCs w:val="16"/>
                <w:lang w:val="en-GB"/>
              </w:rPr>
              <w:t>Alcohol brand featured</w:t>
            </w:r>
          </w:p>
        </w:tc>
        <w:tc>
          <w:tcPr>
            <w:tcW w:w="7229" w:type="dxa"/>
            <w:tcBorders>
              <w:top w:val="single" w:sz="4" w:space="0" w:color="auto"/>
            </w:tcBorders>
            <w:vAlign w:val="center"/>
          </w:tcPr>
          <w:p w14:paraId="598A4718" w14:textId="77777777" w:rsidR="003F0DC2" w:rsidRPr="00976A6F" w:rsidRDefault="003F0DC2" w:rsidP="00940256">
            <w:pPr>
              <w:adjustRightInd w:val="0"/>
              <w:snapToGrid w:val="0"/>
              <w:spacing w:line="240" w:lineRule="auto"/>
              <w:jc w:val="center"/>
              <w:rPr>
                <w:rFonts w:ascii="Palatino Linotype" w:hAnsi="Palatino Linotype"/>
                <w:sz w:val="16"/>
                <w:szCs w:val="16"/>
                <w:lang w:val="en-GB"/>
              </w:rPr>
            </w:pPr>
            <w:r w:rsidRPr="00976A6F">
              <w:rPr>
                <w:rFonts w:ascii="Palatino Linotype" w:hAnsi="Palatino Linotype"/>
                <w:sz w:val="16"/>
                <w:szCs w:val="16"/>
                <w:lang w:val="en-GB"/>
              </w:rPr>
              <w:t>If a direct or indirect brand reference, then the name of the alcohol brand depicted was recorded.</w:t>
            </w:r>
          </w:p>
        </w:tc>
      </w:tr>
    </w:tbl>
    <w:p w14:paraId="4273D58A" w14:textId="00F0A3DD" w:rsidR="003F0DC2" w:rsidRPr="00976A6F" w:rsidRDefault="003F0DC2" w:rsidP="00940256">
      <w:pPr>
        <w:pStyle w:val="MDPI21heading1"/>
        <w:rPr>
          <w:lang w:val="en-GB"/>
        </w:rPr>
      </w:pPr>
      <w:r w:rsidRPr="00976A6F">
        <w:rPr>
          <w:lang w:val="en-GB"/>
        </w:rPr>
        <w:t>Appendix B</w:t>
      </w:r>
    </w:p>
    <w:p w14:paraId="70D3D7F6" w14:textId="1F9B4016" w:rsidR="003F0DC2" w:rsidRPr="00976A6F" w:rsidRDefault="003F0DC2" w:rsidP="00940256">
      <w:pPr>
        <w:pStyle w:val="MDPI41tablecaption"/>
        <w:jc w:val="center"/>
        <w:rPr>
          <w:lang w:val="en-GB"/>
        </w:rPr>
      </w:pPr>
      <w:r w:rsidRPr="00976A6F">
        <w:rPr>
          <w:b/>
          <w:lang w:val="en-GB"/>
        </w:rPr>
        <w:t>Table B1.</w:t>
      </w:r>
      <w:r w:rsidRPr="00976A6F">
        <w:rPr>
          <w:lang w:val="en-GB"/>
        </w:rPr>
        <w:t xml:space="preserve"> Summary of inter-rater reliability agreement</w:t>
      </w:r>
      <w:r w:rsidR="00940256" w:rsidRPr="00976A6F">
        <w:rPr>
          <w:lang w:val="en-GB"/>
        </w:rPr>
        <w:t>.</w:t>
      </w:r>
    </w:p>
    <w:tbl>
      <w:tblPr>
        <w:tblStyle w:val="TableGrid4"/>
        <w:tblW w:w="3614"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897"/>
        <w:gridCol w:w="940"/>
        <w:gridCol w:w="1372"/>
      </w:tblGrid>
      <w:tr w:rsidR="00DE1564" w:rsidRPr="00976A6F" w14:paraId="3833CF65" w14:textId="77777777" w:rsidTr="00DE1564">
        <w:trPr>
          <w:jc w:val="center"/>
        </w:trPr>
        <w:tc>
          <w:tcPr>
            <w:tcW w:w="2490" w:type="pct"/>
            <w:vMerge w:val="restart"/>
            <w:tcBorders>
              <w:top w:val="single" w:sz="8" w:space="0" w:color="auto"/>
            </w:tcBorders>
            <w:vAlign w:val="center"/>
          </w:tcPr>
          <w:p w14:paraId="0021281D" w14:textId="3234CEEA" w:rsidR="00DE1564" w:rsidRPr="00976A6F" w:rsidRDefault="00DE1564" w:rsidP="009D0441">
            <w:pPr>
              <w:adjustRightInd w:val="0"/>
              <w:snapToGrid w:val="0"/>
              <w:spacing w:line="240" w:lineRule="auto"/>
              <w:jc w:val="left"/>
              <w:rPr>
                <w:rFonts w:ascii="Palatino Linotype" w:eastAsia="Calibri" w:hAnsi="Palatino Linotype"/>
                <w:b/>
                <w:sz w:val="18"/>
                <w:szCs w:val="18"/>
              </w:rPr>
            </w:pPr>
            <w:r w:rsidRPr="00976A6F">
              <w:rPr>
                <w:rFonts w:ascii="Palatino Linotype" w:eastAsia="Calibri" w:hAnsi="Palatino Linotype"/>
                <w:b/>
                <w:sz w:val="18"/>
                <w:szCs w:val="18"/>
              </w:rPr>
              <w:t>Variables</w:t>
            </w:r>
          </w:p>
        </w:tc>
        <w:tc>
          <w:tcPr>
            <w:tcW w:w="702" w:type="pct"/>
            <w:tcBorders>
              <w:top w:val="single" w:sz="8" w:space="0" w:color="auto"/>
              <w:bottom w:val="single" w:sz="4" w:space="0" w:color="auto"/>
            </w:tcBorders>
            <w:vAlign w:val="center"/>
          </w:tcPr>
          <w:p w14:paraId="130C9729" w14:textId="77777777" w:rsidR="00DE1564" w:rsidRPr="00976A6F" w:rsidRDefault="00DE1564" w:rsidP="009D0441">
            <w:pPr>
              <w:adjustRightInd w:val="0"/>
              <w:snapToGrid w:val="0"/>
              <w:spacing w:line="240" w:lineRule="auto"/>
              <w:jc w:val="center"/>
              <w:rPr>
                <w:rFonts w:ascii="Palatino Linotype" w:eastAsia="Calibri" w:hAnsi="Palatino Linotype"/>
                <w:b/>
                <w:sz w:val="18"/>
                <w:szCs w:val="18"/>
              </w:rPr>
            </w:pPr>
            <w:r w:rsidRPr="00976A6F">
              <w:rPr>
                <w:rFonts w:ascii="Palatino Linotype" w:eastAsia="Calibri" w:hAnsi="Palatino Linotype"/>
                <w:b/>
                <w:sz w:val="18"/>
                <w:szCs w:val="18"/>
              </w:rPr>
              <w:t>NC</w:t>
            </w:r>
          </w:p>
        </w:tc>
        <w:tc>
          <w:tcPr>
            <w:tcW w:w="735" w:type="pct"/>
            <w:tcBorders>
              <w:top w:val="single" w:sz="8" w:space="0" w:color="auto"/>
              <w:bottom w:val="single" w:sz="4" w:space="0" w:color="auto"/>
            </w:tcBorders>
            <w:vAlign w:val="center"/>
          </w:tcPr>
          <w:p w14:paraId="650FC354" w14:textId="77777777" w:rsidR="00DE1564" w:rsidRPr="00976A6F" w:rsidRDefault="00DE1564" w:rsidP="009D0441">
            <w:pPr>
              <w:adjustRightInd w:val="0"/>
              <w:snapToGrid w:val="0"/>
              <w:spacing w:line="240" w:lineRule="auto"/>
              <w:jc w:val="center"/>
              <w:rPr>
                <w:rFonts w:ascii="Palatino Linotype" w:eastAsia="Calibri" w:hAnsi="Palatino Linotype"/>
                <w:b/>
                <w:sz w:val="18"/>
                <w:szCs w:val="18"/>
              </w:rPr>
            </w:pPr>
            <w:r w:rsidRPr="00976A6F">
              <w:rPr>
                <w:rFonts w:ascii="Palatino Linotype" w:eastAsia="Calibri" w:hAnsi="Palatino Linotype"/>
                <w:b/>
                <w:sz w:val="18"/>
                <w:szCs w:val="18"/>
              </w:rPr>
              <w:t>RP</w:t>
            </w:r>
          </w:p>
        </w:tc>
        <w:tc>
          <w:tcPr>
            <w:tcW w:w="1073" w:type="pct"/>
            <w:tcBorders>
              <w:top w:val="single" w:sz="8" w:space="0" w:color="auto"/>
              <w:bottom w:val="single" w:sz="4" w:space="0" w:color="auto"/>
            </w:tcBorders>
            <w:vAlign w:val="center"/>
          </w:tcPr>
          <w:p w14:paraId="28C56802" w14:textId="77777777" w:rsidR="00DE1564" w:rsidRPr="00976A6F" w:rsidRDefault="00DE1564" w:rsidP="009D0441">
            <w:pPr>
              <w:adjustRightInd w:val="0"/>
              <w:snapToGrid w:val="0"/>
              <w:spacing w:line="240" w:lineRule="auto"/>
              <w:jc w:val="center"/>
              <w:rPr>
                <w:rFonts w:ascii="Palatino Linotype" w:eastAsia="Calibri" w:hAnsi="Palatino Linotype"/>
                <w:b/>
                <w:sz w:val="18"/>
                <w:szCs w:val="18"/>
              </w:rPr>
            </w:pPr>
            <w:r w:rsidRPr="00976A6F">
              <w:rPr>
                <w:rFonts w:ascii="Palatino Linotype" w:eastAsia="Calibri" w:hAnsi="Palatino Linotype"/>
                <w:b/>
                <w:sz w:val="18"/>
                <w:szCs w:val="18"/>
              </w:rPr>
              <w:t>% Agreement</w:t>
            </w:r>
          </w:p>
        </w:tc>
      </w:tr>
      <w:tr w:rsidR="00DE1564" w:rsidRPr="00976A6F" w14:paraId="5A03942A" w14:textId="77777777" w:rsidTr="00DE1564">
        <w:trPr>
          <w:jc w:val="center"/>
        </w:trPr>
        <w:tc>
          <w:tcPr>
            <w:tcW w:w="2490" w:type="pct"/>
            <w:vMerge/>
            <w:tcBorders>
              <w:bottom w:val="single" w:sz="4" w:space="0" w:color="auto"/>
            </w:tcBorders>
            <w:vAlign w:val="center"/>
          </w:tcPr>
          <w:p w14:paraId="36A83826" w14:textId="60FF0377" w:rsidR="00DE1564" w:rsidRPr="00976A6F" w:rsidRDefault="00DE1564" w:rsidP="009D0441">
            <w:pPr>
              <w:adjustRightInd w:val="0"/>
              <w:snapToGrid w:val="0"/>
              <w:spacing w:line="240" w:lineRule="auto"/>
              <w:jc w:val="left"/>
              <w:rPr>
                <w:rFonts w:ascii="Palatino Linotype" w:eastAsia="Calibri" w:hAnsi="Palatino Linotype"/>
                <w:b/>
                <w:sz w:val="18"/>
                <w:szCs w:val="18"/>
              </w:rPr>
            </w:pPr>
          </w:p>
        </w:tc>
        <w:tc>
          <w:tcPr>
            <w:tcW w:w="702" w:type="pct"/>
            <w:tcBorders>
              <w:top w:val="single" w:sz="4" w:space="0" w:color="auto"/>
              <w:bottom w:val="single" w:sz="4" w:space="0" w:color="auto"/>
            </w:tcBorders>
            <w:vAlign w:val="center"/>
          </w:tcPr>
          <w:p w14:paraId="6E7ED734" w14:textId="77777777" w:rsidR="00DE1564" w:rsidRPr="00976A6F" w:rsidRDefault="00DE1564" w:rsidP="009D0441">
            <w:pPr>
              <w:adjustRightInd w:val="0"/>
              <w:snapToGrid w:val="0"/>
              <w:spacing w:line="240" w:lineRule="auto"/>
              <w:jc w:val="center"/>
              <w:rPr>
                <w:rFonts w:ascii="Palatino Linotype" w:eastAsia="Calibri" w:hAnsi="Palatino Linotype"/>
                <w:b/>
                <w:i/>
                <w:sz w:val="18"/>
                <w:szCs w:val="18"/>
              </w:rPr>
            </w:pPr>
            <w:r w:rsidRPr="00976A6F">
              <w:rPr>
                <w:rFonts w:ascii="Palatino Linotype" w:eastAsia="Calibri" w:hAnsi="Palatino Linotype"/>
                <w:b/>
                <w:i/>
                <w:sz w:val="18"/>
                <w:szCs w:val="18"/>
              </w:rPr>
              <w:t>n</w:t>
            </w:r>
          </w:p>
        </w:tc>
        <w:tc>
          <w:tcPr>
            <w:tcW w:w="735" w:type="pct"/>
            <w:tcBorders>
              <w:top w:val="single" w:sz="4" w:space="0" w:color="auto"/>
              <w:bottom w:val="single" w:sz="4" w:space="0" w:color="auto"/>
            </w:tcBorders>
            <w:vAlign w:val="center"/>
          </w:tcPr>
          <w:p w14:paraId="1312D816" w14:textId="77777777" w:rsidR="00DE1564" w:rsidRPr="00976A6F" w:rsidRDefault="00DE1564" w:rsidP="009D0441">
            <w:pPr>
              <w:adjustRightInd w:val="0"/>
              <w:snapToGrid w:val="0"/>
              <w:spacing w:line="240" w:lineRule="auto"/>
              <w:jc w:val="center"/>
              <w:rPr>
                <w:rFonts w:ascii="Palatino Linotype" w:eastAsia="Calibri" w:hAnsi="Palatino Linotype"/>
                <w:b/>
                <w:i/>
                <w:sz w:val="18"/>
                <w:szCs w:val="18"/>
              </w:rPr>
            </w:pPr>
            <w:r w:rsidRPr="00976A6F">
              <w:rPr>
                <w:rFonts w:ascii="Palatino Linotype" w:eastAsia="Calibri" w:hAnsi="Palatino Linotype"/>
                <w:b/>
                <w:i/>
                <w:sz w:val="18"/>
                <w:szCs w:val="18"/>
              </w:rPr>
              <w:t>n</w:t>
            </w:r>
          </w:p>
        </w:tc>
        <w:tc>
          <w:tcPr>
            <w:tcW w:w="1073" w:type="pct"/>
            <w:tcBorders>
              <w:top w:val="single" w:sz="4" w:space="0" w:color="auto"/>
              <w:bottom w:val="single" w:sz="4" w:space="0" w:color="auto"/>
            </w:tcBorders>
            <w:vAlign w:val="center"/>
          </w:tcPr>
          <w:p w14:paraId="54F87093" w14:textId="77777777" w:rsidR="00DE1564" w:rsidRPr="00976A6F" w:rsidRDefault="00DE1564" w:rsidP="009D0441">
            <w:pPr>
              <w:adjustRightInd w:val="0"/>
              <w:snapToGrid w:val="0"/>
              <w:spacing w:line="240" w:lineRule="auto"/>
              <w:jc w:val="center"/>
              <w:rPr>
                <w:rFonts w:ascii="Palatino Linotype" w:eastAsia="Calibri" w:hAnsi="Palatino Linotype"/>
                <w:b/>
                <w:i/>
                <w:sz w:val="18"/>
                <w:szCs w:val="18"/>
              </w:rPr>
            </w:pPr>
          </w:p>
        </w:tc>
      </w:tr>
      <w:tr w:rsidR="00357F2D" w:rsidRPr="00976A6F" w14:paraId="4F0B24C1" w14:textId="77777777" w:rsidTr="00DE1564">
        <w:trPr>
          <w:jc w:val="center"/>
        </w:trPr>
        <w:tc>
          <w:tcPr>
            <w:tcW w:w="2490" w:type="pct"/>
            <w:tcBorders>
              <w:top w:val="single" w:sz="4" w:space="0" w:color="auto"/>
            </w:tcBorders>
            <w:vAlign w:val="center"/>
          </w:tcPr>
          <w:p w14:paraId="5657E427" w14:textId="77777777" w:rsidR="00357F2D" w:rsidRPr="00976A6F" w:rsidRDefault="00357F2D" w:rsidP="009D0441">
            <w:pPr>
              <w:adjustRightInd w:val="0"/>
              <w:snapToGrid w:val="0"/>
              <w:spacing w:line="240" w:lineRule="auto"/>
              <w:jc w:val="left"/>
              <w:rPr>
                <w:rFonts w:ascii="Palatino Linotype" w:eastAsia="Calibri" w:hAnsi="Palatino Linotype"/>
                <w:sz w:val="18"/>
                <w:szCs w:val="18"/>
              </w:rPr>
            </w:pPr>
            <w:r w:rsidRPr="00976A6F">
              <w:rPr>
                <w:rFonts w:ascii="Palatino Linotype" w:eastAsia="Calibri" w:hAnsi="Palatino Linotype"/>
                <w:sz w:val="18"/>
                <w:szCs w:val="18"/>
              </w:rPr>
              <w:t>Broadcast segment</w:t>
            </w:r>
          </w:p>
        </w:tc>
        <w:tc>
          <w:tcPr>
            <w:tcW w:w="702" w:type="pct"/>
            <w:tcBorders>
              <w:top w:val="single" w:sz="4" w:space="0" w:color="auto"/>
            </w:tcBorders>
            <w:vAlign w:val="center"/>
          </w:tcPr>
          <w:p w14:paraId="04D87E4B" w14:textId="77777777" w:rsidR="00357F2D" w:rsidRPr="00976A6F" w:rsidRDefault="00357F2D" w:rsidP="009D0441">
            <w:pPr>
              <w:adjustRightInd w:val="0"/>
              <w:snapToGrid w:val="0"/>
              <w:spacing w:line="240" w:lineRule="auto"/>
              <w:jc w:val="center"/>
              <w:rPr>
                <w:rFonts w:ascii="Palatino Linotype" w:eastAsia="Calibri" w:hAnsi="Palatino Linotype"/>
                <w:b/>
                <w:i/>
                <w:sz w:val="18"/>
                <w:szCs w:val="18"/>
              </w:rPr>
            </w:pPr>
          </w:p>
        </w:tc>
        <w:tc>
          <w:tcPr>
            <w:tcW w:w="735" w:type="pct"/>
            <w:tcBorders>
              <w:top w:val="single" w:sz="4" w:space="0" w:color="auto"/>
            </w:tcBorders>
            <w:vAlign w:val="center"/>
          </w:tcPr>
          <w:p w14:paraId="0071B9B9" w14:textId="77777777" w:rsidR="00357F2D" w:rsidRPr="00976A6F" w:rsidRDefault="00357F2D" w:rsidP="009D0441">
            <w:pPr>
              <w:adjustRightInd w:val="0"/>
              <w:snapToGrid w:val="0"/>
              <w:spacing w:line="240" w:lineRule="auto"/>
              <w:jc w:val="center"/>
              <w:rPr>
                <w:rFonts w:ascii="Palatino Linotype" w:eastAsia="Calibri" w:hAnsi="Palatino Linotype"/>
                <w:b/>
                <w:i/>
                <w:sz w:val="18"/>
                <w:szCs w:val="18"/>
              </w:rPr>
            </w:pPr>
          </w:p>
        </w:tc>
        <w:tc>
          <w:tcPr>
            <w:tcW w:w="1073" w:type="pct"/>
            <w:tcBorders>
              <w:top w:val="single" w:sz="4" w:space="0" w:color="auto"/>
            </w:tcBorders>
            <w:vAlign w:val="center"/>
          </w:tcPr>
          <w:p w14:paraId="25EEA3B5" w14:textId="77777777" w:rsidR="00357F2D" w:rsidRPr="00976A6F" w:rsidRDefault="00357F2D" w:rsidP="009D0441">
            <w:pPr>
              <w:adjustRightInd w:val="0"/>
              <w:snapToGrid w:val="0"/>
              <w:spacing w:line="240" w:lineRule="auto"/>
              <w:jc w:val="center"/>
              <w:rPr>
                <w:rFonts w:ascii="Palatino Linotype" w:eastAsia="Calibri" w:hAnsi="Palatino Linotype"/>
                <w:b/>
                <w:i/>
                <w:sz w:val="18"/>
                <w:szCs w:val="18"/>
              </w:rPr>
            </w:pPr>
          </w:p>
        </w:tc>
      </w:tr>
      <w:tr w:rsidR="00357F2D" w:rsidRPr="00976A6F" w14:paraId="46F21554" w14:textId="77777777" w:rsidTr="00DE1564">
        <w:trPr>
          <w:jc w:val="center"/>
        </w:trPr>
        <w:tc>
          <w:tcPr>
            <w:tcW w:w="2490" w:type="pct"/>
            <w:vAlign w:val="center"/>
          </w:tcPr>
          <w:p w14:paraId="798DE8D3"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Pre-match</w:t>
            </w:r>
          </w:p>
        </w:tc>
        <w:tc>
          <w:tcPr>
            <w:tcW w:w="702" w:type="pct"/>
            <w:vAlign w:val="center"/>
          </w:tcPr>
          <w:p w14:paraId="5429CD9A"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23</w:t>
            </w:r>
          </w:p>
        </w:tc>
        <w:tc>
          <w:tcPr>
            <w:tcW w:w="735" w:type="pct"/>
            <w:vAlign w:val="center"/>
          </w:tcPr>
          <w:p w14:paraId="62C17CF6"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21</w:t>
            </w:r>
          </w:p>
        </w:tc>
        <w:tc>
          <w:tcPr>
            <w:tcW w:w="1073" w:type="pct"/>
            <w:shd w:val="clear" w:color="auto" w:fill="auto"/>
            <w:vAlign w:val="center"/>
          </w:tcPr>
          <w:p w14:paraId="33E3D869"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91%</w:t>
            </w:r>
          </w:p>
        </w:tc>
      </w:tr>
      <w:tr w:rsidR="00357F2D" w:rsidRPr="00976A6F" w14:paraId="02259436" w14:textId="77777777" w:rsidTr="00DE1564">
        <w:trPr>
          <w:jc w:val="center"/>
        </w:trPr>
        <w:tc>
          <w:tcPr>
            <w:tcW w:w="2490" w:type="pct"/>
            <w:vAlign w:val="center"/>
          </w:tcPr>
          <w:p w14:paraId="5029018B" w14:textId="39AEF161"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1st half</w:t>
            </w:r>
          </w:p>
        </w:tc>
        <w:tc>
          <w:tcPr>
            <w:tcW w:w="702" w:type="pct"/>
            <w:vAlign w:val="center"/>
          </w:tcPr>
          <w:p w14:paraId="502D1D04"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37</w:t>
            </w:r>
          </w:p>
        </w:tc>
        <w:tc>
          <w:tcPr>
            <w:tcW w:w="735" w:type="pct"/>
            <w:vAlign w:val="center"/>
          </w:tcPr>
          <w:p w14:paraId="6DBF1564"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37</w:t>
            </w:r>
          </w:p>
        </w:tc>
        <w:tc>
          <w:tcPr>
            <w:tcW w:w="1073" w:type="pct"/>
            <w:shd w:val="clear" w:color="auto" w:fill="auto"/>
            <w:vAlign w:val="center"/>
          </w:tcPr>
          <w:p w14:paraId="56A48F98"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100%</w:t>
            </w:r>
          </w:p>
        </w:tc>
      </w:tr>
      <w:tr w:rsidR="00357F2D" w:rsidRPr="00976A6F" w14:paraId="33508D24" w14:textId="77777777" w:rsidTr="00DE1564">
        <w:trPr>
          <w:jc w:val="center"/>
        </w:trPr>
        <w:tc>
          <w:tcPr>
            <w:tcW w:w="2490" w:type="pct"/>
            <w:vAlign w:val="center"/>
          </w:tcPr>
          <w:p w14:paraId="76B394DC"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Half-time</w:t>
            </w:r>
          </w:p>
        </w:tc>
        <w:tc>
          <w:tcPr>
            <w:tcW w:w="702" w:type="pct"/>
            <w:vAlign w:val="center"/>
          </w:tcPr>
          <w:p w14:paraId="6262B36F"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15</w:t>
            </w:r>
          </w:p>
        </w:tc>
        <w:tc>
          <w:tcPr>
            <w:tcW w:w="735" w:type="pct"/>
            <w:vAlign w:val="center"/>
          </w:tcPr>
          <w:p w14:paraId="7F8A8F4C"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15</w:t>
            </w:r>
          </w:p>
        </w:tc>
        <w:tc>
          <w:tcPr>
            <w:tcW w:w="1073" w:type="pct"/>
            <w:shd w:val="clear" w:color="auto" w:fill="auto"/>
            <w:vAlign w:val="center"/>
          </w:tcPr>
          <w:p w14:paraId="01A85EFC"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100%</w:t>
            </w:r>
          </w:p>
        </w:tc>
      </w:tr>
      <w:tr w:rsidR="00357F2D" w:rsidRPr="00976A6F" w14:paraId="17F46A8F" w14:textId="77777777" w:rsidTr="00DE1564">
        <w:trPr>
          <w:jc w:val="center"/>
        </w:trPr>
        <w:tc>
          <w:tcPr>
            <w:tcW w:w="2490" w:type="pct"/>
            <w:tcBorders>
              <w:bottom w:val="nil"/>
            </w:tcBorders>
            <w:vAlign w:val="center"/>
          </w:tcPr>
          <w:p w14:paraId="34435C45" w14:textId="40BDE106"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2nd half</w:t>
            </w:r>
          </w:p>
        </w:tc>
        <w:tc>
          <w:tcPr>
            <w:tcW w:w="702" w:type="pct"/>
            <w:tcBorders>
              <w:bottom w:val="nil"/>
            </w:tcBorders>
            <w:vAlign w:val="center"/>
          </w:tcPr>
          <w:p w14:paraId="17379F45"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50</w:t>
            </w:r>
          </w:p>
        </w:tc>
        <w:tc>
          <w:tcPr>
            <w:tcW w:w="735" w:type="pct"/>
            <w:tcBorders>
              <w:bottom w:val="nil"/>
            </w:tcBorders>
            <w:vAlign w:val="center"/>
          </w:tcPr>
          <w:p w14:paraId="4BE5CDE1"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50</w:t>
            </w:r>
          </w:p>
        </w:tc>
        <w:tc>
          <w:tcPr>
            <w:tcW w:w="1073" w:type="pct"/>
            <w:tcBorders>
              <w:bottom w:val="nil"/>
            </w:tcBorders>
            <w:shd w:val="clear" w:color="auto" w:fill="auto"/>
            <w:vAlign w:val="center"/>
          </w:tcPr>
          <w:p w14:paraId="4A180E96"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100%</w:t>
            </w:r>
          </w:p>
        </w:tc>
      </w:tr>
      <w:tr w:rsidR="00357F2D" w:rsidRPr="00976A6F" w14:paraId="3CB19A91" w14:textId="77777777" w:rsidTr="00DE1564">
        <w:trPr>
          <w:jc w:val="center"/>
        </w:trPr>
        <w:tc>
          <w:tcPr>
            <w:tcW w:w="2490" w:type="pct"/>
            <w:tcBorders>
              <w:top w:val="nil"/>
              <w:bottom w:val="nil"/>
            </w:tcBorders>
            <w:vAlign w:val="center"/>
          </w:tcPr>
          <w:p w14:paraId="16A8B02A"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Post-match</w:t>
            </w:r>
          </w:p>
        </w:tc>
        <w:tc>
          <w:tcPr>
            <w:tcW w:w="702" w:type="pct"/>
            <w:tcBorders>
              <w:top w:val="nil"/>
              <w:bottom w:val="nil"/>
            </w:tcBorders>
            <w:vAlign w:val="center"/>
          </w:tcPr>
          <w:p w14:paraId="607B0848"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6</w:t>
            </w:r>
          </w:p>
        </w:tc>
        <w:tc>
          <w:tcPr>
            <w:tcW w:w="735" w:type="pct"/>
            <w:tcBorders>
              <w:top w:val="nil"/>
              <w:bottom w:val="nil"/>
            </w:tcBorders>
            <w:vAlign w:val="center"/>
          </w:tcPr>
          <w:p w14:paraId="6AF9A7DE"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5</w:t>
            </w:r>
          </w:p>
        </w:tc>
        <w:tc>
          <w:tcPr>
            <w:tcW w:w="1073" w:type="pct"/>
            <w:tcBorders>
              <w:top w:val="nil"/>
              <w:bottom w:val="nil"/>
            </w:tcBorders>
            <w:shd w:val="clear" w:color="auto" w:fill="auto"/>
            <w:vAlign w:val="center"/>
          </w:tcPr>
          <w:p w14:paraId="06A9D734"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83%</w:t>
            </w:r>
          </w:p>
        </w:tc>
      </w:tr>
      <w:tr w:rsidR="00357F2D" w:rsidRPr="00976A6F" w14:paraId="1CB02789" w14:textId="77777777" w:rsidTr="00DE1564">
        <w:trPr>
          <w:jc w:val="center"/>
        </w:trPr>
        <w:tc>
          <w:tcPr>
            <w:tcW w:w="2490" w:type="pct"/>
            <w:tcBorders>
              <w:top w:val="nil"/>
              <w:bottom w:val="single" w:sz="4" w:space="0" w:color="auto"/>
            </w:tcBorders>
            <w:vAlign w:val="center"/>
          </w:tcPr>
          <w:p w14:paraId="04837AC1" w14:textId="77777777" w:rsidR="00357F2D" w:rsidRPr="00976A6F" w:rsidRDefault="00357F2D" w:rsidP="009D0441">
            <w:pPr>
              <w:adjustRightInd w:val="0"/>
              <w:snapToGrid w:val="0"/>
              <w:spacing w:line="240" w:lineRule="auto"/>
              <w:jc w:val="left"/>
              <w:rPr>
                <w:rFonts w:ascii="Palatino Linotype" w:eastAsia="Calibri" w:hAnsi="Palatino Linotype"/>
                <w:sz w:val="18"/>
                <w:szCs w:val="18"/>
              </w:rPr>
            </w:pPr>
            <w:r w:rsidRPr="00976A6F">
              <w:rPr>
                <w:rFonts w:ascii="Palatino Linotype" w:eastAsia="Calibri" w:hAnsi="Palatino Linotype"/>
                <w:sz w:val="18"/>
                <w:szCs w:val="18"/>
              </w:rPr>
              <w:t>Average agreement for variable</w:t>
            </w:r>
          </w:p>
        </w:tc>
        <w:tc>
          <w:tcPr>
            <w:tcW w:w="702" w:type="pct"/>
            <w:tcBorders>
              <w:top w:val="nil"/>
              <w:bottom w:val="single" w:sz="4" w:space="0" w:color="auto"/>
            </w:tcBorders>
            <w:vAlign w:val="center"/>
          </w:tcPr>
          <w:p w14:paraId="4308FBEE"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735" w:type="pct"/>
            <w:tcBorders>
              <w:top w:val="nil"/>
              <w:bottom w:val="single" w:sz="4" w:space="0" w:color="auto"/>
            </w:tcBorders>
            <w:vAlign w:val="center"/>
          </w:tcPr>
          <w:p w14:paraId="4AB5ADAE"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1073" w:type="pct"/>
            <w:tcBorders>
              <w:top w:val="nil"/>
              <w:bottom w:val="single" w:sz="4" w:space="0" w:color="auto"/>
            </w:tcBorders>
            <w:shd w:val="clear" w:color="auto" w:fill="auto"/>
            <w:vAlign w:val="center"/>
          </w:tcPr>
          <w:p w14:paraId="36D4CC58"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95%</w:t>
            </w:r>
          </w:p>
        </w:tc>
      </w:tr>
      <w:tr w:rsidR="00357F2D" w:rsidRPr="00976A6F" w14:paraId="464B48F4" w14:textId="77777777" w:rsidTr="00DE1564">
        <w:trPr>
          <w:jc w:val="center"/>
        </w:trPr>
        <w:tc>
          <w:tcPr>
            <w:tcW w:w="2490" w:type="pct"/>
            <w:tcBorders>
              <w:bottom w:val="nil"/>
            </w:tcBorders>
            <w:vAlign w:val="center"/>
          </w:tcPr>
          <w:p w14:paraId="3F272D03" w14:textId="77777777" w:rsidR="00357F2D" w:rsidRPr="00976A6F" w:rsidRDefault="00357F2D" w:rsidP="009D0441">
            <w:pPr>
              <w:adjustRightInd w:val="0"/>
              <w:snapToGrid w:val="0"/>
              <w:spacing w:line="240" w:lineRule="auto"/>
              <w:jc w:val="left"/>
              <w:rPr>
                <w:rFonts w:ascii="Palatino Linotype" w:eastAsia="Calibri" w:hAnsi="Palatino Linotype"/>
                <w:sz w:val="18"/>
                <w:szCs w:val="18"/>
              </w:rPr>
            </w:pPr>
            <w:r w:rsidRPr="00976A6F">
              <w:rPr>
                <w:rFonts w:ascii="Palatino Linotype" w:eastAsia="Calibri" w:hAnsi="Palatino Linotype"/>
                <w:sz w:val="18"/>
                <w:szCs w:val="18"/>
              </w:rPr>
              <w:t>Reference type</w:t>
            </w:r>
          </w:p>
        </w:tc>
        <w:tc>
          <w:tcPr>
            <w:tcW w:w="702" w:type="pct"/>
            <w:tcBorders>
              <w:bottom w:val="nil"/>
            </w:tcBorders>
            <w:vAlign w:val="center"/>
          </w:tcPr>
          <w:p w14:paraId="5CF6B19E"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735" w:type="pct"/>
            <w:tcBorders>
              <w:bottom w:val="nil"/>
            </w:tcBorders>
            <w:vAlign w:val="center"/>
          </w:tcPr>
          <w:p w14:paraId="7F08D8F4"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1073" w:type="pct"/>
            <w:tcBorders>
              <w:bottom w:val="nil"/>
            </w:tcBorders>
            <w:shd w:val="clear" w:color="auto" w:fill="auto"/>
            <w:vAlign w:val="center"/>
          </w:tcPr>
          <w:p w14:paraId="117811B0"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r>
      <w:tr w:rsidR="00357F2D" w:rsidRPr="00976A6F" w14:paraId="23EA3A79" w14:textId="77777777" w:rsidTr="00DE1564">
        <w:trPr>
          <w:jc w:val="center"/>
        </w:trPr>
        <w:tc>
          <w:tcPr>
            <w:tcW w:w="2490" w:type="pct"/>
            <w:tcBorders>
              <w:top w:val="nil"/>
              <w:bottom w:val="single" w:sz="4" w:space="0" w:color="auto"/>
            </w:tcBorders>
            <w:vAlign w:val="center"/>
          </w:tcPr>
          <w:p w14:paraId="513AA570"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Visual</w:t>
            </w:r>
          </w:p>
        </w:tc>
        <w:tc>
          <w:tcPr>
            <w:tcW w:w="702" w:type="pct"/>
            <w:tcBorders>
              <w:top w:val="nil"/>
              <w:bottom w:val="single" w:sz="4" w:space="0" w:color="auto"/>
            </w:tcBorders>
            <w:vAlign w:val="center"/>
          </w:tcPr>
          <w:p w14:paraId="51E989A3"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131</w:t>
            </w:r>
          </w:p>
        </w:tc>
        <w:tc>
          <w:tcPr>
            <w:tcW w:w="735" w:type="pct"/>
            <w:tcBorders>
              <w:top w:val="nil"/>
              <w:bottom w:val="single" w:sz="4" w:space="0" w:color="auto"/>
            </w:tcBorders>
            <w:vAlign w:val="center"/>
          </w:tcPr>
          <w:p w14:paraId="075204CA"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128</w:t>
            </w:r>
          </w:p>
        </w:tc>
        <w:tc>
          <w:tcPr>
            <w:tcW w:w="1073" w:type="pct"/>
            <w:tcBorders>
              <w:top w:val="nil"/>
              <w:bottom w:val="single" w:sz="4" w:space="0" w:color="auto"/>
            </w:tcBorders>
            <w:shd w:val="clear" w:color="auto" w:fill="auto"/>
            <w:vAlign w:val="center"/>
          </w:tcPr>
          <w:p w14:paraId="708E734D"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98%</w:t>
            </w:r>
          </w:p>
        </w:tc>
      </w:tr>
      <w:tr w:rsidR="00357F2D" w:rsidRPr="00976A6F" w14:paraId="0F3E5EA4" w14:textId="77777777" w:rsidTr="00DE1564">
        <w:trPr>
          <w:jc w:val="center"/>
        </w:trPr>
        <w:tc>
          <w:tcPr>
            <w:tcW w:w="2490" w:type="pct"/>
            <w:vAlign w:val="center"/>
          </w:tcPr>
          <w:p w14:paraId="5F5A2122" w14:textId="77777777" w:rsidR="00357F2D" w:rsidRPr="00976A6F" w:rsidRDefault="00357F2D" w:rsidP="009D0441">
            <w:pPr>
              <w:adjustRightInd w:val="0"/>
              <w:snapToGrid w:val="0"/>
              <w:spacing w:line="240" w:lineRule="auto"/>
              <w:jc w:val="left"/>
              <w:rPr>
                <w:rFonts w:ascii="Palatino Linotype" w:eastAsia="Calibri" w:hAnsi="Palatino Linotype"/>
                <w:sz w:val="18"/>
                <w:szCs w:val="18"/>
              </w:rPr>
            </w:pPr>
            <w:r w:rsidRPr="00976A6F">
              <w:rPr>
                <w:rFonts w:ascii="Palatino Linotype" w:eastAsia="Calibri" w:hAnsi="Palatino Linotype"/>
                <w:sz w:val="18"/>
                <w:szCs w:val="18"/>
              </w:rPr>
              <w:t>Location</w:t>
            </w:r>
          </w:p>
        </w:tc>
        <w:tc>
          <w:tcPr>
            <w:tcW w:w="702" w:type="pct"/>
            <w:vAlign w:val="center"/>
          </w:tcPr>
          <w:p w14:paraId="1FB60C6A"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735" w:type="pct"/>
            <w:vAlign w:val="center"/>
          </w:tcPr>
          <w:p w14:paraId="26070A0A"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1073" w:type="pct"/>
            <w:shd w:val="clear" w:color="auto" w:fill="auto"/>
            <w:vAlign w:val="center"/>
          </w:tcPr>
          <w:p w14:paraId="7718D8B4"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r>
      <w:tr w:rsidR="00357F2D" w:rsidRPr="00976A6F" w14:paraId="23184E22" w14:textId="77777777" w:rsidTr="00DE1564">
        <w:trPr>
          <w:jc w:val="center"/>
        </w:trPr>
        <w:tc>
          <w:tcPr>
            <w:tcW w:w="2490" w:type="pct"/>
            <w:vAlign w:val="center"/>
          </w:tcPr>
          <w:p w14:paraId="66C166C2"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Pitch border</w:t>
            </w:r>
          </w:p>
        </w:tc>
        <w:tc>
          <w:tcPr>
            <w:tcW w:w="702" w:type="pct"/>
            <w:vAlign w:val="center"/>
          </w:tcPr>
          <w:p w14:paraId="24900EA0"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107</w:t>
            </w:r>
          </w:p>
        </w:tc>
        <w:tc>
          <w:tcPr>
            <w:tcW w:w="735" w:type="pct"/>
            <w:vAlign w:val="center"/>
          </w:tcPr>
          <w:p w14:paraId="458DC40D"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105</w:t>
            </w:r>
          </w:p>
        </w:tc>
        <w:tc>
          <w:tcPr>
            <w:tcW w:w="1073" w:type="pct"/>
            <w:shd w:val="clear" w:color="auto" w:fill="auto"/>
            <w:vAlign w:val="center"/>
          </w:tcPr>
          <w:p w14:paraId="6AA6FBD7"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98%</w:t>
            </w:r>
          </w:p>
        </w:tc>
      </w:tr>
      <w:tr w:rsidR="00357F2D" w:rsidRPr="00976A6F" w14:paraId="75923677" w14:textId="77777777" w:rsidTr="00DE1564">
        <w:trPr>
          <w:jc w:val="center"/>
        </w:trPr>
        <w:tc>
          <w:tcPr>
            <w:tcW w:w="2490" w:type="pct"/>
            <w:vAlign w:val="center"/>
          </w:tcPr>
          <w:p w14:paraId="767A3ED2"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Video segment</w:t>
            </w:r>
          </w:p>
        </w:tc>
        <w:tc>
          <w:tcPr>
            <w:tcW w:w="702" w:type="pct"/>
            <w:vAlign w:val="center"/>
          </w:tcPr>
          <w:p w14:paraId="4AC901A3"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21</w:t>
            </w:r>
          </w:p>
        </w:tc>
        <w:tc>
          <w:tcPr>
            <w:tcW w:w="735" w:type="pct"/>
            <w:vAlign w:val="center"/>
          </w:tcPr>
          <w:p w14:paraId="1C50B417"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20</w:t>
            </w:r>
          </w:p>
        </w:tc>
        <w:tc>
          <w:tcPr>
            <w:tcW w:w="1073" w:type="pct"/>
            <w:shd w:val="clear" w:color="auto" w:fill="auto"/>
            <w:vAlign w:val="center"/>
          </w:tcPr>
          <w:p w14:paraId="5F19A315"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95%</w:t>
            </w:r>
          </w:p>
        </w:tc>
      </w:tr>
      <w:tr w:rsidR="00357F2D" w:rsidRPr="00976A6F" w14:paraId="19E12282" w14:textId="77777777" w:rsidTr="00DE1564">
        <w:trPr>
          <w:jc w:val="center"/>
        </w:trPr>
        <w:tc>
          <w:tcPr>
            <w:tcW w:w="2490" w:type="pct"/>
            <w:tcBorders>
              <w:bottom w:val="nil"/>
            </w:tcBorders>
            <w:vAlign w:val="center"/>
          </w:tcPr>
          <w:p w14:paraId="05406B45"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Stadium interior [Temporary]</w:t>
            </w:r>
          </w:p>
        </w:tc>
        <w:tc>
          <w:tcPr>
            <w:tcW w:w="702" w:type="pct"/>
            <w:tcBorders>
              <w:bottom w:val="nil"/>
            </w:tcBorders>
            <w:vAlign w:val="center"/>
          </w:tcPr>
          <w:p w14:paraId="135FE93F"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3</w:t>
            </w:r>
          </w:p>
        </w:tc>
        <w:tc>
          <w:tcPr>
            <w:tcW w:w="735" w:type="pct"/>
            <w:tcBorders>
              <w:bottom w:val="nil"/>
            </w:tcBorders>
            <w:vAlign w:val="center"/>
          </w:tcPr>
          <w:p w14:paraId="6183CBAF"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3</w:t>
            </w:r>
          </w:p>
        </w:tc>
        <w:tc>
          <w:tcPr>
            <w:tcW w:w="1073" w:type="pct"/>
            <w:tcBorders>
              <w:bottom w:val="nil"/>
            </w:tcBorders>
            <w:shd w:val="clear" w:color="auto" w:fill="auto"/>
            <w:vAlign w:val="center"/>
          </w:tcPr>
          <w:p w14:paraId="1829E273"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100%</w:t>
            </w:r>
          </w:p>
        </w:tc>
      </w:tr>
      <w:tr w:rsidR="00357F2D" w:rsidRPr="00976A6F" w14:paraId="0BD62970" w14:textId="77777777" w:rsidTr="00DE1564">
        <w:trPr>
          <w:jc w:val="center"/>
        </w:trPr>
        <w:tc>
          <w:tcPr>
            <w:tcW w:w="2490" w:type="pct"/>
            <w:tcBorders>
              <w:top w:val="nil"/>
              <w:bottom w:val="single" w:sz="4" w:space="0" w:color="auto"/>
            </w:tcBorders>
            <w:vAlign w:val="center"/>
          </w:tcPr>
          <w:p w14:paraId="6CF588B3" w14:textId="77777777" w:rsidR="00357F2D" w:rsidRPr="00976A6F" w:rsidRDefault="00357F2D" w:rsidP="009D0441">
            <w:pPr>
              <w:adjustRightInd w:val="0"/>
              <w:snapToGrid w:val="0"/>
              <w:spacing w:line="240" w:lineRule="auto"/>
              <w:ind w:left="29" w:hanging="29"/>
              <w:jc w:val="left"/>
              <w:rPr>
                <w:rFonts w:ascii="Palatino Linotype" w:eastAsia="Calibri" w:hAnsi="Palatino Linotype"/>
                <w:i/>
                <w:sz w:val="18"/>
                <w:szCs w:val="18"/>
              </w:rPr>
            </w:pPr>
            <w:r w:rsidRPr="00976A6F">
              <w:rPr>
                <w:rFonts w:ascii="Palatino Linotype" w:eastAsia="Calibri" w:hAnsi="Palatino Linotype"/>
                <w:sz w:val="18"/>
                <w:szCs w:val="18"/>
              </w:rPr>
              <w:lastRenderedPageBreak/>
              <w:t>Average agreement for variable</w:t>
            </w:r>
          </w:p>
        </w:tc>
        <w:tc>
          <w:tcPr>
            <w:tcW w:w="702" w:type="pct"/>
            <w:tcBorders>
              <w:top w:val="nil"/>
              <w:bottom w:val="single" w:sz="4" w:space="0" w:color="auto"/>
            </w:tcBorders>
            <w:vAlign w:val="center"/>
          </w:tcPr>
          <w:p w14:paraId="228A3311"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735" w:type="pct"/>
            <w:tcBorders>
              <w:top w:val="nil"/>
              <w:bottom w:val="single" w:sz="4" w:space="0" w:color="auto"/>
            </w:tcBorders>
            <w:vAlign w:val="center"/>
          </w:tcPr>
          <w:p w14:paraId="2AD5C65A"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1073" w:type="pct"/>
            <w:tcBorders>
              <w:top w:val="nil"/>
              <w:bottom w:val="single" w:sz="4" w:space="0" w:color="auto"/>
            </w:tcBorders>
            <w:shd w:val="clear" w:color="auto" w:fill="auto"/>
            <w:vAlign w:val="center"/>
          </w:tcPr>
          <w:p w14:paraId="662746DB"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98%</w:t>
            </w:r>
          </w:p>
        </w:tc>
      </w:tr>
      <w:tr w:rsidR="00357F2D" w:rsidRPr="00976A6F" w14:paraId="350BEEFD" w14:textId="77777777" w:rsidTr="00DE1564">
        <w:trPr>
          <w:jc w:val="center"/>
        </w:trPr>
        <w:tc>
          <w:tcPr>
            <w:tcW w:w="2490" w:type="pct"/>
            <w:vAlign w:val="center"/>
          </w:tcPr>
          <w:p w14:paraId="25B50443" w14:textId="77777777" w:rsidR="00357F2D" w:rsidRPr="00976A6F" w:rsidRDefault="00357F2D" w:rsidP="009D0441">
            <w:pPr>
              <w:adjustRightInd w:val="0"/>
              <w:snapToGrid w:val="0"/>
              <w:spacing w:line="240" w:lineRule="auto"/>
              <w:jc w:val="left"/>
              <w:rPr>
                <w:rFonts w:ascii="Palatino Linotype" w:eastAsia="Calibri" w:hAnsi="Palatino Linotype"/>
                <w:sz w:val="18"/>
                <w:szCs w:val="18"/>
              </w:rPr>
            </w:pPr>
            <w:r w:rsidRPr="00976A6F">
              <w:rPr>
                <w:rFonts w:ascii="Palatino Linotype" w:eastAsia="Calibri" w:hAnsi="Palatino Linotype"/>
                <w:sz w:val="18"/>
                <w:szCs w:val="18"/>
              </w:rPr>
              <w:t>Format</w:t>
            </w:r>
          </w:p>
        </w:tc>
        <w:tc>
          <w:tcPr>
            <w:tcW w:w="702" w:type="pct"/>
            <w:vAlign w:val="center"/>
          </w:tcPr>
          <w:p w14:paraId="2C714A52"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735" w:type="pct"/>
            <w:vAlign w:val="center"/>
          </w:tcPr>
          <w:p w14:paraId="113CE650"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1073" w:type="pct"/>
            <w:shd w:val="clear" w:color="auto" w:fill="auto"/>
            <w:vAlign w:val="center"/>
          </w:tcPr>
          <w:p w14:paraId="685C3937"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r>
      <w:tr w:rsidR="00357F2D" w:rsidRPr="00976A6F" w14:paraId="2295F8C2" w14:textId="77777777" w:rsidTr="00DE1564">
        <w:trPr>
          <w:jc w:val="center"/>
        </w:trPr>
        <w:tc>
          <w:tcPr>
            <w:tcW w:w="2490" w:type="pct"/>
            <w:vAlign w:val="center"/>
          </w:tcPr>
          <w:p w14:paraId="25DC2AFD"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Electronic advertising (all)</w:t>
            </w:r>
          </w:p>
        </w:tc>
        <w:tc>
          <w:tcPr>
            <w:tcW w:w="702" w:type="pct"/>
            <w:vAlign w:val="center"/>
          </w:tcPr>
          <w:p w14:paraId="0A6A05E7"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66</w:t>
            </w:r>
          </w:p>
        </w:tc>
        <w:tc>
          <w:tcPr>
            <w:tcW w:w="735" w:type="pct"/>
            <w:vAlign w:val="center"/>
          </w:tcPr>
          <w:p w14:paraId="2071282A"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67</w:t>
            </w:r>
          </w:p>
        </w:tc>
        <w:tc>
          <w:tcPr>
            <w:tcW w:w="1073" w:type="pct"/>
            <w:shd w:val="clear" w:color="auto" w:fill="auto"/>
            <w:vAlign w:val="center"/>
          </w:tcPr>
          <w:p w14:paraId="301EA468"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99%</w:t>
            </w:r>
          </w:p>
        </w:tc>
      </w:tr>
      <w:tr w:rsidR="00357F2D" w:rsidRPr="00976A6F" w14:paraId="600C2DC5" w14:textId="77777777" w:rsidTr="00DE1564">
        <w:trPr>
          <w:jc w:val="center"/>
        </w:trPr>
        <w:tc>
          <w:tcPr>
            <w:tcW w:w="2490" w:type="pct"/>
            <w:vAlign w:val="center"/>
          </w:tcPr>
          <w:p w14:paraId="6E74EF2F"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Electronic advertising (part)</w:t>
            </w:r>
          </w:p>
        </w:tc>
        <w:tc>
          <w:tcPr>
            <w:tcW w:w="702" w:type="pct"/>
            <w:vAlign w:val="center"/>
          </w:tcPr>
          <w:p w14:paraId="1708CD92"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48</w:t>
            </w:r>
          </w:p>
        </w:tc>
        <w:tc>
          <w:tcPr>
            <w:tcW w:w="735" w:type="pct"/>
            <w:vAlign w:val="center"/>
          </w:tcPr>
          <w:p w14:paraId="47C3184E"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43</w:t>
            </w:r>
          </w:p>
        </w:tc>
        <w:tc>
          <w:tcPr>
            <w:tcW w:w="1073" w:type="pct"/>
            <w:shd w:val="clear" w:color="auto" w:fill="auto"/>
            <w:vAlign w:val="center"/>
          </w:tcPr>
          <w:p w14:paraId="22884001"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90%</w:t>
            </w:r>
          </w:p>
        </w:tc>
      </w:tr>
      <w:tr w:rsidR="00357F2D" w:rsidRPr="00976A6F" w14:paraId="0CED4A3D" w14:textId="77777777" w:rsidTr="00DE1564">
        <w:trPr>
          <w:jc w:val="center"/>
        </w:trPr>
        <w:tc>
          <w:tcPr>
            <w:tcW w:w="2490" w:type="pct"/>
            <w:tcBorders>
              <w:bottom w:val="nil"/>
            </w:tcBorders>
            <w:vAlign w:val="center"/>
          </w:tcPr>
          <w:p w14:paraId="4E44BC60"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Static advertising</w:t>
            </w:r>
          </w:p>
        </w:tc>
        <w:tc>
          <w:tcPr>
            <w:tcW w:w="702" w:type="pct"/>
            <w:tcBorders>
              <w:bottom w:val="nil"/>
            </w:tcBorders>
            <w:vAlign w:val="center"/>
          </w:tcPr>
          <w:p w14:paraId="3DFB9899"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17</w:t>
            </w:r>
          </w:p>
        </w:tc>
        <w:tc>
          <w:tcPr>
            <w:tcW w:w="735" w:type="pct"/>
            <w:tcBorders>
              <w:bottom w:val="nil"/>
            </w:tcBorders>
            <w:vAlign w:val="center"/>
          </w:tcPr>
          <w:p w14:paraId="781A0ABB"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18</w:t>
            </w:r>
          </w:p>
        </w:tc>
        <w:tc>
          <w:tcPr>
            <w:tcW w:w="1073" w:type="pct"/>
            <w:tcBorders>
              <w:bottom w:val="nil"/>
            </w:tcBorders>
            <w:shd w:val="clear" w:color="auto" w:fill="auto"/>
            <w:vAlign w:val="center"/>
          </w:tcPr>
          <w:p w14:paraId="1A1AB061"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94%</w:t>
            </w:r>
          </w:p>
        </w:tc>
      </w:tr>
      <w:tr w:rsidR="00357F2D" w:rsidRPr="00976A6F" w14:paraId="4A89B78F" w14:textId="77777777" w:rsidTr="00DE1564">
        <w:trPr>
          <w:jc w:val="center"/>
        </w:trPr>
        <w:tc>
          <w:tcPr>
            <w:tcW w:w="2490" w:type="pct"/>
            <w:tcBorders>
              <w:top w:val="nil"/>
              <w:bottom w:val="single" w:sz="4" w:space="0" w:color="auto"/>
            </w:tcBorders>
            <w:vAlign w:val="center"/>
          </w:tcPr>
          <w:p w14:paraId="0645C734" w14:textId="77777777" w:rsidR="00357F2D" w:rsidRPr="00976A6F" w:rsidRDefault="00357F2D" w:rsidP="009D0441">
            <w:pPr>
              <w:adjustRightInd w:val="0"/>
              <w:snapToGrid w:val="0"/>
              <w:spacing w:line="240" w:lineRule="auto"/>
              <w:jc w:val="left"/>
              <w:rPr>
                <w:rFonts w:ascii="Palatino Linotype" w:eastAsia="Calibri" w:hAnsi="Palatino Linotype"/>
                <w:i/>
                <w:sz w:val="18"/>
                <w:szCs w:val="18"/>
              </w:rPr>
            </w:pPr>
            <w:r w:rsidRPr="00976A6F">
              <w:rPr>
                <w:rFonts w:ascii="Palatino Linotype" w:eastAsia="Calibri" w:hAnsi="Palatino Linotype"/>
                <w:sz w:val="18"/>
                <w:szCs w:val="18"/>
              </w:rPr>
              <w:t>Average agreement for variable</w:t>
            </w:r>
          </w:p>
        </w:tc>
        <w:tc>
          <w:tcPr>
            <w:tcW w:w="702" w:type="pct"/>
            <w:tcBorders>
              <w:top w:val="nil"/>
              <w:bottom w:val="single" w:sz="4" w:space="0" w:color="auto"/>
            </w:tcBorders>
            <w:vAlign w:val="center"/>
          </w:tcPr>
          <w:p w14:paraId="3DF7BC7B"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735" w:type="pct"/>
            <w:tcBorders>
              <w:top w:val="nil"/>
              <w:bottom w:val="single" w:sz="4" w:space="0" w:color="auto"/>
            </w:tcBorders>
            <w:vAlign w:val="center"/>
          </w:tcPr>
          <w:p w14:paraId="64068310"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1073" w:type="pct"/>
            <w:tcBorders>
              <w:top w:val="nil"/>
              <w:bottom w:val="single" w:sz="4" w:space="0" w:color="auto"/>
            </w:tcBorders>
            <w:shd w:val="clear" w:color="auto" w:fill="auto"/>
            <w:vAlign w:val="center"/>
          </w:tcPr>
          <w:p w14:paraId="68DEE87B"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94%</w:t>
            </w:r>
          </w:p>
        </w:tc>
      </w:tr>
      <w:tr w:rsidR="00357F2D" w:rsidRPr="00976A6F" w14:paraId="6AE7887A" w14:textId="77777777" w:rsidTr="00DE1564">
        <w:trPr>
          <w:jc w:val="center"/>
        </w:trPr>
        <w:tc>
          <w:tcPr>
            <w:tcW w:w="2490" w:type="pct"/>
            <w:vAlign w:val="center"/>
          </w:tcPr>
          <w:p w14:paraId="138815CF" w14:textId="77777777" w:rsidR="00357F2D" w:rsidRPr="00976A6F" w:rsidRDefault="00357F2D" w:rsidP="009D0441">
            <w:pPr>
              <w:adjustRightInd w:val="0"/>
              <w:snapToGrid w:val="0"/>
              <w:spacing w:line="240" w:lineRule="auto"/>
              <w:jc w:val="left"/>
              <w:rPr>
                <w:rFonts w:ascii="Palatino Linotype" w:eastAsia="Calibri" w:hAnsi="Palatino Linotype"/>
                <w:sz w:val="18"/>
                <w:szCs w:val="18"/>
              </w:rPr>
            </w:pPr>
            <w:r w:rsidRPr="00976A6F">
              <w:rPr>
                <w:rFonts w:ascii="Palatino Linotype" w:eastAsia="Calibri" w:hAnsi="Palatino Linotype"/>
                <w:sz w:val="18"/>
                <w:szCs w:val="18"/>
              </w:rPr>
              <w:t>Content of reference</w:t>
            </w:r>
          </w:p>
        </w:tc>
        <w:tc>
          <w:tcPr>
            <w:tcW w:w="702" w:type="pct"/>
            <w:vAlign w:val="center"/>
          </w:tcPr>
          <w:p w14:paraId="66B94F7C"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735" w:type="pct"/>
            <w:vAlign w:val="center"/>
          </w:tcPr>
          <w:p w14:paraId="6E2B251B"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1073" w:type="pct"/>
            <w:shd w:val="clear" w:color="auto" w:fill="auto"/>
            <w:vAlign w:val="center"/>
          </w:tcPr>
          <w:p w14:paraId="083B6D94"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r>
      <w:tr w:rsidR="00357F2D" w:rsidRPr="00976A6F" w14:paraId="637D105E" w14:textId="77777777" w:rsidTr="00DE1564">
        <w:trPr>
          <w:jc w:val="center"/>
        </w:trPr>
        <w:tc>
          <w:tcPr>
            <w:tcW w:w="2490" w:type="pct"/>
            <w:vAlign w:val="center"/>
          </w:tcPr>
          <w:p w14:paraId="4F6B959F"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Indirect brand reference</w:t>
            </w:r>
          </w:p>
        </w:tc>
        <w:tc>
          <w:tcPr>
            <w:tcW w:w="702" w:type="pct"/>
            <w:vAlign w:val="center"/>
          </w:tcPr>
          <w:p w14:paraId="6D57E4C7"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124</w:t>
            </w:r>
          </w:p>
        </w:tc>
        <w:tc>
          <w:tcPr>
            <w:tcW w:w="735" w:type="pct"/>
            <w:vAlign w:val="center"/>
          </w:tcPr>
          <w:p w14:paraId="5FF09556"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121</w:t>
            </w:r>
          </w:p>
        </w:tc>
        <w:tc>
          <w:tcPr>
            <w:tcW w:w="1073" w:type="pct"/>
            <w:shd w:val="clear" w:color="auto" w:fill="auto"/>
            <w:vAlign w:val="center"/>
          </w:tcPr>
          <w:p w14:paraId="2B9DE593"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98%</w:t>
            </w:r>
          </w:p>
        </w:tc>
      </w:tr>
      <w:tr w:rsidR="00357F2D" w:rsidRPr="00976A6F" w14:paraId="63B2D7BD" w14:textId="77777777" w:rsidTr="00DE1564">
        <w:trPr>
          <w:jc w:val="center"/>
        </w:trPr>
        <w:tc>
          <w:tcPr>
            <w:tcW w:w="2490" w:type="pct"/>
            <w:tcBorders>
              <w:bottom w:val="nil"/>
            </w:tcBorders>
            <w:vAlign w:val="center"/>
          </w:tcPr>
          <w:p w14:paraId="4FE9C96E"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Direct brand reference</w:t>
            </w:r>
          </w:p>
        </w:tc>
        <w:tc>
          <w:tcPr>
            <w:tcW w:w="702" w:type="pct"/>
            <w:tcBorders>
              <w:bottom w:val="nil"/>
            </w:tcBorders>
            <w:vAlign w:val="center"/>
          </w:tcPr>
          <w:p w14:paraId="56E14E49"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7</w:t>
            </w:r>
          </w:p>
        </w:tc>
        <w:tc>
          <w:tcPr>
            <w:tcW w:w="735" w:type="pct"/>
            <w:tcBorders>
              <w:bottom w:val="nil"/>
            </w:tcBorders>
            <w:vAlign w:val="center"/>
          </w:tcPr>
          <w:p w14:paraId="1C8531BF"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7</w:t>
            </w:r>
          </w:p>
        </w:tc>
        <w:tc>
          <w:tcPr>
            <w:tcW w:w="1073" w:type="pct"/>
            <w:tcBorders>
              <w:bottom w:val="nil"/>
            </w:tcBorders>
            <w:shd w:val="clear" w:color="auto" w:fill="auto"/>
            <w:vAlign w:val="center"/>
          </w:tcPr>
          <w:p w14:paraId="3CD21D17"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100%</w:t>
            </w:r>
          </w:p>
        </w:tc>
      </w:tr>
      <w:tr w:rsidR="00357F2D" w:rsidRPr="00976A6F" w14:paraId="360CEF30" w14:textId="77777777" w:rsidTr="00DE1564">
        <w:trPr>
          <w:jc w:val="center"/>
        </w:trPr>
        <w:tc>
          <w:tcPr>
            <w:tcW w:w="2490" w:type="pct"/>
            <w:tcBorders>
              <w:top w:val="nil"/>
              <w:bottom w:val="single" w:sz="4" w:space="0" w:color="auto"/>
            </w:tcBorders>
            <w:vAlign w:val="center"/>
          </w:tcPr>
          <w:p w14:paraId="5F0B6C70" w14:textId="77777777" w:rsidR="00357F2D" w:rsidRPr="00976A6F" w:rsidRDefault="00357F2D" w:rsidP="009D0441">
            <w:pPr>
              <w:adjustRightInd w:val="0"/>
              <w:snapToGrid w:val="0"/>
              <w:spacing w:line="240" w:lineRule="auto"/>
              <w:jc w:val="left"/>
              <w:rPr>
                <w:rFonts w:ascii="Palatino Linotype" w:eastAsia="Calibri" w:hAnsi="Palatino Linotype"/>
                <w:i/>
                <w:sz w:val="18"/>
                <w:szCs w:val="18"/>
              </w:rPr>
            </w:pPr>
            <w:r w:rsidRPr="00976A6F">
              <w:rPr>
                <w:rFonts w:ascii="Palatino Linotype" w:eastAsia="Calibri" w:hAnsi="Palatino Linotype"/>
                <w:sz w:val="18"/>
                <w:szCs w:val="18"/>
              </w:rPr>
              <w:t>Average agreement for variable</w:t>
            </w:r>
          </w:p>
        </w:tc>
        <w:tc>
          <w:tcPr>
            <w:tcW w:w="702" w:type="pct"/>
            <w:tcBorders>
              <w:top w:val="nil"/>
              <w:bottom w:val="single" w:sz="4" w:space="0" w:color="auto"/>
            </w:tcBorders>
            <w:vAlign w:val="center"/>
          </w:tcPr>
          <w:p w14:paraId="544BEB6A"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735" w:type="pct"/>
            <w:tcBorders>
              <w:top w:val="nil"/>
              <w:bottom w:val="single" w:sz="4" w:space="0" w:color="auto"/>
            </w:tcBorders>
            <w:vAlign w:val="center"/>
          </w:tcPr>
          <w:p w14:paraId="7F931C78"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1073" w:type="pct"/>
            <w:tcBorders>
              <w:top w:val="nil"/>
              <w:bottom w:val="single" w:sz="4" w:space="0" w:color="auto"/>
            </w:tcBorders>
            <w:shd w:val="clear" w:color="auto" w:fill="auto"/>
            <w:vAlign w:val="center"/>
          </w:tcPr>
          <w:p w14:paraId="49B81510"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99%</w:t>
            </w:r>
          </w:p>
        </w:tc>
      </w:tr>
      <w:tr w:rsidR="00357F2D" w:rsidRPr="00976A6F" w14:paraId="70E81452" w14:textId="77777777" w:rsidTr="00DE1564">
        <w:trPr>
          <w:jc w:val="center"/>
        </w:trPr>
        <w:tc>
          <w:tcPr>
            <w:tcW w:w="2490" w:type="pct"/>
            <w:vAlign w:val="center"/>
          </w:tcPr>
          <w:p w14:paraId="7A1C2663" w14:textId="77777777" w:rsidR="00357F2D" w:rsidRPr="00976A6F" w:rsidRDefault="00357F2D" w:rsidP="009D0441">
            <w:pPr>
              <w:adjustRightInd w:val="0"/>
              <w:snapToGrid w:val="0"/>
              <w:spacing w:line="240" w:lineRule="auto"/>
              <w:jc w:val="left"/>
              <w:rPr>
                <w:rFonts w:ascii="Palatino Linotype" w:eastAsia="Calibri" w:hAnsi="Palatino Linotype"/>
                <w:sz w:val="18"/>
                <w:szCs w:val="18"/>
              </w:rPr>
            </w:pPr>
            <w:r w:rsidRPr="00976A6F">
              <w:rPr>
                <w:rFonts w:ascii="Palatino Linotype" w:eastAsia="Calibri" w:hAnsi="Palatino Linotype"/>
                <w:sz w:val="18"/>
                <w:szCs w:val="18"/>
              </w:rPr>
              <w:t>Brand</w:t>
            </w:r>
          </w:p>
        </w:tc>
        <w:tc>
          <w:tcPr>
            <w:tcW w:w="702" w:type="pct"/>
            <w:vAlign w:val="center"/>
          </w:tcPr>
          <w:p w14:paraId="24F99914"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735" w:type="pct"/>
            <w:vAlign w:val="center"/>
          </w:tcPr>
          <w:p w14:paraId="16726A83"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1073" w:type="pct"/>
            <w:shd w:val="clear" w:color="auto" w:fill="auto"/>
            <w:vAlign w:val="center"/>
          </w:tcPr>
          <w:p w14:paraId="3E6CD9B0"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r>
      <w:tr w:rsidR="00357F2D" w:rsidRPr="00976A6F" w14:paraId="4EDD1E50" w14:textId="77777777" w:rsidTr="00DE1564">
        <w:trPr>
          <w:jc w:val="center"/>
        </w:trPr>
        <w:tc>
          <w:tcPr>
            <w:tcW w:w="2490" w:type="pct"/>
            <w:vAlign w:val="center"/>
          </w:tcPr>
          <w:p w14:paraId="12607066"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Carlsberg</w:t>
            </w:r>
          </w:p>
        </w:tc>
        <w:tc>
          <w:tcPr>
            <w:tcW w:w="702" w:type="pct"/>
            <w:vAlign w:val="center"/>
          </w:tcPr>
          <w:p w14:paraId="18C4AE08"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124</w:t>
            </w:r>
          </w:p>
        </w:tc>
        <w:tc>
          <w:tcPr>
            <w:tcW w:w="735" w:type="pct"/>
            <w:vAlign w:val="center"/>
          </w:tcPr>
          <w:p w14:paraId="4C552C7E"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121</w:t>
            </w:r>
          </w:p>
        </w:tc>
        <w:tc>
          <w:tcPr>
            <w:tcW w:w="1073" w:type="pct"/>
            <w:shd w:val="clear" w:color="auto" w:fill="auto"/>
            <w:vAlign w:val="center"/>
          </w:tcPr>
          <w:p w14:paraId="7A98B177"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98%</w:t>
            </w:r>
          </w:p>
        </w:tc>
      </w:tr>
      <w:tr w:rsidR="00357F2D" w:rsidRPr="00976A6F" w14:paraId="4DD7F9E9" w14:textId="77777777" w:rsidTr="00DE1564">
        <w:trPr>
          <w:jc w:val="center"/>
        </w:trPr>
        <w:tc>
          <w:tcPr>
            <w:tcW w:w="2490" w:type="pct"/>
            <w:vAlign w:val="center"/>
          </w:tcPr>
          <w:p w14:paraId="13E0B51D" w14:textId="77777777" w:rsidR="00357F2D" w:rsidRPr="00976A6F" w:rsidRDefault="00357F2D" w:rsidP="009D0441">
            <w:pPr>
              <w:adjustRightInd w:val="0"/>
              <w:snapToGrid w:val="0"/>
              <w:spacing w:line="240" w:lineRule="auto"/>
              <w:ind w:left="313"/>
              <w:jc w:val="left"/>
              <w:rPr>
                <w:rFonts w:ascii="Palatino Linotype" w:eastAsia="Calibri" w:hAnsi="Palatino Linotype"/>
                <w:i/>
                <w:sz w:val="18"/>
                <w:szCs w:val="18"/>
              </w:rPr>
            </w:pPr>
            <w:r w:rsidRPr="00976A6F">
              <w:rPr>
                <w:rFonts w:ascii="Palatino Linotype" w:eastAsia="Calibri" w:hAnsi="Palatino Linotype"/>
                <w:i/>
                <w:sz w:val="18"/>
                <w:szCs w:val="18"/>
              </w:rPr>
              <w:t>Other (Metaxa brandy)</w:t>
            </w:r>
          </w:p>
        </w:tc>
        <w:tc>
          <w:tcPr>
            <w:tcW w:w="702" w:type="pct"/>
            <w:vAlign w:val="center"/>
          </w:tcPr>
          <w:p w14:paraId="2E90C90B"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7</w:t>
            </w:r>
          </w:p>
        </w:tc>
        <w:tc>
          <w:tcPr>
            <w:tcW w:w="735" w:type="pct"/>
            <w:vAlign w:val="center"/>
          </w:tcPr>
          <w:p w14:paraId="037D649F"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7</w:t>
            </w:r>
          </w:p>
        </w:tc>
        <w:tc>
          <w:tcPr>
            <w:tcW w:w="1073" w:type="pct"/>
            <w:shd w:val="clear" w:color="auto" w:fill="auto"/>
            <w:vAlign w:val="center"/>
          </w:tcPr>
          <w:p w14:paraId="7C89CF05"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100%</w:t>
            </w:r>
          </w:p>
        </w:tc>
      </w:tr>
      <w:tr w:rsidR="00357F2D" w:rsidRPr="00976A6F" w14:paraId="5F16330C" w14:textId="77777777" w:rsidTr="00DE1564">
        <w:trPr>
          <w:jc w:val="center"/>
        </w:trPr>
        <w:tc>
          <w:tcPr>
            <w:tcW w:w="2490" w:type="pct"/>
            <w:vAlign w:val="center"/>
          </w:tcPr>
          <w:p w14:paraId="719B4CAA" w14:textId="77777777" w:rsidR="00357F2D" w:rsidRPr="00976A6F" w:rsidRDefault="00357F2D" w:rsidP="009D0441">
            <w:pPr>
              <w:adjustRightInd w:val="0"/>
              <w:snapToGrid w:val="0"/>
              <w:spacing w:line="240" w:lineRule="auto"/>
              <w:jc w:val="left"/>
              <w:rPr>
                <w:rFonts w:ascii="Palatino Linotype" w:eastAsia="Calibri" w:hAnsi="Palatino Linotype"/>
                <w:i/>
                <w:sz w:val="18"/>
                <w:szCs w:val="18"/>
              </w:rPr>
            </w:pPr>
            <w:r w:rsidRPr="00976A6F">
              <w:rPr>
                <w:rFonts w:ascii="Palatino Linotype" w:eastAsia="Calibri" w:hAnsi="Palatino Linotype"/>
                <w:sz w:val="18"/>
                <w:szCs w:val="18"/>
              </w:rPr>
              <w:t>Average agreement for variable</w:t>
            </w:r>
          </w:p>
        </w:tc>
        <w:tc>
          <w:tcPr>
            <w:tcW w:w="702" w:type="pct"/>
            <w:vAlign w:val="center"/>
          </w:tcPr>
          <w:p w14:paraId="6DD8FA9C"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735" w:type="pct"/>
            <w:vAlign w:val="center"/>
          </w:tcPr>
          <w:p w14:paraId="38131F65" w14:textId="77777777" w:rsidR="00357F2D" w:rsidRPr="00976A6F" w:rsidRDefault="00357F2D" w:rsidP="009D0441">
            <w:pPr>
              <w:adjustRightInd w:val="0"/>
              <w:snapToGrid w:val="0"/>
              <w:spacing w:line="240" w:lineRule="auto"/>
              <w:jc w:val="center"/>
              <w:rPr>
                <w:rFonts w:ascii="Palatino Linotype" w:eastAsia="Calibri" w:hAnsi="Palatino Linotype"/>
                <w:sz w:val="18"/>
                <w:szCs w:val="18"/>
              </w:rPr>
            </w:pPr>
          </w:p>
        </w:tc>
        <w:tc>
          <w:tcPr>
            <w:tcW w:w="1073" w:type="pct"/>
            <w:shd w:val="clear" w:color="auto" w:fill="auto"/>
            <w:vAlign w:val="center"/>
          </w:tcPr>
          <w:p w14:paraId="50A82EBF" w14:textId="77777777" w:rsidR="00357F2D" w:rsidRPr="00976A6F" w:rsidRDefault="00357F2D" w:rsidP="009D0441">
            <w:pPr>
              <w:adjustRightInd w:val="0"/>
              <w:snapToGrid w:val="0"/>
              <w:spacing w:line="240" w:lineRule="auto"/>
              <w:jc w:val="center"/>
              <w:rPr>
                <w:rFonts w:ascii="Palatino Linotype" w:eastAsia="Calibri" w:hAnsi="Palatino Linotype"/>
                <w:color w:val="FFFFFF" w:themeColor="background1"/>
                <w:sz w:val="18"/>
                <w:szCs w:val="18"/>
              </w:rPr>
            </w:pPr>
            <w:r w:rsidRPr="00976A6F">
              <w:rPr>
                <w:rFonts w:ascii="Palatino Linotype" w:eastAsia="Calibri" w:hAnsi="Palatino Linotype"/>
                <w:sz w:val="18"/>
                <w:szCs w:val="18"/>
              </w:rPr>
              <w:t>99%</w:t>
            </w:r>
          </w:p>
        </w:tc>
      </w:tr>
    </w:tbl>
    <w:p w14:paraId="5AE0C0F8" w14:textId="243B3BC9" w:rsidR="00DE1564" w:rsidRPr="00976A6F" w:rsidRDefault="00DE1564" w:rsidP="00DE1564">
      <w:pPr>
        <w:pStyle w:val="MDPI43tablefooter"/>
        <w:jc w:val="center"/>
        <w:rPr>
          <w:lang w:val="en-GB"/>
        </w:rPr>
      </w:pPr>
      <w:r w:rsidRPr="00976A6F">
        <w:rPr>
          <w:rFonts w:eastAsia="Calibri"/>
          <w:b/>
          <w:lang w:val="en-GB"/>
        </w:rPr>
        <w:t>Details:</w:t>
      </w:r>
      <w:r w:rsidRPr="00976A6F">
        <w:rPr>
          <w:rFonts w:eastAsia="Calibri"/>
          <w:lang w:val="en-GB"/>
        </w:rPr>
        <w:t xml:space="preserve"> N</w:t>
      </w:r>
      <w:r w:rsidR="005978F9" w:rsidRPr="00976A6F">
        <w:rPr>
          <w:rFonts w:eastAsia="Calibri"/>
          <w:lang w:val="en-GB"/>
        </w:rPr>
        <w:t xml:space="preserve">athan </w:t>
      </w:r>
      <w:r w:rsidRPr="00976A6F">
        <w:rPr>
          <w:rFonts w:eastAsia="Calibri"/>
          <w:lang w:val="en-GB"/>
        </w:rPr>
        <w:t>C</w:t>
      </w:r>
      <w:r w:rsidR="005978F9" w:rsidRPr="00976A6F">
        <w:rPr>
          <w:rFonts w:eastAsia="Calibri"/>
          <w:lang w:val="en-GB"/>
        </w:rPr>
        <w:t>ritchlow</w:t>
      </w:r>
      <w:r w:rsidRPr="00976A6F">
        <w:rPr>
          <w:rFonts w:eastAsia="Calibri"/>
          <w:lang w:val="en-GB"/>
        </w:rPr>
        <w:t xml:space="preserve"> versus R</w:t>
      </w:r>
      <w:r w:rsidR="005978F9" w:rsidRPr="00976A6F">
        <w:rPr>
          <w:rFonts w:eastAsia="Calibri"/>
          <w:lang w:val="en-GB"/>
        </w:rPr>
        <w:t xml:space="preserve">ichard I </w:t>
      </w:r>
      <w:r w:rsidRPr="00976A6F">
        <w:rPr>
          <w:rFonts w:eastAsia="Calibri"/>
          <w:lang w:val="en-GB"/>
        </w:rPr>
        <w:t>P</w:t>
      </w:r>
      <w:r w:rsidR="005978F9" w:rsidRPr="00976A6F">
        <w:rPr>
          <w:rFonts w:eastAsia="Calibri"/>
          <w:lang w:val="en-GB"/>
        </w:rPr>
        <w:t>urves</w:t>
      </w:r>
      <w:r w:rsidRPr="00976A6F">
        <w:rPr>
          <w:rFonts w:eastAsia="Calibri"/>
          <w:lang w:val="en-GB"/>
        </w:rPr>
        <w:t>; Semi-Final 2 (SEM02)—France versus Germany.</w:t>
      </w:r>
    </w:p>
    <w:p w14:paraId="47FC70F4" w14:textId="5C26D1BC" w:rsidR="003F0DC2" w:rsidRPr="00976A6F" w:rsidRDefault="00940256" w:rsidP="00940256">
      <w:pPr>
        <w:pStyle w:val="MDPI21heading1"/>
        <w:rPr>
          <w:lang w:val="en-GB"/>
        </w:rPr>
      </w:pPr>
      <w:r w:rsidRPr="00976A6F">
        <w:rPr>
          <w:lang w:val="en-GB"/>
        </w:rPr>
        <w:t>Appendix C</w:t>
      </w:r>
    </w:p>
    <w:p w14:paraId="3A861157" w14:textId="21B8BB76" w:rsidR="003F0DC2" w:rsidRPr="00976A6F" w:rsidRDefault="003F0DC2" w:rsidP="00940256">
      <w:pPr>
        <w:pStyle w:val="MDPI41tablecaption"/>
        <w:jc w:val="center"/>
        <w:rPr>
          <w:lang w:val="en-GB"/>
        </w:rPr>
      </w:pPr>
      <w:r w:rsidRPr="00976A6F">
        <w:rPr>
          <w:b/>
          <w:lang w:val="en-GB"/>
        </w:rPr>
        <w:t>Table C1.</w:t>
      </w:r>
      <w:r w:rsidRPr="00976A6F">
        <w:rPr>
          <w:lang w:val="en-GB"/>
        </w:rPr>
        <w:t xml:space="preserve"> Frequency of all alcohol brands present in UK broadcasts of UEFA EURO 2016</w:t>
      </w:r>
      <w:r w:rsidR="00940256" w:rsidRPr="00976A6F">
        <w:rPr>
          <w:lang w:val="en-GB"/>
        </w:rPr>
        <w:t>.</w:t>
      </w:r>
    </w:p>
    <w:tbl>
      <w:tblPr>
        <w:tblStyle w:val="TableGrid5"/>
        <w:tblW w:w="2885"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382"/>
      </w:tblGrid>
      <w:tr w:rsidR="003F0DC2" w:rsidRPr="00976A6F" w14:paraId="447E9F44" w14:textId="77777777" w:rsidTr="001D798A">
        <w:trPr>
          <w:jc w:val="center"/>
        </w:trPr>
        <w:tc>
          <w:tcPr>
            <w:tcW w:w="2666" w:type="pct"/>
            <w:tcBorders>
              <w:top w:val="single" w:sz="8" w:space="0" w:color="auto"/>
              <w:bottom w:val="single" w:sz="4" w:space="0" w:color="auto"/>
            </w:tcBorders>
            <w:vAlign w:val="center"/>
          </w:tcPr>
          <w:p w14:paraId="44540222" w14:textId="4900E68C" w:rsidR="003F0DC2" w:rsidRPr="00976A6F" w:rsidRDefault="003F0DC2" w:rsidP="00940256">
            <w:pPr>
              <w:adjustRightInd w:val="0"/>
              <w:snapToGrid w:val="0"/>
              <w:spacing w:line="240" w:lineRule="auto"/>
              <w:jc w:val="center"/>
              <w:rPr>
                <w:rFonts w:ascii="Palatino Linotype" w:eastAsia="Calibri" w:hAnsi="Palatino Linotype"/>
                <w:b/>
                <w:sz w:val="18"/>
                <w:szCs w:val="18"/>
              </w:rPr>
            </w:pPr>
            <w:r w:rsidRPr="00976A6F">
              <w:rPr>
                <w:rFonts w:ascii="Palatino Linotype" w:eastAsia="Calibri" w:hAnsi="Palatino Linotype"/>
                <w:b/>
                <w:sz w:val="18"/>
                <w:szCs w:val="18"/>
              </w:rPr>
              <w:t xml:space="preserve">Brand </w:t>
            </w:r>
            <w:r w:rsidR="00940256" w:rsidRPr="00976A6F">
              <w:rPr>
                <w:rFonts w:ascii="Palatino Linotype" w:eastAsia="Calibri" w:hAnsi="Palatino Linotype"/>
                <w:b/>
                <w:sz w:val="18"/>
                <w:szCs w:val="18"/>
              </w:rPr>
              <w:t>Name</w:t>
            </w:r>
          </w:p>
        </w:tc>
        <w:tc>
          <w:tcPr>
            <w:tcW w:w="2334" w:type="pct"/>
            <w:tcBorders>
              <w:top w:val="single" w:sz="8" w:space="0" w:color="auto"/>
              <w:bottom w:val="single" w:sz="4" w:space="0" w:color="auto"/>
            </w:tcBorders>
            <w:vAlign w:val="center"/>
          </w:tcPr>
          <w:p w14:paraId="65E2AFC9" w14:textId="1218B6F1" w:rsidR="003F0DC2" w:rsidRPr="00976A6F" w:rsidRDefault="003F0DC2" w:rsidP="00940256">
            <w:pPr>
              <w:adjustRightInd w:val="0"/>
              <w:snapToGrid w:val="0"/>
              <w:spacing w:line="240" w:lineRule="auto"/>
              <w:jc w:val="center"/>
              <w:rPr>
                <w:rFonts w:ascii="Palatino Linotype" w:eastAsia="Calibri" w:hAnsi="Palatino Linotype"/>
                <w:b/>
                <w:sz w:val="18"/>
                <w:szCs w:val="18"/>
              </w:rPr>
            </w:pPr>
            <w:r w:rsidRPr="00976A6F">
              <w:rPr>
                <w:rFonts w:ascii="Palatino Linotype" w:eastAsia="Calibri" w:hAnsi="Palatino Linotype"/>
                <w:b/>
                <w:sz w:val="18"/>
                <w:szCs w:val="18"/>
              </w:rPr>
              <w:t xml:space="preserve">Number of </w:t>
            </w:r>
            <w:r w:rsidR="00940256" w:rsidRPr="00976A6F">
              <w:rPr>
                <w:rFonts w:ascii="Palatino Linotype" w:eastAsia="Calibri" w:hAnsi="Palatino Linotype"/>
                <w:b/>
                <w:sz w:val="18"/>
                <w:szCs w:val="18"/>
              </w:rPr>
              <w:t>References</w:t>
            </w:r>
          </w:p>
        </w:tc>
      </w:tr>
      <w:tr w:rsidR="003F0DC2" w:rsidRPr="00976A6F" w14:paraId="7672FB69" w14:textId="77777777" w:rsidTr="001D798A">
        <w:trPr>
          <w:jc w:val="center"/>
        </w:trPr>
        <w:tc>
          <w:tcPr>
            <w:tcW w:w="2666" w:type="pct"/>
            <w:tcBorders>
              <w:top w:val="single" w:sz="4" w:space="0" w:color="auto"/>
            </w:tcBorders>
            <w:vAlign w:val="center"/>
          </w:tcPr>
          <w:p w14:paraId="48B0C719"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Carlsberg</w:t>
            </w:r>
          </w:p>
        </w:tc>
        <w:tc>
          <w:tcPr>
            <w:tcW w:w="2334" w:type="pct"/>
            <w:tcBorders>
              <w:top w:val="single" w:sz="4" w:space="0" w:color="auto"/>
            </w:tcBorders>
            <w:vAlign w:val="center"/>
          </w:tcPr>
          <w:p w14:paraId="40D2EA4A"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2129</w:t>
            </w:r>
          </w:p>
        </w:tc>
      </w:tr>
      <w:tr w:rsidR="003F0DC2" w:rsidRPr="00976A6F" w14:paraId="2D21987A" w14:textId="77777777" w:rsidTr="001D798A">
        <w:trPr>
          <w:jc w:val="center"/>
        </w:trPr>
        <w:tc>
          <w:tcPr>
            <w:tcW w:w="2666" w:type="pct"/>
            <w:vAlign w:val="center"/>
          </w:tcPr>
          <w:p w14:paraId="3423E5E1"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Budweiser</w:t>
            </w:r>
          </w:p>
        </w:tc>
        <w:tc>
          <w:tcPr>
            <w:tcW w:w="2334" w:type="pct"/>
            <w:vAlign w:val="center"/>
          </w:tcPr>
          <w:p w14:paraId="6036B098"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17</w:t>
            </w:r>
          </w:p>
        </w:tc>
      </w:tr>
      <w:tr w:rsidR="003F0DC2" w:rsidRPr="00976A6F" w14:paraId="7B08CCF7" w14:textId="77777777" w:rsidTr="001D798A">
        <w:trPr>
          <w:jc w:val="center"/>
        </w:trPr>
        <w:tc>
          <w:tcPr>
            <w:tcW w:w="2666" w:type="pct"/>
            <w:vAlign w:val="center"/>
          </w:tcPr>
          <w:p w14:paraId="7CE35150"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Metaxa</w:t>
            </w:r>
          </w:p>
        </w:tc>
        <w:tc>
          <w:tcPr>
            <w:tcW w:w="2334" w:type="pct"/>
            <w:vAlign w:val="center"/>
          </w:tcPr>
          <w:p w14:paraId="37B377D4"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14</w:t>
            </w:r>
          </w:p>
        </w:tc>
      </w:tr>
      <w:tr w:rsidR="003F0DC2" w:rsidRPr="00976A6F" w14:paraId="43CD71BE" w14:textId="77777777" w:rsidTr="001D798A">
        <w:trPr>
          <w:jc w:val="center"/>
        </w:trPr>
        <w:tc>
          <w:tcPr>
            <w:tcW w:w="2666" w:type="pct"/>
            <w:vAlign w:val="center"/>
          </w:tcPr>
          <w:p w14:paraId="1BAC0E7A"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Fosters</w:t>
            </w:r>
          </w:p>
        </w:tc>
        <w:tc>
          <w:tcPr>
            <w:tcW w:w="2334" w:type="pct"/>
            <w:vAlign w:val="center"/>
          </w:tcPr>
          <w:p w14:paraId="32B423C8"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6</w:t>
            </w:r>
          </w:p>
        </w:tc>
      </w:tr>
      <w:tr w:rsidR="003F0DC2" w:rsidRPr="00976A6F" w14:paraId="6EC9D2CD" w14:textId="77777777" w:rsidTr="001D798A">
        <w:trPr>
          <w:jc w:val="center"/>
        </w:trPr>
        <w:tc>
          <w:tcPr>
            <w:tcW w:w="2666" w:type="pct"/>
            <w:vAlign w:val="center"/>
          </w:tcPr>
          <w:p w14:paraId="3B9167CE"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Carling</w:t>
            </w:r>
          </w:p>
        </w:tc>
        <w:tc>
          <w:tcPr>
            <w:tcW w:w="2334" w:type="pct"/>
            <w:vAlign w:val="center"/>
          </w:tcPr>
          <w:p w14:paraId="5448253F"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6</w:t>
            </w:r>
          </w:p>
        </w:tc>
      </w:tr>
      <w:tr w:rsidR="003F0DC2" w:rsidRPr="00976A6F" w14:paraId="04EB746E" w14:textId="77777777" w:rsidTr="001D798A">
        <w:trPr>
          <w:jc w:val="center"/>
        </w:trPr>
        <w:tc>
          <w:tcPr>
            <w:tcW w:w="2666" w:type="pct"/>
            <w:vAlign w:val="center"/>
          </w:tcPr>
          <w:p w14:paraId="4FA8F869"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Brain’s Brewery</w:t>
            </w:r>
          </w:p>
        </w:tc>
        <w:tc>
          <w:tcPr>
            <w:tcW w:w="2334" w:type="pct"/>
            <w:vAlign w:val="center"/>
          </w:tcPr>
          <w:p w14:paraId="204EAA64"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w:t>
            </w:r>
          </w:p>
        </w:tc>
      </w:tr>
      <w:tr w:rsidR="003F0DC2" w:rsidRPr="00976A6F" w14:paraId="47E85BB8" w14:textId="77777777" w:rsidTr="001D798A">
        <w:trPr>
          <w:jc w:val="center"/>
        </w:trPr>
        <w:tc>
          <w:tcPr>
            <w:tcW w:w="2666" w:type="pct"/>
            <w:vAlign w:val="center"/>
          </w:tcPr>
          <w:p w14:paraId="57DE58FB"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Vin Italia</w:t>
            </w:r>
          </w:p>
        </w:tc>
        <w:tc>
          <w:tcPr>
            <w:tcW w:w="2334" w:type="pct"/>
            <w:vAlign w:val="center"/>
          </w:tcPr>
          <w:p w14:paraId="080877CB"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w:t>
            </w:r>
          </w:p>
        </w:tc>
      </w:tr>
      <w:tr w:rsidR="003F0DC2" w:rsidRPr="00976A6F" w14:paraId="0F24CAC6" w14:textId="77777777" w:rsidTr="001D798A">
        <w:trPr>
          <w:jc w:val="center"/>
        </w:trPr>
        <w:tc>
          <w:tcPr>
            <w:tcW w:w="2666" w:type="pct"/>
            <w:vAlign w:val="center"/>
          </w:tcPr>
          <w:p w14:paraId="38138BCB"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Strongbow</w:t>
            </w:r>
          </w:p>
        </w:tc>
        <w:tc>
          <w:tcPr>
            <w:tcW w:w="2334" w:type="pct"/>
            <w:vAlign w:val="center"/>
          </w:tcPr>
          <w:p w14:paraId="60E6BE70"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w:t>
            </w:r>
          </w:p>
        </w:tc>
      </w:tr>
      <w:tr w:rsidR="003F0DC2" w:rsidRPr="00976A6F" w14:paraId="640E2AE6" w14:textId="77777777" w:rsidTr="001D798A">
        <w:trPr>
          <w:jc w:val="center"/>
        </w:trPr>
        <w:tc>
          <w:tcPr>
            <w:tcW w:w="2666" w:type="pct"/>
            <w:vAlign w:val="center"/>
          </w:tcPr>
          <w:p w14:paraId="1183B99E"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Kronenbourg</w:t>
            </w:r>
          </w:p>
        </w:tc>
        <w:tc>
          <w:tcPr>
            <w:tcW w:w="2334" w:type="pct"/>
            <w:vAlign w:val="center"/>
          </w:tcPr>
          <w:p w14:paraId="057491E8"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4</w:t>
            </w:r>
          </w:p>
        </w:tc>
      </w:tr>
      <w:tr w:rsidR="003F0DC2" w:rsidRPr="00976A6F" w14:paraId="49833404" w14:textId="77777777" w:rsidTr="001D798A">
        <w:trPr>
          <w:jc w:val="center"/>
        </w:trPr>
        <w:tc>
          <w:tcPr>
            <w:tcW w:w="2666" w:type="pct"/>
            <w:vAlign w:val="center"/>
          </w:tcPr>
          <w:p w14:paraId="0E90AD8C"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Chang</w:t>
            </w:r>
          </w:p>
        </w:tc>
        <w:tc>
          <w:tcPr>
            <w:tcW w:w="2334" w:type="pct"/>
            <w:vAlign w:val="center"/>
          </w:tcPr>
          <w:p w14:paraId="5F5E8E3A"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3</w:t>
            </w:r>
          </w:p>
        </w:tc>
      </w:tr>
      <w:tr w:rsidR="003F0DC2" w:rsidRPr="00976A6F" w14:paraId="0C81CBDC" w14:textId="77777777" w:rsidTr="001D798A">
        <w:trPr>
          <w:jc w:val="center"/>
        </w:trPr>
        <w:tc>
          <w:tcPr>
            <w:tcW w:w="2666" w:type="pct"/>
            <w:vAlign w:val="center"/>
          </w:tcPr>
          <w:p w14:paraId="496F5B57"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Captain Morgan’s</w:t>
            </w:r>
          </w:p>
        </w:tc>
        <w:tc>
          <w:tcPr>
            <w:tcW w:w="2334" w:type="pct"/>
            <w:vAlign w:val="center"/>
          </w:tcPr>
          <w:p w14:paraId="500FE2EF"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3</w:t>
            </w:r>
          </w:p>
        </w:tc>
      </w:tr>
      <w:tr w:rsidR="003F0DC2" w:rsidRPr="00976A6F" w14:paraId="4316F663" w14:textId="77777777" w:rsidTr="001D798A">
        <w:trPr>
          <w:jc w:val="center"/>
        </w:trPr>
        <w:tc>
          <w:tcPr>
            <w:tcW w:w="2666" w:type="pct"/>
            <w:vAlign w:val="center"/>
          </w:tcPr>
          <w:p w14:paraId="6A767303"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Jim Bean</w:t>
            </w:r>
          </w:p>
        </w:tc>
        <w:tc>
          <w:tcPr>
            <w:tcW w:w="2334" w:type="pct"/>
            <w:vAlign w:val="center"/>
          </w:tcPr>
          <w:p w14:paraId="5D272DDA"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3</w:t>
            </w:r>
          </w:p>
        </w:tc>
      </w:tr>
      <w:tr w:rsidR="003F0DC2" w:rsidRPr="00976A6F" w14:paraId="20636BAD" w14:textId="77777777" w:rsidTr="001D798A">
        <w:trPr>
          <w:jc w:val="center"/>
        </w:trPr>
        <w:tc>
          <w:tcPr>
            <w:tcW w:w="2666" w:type="pct"/>
            <w:vAlign w:val="center"/>
          </w:tcPr>
          <w:p w14:paraId="62F706E9"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Amstel</w:t>
            </w:r>
          </w:p>
        </w:tc>
        <w:tc>
          <w:tcPr>
            <w:tcW w:w="2334" w:type="pct"/>
            <w:vAlign w:val="center"/>
          </w:tcPr>
          <w:p w14:paraId="39D0F568"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2</w:t>
            </w:r>
          </w:p>
        </w:tc>
      </w:tr>
      <w:tr w:rsidR="003F0DC2" w:rsidRPr="00976A6F" w14:paraId="157AF953" w14:textId="77777777" w:rsidTr="001D798A">
        <w:trPr>
          <w:jc w:val="center"/>
        </w:trPr>
        <w:tc>
          <w:tcPr>
            <w:tcW w:w="2666" w:type="pct"/>
            <w:vAlign w:val="center"/>
          </w:tcPr>
          <w:p w14:paraId="21269DF9"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Belhaven</w:t>
            </w:r>
          </w:p>
        </w:tc>
        <w:tc>
          <w:tcPr>
            <w:tcW w:w="2334" w:type="pct"/>
            <w:vAlign w:val="center"/>
          </w:tcPr>
          <w:p w14:paraId="61870FEE"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2</w:t>
            </w:r>
          </w:p>
        </w:tc>
      </w:tr>
      <w:tr w:rsidR="003F0DC2" w:rsidRPr="00976A6F" w14:paraId="1C4BAD95" w14:textId="77777777" w:rsidTr="001D798A">
        <w:trPr>
          <w:jc w:val="center"/>
        </w:trPr>
        <w:tc>
          <w:tcPr>
            <w:tcW w:w="2666" w:type="pct"/>
            <w:vAlign w:val="center"/>
          </w:tcPr>
          <w:p w14:paraId="29BBB328"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Unsure/Multiple brands</w:t>
            </w:r>
          </w:p>
        </w:tc>
        <w:tc>
          <w:tcPr>
            <w:tcW w:w="2334" w:type="pct"/>
            <w:vAlign w:val="center"/>
          </w:tcPr>
          <w:p w14:paraId="20D4BC62"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2</w:t>
            </w:r>
          </w:p>
        </w:tc>
      </w:tr>
      <w:tr w:rsidR="003F0DC2" w:rsidRPr="00976A6F" w14:paraId="7FF502EF" w14:textId="77777777" w:rsidTr="001D798A">
        <w:trPr>
          <w:jc w:val="center"/>
        </w:trPr>
        <w:tc>
          <w:tcPr>
            <w:tcW w:w="2666" w:type="pct"/>
            <w:vAlign w:val="center"/>
          </w:tcPr>
          <w:p w14:paraId="1E4EE687"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Guinness</w:t>
            </w:r>
          </w:p>
        </w:tc>
        <w:tc>
          <w:tcPr>
            <w:tcW w:w="2334" w:type="pct"/>
            <w:vAlign w:val="center"/>
          </w:tcPr>
          <w:p w14:paraId="53EE81C3"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w:t>
            </w:r>
          </w:p>
        </w:tc>
      </w:tr>
      <w:tr w:rsidR="003F0DC2" w:rsidRPr="00976A6F" w14:paraId="353F3E0E" w14:textId="77777777" w:rsidTr="001D798A">
        <w:trPr>
          <w:jc w:val="center"/>
        </w:trPr>
        <w:tc>
          <w:tcPr>
            <w:tcW w:w="2666" w:type="pct"/>
            <w:vAlign w:val="center"/>
          </w:tcPr>
          <w:p w14:paraId="757E76A5"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Holsten Pils</w:t>
            </w:r>
          </w:p>
        </w:tc>
        <w:tc>
          <w:tcPr>
            <w:tcW w:w="2334" w:type="pct"/>
            <w:vAlign w:val="center"/>
          </w:tcPr>
          <w:p w14:paraId="0F9A8078"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w:t>
            </w:r>
          </w:p>
        </w:tc>
      </w:tr>
      <w:tr w:rsidR="003F0DC2" w:rsidRPr="00976A6F" w14:paraId="74A3DF81" w14:textId="77777777" w:rsidTr="001D798A">
        <w:trPr>
          <w:jc w:val="center"/>
        </w:trPr>
        <w:tc>
          <w:tcPr>
            <w:tcW w:w="2666" w:type="pct"/>
            <w:vAlign w:val="center"/>
          </w:tcPr>
          <w:p w14:paraId="563C7D58"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Worthington’s</w:t>
            </w:r>
          </w:p>
        </w:tc>
        <w:tc>
          <w:tcPr>
            <w:tcW w:w="2334" w:type="pct"/>
            <w:vAlign w:val="center"/>
          </w:tcPr>
          <w:p w14:paraId="69A18623"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w:t>
            </w:r>
          </w:p>
        </w:tc>
      </w:tr>
      <w:tr w:rsidR="003F0DC2" w:rsidRPr="00976A6F" w14:paraId="29D03FC4" w14:textId="77777777" w:rsidTr="001D798A">
        <w:trPr>
          <w:jc w:val="center"/>
        </w:trPr>
        <w:tc>
          <w:tcPr>
            <w:tcW w:w="2666" w:type="pct"/>
            <w:vAlign w:val="center"/>
          </w:tcPr>
          <w:p w14:paraId="4DC23C31"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Chatena La Garde</w:t>
            </w:r>
          </w:p>
        </w:tc>
        <w:tc>
          <w:tcPr>
            <w:tcW w:w="2334" w:type="pct"/>
            <w:vAlign w:val="center"/>
          </w:tcPr>
          <w:p w14:paraId="2F8C0608"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w:t>
            </w:r>
          </w:p>
        </w:tc>
      </w:tr>
      <w:tr w:rsidR="003F0DC2" w:rsidRPr="00976A6F" w14:paraId="118996EB" w14:textId="77777777" w:rsidTr="001D798A">
        <w:trPr>
          <w:jc w:val="center"/>
        </w:trPr>
        <w:tc>
          <w:tcPr>
            <w:tcW w:w="2666" w:type="pct"/>
            <w:vAlign w:val="center"/>
          </w:tcPr>
          <w:p w14:paraId="352B1A65"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Coors</w:t>
            </w:r>
          </w:p>
        </w:tc>
        <w:tc>
          <w:tcPr>
            <w:tcW w:w="2334" w:type="pct"/>
            <w:vAlign w:val="center"/>
          </w:tcPr>
          <w:p w14:paraId="51A06683"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w:t>
            </w:r>
          </w:p>
        </w:tc>
      </w:tr>
      <w:tr w:rsidR="003F0DC2" w:rsidRPr="00976A6F" w14:paraId="608D3F3F" w14:textId="77777777" w:rsidTr="001D798A">
        <w:trPr>
          <w:jc w:val="center"/>
        </w:trPr>
        <w:tc>
          <w:tcPr>
            <w:tcW w:w="2666" w:type="pct"/>
            <w:vAlign w:val="center"/>
          </w:tcPr>
          <w:p w14:paraId="666F7B5A"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Jupiler</w:t>
            </w:r>
          </w:p>
        </w:tc>
        <w:tc>
          <w:tcPr>
            <w:tcW w:w="2334" w:type="pct"/>
            <w:vAlign w:val="center"/>
          </w:tcPr>
          <w:p w14:paraId="5DDC1E8F"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w:t>
            </w:r>
          </w:p>
        </w:tc>
      </w:tr>
      <w:tr w:rsidR="003F0DC2" w:rsidRPr="00976A6F" w14:paraId="3AA7EFCA" w14:textId="77777777" w:rsidTr="001D798A">
        <w:trPr>
          <w:jc w:val="center"/>
        </w:trPr>
        <w:tc>
          <w:tcPr>
            <w:tcW w:w="2666" w:type="pct"/>
            <w:vAlign w:val="center"/>
          </w:tcPr>
          <w:p w14:paraId="25C031EC"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Sagres</w:t>
            </w:r>
          </w:p>
        </w:tc>
        <w:tc>
          <w:tcPr>
            <w:tcW w:w="2334" w:type="pct"/>
            <w:vAlign w:val="center"/>
          </w:tcPr>
          <w:p w14:paraId="59480300"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w:t>
            </w:r>
          </w:p>
        </w:tc>
      </w:tr>
      <w:tr w:rsidR="003F0DC2" w:rsidRPr="00976A6F" w14:paraId="16A584F7" w14:textId="77777777" w:rsidTr="001D798A">
        <w:trPr>
          <w:jc w:val="center"/>
        </w:trPr>
        <w:tc>
          <w:tcPr>
            <w:tcW w:w="2666" w:type="pct"/>
            <w:vAlign w:val="center"/>
          </w:tcPr>
          <w:p w14:paraId="57A6FB96"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Thatcher’s Cider</w:t>
            </w:r>
          </w:p>
        </w:tc>
        <w:tc>
          <w:tcPr>
            <w:tcW w:w="2334" w:type="pct"/>
            <w:vAlign w:val="center"/>
          </w:tcPr>
          <w:p w14:paraId="3C0E9637"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w:t>
            </w:r>
          </w:p>
        </w:tc>
      </w:tr>
      <w:tr w:rsidR="003F0DC2" w:rsidRPr="00976A6F" w14:paraId="1278BB15" w14:textId="77777777" w:rsidTr="001D798A">
        <w:trPr>
          <w:jc w:val="center"/>
        </w:trPr>
        <w:tc>
          <w:tcPr>
            <w:tcW w:w="2666" w:type="pct"/>
            <w:vAlign w:val="center"/>
          </w:tcPr>
          <w:p w14:paraId="66EAA80F"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Blossom Hill</w:t>
            </w:r>
          </w:p>
        </w:tc>
        <w:tc>
          <w:tcPr>
            <w:tcW w:w="2334" w:type="pct"/>
            <w:vAlign w:val="center"/>
          </w:tcPr>
          <w:p w14:paraId="533E275B"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w:t>
            </w:r>
          </w:p>
        </w:tc>
      </w:tr>
      <w:tr w:rsidR="003F0DC2" w:rsidRPr="00976A6F" w14:paraId="6C966700" w14:textId="77777777" w:rsidTr="001D798A">
        <w:trPr>
          <w:jc w:val="center"/>
        </w:trPr>
        <w:tc>
          <w:tcPr>
            <w:tcW w:w="2666" w:type="pct"/>
            <w:vAlign w:val="center"/>
          </w:tcPr>
          <w:p w14:paraId="3CADD31F"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Magner’s</w:t>
            </w:r>
          </w:p>
        </w:tc>
        <w:tc>
          <w:tcPr>
            <w:tcW w:w="2334" w:type="pct"/>
            <w:vAlign w:val="center"/>
          </w:tcPr>
          <w:p w14:paraId="73891277" w14:textId="77777777" w:rsidR="003F0DC2" w:rsidRPr="00976A6F" w:rsidRDefault="003F0DC2" w:rsidP="00940256">
            <w:pPr>
              <w:adjustRightInd w:val="0"/>
              <w:snapToGrid w:val="0"/>
              <w:spacing w:line="240" w:lineRule="auto"/>
              <w:jc w:val="center"/>
              <w:rPr>
                <w:rFonts w:ascii="Palatino Linotype" w:eastAsia="Calibri" w:hAnsi="Palatino Linotype"/>
                <w:sz w:val="18"/>
                <w:szCs w:val="18"/>
              </w:rPr>
            </w:pPr>
            <w:r w:rsidRPr="00976A6F">
              <w:rPr>
                <w:rFonts w:ascii="Palatino Linotype" w:eastAsia="Calibri" w:hAnsi="Palatino Linotype"/>
                <w:sz w:val="18"/>
                <w:szCs w:val="18"/>
              </w:rPr>
              <w:t>1</w:t>
            </w:r>
          </w:p>
        </w:tc>
      </w:tr>
    </w:tbl>
    <w:p w14:paraId="60FA49EF" w14:textId="77777777" w:rsidR="003F0DC2" w:rsidRPr="00976A6F" w:rsidRDefault="003F0DC2" w:rsidP="00940256">
      <w:pPr>
        <w:pStyle w:val="MDPI21heading1"/>
        <w:rPr>
          <w:lang w:val="en-GB"/>
        </w:rPr>
      </w:pPr>
      <w:r w:rsidRPr="00976A6F">
        <w:rPr>
          <w:lang w:val="en-GB"/>
        </w:rPr>
        <w:t>References</w:t>
      </w:r>
    </w:p>
    <w:p w14:paraId="65071CCA"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Hastings, G.; Brooks, O.; Stead, M.; Angus, K.; Anker, T.; Farrell, T. </w:t>
      </w:r>
      <w:r w:rsidRPr="00976A6F">
        <w:rPr>
          <w:rFonts w:ascii="Palatino Linotype" w:hAnsi="Palatino Linotype" w:cstheme="minorHAnsi"/>
          <w:i/>
          <w:sz w:val="18"/>
          <w:szCs w:val="18"/>
        </w:rPr>
        <w:t>“They’ll Drink Bucketloads of the Stuff”: An Analysis of Internal Alcohol Industry Documents</w:t>
      </w:r>
      <w:r w:rsidRPr="00976A6F">
        <w:rPr>
          <w:rFonts w:ascii="Palatino Linotype" w:hAnsi="Palatino Linotype" w:cstheme="minorHAnsi"/>
          <w:sz w:val="18"/>
          <w:szCs w:val="18"/>
        </w:rPr>
        <w:t>; House of Commons Health Select Committee Report: London, UK, 2010.</w:t>
      </w:r>
    </w:p>
    <w:p w14:paraId="5CE85988" w14:textId="521B596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Purves, R.I.; Stead, M.; Eadie, D. </w:t>
      </w:r>
      <w:r w:rsidRPr="00976A6F">
        <w:rPr>
          <w:rFonts w:ascii="Palatino Linotype" w:hAnsi="Palatino Linotype" w:cstheme="minorHAnsi"/>
          <w:i/>
          <w:sz w:val="18"/>
          <w:szCs w:val="18"/>
        </w:rPr>
        <w:t>“What are you Meant to do When you See it Everywhere?” Young People, Alcohol Packaging and Digital Media</w:t>
      </w:r>
      <w:r w:rsidRPr="00976A6F">
        <w:rPr>
          <w:rFonts w:ascii="Palatino Linotype" w:hAnsi="Palatino Linotype" w:cstheme="minorHAnsi"/>
          <w:sz w:val="18"/>
          <w:szCs w:val="18"/>
        </w:rPr>
        <w:t>;</w:t>
      </w:r>
      <w:r w:rsidRPr="00976A6F">
        <w:rPr>
          <w:rFonts w:ascii="Palatino Linotype" w:hAnsi="Palatino Linotype" w:cstheme="minorHAnsi"/>
          <w:i/>
          <w:sz w:val="18"/>
          <w:szCs w:val="18"/>
        </w:rPr>
        <w:t xml:space="preserve"> </w:t>
      </w:r>
      <w:r w:rsidRPr="00976A6F">
        <w:rPr>
          <w:rFonts w:ascii="Palatino Linotype" w:hAnsi="Palatino Linotype" w:cstheme="minorHAnsi"/>
          <w:sz w:val="18"/>
          <w:szCs w:val="18"/>
        </w:rPr>
        <w:t>University of Stirling: Stirling, UK, 2014. Available online: http://alcoholresearchuk.org/downloads/finalReports/FinalReport_0120.pdf (accessed on</w:t>
      </w:r>
      <w:r w:rsidR="006754F3" w:rsidRPr="00976A6F">
        <w:rPr>
          <w:rFonts w:ascii="Palatino Linotype" w:hAnsi="Palatino Linotype" w:cstheme="minorHAnsi"/>
          <w:sz w:val="18"/>
          <w:szCs w:val="18"/>
        </w:rPr>
        <w:t xml:space="preserve"> </w:t>
      </w:r>
      <w:r w:rsidR="005978F9" w:rsidRPr="00976A6F">
        <w:rPr>
          <w:rFonts w:ascii="Palatino Linotype" w:hAnsi="Palatino Linotype"/>
          <w:sz w:val="18"/>
          <w:szCs w:val="18"/>
        </w:rPr>
        <w:t>1st August 2016</w:t>
      </w:r>
      <w:r w:rsidRPr="00976A6F">
        <w:rPr>
          <w:rFonts w:ascii="Palatino Linotype" w:hAnsi="Palatino Linotype" w:cstheme="minorHAnsi"/>
          <w:sz w:val="18"/>
          <w:szCs w:val="18"/>
        </w:rPr>
        <w:t>).</w:t>
      </w:r>
    </w:p>
    <w:p w14:paraId="58BFA2AD"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Casswell, S.; Zhang, J.F. Impact of liking for advertising and brand allegiance on alcohol-related aggression </w:t>
      </w:r>
      <w:r w:rsidRPr="00976A6F">
        <w:rPr>
          <w:rFonts w:ascii="Palatino Linotype" w:hAnsi="Palatino Linotype" w:cstheme="minorHAnsi"/>
          <w:i/>
          <w:sz w:val="18"/>
          <w:szCs w:val="18"/>
        </w:rPr>
        <w:t xml:space="preserve">Addiction </w:t>
      </w:r>
      <w:r w:rsidRPr="00976A6F">
        <w:rPr>
          <w:rFonts w:ascii="Palatino Linotype" w:hAnsi="Palatino Linotype" w:cstheme="minorHAnsi"/>
          <w:b/>
          <w:sz w:val="18"/>
          <w:szCs w:val="18"/>
        </w:rPr>
        <w:t>1998</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93</w:t>
      </w:r>
      <w:r w:rsidRPr="00976A6F">
        <w:rPr>
          <w:rFonts w:ascii="Palatino Linotype" w:hAnsi="Palatino Linotype" w:cstheme="minorHAnsi"/>
          <w:sz w:val="18"/>
          <w:szCs w:val="18"/>
        </w:rPr>
        <w:t xml:space="preserve">, 1209–1217, </w:t>
      </w:r>
      <w:r w:rsidRPr="00976A6F">
        <w:rPr>
          <w:rFonts w:ascii="Palatino Linotype" w:hAnsi="Palatino Linotype" w:cstheme="minorHAnsi"/>
          <w:sz w:val="18"/>
          <w:szCs w:val="18"/>
          <w:shd w:val="clear" w:color="auto" w:fill="FFFFFF"/>
        </w:rPr>
        <w:t>doi:10.1046/j.1360-0443.1998.93812099.x</w:t>
      </w:r>
      <w:r w:rsidRPr="00976A6F">
        <w:rPr>
          <w:rFonts w:ascii="Palatino Linotype" w:hAnsi="Palatino Linotype" w:cstheme="minorHAnsi"/>
          <w:sz w:val="18"/>
          <w:szCs w:val="18"/>
        </w:rPr>
        <w:t>.</w:t>
      </w:r>
    </w:p>
    <w:p w14:paraId="4AD0B2BE"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shd w:val="clear" w:color="auto" w:fill="F5F5F5"/>
        </w:rPr>
      </w:pPr>
      <w:r w:rsidRPr="00976A6F">
        <w:rPr>
          <w:rFonts w:ascii="Palatino Linotype" w:hAnsi="Palatino Linotype" w:cstheme="minorHAnsi"/>
          <w:sz w:val="18"/>
          <w:szCs w:val="18"/>
        </w:rPr>
        <w:lastRenderedPageBreak/>
        <w:t xml:space="preserve">McClure, A.C.; Stoolmiller, M.; Tanski, S.E.; Engels, R.C.; Sargent, J.D. Alcohol marketing receptivity, marketing-specific cognitions, and underage binge drinking. </w:t>
      </w:r>
      <w:r w:rsidRPr="00976A6F">
        <w:rPr>
          <w:rFonts w:ascii="Palatino Linotype" w:hAnsi="Palatino Linotype" w:cstheme="minorHAnsi"/>
          <w:i/>
          <w:sz w:val="18"/>
          <w:szCs w:val="18"/>
        </w:rPr>
        <w:t xml:space="preserve">Alcohol: Clin. Exp. Res. </w:t>
      </w:r>
      <w:r w:rsidRPr="00976A6F">
        <w:rPr>
          <w:rFonts w:ascii="Palatino Linotype" w:hAnsi="Palatino Linotype" w:cstheme="minorHAnsi"/>
          <w:b/>
          <w:sz w:val="18"/>
          <w:szCs w:val="18"/>
        </w:rPr>
        <w:t>2013</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37</w:t>
      </w:r>
      <w:r w:rsidRPr="00976A6F">
        <w:rPr>
          <w:rFonts w:ascii="Palatino Linotype" w:hAnsi="Palatino Linotype" w:cstheme="minorHAnsi"/>
          <w:sz w:val="18"/>
          <w:szCs w:val="18"/>
        </w:rPr>
        <w:t>, 404–413, doi:10.1542/peds.2015-2149</w:t>
      </w:r>
      <w:r w:rsidRPr="00976A6F">
        <w:rPr>
          <w:rFonts w:ascii="Palatino Linotype" w:hAnsi="Palatino Linotype" w:cstheme="minorHAnsi"/>
          <w:sz w:val="18"/>
          <w:szCs w:val="18"/>
          <w:shd w:val="clear" w:color="auto" w:fill="F5F5F5"/>
        </w:rPr>
        <w:t>.</w:t>
      </w:r>
    </w:p>
    <w:p w14:paraId="43661271"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Tanski, S.; McClure, A.C.; Jernigan, D.H.; Sargent, S.D. Alcohol brand preference and binge drinking among adolescents. </w:t>
      </w:r>
      <w:r w:rsidRPr="00976A6F">
        <w:rPr>
          <w:rFonts w:ascii="Palatino Linotype" w:hAnsi="Palatino Linotype" w:cstheme="minorHAnsi"/>
          <w:i/>
          <w:sz w:val="18"/>
          <w:szCs w:val="18"/>
        </w:rPr>
        <w:t xml:space="preserve">Arch. Pediatr. Adolesc. Med. </w:t>
      </w:r>
      <w:r w:rsidRPr="00976A6F">
        <w:rPr>
          <w:rFonts w:ascii="Palatino Linotype" w:hAnsi="Palatino Linotype" w:cstheme="minorHAnsi"/>
          <w:b/>
          <w:sz w:val="18"/>
          <w:szCs w:val="18"/>
        </w:rPr>
        <w:t>2011</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16</w:t>
      </w:r>
      <w:r w:rsidRPr="00976A6F">
        <w:rPr>
          <w:rFonts w:ascii="Palatino Linotype" w:hAnsi="Palatino Linotype" w:cstheme="minorHAnsi"/>
          <w:sz w:val="18"/>
          <w:szCs w:val="18"/>
        </w:rPr>
        <w:t>, 675–676, doi:</w:t>
      </w:r>
      <w:r w:rsidRPr="00976A6F">
        <w:rPr>
          <w:rFonts w:ascii="Palatino Linotype" w:hAnsi="Palatino Linotype" w:cstheme="minorHAnsi"/>
          <w:sz w:val="18"/>
          <w:szCs w:val="18"/>
          <w:shd w:val="clear" w:color="auto" w:fill="FFFFFF"/>
        </w:rPr>
        <w:t>10.1001/archpediatrics.2011.113</w:t>
      </w:r>
      <w:r w:rsidRPr="00976A6F">
        <w:rPr>
          <w:rFonts w:ascii="Palatino Linotype" w:hAnsi="Palatino Linotype" w:cstheme="minorHAnsi"/>
          <w:sz w:val="18"/>
          <w:szCs w:val="18"/>
        </w:rPr>
        <w:t xml:space="preserve">. </w:t>
      </w:r>
    </w:p>
    <w:p w14:paraId="3DDE56B6"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Brown, K. Association between alcohol sports sponsorship and consumption: A systematic review. </w:t>
      </w:r>
      <w:r w:rsidRPr="00976A6F">
        <w:rPr>
          <w:rFonts w:ascii="Palatino Linotype" w:hAnsi="Palatino Linotype" w:cstheme="minorHAnsi"/>
          <w:i/>
          <w:sz w:val="18"/>
          <w:szCs w:val="18"/>
        </w:rPr>
        <w:t xml:space="preserve">Alcohol Alcohol. </w:t>
      </w:r>
      <w:r w:rsidRPr="00976A6F">
        <w:rPr>
          <w:rFonts w:ascii="Palatino Linotype" w:hAnsi="Palatino Linotype" w:cstheme="minorHAnsi"/>
          <w:b/>
          <w:sz w:val="18"/>
          <w:szCs w:val="18"/>
        </w:rPr>
        <w:t>2016</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51</w:t>
      </w:r>
      <w:r w:rsidRPr="00976A6F">
        <w:rPr>
          <w:rFonts w:ascii="Palatino Linotype" w:hAnsi="Palatino Linotype" w:cstheme="minorHAnsi"/>
          <w:sz w:val="18"/>
          <w:szCs w:val="18"/>
        </w:rPr>
        <w:t xml:space="preserve">, 747–755, </w:t>
      </w:r>
      <w:r w:rsidRPr="00976A6F">
        <w:rPr>
          <w:rFonts w:ascii="Palatino Linotype" w:hAnsi="Palatino Linotype" w:cstheme="minorHAnsi"/>
          <w:sz w:val="18"/>
          <w:szCs w:val="18"/>
          <w:bdr w:val="none" w:sz="0" w:space="0" w:color="auto" w:frame="1"/>
          <w:shd w:val="clear" w:color="auto" w:fill="FFFFFF"/>
        </w:rPr>
        <w:t>doi:10.1093/alcalc/agw006</w:t>
      </w:r>
      <w:r w:rsidRPr="00976A6F">
        <w:rPr>
          <w:rFonts w:ascii="Palatino Linotype" w:hAnsi="Palatino Linotype" w:cstheme="minorHAnsi"/>
          <w:sz w:val="18"/>
          <w:szCs w:val="18"/>
        </w:rPr>
        <w:t>.</w:t>
      </w:r>
    </w:p>
    <w:p w14:paraId="15B15FE8" w14:textId="77777777" w:rsidR="0090400F" w:rsidRPr="00976A6F" w:rsidRDefault="0090400F" w:rsidP="0090400F">
      <w:pPr>
        <w:pStyle w:val="ListParagraph"/>
        <w:numPr>
          <w:ilvl w:val="0"/>
          <w:numId w:val="5"/>
        </w:numPr>
        <w:shd w:val="clear" w:color="auto" w:fill="FFFFFF"/>
        <w:adjustRightInd w:val="0"/>
        <w:snapToGrid w:val="0"/>
        <w:spacing w:line="260" w:lineRule="atLeast"/>
        <w:ind w:left="425" w:firstLineChars="0" w:hanging="425"/>
        <w:rPr>
          <w:rFonts w:ascii="Palatino Linotype" w:hAnsi="Palatino Linotype" w:cstheme="minorHAnsi"/>
          <w:color w:val="auto"/>
          <w:sz w:val="18"/>
          <w:szCs w:val="18"/>
        </w:rPr>
      </w:pPr>
      <w:r w:rsidRPr="00976A6F">
        <w:rPr>
          <w:rFonts w:ascii="Palatino Linotype" w:hAnsi="Palatino Linotype" w:cstheme="minorHAnsi"/>
          <w:sz w:val="18"/>
          <w:szCs w:val="18"/>
        </w:rPr>
        <w:t xml:space="preserve">Burton, R.; Henn, C.; Lavoie, D.; O’Connor, R.; Perkins, C.; Sweeney, K.; Greaves, F.; Ferguson, B.; Beynon, C.; Belloni, A.; et al. A rapid evidence review of the effectiveness and cost-effectiveness of alcohol control policies: An English perspective. </w:t>
      </w:r>
      <w:r w:rsidRPr="00976A6F">
        <w:rPr>
          <w:rFonts w:ascii="Palatino Linotype" w:hAnsi="Palatino Linotype" w:cstheme="minorHAnsi"/>
          <w:i/>
          <w:sz w:val="18"/>
          <w:szCs w:val="18"/>
        </w:rPr>
        <w:t xml:space="preserve">Lancet </w:t>
      </w:r>
      <w:r w:rsidRPr="00976A6F">
        <w:rPr>
          <w:rFonts w:ascii="Palatino Linotype" w:hAnsi="Palatino Linotype" w:cstheme="minorHAnsi"/>
          <w:b/>
          <w:sz w:val="18"/>
          <w:szCs w:val="18"/>
        </w:rPr>
        <w:t>2016</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389</w:t>
      </w:r>
      <w:r w:rsidRPr="00976A6F">
        <w:rPr>
          <w:rFonts w:ascii="Palatino Linotype" w:hAnsi="Palatino Linotype" w:cstheme="minorHAnsi"/>
          <w:sz w:val="18"/>
          <w:szCs w:val="18"/>
        </w:rPr>
        <w:t>, 1558–1580, doi:10.1016/S0140-6736(16)32420-5</w:t>
      </w:r>
      <w:r w:rsidRPr="00976A6F">
        <w:rPr>
          <w:rFonts w:ascii="Palatino Linotype" w:hAnsi="Palatino Linotype" w:cstheme="minorHAnsi"/>
          <w:color w:val="5B616B"/>
          <w:sz w:val="18"/>
          <w:szCs w:val="18"/>
        </w:rPr>
        <w:t>.</w:t>
      </w:r>
    </w:p>
    <w:p w14:paraId="50B90E50"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Jernigan, D.H.; Noel, J.; Landon, J.; Thornton, N. Alcohol marketing and youth alcohol consumption: A systematic review of longitudinal studies since 2008. </w:t>
      </w:r>
      <w:r w:rsidRPr="00976A6F">
        <w:rPr>
          <w:rFonts w:ascii="Palatino Linotype" w:hAnsi="Palatino Linotype" w:cstheme="minorHAnsi"/>
          <w:i/>
          <w:sz w:val="18"/>
          <w:szCs w:val="18"/>
        </w:rPr>
        <w:t xml:space="preserve">Addiction </w:t>
      </w:r>
      <w:r w:rsidRPr="00976A6F">
        <w:rPr>
          <w:rFonts w:ascii="Palatino Linotype" w:hAnsi="Palatino Linotype" w:cstheme="minorHAnsi"/>
          <w:b/>
          <w:sz w:val="18"/>
          <w:szCs w:val="18"/>
        </w:rPr>
        <w:t>2017</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112</w:t>
      </w:r>
      <w:r w:rsidRPr="00976A6F">
        <w:rPr>
          <w:rFonts w:ascii="Palatino Linotype" w:hAnsi="Palatino Linotype" w:cstheme="minorHAnsi"/>
          <w:sz w:val="18"/>
          <w:szCs w:val="18"/>
        </w:rPr>
        <w:t>, 7–20, doi:</w:t>
      </w:r>
      <w:r w:rsidRPr="00976A6F">
        <w:rPr>
          <w:rFonts w:ascii="Palatino Linotype" w:hAnsi="Palatino Linotype" w:cstheme="minorHAnsi"/>
          <w:sz w:val="18"/>
          <w:szCs w:val="18"/>
          <w:shd w:val="clear" w:color="auto" w:fill="FFFFFF"/>
        </w:rPr>
        <w:t xml:space="preserve">10.1111/add.13591. </w:t>
      </w:r>
    </w:p>
    <w:p w14:paraId="6666F464" w14:textId="7E41A3A6"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Leyshon, M; Sakhuja, R. </w:t>
      </w:r>
      <w:r w:rsidRPr="00976A6F">
        <w:rPr>
          <w:rFonts w:ascii="Palatino Linotype" w:hAnsi="Palatino Linotype" w:cstheme="minorHAnsi"/>
          <w:i/>
          <w:sz w:val="18"/>
          <w:szCs w:val="18"/>
        </w:rPr>
        <w:t>A Losing Bet? Alcohol and Gambling: Investigating Parallels and Shared Solutions</w:t>
      </w:r>
      <w:r w:rsidRPr="00976A6F">
        <w:rPr>
          <w:rFonts w:ascii="Palatino Linotype" w:hAnsi="Palatino Linotype" w:cstheme="minorHAnsi"/>
          <w:sz w:val="18"/>
          <w:szCs w:val="18"/>
        </w:rPr>
        <w:t>. Alcohol Concern Cymru &amp; Royal College of Psychiatrists in Wales: Cardiff, UK, 2013. Available online: http://www.alcoholconcern.org.uk/wp-content/uploads/woocommerce_uploads/2015/03/A-losing-bet.pdf (accessed on</w:t>
      </w:r>
      <w:r w:rsidR="009346EA" w:rsidRPr="00976A6F">
        <w:rPr>
          <w:rFonts w:ascii="Palatino Linotype" w:hAnsi="Palatino Linotype" w:cstheme="minorHAnsi"/>
          <w:sz w:val="18"/>
          <w:szCs w:val="18"/>
        </w:rPr>
        <w:t xml:space="preserve"> </w:t>
      </w:r>
      <w:r w:rsidR="005978F9" w:rsidRPr="00976A6F">
        <w:rPr>
          <w:rFonts w:ascii="Palatino Linotype" w:hAnsi="Palatino Linotype"/>
          <w:sz w:val="18"/>
          <w:szCs w:val="18"/>
        </w:rPr>
        <w:t>1st November 2016</w:t>
      </w:r>
      <w:r w:rsidRPr="00976A6F">
        <w:rPr>
          <w:rFonts w:ascii="Palatino Linotype" w:hAnsi="Palatino Linotype" w:cstheme="minorHAnsi"/>
          <w:sz w:val="18"/>
          <w:szCs w:val="18"/>
        </w:rPr>
        <w:t>).</w:t>
      </w:r>
    </w:p>
    <w:p w14:paraId="16BA9EA9" w14:textId="77777777" w:rsidR="0090400F" w:rsidRPr="00976A6F" w:rsidRDefault="0090400F" w:rsidP="0090400F">
      <w:pPr>
        <w:pStyle w:val="ListParagraph"/>
        <w:numPr>
          <w:ilvl w:val="0"/>
          <w:numId w:val="5"/>
        </w:numPr>
        <w:autoSpaceDE w:val="0"/>
        <w:autoSpaceDN w:val="0"/>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World Health Organization. </w:t>
      </w:r>
      <w:r w:rsidRPr="00976A6F">
        <w:rPr>
          <w:rFonts w:ascii="Palatino Linotype" w:hAnsi="Palatino Linotype" w:cstheme="minorHAnsi"/>
          <w:i/>
          <w:sz w:val="18"/>
          <w:szCs w:val="18"/>
        </w:rPr>
        <w:t>WHO Global Status Report on Alcohol and Health 2014</w:t>
      </w:r>
      <w:r w:rsidRPr="00976A6F">
        <w:rPr>
          <w:rFonts w:ascii="Palatino Linotype" w:hAnsi="Palatino Linotype" w:cstheme="minorHAnsi"/>
          <w:sz w:val="18"/>
          <w:szCs w:val="18"/>
        </w:rPr>
        <w:t>;</w:t>
      </w:r>
      <w:r w:rsidRPr="00976A6F">
        <w:rPr>
          <w:rFonts w:ascii="Palatino Linotype" w:hAnsi="Palatino Linotype" w:cstheme="minorHAnsi"/>
          <w:i/>
          <w:sz w:val="18"/>
          <w:szCs w:val="18"/>
        </w:rPr>
        <w:t xml:space="preserve"> </w:t>
      </w:r>
      <w:r w:rsidRPr="00976A6F">
        <w:rPr>
          <w:rFonts w:ascii="Palatino Linotype" w:hAnsi="Palatino Linotype" w:cstheme="minorHAnsi"/>
          <w:sz w:val="18"/>
          <w:szCs w:val="18"/>
        </w:rPr>
        <w:t>World Health Organization: Geneva, Switzerland, 2014.</w:t>
      </w:r>
    </w:p>
    <w:p w14:paraId="10657651" w14:textId="620DDC80"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color w:val="333333"/>
          <w:sz w:val="18"/>
          <w:szCs w:val="18"/>
          <w:shd w:val="clear" w:color="auto" w:fill="FFFFFF"/>
        </w:rPr>
      </w:pPr>
      <w:r w:rsidRPr="00976A6F">
        <w:rPr>
          <w:rFonts w:ascii="Palatino Linotype" w:hAnsi="Palatino Linotype" w:cstheme="minorHAnsi"/>
          <w:sz w:val="18"/>
          <w:szCs w:val="18"/>
        </w:rPr>
        <w:t xml:space="preserve">Gallopel-Morvan, K.; Spilka, S.; Mutatayi, C.; Rigaud, A.; Lecas, F.; Beck. F. France’s Évin Law on the control of alcohol advertising: content, effectiveness and limitations. </w:t>
      </w:r>
      <w:r w:rsidRPr="00976A6F">
        <w:rPr>
          <w:rFonts w:ascii="Palatino Linotype" w:hAnsi="Palatino Linotype" w:cstheme="minorHAnsi"/>
          <w:i/>
          <w:sz w:val="18"/>
          <w:szCs w:val="18"/>
        </w:rPr>
        <w:t xml:space="preserve">Addiction </w:t>
      </w:r>
      <w:r w:rsidRPr="00976A6F">
        <w:rPr>
          <w:rFonts w:ascii="Palatino Linotype" w:hAnsi="Palatino Linotype" w:cstheme="minorHAnsi"/>
          <w:b/>
          <w:sz w:val="18"/>
          <w:szCs w:val="18"/>
        </w:rPr>
        <w:t>2017</w:t>
      </w:r>
      <w:r w:rsidR="00131D72" w:rsidRPr="00976A6F">
        <w:rPr>
          <w:rFonts w:ascii="Palatino Linotype" w:hAnsi="Palatino Linotype" w:cstheme="minorHAnsi"/>
          <w:sz w:val="18"/>
          <w:szCs w:val="18"/>
        </w:rPr>
        <w:t>,</w:t>
      </w:r>
      <w:r w:rsidRPr="00976A6F">
        <w:rPr>
          <w:rFonts w:ascii="Palatino Linotype" w:hAnsi="Palatino Linotype" w:cstheme="minorHAnsi"/>
          <w:sz w:val="18"/>
          <w:szCs w:val="18"/>
        </w:rPr>
        <w:t xml:space="preserve"> 112</w:t>
      </w:r>
      <w:r w:rsidRPr="00976A6F">
        <w:rPr>
          <w:rFonts w:ascii="Palatino Linotype" w:hAnsi="Palatino Linotype" w:cstheme="minorHAnsi"/>
          <w:i/>
          <w:sz w:val="18"/>
          <w:szCs w:val="18"/>
        </w:rPr>
        <w:t xml:space="preserve">, </w:t>
      </w:r>
      <w:r w:rsidRPr="00976A6F">
        <w:rPr>
          <w:rFonts w:ascii="Palatino Linotype" w:hAnsi="Palatino Linotype" w:cstheme="minorHAnsi"/>
          <w:sz w:val="18"/>
          <w:szCs w:val="18"/>
        </w:rPr>
        <w:t>86–93, doi:</w:t>
      </w:r>
      <w:r w:rsidRPr="00976A6F">
        <w:rPr>
          <w:rFonts w:ascii="Palatino Linotype" w:hAnsi="Palatino Linotype" w:cstheme="minorHAnsi"/>
          <w:sz w:val="18"/>
          <w:szCs w:val="18"/>
          <w:shd w:val="clear" w:color="auto" w:fill="FFFFFF"/>
        </w:rPr>
        <w:t>10.1111/add.13431</w:t>
      </w:r>
      <w:r w:rsidRPr="00976A6F">
        <w:rPr>
          <w:rFonts w:ascii="Palatino Linotype" w:hAnsi="Palatino Linotype" w:cstheme="minorHAnsi"/>
          <w:color w:val="333333"/>
          <w:sz w:val="18"/>
          <w:szCs w:val="18"/>
          <w:shd w:val="clear" w:color="auto" w:fill="FFFFFF"/>
        </w:rPr>
        <w:t>.</w:t>
      </w:r>
    </w:p>
    <w:p w14:paraId="1F78A864"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Lecas F. How Loi Evin is working and its challenges. In Proceedings of the 7th European Alcohol Policy Conference, Bratislava, Slovenia, 22–23 November 2016.</w:t>
      </w:r>
    </w:p>
    <w:p w14:paraId="72E0C92F"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Robert, J. The Loi Evin: A Pedagogical Experiment in Responsible Drinking. In </w:t>
      </w:r>
      <w:r w:rsidRPr="00976A6F">
        <w:rPr>
          <w:rFonts w:ascii="Palatino Linotype" w:hAnsi="Palatino Linotype" w:cstheme="minorHAnsi"/>
          <w:i/>
          <w:sz w:val="18"/>
          <w:szCs w:val="18"/>
        </w:rPr>
        <w:t>Food Pedagogies</w:t>
      </w:r>
      <w:r w:rsidRPr="00976A6F">
        <w:rPr>
          <w:rFonts w:ascii="Palatino Linotype" w:hAnsi="Palatino Linotype" w:cstheme="minorHAnsi"/>
          <w:sz w:val="18"/>
          <w:szCs w:val="18"/>
        </w:rPr>
        <w:t>; Flowers, R., Swan, E., Eds.; Routledge: London, UK, 2015; pp.113–130.</w:t>
      </w:r>
    </w:p>
    <w:p w14:paraId="34930D81"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Kantar Media. </w:t>
      </w:r>
      <w:r w:rsidRPr="00976A6F">
        <w:rPr>
          <w:rFonts w:ascii="Palatino Linotype" w:hAnsi="Palatino Linotype" w:cstheme="minorHAnsi"/>
          <w:i/>
          <w:sz w:val="18"/>
          <w:szCs w:val="18"/>
        </w:rPr>
        <w:t>2014 FIFA World Cup Brazil, Television Audience Report</w:t>
      </w:r>
      <w:r w:rsidRPr="00976A6F">
        <w:rPr>
          <w:rFonts w:ascii="Palatino Linotype" w:hAnsi="Palatino Linotype" w:cstheme="minorHAnsi"/>
          <w:sz w:val="18"/>
          <w:szCs w:val="18"/>
        </w:rPr>
        <w:t>; Kantar Media: London, UK, 2014.</w:t>
      </w:r>
    </w:p>
    <w:p w14:paraId="0879EA67"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UEFA. Hisense signs as UEFA EURO 2016 global sponsor. Available online: http://www.uefa.org/mediaservices/mediareleases/newsid=2323656.html (accessed on 11 May 2017).</w:t>
      </w:r>
    </w:p>
    <w:p w14:paraId="48223168"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Adams, J.; Coleman, J.; White, M. Alcohol marketing in televised international football: frequency analysis. </w:t>
      </w:r>
      <w:r w:rsidRPr="00976A6F">
        <w:rPr>
          <w:rFonts w:ascii="Palatino Linotype" w:hAnsi="Palatino Linotype" w:cstheme="minorHAnsi"/>
          <w:i/>
          <w:sz w:val="18"/>
          <w:szCs w:val="18"/>
        </w:rPr>
        <w:t xml:space="preserve">BMC Public Health </w:t>
      </w:r>
      <w:r w:rsidRPr="00976A6F">
        <w:rPr>
          <w:rFonts w:ascii="Palatino Linotype" w:hAnsi="Palatino Linotype" w:cstheme="minorHAnsi"/>
          <w:b/>
          <w:sz w:val="18"/>
          <w:szCs w:val="18"/>
        </w:rPr>
        <w:t>2014</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14</w:t>
      </w:r>
      <w:r w:rsidRPr="00976A6F">
        <w:rPr>
          <w:rFonts w:ascii="Palatino Linotype" w:hAnsi="Palatino Linotype" w:cstheme="minorHAnsi"/>
          <w:sz w:val="18"/>
          <w:szCs w:val="18"/>
        </w:rPr>
        <w:t>, 473, doi:</w:t>
      </w:r>
      <w:r w:rsidRPr="00976A6F">
        <w:rPr>
          <w:rFonts w:ascii="Palatino Linotype" w:hAnsi="Palatino Linotype" w:cstheme="minorHAnsi"/>
          <w:sz w:val="18"/>
          <w:szCs w:val="18"/>
          <w:shd w:val="clear" w:color="auto" w:fill="FFFFFF"/>
        </w:rPr>
        <w:t>10.1186/1471-2458-14-473</w:t>
      </w:r>
      <w:r w:rsidRPr="00976A6F">
        <w:rPr>
          <w:rFonts w:ascii="Palatino Linotype" w:hAnsi="Palatino Linotype" w:cstheme="minorHAnsi"/>
          <w:color w:val="666666"/>
          <w:sz w:val="18"/>
          <w:szCs w:val="18"/>
          <w:shd w:val="clear" w:color="auto" w:fill="FFFFFF"/>
        </w:rPr>
        <w:t>.</w:t>
      </w:r>
    </w:p>
    <w:p w14:paraId="62CE4144" w14:textId="37301256"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Alcohol Concern. </w:t>
      </w:r>
      <w:r w:rsidRPr="00976A6F">
        <w:rPr>
          <w:rFonts w:ascii="Palatino Linotype" w:hAnsi="Palatino Linotype" w:cstheme="minorHAnsi"/>
          <w:i/>
          <w:sz w:val="18"/>
          <w:szCs w:val="18"/>
        </w:rPr>
        <w:t>Alcohol Marketing at the FIFA World Cup 2014: A Frequency Analysis</w:t>
      </w:r>
      <w:r w:rsidRPr="00976A6F">
        <w:rPr>
          <w:rFonts w:ascii="Palatino Linotype" w:hAnsi="Palatino Linotype" w:cstheme="minorHAnsi"/>
          <w:sz w:val="18"/>
          <w:szCs w:val="18"/>
        </w:rPr>
        <w:t xml:space="preserve">; Alcohol Concern: London, UK, 2014. Available online: </w:t>
      </w:r>
      <w:r w:rsidR="0057637A" w:rsidRPr="00976A6F">
        <w:rPr>
          <w:rFonts w:ascii="Palatino Linotype" w:hAnsi="Palatino Linotype" w:cstheme="minorHAnsi"/>
          <w:sz w:val="18"/>
          <w:szCs w:val="18"/>
        </w:rPr>
        <w:t>https://www.alcoholconcern.org.uk/Handlers/Download.ashx?IDMF</w:t>
      </w:r>
      <w:r w:rsidR="0057637A" w:rsidRPr="00976A6F">
        <w:rPr>
          <w:rFonts w:ascii="Palatino Linotype" w:hAnsi="Palatino Linotype" w:cstheme="minorHAnsi"/>
          <w:sz w:val="18"/>
          <w:szCs w:val="18"/>
        </w:rPr>
        <w:br/>
      </w:r>
      <w:r w:rsidR="00131D72" w:rsidRPr="00976A6F">
        <w:rPr>
          <w:rFonts w:ascii="Palatino Linotype" w:hAnsi="Palatino Linotype" w:cstheme="minorHAnsi"/>
          <w:sz w:val="18"/>
          <w:szCs w:val="18"/>
        </w:rPr>
        <w:t>=1d7f0f83-a5ea-4878-bc73</w:t>
      </w:r>
      <w:r w:rsidRPr="00976A6F">
        <w:rPr>
          <w:rFonts w:ascii="Palatino Linotype" w:hAnsi="Palatino Linotype" w:cstheme="minorHAnsi"/>
          <w:sz w:val="18"/>
          <w:szCs w:val="18"/>
        </w:rPr>
        <w:t>19a9911f43e7 (</w:t>
      </w:r>
      <w:r w:rsidR="009346EA" w:rsidRPr="00976A6F">
        <w:rPr>
          <w:rFonts w:ascii="Palatino Linotype" w:hAnsi="Palatino Linotype" w:cstheme="minorHAnsi"/>
          <w:sz w:val="18"/>
          <w:szCs w:val="18"/>
        </w:rPr>
        <w:t xml:space="preserve">accessed on </w:t>
      </w:r>
      <w:r w:rsidR="005978F9" w:rsidRPr="00976A6F">
        <w:rPr>
          <w:rFonts w:ascii="Palatino Linotype" w:hAnsi="Palatino Linotype"/>
          <w:sz w:val="18"/>
          <w:szCs w:val="18"/>
        </w:rPr>
        <w:t>2</w:t>
      </w:r>
      <w:r w:rsidR="005978F9" w:rsidRPr="00976A6F">
        <w:rPr>
          <w:rFonts w:ascii="Palatino Linotype" w:hAnsi="Palatino Linotype"/>
          <w:sz w:val="18"/>
          <w:szCs w:val="18"/>
          <w:vertAlign w:val="superscript"/>
        </w:rPr>
        <w:t>nd</w:t>
      </w:r>
      <w:r w:rsidR="005978F9" w:rsidRPr="00976A6F">
        <w:rPr>
          <w:rFonts w:ascii="Palatino Linotype" w:hAnsi="Palatino Linotype"/>
          <w:sz w:val="18"/>
          <w:szCs w:val="18"/>
        </w:rPr>
        <w:t xml:space="preserve"> May 2016</w:t>
      </w:r>
      <w:r w:rsidRPr="00976A6F">
        <w:rPr>
          <w:rFonts w:ascii="Palatino Linotype" w:hAnsi="Palatino Linotype" w:cstheme="minorHAnsi"/>
          <w:sz w:val="18"/>
          <w:szCs w:val="18"/>
        </w:rPr>
        <w:t>).</w:t>
      </w:r>
    </w:p>
    <w:p w14:paraId="1DAAA96B"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UEFA. Impressive global broadcast coverage of UEFA EURO 2016. Available online: http://www.uefa.org/mediaservices/newsid=2373525.html (accessed on 11 May 2017).</w:t>
      </w:r>
    </w:p>
    <w:p w14:paraId="37322DF0"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Carlsberg. Carlsberg’s UEFA EURO 2012 campaign sets new standards. Available online: http://www.carlsberggroup.com/media/news/Pages/PR11_Euro_end_03072012.aspx (accessed on 11 May 2017).</w:t>
      </w:r>
    </w:p>
    <w:p w14:paraId="1B190F48" w14:textId="4A3C50F9" w:rsidR="0090400F" w:rsidRPr="00976A6F" w:rsidRDefault="0090400F" w:rsidP="0090400F">
      <w:pPr>
        <w:pStyle w:val="ListParagraph"/>
        <w:numPr>
          <w:ilvl w:val="0"/>
          <w:numId w:val="5"/>
        </w:numPr>
        <w:autoSpaceDE w:val="0"/>
        <w:autoSpaceDN w:val="0"/>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Alcohol Health Alliance. </w:t>
      </w:r>
      <w:r w:rsidRPr="00976A6F">
        <w:rPr>
          <w:rFonts w:ascii="Palatino Linotype" w:hAnsi="Palatino Linotype" w:cstheme="minorHAnsi"/>
          <w:i/>
          <w:sz w:val="18"/>
          <w:szCs w:val="18"/>
        </w:rPr>
        <w:t>Health First: An Evidence Based Alcohol Strategy for the UK</w:t>
      </w:r>
      <w:r w:rsidRPr="00976A6F">
        <w:rPr>
          <w:rFonts w:ascii="Palatino Linotype" w:hAnsi="Palatino Linotype" w:cstheme="minorHAnsi"/>
          <w:sz w:val="18"/>
          <w:szCs w:val="18"/>
        </w:rPr>
        <w:t>; University of Stirling: Stirling, UK, 2013. Available online: https://www.stir.ac.uk/media/schools/management/documents/</w:t>
      </w:r>
      <w:r w:rsidR="0057637A" w:rsidRPr="00976A6F">
        <w:rPr>
          <w:rFonts w:ascii="Palatino Linotype" w:hAnsi="Palatino Linotype" w:cstheme="minorHAnsi"/>
          <w:sz w:val="18"/>
          <w:szCs w:val="18"/>
        </w:rPr>
        <w:br/>
      </w:r>
      <w:r w:rsidRPr="00976A6F">
        <w:rPr>
          <w:rFonts w:ascii="Palatino Linotype" w:hAnsi="Palatino Linotype" w:cstheme="minorHAnsi"/>
          <w:sz w:val="18"/>
          <w:szCs w:val="18"/>
        </w:rPr>
        <w:t>Alcoholstrategy-updated.pdf (</w:t>
      </w:r>
      <w:r w:rsidR="009346EA" w:rsidRPr="00976A6F">
        <w:rPr>
          <w:rFonts w:ascii="Palatino Linotype" w:hAnsi="Palatino Linotype" w:cstheme="minorHAnsi"/>
          <w:sz w:val="18"/>
          <w:szCs w:val="18"/>
        </w:rPr>
        <w:t xml:space="preserve">accessed on </w:t>
      </w:r>
      <w:r w:rsidR="005978F9" w:rsidRPr="00976A6F">
        <w:rPr>
          <w:rFonts w:ascii="Palatino Linotype" w:hAnsi="Palatino Linotype"/>
          <w:sz w:val="18"/>
          <w:szCs w:val="18"/>
        </w:rPr>
        <w:t>1</w:t>
      </w:r>
      <w:r w:rsidR="005978F9" w:rsidRPr="00976A6F">
        <w:rPr>
          <w:rFonts w:ascii="Palatino Linotype" w:hAnsi="Palatino Linotype"/>
          <w:sz w:val="18"/>
          <w:szCs w:val="18"/>
          <w:vertAlign w:val="superscript"/>
        </w:rPr>
        <w:t>st</w:t>
      </w:r>
      <w:r w:rsidR="005978F9" w:rsidRPr="00976A6F">
        <w:rPr>
          <w:rFonts w:ascii="Palatino Linotype" w:hAnsi="Palatino Linotype"/>
          <w:sz w:val="18"/>
          <w:szCs w:val="18"/>
        </w:rPr>
        <w:t xml:space="preserve"> August 2016</w:t>
      </w:r>
      <w:r w:rsidRPr="00976A6F">
        <w:rPr>
          <w:rFonts w:ascii="Palatino Linotype" w:hAnsi="Palatino Linotype" w:cstheme="minorHAnsi"/>
          <w:sz w:val="18"/>
          <w:szCs w:val="18"/>
        </w:rPr>
        <w:t>).</w:t>
      </w:r>
    </w:p>
    <w:p w14:paraId="2B6BEE63" w14:textId="77777777" w:rsidR="0090400F" w:rsidRPr="00976A6F" w:rsidRDefault="0090400F" w:rsidP="0090400F">
      <w:pPr>
        <w:pStyle w:val="ListParagraph"/>
        <w:numPr>
          <w:ilvl w:val="0"/>
          <w:numId w:val="5"/>
        </w:numPr>
        <w:autoSpaceDE w:val="0"/>
        <w:autoSpaceDN w:val="0"/>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Babor, T.F.; Caetano, R.; Casswell, S.; Edwards, G.; Giesbrecht, N.; Graham, K.; Grube, J.W.; Hill, L.; Holder, H.; Homel, R.; et al. </w:t>
      </w:r>
      <w:r w:rsidRPr="00976A6F">
        <w:rPr>
          <w:rFonts w:ascii="Palatino Linotype" w:hAnsi="Palatino Linotype" w:cstheme="minorHAnsi"/>
          <w:i/>
          <w:sz w:val="18"/>
          <w:szCs w:val="18"/>
        </w:rPr>
        <w:t>Alcohol: No Ordinary Commodity: Research and Public Policy</w:t>
      </w:r>
      <w:r w:rsidRPr="00976A6F">
        <w:rPr>
          <w:rFonts w:ascii="Palatino Linotype" w:hAnsi="Palatino Linotype" w:cstheme="minorHAnsi"/>
          <w:sz w:val="18"/>
          <w:szCs w:val="18"/>
        </w:rPr>
        <w:t>, 2nd ed.; OUP: Oxford, UK, 2010.</w:t>
      </w:r>
    </w:p>
    <w:p w14:paraId="66A50C67"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Hastings, G.; Sheron, N. Alcohol marketing to children. </w:t>
      </w:r>
      <w:r w:rsidRPr="00976A6F">
        <w:rPr>
          <w:rFonts w:ascii="Palatino Linotype" w:hAnsi="Palatino Linotype" w:cstheme="minorHAnsi"/>
          <w:i/>
          <w:sz w:val="18"/>
          <w:szCs w:val="18"/>
        </w:rPr>
        <w:t xml:space="preserve">BMJ </w:t>
      </w:r>
      <w:r w:rsidRPr="00976A6F">
        <w:rPr>
          <w:rFonts w:ascii="Palatino Linotype" w:hAnsi="Palatino Linotype" w:cstheme="minorHAnsi"/>
          <w:b/>
          <w:sz w:val="18"/>
          <w:szCs w:val="18"/>
        </w:rPr>
        <w:t>2011</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342</w:t>
      </w:r>
      <w:r w:rsidRPr="00976A6F">
        <w:rPr>
          <w:rFonts w:ascii="Palatino Linotype" w:hAnsi="Palatino Linotype" w:cstheme="minorHAnsi"/>
          <w:sz w:val="18"/>
          <w:szCs w:val="18"/>
        </w:rPr>
        <w:t>, 1767, doi:</w:t>
      </w:r>
      <w:r w:rsidRPr="00976A6F">
        <w:rPr>
          <w:rFonts w:ascii="Palatino Linotype" w:hAnsi="Palatino Linotype" w:cstheme="minorHAnsi"/>
          <w:sz w:val="18"/>
          <w:szCs w:val="18"/>
          <w:shd w:val="clear" w:color="auto" w:fill="FFFFFF"/>
        </w:rPr>
        <w:t xml:space="preserve">10.1136/bmj.d1767. </w:t>
      </w:r>
    </w:p>
    <w:p w14:paraId="64D9AD59"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Graham, A.; Adams, J. Alcohol Marketing in Televised English Professional Football: A Frequency Analysis. </w:t>
      </w:r>
      <w:r w:rsidRPr="00976A6F">
        <w:rPr>
          <w:rFonts w:ascii="Palatino Linotype" w:hAnsi="Palatino Linotype" w:cstheme="minorHAnsi"/>
          <w:i/>
          <w:sz w:val="18"/>
          <w:szCs w:val="18"/>
        </w:rPr>
        <w:t xml:space="preserve">Alcohol Alcohol. </w:t>
      </w:r>
      <w:r w:rsidRPr="00976A6F">
        <w:rPr>
          <w:rFonts w:ascii="Palatino Linotype" w:hAnsi="Palatino Linotype" w:cstheme="minorHAnsi"/>
          <w:b/>
          <w:sz w:val="18"/>
          <w:szCs w:val="18"/>
        </w:rPr>
        <w:t>2014</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49</w:t>
      </w:r>
      <w:r w:rsidRPr="00976A6F">
        <w:rPr>
          <w:rFonts w:ascii="Palatino Linotype" w:hAnsi="Palatino Linotype" w:cstheme="minorHAnsi"/>
          <w:sz w:val="18"/>
          <w:szCs w:val="18"/>
        </w:rPr>
        <w:t xml:space="preserve">, 343–348, </w:t>
      </w:r>
      <w:r w:rsidRPr="00976A6F">
        <w:rPr>
          <w:rFonts w:ascii="Palatino Linotype" w:hAnsi="Palatino Linotype" w:cstheme="minorHAnsi"/>
          <w:sz w:val="18"/>
          <w:szCs w:val="18"/>
          <w:bdr w:val="none" w:sz="0" w:space="0" w:color="auto" w:frame="1"/>
          <w:shd w:val="clear" w:color="auto" w:fill="FFFFFF"/>
        </w:rPr>
        <w:t>doi:10.1093/alcalc/agt140</w:t>
      </w:r>
      <w:r w:rsidRPr="00976A6F">
        <w:rPr>
          <w:rFonts w:ascii="Palatino Linotype" w:hAnsi="Palatino Linotype" w:cstheme="minorHAnsi"/>
          <w:sz w:val="18"/>
          <w:szCs w:val="18"/>
        </w:rPr>
        <w:t>.</w:t>
      </w:r>
    </w:p>
    <w:p w14:paraId="0DDC18AF" w14:textId="06FB313C"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Alcohol Action Ireland. </w:t>
      </w:r>
      <w:r w:rsidRPr="00976A6F">
        <w:rPr>
          <w:rFonts w:ascii="Palatino Linotype" w:hAnsi="Palatino Linotype" w:cstheme="minorHAnsi"/>
          <w:i/>
          <w:sz w:val="18"/>
          <w:szCs w:val="18"/>
        </w:rPr>
        <w:t>Submission to the Working Group on Regulating Sponsorship by Alcohol Companies of Major Sporting Events;</w:t>
      </w:r>
      <w:r w:rsidRPr="00976A6F">
        <w:rPr>
          <w:rFonts w:ascii="Palatino Linotype" w:hAnsi="Palatino Linotype" w:cstheme="minorHAnsi"/>
          <w:sz w:val="18"/>
          <w:szCs w:val="18"/>
        </w:rPr>
        <w:t xml:space="preserve"> Alcohol Action Ireland: Dublin, Ireland, 2014. Available online: http://alcoholireland.ie/reports/publications/?wpfb_list_page=2#sthash.BDtgCIsa.dpuf (</w:t>
      </w:r>
      <w:r w:rsidR="009346EA" w:rsidRPr="00976A6F">
        <w:rPr>
          <w:rFonts w:ascii="Palatino Linotype" w:hAnsi="Palatino Linotype" w:cstheme="minorHAnsi"/>
          <w:sz w:val="18"/>
          <w:szCs w:val="18"/>
        </w:rPr>
        <w:t xml:space="preserve">accessed on </w:t>
      </w:r>
      <w:r w:rsidR="005978F9" w:rsidRPr="00976A6F">
        <w:rPr>
          <w:rFonts w:ascii="Palatino Linotype" w:hAnsi="Palatino Linotype"/>
          <w:sz w:val="18"/>
          <w:szCs w:val="18"/>
        </w:rPr>
        <w:t>1</w:t>
      </w:r>
      <w:r w:rsidR="005978F9" w:rsidRPr="00976A6F">
        <w:rPr>
          <w:rFonts w:ascii="Palatino Linotype" w:hAnsi="Palatino Linotype"/>
          <w:sz w:val="18"/>
          <w:szCs w:val="18"/>
          <w:vertAlign w:val="superscript"/>
        </w:rPr>
        <w:t>st</w:t>
      </w:r>
      <w:r w:rsidR="005978F9" w:rsidRPr="00976A6F">
        <w:rPr>
          <w:rFonts w:ascii="Palatino Linotype" w:hAnsi="Palatino Linotype"/>
          <w:sz w:val="18"/>
          <w:szCs w:val="18"/>
        </w:rPr>
        <w:t xml:space="preserve"> February 2017</w:t>
      </w:r>
      <w:r w:rsidRPr="00976A6F">
        <w:rPr>
          <w:rFonts w:ascii="Palatino Linotype" w:hAnsi="Palatino Linotype" w:cstheme="minorHAnsi"/>
          <w:sz w:val="18"/>
          <w:szCs w:val="18"/>
        </w:rPr>
        <w:t>).</w:t>
      </w:r>
    </w:p>
    <w:p w14:paraId="4FABB3E3" w14:textId="37396730"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D’Arcy C. Alcohol Bill to undermine Rugby World Cup bid—</w:t>
      </w:r>
      <w:r w:rsidR="009346EA" w:rsidRPr="00976A6F">
        <w:rPr>
          <w:rFonts w:ascii="Palatino Linotype" w:hAnsi="Palatino Linotype" w:cstheme="minorHAnsi"/>
          <w:sz w:val="18"/>
          <w:szCs w:val="18"/>
        </w:rPr>
        <w:t xml:space="preserve">Drinks </w:t>
      </w:r>
      <w:r w:rsidRPr="00976A6F">
        <w:rPr>
          <w:rFonts w:ascii="Palatino Linotype" w:hAnsi="Palatino Linotype" w:cstheme="minorHAnsi"/>
          <w:sz w:val="18"/>
          <w:szCs w:val="18"/>
        </w:rPr>
        <w:t xml:space="preserve">lobby. </w:t>
      </w:r>
      <w:r w:rsidRPr="00976A6F">
        <w:rPr>
          <w:rFonts w:ascii="Palatino Linotype" w:hAnsi="Palatino Linotype" w:cstheme="minorHAnsi"/>
          <w:i/>
          <w:sz w:val="18"/>
          <w:szCs w:val="18"/>
        </w:rPr>
        <w:t>The Irish Times</w:t>
      </w:r>
      <w:r w:rsidR="009346EA" w:rsidRPr="00976A6F">
        <w:rPr>
          <w:rFonts w:ascii="Palatino Linotype" w:hAnsi="Palatino Linotype" w:cstheme="minorHAnsi"/>
          <w:sz w:val="18"/>
          <w:szCs w:val="18"/>
        </w:rPr>
        <w:t>,</w:t>
      </w:r>
      <w:r w:rsidRPr="00976A6F">
        <w:rPr>
          <w:rFonts w:ascii="Palatino Linotype" w:hAnsi="Palatino Linotype" w:cstheme="minorHAnsi"/>
          <w:i/>
          <w:sz w:val="18"/>
          <w:szCs w:val="18"/>
        </w:rPr>
        <w:t xml:space="preserve"> </w:t>
      </w:r>
      <w:r w:rsidR="009346EA" w:rsidRPr="00976A6F">
        <w:rPr>
          <w:rFonts w:ascii="Palatino Linotype" w:hAnsi="Palatino Linotype" w:cstheme="minorHAnsi"/>
          <w:sz w:val="18"/>
          <w:szCs w:val="18"/>
        </w:rPr>
        <w:t>10 December 2015</w:t>
      </w:r>
      <w:r w:rsidRPr="00976A6F">
        <w:rPr>
          <w:rFonts w:ascii="Palatino Linotype" w:hAnsi="Palatino Linotype" w:cstheme="minorHAnsi"/>
          <w:sz w:val="18"/>
          <w:szCs w:val="18"/>
        </w:rPr>
        <w:t>.</w:t>
      </w:r>
    </w:p>
    <w:p w14:paraId="0920DBCB" w14:textId="23819C16"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lastRenderedPageBreak/>
        <w:t xml:space="preserve">Plunkett, J. Andy Murray’s Wimbledon nets 13.3m viewers—but more see Euro 2016 final. </w:t>
      </w:r>
      <w:r w:rsidR="006C11FB" w:rsidRPr="00976A6F">
        <w:rPr>
          <w:rFonts w:ascii="Palatino Linotype" w:hAnsi="Palatino Linotype" w:cstheme="minorHAnsi"/>
          <w:i/>
          <w:sz w:val="18"/>
          <w:szCs w:val="18"/>
        </w:rPr>
        <w:t>The Guardian</w:t>
      </w:r>
      <w:r w:rsidR="006C11FB" w:rsidRPr="00976A6F">
        <w:rPr>
          <w:rFonts w:ascii="Palatino Linotype" w:hAnsi="Palatino Linotype" w:cstheme="minorHAnsi"/>
          <w:sz w:val="18"/>
          <w:szCs w:val="18"/>
        </w:rPr>
        <w:t>,</w:t>
      </w:r>
      <w:r w:rsidR="006C11FB" w:rsidRPr="00976A6F">
        <w:rPr>
          <w:rFonts w:ascii="Palatino Linotype" w:hAnsi="Palatino Linotype" w:cstheme="minorHAnsi"/>
          <w:i/>
          <w:sz w:val="18"/>
          <w:szCs w:val="18"/>
        </w:rPr>
        <w:t xml:space="preserve"> </w:t>
      </w:r>
      <w:r w:rsidRPr="00976A6F">
        <w:rPr>
          <w:rFonts w:ascii="Palatino Linotype" w:hAnsi="Palatino Linotype" w:cstheme="minorHAnsi"/>
          <w:sz w:val="18"/>
          <w:szCs w:val="18"/>
        </w:rPr>
        <w:t>11 July 2016</w:t>
      </w:r>
      <w:r w:rsidR="006C11FB" w:rsidRPr="00976A6F">
        <w:rPr>
          <w:rFonts w:ascii="Palatino Linotype" w:hAnsi="Palatino Linotype" w:cstheme="minorHAnsi"/>
          <w:sz w:val="18"/>
          <w:szCs w:val="18"/>
        </w:rPr>
        <w:t>.</w:t>
      </w:r>
    </w:p>
    <w:p w14:paraId="4C9CA36F"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Stemler, S.; Tsai, J. Best practices in estimating interrater reliability. In </w:t>
      </w:r>
      <w:r w:rsidRPr="00976A6F">
        <w:rPr>
          <w:rFonts w:ascii="Palatino Linotype" w:hAnsi="Palatino Linotype" w:cstheme="minorHAnsi"/>
          <w:i/>
          <w:sz w:val="18"/>
          <w:szCs w:val="18"/>
        </w:rPr>
        <w:t>Best Practices in Quantitative methods</w:t>
      </w:r>
      <w:r w:rsidRPr="00976A6F">
        <w:rPr>
          <w:rFonts w:ascii="Palatino Linotype" w:hAnsi="Palatino Linotype" w:cstheme="minorHAnsi"/>
          <w:sz w:val="18"/>
          <w:szCs w:val="18"/>
        </w:rPr>
        <w:t>;</w:t>
      </w:r>
      <w:r w:rsidRPr="00976A6F">
        <w:rPr>
          <w:rFonts w:ascii="Palatino Linotype" w:hAnsi="Palatino Linotype" w:cstheme="minorHAnsi"/>
          <w:i/>
          <w:sz w:val="18"/>
          <w:szCs w:val="18"/>
        </w:rPr>
        <w:t xml:space="preserve"> </w:t>
      </w:r>
      <w:r w:rsidRPr="00976A6F">
        <w:rPr>
          <w:rFonts w:ascii="Palatino Linotype" w:hAnsi="Palatino Linotype" w:cstheme="minorHAnsi"/>
          <w:sz w:val="18"/>
          <w:szCs w:val="18"/>
        </w:rPr>
        <w:t>Osborne, J., Ed.; Sage Publications: Thousand Oaks, CA, USA, 2008; pp. 29–49.</w:t>
      </w:r>
    </w:p>
    <w:p w14:paraId="3036A501"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British Broadcasting Corporation. Inside the BBC: Advertising. Available online: http://www.bbc.co.uk/corporate2/insidethebbc/howwework/policiesandguidelines/advertising.html (accessed on 11 May 2017).</w:t>
      </w:r>
    </w:p>
    <w:p w14:paraId="3B64DC5F"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Available online: ITV. About ITV. http://www.itvplc.com/about/what-we-do (accessed on 11 May 2017).</w:t>
      </w:r>
    </w:p>
    <w:p w14:paraId="27670D84" w14:textId="69A7D732"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Evans, G. It is up to head teachers whether pupils and staff will be able to watch Wales’ EURO 2016 Showdown with England. </w:t>
      </w:r>
      <w:r w:rsidRPr="00976A6F">
        <w:rPr>
          <w:rFonts w:ascii="Palatino Linotype" w:hAnsi="Palatino Linotype" w:cstheme="minorHAnsi"/>
          <w:i/>
          <w:sz w:val="18"/>
          <w:szCs w:val="18"/>
        </w:rPr>
        <w:t>Wales Online</w:t>
      </w:r>
      <w:r w:rsidR="006C11FB" w:rsidRPr="00976A6F">
        <w:rPr>
          <w:rFonts w:ascii="Palatino Linotype" w:hAnsi="Palatino Linotype" w:cstheme="minorHAnsi"/>
          <w:sz w:val="18"/>
          <w:szCs w:val="18"/>
        </w:rPr>
        <w:t xml:space="preserve">, </w:t>
      </w:r>
      <w:r w:rsidRPr="00976A6F">
        <w:rPr>
          <w:rFonts w:ascii="Palatino Linotype" w:hAnsi="Palatino Linotype" w:cstheme="minorHAnsi"/>
          <w:sz w:val="18"/>
          <w:szCs w:val="18"/>
        </w:rPr>
        <w:t>10 June 2016</w:t>
      </w:r>
      <w:r w:rsidR="006C11FB" w:rsidRPr="00976A6F">
        <w:rPr>
          <w:rFonts w:ascii="Palatino Linotype" w:hAnsi="Palatino Linotype" w:cstheme="minorHAnsi"/>
          <w:sz w:val="18"/>
          <w:szCs w:val="18"/>
        </w:rPr>
        <w:t>.</w:t>
      </w:r>
    </w:p>
    <w:p w14:paraId="377E5519" w14:textId="00B586D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Bullen, J. England vs Wales: Firms told to show Euro 2016 shown to ‘motivate staff’. </w:t>
      </w:r>
      <w:r w:rsidR="006C11FB" w:rsidRPr="00976A6F">
        <w:rPr>
          <w:rFonts w:ascii="Palatino Linotype" w:hAnsi="Palatino Linotype" w:cstheme="minorHAnsi"/>
          <w:i/>
          <w:sz w:val="18"/>
          <w:szCs w:val="18"/>
        </w:rPr>
        <w:t>The Evening Standard</w:t>
      </w:r>
      <w:r w:rsidRPr="00976A6F">
        <w:rPr>
          <w:rFonts w:ascii="Palatino Linotype" w:hAnsi="Palatino Linotype" w:cstheme="minorHAnsi"/>
          <w:sz w:val="18"/>
          <w:szCs w:val="18"/>
        </w:rPr>
        <w:t>, 15 June 2016</w:t>
      </w:r>
      <w:r w:rsidR="006C11FB" w:rsidRPr="00976A6F">
        <w:rPr>
          <w:rFonts w:ascii="Palatino Linotype" w:hAnsi="Palatino Linotype" w:cstheme="minorHAnsi"/>
          <w:sz w:val="18"/>
          <w:szCs w:val="18"/>
        </w:rPr>
        <w:t>.</w:t>
      </w:r>
    </w:p>
    <w:p w14:paraId="04937940" w14:textId="0D39705D"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Campbell, D. Ban alcohol firms from sponsoring sports clubs and events, doctors urge. </w:t>
      </w:r>
      <w:r w:rsidR="006C11FB" w:rsidRPr="00976A6F">
        <w:rPr>
          <w:rFonts w:ascii="Palatino Linotype" w:hAnsi="Palatino Linotype" w:cstheme="minorHAnsi"/>
          <w:i/>
          <w:sz w:val="18"/>
          <w:szCs w:val="18"/>
        </w:rPr>
        <w:t>The Guardian</w:t>
      </w:r>
      <w:r w:rsidR="006C11FB" w:rsidRPr="00976A6F">
        <w:rPr>
          <w:rFonts w:ascii="Palatino Linotype" w:hAnsi="Palatino Linotype" w:cstheme="minorHAnsi"/>
          <w:sz w:val="18"/>
          <w:szCs w:val="18"/>
        </w:rPr>
        <w:t>, 25 December 2014.</w:t>
      </w:r>
    </w:p>
    <w:p w14:paraId="289F4592" w14:textId="14172188"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Douglas, A. Let’s not normalise alcohol sport. </w:t>
      </w:r>
      <w:r w:rsidRPr="00976A6F">
        <w:rPr>
          <w:rFonts w:ascii="Palatino Linotype" w:hAnsi="Palatino Linotype" w:cstheme="minorHAnsi"/>
          <w:i/>
          <w:sz w:val="18"/>
          <w:szCs w:val="18"/>
        </w:rPr>
        <w:t xml:space="preserve">Edinburgh </w:t>
      </w:r>
      <w:r w:rsidR="006C11FB" w:rsidRPr="00976A6F">
        <w:rPr>
          <w:rFonts w:ascii="Palatino Linotype" w:hAnsi="Palatino Linotype" w:cstheme="minorHAnsi"/>
          <w:i/>
          <w:sz w:val="18"/>
          <w:szCs w:val="18"/>
        </w:rPr>
        <w:t>News</w:t>
      </w:r>
      <w:r w:rsidR="006C11FB" w:rsidRPr="00976A6F">
        <w:rPr>
          <w:rFonts w:ascii="Palatino Linotype" w:hAnsi="Palatino Linotype" w:cstheme="minorHAnsi"/>
          <w:sz w:val="18"/>
          <w:szCs w:val="18"/>
        </w:rPr>
        <w:t>,</w:t>
      </w:r>
      <w:r w:rsidR="006C11FB" w:rsidRPr="00976A6F">
        <w:rPr>
          <w:rFonts w:ascii="Palatino Linotype" w:hAnsi="Palatino Linotype" w:cstheme="minorHAnsi"/>
          <w:i/>
          <w:sz w:val="18"/>
          <w:szCs w:val="18"/>
        </w:rPr>
        <w:t xml:space="preserve"> </w:t>
      </w:r>
      <w:r w:rsidRPr="00976A6F">
        <w:rPr>
          <w:rFonts w:ascii="Palatino Linotype" w:hAnsi="Palatino Linotype" w:cstheme="minorHAnsi"/>
          <w:sz w:val="18"/>
          <w:szCs w:val="18"/>
        </w:rPr>
        <w:t xml:space="preserve">28 May 2016. </w:t>
      </w:r>
    </w:p>
    <w:p w14:paraId="013CCA29" w14:textId="16FF30EE"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Nield, D. Broadcast tech explainer—how Euro 2016 is beamed into your eyes and ears. </w:t>
      </w:r>
      <w:r w:rsidR="006C11FB" w:rsidRPr="00976A6F">
        <w:rPr>
          <w:rFonts w:ascii="Palatino Linotype" w:hAnsi="Palatino Linotype" w:cstheme="minorHAnsi"/>
          <w:i/>
          <w:sz w:val="18"/>
          <w:szCs w:val="18"/>
        </w:rPr>
        <w:t>The Gadget Website</w:t>
      </w:r>
      <w:r w:rsidRPr="00976A6F">
        <w:rPr>
          <w:rFonts w:ascii="Palatino Linotype" w:hAnsi="Palatino Linotype" w:cstheme="minorHAnsi"/>
          <w:sz w:val="18"/>
          <w:szCs w:val="18"/>
        </w:rPr>
        <w:t>, 10 June 2016</w:t>
      </w:r>
      <w:r w:rsidR="006C11FB" w:rsidRPr="00976A6F">
        <w:rPr>
          <w:rFonts w:ascii="Palatino Linotype" w:hAnsi="Palatino Linotype" w:cstheme="minorHAnsi"/>
          <w:sz w:val="18"/>
          <w:szCs w:val="18"/>
        </w:rPr>
        <w:t>.</w:t>
      </w:r>
    </w:p>
    <w:p w14:paraId="14242B63" w14:textId="5704D19B"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Roder, J. World feed football commentary: What is it? Available online: http://johnroder.com/</w:t>
      </w:r>
      <w:r w:rsidR="006C11FB" w:rsidRPr="00976A6F">
        <w:rPr>
          <w:rFonts w:ascii="Palatino Linotype" w:hAnsi="Palatino Linotype" w:cstheme="minorHAnsi"/>
          <w:sz w:val="18"/>
          <w:szCs w:val="18"/>
        </w:rPr>
        <w:br/>
      </w:r>
      <w:r w:rsidRPr="00976A6F">
        <w:rPr>
          <w:rFonts w:ascii="Palatino Linotype" w:hAnsi="Palatino Linotype" w:cstheme="minorHAnsi"/>
          <w:sz w:val="18"/>
          <w:szCs w:val="18"/>
        </w:rPr>
        <w:t>blog/world-feed-football-commentary.-what-is-it (accessed on 11 May 2017).</w:t>
      </w:r>
    </w:p>
    <w:p w14:paraId="4AA13A0D" w14:textId="4C23EA10"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Temperton, J. Fibre and plywood: This is how EURO 2016 is broadcast to the world. </w:t>
      </w:r>
      <w:r w:rsidR="006C11FB" w:rsidRPr="00976A6F">
        <w:rPr>
          <w:rFonts w:ascii="Palatino Linotype" w:hAnsi="Palatino Linotype" w:cstheme="minorHAnsi"/>
          <w:i/>
          <w:sz w:val="18"/>
          <w:szCs w:val="18"/>
        </w:rPr>
        <w:t>Wired Sport</w:t>
      </w:r>
      <w:r w:rsidR="006C11FB" w:rsidRPr="00976A6F">
        <w:rPr>
          <w:rFonts w:ascii="Palatino Linotype" w:hAnsi="Palatino Linotype" w:cstheme="minorHAnsi"/>
          <w:sz w:val="18"/>
          <w:szCs w:val="18"/>
        </w:rPr>
        <w:t xml:space="preserve">, </w:t>
      </w:r>
      <w:r w:rsidRPr="00976A6F">
        <w:rPr>
          <w:rFonts w:ascii="Palatino Linotype" w:hAnsi="Palatino Linotype" w:cstheme="minorHAnsi"/>
          <w:sz w:val="18"/>
          <w:szCs w:val="18"/>
        </w:rPr>
        <w:t xml:space="preserve">22 June 2016. </w:t>
      </w:r>
    </w:p>
    <w:p w14:paraId="263CD5D6" w14:textId="786145C2"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Glenndinning, M. </w:t>
      </w:r>
      <w:r w:rsidRPr="00976A6F">
        <w:rPr>
          <w:rFonts w:ascii="Palatino Linotype" w:eastAsia="Calibri" w:hAnsi="Palatino Linotype" w:cstheme="minorHAnsi"/>
          <w:sz w:val="18"/>
          <w:szCs w:val="18"/>
        </w:rPr>
        <w:t xml:space="preserve">Five things we learnt from Carlsberg’s Campaign. </w:t>
      </w:r>
      <w:r w:rsidRPr="00976A6F">
        <w:rPr>
          <w:rFonts w:ascii="Palatino Linotype" w:eastAsia="Calibri" w:hAnsi="Palatino Linotype" w:cstheme="minorHAnsi"/>
          <w:i/>
          <w:sz w:val="18"/>
          <w:szCs w:val="18"/>
        </w:rPr>
        <w:t>Sports Business</w:t>
      </w:r>
      <w:r w:rsidRPr="00976A6F">
        <w:rPr>
          <w:rFonts w:ascii="Palatino Linotype" w:eastAsia="Calibri" w:hAnsi="Palatino Linotype" w:cstheme="minorHAnsi"/>
          <w:sz w:val="18"/>
          <w:szCs w:val="18"/>
        </w:rPr>
        <w:t xml:space="preserve">, 6 July 2016. </w:t>
      </w:r>
    </w:p>
    <w:p w14:paraId="06E42B18" w14:textId="0F3C5475"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McCarthy, J. How Carlsberg made you want beer at Euro 2016 despite being legally forbidden from using its branding. </w:t>
      </w:r>
      <w:r w:rsidRPr="00976A6F">
        <w:rPr>
          <w:rFonts w:ascii="Palatino Linotype" w:hAnsi="Palatino Linotype" w:cstheme="minorHAnsi"/>
          <w:i/>
          <w:sz w:val="18"/>
          <w:szCs w:val="18"/>
        </w:rPr>
        <w:t xml:space="preserve">The </w:t>
      </w:r>
      <w:r w:rsidR="006C11FB" w:rsidRPr="00976A6F">
        <w:rPr>
          <w:rFonts w:ascii="Palatino Linotype" w:hAnsi="Palatino Linotype" w:cstheme="minorHAnsi"/>
          <w:i/>
          <w:sz w:val="18"/>
          <w:szCs w:val="18"/>
        </w:rPr>
        <w:t>Drum</w:t>
      </w:r>
      <w:r w:rsidRPr="00976A6F">
        <w:rPr>
          <w:rFonts w:ascii="Palatino Linotype" w:hAnsi="Palatino Linotype" w:cstheme="minorHAnsi"/>
          <w:sz w:val="18"/>
          <w:szCs w:val="18"/>
        </w:rPr>
        <w:t xml:space="preserve">, 6 July 2016. </w:t>
      </w:r>
    </w:p>
    <w:p w14:paraId="7A55DB9B"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Hare G. Buying and selling the world cup. In </w:t>
      </w:r>
      <w:r w:rsidRPr="00976A6F">
        <w:rPr>
          <w:rFonts w:ascii="Palatino Linotype" w:hAnsi="Palatino Linotype" w:cstheme="minorHAnsi"/>
          <w:i/>
          <w:sz w:val="18"/>
          <w:szCs w:val="18"/>
        </w:rPr>
        <w:t>France and the 1998 World Cup: The National Impact of a World Sporting Event</w:t>
      </w:r>
      <w:r w:rsidRPr="00976A6F">
        <w:rPr>
          <w:rFonts w:ascii="Palatino Linotype" w:hAnsi="Palatino Linotype" w:cstheme="minorHAnsi"/>
          <w:sz w:val="18"/>
          <w:szCs w:val="18"/>
        </w:rPr>
        <w:t>;</w:t>
      </w:r>
      <w:r w:rsidRPr="00976A6F">
        <w:rPr>
          <w:rFonts w:ascii="Palatino Linotype" w:hAnsi="Palatino Linotype" w:cstheme="minorHAnsi"/>
          <w:i/>
          <w:sz w:val="18"/>
          <w:szCs w:val="18"/>
        </w:rPr>
        <w:t xml:space="preserve"> </w:t>
      </w:r>
      <w:r w:rsidRPr="00976A6F">
        <w:rPr>
          <w:rFonts w:ascii="Palatino Linotype" w:hAnsi="Palatino Linotype" w:cstheme="minorHAnsi"/>
          <w:sz w:val="18"/>
          <w:szCs w:val="18"/>
        </w:rPr>
        <w:t>Dauncey, H., Hare, G, Eds.; Routledge: London, UK, 1999; pp. 121–144.</w:t>
      </w:r>
    </w:p>
    <w:p w14:paraId="4AD6C9BC"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Palmer C. </w:t>
      </w:r>
      <w:r w:rsidRPr="00976A6F">
        <w:rPr>
          <w:rFonts w:ascii="Palatino Linotype" w:hAnsi="Palatino Linotype" w:cstheme="minorHAnsi"/>
          <w:i/>
          <w:sz w:val="18"/>
          <w:szCs w:val="18"/>
        </w:rPr>
        <w:t>Rethinking Drinking and Sport: New Approaches to Sport and Alcohol</w:t>
      </w:r>
      <w:r w:rsidRPr="00976A6F">
        <w:rPr>
          <w:rFonts w:ascii="Palatino Linotype" w:hAnsi="Palatino Linotype" w:cstheme="minorHAnsi"/>
          <w:sz w:val="18"/>
          <w:szCs w:val="18"/>
        </w:rPr>
        <w:t xml:space="preserve">; Routledge: London, UK, 2015. </w:t>
      </w:r>
    </w:p>
    <w:p w14:paraId="2D061806"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Grant-Braham, B.; Britton, J. Motor racing, tobacco company sponsorship, barcodes and alibi marketing. </w:t>
      </w:r>
      <w:r w:rsidRPr="00976A6F">
        <w:rPr>
          <w:rFonts w:ascii="Palatino Linotype" w:hAnsi="Palatino Linotype" w:cstheme="minorHAnsi"/>
          <w:i/>
          <w:sz w:val="18"/>
          <w:szCs w:val="18"/>
        </w:rPr>
        <w:t>Tob. Control</w:t>
      </w:r>
      <w:r w:rsidRPr="00976A6F">
        <w:rPr>
          <w:rFonts w:ascii="Palatino Linotype" w:hAnsi="Palatino Linotype" w:cstheme="minorHAnsi"/>
          <w:sz w:val="18"/>
          <w:szCs w:val="18"/>
        </w:rPr>
        <w:t xml:space="preserve"> </w:t>
      </w:r>
      <w:r w:rsidRPr="00976A6F">
        <w:rPr>
          <w:rFonts w:ascii="Palatino Linotype" w:hAnsi="Palatino Linotype" w:cstheme="minorHAnsi"/>
          <w:b/>
          <w:sz w:val="18"/>
          <w:szCs w:val="18"/>
        </w:rPr>
        <w:t>2012</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21</w:t>
      </w:r>
      <w:r w:rsidRPr="00976A6F">
        <w:rPr>
          <w:rFonts w:ascii="Palatino Linotype" w:hAnsi="Palatino Linotype" w:cstheme="minorHAnsi"/>
          <w:sz w:val="18"/>
          <w:szCs w:val="18"/>
        </w:rPr>
        <w:t>, 529–535, doi:</w:t>
      </w:r>
      <w:r w:rsidRPr="00976A6F">
        <w:rPr>
          <w:rFonts w:ascii="Palatino Linotype" w:hAnsi="Palatino Linotype" w:cstheme="minorHAnsi"/>
          <w:sz w:val="18"/>
          <w:szCs w:val="18"/>
          <w:shd w:val="clear" w:color="auto" w:fill="FEFEFE"/>
        </w:rPr>
        <w:t xml:space="preserve">10.1136/tc.2011.043448. </w:t>
      </w:r>
    </w:p>
    <w:p w14:paraId="5DD47924"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shd w:val="clear" w:color="auto" w:fill="FEFEFE"/>
        </w:rPr>
        <w:t xml:space="preserve">Jones, C.R. </w:t>
      </w:r>
      <w:r w:rsidRPr="00976A6F">
        <w:rPr>
          <w:rFonts w:ascii="Palatino Linotype" w:hAnsi="Palatino Linotype" w:cstheme="minorHAnsi"/>
          <w:i/>
          <w:sz w:val="18"/>
          <w:szCs w:val="18"/>
        </w:rPr>
        <w:t>Sport and Alcohol: An Ethical Perspective</w:t>
      </w:r>
      <w:r w:rsidRPr="00976A6F">
        <w:rPr>
          <w:rFonts w:ascii="Palatino Linotype" w:hAnsi="Palatino Linotype" w:cstheme="minorHAnsi"/>
          <w:sz w:val="18"/>
          <w:szCs w:val="18"/>
        </w:rPr>
        <w:t>;</w:t>
      </w:r>
      <w:r w:rsidRPr="00976A6F">
        <w:rPr>
          <w:rFonts w:ascii="Palatino Linotype" w:hAnsi="Palatino Linotype" w:cstheme="minorHAnsi"/>
          <w:i/>
          <w:sz w:val="18"/>
          <w:szCs w:val="18"/>
        </w:rPr>
        <w:t xml:space="preserve"> </w:t>
      </w:r>
      <w:r w:rsidRPr="00976A6F">
        <w:rPr>
          <w:rFonts w:ascii="Palatino Linotype" w:hAnsi="Palatino Linotype" w:cstheme="minorHAnsi"/>
          <w:sz w:val="18"/>
          <w:szCs w:val="18"/>
        </w:rPr>
        <w:t xml:space="preserve">Routledge: London, UK, 2016. </w:t>
      </w:r>
    </w:p>
    <w:p w14:paraId="3B38478D" w14:textId="1E6BB0B2"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Heineken. Heineken ‘Champions the Match’ in new UEFA Champions Lea</w:t>
      </w:r>
      <w:r w:rsidR="006C11FB" w:rsidRPr="00976A6F">
        <w:rPr>
          <w:rFonts w:ascii="Palatino Linotype" w:hAnsi="Palatino Linotype" w:cstheme="minorHAnsi"/>
          <w:sz w:val="18"/>
          <w:szCs w:val="18"/>
        </w:rPr>
        <w:t>gue Campaign. Available online:</w:t>
      </w:r>
      <w:r w:rsidRPr="00976A6F">
        <w:rPr>
          <w:rFonts w:ascii="Palatino Linotype" w:hAnsi="Palatino Linotype" w:cstheme="minorHAnsi"/>
          <w:sz w:val="18"/>
          <w:szCs w:val="18"/>
        </w:rPr>
        <w:t>http://www.theheinekencompany.com/media/media-releases/media-releases/2015/10/heineken-champions-the-match-in-new-uefa-champions-league-campaign (accessed on 11 May 2017).</w:t>
      </w:r>
    </w:p>
    <w:p w14:paraId="791DAE28" w14:textId="355C51FA"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Jancey, N.V. EURO 2016 Cyber Security in practice. Available online: </w:t>
      </w:r>
      <w:r w:rsidR="006754F3" w:rsidRPr="00976A6F">
        <w:rPr>
          <w:rFonts w:ascii="Palatino Linotype" w:hAnsi="Palatino Linotype" w:cstheme="minorHAnsi"/>
          <w:sz w:val="18"/>
          <w:szCs w:val="18"/>
        </w:rPr>
        <w:t>https://www.pwc</w:t>
      </w:r>
      <w:r w:rsidR="006754F3" w:rsidRPr="00976A6F">
        <w:rPr>
          <w:rFonts w:ascii="Palatino Linotype" w:hAnsi="Palatino Linotype" w:cstheme="minorHAnsi"/>
          <w:sz w:val="18"/>
          <w:szCs w:val="18"/>
        </w:rPr>
        <w:br/>
      </w:r>
      <w:r w:rsidRPr="00976A6F">
        <w:rPr>
          <w:rFonts w:ascii="Palatino Linotype" w:hAnsi="Palatino Linotype" w:cstheme="minorHAnsi"/>
          <w:sz w:val="18"/>
          <w:szCs w:val="18"/>
        </w:rPr>
        <w:t>.dk/da/arrangementer/2016/cybercrimekonferencen16carlsberg.pdf (accessed on 21 June 2017).</w:t>
      </w:r>
    </w:p>
    <w:p w14:paraId="02AF2EBE"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color w:val="333333"/>
          <w:sz w:val="18"/>
          <w:szCs w:val="18"/>
          <w:shd w:val="clear" w:color="auto" w:fill="FFFFFF"/>
        </w:rPr>
      </w:pPr>
      <w:r w:rsidRPr="00976A6F">
        <w:rPr>
          <w:rFonts w:ascii="Palatino Linotype" w:hAnsi="Palatino Linotype" w:cstheme="minorHAnsi"/>
          <w:sz w:val="18"/>
          <w:szCs w:val="18"/>
        </w:rPr>
        <w:t xml:space="preserve">Noel, J.K.; Babor, T.F.; Robaina, K.; Feulner, M.; Vendrame, A.; Monteiro, M. Alcohol marketing in the Americas and Spain during the 2014 FIFA World Cup Tournament. </w:t>
      </w:r>
      <w:r w:rsidRPr="00976A6F">
        <w:rPr>
          <w:rFonts w:ascii="Palatino Linotype" w:hAnsi="Palatino Linotype" w:cstheme="minorHAnsi"/>
          <w:i/>
          <w:sz w:val="18"/>
          <w:szCs w:val="18"/>
        </w:rPr>
        <w:t xml:space="preserve">Addiction </w:t>
      </w:r>
      <w:r w:rsidRPr="00976A6F">
        <w:rPr>
          <w:rFonts w:ascii="Palatino Linotype" w:hAnsi="Palatino Linotype" w:cstheme="minorHAnsi"/>
          <w:b/>
          <w:sz w:val="18"/>
          <w:szCs w:val="18"/>
        </w:rPr>
        <w:t>2017</w:t>
      </w:r>
      <w:r w:rsidRPr="00976A6F">
        <w:rPr>
          <w:rFonts w:ascii="Palatino Linotype" w:hAnsi="Palatino Linotype" w:cstheme="minorHAnsi"/>
          <w:sz w:val="18"/>
          <w:szCs w:val="18"/>
        </w:rPr>
        <w:t xml:space="preserve">, </w:t>
      </w:r>
      <w:r w:rsidRPr="00976A6F">
        <w:rPr>
          <w:rFonts w:ascii="Palatino Linotype" w:hAnsi="Palatino Linotype" w:cstheme="minorHAnsi"/>
          <w:i/>
          <w:sz w:val="18"/>
          <w:szCs w:val="18"/>
        </w:rPr>
        <w:t>112</w:t>
      </w:r>
      <w:r w:rsidRPr="00976A6F">
        <w:rPr>
          <w:rFonts w:ascii="Palatino Linotype" w:hAnsi="Palatino Linotype" w:cstheme="minorHAnsi"/>
          <w:sz w:val="18"/>
          <w:szCs w:val="18"/>
        </w:rPr>
        <w:t>, 64–73, doi:</w:t>
      </w:r>
      <w:r w:rsidRPr="00976A6F">
        <w:rPr>
          <w:rFonts w:ascii="Palatino Linotype" w:hAnsi="Palatino Linotype" w:cstheme="minorHAnsi"/>
          <w:sz w:val="18"/>
          <w:szCs w:val="18"/>
          <w:shd w:val="clear" w:color="auto" w:fill="FFFFFF"/>
        </w:rPr>
        <w:t>10.1111/add.13487</w:t>
      </w:r>
      <w:r w:rsidRPr="00976A6F">
        <w:rPr>
          <w:rFonts w:ascii="Palatino Linotype" w:hAnsi="Palatino Linotype" w:cstheme="minorHAnsi"/>
          <w:color w:val="333333"/>
          <w:sz w:val="18"/>
          <w:szCs w:val="18"/>
          <w:shd w:val="clear" w:color="auto" w:fill="FFFFFF"/>
        </w:rPr>
        <w:t>.</w:t>
      </w:r>
    </w:p>
    <w:p w14:paraId="15A0EC65" w14:textId="2750F48D"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European Centre for Monitoring Alcohol Marketing. Due to FIFA World Cup: Restrictions on advertising beer in Russia eased? Available online: </w:t>
      </w:r>
      <w:r w:rsidR="006754F3" w:rsidRPr="00976A6F">
        <w:rPr>
          <w:rFonts w:ascii="Palatino Linotype" w:hAnsi="Palatino Linotype" w:cstheme="minorHAnsi"/>
          <w:sz w:val="18"/>
          <w:szCs w:val="18"/>
        </w:rPr>
        <w:t>http://eucam.info/2016/12/20/due-to-fifa-world-cup-restrictions-on</w:t>
      </w:r>
      <w:r w:rsidR="006754F3" w:rsidRPr="00976A6F">
        <w:rPr>
          <w:rFonts w:ascii="Palatino Linotype" w:hAnsi="Palatino Linotype" w:cstheme="minorHAnsi"/>
          <w:sz w:val="18"/>
          <w:szCs w:val="18"/>
        </w:rPr>
        <w:br/>
      </w:r>
      <w:r w:rsidRPr="00976A6F">
        <w:rPr>
          <w:rFonts w:ascii="Palatino Linotype" w:hAnsi="Palatino Linotype" w:cstheme="minorHAnsi"/>
          <w:sz w:val="18"/>
          <w:szCs w:val="18"/>
        </w:rPr>
        <w:t>-advertising-beer-in-russia-eased/ (accessed on 11 May 2017).</w:t>
      </w:r>
    </w:p>
    <w:p w14:paraId="5999891A"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Gornall, J. World Cup 2014: festival of football or alcohol? Whichever country hoists aloft the World Cup trophy on 13 July, the real winner will be the alcohol industry. </w:t>
      </w:r>
      <w:r w:rsidRPr="00976A6F">
        <w:rPr>
          <w:rFonts w:ascii="Palatino Linotype" w:hAnsi="Palatino Linotype" w:cstheme="minorHAnsi"/>
          <w:i/>
          <w:sz w:val="18"/>
          <w:szCs w:val="18"/>
        </w:rPr>
        <w:t>BMJ</w:t>
      </w:r>
      <w:r w:rsidRPr="00976A6F">
        <w:rPr>
          <w:rFonts w:ascii="Palatino Linotype" w:hAnsi="Palatino Linotype" w:cstheme="minorHAnsi"/>
          <w:sz w:val="18"/>
          <w:szCs w:val="18"/>
        </w:rPr>
        <w:t xml:space="preserve"> </w:t>
      </w:r>
      <w:r w:rsidRPr="00976A6F">
        <w:rPr>
          <w:rFonts w:ascii="Palatino Linotype" w:hAnsi="Palatino Linotype" w:cstheme="minorHAnsi"/>
          <w:b/>
          <w:sz w:val="18"/>
          <w:szCs w:val="18"/>
        </w:rPr>
        <w:t>2014</w:t>
      </w:r>
      <w:r w:rsidRPr="00976A6F">
        <w:rPr>
          <w:rFonts w:ascii="Palatino Linotype" w:hAnsi="Palatino Linotype" w:cstheme="minorHAnsi"/>
          <w:sz w:val="18"/>
          <w:szCs w:val="18"/>
        </w:rPr>
        <w:t xml:space="preserve">, 348, g3772, </w:t>
      </w:r>
      <w:r w:rsidRPr="00976A6F">
        <w:rPr>
          <w:rFonts w:ascii="Palatino Linotype" w:hAnsi="Palatino Linotype" w:cstheme="minorHAnsi"/>
          <w:sz w:val="18"/>
          <w:szCs w:val="18"/>
          <w:shd w:val="clear" w:color="auto" w:fill="FFFFFF"/>
        </w:rPr>
        <w:t>doi:10.1136/bmj.g3772</w:t>
      </w:r>
      <w:r w:rsidRPr="00976A6F">
        <w:rPr>
          <w:rFonts w:ascii="Palatino Linotype" w:hAnsi="Palatino Linotype" w:cstheme="minorHAnsi"/>
          <w:sz w:val="18"/>
          <w:szCs w:val="18"/>
        </w:rPr>
        <w:t xml:space="preserve">. </w:t>
      </w:r>
    </w:p>
    <w:p w14:paraId="722D93F1" w14:textId="77777777"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Nicholls, J. Buying and selling the world cup. In </w:t>
      </w:r>
      <w:r w:rsidRPr="00976A6F">
        <w:rPr>
          <w:rFonts w:ascii="Palatino Linotype" w:hAnsi="Palatino Linotype" w:cstheme="minorHAnsi"/>
          <w:i/>
          <w:sz w:val="18"/>
          <w:szCs w:val="18"/>
        </w:rPr>
        <w:t>Handbook of Drug &amp; Alcohol Studies: Social Science Approaches</w:t>
      </w:r>
      <w:r w:rsidRPr="00976A6F">
        <w:rPr>
          <w:rFonts w:ascii="Palatino Linotype" w:hAnsi="Palatino Linotype" w:cstheme="minorHAnsi"/>
          <w:sz w:val="18"/>
          <w:szCs w:val="18"/>
        </w:rPr>
        <w:t xml:space="preserve">; Kolind, T., Thom, B., Hunt, G., Eds.; Sage Publications: London, UK, 2016, pp. 164–181. </w:t>
      </w:r>
    </w:p>
    <w:p w14:paraId="59917B29" w14:textId="41837926"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Flynn, V. Brewer scores past the French: Ease with which Carlsberg slips past Euro 2016 alcohol advertising ban poses questions for Irish bill. </w:t>
      </w:r>
      <w:r w:rsidR="006C11FB" w:rsidRPr="00976A6F">
        <w:rPr>
          <w:rFonts w:ascii="Palatino Linotype" w:hAnsi="Palatino Linotype" w:cstheme="minorHAnsi"/>
          <w:i/>
          <w:sz w:val="18"/>
          <w:szCs w:val="18"/>
        </w:rPr>
        <w:t>The Sunday Times</w:t>
      </w:r>
      <w:r w:rsidRPr="00976A6F">
        <w:rPr>
          <w:rFonts w:ascii="Palatino Linotype" w:hAnsi="Palatino Linotype" w:cstheme="minorHAnsi"/>
          <w:sz w:val="18"/>
          <w:szCs w:val="18"/>
        </w:rPr>
        <w:t>, 7 May 2017</w:t>
      </w:r>
      <w:r w:rsidR="006C11FB" w:rsidRPr="00976A6F">
        <w:rPr>
          <w:rFonts w:ascii="Palatino Linotype" w:hAnsi="Palatino Linotype" w:cstheme="minorHAnsi"/>
          <w:sz w:val="18"/>
          <w:szCs w:val="18"/>
        </w:rPr>
        <w:t>.</w:t>
      </w:r>
    </w:p>
    <w:p w14:paraId="3D2EC26A" w14:textId="12DEEEC3"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 xml:space="preserve">Guernsey Press. Alcohol companies targeted ‘global audience’ with Euro 2016 campaign: Alcohol companies bent the rules by advertising during the Uefa Euro 2016 tournament, placing children’s health at risk, according to a report. </w:t>
      </w:r>
      <w:r w:rsidR="006C11FB" w:rsidRPr="00976A6F">
        <w:rPr>
          <w:rFonts w:ascii="Palatino Linotype" w:hAnsi="Palatino Linotype" w:cstheme="minorHAnsi"/>
          <w:i/>
          <w:sz w:val="18"/>
          <w:szCs w:val="18"/>
        </w:rPr>
        <w:t>Guernsey Press</w:t>
      </w:r>
      <w:r w:rsidR="006C11FB" w:rsidRPr="00976A6F">
        <w:rPr>
          <w:rFonts w:ascii="Palatino Linotype" w:hAnsi="Palatino Linotype" w:cstheme="minorHAnsi"/>
          <w:sz w:val="18"/>
          <w:szCs w:val="18"/>
        </w:rPr>
        <w:t>,</w:t>
      </w:r>
      <w:r w:rsidR="006C11FB" w:rsidRPr="00976A6F">
        <w:rPr>
          <w:rFonts w:ascii="Palatino Linotype" w:hAnsi="Palatino Linotype" w:cstheme="minorHAnsi"/>
          <w:i/>
          <w:sz w:val="18"/>
          <w:szCs w:val="18"/>
        </w:rPr>
        <w:t xml:space="preserve"> </w:t>
      </w:r>
      <w:r w:rsidRPr="00976A6F">
        <w:rPr>
          <w:rFonts w:ascii="Palatino Linotype" w:hAnsi="Palatino Linotype" w:cstheme="minorHAnsi"/>
          <w:sz w:val="18"/>
          <w:szCs w:val="18"/>
        </w:rPr>
        <w:t>27 April 2017</w:t>
      </w:r>
      <w:r w:rsidR="006C11FB" w:rsidRPr="00976A6F">
        <w:rPr>
          <w:rFonts w:ascii="Palatino Linotype" w:hAnsi="Palatino Linotype" w:cstheme="minorHAnsi"/>
          <w:sz w:val="18"/>
          <w:szCs w:val="18"/>
        </w:rPr>
        <w:t>.</w:t>
      </w:r>
    </w:p>
    <w:p w14:paraId="45E53346" w14:textId="4D347F89" w:rsidR="0090400F" w:rsidRPr="00976A6F" w:rsidRDefault="0090400F" w:rsidP="0090400F">
      <w:pPr>
        <w:pStyle w:val="ListParagraph"/>
        <w:numPr>
          <w:ilvl w:val="0"/>
          <w:numId w:val="5"/>
        </w:numPr>
        <w:adjustRightInd w:val="0"/>
        <w:snapToGrid w:val="0"/>
        <w:spacing w:line="260" w:lineRule="atLeast"/>
        <w:ind w:left="425" w:firstLineChars="0" w:hanging="425"/>
        <w:rPr>
          <w:rFonts w:ascii="Palatino Linotype" w:hAnsi="Palatino Linotype" w:cstheme="minorHAnsi"/>
          <w:sz w:val="18"/>
          <w:szCs w:val="18"/>
        </w:rPr>
      </w:pPr>
      <w:r w:rsidRPr="00976A6F">
        <w:rPr>
          <w:rFonts w:ascii="Palatino Linotype" w:hAnsi="Palatino Linotype" w:cstheme="minorHAnsi"/>
          <w:sz w:val="18"/>
          <w:szCs w:val="18"/>
        </w:rPr>
        <w:t>Association Nationale de Prevention en Alcoologie et Addictologie. Game of dupes? Report highlights alcohol industry practices to bypass rules on advertising during Euro 2016 [Pr</w:t>
      </w:r>
      <w:r w:rsidR="006754F3" w:rsidRPr="00976A6F">
        <w:rPr>
          <w:rFonts w:ascii="Palatino Linotype" w:hAnsi="Palatino Linotype" w:cstheme="minorHAnsi"/>
          <w:sz w:val="18"/>
          <w:szCs w:val="18"/>
        </w:rPr>
        <w:t>ess Release]. Available online:</w:t>
      </w:r>
      <w:r w:rsidRPr="00976A6F">
        <w:rPr>
          <w:rFonts w:ascii="Palatino Linotype" w:hAnsi="Palatino Linotype" w:cstheme="minorHAnsi"/>
          <w:sz w:val="18"/>
          <w:szCs w:val="18"/>
        </w:rPr>
        <w:t>http://www.anpaa.asso.fr/presse/espace-presse/890-jeu-dupes-rapport-met-en-lumiere-pratiques-industrie-alcool-contourner-regles-publicite-euro-2016 (accessed on 11 May 2017).</w:t>
      </w:r>
    </w:p>
    <w:bookmarkEnd w:id="0"/>
    <w:p w14:paraId="7C3528EA" w14:textId="77777777" w:rsidR="006754F3" w:rsidRPr="00D80609" w:rsidRDefault="006754F3" w:rsidP="006754F3">
      <w:pPr>
        <w:adjustRightInd w:val="0"/>
        <w:snapToGrid w:val="0"/>
        <w:spacing w:before="240" w:line="260" w:lineRule="atLeast"/>
        <w:rPr>
          <w:rFonts w:eastAsiaTheme="minorEastAsia"/>
        </w:rPr>
      </w:pPr>
      <w:r w:rsidRPr="00976A6F">
        <w:rPr>
          <w:rFonts w:ascii="Palatino Linotype" w:hAnsi="Palatino Linotype"/>
          <w:noProof/>
          <w:snapToGrid w:val="0"/>
          <w:sz w:val="18"/>
          <w:szCs w:val="18"/>
          <w:lang w:val="en-GB" w:eastAsia="en-GB"/>
        </w:rPr>
        <w:lastRenderedPageBreak/>
        <w:drawing>
          <wp:anchor distT="0" distB="0" distL="114300" distR="114300" simplePos="0" relativeHeight="251658752" behindDoc="1" locked="0" layoutInCell="1" allowOverlap="1" wp14:anchorId="1E6F9B63" wp14:editId="3AA8DA8A">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976A6F">
        <w:rPr>
          <w:rFonts w:ascii="Palatino Linotype" w:hAnsi="Palatino Linotype"/>
          <w:noProof/>
          <w:sz w:val="18"/>
        </w:rPr>
        <w:t>© 2017 by the authors; licensee MDPI, Basel, Switzerland. This article is an open access article distributed under the terms and conditions of the Creative Commons Attribution (CC-BY) license (http://creativecommons.org/licenses/by/4.0/).</w:t>
      </w:r>
    </w:p>
    <w:p w14:paraId="6A53B529" w14:textId="3907D2F7" w:rsidR="00A01504" w:rsidRPr="006754F3" w:rsidRDefault="00A01504" w:rsidP="006754F3">
      <w:pPr>
        <w:adjustRightInd w:val="0"/>
        <w:snapToGrid w:val="0"/>
        <w:spacing w:before="240" w:line="260" w:lineRule="atLeast"/>
        <w:rPr>
          <w:rFonts w:eastAsiaTheme="minorEastAsia"/>
        </w:rPr>
      </w:pPr>
    </w:p>
    <w:sectPr w:rsidR="00A01504" w:rsidRPr="006754F3" w:rsidSect="00383B9F">
      <w:headerReference w:type="even" r:id="rId9"/>
      <w:headerReference w:type="default" r:id="rId10"/>
      <w:footerReference w:type="default" r:id="rId11"/>
      <w:headerReference w:type="first" r:id="rId12"/>
      <w:footerReference w:type="first" r:id="rId13"/>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C9572" w14:textId="77777777" w:rsidR="00E72149" w:rsidRDefault="00E72149" w:rsidP="00C1340D">
      <w:r>
        <w:separator/>
      </w:r>
    </w:p>
  </w:endnote>
  <w:endnote w:type="continuationSeparator" w:id="0">
    <w:p w14:paraId="4D8917C9" w14:textId="77777777" w:rsidR="00E72149" w:rsidRDefault="00E72149"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42D3" w14:textId="77777777" w:rsidR="00E72149" w:rsidRPr="00590BF9" w:rsidRDefault="00E72149" w:rsidP="00590BF9">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14:paraId="6AC1E9A8" w14:textId="77777777" w:rsidR="00E72149" w:rsidRPr="008B308E" w:rsidRDefault="00E72149" w:rsidP="00391035">
        <w:pPr>
          <w:pStyle w:val="MDPIfooterfirstpage"/>
          <w:rPr>
            <w:lang w:val="fr-CH"/>
          </w:rPr>
        </w:pPr>
        <w:r w:rsidRPr="009231ED">
          <w:rPr>
            <w:i/>
            <w:szCs w:val="16"/>
          </w:rPr>
          <w:t>Int. J. Environ. Res. Public Health</w:t>
        </w:r>
        <w:r w:rsidRPr="009231ED">
          <w:rPr>
            <w:szCs w:val="16"/>
          </w:rPr>
          <w:t xml:space="preserve"> </w:t>
        </w:r>
        <w:r w:rsidRPr="009231ED">
          <w:rPr>
            <w:b/>
            <w:szCs w:val="16"/>
          </w:rPr>
          <w:t>201</w:t>
        </w:r>
        <w:r>
          <w:rPr>
            <w:rFonts w:eastAsia="SimSun"/>
            <w:b/>
            <w:szCs w:val="16"/>
            <w:lang w:eastAsia="zh-CN"/>
          </w:rPr>
          <w:t>7</w:t>
        </w:r>
        <w:r w:rsidRPr="009231ED">
          <w:rPr>
            <w:szCs w:val="16"/>
          </w:rPr>
          <w:t xml:space="preserve">, </w:t>
        </w:r>
        <w:r w:rsidRPr="009231ED">
          <w:rPr>
            <w:i/>
            <w:szCs w:val="16"/>
          </w:rPr>
          <w:t>1</w:t>
        </w:r>
        <w:r>
          <w:rPr>
            <w:rFonts w:eastAsia="SimSun"/>
            <w:i/>
            <w:szCs w:val="16"/>
            <w:lang w:eastAsia="zh-CN"/>
          </w:rPr>
          <w:t>4</w:t>
        </w:r>
        <w:r w:rsidRPr="009231ED">
          <w:rPr>
            <w:szCs w:val="16"/>
          </w:rPr>
          <w:t>,</w:t>
        </w:r>
        <w:r w:rsidRPr="00FB75B2">
          <w:rPr>
            <w:iCs/>
            <w:szCs w:val="16"/>
          </w:rPr>
          <w:t xml:space="preserve"> </w:t>
        </w:r>
        <w:r>
          <w:rPr>
            <w:lang w:val="fr-CH"/>
          </w:rPr>
          <w:t>x</w:t>
        </w:r>
        <w:r w:rsidRPr="008B308E">
          <w:rPr>
            <w:lang w:val="fr-CH"/>
          </w:rPr>
          <w:t>; doi:</w:t>
        </w:r>
        <w:r>
          <w:rPr>
            <w:lang w:val="fr-CH"/>
          </w:rPr>
          <w:t xml:space="preserve"> </w:t>
        </w:r>
        <w:r w:rsidRPr="00C7178D">
          <w:rPr>
            <w:rFonts w:eastAsiaTheme="minorEastAsia"/>
            <w:szCs w:val="16"/>
            <w:lang w:eastAsia="zh-CN"/>
          </w:rPr>
          <w:t>FOR PEER REVIEW</w:t>
        </w:r>
        <w:r>
          <w:rPr>
            <w:rFonts w:eastAsiaTheme="minorEastAsia"/>
            <w:szCs w:val="16"/>
            <w:lang w:eastAsia="zh-CN"/>
          </w:rPr>
          <w:t xml:space="preserve"> </w:t>
        </w:r>
        <w:r w:rsidRPr="008B308E">
          <w:rPr>
            <w:lang w:val="fr-CH"/>
          </w:rPr>
          <w:tab/>
          <w:t>www.mdpi.com/journal/</w:t>
        </w:r>
        <w:r>
          <w:t>ijerph</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7F21" w14:textId="77777777" w:rsidR="00E72149" w:rsidRDefault="00E72149" w:rsidP="00C1340D">
      <w:r>
        <w:separator/>
      </w:r>
    </w:p>
  </w:footnote>
  <w:footnote w:type="continuationSeparator" w:id="0">
    <w:p w14:paraId="269B5863" w14:textId="77777777" w:rsidR="00E72149" w:rsidRDefault="00E72149"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0ABA" w14:textId="77777777" w:rsidR="00E72149" w:rsidRDefault="00E72149"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361C" w14:textId="66B078EF" w:rsidR="00E72149" w:rsidRPr="00383B9F" w:rsidRDefault="00E72149" w:rsidP="00383B9F">
    <w:pPr>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14</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2E39F5">
      <w:rPr>
        <w:rFonts w:ascii="Palatino Linotype" w:hAnsi="Palatino Linotype"/>
        <w:noProof/>
        <w:sz w:val="16"/>
      </w:rPr>
      <w:t>11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2E39F5">
      <w:rPr>
        <w:rFonts w:ascii="Palatino Linotype" w:hAnsi="Palatino Linotype"/>
        <w:noProof/>
        <w:sz w:val="16"/>
      </w:rPr>
      <w:t>15</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C763" w14:textId="77777777" w:rsidR="00E72149" w:rsidRDefault="00E72149" w:rsidP="00383B9F">
    <w:pPr>
      <w:pStyle w:val="MDPIheaderjournallogo"/>
    </w:pPr>
    <w:r>
      <w:rPr>
        <w:i w:val="0"/>
        <w:noProof/>
        <w:szCs w:val="16"/>
        <w:lang w:val="en-GB" w:eastAsia="en-GB"/>
      </w:rPr>
      <mc:AlternateContent>
        <mc:Choice Requires="wps">
          <w:drawing>
            <wp:anchor distT="45720" distB="45720" distL="114300" distR="114300" simplePos="0" relativeHeight="251659264" behindDoc="1" locked="0" layoutInCell="1" allowOverlap="1" wp14:anchorId="10D7F856" wp14:editId="485EA6C6">
              <wp:simplePos x="0" y="0"/>
              <wp:positionH relativeFrom="rightMargin">
                <wp:posOffset>-558165</wp:posOffset>
              </wp:positionH>
              <wp:positionV relativeFrom="paragraph">
                <wp:posOffset>0</wp:posOffset>
              </wp:positionV>
              <wp:extent cx="56197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09295"/>
                      </a:xfrm>
                      <a:prstGeom prst="rect">
                        <a:avLst/>
                      </a:prstGeom>
                      <a:solidFill>
                        <a:srgbClr val="FFFFFF"/>
                      </a:solidFill>
                      <a:ln w="9525">
                        <a:noFill/>
                        <a:miter lim="800000"/>
                        <a:headEnd/>
                        <a:tailEnd/>
                      </a:ln>
                    </wps:spPr>
                    <wps:txbx>
                      <w:txbxContent>
                        <w:p w14:paraId="3AD8C492" w14:textId="77777777" w:rsidR="00E72149" w:rsidRDefault="00E72149" w:rsidP="00383B9F">
                          <w:pPr>
                            <w:pStyle w:val="MDPIheaderjournallogo"/>
                            <w:jc w:val="center"/>
                            <w:rPr>
                              <w:i w:val="0"/>
                              <w:szCs w:val="16"/>
                            </w:rPr>
                          </w:pPr>
                          <w:r w:rsidRPr="00B11CEA">
                            <w:rPr>
                              <w:i w:val="0"/>
                              <w:noProof/>
                              <w:szCs w:val="16"/>
                              <w:lang w:val="en-GB" w:eastAsia="en-GB"/>
                            </w:rPr>
                            <w:drawing>
                              <wp:inline distT="0" distB="0" distL="0" distR="0" wp14:anchorId="28F9D644" wp14:editId="139DB9EF">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7F856" id="_x0000_t202" coordsize="21600,21600" o:spt="202" path="m,l,21600r21600,l21600,xe">
              <v:stroke joinstyle="miter"/>
              <v:path gradientshapeok="t" o:connecttype="rect"/>
            </v:shapetype>
            <v:shape id="Text Box 2" o:spid="_x0000_s1026" type="#_x0000_t202" style="position:absolute;margin-left:-43.95pt;margin-top:0;width:44.2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" stroked="f">
              <v:textbox inset="0,0,0,0">
                <w:txbxContent>
                  <w:p w14:paraId="3AD8C492" w14:textId="77777777" w:rsidR="0030698C" w:rsidRDefault="0030698C" w:rsidP="00383B9F">
                    <w:pPr>
                      <w:pStyle w:val="MDPIheaderjournallogo"/>
                      <w:jc w:val="center"/>
                      <w:rPr>
                        <w:i w:val="0"/>
                        <w:szCs w:val="16"/>
                      </w:rPr>
                    </w:pPr>
                    <w:r w:rsidRPr="00B11CEA">
                      <w:rPr>
                        <w:i w:val="0"/>
                        <w:noProof/>
                        <w:szCs w:val="16"/>
                        <w:lang w:val="en-GB" w:eastAsia="en-GB"/>
                      </w:rPr>
                      <w:drawing>
                        <wp:inline distT="0" distB="0" distL="0" distR="0" wp14:anchorId="28F9D644" wp14:editId="139DB9EF">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7230E839" wp14:editId="5949BAEE">
          <wp:extent cx="1830736" cy="432000"/>
          <wp:effectExtent l="0" t="0" r="0" b="6350"/>
          <wp:docPr id="3"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0736"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30B505B"/>
    <w:multiLevelType w:val="hybridMultilevel"/>
    <w:tmpl w:val="4C36040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3C370A"/>
    <w:multiLevelType w:val="hybridMultilevel"/>
    <w:tmpl w:val="3638550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15:restartNumberingAfterBreak="0">
    <w:nsid w:val="6DB20A64"/>
    <w:multiLevelType w:val="hybridMultilevel"/>
    <w:tmpl w:val="0CD49630"/>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15:restartNumberingAfterBreak="0">
    <w:nsid w:val="709B4496"/>
    <w:multiLevelType w:val="hybridMultilevel"/>
    <w:tmpl w:val="CD68ABC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751E5452"/>
    <w:multiLevelType w:val="hybridMultilevel"/>
    <w:tmpl w:val="2EF26F1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2"/>
    <w:rsid w:val="00000637"/>
    <w:rsid w:val="000006F8"/>
    <w:rsid w:val="00004544"/>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61F7"/>
    <w:rsid w:val="00037CEA"/>
    <w:rsid w:val="00037F00"/>
    <w:rsid w:val="00041A10"/>
    <w:rsid w:val="0004245C"/>
    <w:rsid w:val="00042C12"/>
    <w:rsid w:val="000439F3"/>
    <w:rsid w:val="00043F91"/>
    <w:rsid w:val="00044417"/>
    <w:rsid w:val="0004473F"/>
    <w:rsid w:val="00045898"/>
    <w:rsid w:val="00046FE3"/>
    <w:rsid w:val="00050716"/>
    <w:rsid w:val="00050C65"/>
    <w:rsid w:val="000520E3"/>
    <w:rsid w:val="000551E0"/>
    <w:rsid w:val="000554E4"/>
    <w:rsid w:val="000562B9"/>
    <w:rsid w:val="00056DBB"/>
    <w:rsid w:val="000578BD"/>
    <w:rsid w:val="000602E4"/>
    <w:rsid w:val="000605CD"/>
    <w:rsid w:val="00063A6A"/>
    <w:rsid w:val="0006467F"/>
    <w:rsid w:val="00066489"/>
    <w:rsid w:val="000668DA"/>
    <w:rsid w:val="00071D03"/>
    <w:rsid w:val="00073BD9"/>
    <w:rsid w:val="00077A9D"/>
    <w:rsid w:val="00077B09"/>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B2F"/>
    <w:rsid w:val="00100FE2"/>
    <w:rsid w:val="00103634"/>
    <w:rsid w:val="00103EBF"/>
    <w:rsid w:val="001170CF"/>
    <w:rsid w:val="0011779E"/>
    <w:rsid w:val="0012125D"/>
    <w:rsid w:val="00124285"/>
    <w:rsid w:val="0012462F"/>
    <w:rsid w:val="001268A0"/>
    <w:rsid w:val="00127B58"/>
    <w:rsid w:val="00130F88"/>
    <w:rsid w:val="00131D72"/>
    <w:rsid w:val="00131F3D"/>
    <w:rsid w:val="001352B6"/>
    <w:rsid w:val="00135C14"/>
    <w:rsid w:val="00140A39"/>
    <w:rsid w:val="0014158B"/>
    <w:rsid w:val="00143181"/>
    <w:rsid w:val="00144660"/>
    <w:rsid w:val="00144DC5"/>
    <w:rsid w:val="00144E54"/>
    <w:rsid w:val="001457D1"/>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D798A"/>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198"/>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23FD"/>
    <w:rsid w:val="00263890"/>
    <w:rsid w:val="0026479E"/>
    <w:rsid w:val="002665A2"/>
    <w:rsid w:val="00271978"/>
    <w:rsid w:val="00272574"/>
    <w:rsid w:val="00273440"/>
    <w:rsid w:val="0027513B"/>
    <w:rsid w:val="0027593D"/>
    <w:rsid w:val="00275F7E"/>
    <w:rsid w:val="00276B71"/>
    <w:rsid w:val="0027713B"/>
    <w:rsid w:val="002813F6"/>
    <w:rsid w:val="00283CB9"/>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39F5"/>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131"/>
    <w:rsid w:val="003053D7"/>
    <w:rsid w:val="00305668"/>
    <w:rsid w:val="00305CED"/>
    <w:rsid w:val="003066AC"/>
    <w:rsid w:val="00306771"/>
    <w:rsid w:val="0030698C"/>
    <w:rsid w:val="0030792C"/>
    <w:rsid w:val="00307DAD"/>
    <w:rsid w:val="00312344"/>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5D77"/>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F2D"/>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3B9F"/>
    <w:rsid w:val="003855CF"/>
    <w:rsid w:val="003902E6"/>
    <w:rsid w:val="00391035"/>
    <w:rsid w:val="003911F6"/>
    <w:rsid w:val="00391850"/>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B6F7D"/>
    <w:rsid w:val="003C014C"/>
    <w:rsid w:val="003C245C"/>
    <w:rsid w:val="003C2C26"/>
    <w:rsid w:val="003C3425"/>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0DC2"/>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2D55"/>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38D9"/>
    <w:rsid w:val="00467F33"/>
    <w:rsid w:val="00471859"/>
    <w:rsid w:val="00475F95"/>
    <w:rsid w:val="00476172"/>
    <w:rsid w:val="00477487"/>
    <w:rsid w:val="0048098C"/>
    <w:rsid w:val="00480BAE"/>
    <w:rsid w:val="00480E4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3C06"/>
    <w:rsid w:val="00525CC6"/>
    <w:rsid w:val="00527BF5"/>
    <w:rsid w:val="00531CF5"/>
    <w:rsid w:val="00532B9C"/>
    <w:rsid w:val="005332DD"/>
    <w:rsid w:val="00533883"/>
    <w:rsid w:val="00534135"/>
    <w:rsid w:val="005400CD"/>
    <w:rsid w:val="0054133E"/>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20F2"/>
    <w:rsid w:val="0056451B"/>
    <w:rsid w:val="00565398"/>
    <w:rsid w:val="00565B1B"/>
    <w:rsid w:val="005665B7"/>
    <w:rsid w:val="0056676E"/>
    <w:rsid w:val="00566825"/>
    <w:rsid w:val="00566C4A"/>
    <w:rsid w:val="0056718A"/>
    <w:rsid w:val="00567455"/>
    <w:rsid w:val="00570518"/>
    <w:rsid w:val="00571422"/>
    <w:rsid w:val="0057637A"/>
    <w:rsid w:val="00580739"/>
    <w:rsid w:val="00587918"/>
    <w:rsid w:val="005879FB"/>
    <w:rsid w:val="005904F3"/>
    <w:rsid w:val="00590BF9"/>
    <w:rsid w:val="00591118"/>
    <w:rsid w:val="00592174"/>
    <w:rsid w:val="005967E7"/>
    <w:rsid w:val="0059706B"/>
    <w:rsid w:val="0059738E"/>
    <w:rsid w:val="005978F9"/>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25E4"/>
    <w:rsid w:val="005F3117"/>
    <w:rsid w:val="005F47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3E4D"/>
    <w:rsid w:val="00645862"/>
    <w:rsid w:val="006458D8"/>
    <w:rsid w:val="00647753"/>
    <w:rsid w:val="0065221D"/>
    <w:rsid w:val="00652887"/>
    <w:rsid w:val="00653B88"/>
    <w:rsid w:val="00654659"/>
    <w:rsid w:val="00655087"/>
    <w:rsid w:val="00655D54"/>
    <w:rsid w:val="00655F4C"/>
    <w:rsid w:val="0065777B"/>
    <w:rsid w:val="00661780"/>
    <w:rsid w:val="00663D7F"/>
    <w:rsid w:val="00663FED"/>
    <w:rsid w:val="00667F99"/>
    <w:rsid w:val="006719DE"/>
    <w:rsid w:val="00673C97"/>
    <w:rsid w:val="00674566"/>
    <w:rsid w:val="006746B1"/>
    <w:rsid w:val="006754F3"/>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32E6"/>
    <w:rsid w:val="006A54E3"/>
    <w:rsid w:val="006A55D7"/>
    <w:rsid w:val="006A7AD1"/>
    <w:rsid w:val="006B20CA"/>
    <w:rsid w:val="006B440B"/>
    <w:rsid w:val="006B5189"/>
    <w:rsid w:val="006C09DE"/>
    <w:rsid w:val="006C1055"/>
    <w:rsid w:val="006C11FB"/>
    <w:rsid w:val="006C3E9D"/>
    <w:rsid w:val="006C44B9"/>
    <w:rsid w:val="006C4FA4"/>
    <w:rsid w:val="006C51D6"/>
    <w:rsid w:val="006C6552"/>
    <w:rsid w:val="006C67DC"/>
    <w:rsid w:val="006C6E85"/>
    <w:rsid w:val="006C7D91"/>
    <w:rsid w:val="006C7FED"/>
    <w:rsid w:val="006D0C85"/>
    <w:rsid w:val="006D15EB"/>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5436"/>
    <w:rsid w:val="007062E3"/>
    <w:rsid w:val="00706936"/>
    <w:rsid w:val="0070769C"/>
    <w:rsid w:val="0071004F"/>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1A70"/>
    <w:rsid w:val="0075223F"/>
    <w:rsid w:val="00752DCE"/>
    <w:rsid w:val="00753727"/>
    <w:rsid w:val="00755404"/>
    <w:rsid w:val="00755676"/>
    <w:rsid w:val="0075682F"/>
    <w:rsid w:val="00760E65"/>
    <w:rsid w:val="00763B07"/>
    <w:rsid w:val="00763D41"/>
    <w:rsid w:val="00766CD4"/>
    <w:rsid w:val="0077147D"/>
    <w:rsid w:val="00772085"/>
    <w:rsid w:val="007814A1"/>
    <w:rsid w:val="00786C6C"/>
    <w:rsid w:val="00790072"/>
    <w:rsid w:val="00791FB2"/>
    <w:rsid w:val="00792569"/>
    <w:rsid w:val="007936E5"/>
    <w:rsid w:val="00793A96"/>
    <w:rsid w:val="007A29C5"/>
    <w:rsid w:val="007B0185"/>
    <w:rsid w:val="007B0A56"/>
    <w:rsid w:val="007B4B9B"/>
    <w:rsid w:val="007B7493"/>
    <w:rsid w:val="007C425D"/>
    <w:rsid w:val="007C431E"/>
    <w:rsid w:val="007C7E77"/>
    <w:rsid w:val="007D3CF3"/>
    <w:rsid w:val="007D40E6"/>
    <w:rsid w:val="007D58E2"/>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0C0B"/>
    <w:rsid w:val="007F1923"/>
    <w:rsid w:val="007F1FB0"/>
    <w:rsid w:val="007F263B"/>
    <w:rsid w:val="007F2DC8"/>
    <w:rsid w:val="007F5262"/>
    <w:rsid w:val="007F5437"/>
    <w:rsid w:val="007F5BE2"/>
    <w:rsid w:val="007F7723"/>
    <w:rsid w:val="0080057F"/>
    <w:rsid w:val="008005B3"/>
    <w:rsid w:val="0080262B"/>
    <w:rsid w:val="008027F5"/>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5FDF"/>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9740D"/>
    <w:rsid w:val="008A1923"/>
    <w:rsid w:val="008A20CD"/>
    <w:rsid w:val="008A26D8"/>
    <w:rsid w:val="008A37CD"/>
    <w:rsid w:val="008A5B8F"/>
    <w:rsid w:val="008A5EC4"/>
    <w:rsid w:val="008A6BDF"/>
    <w:rsid w:val="008A716B"/>
    <w:rsid w:val="008B5B4F"/>
    <w:rsid w:val="008B7538"/>
    <w:rsid w:val="008C0E13"/>
    <w:rsid w:val="008C2CAB"/>
    <w:rsid w:val="008C3CC7"/>
    <w:rsid w:val="008C5A60"/>
    <w:rsid w:val="008C7146"/>
    <w:rsid w:val="008D0258"/>
    <w:rsid w:val="008D2721"/>
    <w:rsid w:val="008D4222"/>
    <w:rsid w:val="008D448D"/>
    <w:rsid w:val="008D48DD"/>
    <w:rsid w:val="008D5B12"/>
    <w:rsid w:val="008D5E3B"/>
    <w:rsid w:val="008E114F"/>
    <w:rsid w:val="008E6865"/>
    <w:rsid w:val="008E7A56"/>
    <w:rsid w:val="008E7C63"/>
    <w:rsid w:val="008F1A68"/>
    <w:rsid w:val="008F2DEE"/>
    <w:rsid w:val="008F33FE"/>
    <w:rsid w:val="008F3A92"/>
    <w:rsid w:val="008F5F39"/>
    <w:rsid w:val="008F71EA"/>
    <w:rsid w:val="00900F5C"/>
    <w:rsid w:val="0090278A"/>
    <w:rsid w:val="009029A5"/>
    <w:rsid w:val="0090400F"/>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6EA"/>
    <w:rsid w:val="00935FFF"/>
    <w:rsid w:val="00936873"/>
    <w:rsid w:val="0093747D"/>
    <w:rsid w:val="00937630"/>
    <w:rsid w:val="00937AFB"/>
    <w:rsid w:val="00940256"/>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6A6F"/>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41"/>
    <w:rsid w:val="009D0479"/>
    <w:rsid w:val="009D0924"/>
    <w:rsid w:val="009D34D2"/>
    <w:rsid w:val="009D55DE"/>
    <w:rsid w:val="009D56B4"/>
    <w:rsid w:val="009D7DC6"/>
    <w:rsid w:val="009E2755"/>
    <w:rsid w:val="009E43C3"/>
    <w:rsid w:val="009E50FD"/>
    <w:rsid w:val="009E5D13"/>
    <w:rsid w:val="009E5FB2"/>
    <w:rsid w:val="009E61C0"/>
    <w:rsid w:val="009E744D"/>
    <w:rsid w:val="009E7648"/>
    <w:rsid w:val="009F017C"/>
    <w:rsid w:val="009F1081"/>
    <w:rsid w:val="009F245B"/>
    <w:rsid w:val="009F3C30"/>
    <w:rsid w:val="009F4C77"/>
    <w:rsid w:val="009F6F14"/>
    <w:rsid w:val="009F70DB"/>
    <w:rsid w:val="00A00529"/>
    <w:rsid w:val="00A01504"/>
    <w:rsid w:val="00A01773"/>
    <w:rsid w:val="00A06558"/>
    <w:rsid w:val="00A06614"/>
    <w:rsid w:val="00A0689F"/>
    <w:rsid w:val="00A077D6"/>
    <w:rsid w:val="00A10B4B"/>
    <w:rsid w:val="00A12039"/>
    <w:rsid w:val="00A12178"/>
    <w:rsid w:val="00A14C60"/>
    <w:rsid w:val="00A15B50"/>
    <w:rsid w:val="00A16B99"/>
    <w:rsid w:val="00A202CE"/>
    <w:rsid w:val="00A2661C"/>
    <w:rsid w:val="00A30E40"/>
    <w:rsid w:val="00A31AFC"/>
    <w:rsid w:val="00A32E38"/>
    <w:rsid w:val="00A33216"/>
    <w:rsid w:val="00A34A3A"/>
    <w:rsid w:val="00A34AC3"/>
    <w:rsid w:val="00A37CE5"/>
    <w:rsid w:val="00A37E02"/>
    <w:rsid w:val="00A404B1"/>
    <w:rsid w:val="00A434D9"/>
    <w:rsid w:val="00A44129"/>
    <w:rsid w:val="00A44FB7"/>
    <w:rsid w:val="00A46EC6"/>
    <w:rsid w:val="00A46FB9"/>
    <w:rsid w:val="00A47071"/>
    <w:rsid w:val="00A51E43"/>
    <w:rsid w:val="00A55A64"/>
    <w:rsid w:val="00A61DE2"/>
    <w:rsid w:val="00A66446"/>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5F5D"/>
    <w:rsid w:val="00AB7823"/>
    <w:rsid w:val="00AC0F37"/>
    <w:rsid w:val="00AC1CB6"/>
    <w:rsid w:val="00AC2E74"/>
    <w:rsid w:val="00AC37B2"/>
    <w:rsid w:val="00AD1980"/>
    <w:rsid w:val="00AD323F"/>
    <w:rsid w:val="00AD36DB"/>
    <w:rsid w:val="00AD414A"/>
    <w:rsid w:val="00AD419B"/>
    <w:rsid w:val="00AD452E"/>
    <w:rsid w:val="00AD595E"/>
    <w:rsid w:val="00AD5DDA"/>
    <w:rsid w:val="00AE1FC9"/>
    <w:rsid w:val="00AE26B0"/>
    <w:rsid w:val="00AE481D"/>
    <w:rsid w:val="00AE737B"/>
    <w:rsid w:val="00AF319E"/>
    <w:rsid w:val="00AF3647"/>
    <w:rsid w:val="00AF41F2"/>
    <w:rsid w:val="00AF69A6"/>
    <w:rsid w:val="00AF6B00"/>
    <w:rsid w:val="00AF6F96"/>
    <w:rsid w:val="00AF75FB"/>
    <w:rsid w:val="00AF7D31"/>
    <w:rsid w:val="00B00435"/>
    <w:rsid w:val="00B00829"/>
    <w:rsid w:val="00B04A30"/>
    <w:rsid w:val="00B062AD"/>
    <w:rsid w:val="00B06C8B"/>
    <w:rsid w:val="00B075B0"/>
    <w:rsid w:val="00B110B4"/>
    <w:rsid w:val="00B11CEA"/>
    <w:rsid w:val="00B17C8F"/>
    <w:rsid w:val="00B2055D"/>
    <w:rsid w:val="00B21A85"/>
    <w:rsid w:val="00B21C2D"/>
    <w:rsid w:val="00B225D6"/>
    <w:rsid w:val="00B23DA4"/>
    <w:rsid w:val="00B243FE"/>
    <w:rsid w:val="00B24904"/>
    <w:rsid w:val="00B24CBA"/>
    <w:rsid w:val="00B2666F"/>
    <w:rsid w:val="00B26F93"/>
    <w:rsid w:val="00B276D7"/>
    <w:rsid w:val="00B27BFC"/>
    <w:rsid w:val="00B306A5"/>
    <w:rsid w:val="00B3096E"/>
    <w:rsid w:val="00B3205D"/>
    <w:rsid w:val="00B32A73"/>
    <w:rsid w:val="00B36FA1"/>
    <w:rsid w:val="00B37511"/>
    <w:rsid w:val="00B430F5"/>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1556"/>
    <w:rsid w:val="00B82878"/>
    <w:rsid w:val="00B832AE"/>
    <w:rsid w:val="00B83B50"/>
    <w:rsid w:val="00B85C83"/>
    <w:rsid w:val="00B8620B"/>
    <w:rsid w:val="00B86E95"/>
    <w:rsid w:val="00B8797E"/>
    <w:rsid w:val="00B90965"/>
    <w:rsid w:val="00B92E82"/>
    <w:rsid w:val="00B93A28"/>
    <w:rsid w:val="00B93F30"/>
    <w:rsid w:val="00B94B25"/>
    <w:rsid w:val="00B958A6"/>
    <w:rsid w:val="00B96FBF"/>
    <w:rsid w:val="00BA1537"/>
    <w:rsid w:val="00BA2636"/>
    <w:rsid w:val="00BA5987"/>
    <w:rsid w:val="00BA6755"/>
    <w:rsid w:val="00BA745B"/>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3B5A"/>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37F15"/>
    <w:rsid w:val="00C4329A"/>
    <w:rsid w:val="00C45687"/>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1A9"/>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5F79"/>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609"/>
    <w:rsid w:val="00D807CB"/>
    <w:rsid w:val="00D82A79"/>
    <w:rsid w:val="00D84033"/>
    <w:rsid w:val="00D8426C"/>
    <w:rsid w:val="00D87983"/>
    <w:rsid w:val="00D90392"/>
    <w:rsid w:val="00D914A3"/>
    <w:rsid w:val="00D92A92"/>
    <w:rsid w:val="00D946C1"/>
    <w:rsid w:val="00D9548A"/>
    <w:rsid w:val="00DA14AF"/>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1564"/>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0ED7"/>
    <w:rsid w:val="00E62DEE"/>
    <w:rsid w:val="00E62F39"/>
    <w:rsid w:val="00E63751"/>
    <w:rsid w:val="00E647C0"/>
    <w:rsid w:val="00E648C4"/>
    <w:rsid w:val="00E71C76"/>
    <w:rsid w:val="00E72149"/>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3851"/>
    <w:rsid w:val="00EA5F8F"/>
    <w:rsid w:val="00EA6423"/>
    <w:rsid w:val="00EB214B"/>
    <w:rsid w:val="00EB30B4"/>
    <w:rsid w:val="00EB6AC4"/>
    <w:rsid w:val="00EB7428"/>
    <w:rsid w:val="00EC0025"/>
    <w:rsid w:val="00EC1380"/>
    <w:rsid w:val="00EC1463"/>
    <w:rsid w:val="00EC3E6A"/>
    <w:rsid w:val="00EC456D"/>
    <w:rsid w:val="00EC5027"/>
    <w:rsid w:val="00EC5E32"/>
    <w:rsid w:val="00EC6A76"/>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0D63"/>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366"/>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121"/>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936A01"/>
  <w15:docId w15:val="{8217C65F-8CB9-46A1-85F0-3C3F313B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83B9F"/>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383B9F"/>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383B9F"/>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383B9F"/>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383B9F"/>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383B9F"/>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83B9F"/>
    <w:pPr>
      <w:spacing w:before="240"/>
      <w:ind w:left="113" w:firstLine="0"/>
    </w:pPr>
  </w:style>
  <w:style w:type="paragraph" w:customStyle="1" w:styleId="Mdeck3publcationhistory">
    <w:name w:val="M_deck_3_publcation_history"/>
    <w:next w:val="Normal"/>
    <w:qFormat/>
    <w:rsid w:val="00383B9F"/>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383B9F"/>
    <w:pPr>
      <w:spacing w:line="340" w:lineRule="atLeast"/>
      <w:outlineLvl w:val="0"/>
    </w:pPr>
    <w:rPr>
      <w:b/>
      <w:snapToGrid/>
    </w:rPr>
  </w:style>
  <w:style w:type="paragraph" w:customStyle="1" w:styleId="Mdeck4heading2">
    <w:name w:val="M_deck_4_heading_2"/>
    <w:basedOn w:val="MHeading3"/>
    <w:next w:val="Normal"/>
    <w:qFormat/>
    <w:rsid w:val="00383B9F"/>
    <w:pPr>
      <w:outlineLvl w:val="1"/>
    </w:pPr>
    <w:rPr>
      <w:i/>
      <w:snapToGrid/>
    </w:rPr>
  </w:style>
  <w:style w:type="paragraph" w:customStyle="1" w:styleId="Mdeck4heading3">
    <w:name w:val="M_deck_4_heading_3"/>
    <w:basedOn w:val="Mdeck4text"/>
    <w:next w:val="Normal"/>
    <w:qFormat/>
    <w:rsid w:val="00383B9F"/>
    <w:pPr>
      <w:spacing w:before="240" w:after="120" w:line="340" w:lineRule="atLeast"/>
      <w:ind w:firstLineChars="50" w:firstLine="50"/>
      <w:outlineLvl w:val="2"/>
    </w:pPr>
    <w:rPr>
      <w:snapToGrid/>
    </w:rPr>
  </w:style>
  <w:style w:type="paragraph" w:customStyle="1" w:styleId="Mdeck4text">
    <w:name w:val="M_deck_4_text"/>
    <w:qFormat/>
    <w:rsid w:val="00383B9F"/>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383B9F"/>
    <w:pPr>
      <w:numPr>
        <w:numId w:val="6"/>
      </w:numPr>
      <w:spacing w:before="120" w:after="120" w:line="340" w:lineRule="atLeast"/>
    </w:pPr>
    <w:rPr>
      <w:snapToGrid/>
    </w:rPr>
  </w:style>
  <w:style w:type="paragraph" w:customStyle="1" w:styleId="Mdeck4textfirstlinezero">
    <w:name w:val="M_deck_4_text_firstline_zero"/>
    <w:basedOn w:val="Mdeck4text"/>
    <w:next w:val="Mdeck4text"/>
    <w:qFormat/>
    <w:rsid w:val="00383B9F"/>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83B9F"/>
    <w:rPr>
      <w:i/>
    </w:rPr>
  </w:style>
  <w:style w:type="paragraph" w:customStyle="1" w:styleId="Mdeck4textlrindent">
    <w:name w:val="M_deck_4_text_lr_indent"/>
    <w:basedOn w:val="Mdeck4text"/>
    <w:qFormat/>
    <w:rsid w:val="00383B9F"/>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83B9F"/>
    <w:pPr>
      <w:numPr>
        <w:numId w:val="7"/>
      </w:numPr>
      <w:spacing w:before="120" w:after="120" w:line="340" w:lineRule="atLeast"/>
    </w:pPr>
    <w:rPr>
      <w:snapToGrid/>
    </w:rPr>
  </w:style>
  <w:style w:type="paragraph" w:customStyle="1" w:styleId="Mdeck5tablebody">
    <w:name w:val="M_deck_5_table_body"/>
    <w:qFormat/>
    <w:rsid w:val="00383B9F"/>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383B9F"/>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83B9F"/>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383B9F"/>
    <w:pPr>
      <w:spacing w:line="300" w:lineRule="exact"/>
    </w:pPr>
  </w:style>
  <w:style w:type="paragraph" w:customStyle="1" w:styleId="Mdeck5tableheader">
    <w:name w:val="M_deck_5_table_header"/>
    <w:basedOn w:val="Mdeck5tablefooter"/>
    <w:rsid w:val="00383B9F"/>
  </w:style>
  <w:style w:type="paragraph" w:customStyle="1" w:styleId="Mdeck6figurebody">
    <w:name w:val="M_deck_6_figure_body"/>
    <w:qFormat/>
    <w:rsid w:val="00383B9F"/>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383B9F"/>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383B9F"/>
    <w:pPr>
      <w:spacing w:before="120" w:after="120"/>
      <w:ind w:left="709" w:firstLine="0"/>
      <w:jc w:val="center"/>
    </w:pPr>
    <w:rPr>
      <w:i/>
      <w:snapToGrid/>
      <w:szCs w:val="24"/>
      <w:lang w:eastAsia="en-US"/>
    </w:rPr>
  </w:style>
  <w:style w:type="paragraph" w:customStyle="1" w:styleId="Mdeck8references">
    <w:name w:val="M_deck_8_references"/>
    <w:qFormat/>
    <w:rsid w:val="00383B9F"/>
    <w:pPr>
      <w:numPr>
        <w:numId w:val="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83B9F"/>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table" w:customStyle="1" w:styleId="TableGrid1">
    <w:name w:val="Table Grid1"/>
    <w:basedOn w:val="TableNormal"/>
    <w:next w:val="TableGrid"/>
    <w:uiPriority w:val="39"/>
    <w:rsid w:val="003F0DC2"/>
    <w:rPr>
      <w:rFonts w:ascii="Calibri" w:eastAsia="Calibri" w:hAnsi="Calibr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0DC2"/>
    <w:rPr>
      <w:rFonts w:ascii="Calibri" w:eastAsia="Calibri" w:hAnsi="Calibr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0DC2"/>
    <w:rPr>
      <w:rFonts w:ascii="Calibri" w:eastAsia="Calibri" w:hAnsi="Calibr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DC2"/>
    <w:pPr>
      <w:autoSpaceDE w:val="0"/>
      <w:autoSpaceDN w:val="0"/>
      <w:adjustRightInd w:val="0"/>
    </w:pPr>
    <w:rPr>
      <w:rFonts w:ascii="Symbol" w:eastAsia="Calibri" w:hAnsi="Symbol" w:cs="Symbol"/>
      <w:color w:val="000000"/>
      <w:kern w:val="0"/>
      <w:sz w:val="24"/>
      <w:szCs w:val="24"/>
      <w:lang w:val="en-GB" w:eastAsia="en-US"/>
    </w:rPr>
  </w:style>
  <w:style w:type="paragraph" w:customStyle="1" w:styleId="None">
    <w:name w:val="None"/>
    <w:basedOn w:val="MDPI22heading2"/>
    <w:qFormat/>
    <w:rsid w:val="003F0DC2"/>
    <w:rPr>
      <w:noProof w:val="0"/>
    </w:rPr>
  </w:style>
  <w:style w:type="table" w:customStyle="1" w:styleId="TableGrid4">
    <w:name w:val="Table Grid4"/>
    <w:basedOn w:val="TableNormal"/>
    <w:next w:val="TableGrid"/>
    <w:uiPriority w:val="39"/>
    <w:rsid w:val="003F0DC2"/>
    <w:rPr>
      <w:rFonts w:ascii="Calibri" w:eastAsia="Calibri" w:hAnsi="Calibr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0DC2"/>
    <w:rPr>
      <w:rFonts w:ascii="Calibri" w:eastAsia="Calibri" w:hAnsi="Calibr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3F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28\Downloads\ijerph-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1551-3892-4EF9-8B6D-F4153D5D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ijerph-template.dot</Template>
  <TotalTime>3</TotalTime>
  <Pages>15</Pages>
  <Words>7476</Words>
  <Characters>42702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Article_x000d_Alcohol Marketing during the UEFA EURO</vt:lpstr>
    </vt:vector>
  </TitlesOfParts>
  <Company/>
  <LinksUpToDate>false</LinksUpToDate>
  <CharactersWithSpaces>50078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Article_x000d_Alcohol Marketing during the UEFA EURO</dc:title>
  <dc:subject/>
  <dc:creator>MDPI</dc:creator>
  <cp:keywords/>
  <dc:description/>
  <cp:lastModifiedBy>Richard Purves</cp:lastModifiedBy>
  <cp:revision>3</cp:revision>
  <cp:lastPrinted>2017-06-28T01:26:00Z</cp:lastPrinted>
  <dcterms:created xsi:type="dcterms:W3CDTF">2017-06-29T11:44:00Z</dcterms:created>
  <dcterms:modified xsi:type="dcterms:W3CDTF">2017-06-29T11:47:00Z</dcterms:modified>
</cp:coreProperties>
</file>