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5034C" w14:textId="1597524A" w:rsidR="00A031EA" w:rsidRDefault="000876E8">
      <w:pPr>
        <w:rPr>
          <w:b/>
        </w:rPr>
      </w:pPr>
      <w:r>
        <w:rPr>
          <w:b/>
        </w:rPr>
        <w:t>This is</w:t>
      </w:r>
      <w:r w:rsidR="00845DFB">
        <w:rPr>
          <w:b/>
        </w:rPr>
        <w:t xml:space="preserve"> (not)</w:t>
      </w:r>
      <w:r>
        <w:rPr>
          <w:b/>
        </w:rPr>
        <w:t xml:space="preserve"> like that</w:t>
      </w:r>
    </w:p>
    <w:p w14:paraId="215C6443" w14:textId="77777777" w:rsidR="000876E8" w:rsidRDefault="000876E8">
      <w:pPr>
        <w:rPr>
          <w:b/>
        </w:rPr>
      </w:pPr>
    </w:p>
    <w:p w14:paraId="707F164F" w14:textId="0DBA24DE" w:rsidR="000876E8" w:rsidRPr="000876E8" w:rsidRDefault="000876E8" w:rsidP="000876E8">
      <w:pPr>
        <w:pStyle w:val="IntenseQuote"/>
      </w:pPr>
      <w:r w:rsidRPr="000876E8">
        <w:t xml:space="preserve">“Ceteris paribus clauses are nice. They allow us the regularities and modularities we know are there while reminding us of the exceptions – fluctuations or deviations from a macroscopic order that point the way to a deeper understanding. </w:t>
      </w:r>
      <w:r w:rsidR="005B6E7B">
        <w:t>T</w:t>
      </w:r>
      <w:r w:rsidRPr="000876E8">
        <w:t xml:space="preserve">his cognitive form (general pattern + exceptions) and its relatives (broad similarities + attendant differences, models + qualifications, etc.) are deeply anchored in the structure of our case-based organisation of knowledge: “This is like that (which you already know) but with the following differences.” It wears the micro-structure of cumulative learning on its face.” </w:t>
      </w:r>
      <w:r>
        <w:rPr>
          <w:noProof/>
        </w:rPr>
        <w:t>(Wimsatt 2007, 33)</w:t>
      </w:r>
    </w:p>
    <w:p w14:paraId="5687C8D6" w14:textId="77777777" w:rsidR="000876E8" w:rsidRDefault="000876E8">
      <w:pPr>
        <w:rPr>
          <w:b/>
        </w:rPr>
      </w:pPr>
    </w:p>
    <w:p w14:paraId="3230A890" w14:textId="77777777" w:rsidR="006B7969" w:rsidRDefault="006B7969" w:rsidP="00845DFB">
      <w:pPr>
        <w:ind w:firstLine="0"/>
      </w:pPr>
    </w:p>
    <w:p w14:paraId="0FBF6898" w14:textId="39250A07" w:rsidR="00845DFB" w:rsidRDefault="00AB36BD" w:rsidP="00753849">
      <w:r>
        <w:t xml:space="preserve">One of the most engaging features of </w:t>
      </w:r>
      <w:r w:rsidR="00B316C2">
        <w:t xml:space="preserve">Peter </w:t>
      </w:r>
      <w:r w:rsidR="005F468B">
        <w:t>v</w:t>
      </w:r>
      <w:r>
        <w:t xml:space="preserve">an der Veer’s spirited argument for comparison is that it relies so centrally on showing, rather than telling. </w:t>
      </w:r>
      <w:r w:rsidR="009A5524">
        <w:t>Despite its general-sounding title, this</w:t>
      </w:r>
      <w:r w:rsidR="00753849">
        <w:t xml:space="preserve"> is not an abstract disquisition on the art of comparing, but a hands-on, sleeves-rolled-up comparative experiment. </w:t>
      </w:r>
      <w:r>
        <w:t xml:space="preserve">This is apposite, since the </w:t>
      </w:r>
      <w:r w:rsidR="006B7D7B">
        <w:t xml:space="preserve">theoretical argument </w:t>
      </w:r>
      <w:r w:rsidR="00A93218">
        <w:t>represents</w:t>
      </w:r>
      <w:r w:rsidR="006B7D7B">
        <w:t xml:space="preserve"> a</w:t>
      </w:r>
      <w:r w:rsidR="00337DDA">
        <w:t xml:space="preserve"> </w:t>
      </w:r>
      <w:r>
        <w:t xml:space="preserve">forceful </w:t>
      </w:r>
      <w:r w:rsidR="00B316C2">
        <w:t>assault</w:t>
      </w:r>
      <w:r>
        <w:t xml:space="preserve"> </w:t>
      </w:r>
      <w:r w:rsidR="00B316C2">
        <w:t>on</w:t>
      </w:r>
      <w:r>
        <w:t xml:space="preserve"> ‘abstract generalization’</w:t>
      </w:r>
      <w:r w:rsidR="00B316C2">
        <w:t xml:space="preserve"> in the social sciences</w:t>
      </w:r>
      <w:r>
        <w:t xml:space="preserve">. </w:t>
      </w:r>
    </w:p>
    <w:p w14:paraId="3D1C3F40" w14:textId="73BCD5DC" w:rsidR="00845DFB" w:rsidRDefault="00A93218" w:rsidP="00845DFB">
      <w:r>
        <w:t>A second</w:t>
      </w:r>
      <w:r w:rsidR="00845DFB">
        <w:t xml:space="preserve"> extremely engaging feature of this work is the way it relativises the current anthropological </w:t>
      </w:r>
      <w:r w:rsidR="005B6E7B">
        <w:t>obsession</w:t>
      </w:r>
      <w:r w:rsidR="005B6E7B">
        <w:t xml:space="preserve"> </w:t>
      </w:r>
      <w:r w:rsidR="00845DFB">
        <w:t>with comparisons of which one term is defined as an ‘us’</w:t>
      </w:r>
      <w:r w:rsidR="00845DFB">
        <w:rPr>
          <w:rStyle w:val="FootnoteReference"/>
        </w:rPr>
        <w:footnoteReference w:id="1"/>
      </w:r>
      <w:r w:rsidR="00845DFB">
        <w:t>. For decades now, anthropological reflections on comparison have focused primarily on such us/them contrasts, in which ‘our own categories’ are challenged by an encounter with alterity. With a few notable exceptions, anthropologists have tended to treat as an after-thought the seemingly more modest craft of building comparisons that travel sideways from one case to the next</w:t>
      </w:r>
      <w:r w:rsidR="005B6E7B">
        <w:t xml:space="preserve"> – ‘this is like that, but with the following differences’</w:t>
      </w:r>
      <w:r w:rsidR="00845DFB">
        <w:t xml:space="preserve">. True, </w:t>
      </w:r>
      <w:r w:rsidR="005F468B">
        <w:t>v</w:t>
      </w:r>
      <w:r w:rsidR="00845DFB">
        <w:t xml:space="preserve">an der Veer does invoke the widespread dictum that anthropological comparison ought to be first and foremost a way of reflecting on ‘our’ concepts </w:t>
      </w:r>
      <w:r w:rsidR="00845DFB">
        <w:rPr>
          <w:noProof/>
        </w:rPr>
        <w:t>(</w:t>
      </w:r>
      <w:r w:rsidR="005F468B">
        <w:rPr>
          <w:noProof/>
        </w:rPr>
        <w:t>v</w:t>
      </w:r>
      <w:r w:rsidR="00845DFB">
        <w:rPr>
          <w:noProof/>
        </w:rPr>
        <w:t>an der Veer 2016, 28)</w:t>
      </w:r>
      <w:r w:rsidR="00845DFB">
        <w:t xml:space="preserve">, which other anthropologists have expressed by saying that comparison is in the service of translation and not the other way round </w:t>
      </w:r>
      <w:r w:rsidR="00845DFB">
        <w:rPr>
          <w:noProof/>
        </w:rPr>
        <w:t>(Asad 1986; Viveiros de Castro 2004)</w:t>
      </w:r>
      <w:r w:rsidR="00845DFB">
        <w:t xml:space="preserve">. But in practice, </w:t>
      </w:r>
      <w:r w:rsidR="005F468B">
        <w:t>v</w:t>
      </w:r>
      <w:r w:rsidR="00845DFB">
        <w:t xml:space="preserve">an der Veer’s book backgrounds this us/them dynamic by foregrounding multiple ‘lateral’ comparisons between various aspects of life in China and India. ‘Euroamerica’, as the occasional third term in these lateral comparisons, is more surely and more subtly decentred and provincialised </w:t>
      </w:r>
      <w:r w:rsidR="00845DFB">
        <w:rPr>
          <w:noProof/>
        </w:rPr>
        <w:t>(Chakrabarty 2007)</w:t>
      </w:r>
      <w:r w:rsidR="00845DFB">
        <w:t xml:space="preserve">, than in many approaches which start from a head-on confrontation between ‘us’ and ‘them’. This point rejoins the previous one: in this respect too, the strength of this book lies in its stepwise dynamic, its ‘transparticular’ moves </w:t>
      </w:r>
      <w:r w:rsidR="00845DFB">
        <w:rPr>
          <w:noProof/>
        </w:rPr>
        <w:t>(Howe and Boyer 2016)</w:t>
      </w:r>
      <w:r w:rsidR="00845DFB">
        <w:t xml:space="preserve"> from case to case, to case, to case. Never just particular, yet steering clear of a totalising universality.</w:t>
      </w:r>
    </w:p>
    <w:p w14:paraId="7FB33E48" w14:textId="274A55FF" w:rsidR="00361669" w:rsidRDefault="00845DFB" w:rsidP="00845DFB">
      <w:r>
        <w:t xml:space="preserve">In one respect, however, the book is intensely ‘frontal’, and that is in dealing with other social scientists’ ways of comparing. </w:t>
      </w:r>
      <w:r w:rsidR="00A715A3">
        <w:t>The list of approaches to comparison in which Van der Veer sees the spectre of ‘generalism’ is long: evolutionism and cognitive anthrop</w:t>
      </w:r>
      <w:r w:rsidR="002816AF">
        <w:t xml:space="preserve">ology (p2, 43), the concern with ontological alterity </w:t>
      </w:r>
      <w:r w:rsidR="00A715A3">
        <w:t>(p5), the Geertzian penchant for generalization (27), the culture and personality school (31), the materialist reductionism of political economy (p17), the Durkheimian method of generalization and classification (148), the tendency of Weberian arguments to essentialise cultural units (p65-66), D</w:t>
      </w:r>
      <w:r w:rsidR="00A715A3" w:rsidRPr="00DE1C9B">
        <w:t>umont's insuff</w:t>
      </w:r>
      <w:r w:rsidR="00A715A3">
        <w:t xml:space="preserve">icient removal of </w:t>
      </w:r>
      <w:r w:rsidR="006B7D7B">
        <w:t>generalism</w:t>
      </w:r>
      <w:r w:rsidR="00A715A3" w:rsidRPr="00DE1C9B">
        <w:t xml:space="preserve"> from his holism</w:t>
      </w:r>
      <w:r w:rsidR="002816AF">
        <w:t xml:space="preserve"> (34)</w:t>
      </w:r>
      <w:r w:rsidR="00A715A3">
        <w:t xml:space="preserve">. In one way or another, in fact, most of the main approaches to comparison in the history of anthropology are critiqued here. </w:t>
      </w:r>
      <w:r w:rsidR="005B6E7B">
        <w:t>From</w:t>
      </w:r>
      <w:r w:rsidR="005B6E7B">
        <w:t xml:space="preserve"> </w:t>
      </w:r>
      <w:r w:rsidR="00A715A3">
        <w:t xml:space="preserve">some of these, </w:t>
      </w:r>
      <w:r w:rsidR="005F468B">
        <w:t>v</w:t>
      </w:r>
      <w:r w:rsidR="00A715A3">
        <w:t xml:space="preserve">an der Veer seeks to retain the best parts, shorn of their </w:t>
      </w:r>
      <w:r w:rsidR="006B7D7B">
        <w:t xml:space="preserve">egregious </w:t>
      </w:r>
      <w:r w:rsidR="00A715A3">
        <w:t xml:space="preserve">generalism. Others incur a wholesale dismissal. </w:t>
      </w:r>
      <w:r w:rsidR="005F468B">
        <w:t>v</w:t>
      </w:r>
      <w:r w:rsidR="00A715A3">
        <w:t xml:space="preserve">an der Veer is both entertaining and convincing when launched full tilt against, for instance, </w:t>
      </w:r>
      <w:r w:rsidR="00A715A3" w:rsidRPr="00AB350E">
        <w:t>Whitehouse and Cohen on ritual (3-4)</w:t>
      </w:r>
      <w:r w:rsidR="00A715A3">
        <w:t xml:space="preserve">, the </w:t>
      </w:r>
      <w:r w:rsidR="00A715A3" w:rsidRPr="00AB350E">
        <w:t>Pew Foundation's Faith on the move report (31)</w:t>
      </w:r>
      <w:r w:rsidR="00A715A3">
        <w:t xml:space="preserve">, or </w:t>
      </w:r>
      <w:r w:rsidR="00A715A3" w:rsidRPr="00AB350E">
        <w:t>Wimmer's attempt to code the relation between industrialism and nationalism (39</w:t>
      </w:r>
      <w:r w:rsidR="00A715A3">
        <w:t>).</w:t>
      </w:r>
    </w:p>
    <w:p w14:paraId="1A694DAA" w14:textId="3441087B" w:rsidR="00532147" w:rsidRDefault="00753849" w:rsidP="009A5524">
      <w:r>
        <w:t xml:space="preserve">What </w:t>
      </w:r>
      <w:r w:rsidR="005F468B">
        <w:t>v</w:t>
      </w:r>
      <w:r>
        <w:t xml:space="preserve">an der Veer opposes to these unsatisfactory </w:t>
      </w:r>
      <w:r w:rsidR="000876E8">
        <w:t>alternatives</w:t>
      </w:r>
      <w:r>
        <w:t xml:space="preserve"> is </w:t>
      </w:r>
      <w:r w:rsidR="00AC2242">
        <w:t>not a competing theoretical generalism, but rather</w:t>
      </w:r>
      <w:r>
        <w:t xml:space="preserve"> a masterful empirical demonstration. Indeed, </w:t>
      </w:r>
      <w:r>
        <w:rPr>
          <w:i/>
        </w:rPr>
        <w:t>The Value of Comparison</w:t>
      </w:r>
      <w:r w:rsidR="00B316C2">
        <w:t xml:space="preserve"> embodies </w:t>
      </w:r>
      <w:r>
        <w:t>its</w:t>
      </w:r>
      <w:r w:rsidR="00B316C2">
        <w:t xml:space="preserve"> commitment</w:t>
      </w:r>
      <w:r>
        <w:t xml:space="preserve"> to opposing abstract generalisation</w:t>
      </w:r>
      <w:r w:rsidR="00B316C2">
        <w:t xml:space="preserve"> in the way it </w:t>
      </w:r>
      <w:r w:rsidR="00AB36BD">
        <w:t>is crafted</w:t>
      </w:r>
      <w:r w:rsidR="00B316C2">
        <w:t>:</w:t>
      </w:r>
      <w:r w:rsidR="00AB36BD">
        <w:t xml:space="preserve"> detailed examples </w:t>
      </w:r>
      <w:r w:rsidR="00B316C2">
        <w:t xml:space="preserve">are </w:t>
      </w:r>
      <w:r w:rsidR="00AB36BD">
        <w:t xml:space="preserve">woven through its </w:t>
      </w:r>
      <w:r w:rsidR="002F3929">
        <w:t xml:space="preserve">entire length, including the initial framing </w:t>
      </w:r>
      <w:r w:rsidR="00B316C2">
        <w:t>chapters.</w:t>
      </w:r>
      <w:r w:rsidR="00AB36BD">
        <w:t xml:space="preserve"> </w:t>
      </w:r>
      <w:r w:rsidR="00B316C2">
        <w:t xml:space="preserve">This </w:t>
      </w:r>
      <w:r w:rsidR="00AB36BD">
        <w:t xml:space="preserve">makes it </w:t>
      </w:r>
      <w:r w:rsidR="00AB36BD">
        <w:lastRenderedPageBreak/>
        <w:t xml:space="preserve">difficult </w:t>
      </w:r>
      <w:r w:rsidR="002F3929">
        <w:t xml:space="preserve">to reduce </w:t>
      </w:r>
      <w:r w:rsidR="005F468B">
        <w:t>v</w:t>
      </w:r>
      <w:r w:rsidR="00B316C2">
        <w:t>an der Veer’s observations on comparison</w:t>
      </w:r>
      <w:r w:rsidR="002F3929">
        <w:t xml:space="preserve"> to a doctrine. </w:t>
      </w:r>
      <w:r w:rsidR="009A5524">
        <w:t>Some readers, judging the book by the title, might seek</w:t>
      </w:r>
      <w:r w:rsidR="002F3929">
        <w:t xml:space="preserve"> </w:t>
      </w:r>
      <w:r w:rsidR="009A5524">
        <w:t xml:space="preserve">to skim it, discarding the merely empirical ‘examples’ in order to extract or distil from this book the ‘gist’ of what comparison </w:t>
      </w:r>
      <w:r w:rsidR="009A5524">
        <w:rPr>
          <w:i/>
        </w:rPr>
        <w:t>in the</w:t>
      </w:r>
      <w:r w:rsidR="009A5524" w:rsidRPr="00337DDA">
        <w:rPr>
          <w:i/>
        </w:rPr>
        <w:t xml:space="preserve"> abstract</w:t>
      </w:r>
      <w:r w:rsidR="009A5524">
        <w:t xml:space="preserve"> </w:t>
      </w:r>
      <w:r w:rsidR="009A5524" w:rsidRPr="00337DDA">
        <w:t>ought</w:t>
      </w:r>
      <w:r w:rsidR="009A5524">
        <w:t xml:space="preserve"> to look like. Such readers are sniffing up the wrong tree. There is no blue-print here, no elevator pitch. It is supposed to take time: the examples are the point.</w:t>
      </w:r>
    </w:p>
    <w:p w14:paraId="54D52FD3" w14:textId="1A060ECC" w:rsidR="00532147" w:rsidRDefault="009A5524" w:rsidP="00AC62E2">
      <w:r>
        <w:t>Such a hurried reader, on a hunt for abstract summation,</w:t>
      </w:r>
      <w:r w:rsidR="007B5019">
        <w:t xml:space="preserve"> might for instance find that the</w:t>
      </w:r>
      <w:r w:rsidR="001D6B96">
        <w:t xml:space="preserve"> </w:t>
      </w:r>
      <w:r w:rsidR="00B316C2">
        <w:t xml:space="preserve">positive </w:t>
      </w:r>
      <w:r w:rsidR="001D6B96">
        <w:t>figure of anthr</w:t>
      </w:r>
      <w:r w:rsidR="00532147">
        <w:t xml:space="preserve">opological ‘holism’, which </w:t>
      </w:r>
      <w:r w:rsidR="005F468B">
        <w:t>v</w:t>
      </w:r>
      <w:r w:rsidR="00532147">
        <w:t>an d</w:t>
      </w:r>
      <w:r w:rsidR="001D6B96">
        <w:t>er Veer opposes to</w:t>
      </w:r>
      <w:r w:rsidR="00B316C2">
        <w:t xml:space="preserve"> its evil twin</w:t>
      </w:r>
      <w:r w:rsidR="00532147">
        <w:t xml:space="preserve"> generalism</w:t>
      </w:r>
      <w:r>
        <w:rPr>
          <w:rStyle w:val="FootnoteReference"/>
        </w:rPr>
        <w:footnoteReference w:id="2"/>
      </w:r>
      <w:r w:rsidR="001D6B96">
        <w:t xml:space="preserve"> is </w:t>
      </w:r>
      <w:r w:rsidR="001A750F">
        <w:t>something of a moving target</w:t>
      </w:r>
      <w:r w:rsidR="006142DD">
        <w:t>.</w:t>
      </w:r>
      <w:r w:rsidR="00532147">
        <w:t xml:space="preserve"> </w:t>
      </w:r>
      <w:r w:rsidR="004232E2">
        <w:t xml:space="preserve">Holism appears in this book in a number of guises: as the drawing of inferences from a study of fragments (9); as the interpretation of “another conceptual universe” (27); as an appeal to </w:t>
      </w:r>
      <w:r w:rsidR="00532147">
        <w:t>the broader context</w:t>
      </w:r>
      <w:r w:rsidR="004232E2">
        <w:t xml:space="preserve"> or question which is determined for the anthropologist by his choice of a particular fragment to focus on; or indeed the ethnographic question of how people themselves think that parts make up a whole (31). On the face of it these various invocations point to rather different moves within the broad family of holisms </w:t>
      </w:r>
      <w:r w:rsidR="004232E2">
        <w:rPr>
          <w:noProof/>
        </w:rPr>
        <w:t>(Otto and Bubandt 2010)</w:t>
      </w:r>
      <w:r w:rsidR="004232E2">
        <w:t xml:space="preserve">. </w:t>
      </w:r>
      <w:r w:rsidR="00532147">
        <w:t xml:space="preserve">One could imagine ways of </w:t>
      </w:r>
      <w:r w:rsidR="006B7969">
        <w:t>tying</w:t>
      </w:r>
      <w:r w:rsidR="00532147">
        <w:t xml:space="preserve"> these various definitions </w:t>
      </w:r>
      <w:r w:rsidR="006B7969">
        <w:t>together into an overarching, and necessarily quite hefty theoretical edifice</w:t>
      </w:r>
      <w:r w:rsidR="00532147">
        <w:t xml:space="preserve"> – one could, as it were, extrapolate a ‘whole’ from these theoretical fragments – but this </w:t>
      </w:r>
      <w:r w:rsidR="002816AF">
        <w:t>isn’t really the point</w:t>
      </w:r>
      <w:r w:rsidR="00532147">
        <w:t xml:space="preserve">. </w:t>
      </w:r>
      <w:r>
        <w:t xml:space="preserve">It is sufficient for the purposes of this </w:t>
      </w:r>
      <w:r w:rsidR="002816AF">
        <w:t>dem</w:t>
      </w:r>
      <w:r w:rsidR="00FC46FC">
        <w:t>o</w:t>
      </w:r>
      <w:r w:rsidR="002816AF">
        <w:t>nstration</w:t>
      </w:r>
      <w:r>
        <w:t xml:space="preserve">, </w:t>
      </w:r>
      <w:r w:rsidR="00532147">
        <w:t xml:space="preserve">that none of </w:t>
      </w:r>
      <w:r>
        <w:t>these holisms represents</w:t>
      </w:r>
      <w:r w:rsidR="00532147">
        <w:t xml:space="preserve"> the kind of naïve totalising generalisation which Van der Veer rejects so forcefully: the image of bounded, </w:t>
      </w:r>
      <w:r w:rsidR="00DE3C55">
        <w:t>absolutely</w:t>
      </w:r>
      <w:r w:rsidR="00DE3C55">
        <w:t xml:space="preserve"> </w:t>
      </w:r>
      <w:r w:rsidR="00532147">
        <w:t xml:space="preserve">homogeneous societies; or the picture of blank universal actors motivated </w:t>
      </w:r>
      <w:r w:rsidR="00DE3C55">
        <w:t xml:space="preserve">entirely </w:t>
      </w:r>
      <w:r w:rsidR="00532147">
        <w:t>by economic rationality or selfish genes.</w:t>
      </w:r>
    </w:p>
    <w:p w14:paraId="11988CEB" w14:textId="322EDBB3" w:rsidR="002E3243" w:rsidRDefault="00845DFB" w:rsidP="002E3243">
      <w:r>
        <w:t>Having thus drawn a clear line in the sand</w:t>
      </w:r>
      <w:r w:rsidR="006B7969">
        <w:t>,</w:t>
      </w:r>
      <w:r w:rsidR="00532147">
        <w:t xml:space="preserve"> </w:t>
      </w:r>
      <w:r w:rsidR="006B7969">
        <w:t>the author</w:t>
      </w:r>
      <w:r w:rsidR="00532147">
        <w:t xml:space="preserve"> </w:t>
      </w:r>
      <w:r w:rsidR="006B7969">
        <w:t>can</w:t>
      </w:r>
      <w:r w:rsidR="00DE3C55">
        <w:t xml:space="preserve"> then</w:t>
      </w:r>
      <w:r w:rsidR="006B7969">
        <w:t xml:space="preserve"> pragmatically </w:t>
      </w:r>
      <w:r>
        <w:t xml:space="preserve">deploy </w:t>
      </w:r>
      <w:r w:rsidR="006B7969">
        <w:t>a</w:t>
      </w:r>
      <w:r w:rsidR="004B6CAD">
        <w:t xml:space="preserve"> panoply of holistic strategies to get the job</w:t>
      </w:r>
      <w:r w:rsidR="00DE3C55">
        <w:t xml:space="preserve"> of comparison</w:t>
      </w:r>
      <w:r w:rsidR="004B6CAD">
        <w:t xml:space="preserve"> done</w:t>
      </w:r>
      <w:r w:rsidR="00532147">
        <w:t xml:space="preserve">. </w:t>
      </w:r>
      <w:r w:rsidR="003A228D">
        <w:t xml:space="preserve">Some of </w:t>
      </w:r>
      <w:r w:rsidR="006B7969">
        <w:t>these</w:t>
      </w:r>
      <w:r w:rsidR="004232E2">
        <w:t xml:space="preserve"> </w:t>
      </w:r>
      <w:r w:rsidR="003A228D">
        <w:t xml:space="preserve">appeals to </w:t>
      </w:r>
      <w:r w:rsidR="004232E2">
        <w:t xml:space="preserve">holism </w:t>
      </w:r>
      <w:r w:rsidR="003A228D">
        <w:t>suggest</w:t>
      </w:r>
      <w:r w:rsidR="004232E2">
        <w:t xml:space="preserve"> the kind of radical comparison associated with, for instance, Dumont: they think this </w:t>
      </w:r>
      <w:r w:rsidR="004232E2">
        <w:rPr>
          <w:i/>
        </w:rPr>
        <w:t xml:space="preserve">in relation to </w:t>
      </w:r>
      <w:r w:rsidR="004232E2" w:rsidRPr="00743DFB">
        <w:t>us who think</w:t>
      </w:r>
      <w:r w:rsidR="004232E2">
        <w:rPr>
          <w:i/>
        </w:rPr>
        <w:t xml:space="preserve"> </w:t>
      </w:r>
      <w:r w:rsidR="004232E2" w:rsidRPr="00743DFB">
        <w:t>that</w:t>
      </w:r>
      <w:r w:rsidR="004232E2">
        <w:t xml:space="preserve"> </w:t>
      </w:r>
      <w:r w:rsidR="004B6CAD">
        <w:rPr>
          <w:noProof/>
        </w:rPr>
        <w:t>(Dumont 1983, 14)</w:t>
      </w:r>
      <w:r w:rsidR="004232E2">
        <w:t xml:space="preserve">. That particular </w:t>
      </w:r>
      <w:r w:rsidR="004B6CAD" w:rsidRPr="004B6CAD">
        <w:t>radical</w:t>
      </w:r>
      <w:r w:rsidR="004B6CAD">
        <w:t xml:space="preserve"> </w:t>
      </w:r>
      <w:r w:rsidR="004232E2">
        <w:t xml:space="preserve">holism is a relational engagement in which what is compared are the observer’s own concepts and those of the subjects, whose </w:t>
      </w:r>
      <w:r w:rsidR="004B6CAD">
        <w:t>respective totalities</w:t>
      </w:r>
      <w:r w:rsidR="004344AF">
        <w:t xml:space="preserve"> are</w:t>
      </w:r>
      <w:r w:rsidR="004232E2">
        <w:t xml:space="preserve"> thus an epistemological effect of the relation</w:t>
      </w:r>
      <w:r w:rsidR="003A228D">
        <w:t>. This is a general dynamic which Dumont’s work shares, as Iteanu and Moya have noted, with that of Strathern or elements of the ontological turn</w:t>
      </w:r>
      <w:r w:rsidR="004B6CAD">
        <w:t xml:space="preserve"> </w:t>
      </w:r>
      <w:r w:rsidR="004B6CAD">
        <w:rPr>
          <w:noProof/>
        </w:rPr>
        <w:t>(Iteanu 2013)</w:t>
      </w:r>
      <w:r w:rsidR="004232E2">
        <w:t>.</w:t>
      </w:r>
      <w:r w:rsidR="003A228D">
        <w:t xml:space="preserve"> Van der Veer’s treatment of the notion of civilisation </w:t>
      </w:r>
      <w:r w:rsidR="003A228D">
        <w:rPr>
          <w:noProof/>
        </w:rPr>
        <w:t>(</w:t>
      </w:r>
      <w:r w:rsidR="005F468B">
        <w:rPr>
          <w:noProof/>
        </w:rPr>
        <w:t>v</w:t>
      </w:r>
      <w:r w:rsidR="003A228D">
        <w:rPr>
          <w:noProof/>
        </w:rPr>
        <w:t>an der Veer 2016 chapter 3)</w:t>
      </w:r>
      <w:r w:rsidR="003A228D">
        <w:t xml:space="preserve"> owes something to that</w:t>
      </w:r>
      <w:r w:rsidR="002816AF">
        <w:t xml:space="preserve"> radical</w:t>
      </w:r>
      <w:r w:rsidR="003A228D">
        <w:t xml:space="preserve"> approach.</w:t>
      </w:r>
      <w:r w:rsidR="004232E2">
        <w:t xml:space="preserve"> At other times, the h</w:t>
      </w:r>
      <w:r w:rsidR="003A228D">
        <w:t>olism deployed in the book challenges ‘our concepts’ in a less acrobatic way, as a</w:t>
      </w:r>
      <w:r w:rsidR="00DE3C55">
        <w:t xml:space="preserve"> merely</w:t>
      </w:r>
      <w:r w:rsidR="003A228D">
        <w:t xml:space="preserve"> </w:t>
      </w:r>
      <w:r w:rsidR="004232E2">
        <w:t>negative commitment to not taking for granted the existing ways in which anthropologists divide their subject into domains. Thus we find</w:t>
      </w:r>
      <w:r w:rsidR="00532147">
        <w:t>,</w:t>
      </w:r>
      <w:r w:rsidR="004232E2">
        <w:t xml:space="preserve"> say, iconoclasm and urban planning are to</w:t>
      </w:r>
      <w:r w:rsidR="00532147">
        <w:t xml:space="preserve"> be read through one another</w:t>
      </w:r>
      <w:r w:rsidR="005B6E7B">
        <w:t xml:space="preserve"> (chapter 4)</w:t>
      </w:r>
      <w:r w:rsidR="004232E2">
        <w:t xml:space="preserve">. </w:t>
      </w:r>
      <w:r w:rsidR="002816AF">
        <w:t>Different again</w:t>
      </w:r>
      <w:r w:rsidR="00DE3C55">
        <w:t xml:space="preserve"> – and perhaps most common throughout the book – </w:t>
      </w:r>
      <w:r w:rsidR="002816AF">
        <w:t xml:space="preserve">is a third kind of holistic strategy </w:t>
      </w:r>
      <w:r w:rsidR="00DE3C55">
        <w:t xml:space="preserve">of finding a broader context for a fragmentary observation. This </w:t>
      </w:r>
      <w:r w:rsidR="004232E2">
        <w:t xml:space="preserve">takes the form of what one might call a </w:t>
      </w:r>
      <w:r w:rsidR="004232E2" w:rsidRPr="00DE3C55">
        <w:rPr>
          <w:i/>
        </w:rPr>
        <w:t>caveated</w:t>
      </w:r>
      <w:r w:rsidR="004232E2">
        <w:t xml:space="preserve"> generalisation</w:t>
      </w:r>
      <w:r w:rsidR="00DE3C55">
        <w:t xml:space="preserve">: </w:t>
      </w:r>
      <w:r w:rsidR="00353BBE">
        <w:t>‘</w:t>
      </w:r>
      <w:r w:rsidR="001C650B">
        <w:t>this is broadly the case, with important exceptions</w:t>
      </w:r>
      <w:r w:rsidR="00353BBE">
        <w:t>’</w:t>
      </w:r>
      <w:r w:rsidR="003A228D">
        <w:rPr>
          <w:rStyle w:val="FootnoteReference"/>
        </w:rPr>
        <w:footnoteReference w:id="3"/>
      </w:r>
      <w:r w:rsidR="00164799">
        <w:t xml:space="preserve">. </w:t>
      </w:r>
      <w:r w:rsidR="002E3243">
        <w:t xml:space="preserve">The </w:t>
      </w:r>
      <w:r w:rsidR="005B6E7B">
        <w:t>paradigm</w:t>
      </w:r>
      <w:r w:rsidR="002E3243">
        <w:t xml:space="preserve"> of this move might be found in the claim that “One continues to have a need to engage with the traditions that are central to societies and the ways they have been interpreted to form the civilizational core of national history, but one needs, at the same time, to acknowledge the contradictory and fragmentary nature of these traditions.” </w:t>
      </w:r>
      <w:r w:rsidR="002E3243" w:rsidRPr="004446E3">
        <w:rPr>
          <w:rFonts w:eastAsia="Times New Roman"/>
        </w:rPr>
        <w:t>(</w:t>
      </w:r>
      <w:r w:rsidR="005F468B">
        <w:rPr>
          <w:rFonts w:eastAsia="Times New Roman"/>
        </w:rPr>
        <w:t>v</w:t>
      </w:r>
      <w:r w:rsidR="002E3243" w:rsidRPr="004446E3">
        <w:rPr>
          <w:rFonts w:eastAsia="Times New Roman"/>
        </w:rPr>
        <w:t>an der Veer 2016, 65–66)</w:t>
      </w:r>
      <w:r w:rsidR="002E3243">
        <w:t>.</w:t>
      </w:r>
    </w:p>
    <w:p w14:paraId="2462CFFD" w14:textId="75746776" w:rsidR="004232E2" w:rsidRDefault="004232E2" w:rsidP="002E3243">
      <w:r>
        <w:t>The statement</w:t>
      </w:r>
      <w:r w:rsidR="002E3243">
        <w:t xml:space="preserve"> is illustrative of the book as a whole: it points to ongoing tensions and di</w:t>
      </w:r>
      <w:r w:rsidR="006B7969">
        <w:t>fficulties of the comparativist</w:t>
      </w:r>
      <w:r w:rsidR="002E3243">
        <w:t>’</w:t>
      </w:r>
      <w:r w:rsidR="006B7969">
        <w:t>s</w:t>
      </w:r>
      <w:r w:rsidR="002E3243">
        <w:t xml:space="preserve"> art without presuming to resolve them once and for all through some grand abstraction. </w:t>
      </w:r>
      <w:r>
        <w:t>How is one to achieve this balance of engaging with, while not quite subscribing to, people’s sense of the coherence of their own traditions? How contradictory and fragmentary need a tradition be, before it is no longer a tradition but two or three (contradictory and fragmentary) sub-traditions?</w:t>
      </w:r>
      <w:r w:rsidR="001C650B">
        <w:t xml:space="preserve"> </w:t>
      </w:r>
      <w:r w:rsidR="006A0946">
        <w:t>R</w:t>
      </w:r>
      <w:r w:rsidR="002E3243">
        <w:t>eader</w:t>
      </w:r>
      <w:r w:rsidR="006A0946">
        <w:t>s</w:t>
      </w:r>
      <w:r w:rsidR="002E3243">
        <w:t xml:space="preserve"> seeking once-and-for-</w:t>
      </w:r>
      <w:r w:rsidR="002816AF">
        <w:t xml:space="preserve">all </w:t>
      </w:r>
      <w:r w:rsidR="002E3243">
        <w:t xml:space="preserve">answers to these questions will not find them in this book. What </w:t>
      </w:r>
      <w:r w:rsidR="006A0946">
        <w:t>t</w:t>
      </w:r>
      <w:r w:rsidR="002E3243">
        <w:t>he</w:t>
      </w:r>
      <w:r w:rsidR="006A0946">
        <w:t>y</w:t>
      </w:r>
      <w:r w:rsidR="002E3243">
        <w:t xml:space="preserve"> will find, however, is a convincing and engaging answer to these questions posed in one set of concrete cases, an answer which to repurpose one of </w:t>
      </w:r>
      <w:r w:rsidR="005F468B">
        <w:t>v</w:t>
      </w:r>
      <w:r w:rsidR="002E3243">
        <w:t>an der Veer’s statements</w:t>
      </w:r>
      <w:r w:rsidR="007502AC">
        <w:t xml:space="preserve"> on</w:t>
      </w:r>
      <w:r w:rsidR="002E3243">
        <w:t xml:space="preserve"> his own method, is “specific without any pretenc</w:t>
      </w:r>
      <w:r w:rsidR="002E3243" w:rsidRPr="00F9614E">
        <w:t>e to general truth, but def</w:t>
      </w:r>
      <w:r w:rsidR="002E3243">
        <w:t xml:space="preserve">initely of broader significance.” </w:t>
      </w:r>
      <w:r w:rsidR="002E3243">
        <w:rPr>
          <w:noProof/>
        </w:rPr>
        <w:t>(</w:t>
      </w:r>
      <w:r w:rsidR="005F468B">
        <w:rPr>
          <w:noProof/>
        </w:rPr>
        <w:t>v</w:t>
      </w:r>
      <w:r w:rsidR="002E3243">
        <w:rPr>
          <w:noProof/>
        </w:rPr>
        <w:t>an der Veer 2016, 26)</w:t>
      </w:r>
    </w:p>
    <w:p w14:paraId="7DD1F4B9" w14:textId="3C2E0391" w:rsidR="006B7969" w:rsidRDefault="006B7969" w:rsidP="006B7969">
      <w:r>
        <w:t>In sum, I am suggesting that the ‘gist’ in the end is precisely the book as a whole: an intricate, multi-stranded, multi-scalar and profoundly erudite historical and sociological comparison of key themes in the study of India, China, Europe and America. This book certainly “</w:t>
      </w:r>
      <w:r w:rsidRPr="006B7969">
        <w:t>wears the micro-structure of cumulative learning on its face.”</w:t>
      </w:r>
      <w:r>
        <w:t xml:space="preserve"> </w:t>
      </w:r>
      <w:r w:rsidRPr="006B7969">
        <w:t>(Wimsatt 2007, 33)</w:t>
      </w:r>
      <w:r>
        <w:t xml:space="preserve">. The very possibility of such a book </w:t>
      </w:r>
      <w:r w:rsidRPr="00B316C2">
        <w:rPr>
          <w:i/>
        </w:rPr>
        <w:t>is</w:t>
      </w:r>
      <w:r>
        <w:t xml:space="preserve"> the argument, an argument for the ‘comparative advantage’ of anthropology which has the benefit of standing as its own instance and proof. I challenge any reader not to come away from it feeling both wiser and better informed about its empirical subject matter, and invigorated about the </w:t>
      </w:r>
      <w:r w:rsidR="00DE3C55">
        <w:t xml:space="preserve">pragmatic </w:t>
      </w:r>
      <w:r>
        <w:t xml:space="preserve">power of anthropological comparison. </w:t>
      </w:r>
    </w:p>
    <w:p w14:paraId="7AA658E9" w14:textId="77777777" w:rsidR="002E3243" w:rsidRDefault="002E3243" w:rsidP="002E3243"/>
    <w:p w14:paraId="5AADDEA6" w14:textId="77777777" w:rsidR="00AB36BD" w:rsidRDefault="00AB36BD" w:rsidP="002E3243">
      <w:pPr>
        <w:ind w:firstLine="0"/>
      </w:pPr>
    </w:p>
    <w:p w14:paraId="5B4377D2" w14:textId="77777777" w:rsidR="00A031EA" w:rsidRPr="007502AC" w:rsidRDefault="00A031EA">
      <w:pPr>
        <w:rPr>
          <w:b/>
        </w:rPr>
      </w:pPr>
    </w:p>
    <w:p w14:paraId="4658943F" w14:textId="77777777" w:rsidR="00A031EA" w:rsidRDefault="007502AC" w:rsidP="002816AF">
      <w:pPr>
        <w:ind w:firstLine="0"/>
        <w:rPr>
          <w:b/>
        </w:rPr>
      </w:pPr>
      <w:r w:rsidRPr="007502AC">
        <w:rPr>
          <w:b/>
        </w:rPr>
        <w:t>Bibliography</w:t>
      </w:r>
    </w:p>
    <w:p w14:paraId="4F3C1060" w14:textId="77777777" w:rsidR="002816AF" w:rsidRDefault="002816AF">
      <w:pPr>
        <w:rPr>
          <w:b/>
        </w:rPr>
      </w:pPr>
    </w:p>
    <w:p w14:paraId="4E4D0465" w14:textId="77777777" w:rsidR="007502AC" w:rsidRPr="007502AC" w:rsidRDefault="007502AC" w:rsidP="007502AC">
      <w:pPr>
        <w:pStyle w:val="Bibliography"/>
      </w:pPr>
      <w:r w:rsidRPr="007502AC">
        <w:t xml:space="preserve">Asad, Talal. 1986. “The Concept of Cultural Translation in British Social Anthropology.” In </w:t>
      </w:r>
      <w:r w:rsidRPr="007502AC">
        <w:rPr>
          <w:i/>
          <w:iCs/>
        </w:rPr>
        <w:t>The Concept of Cultural Translation in British Social Anthropology</w:t>
      </w:r>
      <w:r w:rsidRPr="007502AC">
        <w:t>, edited by James Clifford. Vol. Writing Culture: The Poetics and Politics of Ethnography. Berkeley: University of California Press.</w:t>
      </w:r>
    </w:p>
    <w:p w14:paraId="7BAE8881" w14:textId="77777777" w:rsidR="007502AC" w:rsidRPr="007502AC" w:rsidRDefault="007502AC" w:rsidP="007502AC">
      <w:pPr>
        <w:pStyle w:val="Bibliography"/>
      </w:pPr>
      <w:r w:rsidRPr="007502AC">
        <w:t xml:space="preserve">Candea, Matei. 2016. “De Deux Modalités de La Comparaison En Anthropologie Sociale.” </w:t>
      </w:r>
      <w:r w:rsidRPr="007502AC">
        <w:rPr>
          <w:i/>
          <w:iCs/>
        </w:rPr>
        <w:t>L’Homme</w:t>
      </w:r>
      <w:r w:rsidRPr="007502AC">
        <w:t xml:space="preserve"> 218: 183–218.</w:t>
      </w:r>
    </w:p>
    <w:p w14:paraId="71B7B9B1" w14:textId="77777777" w:rsidR="007502AC" w:rsidRPr="007502AC" w:rsidRDefault="007502AC" w:rsidP="007502AC">
      <w:pPr>
        <w:pStyle w:val="Bibliography"/>
      </w:pPr>
      <w:r w:rsidRPr="007502AC">
        <w:t xml:space="preserve">Chakrabarty, Dipesh. 2007. </w:t>
      </w:r>
      <w:r w:rsidRPr="007502AC">
        <w:rPr>
          <w:i/>
          <w:iCs/>
        </w:rPr>
        <w:t>Provincializing Europe</w:t>
      </w:r>
      <w:r w:rsidRPr="007502AC">
        <w:rPr>
          <w:rFonts w:ascii="Calibri" w:eastAsia="Calibri" w:hAnsi="Calibri" w:cs="Calibri"/>
          <w:i/>
          <w:iCs/>
        </w:rPr>
        <w:t> </w:t>
      </w:r>
      <w:r w:rsidRPr="007502AC">
        <w:rPr>
          <w:i/>
          <w:iCs/>
        </w:rPr>
        <w:t>: Postcolonial Thought and Historical Difference</w:t>
      </w:r>
      <w:r w:rsidRPr="007502AC">
        <w:t>. Vol. Princeton studies in culture/power/history. Princeton, N.J: Princeton University Press.</w:t>
      </w:r>
    </w:p>
    <w:p w14:paraId="305BACD2" w14:textId="77777777" w:rsidR="007502AC" w:rsidRPr="007502AC" w:rsidRDefault="007502AC" w:rsidP="007502AC">
      <w:pPr>
        <w:pStyle w:val="Bibliography"/>
      </w:pPr>
      <w:r w:rsidRPr="007502AC">
        <w:t xml:space="preserve">Dumont, Louis. 1983. </w:t>
      </w:r>
      <w:r w:rsidRPr="007502AC">
        <w:rPr>
          <w:i/>
          <w:iCs/>
        </w:rPr>
        <w:t>Essais Sur L’individualisme</w:t>
      </w:r>
      <w:r w:rsidRPr="007502AC">
        <w:rPr>
          <w:rFonts w:ascii="Calibri" w:eastAsia="Calibri" w:hAnsi="Calibri" w:cs="Calibri"/>
          <w:i/>
          <w:iCs/>
        </w:rPr>
        <w:t> </w:t>
      </w:r>
      <w:r w:rsidRPr="007502AC">
        <w:rPr>
          <w:i/>
          <w:iCs/>
        </w:rPr>
        <w:t>: Une Perspective Anthropologique Sur L’idéologie Moderne</w:t>
      </w:r>
      <w:r w:rsidRPr="007502AC">
        <w:t>. Paris: Editions de Seuil.</w:t>
      </w:r>
    </w:p>
    <w:p w14:paraId="4801AEF5" w14:textId="77777777" w:rsidR="007502AC" w:rsidRPr="007502AC" w:rsidRDefault="007502AC" w:rsidP="007502AC">
      <w:pPr>
        <w:pStyle w:val="Bibliography"/>
      </w:pPr>
      <w:r w:rsidRPr="007502AC">
        <w:t xml:space="preserve">Howe, Cymene, and Dominic Boyer. 2016. “Portable Analytics and Lateral Theory.” In </w:t>
      </w:r>
      <w:r w:rsidRPr="007502AC">
        <w:rPr>
          <w:i/>
          <w:iCs/>
        </w:rPr>
        <w:t>THEORY CAN BE MORE THAN IT USED TO BE</w:t>
      </w:r>
      <w:r w:rsidRPr="007502AC">
        <w:t>, edited by JD FAUBION, GM MARCUS, and D. Boyer. Accessed July 12. http://www.academia.edu/download/32192328/Portable_Analytics_and_Lateral_Theory.pdf.</w:t>
      </w:r>
    </w:p>
    <w:p w14:paraId="03A1CF77" w14:textId="77777777" w:rsidR="007502AC" w:rsidRPr="007502AC" w:rsidRDefault="007502AC" w:rsidP="007502AC">
      <w:pPr>
        <w:pStyle w:val="Bibliography"/>
      </w:pPr>
      <w:r w:rsidRPr="007502AC">
        <w:t xml:space="preserve">Iteanu, André. 2013. “The Two Conceptions of Value.” </w:t>
      </w:r>
      <w:r w:rsidRPr="007502AC">
        <w:rPr>
          <w:i/>
          <w:iCs/>
        </w:rPr>
        <w:t>HAU: Journal of Ethnographic Theory</w:t>
      </w:r>
      <w:r w:rsidRPr="007502AC">
        <w:t xml:space="preserve"> 3 (1): 155–71.</w:t>
      </w:r>
    </w:p>
    <w:p w14:paraId="71A0AF44" w14:textId="77777777" w:rsidR="007502AC" w:rsidRPr="007502AC" w:rsidRDefault="007502AC" w:rsidP="007502AC">
      <w:pPr>
        <w:pStyle w:val="Bibliography"/>
      </w:pPr>
      <w:r w:rsidRPr="007502AC">
        <w:t xml:space="preserve">Otto, Ton., and Nils. Bubandt. 2010. </w:t>
      </w:r>
      <w:r w:rsidRPr="007502AC">
        <w:rPr>
          <w:i/>
          <w:iCs/>
        </w:rPr>
        <w:t>Experiments in Holism</w:t>
      </w:r>
      <w:r w:rsidRPr="007502AC">
        <w:rPr>
          <w:rFonts w:ascii="Calibri" w:eastAsia="Calibri" w:hAnsi="Calibri" w:cs="Calibri"/>
          <w:i/>
          <w:iCs/>
        </w:rPr>
        <w:t> </w:t>
      </w:r>
      <w:r w:rsidRPr="007502AC">
        <w:rPr>
          <w:i/>
          <w:iCs/>
        </w:rPr>
        <w:t>: Theory and Practice in Contemporary Anthropology</w:t>
      </w:r>
      <w:r w:rsidRPr="007502AC">
        <w:t>. Chichester: Wiley-Blackwell.</w:t>
      </w:r>
    </w:p>
    <w:p w14:paraId="3C70B5E5" w14:textId="77777777" w:rsidR="007502AC" w:rsidRPr="007502AC" w:rsidRDefault="007502AC" w:rsidP="007502AC">
      <w:pPr>
        <w:pStyle w:val="Bibliography"/>
      </w:pPr>
      <w:r w:rsidRPr="007502AC">
        <w:t xml:space="preserve">Van der Veer, Peter. 2014. “The Value of Comparison.” </w:t>
      </w:r>
      <w:r w:rsidRPr="007502AC">
        <w:rPr>
          <w:i/>
          <w:iCs/>
        </w:rPr>
        <w:t>HAU: Journal of Ethnographic Theory</w:t>
      </w:r>
      <w:r w:rsidRPr="007502AC">
        <w:t xml:space="preserve"> Morgan Lectures Initiative: 1–14.</w:t>
      </w:r>
    </w:p>
    <w:p w14:paraId="4AFEE523" w14:textId="77777777" w:rsidR="007502AC" w:rsidRPr="007502AC" w:rsidRDefault="007502AC" w:rsidP="007502AC">
      <w:pPr>
        <w:pStyle w:val="Bibliography"/>
      </w:pPr>
      <w:r w:rsidRPr="007502AC">
        <w:t xml:space="preserve">———. 2016. </w:t>
      </w:r>
      <w:r w:rsidRPr="007502AC">
        <w:rPr>
          <w:i/>
          <w:iCs/>
        </w:rPr>
        <w:t>The Value of Comparison | Duke University Press</w:t>
      </w:r>
      <w:r w:rsidRPr="007502AC">
        <w:t>. https://www.dukeupress.edu/the-value-of-comparison.</w:t>
      </w:r>
    </w:p>
    <w:p w14:paraId="2FA94C7A" w14:textId="77777777" w:rsidR="007502AC" w:rsidRPr="007502AC" w:rsidRDefault="007502AC" w:rsidP="007502AC">
      <w:pPr>
        <w:pStyle w:val="Bibliography"/>
      </w:pPr>
      <w:r w:rsidRPr="007502AC">
        <w:t xml:space="preserve">Viveiros de Castro, Eduardo. 2004. “Perspectival Anthropology and the Method of Controlled Equivocation.” </w:t>
      </w:r>
      <w:r w:rsidRPr="007502AC">
        <w:rPr>
          <w:i/>
          <w:iCs/>
        </w:rPr>
        <w:t>Tipití (Journal of the Society for the Anthropology of Lowland South America)</w:t>
      </w:r>
      <w:r w:rsidRPr="007502AC">
        <w:t xml:space="preserve"> 2 (1): 3–22.</w:t>
      </w:r>
    </w:p>
    <w:p w14:paraId="30B9451A" w14:textId="12349D82" w:rsidR="007502AC" w:rsidRPr="003C558C" w:rsidRDefault="007502AC" w:rsidP="003C558C">
      <w:pPr>
        <w:pStyle w:val="Bibliography"/>
      </w:pPr>
      <w:r w:rsidRPr="007502AC">
        <w:t xml:space="preserve">Wimsatt, William C. 2007. </w:t>
      </w:r>
      <w:r w:rsidRPr="007502AC">
        <w:rPr>
          <w:i/>
          <w:iCs/>
        </w:rPr>
        <w:t>Re-Engineering Philosophy for Limited Beings</w:t>
      </w:r>
      <w:r w:rsidRPr="007502AC">
        <w:rPr>
          <w:rFonts w:ascii="Calibri" w:eastAsia="Calibri" w:hAnsi="Calibri" w:cs="Calibri"/>
          <w:i/>
          <w:iCs/>
        </w:rPr>
        <w:t> </w:t>
      </w:r>
      <w:r w:rsidRPr="007502AC">
        <w:rPr>
          <w:i/>
          <w:iCs/>
        </w:rPr>
        <w:t>: Piecewise Approximations to Reality</w:t>
      </w:r>
      <w:r w:rsidRPr="007502AC">
        <w:t>. Cambridge, Mass: Harvard University Press.</w:t>
      </w:r>
      <w:bookmarkStart w:id="0" w:name="_GoBack"/>
      <w:bookmarkEnd w:id="0"/>
    </w:p>
    <w:sectPr w:rsidR="007502AC" w:rsidRPr="003C558C" w:rsidSect="00A1404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0F235" w14:textId="77777777" w:rsidR="00217864" w:rsidRDefault="00217864" w:rsidP="007F4EE2">
      <w:r>
        <w:separator/>
      </w:r>
    </w:p>
  </w:endnote>
  <w:endnote w:type="continuationSeparator" w:id="0">
    <w:p w14:paraId="31E6B641" w14:textId="77777777" w:rsidR="00217864" w:rsidRDefault="00217864" w:rsidP="007F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09566" w14:textId="77777777" w:rsidR="00217864" w:rsidRDefault="00217864" w:rsidP="007F4EE2">
      <w:r>
        <w:separator/>
      </w:r>
    </w:p>
  </w:footnote>
  <w:footnote w:type="continuationSeparator" w:id="0">
    <w:p w14:paraId="68547CF7" w14:textId="77777777" w:rsidR="00217864" w:rsidRDefault="00217864" w:rsidP="007F4EE2">
      <w:r>
        <w:continuationSeparator/>
      </w:r>
    </w:p>
  </w:footnote>
  <w:footnote w:id="1">
    <w:p w14:paraId="332D8767" w14:textId="77777777" w:rsidR="00845DFB" w:rsidRDefault="00845DFB">
      <w:pPr>
        <w:pStyle w:val="FootnoteText"/>
      </w:pPr>
      <w:r>
        <w:rPr>
          <w:rStyle w:val="FootnoteReference"/>
        </w:rPr>
        <w:footnoteRef/>
      </w:r>
      <w:r>
        <w:t xml:space="preserve"> what I have elsewhere called ‘frontal comparisons’ </w:t>
      </w:r>
      <w:r>
        <w:rPr>
          <w:noProof/>
        </w:rPr>
        <w:t>(Candea 2016)</w:t>
      </w:r>
    </w:p>
  </w:footnote>
  <w:footnote w:id="2">
    <w:p w14:paraId="74B05381" w14:textId="0DB201CC" w:rsidR="009A5524" w:rsidRDefault="009A5524" w:rsidP="009A5524">
      <w:pPr>
        <w:pStyle w:val="FootnoteText"/>
      </w:pPr>
      <w:r>
        <w:rPr>
          <w:rStyle w:val="FootnoteReference"/>
        </w:rPr>
        <w:footnoteRef/>
      </w:r>
      <w:r>
        <w:t xml:space="preserve"> </w:t>
      </w:r>
      <w:r w:rsidRPr="00CB235B">
        <w:rPr>
          <w:rFonts w:eastAsia="Times New Roman"/>
        </w:rPr>
        <w:t>which in a previous iteration of this argument he called “wholism”</w:t>
      </w:r>
      <w:r>
        <w:rPr>
          <w:rFonts w:eastAsia="Times New Roman"/>
        </w:rPr>
        <w:t xml:space="preserve"> (</w:t>
      </w:r>
      <w:r w:rsidR="005F468B">
        <w:rPr>
          <w:rFonts w:eastAsia="Times New Roman"/>
        </w:rPr>
        <w:t>v</w:t>
      </w:r>
      <w:r>
        <w:rPr>
          <w:rFonts w:eastAsia="Times New Roman"/>
        </w:rPr>
        <w:t>an der Veer 2014)</w:t>
      </w:r>
    </w:p>
  </w:footnote>
  <w:footnote w:id="3">
    <w:p w14:paraId="2B807AF1" w14:textId="00FBA031" w:rsidR="003A228D" w:rsidRDefault="003A228D" w:rsidP="00167210">
      <w:pPr>
        <w:pStyle w:val="FootnoteText"/>
      </w:pPr>
      <w:r>
        <w:rPr>
          <w:rStyle w:val="FootnoteReference"/>
        </w:rPr>
        <w:footnoteRef/>
      </w:r>
      <w:r>
        <w:t xml:space="preserve"> </w:t>
      </w:r>
      <w:r w:rsidR="00164799">
        <w:t xml:space="preserve">For instance: “In my view there is no escaping the fact that a continuing hierarchical mentality prevails in India that prevents care arrangements from being extended to the urban poor. We do not thereby return to a holistic view of an Indian caste system, as in Dumont’s </w:t>
      </w:r>
      <w:r w:rsidR="00164799">
        <w:rPr>
          <w:i/>
        </w:rPr>
        <w:t>Homo Hierarchicus</w:t>
      </w:r>
      <w:r w:rsidR="00164799">
        <w:t xml:space="preserve">, because that would certainly be a wrong perspective on modern India. However, it does imply that turning our back on the significance of hierarchical values in Indian society by focusing on youth culture and media and other manifestations of an Indian cosmopolitanism does not make hierarchy go away.” </w:t>
      </w:r>
      <w:r w:rsidR="00164799">
        <w:rPr>
          <w:noProof/>
        </w:rPr>
        <w:t>(</w:t>
      </w:r>
      <w:r w:rsidR="005F468B">
        <w:rPr>
          <w:noProof/>
        </w:rPr>
        <w:t>v</w:t>
      </w:r>
      <w:r w:rsidR="00164799">
        <w:rPr>
          <w:noProof/>
        </w:rPr>
        <w:t>an der Veer 2016, 139)</w:t>
      </w:r>
      <w:r w:rsidR="00164799">
        <w:t xml:space="preserve">. </w:t>
      </w:r>
      <w:r>
        <w:t xml:space="preserve">Other examples might include caveated generalisations about how </w:t>
      </w:r>
      <w:r w:rsidR="00167210">
        <w:t xml:space="preserve">the </w:t>
      </w:r>
      <w:r>
        <w:t xml:space="preserve">application of concepts of civilisation create exclusion </w:t>
      </w:r>
      <w:r w:rsidR="00167210">
        <w:t>(</w:t>
      </w:r>
      <w:r>
        <w:t>p79</w:t>
      </w:r>
      <w:r w:rsidR="00167210">
        <w:t xml:space="preserve">), or </w:t>
      </w:r>
      <w:r>
        <w:t xml:space="preserve">the potentially universal nature of </w:t>
      </w:r>
      <w:r w:rsidR="00167210">
        <w:t xml:space="preserve">human </w:t>
      </w:r>
      <w:r>
        <w:t xml:space="preserve">indifference </w:t>
      </w:r>
      <w:r w:rsidR="00167210">
        <w:t>(</w:t>
      </w:r>
      <w:r>
        <w:t>p131</w:t>
      </w:r>
      <w:r w:rsidR="00167210">
        <w:t>)</w:t>
      </w:r>
      <w:r w:rsidR="002816AF">
        <w:t>.</w:t>
      </w:r>
    </w:p>
    <w:p w14:paraId="7AF94BC9" w14:textId="77777777" w:rsidR="003A228D" w:rsidRDefault="003A228D">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A4CA8"/>
    <w:multiLevelType w:val="multilevel"/>
    <w:tmpl w:val="362A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CD1FDE"/>
    <w:multiLevelType w:val="multilevel"/>
    <w:tmpl w:val="9D94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9D"/>
    <w:rsid w:val="0002770F"/>
    <w:rsid w:val="00043D7C"/>
    <w:rsid w:val="000876E8"/>
    <w:rsid w:val="000C62A0"/>
    <w:rsid w:val="0012654E"/>
    <w:rsid w:val="0014618F"/>
    <w:rsid w:val="00164799"/>
    <w:rsid w:val="001655EF"/>
    <w:rsid w:val="00167210"/>
    <w:rsid w:val="001740F1"/>
    <w:rsid w:val="001A750F"/>
    <w:rsid w:val="001A7C16"/>
    <w:rsid w:val="001C650B"/>
    <w:rsid w:val="001D6B96"/>
    <w:rsid w:val="001F2B28"/>
    <w:rsid w:val="002142C6"/>
    <w:rsid w:val="00217864"/>
    <w:rsid w:val="00252927"/>
    <w:rsid w:val="00253046"/>
    <w:rsid w:val="002816AF"/>
    <w:rsid w:val="00285452"/>
    <w:rsid w:val="0029327D"/>
    <w:rsid w:val="002E3243"/>
    <w:rsid w:val="002F3929"/>
    <w:rsid w:val="00302187"/>
    <w:rsid w:val="00315816"/>
    <w:rsid w:val="00337DDA"/>
    <w:rsid w:val="00353BBE"/>
    <w:rsid w:val="00361669"/>
    <w:rsid w:val="00367958"/>
    <w:rsid w:val="003A0A6F"/>
    <w:rsid w:val="003A228D"/>
    <w:rsid w:val="003A6381"/>
    <w:rsid w:val="003C558C"/>
    <w:rsid w:val="004232E2"/>
    <w:rsid w:val="00424E43"/>
    <w:rsid w:val="004344AF"/>
    <w:rsid w:val="00435A4A"/>
    <w:rsid w:val="004446E3"/>
    <w:rsid w:val="00457C68"/>
    <w:rsid w:val="004B6CAD"/>
    <w:rsid w:val="004F39FF"/>
    <w:rsid w:val="00532147"/>
    <w:rsid w:val="005B5E3A"/>
    <w:rsid w:val="005B6E7B"/>
    <w:rsid w:val="005D5B25"/>
    <w:rsid w:val="005F468B"/>
    <w:rsid w:val="0060292A"/>
    <w:rsid w:val="006142DD"/>
    <w:rsid w:val="006365F2"/>
    <w:rsid w:val="006A0946"/>
    <w:rsid w:val="006B7969"/>
    <w:rsid w:val="006B7D7B"/>
    <w:rsid w:val="006F4407"/>
    <w:rsid w:val="00705CC4"/>
    <w:rsid w:val="00743DFB"/>
    <w:rsid w:val="007502AC"/>
    <w:rsid w:val="00753849"/>
    <w:rsid w:val="007A5EEE"/>
    <w:rsid w:val="007B31C0"/>
    <w:rsid w:val="007B5019"/>
    <w:rsid w:val="007F4EE2"/>
    <w:rsid w:val="00810F31"/>
    <w:rsid w:val="00845DFB"/>
    <w:rsid w:val="00870833"/>
    <w:rsid w:val="008C4A53"/>
    <w:rsid w:val="008D06BE"/>
    <w:rsid w:val="009972A8"/>
    <w:rsid w:val="009A5524"/>
    <w:rsid w:val="009D1011"/>
    <w:rsid w:val="009E23AB"/>
    <w:rsid w:val="009E4C1C"/>
    <w:rsid w:val="00A031EA"/>
    <w:rsid w:val="00A1404D"/>
    <w:rsid w:val="00A26C10"/>
    <w:rsid w:val="00A57D00"/>
    <w:rsid w:val="00A715A3"/>
    <w:rsid w:val="00A93218"/>
    <w:rsid w:val="00AA18BD"/>
    <w:rsid w:val="00AB350E"/>
    <w:rsid w:val="00AB36BD"/>
    <w:rsid w:val="00AC2242"/>
    <w:rsid w:val="00AC62E2"/>
    <w:rsid w:val="00AC7C8E"/>
    <w:rsid w:val="00B07621"/>
    <w:rsid w:val="00B20ED4"/>
    <w:rsid w:val="00B30FE6"/>
    <w:rsid w:val="00B316C2"/>
    <w:rsid w:val="00B52920"/>
    <w:rsid w:val="00B71C9D"/>
    <w:rsid w:val="00BB2585"/>
    <w:rsid w:val="00BD6D9D"/>
    <w:rsid w:val="00CB235B"/>
    <w:rsid w:val="00CC2A3F"/>
    <w:rsid w:val="00D45342"/>
    <w:rsid w:val="00D74D43"/>
    <w:rsid w:val="00DE1C9B"/>
    <w:rsid w:val="00DE3C55"/>
    <w:rsid w:val="00E02802"/>
    <w:rsid w:val="00E71A4E"/>
    <w:rsid w:val="00E740A4"/>
    <w:rsid w:val="00EF03E0"/>
    <w:rsid w:val="00F9614E"/>
    <w:rsid w:val="00FC42DA"/>
    <w:rsid w:val="00FC4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6913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740F1"/>
    <w:pPr>
      <w:widowControl w:val="0"/>
      <w:autoSpaceDE w:val="0"/>
      <w:autoSpaceDN w:val="0"/>
      <w:adjustRightInd w:val="0"/>
      <w:ind w:firstLine="360"/>
      <w:jc w:val="both"/>
    </w:pPr>
    <w:rPr>
      <w:rFonts w:ascii="Garamond" w:eastAsia="Arial Unicode MS"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1740F1"/>
    <w:pPr>
      <w:ind w:left="720" w:hanging="720"/>
    </w:pPr>
  </w:style>
  <w:style w:type="character" w:styleId="EndnoteReference">
    <w:name w:val="endnote reference"/>
    <w:basedOn w:val="DefaultParagraphFont"/>
    <w:uiPriority w:val="99"/>
    <w:unhideWhenUsed/>
    <w:rsid w:val="001740F1"/>
    <w:rPr>
      <w:vertAlign w:val="superscript"/>
    </w:rPr>
  </w:style>
  <w:style w:type="paragraph" w:styleId="EndnoteText">
    <w:name w:val="endnote text"/>
    <w:basedOn w:val="Normal"/>
    <w:link w:val="EndnoteTextChar"/>
    <w:uiPriority w:val="99"/>
    <w:unhideWhenUsed/>
    <w:rsid w:val="001740F1"/>
  </w:style>
  <w:style w:type="character" w:customStyle="1" w:styleId="EndnoteTextChar">
    <w:name w:val="Endnote Text Char"/>
    <w:basedOn w:val="DefaultParagraphFont"/>
    <w:link w:val="EndnoteText"/>
    <w:uiPriority w:val="99"/>
    <w:rsid w:val="001740F1"/>
    <w:rPr>
      <w:rFonts w:ascii="Garamond" w:eastAsia="Arial Unicode MS" w:hAnsi="Garamond" w:cs="Times New Roman"/>
    </w:rPr>
  </w:style>
  <w:style w:type="character" w:styleId="FootnoteReference">
    <w:name w:val="footnote reference"/>
    <w:basedOn w:val="DefaultParagraphFont"/>
    <w:uiPriority w:val="99"/>
    <w:unhideWhenUsed/>
    <w:rsid w:val="001740F1"/>
    <w:rPr>
      <w:vertAlign w:val="superscript"/>
    </w:rPr>
  </w:style>
  <w:style w:type="paragraph" w:styleId="FootnoteText">
    <w:name w:val="footnote text"/>
    <w:basedOn w:val="Normal"/>
    <w:link w:val="FootnoteTextChar"/>
    <w:uiPriority w:val="99"/>
    <w:unhideWhenUsed/>
    <w:rsid w:val="001740F1"/>
  </w:style>
  <w:style w:type="character" w:customStyle="1" w:styleId="FootnoteTextChar">
    <w:name w:val="Footnote Text Char"/>
    <w:basedOn w:val="DefaultParagraphFont"/>
    <w:link w:val="FootnoteText"/>
    <w:uiPriority w:val="99"/>
    <w:rsid w:val="001740F1"/>
    <w:rPr>
      <w:rFonts w:ascii="Garamond" w:eastAsia="Arial Unicode MS" w:hAnsi="Garamond" w:cs="Times New Roman"/>
    </w:rPr>
  </w:style>
  <w:style w:type="paragraph" w:styleId="IntenseQuote">
    <w:name w:val="Intense Quote"/>
    <w:basedOn w:val="Normal"/>
    <w:next w:val="Normal"/>
    <w:link w:val="IntenseQuoteChar"/>
    <w:uiPriority w:val="30"/>
    <w:qFormat/>
    <w:rsid w:val="001740F1"/>
    <w:pPr>
      <w:jc w:val="right"/>
    </w:pPr>
    <w:rPr>
      <w:i/>
      <w:sz w:val="22"/>
      <w:lang w:val="en-US"/>
    </w:rPr>
  </w:style>
  <w:style w:type="character" w:customStyle="1" w:styleId="IntenseQuoteChar">
    <w:name w:val="Intense Quote Char"/>
    <w:basedOn w:val="DefaultParagraphFont"/>
    <w:link w:val="IntenseQuote"/>
    <w:uiPriority w:val="30"/>
    <w:rsid w:val="001740F1"/>
    <w:rPr>
      <w:rFonts w:ascii="Garamond" w:eastAsia="Arial Unicode MS" w:hAnsi="Garamond" w:cs="Times New Roman"/>
      <w:i/>
      <w:sz w:val="22"/>
      <w:lang w:val="en-US"/>
    </w:rPr>
  </w:style>
  <w:style w:type="paragraph" w:styleId="Quote">
    <w:name w:val="Quote"/>
    <w:basedOn w:val="Normal"/>
    <w:next w:val="Normal"/>
    <w:link w:val="QuoteChar"/>
    <w:uiPriority w:val="29"/>
    <w:qFormat/>
    <w:rsid w:val="001740F1"/>
    <w:pPr>
      <w:tabs>
        <w:tab w:val="left" w:pos="720"/>
        <w:tab w:val="left" w:pos="1440"/>
        <w:tab w:val="left" w:pos="2160"/>
        <w:tab w:val="left" w:pos="2880"/>
        <w:tab w:val="left" w:pos="3600"/>
        <w:tab w:val="left" w:pos="4320"/>
      </w:tabs>
      <w:ind w:left="360" w:firstLine="0"/>
    </w:pPr>
    <w:rPr>
      <w:rFonts w:cs="Cochin"/>
      <w:kern w:val="1"/>
    </w:rPr>
  </w:style>
  <w:style w:type="character" w:customStyle="1" w:styleId="QuoteChar">
    <w:name w:val="Quote Char"/>
    <w:basedOn w:val="DefaultParagraphFont"/>
    <w:link w:val="Quote"/>
    <w:uiPriority w:val="29"/>
    <w:rsid w:val="001740F1"/>
    <w:rPr>
      <w:rFonts w:ascii="Garamond" w:eastAsia="Arial Unicode MS" w:hAnsi="Garamond" w:cs="Cochin"/>
      <w:kern w:val="1"/>
    </w:rPr>
  </w:style>
  <w:style w:type="paragraph" w:styleId="NormalWeb">
    <w:name w:val="Normal (Web)"/>
    <w:basedOn w:val="Normal"/>
    <w:uiPriority w:val="99"/>
    <w:semiHidden/>
    <w:unhideWhenUsed/>
    <w:rsid w:val="002F3929"/>
    <w:rPr>
      <w:rFonts w:ascii="Times New Roman" w:hAnsi="Times New Roman"/>
    </w:rPr>
  </w:style>
  <w:style w:type="character" w:styleId="CommentReference">
    <w:name w:val="annotation reference"/>
    <w:basedOn w:val="DefaultParagraphFont"/>
    <w:uiPriority w:val="99"/>
    <w:semiHidden/>
    <w:unhideWhenUsed/>
    <w:rsid w:val="001D6B96"/>
    <w:rPr>
      <w:sz w:val="18"/>
      <w:szCs w:val="18"/>
    </w:rPr>
  </w:style>
  <w:style w:type="paragraph" w:styleId="CommentText">
    <w:name w:val="annotation text"/>
    <w:basedOn w:val="Normal"/>
    <w:link w:val="CommentTextChar"/>
    <w:uiPriority w:val="99"/>
    <w:semiHidden/>
    <w:unhideWhenUsed/>
    <w:rsid w:val="001D6B96"/>
  </w:style>
  <w:style w:type="character" w:customStyle="1" w:styleId="CommentTextChar">
    <w:name w:val="Comment Text Char"/>
    <w:basedOn w:val="DefaultParagraphFont"/>
    <w:link w:val="CommentText"/>
    <w:uiPriority w:val="99"/>
    <w:semiHidden/>
    <w:rsid w:val="001D6B96"/>
    <w:rPr>
      <w:rFonts w:ascii="Garamond" w:eastAsia="Arial Unicode MS" w:hAnsi="Garamond" w:cs="Times New Roman"/>
    </w:rPr>
  </w:style>
  <w:style w:type="paragraph" w:styleId="CommentSubject">
    <w:name w:val="annotation subject"/>
    <w:basedOn w:val="CommentText"/>
    <w:next w:val="CommentText"/>
    <w:link w:val="CommentSubjectChar"/>
    <w:uiPriority w:val="99"/>
    <w:semiHidden/>
    <w:unhideWhenUsed/>
    <w:rsid w:val="001D6B96"/>
    <w:rPr>
      <w:b/>
      <w:bCs/>
      <w:sz w:val="20"/>
      <w:szCs w:val="20"/>
    </w:rPr>
  </w:style>
  <w:style w:type="character" w:customStyle="1" w:styleId="CommentSubjectChar">
    <w:name w:val="Comment Subject Char"/>
    <w:basedOn w:val="CommentTextChar"/>
    <w:link w:val="CommentSubject"/>
    <w:uiPriority w:val="99"/>
    <w:semiHidden/>
    <w:rsid w:val="001D6B96"/>
    <w:rPr>
      <w:rFonts w:ascii="Garamond" w:eastAsia="Arial Unicode MS" w:hAnsi="Garamond" w:cs="Times New Roman"/>
      <w:b/>
      <w:bCs/>
      <w:sz w:val="20"/>
      <w:szCs w:val="20"/>
    </w:rPr>
  </w:style>
  <w:style w:type="paragraph" w:styleId="BalloonText">
    <w:name w:val="Balloon Text"/>
    <w:basedOn w:val="Normal"/>
    <w:link w:val="BalloonTextChar"/>
    <w:uiPriority w:val="99"/>
    <w:semiHidden/>
    <w:unhideWhenUsed/>
    <w:rsid w:val="001D6B9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D6B96"/>
    <w:rPr>
      <w:rFonts w:ascii="Times New Roman" w:eastAsia="Arial Unicode MS"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6894">
      <w:bodyDiv w:val="1"/>
      <w:marLeft w:val="0"/>
      <w:marRight w:val="0"/>
      <w:marTop w:val="0"/>
      <w:marBottom w:val="0"/>
      <w:divBdr>
        <w:top w:val="none" w:sz="0" w:space="0" w:color="auto"/>
        <w:left w:val="none" w:sz="0" w:space="0" w:color="auto"/>
        <w:bottom w:val="none" w:sz="0" w:space="0" w:color="auto"/>
        <w:right w:val="none" w:sz="0" w:space="0" w:color="auto"/>
      </w:divBdr>
    </w:div>
    <w:div w:id="113057835">
      <w:bodyDiv w:val="1"/>
      <w:marLeft w:val="0"/>
      <w:marRight w:val="0"/>
      <w:marTop w:val="0"/>
      <w:marBottom w:val="0"/>
      <w:divBdr>
        <w:top w:val="none" w:sz="0" w:space="0" w:color="auto"/>
        <w:left w:val="none" w:sz="0" w:space="0" w:color="auto"/>
        <w:bottom w:val="none" w:sz="0" w:space="0" w:color="auto"/>
        <w:right w:val="none" w:sz="0" w:space="0" w:color="auto"/>
      </w:divBdr>
    </w:div>
    <w:div w:id="126631423">
      <w:bodyDiv w:val="1"/>
      <w:marLeft w:val="0"/>
      <w:marRight w:val="0"/>
      <w:marTop w:val="0"/>
      <w:marBottom w:val="0"/>
      <w:divBdr>
        <w:top w:val="none" w:sz="0" w:space="0" w:color="auto"/>
        <w:left w:val="none" w:sz="0" w:space="0" w:color="auto"/>
        <w:bottom w:val="none" w:sz="0" w:space="0" w:color="auto"/>
        <w:right w:val="none" w:sz="0" w:space="0" w:color="auto"/>
      </w:divBdr>
    </w:div>
    <w:div w:id="230702864">
      <w:bodyDiv w:val="1"/>
      <w:marLeft w:val="0"/>
      <w:marRight w:val="0"/>
      <w:marTop w:val="0"/>
      <w:marBottom w:val="0"/>
      <w:divBdr>
        <w:top w:val="none" w:sz="0" w:space="0" w:color="auto"/>
        <w:left w:val="none" w:sz="0" w:space="0" w:color="auto"/>
        <w:bottom w:val="none" w:sz="0" w:space="0" w:color="auto"/>
        <w:right w:val="none" w:sz="0" w:space="0" w:color="auto"/>
      </w:divBdr>
    </w:div>
    <w:div w:id="333462348">
      <w:bodyDiv w:val="1"/>
      <w:marLeft w:val="0"/>
      <w:marRight w:val="0"/>
      <w:marTop w:val="0"/>
      <w:marBottom w:val="0"/>
      <w:divBdr>
        <w:top w:val="none" w:sz="0" w:space="0" w:color="auto"/>
        <w:left w:val="none" w:sz="0" w:space="0" w:color="auto"/>
        <w:bottom w:val="none" w:sz="0" w:space="0" w:color="auto"/>
        <w:right w:val="none" w:sz="0" w:space="0" w:color="auto"/>
      </w:divBdr>
    </w:div>
    <w:div w:id="351540216">
      <w:bodyDiv w:val="1"/>
      <w:marLeft w:val="0"/>
      <w:marRight w:val="0"/>
      <w:marTop w:val="0"/>
      <w:marBottom w:val="0"/>
      <w:divBdr>
        <w:top w:val="none" w:sz="0" w:space="0" w:color="auto"/>
        <w:left w:val="none" w:sz="0" w:space="0" w:color="auto"/>
        <w:bottom w:val="none" w:sz="0" w:space="0" w:color="auto"/>
        <w:right w:val="none" w:sz="0" w:space="0" w:color="auto"/>
      </w:divBdr>
    </w:div>
    <w:div w:id="524945268">
      <w:bodyDiv w:val="1"/>
      <w:marLeft w:val="0"/>
      <w:marRight w:val="0"/>
      <w:marTop w:val="0"/>
      <w:marBottom w:val="0"/>
      <w:divBdr>
        <w:top w:val="none" w:sz="0" w:space="0" w:color="auto"/>
        <w:left w:val="none" w:sz="0" w:space="0" w:color="auto"/>
        <w:bottom w:val="none" w:sz="0" w:space="0" w:color="auto"/>
        <w:right w:val="none" w:sz="0" w:space="0" w:color="auto"/>
      </w:divBdr>
    </w:div>
    <w:div w:id="647781516">
      <w:bodyDiv w:val="1"/>
      <w:marLeft w:val="0"/>
      <w:marRight w:val="0"/>
      <w:marTop w:val="0"/>
      <w:marBottom w:val="0"/>
      <w:divBdr>
        <w:top w:val="none" w:sz="0" w:space="0" w:color="auto"/>
        <w:left w:val="none" w:sz="0" w:space="0" w:color="auto"/>
        <w:bottom w:val="none" w:sz="0" w:space="0" w:color="auto"/>
        <w:right w:val="none" w:sz="0" w:space="0" w:color="auto"/>
      </w:divBdr>
    </w:div>
    <w:div w:id="1015502938">
      <w:bodyDiv w:val="1"/>
      <w:marLeft w:val="0"/>
      <w:marRight w:val="0"/>
      <w:marTop w:val="0"/>
      <w:marBottom w:val="0"/>
      <w:divBdr>
        <w:top w:val="none" w:sz="0" w:space="0" w:color="auto"/>
        <w:left w:val="none" w:sz="0" w:space="0" w:color="auto"/>
        <w:bottom w:val="none" w:sz="0" w:space="0" w:color="auto"/>
        <w:right w:val="none" w:sz="0" w:space="0" w:color="auto"/>
      </w:divBdr>
    </w:div>
    <w:div w:id="1088035385">
      <w:bodyDiv w:val="1"/>
      <w:marLeft w:val="0"/>
      <w:marRight w:val="0"/>
      <w:marTop w:val="0"/>
      <w:marBottom w:val="0"/>
      <w:divBdr>
        <w:top w:val="none" w:sz="0" w:space="0" w:color="auto"/>
        <w:left w:val="none" w:sz="0" w:space="0" w:color="auto"/>
        <w:bottom w:val="none" w:sz="0" w:space="0" w:color="auto"/>
        <w:right w:val="none" w:sz="0" w:space="0" w:color="auto"/>
      </w:divBdr>
    </w:div>
    <w:div w:id="1363170179">
      <w:bodyDiv w:val="1"/>
      <w:marLeft w:val="0"/>
      <w:marRight w:val="0"/>
      <w:marTop w:val="0"/>
      <w:marBottom w:val="0"/>
      <w:divBdr>
        <w:top w:val="none" w:sz="0" w:space="0" w:color="auto"/>
        <w:left w:val="none" w:sz="0" w:space="0" w:color="auto"/>
        <w:bottom w:val="none" w:sz="0" w:space="0" w:color="auto"/>
        <w:right w:val="none" w:sz="0" w:space="0" w:color="auto"/>
      </w:divBdr>
    </w:div>
    <w:div w:id="1609044535">
      <w:bodyDiv w:val="1"/>
      <w:marLeft w:val="0"/>
      <w:marRight w:val="0"/>
      <w:marTop w:val="0"/>
      <w:marBottom w:val="0"/>
      <w:divBdr>
        <w:top w:val="none" w:sz="0" w:space="0" w:color="auto"/>
        <w:left w:val="none" w:sz="0" w:space="0" w:color="auto"/>
        <w:bottom w:val="none" w:sz="0" w:space="0" w:color="auto"/>
        <w:right w:val="none" w:sz="0" w:space="0" w:color="auto"/>
      </w:divBdr>
    </w:div>
    <w:div w:id="1690138103">
      <w:bodyDiv w:val="1"/>
      <w:marLeft w:val="0"/>
      <w:marRight w:val="0"/>
      <w:marTop w:val="0"/>
      <w:marBottom w:val="0"/>
      <w:divBdr>
        <w:top w:val="none" w:sz="0" w:space="0" w:color="auto"/>
        <w:left w:val="none" w:sz="0" w:space="0" w:color="auto"/>
        <w:bottom w:val="none" w:sz="0" w:space="0" w:color="auto"/>
        <w:right w:val="none" w:sz="0" w:space="0" w:color="auto"/>
      </w:divBdr>
    </w:div>
    <w:div w:id="1788574253">
      <w:bodyDiv w:val="1"/>
      <w:marLeft w:val="0"/>
      <w:marRight w:val="0"/>
      <w:marTop w:val="0"/>
      <w:marBottom w:val="0"/>
      <w:divBdr>
        <w:top w:val="none" w:sz="0" w:space="0" w:color="auto"/>
        <w:left w:val="none" w:sz="0" w:space="0" w:color="auto"/>
        <w:bottom w:val="none" w:sz="0" w:space="0" w:color="auto"/>
        <w:right w:val="none" w:sz="0" w:space="0" w:color="auto"/>
      </w:divBdr>
    </w:div>
    <w:div w:id="1961759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1714</Words>
  <Characters>9774</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Matei Candea</dc:creator>
  <cp:keywords/>
  <dc:description/>
  <cp:lastModifiedBy>Dr Matei Candea</cp:lastModifiedBy>
  <cp:revision>5</cp:revision>
  <dcterms:created xsi:type="dcterms:W3CDTF">2017-03-07T05:26:00Z</dcterms:created>
  <dcterms:modified xsi:type="dcterms:W3CDTF">2017-03-07T05:31:00Z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id="82L3FfG8"/&gt;&lt;style id="http://www.zotero.org/styles/chicago-author-date" locale="en-US"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ies>
</file>