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087F" w14:textId="77777777" w:rsidR="009246AD" w:rsidRPr="00A2207F" w:rsidRDefault="007F5D13" w:rsidP="00AB34C5">
      <w:pPr>
        <w:pStyle w:val="BATitle"/>
        <w:jc w:val="left"/>
      </w:pPr>
      <w:bookmarkStart w:id="0" w:name="_GoBack"/>
      <w:bookmarkEnd w:id="0"/>
      <w:r w:rsidRPr="00A2207F">
        <w:t>A nature-inspired conjugated polymer for high performance transistors and solar cells</w:t>
      </w:r>
    </w:p>
    <w:p w14:paraId="6BA0C5B4" w14:textId="44F8B6FA" w:rsidR="00C27162" w:rsidRPr="00A2207F" w:rsidRDefault="00C27162" w:rsidP="00AB34C5">
      <w:pPr>
        <w:pStyle w:val="BCAuthorAddress"/>
        <w:jc w:val="left"/>
        <w:rPr>
          <w:i/>
        </w:rPr>
      </w:pPr>
      <w:r w:rsidRPr="00A2207F">
        <w:rPr>
          <w:i/>
        </w:rPr>
        <w:t>Kealan J. Fallon</w:t>
      </w:r>
      <w:r w:rsidR="004C6876" w:rsidRPr="00A2207F">
        <w:rPr>
          <w:rFonts w:cs="Times"/>
          <w:i/>
          <w:vertAlign w:val="superscript"/>
        </w:rPr>
        <w:t>†</w:t>
      </w:r>
      <w:r w:rsidRPr="00A2207F">
        <w:rPr>
          <w:i/>
        </w:rPr>
        <w:t>,</w:t>
      </w:r>
      <w:r w:rsidR="003E15CD" w:rsidRPr="00A2207F">
        <w:rPr>
          <w:i/>
        </w:rPr>
        <w:t xml:space="preserve"> </w:t>
      </w:r>
      <w:r w:rsidR="003E15CD" w:rsidRPr="00A2207F">
        <w:rPr>
          <w:i/>
        </w:rPr>
        <w:t>Nilushi</w:t>
      </w:r>
      <w:r w:rsidRPr="00A2207F">
        <w:rPr>
          <w:i/>
        </w:rPr>
        <w:t xml:space="preserve"> </w:t>
      </w:r>
      <w:r w:rsidR="003E15CD" w:rsidRPr="00A2207F">
        <w:rPr>
          <w:i/>
        </w:rPr>
        <w:t>Wijeyasinghe</w:t>
      </w:r>
      <w:r w:rsidR="004C6876" w:rsidRPr="00A2207F">
        <w:rPr>
          <w:rFonts w:cs="Times"/>
          <w:i/>
          <w:vertAlign w:val="superscript"/>
        </w:rPr>
        <w:t>‡</w:t>
      </w:r>
      <w:r w:rsidR="003E15CD" w:rsidRPr="00A2207F">
        <w:rPr>
          <w:i/>
        </w:rPr>
        <w:t xml:space="preserve">, </w:t>
      </w:r>
      <w:r w:rsidRPr="00A2207F">
        <w:rPr>
          <w:i/>
        </w:rPr>
        <w:t>Nir Yaacobi-Gross</w:t>
      </w:r>
      <w:r w:rsidR="004C6876" w:rsidRPr="00A2207F">
        <w:rPr>
          <w:rFonts w:cs="Times"/>
          <w:i/>
          <w:vertAlign w:val="superscript"/>
        </w:rPr>
        <w:t>‡</w:t>
      </w:r>
      <w:r w:rsidRPr="00A2207F">
        <w:rPr>
          <w:i/>
        </w:rPr>
        <w:t>, Raja S. Ashraf</w:t>
      </w:r>
      <w:r w:rsidR="004C6876" w:rsidRPr="00A2207F">
        <w:rPr>
          <w:rFonts w:cs="Times"/>
          <w:i/>
          <w:vertAlign w:val="superscript"/>
        </w:rPr>
        <w:t>‡</w:t>
      </w:r>
      <w:r w:rsidRPr="00A2207F">
        <w:rPr>
          <w:i/>
        </w:rPr>
        <w:t>, David Freeman</w:t>
      </w:r>
      <w:r w:rsidR="004C6876" w:rsidRPr="00A2207F">
        <w:rPr>
          <w:rFonts w:cs="Times"/>
          <w:i/>
          <w:vertAlign w:val="superscript"/>
        </w:rPr>
        <w:t>†</w:t>
      </w:r>
      <w:r w:rsidRPr="00A2207F">
        <w:rPr>
          <w:i/>
        </w:rPr>
        <w:t>, Robert G. Palgrave</w:t>
      </w:r>
      <w:r w:rsidR="004C6876" w:rsidRPr="00A2207F">
        <w:rPr>
          <w:rFonts w:cs="Times"/>
          <w:i/>
          <w:vertAlign w:val="superscript"/>
        </w:rPr>
        <w:t>†</w:t>
      </w:r>
      <w:r w:rsidRPr="00A2207F">
        <w:rPr>
          <w:i/>
        </w:rPr>
        <w:t>, Mohammed Al-Hashimi</w:t>
      </w:r>
      <w:r w:rsidR="004C6876" w:rsidRPr="00A2207F">
        <w:rPr>
          <w:rFonts w:cs="Times"/>
          <w:i/>
          <w:vertAlign w:val="superscript"/>
        </w:rPr>
        <w:t>║</w:t>
      </w:r>
      <w:r w:rsidRPr="00A2207F">
        <w:rPr>
          <w:i/>
        </w:rPr>
        <w:t>, Tobin J. Marks</w:t>
      </w:r>
      <w:r w:rsidR="004C6876" w:rsidRPr="00A2207F">
        <w:rPr>
          <w:rFonts w:cs="Times"/>
          <w:i/>
          <w:vertAlign w:val="superscript"/>
        </w:rPr>
        <w:t>§</w:t>
      </w:r>
      <w:r w:rsidRPr="00A2207F">
        <w:rPr>
          <w:i/>
        </w:rPr>
        <w:t>, Iain McCulloch</w:t>
      </w:r>
      <w:r w:rsidR="004C6876" w:rsidRPr="00A2207F">
        <w:rPr>
          <w:rFonts w:cs="Times"/>
          <w:i/>
          <w:vertAlign w:val="superscript"/>
        </w:rPr>
        <w:t>‡</w:t>
      </w:r>
      <w:r w:rsidRPr="00A2207F">
        <w:rPr>
          <w:i/>
        </w:rPr>
        <w:t>, Thomas D. Anthopoulos</w:t>
      </w:r>
      <w:r w:rsidR="004C6876" w:rsidRPr="00A2207F">
        <w:rPr>
          <w:rFonts w:cs="Times"/>
          <w:i/>
          <w:vertAlign w:val="superscript"/>
        </w:rPr>
        <w:t>‡</w:t>
      </w:r>
      <w:r w:rsidRPr="00A2207F">
        <w:rPr>
          <w:i/>
        </w:rPr>
        <w:t xml:space="preserve"> and Hugo Bronstein</w:t>
      </w:r>
      <w:r w:rsidR="004C6876" w:rsidRPr="00A2207F">
        <w:rPr>
          <w:rFonts w:cs="Times"/>
          <w:i/>
          <w:vertAlign w:val="superscript"/>
        </w:rPr>
        <w:t>†</w:t>
      </w:r>
      <w:r w:rsidRPr="00A2207F">
        <w:rPr>
          <w:i/>
        </w:rPr>
        <w:t>*</w:t>
      </w:r>
    </w:p>
    <w:p w14:paraId="1B628BBA" w14:textId="682A85CA" w:rsidR="004C6876" w:rsidRPr="00A2207F" w:rsidRDefault="004C6876" w:rsidP="005B6BD0">
      <w:pPr>
        <w:pStyle w:val="BCAuthorAddress"/>
      </w:pPr>
      <w:r w:rsidRPr="00A2207F">
        <w:rPr>
          <w:rFonts w:cs="Times"/>
          <w:i/>
          <w:vertAlign w:val="superscript"/>
        </w:rPr>
        <w:t>†</w:t>
      </w:r>
      <w:r w:rsidRPr="00A2207F">
        <w:t>Department of Chemistry, Christopher Ingold Building, University College London, London WC1H 0AJ, U.K.</w:t>
      </w:r>
    </w:p>
    <w:p w14:paraId="2E972587" w14:textId="5916C2BD" w:rsidR="004C6876" w:rsidRPr="00A2207F" w:rsidRDefault="004C6876" w:rsidP="005B6BD0">
      <w:pPr>
        <w:pStyle w:val="BCAuthorAddress"/>
      </w:pPr>
      <w:r w:rsidRPr="00A2207F">
        <w:rPr>
          <w:rFonts w:cs="Times"/>
          <w:i/>
          <w:vertAlign w:val="superscript"/>
        </w:rPr>
        <w:t>‡</w:t>
      </w:r>
      <w:r w:rsidRPr="00A2207F">
        <w:t>Centre for Plastic Electronics, Imperial College London, London, SW7 2AZ</w:t>
      </w:r>
      <w:r w:rsidRPr="00A2207F">
        <w:t>, UK</w:t>
      </w:r>
    </w:p>
    <w:p w14:paraId="77878667" w14:textId="600E5179" w:rsidR="004C6876" w:rsidRPr="00A2207F" w:rsidRDefault="004C6876" w:rsidP="005B6BD0">
      <w:pPr>
        <w:pStyle w:val="BCAuthorAddress"/>
      </w:pPr>
      <w:r w:rsidRPr="00A2207F">
        <w:rPr>
          <w:rFonts w:cs="Times"/>
          <w:i/>
          <w:vertAlign w:val="superscript"/>
        </w:rPr>
        <w:t>║</w:t>
      </w:r>
      <w:r w:rsidRPr="00A2207F">
        <w:t>Texas A&amp;M University at Qatar, PO Box 23874 | Doha, Qatar, 126 Texas A&amp;M Engineering Building | Education City</w:t>
      </w:r>
    </w:p>
    <w:p w14:paraId="368D7BE8" w14:textId="7376A931" w:rsidR="004C6876" w:rsidRPr="00A2207F" w:rsidRDefault="004C6876" w:rsidP="005B6BD0">
      <w:pPr>
        <w:pStyle w:val="BCAuthorAddress"/>
      </w:pPr>
      <w:r w:rsidRPr="00A2207F">
        <w:rPr>
          <w:rFonts w:cs="Times"/>
          <w:i/>
          <w:vertAlign w:val="superscript"/>
        </w:rPr>
        <w:t>§</w:t>
      </w:r>
      <w:r w:rsidRPr="00A2207F">
        <w:t>Department of Chemistry, the Materials Research Center, and the Argonne-Northwestern Solar Energy Research Center, Northwestern University, 2145 Sheridan Road, Evanston, Illinois 60208, USA</w:t>
      </w:r>
    </w:p>
    <w:p w14:paraId="12092079" w14:textId="77777777" w:rsidR="00F53753" w:rsidRPr="00A2207F" w:rsidRDefault="00F53753" w:rsidP="00F53753">
      <w:pPr>
        <w:pStyle w:val="TAMainText"/>
      </w:pPr>
    </w:p>
    <w:p w14:paraId="032F81CD" w14:textId="77777777" w:rsidR="000E6335" w:rsidRPr="00A2207F" w:rsidRDefault="000E6335" w:rsidP="006140B3">
      <w:pPr>
        <w:pStyle w:val="TAMainText"/>
        <w:ind w:firstLine="0"/>
        <w:rPr>
          <w:b/>
        </w:rPr>
      </w:pPr>
      <w:r w:rsidRPr="00A2207F">
        <w:rPr>
          <w:b/>
        </w:rPr>
        <w:t>Abstract</w:t>
      </w:r>
    </w:p>
    <w:p w14:paraId="50933FA8" w14:textId="7BDAA1EA" w:rsidR="000E6335" w:rsidRPr="00A2207F" w:rsidRDefault="000E6335" w:rsidP="000E6335">
      <w:pPr>
        <w:pStyle w:val="TAMainText"/>
        <w:ind w:firstLine="0"/>
      </w:pPr>
      <w:r w:rsidRPr="00A2207F">
        <w:t>A novel, highly soluble chromophore for use in organic electronics based on an indigoid structure is reported. Co-</w:t>
      </w:r>
      <w:r w:rsidR="00DA5CB1" w:rsidRPr="00A2207F">
        <w:t>polymerization</w:t>
      </w:r>
      <w:r w:rsidRPr="00A2207F">
        <w:t xml:space="preserve"> with thiophene affords an extremely narrow band-gap polymer with a maximum absorption at ~800 nm. The novel polymer exhibits high crystallinity, and high, </w:t>
      </w:r>
      <w:r w:rsidRPr="00A2207F">
        <w:lastRenderedPageBreak/>
        <w:t>ambipolar transport in OFET devices of ~0.</w:t>
      </w:r>
      <w:r w:rsidR="000F47E9" w:rsidRPr="00A2207F">
        <w:t>23</w:t>
      </w:r>
      <w:r w:rsidRPr="00A2207F">
        <w:t xml:space="preserve"> cm</w:t>
      </w:r>
      <w:r w:rsidRPr="00A2207F">
        <w:rPr>
          <w:vertAlign w:val="superscript"/>
        </w:rPr>
        <w:t xml:space="preserve">2 </w:t>
      </w:r>
      <w:r w:rsidRPr="00A2207F">
        <w:t>V</w:t>
      </w:r>
      <w:r w:rsidRPr="00A2207F">
        <w:rPr>
          <w:vertAlign w:val="superscript"/>
        </w:rPr>
        <w:t xml:space="preserve">-1 </w:t>
      </w:r>
      <w:r w:rsidRPr="00A2207F">
        <w:t>s</w:t>
      </w:r>
      <w:r w:rsidRPr="00A2207F">
        <w:rPr>
          <w:vertAlign w:val="superscript"/>
        </w:rPr>
        <w:t>-1</w:t>
      </w:r>
      <w:r w:rsidRPr="00A2207F">
        <w:t xml:space="preserve"> for holes and</w:t>
      </w:r>
      <w:r w:rsidR="000F47E9" w:rsidRPr="00A2207F">
        <w:t xml:space="preserve"> 0.48</w:t>
      </w:r>
      <w:r w:rsidRPr="00A2207F">
        <w:t xml:space="preserve"> </w:t>
      </w:r>
      <w:r w:rsidR="000F47E9" w:rsidRPr="00A2207F">
        <w:t>cm</w:t>
      </w:r>
      <w:r w:rsidR="000F47E9" w:rsidRPr="00A2207F">
        <w:rPr>
          <w:vertAlign w:val="superscript"/>
        </w:rPr>
        <w:t xml:space="preserve">2 </w:t>
      </w:r>
      <w:r w:rsidR="000F47E9" w:rsidRPr="00A2207F">
        <w:t>V</w:t>
      </w:r>
      <w:r w:rsidR="000F47E9" w:rsidRPr="00A2207F">
        <w:rPr>
          <w:vertAlign w:val="superscript"/>
        </w:rPr>
        <w:t xml:space="preserve">-1 </w:t>
      </w:r>
      <w:r w:rsidR="000F47E9" w:rsidRPr="00A2207F">
        <w:t>s</w:t>
      </w:r>
      <w:r w:rsidR="000F47E9" w:rsidRPr="00A2207F">
        <w:rPr>
          <w:vertAlign w:val="superscript"/>
        </w:rPr>
        <w:t>-1</w:t>
      </w:r>
      <w:r w:rsidR="000F47E9" w:rsidRPr="00A2207F">
        <w:t xml:space="preserve"> </w:t>
      </w:r>
      <w:r w:rsidR="000F47E9" w:rsidRPr="00A2207F">
        <w:t xml:space="preserve">for </w:t>
      </w:r>
      <w:r w:rsidRPr="00A2207F">
        <w:t xml:space="preserve">electrons. OPV device efficiencies up to 2.35% with light absorbance up to 950 nm, demonstrating potential </w:t>
      </w:r>
      <w:r w:rsidR="006140B3" w:rsidRPr="00A2207F">
        <w:t xml:space="preserve">for this novel chromophore </w:t>
      </w:r>
      <w:r w:rsidRPr="00A2207F">
        <w:t>in near-IR photovoltaics.</w:t>
      </w:r>
    </w:p>
    <w:p w14:paraId="3BFDF3FD" w14:textId="77777777" w:rsidR="00082135" w:rsidRPr="00A2207F" w:rsidRDefault="00082135" w:rsidP="00082135">
      <w:pPr>
        <w:pStyle w:val="TAMainText"/>
        <w:ind w:firstLine="0"/>
        <w:rPr>
          <w:b/>
        </w:rPr>
      </w:pPr>
    </w:p>
    <w:p w14:paraId="1886073B" w14:textId="77777777" w:rsidR="000E6335" w:rsidRPr="00A2207F" w:rsidRDefault="00082135" w:rsidP="00082135">
      <w:pPr>
        <w:pStyle w:val="TAMainText"/>
        <w:ind w:firstLine="0"/>
        <w:rPr>
          <w:b/>
        </w:rPr>
      </w:pPr>
      <w:r w:rsidRPr="00A2207F">
        <w:rPr>
          <w:b/>
        </w:rPr>
        <w:t>Introduction</w:t>
      </w:r>
    </w:p>
    <w:p w14:paraId="68D01F7F" w14:textId="77777777" w:rsidR="00200B11" w:rsidRPr="00A2207F" w:rsidRDefault="0080615A" w:rsidP="00F74BB9">
      <w:pPr>
        <w:pStyle w:val="TAMainText"/>
      </w:pPr>
      <w:r w:rsidRPr="00A2207F">
        <w:t>The development of novel organic conjugated polymers has gained momentum in recent times due to their possible applications in organic photovoltaic (OPV) and organic field-effect transistor (OFET) devices where their lower cost, light weight, and mechanical flexibility are all attractive properties. Current high performance polymers have enabled OFET devices with mobilities in excess of 2 cm</w:t>
      </w:r>
      <w:r w:rsidRPr="00A2207F">
        <w:rPr>
          <w:vertAlign w:val="superscript"/>
        </w:rPr>
        <w:t>2</w:t>
      </w:r>
      <w:r w:rsidRPr="00A2207F">
        <w:t xml:space="preserve"> V</w:t>
      </w:r>
      <w:r w:rsidRPr="00A2207F">
        <w:rPr>
          <w:vertAlign w:val="superscript"/>
        </w:rPr>
        <w:t>-1</w:t>
      </w:r>
      <w:r w:rsidRPr="00A2207F">
        <w:t xml:space="preserve"> s</w:t>
      </w:r>
      <w:r w:rsidRPr="00A2207F">
        <w:rPr>
          <w:vertAlign w:val="superscript"/>
        </w:rPr>
        <w:t>-1</w:t>
      </w:r>
      <w:r w:rsidRPr="00A2207F">
        <w:t>, and OPV devices with power conversion efficiencies (PCEs) of over 8%.</w:t>
      </w:r>
      <w:r w:rsidRPr="00A2207F">
        <w:fldChar w:fldCharType="begin">
          <w:fldData xml:space="preserve">PEVuZE5vdGU+PENpdGU+PEF1dGhvcj5Ccm9uc3RlaW48L0F1dGhvcj48WWVhcj4yMDExPC9ZZWFy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</w:fldData>
        </w:fldChar>
      </w:r>
      <w:r w:rsidRPr="00A2207F">
        <w:instrText xml:space="preserve"> ADDIN EN.CITE </w:instrText>
      </w:r>
      <w:r w:rsidRPr="00A2207F">
        <w:fldChar w:fldCharType="begin">
          <w:fldData xml:space="preserve">PEVuZE5vdGU+PENpdGU+PEF1dGhvcj5Ccm9uc3RlaW48L0F1dGhvcj48WWVhcj4yMDExPC9ZZWFy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</w:fldData>
        </w:fldChar>
      </w:r>
      <w:r w:rsidRPr="00A2207F">
        <w:instrText xml:space="preserve"> ADDIN EN.CITE.DATA </w:instrText>
      </w:r>
      <w:r w:rsidRPr="00A2207F">
        <w:fldChar w:fldCharType="end"/>
      </w:r>
      <w:r w:rsidRPr="00A2207F">
        <w:fldChar w:fldCharType="separate"/>
      </w:r>
      <w:r w:rsidRPr="00A2207F">
        <w:rPr>
          <w:noProof/>
          <w:vertAlign w:val="superscript"/>
        </w:rPr>
        <w:t>1-3</w:t>
      </w:r>
      <w:r w:rsidRPr="00A2207F">
        <w:fldChar w:fldCharType="end"/>
      </w:r>
      <w:r w:rsidRPr="00A2207F">
        <w:t xml:space="preserve"> Ultra-narrow band gap conjugated polymers are of great interest due to the ease of charge injection when incorporated into ambipolar OFETs, and also their near-IR optical absorption for use in both tandem and transparent OPV devices.</w:t>
      </w:r>
      <w:r w:rsidRPr="00A2207F">
        <w:fldChar w:fldCharType="begin"/>
      </w:r>
      <w:r w:rsidRPr="00A2207F">
        <w:instrText xml:space="preserve"> ADDIN EN.CITE &lt;EndNote&gt;&lt;Cite&gt;&lt;Author&gt;Li&lt;/Author&gt;&lt;Year&gt;2013&lt;/Year&gt;&lt;RecNum&gt;55&lt;/RecNum&gt;&lt;DisplayText&gt;&lt;style face="superscript"&gt;4&lt;/style&gt;&lt;/DisplayText&gt;&lt;record&gt;&lt;rec-number&gt;55&lt;/rec-number&gt;&lt;foreign-keys&gt;&lt;key app="EN" db-id="wxddddxe45zzx5e5e0eprttmv59apwsvttta" timestamp="1407847113"&gt;55&lt;/key&gt;&lt;/foreign-keys&gt;&lt;ref-type name="Journal Article"&gt;17&lt;/ref-type&gt;&lt;contributors&gt;&lt;authors&gt;&lt;author&gt;Li, Weiwei&lt;/author&gt;&lt;author&gt;Hendriks, Koen H.&lt;/author&gt;&lt;author&gt;Roelofs, W. S. Christian&lt;/author&gt;&lt;author&gt;Kim, Youngju&lt;/author&gt;&lt;author&gt;Wienk, Martijn M.&lt;/author&gt;&lt;author&gt;Janssen, René A. J.&lt;/author&gt;&lt;/authors&gt;&lt;/contributors&gt;&lt;titles&gt;&lt;title&gt;Efficient Small Bandgap Polymer Solar Cells with High Fill Factors for 300 nm Thick Films&lt;/title&gt;&lt;secondary-title&gt;Advanced Materials&lt;/secondary-title&gt;&lt;/titles&gt;&lt;periodical&gt;&lt;full-title&gt;Advanced Materials&lt;/full-title&gt;&lt;abbr-1&gt;Adv. Mater.&lt;/abbr-1&gt;&lt;/periodical&gt;&lt;pages&gt;3182-3186&lt;/pages&gt;&lt;volume&gt;25&lt;/volume&gt;&lt;number&gt;23&lt;/number&gt;&lt;keywords&gt;&lt;keyword&gt;conjugated polymers&lt;/keyword&gt;&lt;keyword&gt;organic electronics&lt;/keyword&gt;&lt;keyword&gt;organic solar cells&lt;/keyword&gt;&lt;/keywords&gt;&lt;dates&gt;&lt;year&gt;2013&lt;/year&gt;&lt;/dates&gt;&lt;publisher&gt;WILEY-VCH Verlag&lt;/publisher&gt;&lt;isbn&gt;1521-4095&lt;/isbn&gt;&lt;urls&gt;&lt;related-urls&gt;&lt;url&gt;http://dx.doi.org/10.1002/adma.201300017&lt;/url&gt;&lt;/related-urls&gt;&lt;/urls&gt;&lt;electronic-resource-num&gt;10.1002/adma.201300017&lt;/electronic-resource-num&gt;&lt;/record&gt;&lt;/Cite&gt;&lt;/EndNote&gt;</w:instrText>
      </w:r>
      <w:r w:rsidRPr="00A2207F">
        <w:fldChar w:fldCharType="separate"/>
      </w:r>
      <w:r w:rsidRPr="00A2207F">
        <w:rPr>
          <w:noProof/>
          <w:vertAlign w:val="superscript"/>
        </w:rPr>
        <w:t>4</w:t>
      </w:r>
      <w:r w:rsidRPr="00A2207F">
        <w:fldChar w:fldCharType="end"/>
      </w:r>
      <w:r w:rsidRPr="00A2207F">
        <w:t xml:space="preserve"> Considerable interest has focused on planar </w:t>
      </w:r>
      <w:r w:rsidRPr="00A2207F">
        <w:rPr>
          <w:i/>
        </w:rPr>
        <w:t>bis</w:t>
      </w:r>
      <w:r w:rsidRPr="00A2207F">
        <w:t xml:space="preserve">-lactam containing polymers such as diketopyrrolopyrrole (DPP) </w:t>
      </w:r>
      <w:r w:rsidRPr="00A2207F">
        <w:rPr>
          <w:b/>
        </w:rPr>
        <w:t>1</w:t>
      </w:r>
      <w:r w:rsidRPr="00A2207F">
        <w:fldChar w:fldCharType="begin"/>
      </w:r>
      <w:r w:rsidRPr="00A2207F">
        <w:instrText xml:space="preserve"> ADDIN EN.CITE &lt;EndNote&gt;&lt;Cite&gt;&lt;Author&gt;Naik&lt;/Author&gt;&lt;Year&gt;2013&lt;/Year&gt;&lt;RecNum&gt;58&lt;/RecNum&gt;&lt;DisplayText&gt;&lt;style face="superscript"&gt;5&lt;/style&gt;&lt;/DisplayText&gt;&lt;record&gt;&lt;rec-number&gt;58&lt;/rec-number&gt;&lt;foreign-keys&gt;&lt;key app="EN" db-id="wxddddxe45zzx5e5e0eprttmv59apwsvttta" timestamp="1407921040"&gt;58&lt;/key&gt;&lt;/foreign-keys&gt;&lt;ref-type name="Journal Article"&gt;17&lt;/ref-type&gt;&lt;contributors&gt;&lt;authors&gt;&lt;author&gt;Naik, Mallari A.&lt;/author&gt;&lt;author&gt;Patil, Satish&lt;/author&gt;&lt;/authors&gt;&lt;/contributors&gt;&lt;titles&gt;&lt;title&gt;Diketopyrrolopyrrole-based conjugated polymers and small molecules for organic ambipolar transistors and solar cells&lt;/title&gt;&lt;secondary-title&gt;Journal of Polymer Science Part A: Polymer Chemistry&lt;/secondary-title&gt;&lt;/titles&gt;&lt;periodical&gt;&lt;full-title&gt;Journal of Polymer Science Part A: Polymer Chemistry&lt;/full-title&gt;&lt;abbr-1&gt;J. Polym. Sci. A Polym. Chem.&lt;/abbr-1&gt;&lt;/periodical&gt;&lt;pages&gt;4241-4260&lt;/pages&gt;&lt;volume&gt;51&lt;/volume&gt;&lt;number&gt;20&lt;/number&gt;&lt;keywords&gt;&lt;keyword&gt;diketopyrrolopyrrole&lt;/keyword&gt;&lt;keyword&gt;low band gap polymer&lt;/keyword&gt;&lt;keyword&gt;bulk heterojunction&lt;/keyword&gt;&lt;keyword&gt;organic solar cells&lt;/keyword&gt;&lt;/keywords&gt;&lt;dates&gt;&lt;year&gt;2013&lt;/year&gt;&lt;/dates&gt;&lt;isbn&gt;1099-0518&lt;/isbn&gt;&lt;urls&gt;&lt;related-urls&gt;&lt;url&gt;http://dx.doi.org/10.1002/pola.26843&lt;/url&gt;&lt;/related-urls&gt;&lt;/urls&gt;&lt;electronic-resource-num&gt;10.1002/pola.26843&lt;/electronic-resource-num&gt;&lt;/record&gt;&lt;/Cite&gt;&lt;/EndNote&gt;</w:instrText>
      </w:r>
      <w:r w:rsidRPr="00A2207F">
        <w:fldChar w:fldCharType="separate"/>
      </w:r>
      <w:r w:rsidRPr="00A2207F">
        <w:rPr>
          <w:noProof/>
          <w:vertAlign w:val="superscript"/>
        </w:rPr>
        <w:t>5</w:t>
      </w:r>
      <w:r w:rsidRPr="00A2207F">
        <w:fldChar w:fldCharType="end"/>
      </w:r>
      <w:r w:rsidRPr="00A2207F">
        <w:t xml:space="preserve"> and isoindigo </w:t>
      </w:r>
      <w:r w:rsidRPr="00A2207F">
        <w:rPr>
          <w:b/>
        </w:rPr>
        <w:t>2</w:t>
      </w:r>
      <w:r w:rsidRPr="00A2207F">
        <w:fldChar w:fldCharType="begin"/>
      </w:r>
      <w:r w:rsidRPr="00A2207F">
        <w:instrText xml:space="preserve"> ADDIN EN.CITE &lt;EndNote&gt;&lt;Cite&gt;&lt;Author&gt;Deng&lt;/Author&gt;&lt;Year&gt;2014&lt;/Year&gt;&lt;RecNum&gt;57&lt;/RecNum&gt;&lt;DisplayText&gt;&lt;style face="superscript"&gt;6&lt;/style&gt;&lt;/DisplayText&gt;&lt;record&gt;&lt;rec-number&gt;57&lt;/rec-number&gt;&lt;foreign-keys&gt;&lt;key app="EN" db-id="wxddddxe45zzx5e5e0eprttmv59apwsvttta" timestamp="1407920660"&gt;57&lt;/key&gt;&lt;/foreign-keys&gt;&lt;ref-type name="Journal Article"&gt;17&lt;/ref-type&gt;&lt;contributors&gt;&lt;authors&gt;&lt;author&gt;Deng, Ping&lt;/author&gt;&lt;author&gt;Zhang, Qing&lt;/author&gt;&lt;/authors&gt;&lt;/contributors&gt;&lt;titles&gt;&lt;title&gt;Recent developments on isoindigo-based conjugated polymers&lt;/title&gt;&lt;secondary-title&gt;Polymer Chemistry&lt;/secondary-title&gt;&lt;/titles&gt;&lt;periodical&gt;&lt;full-title&gt;Polymer Chemistry&lt;/full-title&gt;&lt;abbr-1&gt;Polym. Chem.&lt;/abbr-1&gt;&lt;/periodical&gt;&lt;pages&gt;3298-3305&lt;/pages&gt;&lt;volume&gt;5&lt;/volume&gt;&lt;number&gt;10&lt;/number&gt;&lt;dates&gt;&lt;year&gt;2014&lt;/year&gt;&lt;/dates&gt;&lt;publisher&gt;The Royal Society of Chemistry&lt;/publisher&gt;&lt;isbn&gt;1759-9954&lt;/isbn&gt;&lt;work-type&gt;10.1039/C3PY01598J&lt;/work-type&gt;&lt;urls&gt;&lt;related-urls&gt;&lt;url&gt;http://dx.doi.org/10.1039/C3PY01598J&lt;/url&gt;&lt;/related-urls&gt;&lt;/urls&gt;&lt;electronic-resource-num&gt;10.1039/C3PY01598J&lt;/electronic-resource-num&gt;&lt;/record&gt;&lt;/Cite&gt;&lt;/EndNote&gt;</w:instrText>
      </w:r>
      <w:r w:rsidRPr="00A2207F">
        <w:fldChar w:fldCharType="separate"/>
      </w:r>
      <w:r w:rsidRPr="00A2207F">
        <w:rPr>
          <w:noProof/>
          <w:vertAlign w:val="superscript"/>
        </w:rPr>
        <w:t>6</w:t>
      </w:r>
      <w:r w:rsidRPr="00A2207F">
        <w:fldChar w:fldCharType="end"/>
      </w:r>
      <w:r w:rsidRPr="00A2207F">
        <w:t>. The electron withdrawing nature of the lactam core alongside its planarity has enabled DPP and isoindigo containing conjugated polymers to reach both OPV PCEs and OFET mobilities.</w:t>
      </w:r>
    </w:p>
    <w:p w14:paraId="13554CC4" w14:textId="77777777" w:rsidR="0080615A" w:rsidRPr="00A2207F" w:rsidRDefault="00090B93" w:rsidP="001B631F">
      <w:pPr>
        <w:pStyle w:val="TAMainText"/>
        <w:spacing w:after="240"/>
        <w:ind w:firstLine="0"/>
        <w:jc w:val="left"/>
      </w:pPr>
      <w:r w:rsidRPr="00A2207F">
        <w:object w:dxaOrig="4270" w:dyaOrig="5654" w14:anchorId="2746B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2.75pt" o:ole="">
            <v:imagedata r:id="rId8" o:title=""/>
          </v:shape>
          <o:OLEObject Type="Embed" ProgID="ChemDraw.Document.6.0" ShapeID="_x0000_i1025" DrawAspect="Content" ObjectID="_1497298055" r:id="rId9"/>
        </w:object>
      </w:r>
    </w:p>
    <w:p w14:paraId="4A6EB7D2" w14:textId="77777777" w:rsidR="00F8626E" w:rsidRPr="00A2207F" w:rsidRDefault="00F8626E" w:rsidP="00F8626E">
      <w:r w:rsidRPr="00A2207F">
        <w:rPr>
          <w:b/>
          <w:bCs/>
        </w:rPr>
        <w:t xml:space="preserve">Figure 1. </w:t>
      </w:r>
      <w:r w:rsidRPr="00A2207F">
        <w:rPr>
          <w:i/>
        </w:rPr>
        <w:t>Bis</w:t>
      </w:r>
      <w:r w:rsidRPr="00A2207F">
        <w:t>-lactam containing compounds and polymer building blocks</w:t>
      </w:r>
    </w:p>
    <w:p w14:paraId="148ECB1C" w14:textId="4390AE71" w:rsidR="00826C9C" w:rsidRPr="00A2207F" w:rsidRDefault="00826C9C" w:rsidP="00F74BB9">
      <w:pPr>
        <w:pStyle w:val="TAMainText"/>
        <w:rPr>
          <w:lang w:val="en-GB"/>
        </w:rPr>
      </w:pPr>
      <w:r w:rsidRPr="00A2207F">
        <w:rPr>
          <w:lang w:val="en-GB"/>
        </w:rPr>
        <w:t xml:space="preserve">Indigo </w:t>
      </w:r>
      <w:r w:rsidRPr="00A2207F">
        <w:rPr>
          <w:b/>
          <w:lang w:val="en-GB"/>
        </w:rPr>
        <w:t>3</w:t>
      </w:r>
      <w:r w:rsidRPr="00A2207F">
        <w:rPr>
          <w:lang w:val="en-GB"/>
        </w:rPr>
        <w:t xml:space="preserve"> is the most produced natural dye worldwide, and has a highly planar structure arising from intramolecular hydrogen bonding between the oxygen and the amide protons of the indol-3-one units.</w:t>
      </w:r>
      <w:r w:rsidRPr="00A2207F">
        <w:rPr>
          <w:lang w:val="en-GB"/>
        </w:rPr>
        <w:fldChar w:fldCharType="begin"/>
      </w:r>
      <w:r w:rsidRPr="00A2207F">
        <w:rPr>
          <w:lang w:val="en-GB"/>
        </w:rPr>
        <w:instrText xml:space="preserve"> ADDIN EN.CITE &lt;EndNote&gt;&lt;Cite&gt;&lt;Author&gt;Guo&lt;/Author&gt;&lt;Year&gt;2014&lt;/Year&gt;&lt;RecNum&gt;33&lt;/RecNum&gt;&lt;DisplayText&gt;&lt;style face="superscript"&gt;7&lt;/style&gt;&lt;/DisplayText&gt;&lt;record&gt;&lt;rec-number&gt;33&lt;/rec-number&gt;&lt;foreign-keys&gt;&lt;key app="EN" db-id="wxddddxe45zzx5e5e0eprttmv59apwsvttta" timestamp="1402667500"&gt;33&lt;/key&gt;&lt;/foreign-keys&gt;&lt;ref-type name="Journal Article"&gt;17&lt;/ref-type&gt;&lt;contributors&gt;&lt;authors&gt;&lt;author&gt;Guo, C.&lt;/author&gt;&lt;author&gt;Sun, B.&lt;/author&gt;&lt;author&gt;Quinn, J.&lt;/author&gt;&lt;author&gt;Yan, Z. Q.&lt;/author&gt;&lt;author&gt;Li, Y. N.&lt;/author&gt;&lt;/authors&gt;&lt;/contributors&gt;&lt;auth-address&gt;[Li, YN] Univ Waterloo, Dept Chem Engn, Waterloo, ON N2L 3G1, Canada Univ Waterloo, Waterloo Inst Nanotechnol, Waterloo, ON N2L 3G1, Canada&amp;#xD;Li, Yuning (reprint author), Univ Waterloo, Dept Chem Engn, 200 Univ Ave West ON, Waterloo, ON N2L 3G1, Canada&amp;#xD;yuning.li@uwaterloo.ca&lt;/auth-address&gt;&lt;titles&gt;&lt;title&gt;Synthesis and properties of indigo based donor-acceptor conjugated polymers&lt;/title&gt;&lt;secondary-title&gt;Journal of Materials Chemistry C&lt;/secondary-title&gt;&lt;alt-title&gt;J. Mater. Chem. C&lt;/alt-title&gt;&lt;/titles&gt;&lt;periodical&gt;&lt;full-title&gt;Journal of Materials Chemistry C&lt;/full-title&gt;&lt;abbr-1&gt;J. Mater. Chem. C&lt;/abbr-1&gt;&lt;/periodical&gt;&lt;alt-periodical&gt;&lt;full-title&gt;Journal of Materials Chemistry C&lt;/full-title&gt;&lt;abbr-1&gt;J. Mater. Chem. C&lt;/abbr-1&gt;&lt;/alt-periodical&gt;&lt;pages&gt;4289-4296&lt;/pages&gt;&lt;volume&gt;2&lt;/volume&gt;&lt;number&gt;21&lt;/number&gt;&lt;keywords&gt;&lt;keyword&gt;THIN-FILM TRANSISTORS, FIELD-EFFECT TRANSISTORS, UND SPEKTROSKOPISCHE&lt;/keyword&gt;&lt;keyword&gt;UNTERSUCHUNGEN, ORGANIC SOLAR-CELLS, BAND-GAP POLYMERS, HIGH-MOBILITY,&lt;/keyword&gt;&lt;keyword&gt;HOLE MOBILITIES, TYRIAN PURPLE, SIDE-CHAINS, SEMICONDUCTORS&lt;/keyword&gt;&lt;/keywords&gt;&lt;dates&gt;&lt;year&gt;2014&lt;/year&gt;&lt;/dates&gt;&lt;isbn&gt;2050-7526&lt;/isbn&gt;&lt;accession-num&gt;CCC:000336038400024&lt;/accession-num&gt;&lt;work-type&gt;Article&lt;/work-type&gt;&lt;urls&gt;&lt;related-urls&gt;&lt;url&gt;&amp;lt;Go to ISI&amp;gt;://CCC:000336038400024&lt;/url&gt;&lt;url&gt;http://www.rsc.org&lt;/url&gt;&lt;/related-urls&gt;&lt;/urls&gt;&lt;language&gt;English&lt;/language&gt;&lt;/record&gt;&lt;/Cite&gt;&lt;/EndNote&gt;</w:instrText>
      </w:r>
      <w:r w:rsidRPr="00A2207F">
        <w:rPr>
          <w:lang w:val="en-GB"/>
        </w:rPr>
        <w:fldChar w:fldCharType="separate"/>
      </w:r>
      <w:r w:rsidRPr="00A2207F">
        <w:rPr>
          <w:vertAlign w:val="superscript"/>
          <w:lang w:val="en-GB"/>
        </w:rPr>
        <w:t>7</w:t>
      </w:r>
      <w:r w:rsidRPr="00A2207F">
        <w:fldChar w:fldCharType="end"/>
      </w:r>
      <w:r w:rsidRPr="00A2207F">
        <w:rPr>
          <w:lang w:val="en-GB"/>
        </w:rPr>
        <w:t xml:space="preserve"> Upon photoexcitation, rotation about the central carbon-carbon bond can effect </w:t>
      </w:r>
      <w:r w:rsidRPr="00A2207F">
        <w:rPr>
          <w:i/>
          <w:lang w:val="en-GB"/>
        </w:rPr>
        <w:t>trans</w:t>
      </w:r>
      <w:r w:rsidRPr="00A2207F">
        <w:rPr>
          <w:lang w:val="en-GB"/>
        </w:rPr>
        <w:t>-</w:t>
      </w:r>
      <w:r w:rsidRPr="00A2207F">
        <w:rPr>
          <w:i/>
          <w:lang w:val="en-GB"/>
        </w:rPr>
        <w:t>cis</w:t>
      </w:r>
      <w:r w:rsidRPr="00A2207F">
        <w:rPr>
          <w:lang w:val="en-GB"/>
        </w:rPr>
        <w:t xml:space="preserve"> isomerisation</w:t>
      </w:r>
      <w:r w:rsidRPr="00A2207F">
        <w:rPr>
          <w:lang w:val="en-GB"/>
        </w:rPr>
        <w:fldChar w:fldCharType="begin"/>
      </w:r>
      <w:r w:rsidRPr="00A2207F">
        <w:rPr>
          <w:lang w:val="en-GB"/>
        </w:rPr>
        <w:instrText xml:space="preserve"> ADDIN EN.CITE &lt;EndNote&gt;&lt;Cite&gt;&lt;Author&gt;Gorner&lt;/Author&gt;&lt;Year&gt;1987&lt;/Year&gt;&lt;RecNum&gt;43&lt;/RecNum&gt;&lt;DisplayText&gt;&lt;style face="superscript"&gt;8&lt;/style&gt;&lt;/DisplayText&gt;&lt;record&gt;&lt;rec-number&gt;43&lt;/rec-number&gt;&lt;foreign-keys&gt;&lt;key app="EN" db-id="wxddddxe45zzx5e5e0eprttmv59apwsvttta" timestamp="1403028525"&gt;43&lt;/key&gt;&lt;/foreign-keys&gt;&lt;ref-type name="Journal Article"&gt;17&lt;/ref-type&gt;&lt;contributors&gt;&lt;authors&gt;&lt;author&gt;Gorner, H.&lt;/author&gt;&lt;author&gt;Pouliquen, J.&lt;/author&gt;&lt;author&gt;Kossanyi, J.&lt;/author&gt;&lt;/authors&gt;&lt;/contributors&gt;&lt;auth-address&gt;CNRS,ERA 241,PHOTOCHIM SOLAIRE LAB,2-8 RUE HENRY DUNANT,F-94320 THIAIS,FRANCE. MAX PLANCK INST STRAHLENCHEM,D-4330 MULHEIM,FED REP GER.&lt;/auth-address&gt;&lt;titles&gt;&lt;title&gt;TRANS TO CIS PHOTOISOMERIZATION OF N,N&amp;apos;-DISUBSTITUTED INDIGO DYES VIA EXCITED SINGLET-STATES - A LASER FLASH-PHOTOLYSIS AND STEADY-STATE IRRADIATION STUDY&lt;/title&gt;&lt;secondary-title&gt;Canadian Journal of Chemistry-Revue Canadienne De Chimie&lt;/secondary-title&gt;&lt;alt-title&gt;Can. J. Chem.-Rev. Can. Chim.&lt;/alt-title&gt;&lt;/titles&gt;&lt;periodical&gt;&lt;full-title&gt;Canadian Journal of Chemistry-Revue Canadienne De Chimie&lt;/full-title&gt;&lt;abbr-1&gt;Can. J. Chem.-Rev. Can. Chim.&lt;/abbr-1&gt;&lt;/periodical&gt;&lt;alt-periodical&gt;&lt;full-title&gt;Canadian Journal of Chemistry-Revue Canadienne De Chimie&lt;/full-title&gt;&lt;abbr-1&gt;Can. J. Chem.-Rev. Can. Chim.&lt;/abbr-1&gt;&lt;/alt-periodical&gt;&lt;pages&gt;708-717&lt;/pages&gt;&lt;volume&gt;65&lt;/volume&gt;&lt;number&gt;4&lt;/number&gt;&lt;keywords&gt;&lt;keyword&gt;Chemistry, Multidisciplinary&lt;/keyword&gt;&lt;/keywords&gt;&lt;dates&gt;&lt;year&gt;1987&lt;/year&gt;&lt;pub-dates&gt;&lt;date&gt;Apr&lt;/date&gt;&lt;/pub-dates&gt;&lt;/dates&gt;&lt;isbn&gt;0008-4042&lt;/isbn&gt;&lt;accession-num&gt;WOS:A1987G787300005&lt;/accession-num&gt;&lt;work-type&gt;Article&lt;/work-type&gt;&lt;urls&gt;&lt;related-urls&gt;&lt;url&gt;&amp;lt;Go to ISI&amp;gt;://WOS:A1987G787300005&lt;/url&gt;&lt;/related-urls&gt;&lt;/urls&gt;&lt;language&gt;English&lt;/language&gt;&lt;/record&gt;&lt;/Cite&gt;&lt;/EndNote&gt;</w:instrText>
      </w:r>
      <w:r w:rsidRPr="00A2207F">
        <w:rPr>
          <w:lang w:val="en-GB"/>
        </w:rPr>
        <w:fldChar w:fldCharType="separate"/>
      </w:r>
      <w:r w:rsidRPr="00A2207F">
        <w:rPr>
          <w:vertAlign w:val="superscript"/>
          <w:lang w:val="en-GB"/>
        </w:rPr>
        <w:t>8</w:t>
      </w:r>
      <w:r w:rsidRPr="00A2207F">
        <w:fldChar w:fldCharType="end"/>
      </w:r>
      <w:r w:rsidRPr="00A2207F">
        <w:rPr>
          <w:lang w:val="en-GB"/>
        </w:rPr>
        <w:t xml:space="preserve"> as well as either single or double proton transfer, resulting in rapid energy loss through internal conversion, thereby negating any potential for OPV devices.</w:t>
      </w:r>
      <w:r w:rsidRPr="00A2207F">
        <w:rPr>
          <w:lang w:val="en-GB"/>
        </w:rPr>
        <w:fldChar w:fldCharType="begin"/>
      </w:r>
      <w:r w:rsidRPr="00A2207F">
        <w:rPr>
          <w:lang w:val="en-GB"/>
        </w:rPr>
        <w:instrText xml:space="preserve"> ADDIN EN.CITE &lt;EndNote&gt;&lt;Cite&gt;&lt;Author&gt;Rondão&lt;/Author&gt;&lt;Year&gt;2012&lt;/Year&gt;&lt;RecNum&gt;44&lt;/RecNum&gt;&lt;DisplayText&gt;&lt;style face="superscript"&gt;9&lt;/style&gt;&lt;/DisplayText&gt;&lt;record&gt;&lt;rec-number&gt;44&lt;/rec-number&gt;&lt;foreign-keys&gt;&lt;key app="EN" db-id="wxddddxe45zzx5e5e0eprttmv59apwsvttta" timestamp="1403029766"&gt;44&lt;/key&gt;&lt;/foreign-keys&gt;&lt;ref-type name="Journal Article"&gt;17&lt;/ref-type&gt;&lt;contributors&gt;&lt;authors&gt;&lt;author&gt;Rondão, R.&lt;/author&gt;&lt;author&gt;Seixas de Melo, J.&lt;/author&gt;&lt;author&gt;Melo, M. J.&lt;/author&gt;&lt;author&gt;Parola, A. J.&lt;/author&gt;&lt;/authors&gt;&lt;/contributors&gt;&lt;titles&gt;&lt;title&gt;Excited-State Isomerization of Leuco Indigo&lt;/title&gt;&lt;secondary-title&gt;The Journal of Physical Chemistry A&lt;/secondary-title&gt;&lt;/titles&gt;&lt;periodical&gt;&lt;full-title&gt;The Journal of Physical Chemistry A&lt;/full-title&gt;&lt;abbr-1&gt;J. Phys. Chem. A&lt;/abbr-1&gt;&lt;/periodical&gt;&lt;pages&gt;2826-2832&lt;/pages&gt;&lt;volume&gt;116&lt;/volume&gt;&lt;number&gt;11&lt;/number&gt;&lt;dates&gt;&lt;year&gt;2012&lt;/year&gt;&lt;pub-dates&gt;&lt;date&gt;2012/03/22&lt;/date&gt;&lt;/pub-dates&gt;&lt;/dates&gt;&lt;publisher&gt;American Chemical Society&lt;/publisher&gt;&lt;isbn&gt;1089-5639&lt;/isbn&gt;&lt;urls&gt;&lt;related-urls&gt;&lt;url&gt;http://dx.doi.org/10.1021/jp211996f&lt;/url&gt;&lt;/related-urls&gt;&lt;/urls&gt;&lt;electronic-resource-num&gt;10.1021/jp211996f&lt;/electronic-resource-num&gt;&lt;access-date&gt;2014/06/17&lt;/access-date&gt;&lt;/record&gt;&lt;/Cite&gt;&lt;/EndNote&gt;</w:instrText>
      </w:r>
      <w:r w:rsidRPr="00A2207F">
        <w:rPr>
          <w:lang w:val="en-GB"/>
        </w:rPr>
        <w:fldChar w:fldCharType="separate"/>
      </w:r>
      <w:r w:rsidRPr="00A2207F">
        <w:rPr>
          <w:vertAlign w:val="superscript"/>
          <w:lang w:val="en-GB"/>
        </w:rPr>
        <w:t>9</w:t>
      </w:r>
      <w:r w:rsidRPr="00A2207F">
        <w:fldChar w:fldCharType="end"/>
      </w:r>
      <w:r w:rsidRPr="00A2207F">
        <w:rPr>
          <w:lang w:val="en-GB"/>
        </w:rPr>
        <w:t xml:space="preserve"> As a semiconductor in OFET devices, indigo has shown hole mobilities up to 1×10</w:t>
      </w:r>
      <w:r w:rsidRPr="00A2207F">
        <w:rPr>
          <w:vertAlign w:val="superscript"/>
          <w:lang w:val="en-GB"/>
        </w:rPr>
        <w:t>−2</w:t>
      </w:r>
      <w:r w:rsidRPr="00A2207F">
        <w:rPr>
          <w:lang w:val="en-GB"/>
        </w:rPr>
        <w:t xml:space="preserve"> cm</w:t>
      </w:r>
      <w:r w:rsidRPr="00A2207F">
        <w:rPr>
          <w:vertAlign w:val="superscript"/>
          <w:lang w:val="en-GB"/>
        </w:rPr>
        <w:t>2</w:t>
      </w:r>
      <w:r w:rsidRPr="00A2207F">
        <w:rPr>
          <w:lang w:val="en-GB"/>
        </w:rPr>
        <w:t xml:space="preserve"> V</w:t>
      </w:r>
      <w:r w:rsidRPr="00A2207F">
        <w:rPr>
          <w:vertAlign w:val="superscript"/>
          <w:lang w:val="en-GB"/>
        </w:rPr>
        <w:t>−1</w:t>
      </w:r>
      <w:r w:rsidRPr="00A2207F">
        <w:rPr>
          <w:lang w:val="en-GB"/>
        </w:rPr>
        <w:t xml:space="preserve"> s</w:t>
      </w:r>
      <w:r w:rsidRPr="00A2207F">
        <w:rPr>
          <w:vertAlign w:val="superscript"/>
          <w:lang w:val="en-GB"/>
        </w:rPr>
        <w:t>−1</w:t>
      </w:r>
      <w:r w:rsidRPr="00A2207F">
        <w:rPr>
          <w:lang w:val="en-GB"/>
        </w:rPr>
        <w:t>.</w:t>
      </w:r>
      <w:r w:rsidRPr="00A2207F">
        <w:rPr>
          <w:lang w:val="en-GB"/>
        </w:rPr>
        <w:fldChar w:fldCharType="begin"/>
      </w:r>
      <w:r w:rsidRPr="00A2207F">
        <w:rPr>
          <w:lang w:val="en-GB"/>
        </w:rPr>
        <w:instrText xml:space="preserve"> ADDIN EN.CITE &lt;EndNote&gt;&lt;Cite&gt;&lt;Author&gt;Irimia-Vladu&lt;/Author&gt;&lt;Year&gt;2012&lt;/Year&gt;&lt;RecNum&gt;56&lt;/RecNum&gt;&lt;DisplayText&gt;&lt;style face="superscript"&gt;10&lt;/style&gt;&lt;/DisplayText&gt;&lt;record&gt;&lt;rec-number&gt;56&lt;/rec-number&gt;&lt;foreign-keys&gt;&lt;key app="EN" db-id="wxddddxe45zzx5e5e0eprttmv59apwsvttta" timestamp="1407850538"&gt;56&lt;/key&gt;&lt;/foreign-keys&gt;&lt;ref-type name="Journal Article"&gt;17&lt;/ref-type&gt;&lt;contributors&gt;&lt;authors&gt;&lt;author&gt;Irimia-Vladu, Mihai&lt;/author&gt;&lt;author&gt;Głowacki, Eric D.&lt;/author&gt;&lt;author&gt;Troshin, Pavel A.&lt;/author&gt;&lt;author&gt;Schwabegger, Günther&lt;/author&gt;&lt;author&gt;Leonat, Lucia&lt;/author&gt;&lt;author&gt;Susarova, Diana K.&lt;/author&gt;&lt;author&gt;Krystal, Olga&lt;/author&gt;&lt;author&gt;Ullah, Mujeeb&lt;/author&gt;&lt;author&gt;Kanbur, Yasin&lt;/author&gt;&lt;author&gt;Bodea, Marius A.&lt;/author&gt;&lt;author&gt;Razumov, Vladimir F.&lt;/author&gt;&lt;author&gt;Sitter, Helmut&lt;/author&gt;&lt;author&gt;Bauer, Siegfried&lt;/author&gt;&lt;author&gt;Sariciftci, Niyazi Serdar&lt;/author&gt;&lt;/authors&gt;&lt;/contributors&gt;&lt;titles&gt;&lt;title&gt;Indigo - A Natural Pigment for High Performance Ambipolar Organic Field Effect Transistors and Circuits&lt;/title&gt;&lt;secondary-title&gt;Advanced Materials&lt;/secondary-title&gt;&lt;/titles&gt;&lt;periodical&gt;&lt;full-title&gt;Advanced Materials&lt;/full-title&gt;&lt;abbr-1&gt;Adv. Mater.&lt;/abbr-1&gt;&lt;/periodical&gt;&lt;pages&gt;375-380&lt;/pages&gt;&lt;volume&gt;24&lt;/volume&gt;&lt;number&gt;3&lt;/number&gt;&lt;keywords&gt;&lt;keyword&gt;ambipolar semiconductors&lt;/keyword&gt;&lt;keyword&gt;biodegradable electronics&lt;/keyword&gt;&lt;keyword&gt;sustainable electronics&lt;/keyword&gt;&lt;keyword&gt;natural materials&lt;/keyword&gt;&lt;/keywords&gt;&lt;dates&gt;&lt;year&gt;2012&lt;/year&gt;&lt;/dates&gt;&lt;publisher&gt;WILEY-VCH Verlag&lt;/publisher&gt;&lt;isbn&gt;1521-4095&lt;/isbn&gt;&lt;urls&gt;&lt;related-urls&gt;&lt;url&gt;http://dx.doi.org/10.1002/adma.201102619&lt;/url&gt;&lt;/related-urls&gt;&lt;/urls&gt;&lt;electronic-resource-num&gt;10.1002/adma.201102619&lt;/electronic-resource-num&gt;&lt;/record&gt;&lt;/Cite&gt;&lt;/EndNote&gt;</w:instrText>
      </w:r>
      <w:r w:rsidRPr="00A2207F">
        <w:rPr>
          <w:lang w:val="en-GB"/>
        </w:rPr>
        <w:fldChar w:fldCharType="separate"/>
      </w:r>
      <w:r w:rsidRPr="00A2207F">
        <w:rPr>
          <w:vertAlign w:val="superscript"/>
          <w:lang w:val="en-GB"/>
        </w:rPr>
        <w:t>10</w:t>
      </w:r>
      <w:r w:rsidRPr="00A2207F">
        <w:fldChar w:fldCharType="end"/>
      </w:r>
      <w:r w:rsidRPr="00A2207F">
        <w:rPr>
          <w:lang w:val="en-GB"/>
        </w:rPr>
        <w:t xml:space="preserve"> More recently, functionalised indigoids have been investigated, and the mobility can be slightly enhanced to 1.3×10</w:t>
      </w:r>
      <w:r w:rsidRPr="00A2207F">
        <w:rPr>
          <w:vertAlign w:val="superscript"/>
          <w:lang w:val="en-GB"/>
        </w:rPr>
        <w:t>−2</w:t>
      </w:r>
      <w:r w:rsidRPr="00A2207F">
        <w:rPr>
          <w:lang w:val="en-GB"/>
        </w:rPr>
        <w:t xml:space="preserve"> cm</w:t>
      </w:r>
      <w:r w:rsidRPr="00A2207F">
        <w:rPr>
          <w:vertAlign w:val="superscript"/>
          <w:lang w:val="en-GB"/>
        </w:rPr>
        <w:t>2</w:t>
      </w:r>
      <w:r w:rsidRPr="00A2207F">
        <w:rPr>
          <w:lang w:val="en-GB"/>
        </w:rPr>
        <w:t xml:space="preserve"> V</w:t>
      </w:r>
      <w:r w:rsidRPr="00A2207F">
        <w:rPr>
          <w:vertAlign w:val="superscript"/>
          <w:lang w:val="en-GB"/>
        </w:rPr>
        <w:t>−1</w:t>
      </w:r>
      <w:r w:rsidRPr="00A2207F">
        <w:rPr>
          <w:lang w:val="en-GB"/>
        </w:rPr>
        <w:t xml:space="preserve"> s</w:t>
      </w:r>
      <w:r w:rsidRPr="00A2207F">
        <w:rPr>
          <w:vertAlign w:val="superscript"/>
          <w:lang w:val="en-GB"/>
        </w:rPr>
        <w:t>−1</w:t>
      </w:r>
      <w:r w:rsidRPr="00A2207F">
        <w:rPr>
          <w:lang w:val="en-GB"/>
        </w:rPr>
        <w:t xml:space="preserve"> using 5,5’-dichloroindigo.</w:t>
      </w:r>
      <w:r w:rsidRPr="00A2207F">
        <w:rPr>
          <w:lang w:val="en-GB"/>
        </w:rPr>
        <w:fldChar w:fldCharType="begin"/>
      </w:r>
      <w:r w:rsidRPr="00A2207F">
        <w:rPr>
          <w:lang w:val="en-GB"/>
        </w:rPr>
        <w:instrText xml:space="preserve"> ADDIN EN.CITE &lt;EndNote&gt;&lt;Cite&gt;&lt;Author&gt;Klimovich&lt;/Author&gt;&lt;Year&gt;2014&lt;/Year&gt;&lt;RecNum&gt;54&lt;/RecNum&gt;&lt;DisplayText&gt;&lt;style face="superscript"&gt;11&lt;/style&gt;&lt;/DisplayText&gt;&lt;record&gt;&lt;rec-number&gt;54&lt;/rec-number&gt;&lt;foreign-keys&gt;&lt;key app="EN" db-id="wxddddxe45zzx5e5e0eprttmv59apwsvttta" timestamp="1407845976"&gt;54&lt;/key&gt;&lt;/foreign-keys&gt;&lt;ref-type name="Journal Article"&gt;17&lt;/ref-type&gt;&lt;contributors&gt;&lt;authors&gt;&lt;author&gt;Klimovich, I. V.&lt;/author&gt;&lt;author&gt;Leshanskaya, L. I.&lt;/author&gt;&lt;author&gt;Troyanov, S. I.&lt;/author&gt;&lt;author&gt;Anokhin, D. V.&lt;/author&gt;&lt;author&gt;Novikov, D. V.&lt;/author&gt;&lt;author&gt;Piryazev, A. A.&lt;/author&gt;&lt;author&gt;Ivanov, D. A.&lt;/author&gt;&lt;author&gt;Dremova, N. N.&lt;/author&gt;&lt;author&gt;Troshin, P. A.&lt;/author&gt;&lt;/authors&gt;&lt;/contributors&gt;&lt;titles&gt;&lt;title&gt;Design of indigo derivatives as environment-friendly organic semiconductors for sustainable organic electronics&lt;/title&gt;&lt;secondary-title&gt;Journal of Materials Chemistry C&lt;/secondary-title&gt;&lt;/titles&gt;&lt;periodical&gt;&lt;full-title&gt;Journal of Materials Chemistry C&lt;/full-title&gt;&lt;abbr-1&gt;J. Mater. Chem. C&lt;/abbr-1&gt;&lt;/periodical&gt;&lt;dates&gt;&lt;year&gt;2014&lt;/year&gt;&lt;/dates&gt;&lt;publisher&gt;The Royal Society of Chemistry&lt;/publisher&gt;&lt;isbn&gt;2050-7526&lt;/isbn&gt;&lt;work-type&gt;10.1039/C4TC00550C&lt;/work-type&gt;&lt;urls&gt;&lt;related-urls&gt;&lt;url&gt;http://dx.doi.org/10.1039/C4TC00550C&lt;/url&gt;&lt;/related-urls&gt;&lt;/urls&gt;&lt;electronic-resource-num&gt;10.1039/C4TC00550C&lt;/electronic-resource-num&gt;&lt;/record&gt;&lt;/Cite&gt;&lt;/EndNote&gt;</w:instrText>
      </w:r>
      <w:r w:rsidRPr="00A2207F">
        <w:rPr>
          <w:lang w:val="en-GB"/>
        </w:rPr>
        <w:fldChar w:fldCharType="separate"/>
      </w:r>
      <w:r w:rsidRPr="00A2207F">
        <w:rPr>
          <w:vertAlign w:val="superscript"/>
          <w:lang w:val="en-GB"/>
        </w:rPr>
        <w:t>11</w:t>
      </w:r>
      <w:r w:rsidRPr="00A2207F">
        <w:fldChar w:fldCharType="end"/>
      </w:r>
      <w:r w:rsidRPr="00A2207F">
        <w:rPr>
          <w:lang w:val="en-GB"/>
        </w:rPr>
        <w:t xml:space="preserve"> </w:t>
      </w:r>
      <w:r w:rsidR="00D27FAC" w:rsidRPr="00A2207F">
        <w:rPr>
          <w:lang w:val="en-GB"/>
        </w:rPr>
        <w:t xml:space="preserve">Crucially the use of </w:t>
      </w:r>
      <w:r w:rsidRPr="00A2207F">
        <w:rPr>
          <w:lang w:val="en-GB"/>
        </w:rPr>
        <w:t>naturally occurring compounds as building blocks for materials in organic electronics can begin to address the issues of sustainability associated with them. As an example, Cibalackrot (7,14-diphenyldiindolo[3,2,1-de:3',2',1'-</w:t>
      </w:r>
      <w:r w:rsidRPr="00A2207F">
        <w:rPr>
          <w:i/>
          <w:lang w:val="en-GB"/>
        </w:rPr>
        <w:t>ij</w:t>
      </w:r>
      <w:r w:rsidRPr="00A2207F">
        <w:rPr>
          <w:lang w:val="en-GB"/>
        </w:rPr>
        <w:t xml:space="preserve">][1,5]naphthyridine-6,13-dione, </w:t>
      </w:r>
      <w:r w:rsidRPr="00A2207F">
        <w:rPr>
          <w:b/>
          <w:lang w:val="en-GB"/>
        </w:rPr>
        <w:t>INDP</w:t>
      </w:r>
      <w:r w:rsidRPr="00A2207F">
        <w:rPr>
          <w:lang w:val="en-GB"/>
        </w:rPr>
        <w:t xml:space="preserve">) is an indigo derivative first synthesised in 1914 </w:t>
      </w:r>
      <w:r w:rsidRPr="00A2207F">
        <w:rPr>
          <w:lang w:val="en-GB"/>
        </w:rPr>
        <w:lastRenderedPageBreak/>
        <w:t>by condensation of indigo and phenylacetyl chloride.</w:t>
      </w:r>
      <w:r w:rsidRPr="00A2207F">
        <w:rPr>
          <w:lang w:val="en-GB"/>
        </w:rPr>
        <w:fldChar w:fldCharType="begin"/>
      </w:r>
      <w:r w:rsidRPr="00A2207F">
        <w:rPr>
          <w:lang w:val="en-GB"/>
        </w:rPr>
        <w:instrText xml:space="preserve"> ADDIN EN.CITE &lt;EndNote&gt;&lt;Cite&gt;&lt;Author&gt;Engi&lt;/Author&gt;&lt;Year&gt;1914&lt;/Year&gt;&lt;RecNum&gt;45&lt;/RecNum&gt;&lt;DisplayText&gt;&lt;style face="superscript"&gt;12&lt;/style&gt;&lt;/DisplayText&gt;&lt;record&gt;&lt;rec-number&gt;45&lt;/rec-number&gt;&lt;foreign-keys&gt;&lt;key app="EN" db-id="wxddddxe45zzx5e5e0eprttmv59apwsvttta" timestamp="1403030799"&gt;45&lt;/key&gt;&lt;/foreign-keys&gt;&lt;ref-type name="Journal Article"&gt;17&lt;/ref-type&gt;&lt;contributors&gt;&lt;authors&gt;&lt;author&gt;Engi, G. Z.&lt;/author&gt;&lt;/authors&gt;&lt;/contributors&gt;&lt;titles&gt;&lt;secondary-title&gt;Angew. Chem.&lt;/secondary-title&gt;&lt;/titles&gt;&lt;periodical&gt;&lt;full-title&gt;Angew. Chem.&lt;/full-title&gt;&lt;abbr-1&gt;Angew. Chem.&lt;/abbr-1&gt;&lt;/periodical&gt;&lt;pages&gt;144&lt;/pages&gt;&lt;volume&gt;27&lt;/volume&gt;&lt;dates&gt;&lt;year&gt;1914&lt;/year&gt;&lt;/dates&gt;&lt;urls&gt;&lt;/urls&gt;&lt;/record&gt;&lt;/Cite&gt;&lt;/EndNote&gt;</w:instrText>
      </w:r>
      <w:r w:rsidRPr="00A2207F">
        <w:rPr>
          <w:lang w:val="en-GB"/>
        </w:rPr>
        <w:fldChar w:fldCharType="separate"/>
      </w:r>
      <w:r w:rsidRPr="00A2207F">
        <w:rPr>
          <w:vertAlign w:val="superscript"/>
          <w:lang w:val="en-GB"/>
        </w:rPr>
        <w:t>12</w:t>
      </w:r>
      <w:r w:rsidRPr="00A2207F">
        <w:fldChar w:fldCharType="end"/>
      </w:r>
      <w:r w:rsidRPr="00A2207F">
        <w:rPr>
          <w:lang w:val="en-GB"/>
        </w:rPr>
        <w:t xml:space="preserve"> Importantly, the molecule is locked in a highly planar rigid conformation where proton transfer and </w:t>
      </w:r>
      <w:r w:rsidRPr="00A2207F">
        <w:rPr>
          <w:i/>
          <w:lang w:val="en-GB"/>
        </w:rPr>
        <w:t>trans</w:t>
      </w:r>
      <w:r w:rsidRPr="00A2207F">
        <w:rPr>
          <w:lang w:val="en-GB"/>
        </w:rPr>
        <w:t>-</w:t>
      </w:r>
      <w:r w:rsidRPr="00A2207F">
        <w:rPr>
          <w:i/>
          <w:lang w:val="en-GB"/>
        </w:rPr>
        <w:t>cis</w:t>
      </w:r>
      <w:r w:rsidRPr="00A2207F">
        <w:rPr>
          <w:lang w:val="en-GB"/>
        </w:rPr>
        <w:t xml:space="preserve"> isomerization are not </w:t>
      </w:r>
      <w:r w:rsidRPr="00A2207F">
        <w:t>possible</w:t>
      </w:r>
      <w:r w:rsidRPr="00A2207F">
        <w:rPr>
          <w:lang w:val="en-GB"/>
        </w:rPr>
        <w:t xml:space="preserve">. </w:t>
      </w:r>
      <w:r w:rsidR="00D27FAC" w:rsidRPr="00A2207F">
        <w:rPr>
          <w:lang w:val="en-GB"/>
        </w:rPr>
        <w:t>T</w:t>
      </w:r>
      <w:r w:rsidRPr="00A2207F">
        <w:rPr>
          <w:lang w:val="en-GB"/>
        </w:rPr>
        <w:t xml:space="preserve">his highly conjugated compound has similar functionality to compounds containing the popular </w:t>
      </w:r>
      <w:r w:rsidRPr="00A2207F">
        <w:rPr>
          <w:i/>
          <w:lang w:val="en-GB"/>
        </w:rPr>
        <w:t>bis</w:t>
      </w:r>
      <w:r w:rsidRPr="00A2207F">
        <w:rPr>
          <w:lang w:val="en-GB"/>
        </w:rPr>
        <w:t xml:space="preserve">-lactam system, and hence polymers based on this structure display interesting electronic properties. Remarkably however, there are almost no reports of </w:t>
      </w:r>
      <w:r w:rsidRPr="00A2207F">
        <w:rPr>
          <w:b/>
          <w:lang w:val="en-GB"/>
        </w:rPr>
        <w:t>IND</w:t>
      </w:r>
      <w:r w:rsidRPr="00A2207F">
        <w:rPr>
          <w:lang w:val="en-GB"/>
        </w:rPr>
        <w:t xml:space="preserve"> implementation in organic electronics. Glowacki </w:t>
      </w:r>
      <w:r w:rsidRPr="00A2207F">
        <w:rPr>
          <w:i/>
          <w:lang w:val="en-GB"/>
        </w:rPr>
        <w:t>et al.</w:t>
      </w:r>
      <w:r w:rsidRPr="00A2207F">
        <w:rPr>
          <w:lang w:val="en-GB"/>
        </w:rPr>
        <w:t xml:space="preserve"> reported the use of the parent small molecule in OFET devices to obtain reasonable OFET mobilities,</w:t>
      </w:r>
      <w:r w:rsidRPr="00A2207F">
        <w:rPr>
          <w:lang w:val="en-GB"/>
        </w:rPr>
        <w:fldChar w:fldCharType="begin"/>
      </w:r>
      <w:r w:rsidRPr="00A2207F">
        <w:rPr>
          <w:lang w:val="en-GB"/>
        </w:rPr>
        <w:instrText xml:space="preserve"> ADDIN EN.CITE &lt;EndNote&gt;&lt;Cite&gt;&lt;Author&gt;Glowacki&lt;/Author&gt;&lt;Year&gt;2011&lt;/Year&gt;&lt;RecNum&gt;66&lt;/RecNum&gt;&lt;DisplayText&gt;&lt;style face="superscript"&gt;13&lt;/style&gt;&lt;/DisplayText&gt;&lt;record&gt;&lt;rec-number&gt;66&lt;/rec-number&gt;&lt;foreign-keys&gt;&lt;key app="EN" db-id="wxddddxe45zzx5e5e0eprttmv59apwsvttta" timestamp="1425906109"&gt;66&lt;/key&gt;&lt;/foreign-keys&gt;&lt;ref-type name="Conference Proceedings"&gt;10&lt;/ref-type&gt;&lt;contributors&gt;&lt;authors&gt;&lt;author&gt;Glowacki, Eric Daniel&lt;/author&gt;&lt;author&gt;Leonat, Lucia&lt;/author&gt;&lt;author&gt;Voss, Gundula&lt;/author&gt;&lt;author&gt;Bodea, Marius&lt;/author&gt;&lt;author&gt;Bozkurt, Zeynep&lt;/author&gt;&lt;author&gt;Irimia-Vladu, Mihai&lt;/author&gt;&lt;author&gt;Bauer, Siegfried&lt;/author&gt;&lt;author&gt;Sariciftci, Niyazi Serdar&lt;/author&gt;&lt;/authors&gt;&lt;/contributors&gt;&lt;titles&gt;&lt;title&gt;Natural and nature-inspired semiconductors for organic electronics&lt;/title&gt;&lt;/titles&gt;&lt;pages&gt;81180M-81180M-10&lt;/pages&gt;&lt;volume&gt;8118&lt;/volume&gt;&lt;dates&gt;&lt;year&gt;2011&lt;/year&gt;&lt;/dates&gt;&lt;work-type&gt;doi: 10.1117/12.892467&lt;/work-type&gt;&lt;urls&gt;&lt;related-urls&gt;&lt;url&gt;http://dx.doi.org/10.1117/12.892467&lt;/url&gt;&lt;/related-urls&gt;&lt;/urls&gt;&lt;/record&gt;&lt;/Cite&gt;&lt;/EndNote&gt;</w:instrText>
      </w:r>
      <w:r w:rsidRPr="00A2207F">
        <w:rPr>
          <w:lang w:val="en-GB"/>
        </w:rPr>
        <w:fldChar w:fldCharType="separate"/>
      </w:r>
      <w:r w:rsidRPr="00A2207F">
        <w:rPr>
          <w:vertAlign w:val="superscript"/>
          <w:lang w:val="en-GB"/>
        </w:rPr>
        <w:t>13</w:t>
      </w:r>
      <w:r w:rsidRPr="00A2207F">
        <w:fldChar w:fldCharType="end"/>
      </w:r>
      <w:r w:rsidRPr="00A2207F">
        <w:rPr>
          <w:lang w:val="en-GB"/>
        </w:rPr>
        <w:t xml:space="preserve"> and very recently He </w:t>
      </w:r>
      <w:r w:rsidRPr="00A2207F">
        <w:rPr>
          <w:i/>
          <w:lang w:val="en-GB"/>
        </w:rPr>
        <w:t>et al</w:t>
      </w:r>
      <w:r w:rsidRPr="00A2207F">
        <w:rPr>
          <w:lang w:val="en-GB"/>
        </w:rPr>
        <w:t>. demonstrated its use as a co-monomer to achieve high field effect mobilities when co-polymerized with solubilizing co-monomers.</w:t>
      </w:r>
      <w:r w:rsidRPr="00A2207F">
        <w:rPr>
          <w:lang w:val="en-GB"/>
        </w:rPr>
        <w:fldChar w:fldCharType="begin"/>
      </w:r>
      <w:r w:rsidRPr="00A2207F">
        <w:rPr>
          <w:lang w:val="en-GB"/>
        </w:rPr>
        <w:instrText xml:space="preserve"> ADDIN EN.CITE &lt;EndNote&gt;&lt;Cite&gt;&lt;Author&gt;He&lt;/Author&gt;&lt;Year&gt;2014&lt;/Year&gt;&lt;RecNum&gt;67&lt;/RecNum&gt;&lt;DisplayText&gt;&lt;style face="superscript"&gt;14&lt;/style&gt;&lt;/DisplayText&gt;&lt;record&gt;&lt;rec-number&gt;67&lt;/rec-number&gt;&lt;foreign-keys&gt;&lt;key app="EN" db-id="wxddddxe45zzx5e5e0eprttmv59apwsvttta" timestamp="1425906319"&gt;67&lt;/key&gt;&lt;/foreign-keys&gt;&lt;ref-type name="Journal Article"&gt;17&lt;/ref-type&gt;&lt;contributors&gt;&lt;authors&gt;&lt;author&gt;He, Bo&lt;/author&gt;&lt;author&gt;Pun, Andrew B.&lt;/author&gt;&lt;author&gt;Zherebetskyy, Danylo&lt;/author&gt;&lt;author&gt;Liu, Yao&lt;/author&gt;&lt;author&gt;Liu, Feng&lt;/author&gt;&lt;author&gt;Klivansky, Liana M.&lt;/author&gt;&lt;author&gt;McGough, Alexandra M.&lt;/author&gt;&lt;author&gt;Zhang, Benjamin A.&lt;/author&gt;&lt;author&gt;Lo, Kelvin&lt;/author&gt;&lt;author&gt;Russell, Thomas P.&lt;/author&gt;&lt;author&gt;Wang, Linwang&lt;/author&gt;&lt;author&gt;Liu, Yi&lt;/author&gt;&lt;/authors&gt;&lt;/contributors&gt;&lt;titles&gt;&lt;title&gt;New Form of an Old Natural Dye: Bay-Annulated Indigo (BAI) as an Excellent Electron Accepting Unit for High Performance Organic Semiconductors&lt;/title&gt;&lt;secondary-title&gt;Journal of the American Chemical Society&lt;/secondary-title&gt;&lt;/titles&gt;&lt;periodical&gt;&lt;full-title&gt;Journal of the American Chemical Society&lt;/full-title&gt;&lt;abbr-1&gt;J. Am. Chem. Soc.&lt;/abbr-1&gt;&lt;/periodical&gt;&lt;pages&gt;15093-15101&lt;/pages&gt;&lt;volume&gt;136&lt;/volume&gt;&lt;number&gt;42&lt;/number&gt;&lt;dates&gt;&lt;year&gt;2014&lt;/year&gt;&lt;pub-dates&gt;&lt;date&gt;2014/10/22&lt;/date&gt;&lt;/pub-dates&gt;&lt;/dates&gt;&lt;publisher&gt;American Chemical Society&lt;/publisher&gt;&lt;isbn&gt;0002-7863&lt;/isbn&gt;&lt;urls&gt;&lt;related-urls&gt;&lt;url&gt;http://dx.doi.org/10.1021/ja508807m&lt;/url&gt;&lt;/related-urls&gt;&lt;/urls&gt;&lt;electronic-resource-num&gt;10.1021/ja508807m&lt;/electronic-resource-num&gt;&lt;/record&gt;&lt;/Cite&gt;&lt;/EndNote&gt;</w:instrText>
      </w:r>
      <w:r w:rsidRPr="00A2207F">
        <w:rPr>
          <w:lang w:val="en-GB"/>
        </w:rPr>
        <w:fldChar w:fldCharType="separate"/>
      </w:r>
      <w:r w:rsidRPr="00A2207F">
        <w:rPr>
          <w:vertAlign w:val="superscript"/>
          <w:lang w:val="en-GB"/>
        </w:rPr>
        <w:t>14</w:t>
      </w:r>
      <w:r w:rsidRPr="00A2207F">
        <w:fldChar w:fldCharType="end"/>
      </w:r>
      <w:r w:rsidRPr="00A2207F">
        <w:rPr>
          <w:lang w:val="en-GB"/>
        </w:rPr>
        <w:t xml:space="preserve"> We were interested in developing soluble </w:t>
      </w:r>
      <w:r w:rsidRPr="00A2207F">
        <w:rPr>
          <w:b/>
          <w:lang w:val="en-GB"/>
        </w:rPr>
        <w:t>IND</w:t>
      </w:r>
      <w:r w:rsidRPr="00A2207F">
        <w:rPr>
          <w:lang w:val="en-GB"/>
        </w:rPr>
        <w:t xml:space="preserve"> derivatives which would not require co-polymerization with complex co-monomers, and here we report the first synthesis of such materials and their potential for use in organic electronics.</w:t>
      </w:r>
      <w:r w:rsidR="005B6BD0" w:rsidRPr="00A2207F">
        <w:rPr>
          <w:lang w:val="en-GB"/>
        </w:rPr>
        <w:t xml:space="preserve"> By demonstrating the use of conjugated polymers containing natural occurring and potentially bio-sustainable building blocks we believe that we are taking important steps towards addressing the issue of sustainability in organic electronics.</w:t>
      </w:r>
    </w:p>
    <w:p w14:paraId="4512A027" w14:textId="77777777" w:rsidR="00082135" w:rsidRPr="00A2207F" w:rsidRDefault="00082135" w:rsidP="00082135">
      <w:pPr>
        <w:pStyle w:val="TAMainText"/>
        <w:ind w:firstLine="0"/>
        <w:rPr>
          <w:b/>
          <w:lang w:val="en-GB"/>
        </w:rPr>
      </w:pPr>
    </w:p>
    <w:p w14:paraId="7696CDBC" w14:textId="77777777" w:rsidR="00082135" w:rsidRPr="00A2207F" w:rsidRDefault="00082135" w:rsidP="00082135">
      <w:pPr>
        <w:pStyle w:val="TAMainText"/>
        <w:ind w:firstLine="0"/>
        <w:rPr>
          <w:b/>
          <w:lang w:val="en-GB"/>
        </w:rPr>
      </w:pPr>
    </w:p>
    <w:p w14:paraId="125F8FC6" w14:textId="77777777" w:rsidR="00082135" w:rsidRPr="00A2207F" w:rsidRDefault="00082135" w:rsidP="00082135">
      <w:pPr>
        <w:pStyle w:val="TAMainText"/>
        <w:ind w:firstLine="0"/>
        <w:rPr>
          <w:b/>
          <w:lang w:val="en-GB"/>
        </w:rPr>
      </w:pPr>
    </w:p>
    <w:p w14:paraId="771B56C0" w14:textId="77777777" w:rsidR="00082135" w:rsidRPr="00A2207F" w:rsidRDefault="00082135" w:rsidP="00082135">
      <w:pPr>
        <w:pStyle w:val="TAMainText"/>
        <w:ind w:firstLine="0"/>
        <w:rPr>
          <w:b/>
          <w:lang w:val="en-GB"/>
        </w:rPr>
      </w:pPr>
      <w:r w:rsidRPr="00A2207F">
        <w:rPr>
          <w:b/>
          <w:lang w:val="en-GB"/>
        </w:rPr>
        <w:t>Results and Discussion</w:t>
      </w:r>
    </w:p>
    <w:p w14:paraId="6EDBE9F3" w14:textId="33F122EB" w:rsidR="0080615A" w:rsidRPr="00A2207F" w:rsidRDefault="00826C9C" w:rsidP="00082135">
      <w:pPr>
        <w:pStyle w:val="TAMainText"/>
        <w:ind w:firstLine="0"/>
        <w:rPr>
          <w:lang w:val="en-GB"/>
        </w:rPr>
      </w:pPr>
      <w:r w:rsidRPr="00A2207F">
        <w:rPr>
          <w:lang w:val="en-GB"/>
        </w:rPr>
        <w:t xml:space="preserve">The synthesis (Scheme 1) begins with protection of commercially available 5-hydroxy-2-nitrobenzaldehyde </w:t>
      </w:r>
      <w:r w:rsidRPr="00A2207F">
        <w:rPr>
          <w:b/>
          <w:lang w:val="en-GB"/>
        </w:rPr>
        <w:t>4</w:t>
      </w:r>
      <w:r w:rsidRPr="00A2207F">
        <w:rPr>
          <w:lang w:val="en-GB"/>
        </w:rPr>
        <w:t xml:space="preserve"> with 3,4-dihydro-2</w:t>
      </w:r>
      <w:r w:rsidRPr="00A2207F">
        <w:rPr>
          <w:i/>
          <w:lang w:val="en-GB"/>
        </w:rPr>
        <w:t>H</w:t>
      </w:r>
      <w:r w:rsidRPr="00A2207F">
        <w:rPr>
          <w:lang w:val="en-GB"/>
        </w:rPr>
        <w:t>-pyran, followed by an aldol condensation to give (</w:t>
      </w:r>
      <w:r w:rsidRPr="00A2207F">
        <w:rPr>
          <w:i/>
          <w:lang w:val="en-GB"/>
        </w:rPr>
        <w:t>E</w:t>
      </w:r>
      <w:r w:rsidRPr="00A2207F">
        <w:rPr>
          <w:lang w:val="en-GB"/>
        </w:rPr>
        <w:t>)-5,5'-bis((tetrahydro-2</w:t>
      </w:r>
      <w:r w:rsidRPr="00A2207F">
        <w:rPr>
          <w:i/>
          <w:lang w:val="en-GB"/>
        </w:rPr>
        <w:t>H</w:t>
      </w:r>
      <w:r w:rsidRPr="00A2207F">
        <w:rPr>
          <w:lang w:val="en-GB"/>
        </w:rPr>
        <w:t xml:space="preserve">-pyran-2-yl)oxy)-[2,2'-biindolinylidene]-3,3'-dione </w:t>
      </w:r>
      <w:r w:rsidRPr="00A2207F">
        <w:rPr>
          <w:b/>
          <w:lang w:val="en-GB"/>
        </w:rPr>
        <w:t>6</w:t>
      </w:r>
      <w:r w:rsidRPr="00A2207F">
        <w:rPr>
          <w:lang w:val="en-GB"/>
        </w:rPr>
        <w:t xml:space="preserve">. A subsequent condensation reaction and concurrent deprotection of the tetrahydropyranyl groups affords the 2,9-dihydroxy-7,14-di(thiophen-2-yl)diindolo[3,2,1-de:3',2',1'-ij][1,5]naphthyridine-6,13-dione </w:t>
      </w:r>
      <w:r w:rsidRPr="00A2207F">
        <w:rPr>
          <w:lang w:val="en-GB"/>
        </w:rPr>
        <w:lastRenderedPageBreak/>
        <w:t>(</w:t>
      </w:r>
      <w:r w:rsidRPr="00A2207F">
        <w:rPr>
          <w:b/>
          <w:lang w:val="en-GB"/>
        </w:rPr>
        <w:t>INDT</w:t>
      </w:r>
      <w:r w:rsidRPr="00A2207F">
        <w:rPr>
          <w:lang w:val="en-GB"/>
        </w:rPr>
        <w:t xml:space="preserve">) compound </w:t>
      </w:r>
      <w:r w:rsidRPr="00A2207F">
        <w:rPr>
          <w:b/>
          <w:lang w:val="en-GB"/>
        </w:rPr>
        <w:t>8</w:t>
      </w:r>
      <w:r w:rsidRPr="00A2207F">
        <w:rPr>
          <w:lang w:val="en-GB"/>
        </w:rPr>
        <w:t xml:space="preserve">. This compound was then alkylated with </w:t>
      </w:r>
      <w:r w:rsidR="00473498" w:rsidRPr="00A2207F">
        <w:rPr>
          <w:lang w:val="en-GB"/>
        </w:rPr>
        <w:t>2</w:t>
      </w:r>
      <w:r w:rsidRPr="00A2207F">
        <w:rPr>
          <w:lang w:val="en-GB"/>
        </w:rPr>
        <w:t xml:space="preserve">-octyldodecyl chains to improve solubility and then subsequently brominated with N-bromosuccinimide to afford our new novel </w:t>
      </w:r>
      <w:r w:rsidRPr="00A2207F">
        <w:rPr>
          <w:b/>
          <w:lang w:val="en-GB"/>
        </w:rPr>
        <w:t>INDT</w:t>
      </w:r>
      <w:r w:rsidRPr="00A2207F">
        <w:rPr>
          <w:lang w:val="en-GB"/>
        </w:rPr>
        <w:t xml:space="preserve"> monomer </w:t>
      </w:r>
      <w:r w:rsidRPr="00A2207F">
        <w:rPr>
          <w:b/>
          <w:lang w:val="en-GB"/>
        </w:rPr>
        <w:t>9</w:t>
      </w:r>
      <w:r w:rsidRPr="00A2207F">
        <w:rPr>
          <w:lang w:val="en-GB"/>
        </w:rPr>
        <w:t>.</w:t>
      </w:r>
      <w:r w:rsidR="00F74BB9" w:rsidRPr="00A2207F">
        <w:rPr>
          <w:lang w:val="en-GB"/>
        </w:rPr>
        <w:t xml:space="preserve"> </w:t>
      </w:r>
      <w:r w:rsidR="00F74BB9" w:rsidRPr="00A2207F">
        <w:t xml:space="preserve">Co-polymerization via Stille coupling of monomer </w:t>
      </w:r>
      <w:r w:rsidR="00F74BB9" w:rsidRPr="00A2207F">
        <w:rPr>
          <w:b/>
        </w:rPr>
        <w:t>9</w:t>
      </w:r>
      <w:r w:rsidR="00F74BB9" w:rsidRPr="00A2207F">
        <w:t xml:space="preserve"> with simple </w:t>
      </w:r>
      <w:r w:rsidR="00F74BB9" w:rsidRPr="00A2207F">
        <w:rPr>
          <w:i/>
        </w:rPr>
        <w:t>bis</w:t>
      </w:r>
      <w:r w:rsidR="00F74BB9" w:rsidRPr="00A2207F">
        <w:t xml:space="preserve">-trimethylstannylthiophene affords polymer </w:t>
      </w:r>
      <w:r w:rsidR="00F74BB9" w:rsidRPr="00A2207F">
        <w:rPr>
          <w:b/>
        </w:rPr>
        <w:t>INDT-T</w:t>
      </w:r>
      <w:r w:rsidR="00F74BB9" w:rsidRPr="00A2207F">
        <w:t xml:space="preserve"> which was purified by Soxhlet extraction using acetone, then hexane, to remove low molecular weight oligomers, and finally chloroform. The dark green polymeric product is soluble in common organic solvents such as chloroform and chlorobenzene.</w:t>
      </w:r>
    </w:p>
    <w:p w14:paraId="05AB0631" w14:textId="77777777" w:rsidR="00826C9C" w:rsidRPr="00A2207F" w:rsidRDefault="00F74BB9" w:rsidP="00826C9C">
      <w:pPr>
        <w:pStyle w:val="TAMainText"/>
        <w:ind w:firstLine="0"/>
      </w:pPr>
      <w:r w:rsidRPr="00A2207F">
        <w:object w:dxaOrig="12360" w:dyaOrig="10560" w14:anchorId="5F26F892">
          <v:shape id="_x0000_i1026" type="#_x0000_t75" style="width:467.25pt;height:399.75pt" o:ole="">
            <v:imagedata r:id="rId10" o:title=""/>
          </v:shape>
          <o:OLEObject Type="Embed" ProgID="ChemDraw.Document.6.0" ShapeID="_x0000_i1026" DrawAspect="Content" ObjectID="_1497298056" r:id="rId11"/>
        </w:object>
      </w:r>
    </w:p>
    <w:p w14:paraId="0D194378" w14:textId="77777777" w:rsidR="00540C92" w:rsidRPr="00A2207F" w:rsidRDefault="00F74BB9" w:rsidP="00540C92">
      <w:pPr>
        <w:pStyle w:val="VCSchemeTitle"/>
      </w:pPr>
      <w:r w:rsidRPr="00A2207F">
        <w:rPr>
          <w:b/>
        </w:rPr>
        <w:t xml:space="preserve">Scheme 1. </w:t>
      </w:r>
      <w:r w:rsidRPr="00A2207F">
        <w:t>Synthetic route to the novel INDT monomer</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540C92" w:rsidRPr="00A2207F" w14:paraId="545775BC" w14:textId="77777777" w:rsidTr="00045A99">
        <w:tc>
          <w:tcPr>
            <w:tcW w:w="1038" w:type="dxa"/>
          </w:tcPr>
          <w:p w14:paraId="1D3E18E1" w14:textId="77777777" w:rsidR="00540C92" w:rsidRPr="00A2207F" w:rsidRDefault="00540C92" w:rsidP="00045A99">
            <w:pPr>
              <w:pStyle w:val="TCTableBody"/>
              <w:rPr>
                <w:b/>
                <w:vertAlign w:val="superscript"/>
              </w:rPr>
            </w:pPr>
            <w:r w:rsidRPr="00A2207F">
              <w:lastRenderedPageBreak/>
              <w:t>Mn</w:t>
            </w:r>
            <w:r w:rsidRPr="00A2207F">
              <w:rPr>
                <w:vertAlign w:val="superscript"/>
              </w:rPr>
              <w:t>a</w:t>
            </w:r>
          </w:p>
        </w:tc>
        <w:tc>
          <w:tcPr>
            <w:tcW w:w="1039" w:type="dxa"/>
          </w:tcPr>
          <w:p w14:paraId="724D31BF" w14:textId="77777777" w:rsidR="00540C92" w:rsidRPr="00A2207F" w:rsidRDefault="00540C92" w:rsidP="00045A99">
            <w:pPr>
              <w:pStyle w:val="TCTableBody"/>
              <w:rPr>
                <w:b/>
                <w:vertAlign w:val="superscript"/>
              </w:rPr>
            </w:pPr>
            <w:r w:rsidRPr="00A2207F">
              <w:t>Mw</w:t>
            </w:r>
            <w:r w:rsidRPr="00A2207F">
              <w:rPr>
                <w:vertAlign w:val="superscript"/>
              </w:rPr>
              <w:t>a</w:t>
            </w:r>
          </w:p>
        </w:tc>
        <w:tc>
          <w:tcPr>
            <w:tcW w:w="1039" w:type="dxa"/>
          </w:tcPr>
          <w:p w14:paraId="167A6D91" w14:textId="77777777" w:rsidR="00540C92" w:rsidRPr="00A2207F" w:rsidRDefault="00540C92" w:rsidP="00045A99">
            <w:pPr>
              <w:pStyle w:val="TCTableBody"/>
              <w:rPr>
                <w:b/>
                <w:vertAlign w:val="superscript"/>
              </w:rPr>
            </w:pPr>
            <w:r w:rsidRPr="00A2207F">
              <w:t>PDI</w:t>
            </w:r>
            <w:r w:rsidRPr="00A2207F">
              <w:rPr>
                <w:vertAlign w:val="superscript"/>
              </w:rPr>
              <w:t>a</w:t>
            </w:r>
          </w:p>
        </w:tc>
        <w:tc>
          <w:tcPr>
            <w:tcW w:w="1039" w:type="dxa"/>
          </w:tcPr>
          <w:p w14:paraId="71CA0CD8" w14:textId="77777777" w:rsidR="00540C92" w:rsidRPr="00A2207F" w:rsidRDefault="00540C92" w:rsidP="00045A99">
            <w:pPr>
              <w:pStyle w:val="TCTableBody"/>
              <w:rPr>
                <w:b/>
                <w:vertAlign w:val="superscript"/>
              </w:rPr>
            </w:pPr>
            <w:r w:rsidRPr="00A2207F">
              <w:t>λ</w:t>
            </w:r>
            <w:r w:rsidRPr="00A2207F">
              <w:rPr>
                <w:vertAlign w:val="subscript"/>
              </w:rPr>
              <w:t>max</w:t>
            </w:r>
            <w:r w:rsidRPr="00A2207F">
              <w:rPr>
                <w:vertAlign w:val="superscript"/>
              </w:rPr>
              <w:t>soln</w:t>
            </w:r>
            <w:r w:rsidRPr="00A2207F">
              <w:rPr>
                <w:vertAlign w:val="subscript"/>
              </w:rPr>
              <w:t xml:space="preserve"> </w:t>
            </w:r>
            <w:r w:rsidRPr="00A2207F">
              <w:t>(nm)</w:t>
            </w:r>
            <w:r w:rsidRPr="00A2207F">
              <w:rPr>
                <w:vertAlign w:val="superscript"/>
              </w:rPr>
              <w:t>b</w:t>
            </w:r>
          </w:p>
        </w:tc>
        <w:tc>
          <w:tcPr>
            <w:tcW w:w="1039" w:type="dxa"/>
          </w:tcPr>
          <w:p w14:paraId="6F5BAB02" w14:textId="77777777" w:rsidR="00540C92" w:rsidRPr="00A2207F" w:rsidRDefault="00540C92" w:rsidP="00045A99">
            <w:pPr>
              <w:pStyle w:val="TCTableBody"/>
              <w:rPr>
                <w:b/>
                <w:vertAlign w:val="superscript"/>
              </w:rPr>
            </w:pPr>
            <w:r w:rsidRPr="00A2207F">
              <w:t>λ</w:t>
            </w:r>
            <w:r w:rsidRPr="00A2207F">
              <w:rPr>
                <w:vertAlign w:val="subscript"/>
              </w:rPr>
              <w:t>max</w:t>
            </w:r>
            <w:r w:rsidRPr="00A2207F">
              <w:rPr>
                <w:vertAlign w:val="superscript"/>
              </w:rPr>
              <w:t>film</w:t>
            </w:r>
            <w:r w:rsidRPr="00A2207F">
              <w:t xml:space="preserve"> (nm)</w:t>
            </w:r>
            <w:r w:rsidRPr="00A2207F">
              <w:rPr>
                <w:vertAlign w:val="superscript"/>
              </w:rPr>
              <w:t>c</w:t>
            </w:r>
          </w:p>
        </w:tc>
        <w:tc>
          <w:tcPr>
            <w:tcW w:w="1039" w:type="dxa"/>
          </w:tcPr>
          <w:p w14:paraId="2ABC6556" w14:textId="77777777" w:rsidR="00540C92" w:rsidRPr="00A2207F" w:rsidRDefault="00540C92" w:rsidP="00045A99">
            <w:pPr>
              <w:pStyle w:val="TCTableBody"/>
              <w:rPr>
                <w:b/>
                <w:vertAlign w:val="superscript"/>
              </w:rPr>
            </w:pPr>
            <w:r w:rsidRPr="00A2207F">
              <w:t>HOMO (eV)</w:t>
            </w:r>
            <w:r w:rsidRPr="00A2207F">
              <w:rPr>
                <w:vertAlign w:val="superscript"/>
              </w:rPr>
              <w:t>d</w:t>
            </w:r>
          </w:p>
        </w:tc>
        <w:tc>
          <w:tcPr>
            <w:tcW w:w="1039" w:type="dxa"/>
          </w:tcPr>
          <w:p w14:paraId="18886697" w14:textId="77777777" w:rsidR="00540C92" w:rsidRPr="00A2207F" w:rsidRDefault="00540C92" w:rsidP="00045A99">
            <w:pPr>
              <w:pStyle w:val="TCTableBody"/>
              <w:rPr>
                <w:b/>
                <w:vertAlign w:val="superscript"/>
              </w:rPr>
            </w:pPr>
            <w:r w:rsidRPr="00A2207F">
              <w:t>LUMO (eV)</w:t>
            </w:r>
            <w:r w:rsidRPr="00A2207F">
              <w:rPr>
                <w:vertAlign w:val="superscript"/>
              </w:rPr>
              <w:t>e</w:t>
            </w:r>
          </w:p>
        </w:tc>
        <w:tc>
          <w:tcPr>
            <w:tcW w:w="1039" w:type="dxa"/>
          </w:tcPr>
          <w:p w14:paraId="43D47A3C" w14:textId="77777777" w:rsidR="00540C92" w:rsidRPr="00A2207F" w:rsidRDefault="00540C92" w:rsidP="00045A99">
            <w:pPr>
              <w:pStyle w:val="TCTableBody"/>
              <w:rPr>
                <w:b/>
                <w:vertAlign w:val="superscript"/>
              </w:rPr>
            </w:pPr>
            <w:r w:rsidRPr="00A2207F">
              <w:t>E</w:t>
            </w:r>
            <w:r w:rsidRPr="00A2207F">
              <w:rPr>
                <w:vertAlign w:val="subscript"/>
              </w:rPr>
              <w:t>g</w:t>
            </w:r>
            <w:r w:rsidRPr="00A2207F">
              <w:t xml:space="preserve"> (eV)</w:t>
            </w:r>
            <w:r w:rsidRPr="00A2207F">
              <w:rPr>
                <w:vertAlign w:val="superscript"/>
              </w:rPr>
              <w:t>c</w:t>
            </w:r>
          </w:p>
        </w:tc>
        <w:tc>
          <w:tcPr>
            <w:tcW w:w="1039" w:type="dxa"/>
          </w:tcPr>
          <w:p w14:paraId="49621F4C" w14:textId="77777777" w:rsidR="00540C92" w:rsidRPr="00A2207F" w:rsidRDefault="00540C92" w:rsidP="00045A99">
            <w:pPr>
              <w:pStyle w:val="TCTableBody"/>
              <w:rPr>
                <w:b/>
                <w:vertAlign w:val="superscript"/>
              </w:rPr>
            </w:pPr>
            <w:r w:rsidRPr="00A2207F">
              <w:t>E</w:t>
            </w:r>
            <w:r w:rsidRPr="00A2207F">
              <w:rPr>
                <w:vertAlign w:val="subscript"/>
              </w:rPr>
              <w:t>g</w:t>
            </w:r>
            <w:r w:rsidRPr="00A2207F">
              <w:rPr>
                <w:vertAlign w:val="superscript"/>
              </w:rPr>
              <w:t>calc</w:t>
            </w:r>
            <w:r w:rsidRPr="00A2207F">
              <w:t xml:space="preserve"> (eV)</w:t>
            </w:r>
            <w:r w:rsidRPr="00A2207F">
              <w:rPr>
                <w:vertAlign w:val="superscript"/>
              </w:rPr>
              <w:t>f</w:t>
            </w:r>
          </w:p>
        </w:tc>
      </w:tr>
      <w:tr w:rsidR="00540C92" w:rsidRPr="00A2207F" w14:paraId="170D6B21" w14:textId="77777777" w:rsidTr="00045A99">
        <w:tc>
          <w:tcPr>
            <w:tcW w:w="1038" w:type="dxa"/>
          </w:tcPr>
          <w:p w14:paraId="3A4C7FF2" w14:textId="77777777" w:rsidR="00540C92" w:rsidRPr="00A2207F" w:rsidRDefault="00540C92" w:rsidP="00045A99">
            <w:pPr>
              <w:pStyle w:val="TCTableBody"/>
              <w:rPr>
                <w:b/>
              </w:rPr>
            </w:pPr>
            <w:r w:rsidRPr="00A2207F">
              <w:t>15,700</w:t>
            </w:r>
          </w:p>
        </w:tc>
        <w:tc>
          <w:tcPr>
            <w:tcW w:w="1039" w:type="dxa"/>
          </w:tcPr>
          <w:p w14:paraId="23D527CE" w14:textId="77777777" w:rsidR="00540C92" w:rsidRPr="00A2207F" w:rsidRDefault="00540C92" w:rsidP="00045A99">
            <w:pPr>
              <w:pStyle w:val="TCTableBody"/>
              <w:rPr>
                <w:b/>
              </w:rPr>
            </w:pPr>
            <w:r w:rsidRPr="00A2207F">
              <w:t>49,400</w:t>
            </w:r>
          </w:p>
        </w:tc>
        <w:tc>
          <w:tcPr>
            <w:tcW w:w="1039" w:type="dxa"/>
          </w:tcPr>
          <w:p w14:paraId="4364C8DA" w14:textId="77777777" w:rsidR="00540C92" w:rsidRPr="00A2207F" w:rsidRDefault="00540C92" w:rsidP="00045A99">
            <w:pPr>
              <w:pStyle w:val="TCTableBody"/>
              <w:rPr>
                <w:b/>
              </w:rPr>
            </w:pPr>
            <w:r w:rsidRPr="00A2207F">
              <w:t>3.15</w:t>
            </w:r>
          </w:p>
        </w:tc>
        <w:tc>
          <w:tcPr>
            <w:tcW w:w="1039" w:type="dxa"/>
          </w:tcPr>
          <w:p w14:paraId="0C7A23D2" w14:textId="77777777" w:rsidR="00540C92" w:rsidRPr="00A2207F" w:rsidRDefault="00540C92" w:rsidP="00045A99">
            <w:pPr>
              <w:pStyle w:val="TCTableBody"/>
              <w:rPr>
                <w:b/>
              </w:rPr>
            </w:pPr>
            <w:r w:rsidRPr="00A2207F">
              <w:t>797</w:t>
            </w:r>
          </w:p>
        </w:tc>
        <w:tc>
          <w:tcPr>
            <w:tcW w:w="1039" w:type="dxa"/>
          </w:tcPr>
          <w:p w14:paraId="44BCF3D9" w14:textId="77777777" w:rsidR="00540C92" w:rsidRPr="00A2207F" w:rsidRDefault="00540C92" w:rsidP="00045A99">
            <w:pPr>
              <w:pStyle w:val="TCTableBody"/>
              <w:rPr>
                <w:b/>
              </w:rPr>
            </w:pPr>
            <w:r w:rsidRPr="00A2207F">
              <w:t>790</w:t>
            </w:r>
          </w:p>
        </w:tc>
        <w:tc>
          <w:tcPr>
            <w:tcW w:w="1039" w:type="dxa"/>
          </w:tcPr>
          <w:p w14:paraId="1FE3AD64" w14:textId="77777777" w:rsidR="00540C92" w:rsidRPr="00A2207F" w:rsidRDefault="00540C92" w:rsidP="00045A99">
            <w:pPr>
              <w:pStyle w:val="TCTableBody"/>
              <w:rPr>
                <w:b/>
              </w:rPr>
            </w:pPr>
            <w:r w:rsidRPr="00A2207F">
              <w:t>-4.24</w:t>
            </w:r>
          </w:p>
        </w:tc>
        <w:tc>
          <w:tcPr>
            <w:tcW w:w="1039" w:type="dxa"/>
          </w:tcPr>
          <w:p w14:paraId="7C7F9BD5" w14:textId="77777777" w:rsidR="00540C92" w:rsidRPr="00A2207F" w:rsidRDefault="00540C92" w:rsidP="00045A99">
            <w:pPr>
              <w:pStyle w:val="TCTableBody"/>
              <w:rPr>
                <w:b/>
              </w:rPr>
            </w:pPr>
            <w:r w:rsidRPr="00A2207F">
              <w:t>-3.02</w:t>
            </w:r>
          </w:p>
        </w:tc>
        <w:tc>
          <w:tcPr>
            <w:tcW w:w="1039" w:type="dxa"/>
          </w:tcPr>
          <w:p w14:paraId="468A37A9" w14:textId="77777777" w:rsidR="00540C92" w:rsidRPr="00A2207F" w:rsidRDefault="00540C92" w:rsidP="00045A99">
            <w:pPr>
              <w:pStyle w:val="TCTableBody"/>
              <w:rPr>
                <w:b/>
              </w:rPr>
            </w:pPr>
            <w:r w:rsidRPr="00A2207F">
              <w:t>1.22</w:t>
            </w:r>
          </w:p>
        </w:tc>
        <w:tc>
          <w:tcPr>
            <w:tcW w:w="1039" w:type="dxa"/>
          </w:tcPr>
          <w:p w14:paraId="3F861CD8" w14:textId="77777777" w:rsidR="00540C92" w:rsidRPr="00A2207F" w:rsidRDefault="00540C92" w:rsidP="00045A99">
            <w:pPr>
              <w:pStyle w:val="TCTableBody"/>
              <w:rPr>
                <w:b/>
              </w:rPr>
            </w:pPr>
            <w:r w:rsidRPr="00A2207F">
              <w:t>1.32</w:t>
            </w:r>
          </w:p>
        </w:tc>
      </w:tr>
    </w:tbl>
    <w:p w14:paraId="78D39099" w14:textId="77777777" w:rsidR="00540C92" w:rsidRPr="00A2207F" w:rsidRDefault="00540C92" w:rsidP="00540C92">
      <w:pPr>
        <w:pStyle w:val="VDTableTitle"/>
        <w:rPr>
          <w:b/>
        </w:rPr>
      </w:pPr>
      <w:r w:rsidRPr="00A2207F">
        <w:rPr>
          <w:b/>
        </w:rPr>
        <w:t xml:space="preserve">Table 1. </w:t>
      </w:r>
      <w:r w:rsidRPr="00A2207F">
        <w:t xml:space="preserve">Physical and Optical Properties of </w:t>
      </w:r>
      <w:r w:rsidRPr="00A2207F">
        <w:rPr>
          <w:b/>
        </w:rPr>
        <w:t>INDT-T</w:t>
      </w:r>
    </w:p>
    <w:p w14:paraId="675F45F3" w14:textId="77777777" w:rsidR="00540C92" w:rsidRPr="00A2207F" w:rsidRDefault="00540C92" w:rsidP="00540C92">
      <w:pPr>
        <w:pStyle w:val="FETableFootnote"/>
        <w:rPr>
          <w:lang w:val="en-GB"/>
        </w:rPr>
      </w:pPr>
      <w:r w:rsidRPr="00A2207F">
        <w:rPr>
          <w:lang w:val="en-GB"/>
        </w:rPr>
        <w:t>a) determined by SEC(PS) using PhCl as eluent b) PhCl solution c) spin-coated from PhCl 5mg/mL d) determined by XPS e) HOMO + optical energy gap f) determined by TD-DFT using B3LYP/6-31g*</w:t>
      </w:r>
    </w:p>
    <w:p w14:paraId="4D0B6B98" w14:textId="77777777" w:rsidR="001927B2" w:rsidRPr="00A2207F" w:rsidRDefault="00F74BB9" w:rsidP="001927B2">
      <w:pPr>
        <w:pStyle w:val="TAMainText"/>
        <w:rPr>
          <w:lang w:val="en-GB"/>
        </w:rPr>
      </w:pPr>
      <w:r w:rsidRPr="00A2207F">
        <w:t>The</w:t>
      </w:r>
      <w:r w:rsidRPr="00A2207F">
        <w:rPr>
          <w:lang w:val="en-GB"/>
        </w:rPr>
        <w:t xml:space="preserve"> molecular mass of </w:t>
      </w:r>
      <w:r w:rsidRPr="00A2207F">
        <w:rPr>
          <w:b/>
          <w:lang w:val="en-GB"/>
        </w:rPr>
        <w:t>INDT-T</w:t>
      </w:r>
      <w:r w:rsidRPr="00A2207F">
        <w:rPr>
          <w:lang w:val="en-GB"/>
        </w:rPr>
        <w:t xml:space="preserve"> was determined by SEC(PS) to be Mn ~15.7 KDa and Mw ~49.4 KDa which, although is perhaps lower than optimal, is sufficient to evaluate the promise of this material in organic electronic devices. Figure 2</w:t>
      </w:r>
      <w:r w:rsidR="00892AA7" w:rsidRPr="00A2207F">
        <w:rPr>
          <w:lang w:val="en-GB"/>
        </w:rPr>
        <w:t>a</w:t>
      </w:r>
      <w:r w:rsidRPr="00A2207F">
        <w:rPr>
          <w:lang w:val="en-GB"/>
        </w:rPr>
        <w:t xml:space="preserve"> shows the solution (chlorobenzene) and thin film (spin coated from a 5mg/mL solution in chlorobenzene) UV-Vis absorption spectra of </w:t>
      </w:r>
      <w:r w:rsidRPr="00A2207F">
        <w:rPr>
          <w:b/>
          <w:lang w:val="en-GB"/>
        </w:rPr>
        <w:t>INDT-T</w:t>
      </w:r>
      <w:r w:rsidRPr="00A2207F">
        <w:rPr>
          <w:lang w:val="en-GB"/>
        </w:rPr>
        <w:t>. Both spectra show a broad featureless absorption in the near-IR with λ</w:t>
      </w:r>
      <w:r w:rsidRPr="00A2207F">
        <w:rPr>
          <w:vertAlign w:val="subscript"/>
          <w:lang w:val="en-GB"/>
        </w:rPr>
        <w:t>max</w:t>
      </w:r>
      <w:r w:rsidRPr="00A2207F">
        <w:rPr>
          <w:lang w:val="en-GB"/>
        </w:rPr>
        <w:t xml:space="preserve"> ~790 nm. The spectrum becomes </w:t>
      </w:r>
      <w:r w:rsidRPr="00A2207F">
        <w:t>somewhat</w:t>
      </w:r>
      <w:r w:rsidRPr="00A2207F">
        <w:rPr>
          <w:lang w:val="en-GB"/>
        </w:rPr>
        <w:t xml:space="preserve"> broadened on going from solution to thin films which is attributed to solid state packing effects, often observed in similar materials. The optical band gap in the film can be estimated to be ~1.22 eV, demonstrating the effectiveness of the IND core at creating near-IR absorbing materials. The HOMO and LUMO energy levels were determined by XPS and the optical energy gap and are found to be -4.24 eV and -3.02 eV, respectively. Both values are in a similar range to typical DPP and isoindigo polymers, thus showing that the IND containing polymers are an important addition to the </w:t>
      </w:r>
      <w:r w:rsidRPr="00A2207F">
        <w:rPr>
          <w:i/>
          <w:lang w:val="en-GB"/>
        </w:rPr>
        <w:t>bis</w:t>
      </w:r>
      <w:r w:rsidRPr="00A2207F">
        <w:rPr>
          <w:lang w:val="en-GB"/>
        </w:rPr>
        <w:t>-lactam containing conjugated polymer family.</w:t>
      </w:r>
      <w:r w:rsidR="001927B2" w:rsidRPr="00A2207F">
        <w:rPr>
          <w:lang w:val="en-GB"/>
        </w:rPr>
        <w:t xml:space="preserve"> </w:t>
      </w:r>
    </w:p>
    <w:p w14:paraId="4A2B8AC6" w14:textId="77777777" w:rsidR="001927B2" w:rsidRPr="00A2207F" w:rsidRDefault="00892AA7" w:rsidP="001927B2">
      <w:pPr>
        <w:pStyle w:val="VAFigureCaption"/>
        <w:rPr>
          <w:lang w:val="en-GB"/>
        </w:rPr>
      </w:pPr>
      <w:r w:rsidRPr="00A2207F">
        <w:rPr>
          <w:noProof/>
          <w:lang w:val="en-GB" w:eastAsia="en-GB"/>
        </w:rPr>
        <w:lastRenderedPageBreak/>
        <w:drawing>
          <wp:inline distT="0" distB="0" distL="0" distR="0" wp14:anchorId="751AD652" wp14:editId="219D0D77">
            <wp:extent cx="2970000" cy="5154248"/>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V and XPS.png"/>
                    <pic:cNvPicPr/>
                  </pic:nvPicPr>
                  <pic:blipFill rotWithShape="1">
                    <a:blip r:embed="rId12">
                      <a:extLst>
                        <a:ext uri="{28A0092B-C50C-407E-A947-70E740481C1C}">
                          <a14:useLocalDpi xmlns:a14="http://schemas.microsoft.com/office/drawing/2010/main" val="0"/>
                        </a:ext>
                      </a:extLst>
                    </a:blip>
                    <a:srcRect l="1826" t="579" r="29827" b="16666"/>
                    <a:stretch/>
                  </pic:blipFill>
                  <pic:spPr bwMode="auto">
                    <a:xfrm>
                      <a:off x="0" y="0"/>
                      <a:ext cx="2970000" cy="5154248"/>
                    </a:xfrm>
                    <a:prstGeom prst="rect">
                      <a:avLst/>
                    </a:prstGeom>
                    <a:ln>
                      <a:noFill/>
                    </a:ln>
                    <a:extLst>
                      <a:ext uri="{53640926-AAD7-44D8-BBD7-CCE9431645EC}">
                        <a14:shadowObscured xmlns:a14="http://schemas.microsoft.com/office/drawing/2010/main"/>
                      </a:ext>
                    </a:extLst>
                  </pic:spPr>
                </pic:pic>
              </a:graphicData>
            </a:graphic>
          </wp:inline>
        </w:drawing>
      </w:r>
    </w:p>
    <w:p w14:paraId="03779EA2" w14:textId="77777777" w:rsidR="001927B2" w:rsidRPr="00A2207F" w:rsidRDefault="001927B2" w:rsidP="001927B2">
      <w:pPr>
        <w:pStyle w:val="VAFigureCaption"/>
        <w:rPr>
          <w:lang w:val="en-GB"/>
        </w:rPr>
      </w:pPr>
      <w:r w:rsidRPr="00A2207F">
        <w:rPr>
          <w:b/>
          <w:lang w:val="en-GB"/>
        </w:rPr>
        <w:t xml:space="preserve">Figure 2. </w:t>
      </w:r>
      <w:r w:rsidR="00892AA7" w:rsidRPr="00A2207F">
        <w:rPr>
          <w:lang w:val="en-GB"/>
        </w:rPr>
        <w:t>a)</w:t>
      </w:r>
      <w:r w:rsidR="00892AA7" w:rsidRPr="00A2207F">
        <w:rPr>
          <w:b/>
          <w:lang w:val="en-GB"/>
        </w:rPr>
        <w:t xml:space="preserve"> </w:t>
      </w:r>
      <w:r w:rsidRPr="00A2207F">
        <w:rPr>
          <w:lang w:val="en-GB"/>
        </w:rPr>
        <w:t>Normalised UV</w:t>
      </w:r>
      <w:r w:rsidRPr="00A2207F">
        <w:rPr>
          <w:rFonts w:cs="Times"/>
          <w:lang w:val="en-GB"/>
        </w:rPr>
        <w:t>−</w:t>
      </w:r>
      <w:r w:rsidRPr="00A2207F">
        <w:rPr>
          <w:lang w:val="en-GB"/>
        </w:rPr>
        <w:t>vis absorption spectra of INDT-T. Solution spectra was recorded in chlorobenzene</w:t>
      </w:r>
      <w:r w:rsidR="00892AA7" w:rsidRPr="00A2207F">
        <w:rPr>
          <w:lang w:val="en-GB"/>
        </w:rPr>
        <w:t xml:space="preserve"> and t</w:t>
      </w:r>
      <w:r w:rsidRPr="00A2207F">
        <w:rPr>
          <w:lang w:val="en-GB"/>
        </w:rPr>
        <w:t>hin-film were spun from a 5 mg/mL solution of INDT-T in</w:t>
      </w:r>
      <w:r w:rsidR="00892AA7" w:rsidRPr="00A2207F">
        <w:rPr>
          <w:lang w:val="en-GB"/>
        </w:rPr>
        <w:t xml:space="preserve"> chlorobenzene b) </w:t>
      </w:r>
      <w:r w:rsidR="00892AA7" w:rsidRPr="00A2207F">
        <w:rPr>
          <w:bCs/>
          <w:lang w:val="en-GB"/>
        </w:rPr>
        <w:t>X-ray diffraction of a drop-cast INDT-T</w:t>
      </w:r>
      <w:r w:rsidR="00892AA7" w:rsidRPr="00A2207F">
        <w:rPr>
          <w:b/>
          <w:bCs/>
          <w:lang w:val="en-GB"/>
        </w:rPr>
        <w:t xml:space="preserve"> </w:t>
      </w:r>
      <w:r w:rsidR="00892AA7" w:rsidRPr="00A2207F">
        <w:rPr>
          <w:bCs/>
          <w:lang w:val="en-GB"/>
        </w:rPr>
        <w:t>film from a 5 mg/mL solution of INDT-T in chlorobenzene</w:t>
      </w:r>
    </w:p>
    <w:p w14:paraId="1F0D5205" w14:textId="0D61803B" w:rsidR="001927B2" w:rsidRPr="00A2207F" w:rsidRDefault="001927B2" w:rsidP="001927B2">
      <w:pPr>
        <w:pStyle w:val="TAMainText"/>
        <w:rPr>
          <w:lang w:val="en-GB"/>
        </w:rPr>
      </w:pPr>
      <w:r w:rsidRPr="00A2207F">
        <w:rPr>
          <w:lang w:val="en-GB"/>
        </w:rPr>
        <w:t xml:space="preserve">The influence of annealing temperature on the molecular packing in </w:t>
      </w:r>
      <w:r w:rsidRPr="00A2207F">
        <w:rPr>
          <w:b/>
          <w:lang w:val="en-GB"/>
        </w:rPr>
        <w:t>INDT-T</w:t>
      </w:r>
      <w:r w:rsidRPr="00A2207F">
        <w:rPr>
          <w:lang w:val="en-GB"/>
        </w:rPr>
        <w:t xml:space="preserve"> thin films was studied by </w:t>
      </w:r>
      <w:r w:rsidR="002741FB" w:rsidRPr="00A2207F">
        <w:rPr>
          <w:lang w:val="en-GB"/>
        </w:rPr>
        <w:t xml:space="preserve">X-ray diffraction (Figure </w:t>
      </w:r>
      <w:r w:rsidR="00892AA7" w:rsidRPr="00A2207F">
        <w:rPr>
          <w:lang w:val="en-GB"/>
        </w:rPr>
        <w:t>2b</w:t>
      </w:r>
      <w:r w:rsidR="002741FB" w:rsidRPr="00A2207F">
        <w:rPr>
          <w:lang w:val="en-GB"/>
        </w:rPr>
        <w:t>)</w:t>
      </w:r>
      <w:r w:rsidRPr="00A2207F">
        <w:rPr>
          <w:lang w:val="en-GB"/>
        </w:rPr>
        <w:t>. Drop-cast polymer thin films</w:t>
      </w:r>
      <w:r w:rsidR="002741FB" w:rsidRPr="00A2207F">
        <w:rPr>
          <w:lang w:val="en-GB"/>
        </w:rPr>
        <w:t xml:space="preserve"> (5 mg/mL solution in chlorobenzene)</w:t>
      </w:r>
      <w:r w:rsidRPr="00A2207F">
        <w:rPr>
          <w:lang w:val="en-GB"/>
        </w:rPr>
        <w:t xml:space="preserve"> shows a Bragg reflection at 2θ = 3.8°, corresponding to the (100) reflection and indicative of a typical lamellar packing distance of 2.3 nm. Annealing at 100 °C for 10 min leads </w:t>
      </w:r>
      <w:r w:rsidRPr="00A2207F">
        <w:rPr>
          <w:lang w:val="en-GB"/>
        </w:rPr>
        <w:lastRenderedPageBreak/>
        <w:t>to a substantial increase in thin film crystallinity as observed by the increased intensity of the (100) peak</w:t>
      </w:r>
      <w:r w:rsidR="002B7F27" w:rsidRPr="00A2207F">
        <w:rPr>
          <w:lang w:val="en-GB"/>
        </w:rPr>
        <w:t>, though we note that this improvement may not necessarily arise from increased ordering of the π-π stacking in the thin film.</w:t>
      </w:r>
      <w:r w:rsidR="002B7F27" w:rsidRPr="00A2207F">
        <w:rPr>
          <w:lang w:val="en-GB"/>
        </w:rPr>
        <w:fldChar w:fldCharType="begin"/>
      </w:r>
      <w:r w:rsidR="002B7F27" w:rsidRPr="00A2207F">
        <w:rPr>
          <w:lang w:val="en-GB"/>
        </w:rPr>
        <w:instrText xml:space="preserve"> ADDIN EN.CITE &lt;EndNote&gt;&lt;Cite&gt;&lt;Author&gt;Noriega&lt;/Author&gt;&lt;Year&gt;2013&lt;/Year&gt;&lt;RecNum&gt;68&lt;/RecNum&gt;&lt;DisplayText&gt;&lt;style face="superscript"&gt;15&lt;/style&gt;&lt;/DisplayText&gt;&lt;record&gt;&lt;rec-number&gt;68&lt;/rec-number&gt;&lt;foreign-keys&gt;&lt;key app="EN" db-id="wxddddxe45zzx5e5e0eprttmv59apwsvttta" timestamp="1430904941"&gt;68&lt;/key&gt;&lt;/foreign-keys&gt;&lt;ref-type name="Journal Article"&gt;17&lt;/ref-type&gt;&lt;contributors&gt;&lt;authors&gt;&lt;author&gt;Noriega, Rodrigo&lt;/author&gt;&lt;author&gt;Rivnay, Jonathan&lt;/author&gt;&lt;author&gt;Vandewal, Koen&lt;/author&gt;&lt;author&gt;Koch, Felix P. V.&lt;/author&gt;&lt;author&gt;Stingelin, Natalie&lt;/author&gt;&lt;author&gt;Smith, Paul&lt;/author&gt;&lt;author&gt;Toney, Michael F.&lt;/author&gt;&lt;author&gt;Salleo, Alberto&lt;/author&gt;&lt;/authors&gt;&lt;/contributors&gt;&lt;titles&gt;&lt;title&gt;A general relationship between disorder, aggregation and charge transport in conjugated polymers&lt;/title&gt;&lt;secondary-title&gt;Nat Mater&lt;/secondary-title&gt;&lt;/titles&gt;&lt;periodical&gt;&lt;full-title&gt;Nat Mater&lt;/full-title&gt;&lt;/periodical&gt;&lt;pages&gt;1038-1044&lt;/pages&gt;&lt;volume&gt;12&lt;/volume&gt;&lt;number&gt;11&lt;/number&gt;&lt;dates&gt;&lt;year&gt;2013&lt;/year&gt;&lt;pub-dates&gt;&lt;date&gt;11//print&lt;/date&gt;&lt;/pub-dates&gt;&lt;/dates&gt;&lt;publisher&gt;Nature Publishing Group&lt;/publisher&gt;&lt;isbn&gt;1476-1122&lt;/isbn&gt;&lt;work-type&gt;Article&lt;/work-type&gt;&lt;urls&gt;&lt;related-urls&gt;&lt;url&gt;http://dx.doi.org/10.1038/nmat3722&lt;/url&gt;&lt;/related-urls&gt;&lt;/urls&gt;&lt;electronic-resource-num&gt;10.1038/nmat3722&amp;#xD;http://www.nature.com/nmat/journal/v12/n11/abs/nmat3722.html#supplementary-information&lt;/electronic-resource-num&gt;&lt;/record&gt;&lt;/Cite&gt;&lt;/EndNote&gt;</w:instrText>
      </w:r>
      <w:r w:rsidR="002B7F27" w:rsidRPr="00A2207F">
        <w:rPr>
          <w:lang w:val="en-GB"/>
        </w:rPr>
        <w:fldChar w:fldCharType="separate"/>
      </w:r>
      <w:r w:rsidR="002B7F27" w:rsidRPr="00A2207F">
        <w:rPr>
          <w:noProof/>
          <w:vertAlign w:val="superscript"/>
          <w:lang w:val="en-GB"/>
        </w:rPr>
        <w:t>15</w:t>
      </w:r>
      <w:r w:rsidR="002B7F27" w:rsidRPr="00A2207F">
        <w:rPr>
          <w:lang w:val="en-GB"/>
        </w:rPr>
        <w:fldChar w:fldCharType="end"/>
      </w:r>
      <w:r w:rsidRPr="00A2207F">
        <w:rPr>
          <w:lang w:val="en-GB"/>
        </w:rPr>
        <w:t xml:space="preserve"> </w:t>
      </w:r>
      <w:r w:rsidR="002B7F27" w:rsidRPr="00A2207F">
        <w:rPr>
          <w:lang w:val="en-GB"/>
        </w:rPr>
        <w:t>T</w:t>
      </w:r>
      <w:r w:rsidRPr="00A2207F">
        <w:rPr>
          <w:lang w:val="en-GB"/>
        </w:rPr>
        <w:t>he appearance of the corresponding (200) reflection</w:t>
      </w:r>
      <w:r w:rsidR="002B7F27" w:rsidRPr="00A2207F">
        <w:rPr>
          <w:lang w:val="en-GB"/>
        </w:rPr>
        <w:t xml:space="preserve"> also</w:t>
      </w:r>
      <w:r w:rsidRPr="00A2207F">
        <w:rPr>
          <w:lang w:val="en-GB"/>
        </w:rPr>
        <w:t xml:space="preserve"> indicat</w:t>
      </w:r>
      <w:r w:rsidR="002B7F27" w:rsidRPr="00A2207F">
        <w:rPr>
          <w:lang w:val="en-GB"/>
        </w:rPr>
        <w:t>es</w:t>
      </w:r>
      <w:r w:rsidRPr="00A2207F">
        <w:rPr>
          <w:lang w:val="en-GB"/>
        </w:rPr>
        <w:t xml:space="preserve"> </w:t>
      </w:r>
      <w:r w:rsidRPr="00A2207F">
        <w:t>increased</w:t>
      </w:r>
      <w:r w:rsidRPr="00A2207F">
        <w:rPr>
          <w:lang w:val="en-GB"/>
        </w:rPr>
        <w:t xml:space="preserve"> long range order. No noticeable changes in the in the film crystallinity are observed after annealing at higher temperatures.</w:t>
      </w:r>
    </w:p>
    <w:p w14:paraId="5D1040E3" w14:textId="77777777" w:rsidR="00F74BB9" w:rsidRPr="00A2207F" w:rsidRDefault="00F74BB9" w:rsidP="00F74BB9">
      <w:pPr>
        <w:pStyle w:val="TAMainText"/>
        <w:rPr>
          <w:lang w:val="en-GB"/>
        </w:rPr>
      </w:pPr>
      <w:r w:rsidRPr="00A2207F">
        <w:rPr>
          <w:lang w:val="en-GB"/>
        </w:rPr>
        <w:t xml:space="preserve">To investigate the electronic structure of the new polymer, DFT calculations were carried out on model trimers with methoxy substituents. The calculated energy gap is found to be 1.32 eV, in good agreement with experiment.  Figure </w:t>
      </w:r>
      <w:r w:rsidR="001B631F" w:rsidRPr="00A2207F">
        <w:rPr>
          <w:lang w:val="en-GB"/>
        </w:rPr>
        <w:t>3</w:t>
      </w:r>
      <w:r w:rsidRPr="00A2207F">
        <w:rPr>
          <w:lang w:val="en-GB"/>
        </w:rPr>
        <w:t xml:space="preserve"> shows the HOMO and LUMO distributions of the geometry optimized structure of INDT-T using Gaussian 09 (DFT, B3LYP/6-31G*). The backbone displays a high degree of co-planarity indicating that charge transport in this materials should be efficient. Both the HOMO and LUMO are delocalized well over both the thiophenes and the central </w:t>
      </w:r>
      <w:r w:rsidRPr="00A2207F">
        <w:rPr>
          <w:i/>
          <w:lang w:val="en-GB"/>
        </w:rPr>
        <w:t>bis</w:t>
      </w:r>
      <w:r w:rsidRPr="00A2207F">
        <w:rPr>
          <w:lang w:val="en-GB"/>
        </w:rPr>
        <w:t>-lactam core. However, while there is little contribution to the HOMO from the peripheral phenyl groups, there is substantial delocalisation of the LUMO onto these sites. This indicates that further substitutions at these positions will enable independent manipulation of the LUMO level without disruption of the HOMO.</w:t>
      </w:r>
    </w:p>
    <w:p w14:paraId="539631B6" w14:textId="77777777" w:rsidR="00892AA7" w:rsidRPr="00A2207F" w:rsidRDefault="001B631F" w:rsidP="00892AA7">
      <w:pPr>
        <w:pStyle w:val="VAFigureCaption"/>
        <w:rPr>
          <w:lang w:val="en-GB"/>
        </w:rPr>
      </w:pPr>
      <w:r w:rsidRPr="00A2207F">
        <w:rPr>
          <w:noProof/>
          <w:lang w:val="en-GB" w:eastAsia="en-GB"/>
        </w:rPr>
        <w:lastRenderedPageBreak/>
        <w:drawing>
          <wp:inline distT="0" distB="0" distL="0" distR="0" wp14:anchorId="211A4382" wp14:editId="44D5733A">
            <wp:extent cx="6120000" cy="416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FT joint.png"/>
                    <pic:cNvPicPr/>
                  </pic:nvPicPr>
                  <pic:blipFill rotWithShape="1">
                    <a:blip r:embed="rId13">
                      <a:extLst>
                        <a:ext uri="{28A0092B-C50C-407E-A947-70E740481C1C}">
                          <a14:useLocalDpi xmlns:a14="http://schemas.microsoft.com/office/drawing/2010/main" val="0"/>
                        </a:ext>
                      </a:extLst>
                    </a:blip>
                    <a:srcRect l="4488" t="3555" r="53931" b="55894"/>
                    <a:stretch/>
                  </pic:blipFill>
                  <pic:spPr bwMode="auto">
                    <a:xfrm>
                      <a:off x="0" y="0"/>
                      <a:ext cx="6120000" cy="4161600"/>
                    </a:xfrm>
                    <a:prstGeom prst="rect">
                      <a:avLst/>
                    </a:prstGeom>
                    <a:ln>
                      <a:noFill/>
                    </a:ln>
                    <a:extLst>
                      <a:ext uri="{53640926-AAD7-44D8-BBD7-CCE9431645EC}">
                        <a14:shadowObscured xmlns:a14="http://schemas.microsoft.com/office/drawing/2010/main"/>
                      </a:ext>
                    </a:extLst>
                  </pic:spPr>
                </pic:pic>
              </a:graphicData>
            </a:graphic>
          </wp:inline>
        </w:drawing>
      </w:r>
    </w:p>
    <w:p w14:paraId="43FDE683" w14:textId="77777777" w:rsidR="00892AA7" w:rsidRPr="00A2207F" w:rsidRDefault="00892AA7" w:rsidP="00892AA7">
      <w:pPr>
        <w:pStyle w:val="VAFigureCaption"/>
        <w:rPr>
          <w:bCs/>
          <w:lang w:val="en-GB"/>
        </w:rPr>
      </w:pPr>
      <w:r w:rsidRPr="00A2207F">
        <w:rPr>
          <w:b/>
          <w:bCs/>
          <w:lang w:val="en-GB"/>
        </w:rPr>
        <w:t xml:space="preserve">Figure 3. </w:t>
      </w:r>
      <w:r w:rsidR="001B631F" w:rsidRPr="00A2207F">
        <w:rPr>
          <w:bCs/>
          <w:lang w:val="en-GB"/>
        </w:rPr>
        <w:t xml:space="preserve">The a) </w:t>
      </w:r>
      <w:r w:rsidR="001B631F" w:rsidRPr="00A2207F">
        <w:rPr>
          <w:lang w:val="en-GB"/>
        </w:rPr>
        <w:t>HOMO and b) LUMO distributions of the geometry optimized structure of INDT</w:t>
      </w:r>
      <w:r w:rsidR="001B631F" w:rsidRPr="00A2207F">
        <w:rPr>
          <w:lang w:val="en-GB"/>
        </w:rPr>
        <w:noBreakHyphen/>
        <w:t>T using Gaussian 09 (DFT, B3LYP/6-31G*)</w:t>
      </w:r>
    </w:p>
    <w:p w14:paraId="7E810FCB" w14:textId="78BD6B12" w:rsidR="00540C92" w:rsidRPr="00A2207F" w:rsidRDefault="00C26122" w:rsidP="004219CF">
      <w:pPr>
        <w:pStyle w:val="TAMainText"/>
      </w:pPr>
      <w:r w:rsidRPr="00A2207F">
        <w:t>OFETs with Top Gate-Bottom Contact architecture were fabricated using the novel polymer</w:t>
      </w:r>
      <w:r w:rsidR="00DA5CB1" w:rsidRPr="00A2207F">
        <w:t xml:space="preserve"> on glass substrates with CYTOP</w:t>
      </w:r>
      <w:r w:rsidRPr="00A2207F">
        <w:t xml:space="preserve"> dielectric</w:t>
      </w:r>
      <w:r w:rsidR="00F74BB9" w:rsidRPr="00A2207F">
        <w:t xml:space="preserve">. </w:t>
      </w:r>
      <w:r w:rsidRPr="00A2207F">
        <w:t xml:space="preserve">Al + Au bilayer (20 nm + 20 nm) </w:t>
      </w:r>
      <w:r w:rsidRPr="00A2207F">
        <w:t xml:space="preserve">electrodes </w:t>
      </w:r>
      <w:r w:rsidRPr="00A2207F">
        <w:t>for ambipolar charge</w:t>
      </w:r>
      <w:r w:rsidR="00DA5CB1" w:rsidRPr="00A2207F">
        <w:t xml:space="preserve"> transport</w:t>
      </w:r>
      <w:r w:rsidRPr="00A2207F">
        <w:t xml:space="preserve"> </w:t>
      </w:r>
      <w:r w:rsidR="0091483D" w:rsidRPr="00A2207F">
        <w:t>were used.</w:t>
      </w:r>
      <w:r w:rsidRPr="00A2207F">
        <w:t xml:space="preserve"> </w:t>
      </w:r>
      <w:r w:rsidR="00F74BB9" w:rsidRPr="00A2207F">
        <w:t xml:space="preserve">The organic semiconductor layer was spin-coated on top of the substrates from a chlorobenzene solution (10 mg/mL). </w:t>
      </w:r>
      <w:r w:rsidR="0091483D" w:rsidRPr="00A2207F">
        <w:t>Finally, CYTOP dielectric was spincoated on top followed by a thermally evaporated Al gate electrode. Representative</w:t>
      </w:r>
      <w:r w:rsidR="00F74BB9" w:rsidRPr="00A2207F">
        <w:t xml:space="preserve"> transfer and output characteristics are shown in Figure </w:t>
      </w:r>
      <w:r w:rsidR="00580813" w:rsidRPr="00A2207F">
        <w:t>4</w:t>
      </w:r>
      <w:r w:rsidR="00F74BB9" w:rsidRPr="00A2207F">
        <w:t>, and data are compiled in Table 2</w:t>
      </w:r>
      <w:r w:rsidR="00DA5CB1" w:rsidRPr="00A2207F">
        <w:t xml:space="preserve"> and 3</w:t>
      </w:r>
      <w:r w:rsidR="00F74BB9" w:rsidRPr="00A2207F">
        <w:t>. The 100 °C annealed film</w:t>
      </w:r>
      <w:r w:rsidR="001A6AE2" w:rsidRPr="00A2207F">
        <w:t xml:space="preserve"> maximum</w:t>
      </w:r>
      <w:r w:rsidR="00F74BB9" w:rsidRPr="00A2207F">
        <w:t xml:space="preserve"> hole and electron mobilities extracted extracted from the saturation regime of the transfer curves were </w:t>
      </w:r>
      <w:r w:rsidR="001A6AE2" w:rsidRPr="00A2207F">
        <w:t xml:space="preserve">both approximately </w:t>
      </w:r>
      <w:r w:rsidR="00F74BB9" w:rsidRPr="00A2207F">
        <w:t>0.</w:t>
      </w:r>
      <w:r w:rsidR="001A6AE2" w:rsidRPr="00A2207F">
        <w:t>08</w:t>
      </w:r>
      <w:r w:rsidR="00F74BB9" w:rsidRPr="00A2207F">
        <w:t xml:space="preserve"> cm</w:t>
      </w:r>
      <w:r w:rsidR="00F74BB9" w:rsidRPr="00A2207F">
        <w:rPr>
          <w:vertAlign w:val="superscript"/>
        </w:rPr>
        <w:t>2</w:t>
      </w:r>
      <w:r w:rsidR="00F74BB9" w:rsidRPr="00A2207F">
        <w:t xml:space="preserve"> V</w:t>
      </w:r>
      <w:r w:rsidR="00F74BB9" w:rsidRPr="00A2207F">
        <w:rPr>
          <w:vertAlign w:val="superscript"/>
        </w:rPr>
        <w:t>−1</w:t>
      </w:r>
      <w:r w:rsidR="00F74BB9" w:rsidRPr="00A2207F">
        <w:t xml:space="preserve"> s</w:t>
      </w:r>
      <w:r w:rsidR="00F74BB9" w:rsidRPr="00A2207F">
        <w:rPr>
          <w:vertAlign w:val="superscript"/>
        </w:rPr>
        <w:t>−1</w:t>
      </w:r>
      <w:r w:rsidR="001A6AE2" w:rsidRPr="00A2207F">
        <w:t xml:space="preserve"> demonstrating good balanced ambipolar </w:t>
      </w:r>
      <w:r w:rsidR="001A6AE2" w:rsidRPr="00A2207F">
        <w:lastRenderedPageBreak/>
        <w:t>behaviour</w:t>
      </w:r>
      <w:r w:rsidR="00F043B6" w:rsidRPr="00A2207F">
        <w:t xml:space="preserve"> and negligible hysteresis.</w:t>
      </w:r>
      <w:r w:rsidR="00F74BB9" w:rsidRPr="00A2207F">
        <w:t xml:space="preserve"> Annealing the devices at 200 °C leads to </w:t>
      </w:r>
      <w:r w:rsidR="001A6AE2" w:rsidRPr="00A2207F">
        <w:t>significant improvement</w:t>
      </w:r>
      <w:r w:rsidR="001A6AE2" w:rsidRPr="00A2207F">
        <w:t xml:space="preserve"> </w:t>
      </w:r>
      <w:r w:rsidR="00F74BB9" w:rsidRPr="00A2207F">
        <w:t xml:space="preserve">in both the hole and electron mobility. </w:t>
      </w:r>
      <w:r w:rsidR="001A6AE2" w:rsidRPr="00A2207F">
        <w:t>A high hole mobility of</w:t>
      </w:r>
      <w:r w:rsidR="00F74BB9" w:rsidRPr="00A2207F">
        <w:t xml:space="preserve"> 0.</w:t>
      </w:r>
      <w:r w:rsidR="00445C6B" w:rsidRPr="00A2207F">
        <w:t xml:space="preserve">23 </w:t>
      </w:r>
      <w:r w:rsidR="00F74BB9" w:rsidRPr="00A2207F">
        <w:t>cm</w:t>
      </w:r>
      <w:r w:rsidR="00F74BB9" w:rsidRPr="00A2207F">
        <w:rPr>
          <w:vertAlign w:val="superscript"/>
        </w:rPr>
        <w:t>2</w:t>
      </w:r>
      <w:r w:rsidR="00F74BB9" w:rsidRPr="00A2207F">
        <w:t xml:space="preserve"> V</w:t>
      </w:r>
      <w:r w:rsidR="00F74BB9" w:rsidRPr="00A2207F">
        <w:rPr>
          <w:vertAlign w:val="superscript"/>
        </w:rPr>
        <w:t>-1</w:t>
      </w:r>
      <w:r w:rsidR="00F74BB9" w:rsidRPr="00A2207F">
        <w:t xml:space="preserve"> </w:t>
      </w:r>
      <w:r w:rsidR="00141A56" w:rsidRPr="00A2207F">
        <w:t>s</w:t>
      </w:r>
      <w:r w:rsidR="00F74BB9" w:rsidRPr="00A2207F">
        <w:rPr>
          <w:vertAlign w:val="superscript"/>
        </w:rPr>
        <w:t>-1</w:t>
      </w:r>
      <w:r w:rsidR="00F74BB9" w:rsidRPr="00A2207F">
        <w:t xml:space="preserve"> for </w:t>
      </w:r>
      <w:r w:rsidR="00141A56" w:rsidRPr="00A2207F">
        <w:t>was determined from</w:t>
      </w:r>
      <w:r w:rsidR="00141A56" w:rsidRPr="00A2207F">
        <w:t xml:space="preserve"> the</w:t>
      </w:r>
      <w:r w:rsidR="00141A56" w:rsidRPr="00A2207F">
        <w:t xml:space="preserve"> best fit of the</w:t>
      </w:r>
      <w:r w:rsidR="00141A56" w:rsidRPr="00A2207F">
        <w:t xml:space="preserve"> second derivative of transfer curve</w:t>
      </w:r>
      <w:r w:rsidR="00141A56" w:rsidRPr="00A2207F">
        <w:t xml:space="preserve"> saturation regime</w:t>
      </w:r>
      <w:r w:rsidR="00DA5CB1" w:rsidRPr="00A2207F">
        <w:t xml:space="preserve"> with the peak value measured being</w:t>
      </w:r>
      <w:r w:rsidR="00F043B6" w:rsidRPr="00A2207F">
        <w:t xml:space="preserve"> 0.52 </w:t>
      </w:r>
      <w:r w:rsidR="00F043B6" w:rsidRPr="00A2207F">
        <w:t>cm</w:t>
      </w:r>
      <w:r w:rsidR="00F043B6" w:rsidRPr="00A2207F">
        <w:rPr>
          <w:vertAlign w:val="superscript"/>
        </w:rPr>
        <w:t>2</w:t>
      </w:r>
      <w:r w:rsidR="00F043B6" w:rsidRPr="00A2207F">
        <w:t xml:space="preserve"> V</w:t>
      </w:r>
      <w:r w:rsidR="00F043B6" w:rsidRPr="00A2207F">
        <w:rPr>
          <w:vertAlign w:val="superscript"/>
        </w:rPr>
        <w:t>-1</w:t>
      </w:r>
      <w:r w:rsidR="00F043B6" w:rsidRPr="00A2207F">
        <w:t xml:space="preserve"> s</w:t>
      </w:r>
      <w:r w:rsidR="00F043B6" w:rsidRPr="00A2207F">
        <w:rPr>
          <w:vertAlign w:val="superscript"/>
        </w:rPr>
        <w:t>-1</w:t>
      </w:r>
      <w:r w:rsidR="00F043B6" w:rsidRPr="00A2207F">
        <w:t xml:space="preserve">. The best-fit value for the electron mobility was 0.48 </w:t>
      </w:r>
      <w:r w:rsidR="00F043B6" w:rsidRPr="00A2207F">
        <w:t>cm</w:t>
      </w:r>
      <w:r w:rsidR="00F043B6" w:rsidRPr="00A2207F">
        <w:rPr>
          <w:vertAlign w:val="superscript"/>
        </w:rPr>
        <w:t>2</w:t>
      </w:r>
      <w:r w:rsidR="00F043B6" w:rsidRPr="00A2207F">
        <w:t xml:space="preserve"> V</w:t>
      </w:r>
      <w:r w:rsidR="00F043B6" w:rsidRPr="00A2207F">
        <w:rPr>
          <w:vertAlign w:val="superscript"/>
        </w:rPr>
        <w:t>-1</w:t>
      </w:r>
      <w:r w:rsidR="00F043B6" w:rsidRPr="00A2207F">
        <w:t xml:space="preserve"> s</w:t>
      </w:r>
      <w:r w:rsidR="00F043B6" w:rsidRPr="00A2207F">
        <w:rPr>
          <w:vertAlign w:val="superscript"/>
        </w:rPr>
        <w:t>-1</w:t>
      </w:r>
      <w:r w:rsidR="00F043B6" w:rsidRPr="00A2207F">
        <w:t xml:space="preserve"> with a remarkable peak mobility of 1.2 </w:t>
      </w:r>
      <w:r w:rsidR="00F043B6" w:rsidRPr="00A2207F">
        <w:t>cm</w:t>
      </w:r>
      <w:r w:rsidR="00F043B6" w:rsidRPr="00A2207F">
        <w:rPr>
          <w:vertAlign w:val="superscript"/>
        </w:rPr>
        <w:t>2</w:t>
      </w:r>
      <w:r w:rsidR="00F043B6" w:rsidRPr="00A2207F">
        <w:t xml:space="preserve"> V</w:t>
      </w:r>
      <w:r w:rsidR="00F043B6" w:rsidRPr="00A2207F">
        <w:rPr>
          <w:vertAlign w:val="superscript"/>
        </w:rPr>
        <w:t>-1</w:t>
      </w:r>
      <w:r w:rsidR="00F043B6" w:rsidRPr="00A2207F">
        <w:t xml:space="preserve"> s</w:t>
      </w:r>
      <w:r w:rsidR="00F043B6" w:rsidRPr="00A2207F">
        <w:rPr>
          <w:vertAlign w:val="superscript"/>
        </w:rPr>
        <w:t>-1</w:t>
      </w:r>
      <w:r w:rsidR="001B602C" w:rsidRPr="00A2207F">
        <w:t>, however we note that there was a significant amount of noise present in the second derivative mobility extraction plot.</w:t>
      </w:r>
      <w:r w:rsidR="00F74BB9" w:rsidRPr="00A2207F">
        <w:t xml:space="preserve"> As was shown in XRD experiments, we believe that the improved OFET characteristics are due to the increased ordering of the INDT-T polymer with annealing.</w:t>
      </w:r>
      <w:r w:rsidR="002570C9" w:rsidRPr="00A2207F">
        <w:t xml:space="preserve"> </w:t>
      </w:r>
    </w:p>
    <w:p w14:paraId="7382D78E" w14:textId="77777777" w:rsidR="004219CF" w:rsidRPr="00A2207F" w:rsidRDefault="004219CF" w:rsidP="005B6BD0">
      <w:pPr>
        <w:pStyle w:val="G4cTableFootnote"/>
      </w:pPr>
    </w:p>
    <w:tbl>
      <w:tblPr>
        <w:tblStyle w:val="TableGrid"/>
        <w:tblW w:w="9586" w:type="dxa"/>
        <w:jc w:val="center"/>
        <w:tblLayout w:type="fixed"/>
        <w:tblLook w:val="04A0" w:firstRow="1" w:lastRow="0" w:firstColumn="1" w:lastColumn="0" w:noHBand="0" w:noVBand="1"/>
      </w:tblPr>
      <w:tblGrid>
        <w:gridCol w:w="1271"/>
        <w:gridCol w:w="1134"/>
        <w:gridCol w:w="1648"/>
        <w:gridCol w:w="1038"/>
        <w:gridCol w:w="858"/>
        <w:gridCol w:w="1559"/>
        <w:gridCol w:w="1134"/>
        <w:gridCol w:w="944"/>
      </w:tblGrid>
      <w:tr w:rsidR="008C79C5" w:rsidRPr="00A2207F" w14:paraId="42C52B11" w14:textId="77777777" w:rsidTr="005B6BD0">
        <w:trPr>
          <w:jc w:val="center"/>
        </w:trPr>
        <w:tc>
          <w:tcPr>
            <w:tcW w:w="1271" w:type="dxa"/>
          </w:tcPr>
          <w:p w14:paraId="0814C647" w14:textId="77777777" w:rsidR="008C79C5" w:rsidRPr="00A2207F" w:rsidRDefault="00F4721F" w:rsidP="005B6BD0">
            <w:pPr>
              <w:pStyle w:val="TCTableBody"/>
              <w:jc w:val="center"/>
            </w:pPr>
            <w:r w:rsidRPr="00A2207F">
              <w:t>Annealing Temp.</w:t>
            </w:r>
          </w:p>
          <w:p w14:paraId="4897A434" w14:textId="1C447DA4" w:rsidR="00F4721F" w:rsidRPr="00A2207F" w:rsidRDefault="008C79C5" w:rsidP="005B6BD0">
            <w:pPr>
              <w:pStyle w:val="TCTableBody"/>
              <w:jc w:val="center"/>
            </w:pPr>
            <w:r w:rsidRPr="00A2207F">
              <w:t>/</w:t>
            </w:r>
            <w:r w:rsidR="00F4721F" w:rsidRPr="00A2207F">
              <w:rPr>
                <w:vertAlign w:val="superscript"/>
              </w:rPr>
              <w:t>o</w:t>
            </w:r>
            <w:r w:rsidR="00F4721F" w:rsidRPr="00A2207F">
              <w:t>C</w:t>
            </w:r>
          </w:p>
        </w:tc>
        <w:tc>
          <w:tcPr>
            <w:tcW w:w="1134" w:type="dxa"/>
          </w:tcPr>
          <w:p w14:paraId="7C834550" w14:textId="24927E72" w:rsidR="00F4721F" w:rsidRPr="00A2207F" w:rsidRDefault="00F4721F" w:rsidP="005B6BD0">
            <w:pPr>
              <w:pStyle w:val="TCTableBody"/>
              <w:jc w:val="center"/>
            </w:pPr>
            <w:r w:rsidRPr="00A2207F">
              <w:t>Channel Length</w:t>
            </w:r>
            <w:r w:rsidR="008C79C5" w:rsidRPr="00A2207F">
              <w:t xml:space="preserve"> /</w:t>
            </w:r>
            <w:r w:rsidRPr="00A2207F">
              <w:rPr>
                <w:rFonts w:cs="Times"/>
              </w:rPr>
              <w:t>µ</w:t>
            </w:r>
            <w:r w:rsidRPr="00A2207F">
              <w:t>m</w:t>
            </w:r>
          </w:p>
        </w:tc>
        <w:tc>
          <w:tcPr>
            <w:tcW w:w="1648" w:type="dxa"/>
          </w:tcPr>
          <w:p w14:paraId="62B75B9E" w14:textId="6AA56450" w:rsidR="008C79C5" w:rsidRPr="00A2207F" w:rsidRDefault="00F4721F" w:rsidP="005B6BD0">
            <w:pPr>
              <w:pStyle w:val="TCTableBody"/>
              <w:jc w:val="center"/>
              <w:rPr>
                <w:rFonts w:cs="Times"/>
                <w:vertAlign w:val="superscript"/>
              </w:rPr>
            </w:pPr>
            <w:r w:rsidRPr="00A2207F">
              <w:rPr>
                <w:rFonts w:cs="Times"/>
                <w:i/>
              </w:rPr>
              <w:t>µ</w:t>
            </w:r>
            <w:r w:rsidRPr="00A2207F">
              <w:rPr>
                <w:rFonts w:cs="Times"/>
                <w:vertAlign w:val="subscript"/>
              </w:rPr>
              <w:t>hole</w:t>
            </w:r>
            <w:r w:rsidR="003C788C" w:rsidRPr="00A2207F">
              <w:rPr>
                <w:rFonts w:cs="Times"/>
                <w:vertAlign w:val="superscript"/>
              </w:rPr>
              <w:t>a,b</w:t>
            </w:r>
          </w:p>
          <w:p w14:paraId="2C684F7C" w14:textId="311C434C" w:rsidR="008C79C5" w:rsidRPr="00A2207F" w:rsidRDefault="00C75619" w:rsidP="005B6BD0">
            <w:pPr>
              <w:pStyle w:val="TCTableBody"/>
              <w:jc w:val="center"/>
            </w:pPr>
            <w:r w:rsidRPr="00A2207F">
              <w:t>(peak value)</w:t>
            </w:r>
          </w:p>
          <w:p w14:paraId="530719E1" w14:textId="56A5D176" w:rsidR="00F4721F" w:rsidRPr="00A2207F" w:rsidRDefault="008C79C5" w:rsidP="005B6BD0">
            <w:pPr>
              <w:pStyle w:val="TCTableBody"/>
              <w:jc w:val="center"/>
              <w:rPr>
                <w:vertAlign w:val="superscript"/>
              </w:rPr>
            </w:pPr>
            <w:r w:rsidRPr="00A2207F">
              <w:t>/</w:t>
            </w:r>
            <w:r w:rsidR="00F4721F" w:rsidRPr="00A2207F">
              <w:t>cm</w:t>
            </w:r>
            <w:r w:rsidR="00F4721F" w:rsidRPr="00A2207F">
              <w:rPr>
                <w:vertAlign w:val="superscript"/>
              </w:rPr>
              <w:t>2</w:t>
            </w:r>
            <w:r w:rsidR="000A696A" w:rsidRPr="00A2207F">
              <w:t xml:space="preserve"> </w:t>
            </w:r>
            <w:r w:rsidR="00F4721F" w:rsidRPr="00A2207F">
              <w:t>V</w:t>
            </w:r>
            <w:r w:rsidR="000A696A" w:rsidRPr="00A2207F">
              <w:rPr>
                <w:vertAlign w:val="superscript"/>
              </w:rPr>
              <w:t>-1</w:t>
            </w:r>
            <w:r w:rsidR="000A696A" w:rsidRPr="00A2207F">
              <w:t xml:space="preserve"> </w:t>
            </w:r>
            <w:r w:rsidR="00F4721F" w:rsidRPr="00A2207F">
              <w:t>s</w:t>
            </w:r>
            <w:r w:rsidR="000A696A" w:rsidRPr="00A2207F">
              <w:rPr>
                <w:vertAlign w:val="superscript"/>
              </w:rPr>
              <w:t>-1</w:t>
            </w:r>
          </w:p>
        </w:tc>
        <w:tc>
          <w:tcPr>
            <w:tcW w:w="1038" w:type="dxa"/>
          </w:tcPr>
          <w:p w14:paraId="5278A47A" w14:textId="1771BD08" w:rsidR="00F4721F" w:rsidRPr="00A2207F" w:rsidRDefault="00F4721F" w:rsidP="005B6BD0">
            <w:pPr>
              <w:pStyle w:val="TCTableBody"/>
              <w:jc w:val="center"/>
            </w:pPr>
            <w:r w:rsidRPr="00A2207F">
              <w:t>V</w:t>
            </w:r>
            <w:r w:rsidRPr="00A2207F">
              <w:rPr>
                <w:vertAlign w:val="subscript"/>
              </w:rPr>
              <w:t>th,,hole</w:t>
            </w:r>
            <w:r w:rsidR="003C788C" w:rsidRPr="00A2207F">
              <w:rPr>
                <w:vertAlign w:val="superscript"/>
              </w:rPr>
              <w:t>c</w:t>
            </w:r>
            <w:r w:rsidR="008C79C5" w:rsidRPr="00A2207F">
              <w:t xml:space="preserve"> /</w:t>
            </w:r>
            <w:r w:rsidRPr="00A2207F">
              <w:t>V</w:t>
            </w:r>
          </w:p>
        </w:tc>
        <w:tc>
          <w:tcPr>
            <w:tcW w:w="858" w:type="dxa"/>
          </w:tcPr>
          <w:p w14:paraId="794AD10E" w14:textId="016D8BDD" w:rsidR="00F4721F" w:rsidRPr="00A2207F" w:rsidRDefault="00F4721F" w:rsidP="005B6BD0">
            <w:pPr>
              <w:pStyle w:val="TCTableBody"/>
              <w:jc w:val="center"/>
              <w:rPr>
                <w:vertAlign w:val="superscript"/>
              </w:rPr>
            </w:pPr>
            <w:r w:rsidRPr="00A2207F">
              <w:t>I</w:t>
            </w:r>
            <w:r w:rsidRPr="00A2207F">
              <w:rPr>
                <w:vertAlign w:val="subscript"/>
              </w:rPr>
              <w:t>on</w:t>
            </w:r>
            <w:r w:rsidRPr="00A2207F">
              <w:t>/I</w:t>
            </w:r>
            <w:r w:rsidRPr="00A2207F">
              <w:rPr>
                <w:vertAlign w:val="subscript"/>
              </w:rPr>
              <w:t>off</w:t>
            </w:r>
            <w:r w:rsidRPr="00A2207F">
              <w:t xml:space="preserve"> for holes</w:t>
            </w:r>
            <w:r w:rsidR="003C788C" w:rsidRPr="00A2207F">
              <w:rPr>
                <w:vertAlign w:val="superscript"/>
              </w:rPr>
              <w:t>c</w:t>
            </w:r>
          </w:p>
        </w:tc>
        <w:tc>
          <w:tcPr>
            <w:tcW w:w="1559" w:type="dxa"/>
          </w:tcPr>
          <w:p w14:paraId="72F3A65D" w14:textId="660636D0" w:rsidR="008C79C5" w:rsidRPr="00A2207F" w:rsidRDefault="00F4721F" w:rsidP="005B6BD0">
            <w:pPr>
              <w:pStyle w:val="TCTableBody"/>
              <w:jc w:val="center"/>
              <w:rPr>
                <w:rFonts w:cs="Times"/>
                <w:vertAlign w:val="superscript"/>
              </w:rPr>
            </w:pPr>
            <w:r w:rsidRPr="00A2207F">
              <w:rPr>
                <w:rFonts w:cs="Times"/>
                <w:i/>
              </w:rPr>
              <w:t>µ</w:t>
            </w:r>
            <w:r w:rsidRPr="00A2207F">
              <w:rPr>
                <w:rFonts w:cs="Times"/>
                <w:vertAlign w:val="subscript"/>
              </w:rPr>
              <w:t>electron</w:t>
            </w:r>
            <w:r w:rsidR="003C788C" w:rsidRPr="00A2207F">
              <w:rPr>
                <w:rFonts w:cs="Times"/>
                <w:vertAlign w:val="superscript"/>
              </w:rPr>
              <w:t>a,b</w:t>
            </w:r>
          </w:p>
          <w:p w14:paraId="6F8A8DA7" w14:textId="244E77FA" w:rsidR="008C79C5" w:rsidRPr="00A2207F" w:rsidRDefault="00C75619" w:rsidP="005B6BD0">
            <w:pPr>
              <w:pStyle w:val="TCTableBody"/>
              <w:jc w:val="center"/>
              <w:rPr>
                <w:rFonts w:cs="Times"/>
              </w:rPr>
            </w:pPr>
            <w:r w:rsidRPr="00A2207F">
              <w:rPr>
                <w:rFonts w:cs="Times"/>
              </w:rPr>
              <w:t>(peak value)</w:t>
            </w:r>
          </w:p>
          <w:p w14:paraId="46430623" w14:textId="592AD0E0" w:rsidR="00F4721F" w:rsidRPr="00A2207F" w:rsidRDefault="008C79C5" w:rsidP="005B6BD0">
            <w:pPr>
              <w:pStyle w:val="TCTableBody"/>
              <w:jc w:val="center"/>
            </w:pPr>
            <w:r w:rsidRPr="00A2207F">
              <w:t>/</w:t>
            </w:r>
            <w:r w:rsidR="000A696A" w:rsidRPr="00A2207F">
              <w:t>cm</w:t>
            </w:r>
            <w:r w:rsidR="000A696A" w:rsidRPr="00A2207F">
              <w:rPr>
                <w:vertAlign w:val="superscript"/>
              </w:rPr>
              <w:t>2</w:t>
            </w:r>
            <w:r w:rsidR="000A696A" w:rsidRPr="00A2207F">
              <w:t xml:space="preserve"> V</w:t>
            </w:r>
            <w:r w:rsidR="000A696A" w:rsidRPr="00A2207F">
              <w:rPr>
                <w:vertAlign w:val="superscript"/>
              </w:rPr>
              <w:t>-1</w:t>
            </w:r>
            <w:r w:rsidR="000A696A" w:rsidRPr="00A2207F">
              <w:t xml:space="preserve"> s</w:t>
            </w:r>
            <w:r w:rsidR="000A696A" w:rsidRPr="00A2207F">
              <w:rPr>
                <w:vertAlign w:val="superscript"/>
              </w:rPr>
              <w:t>-1</w:t>
            </w:r>
          </w:p>
        </w:tc>
        <w:tc>
          <w:tcPr>
            <w:tcW w:w="1134" w:type="dxa"/>
          </w:tcPr>
          <w:p w14:paraId="68C133FD" w14:textId="5A9C112B" w:rsidR="00F4721F" w:rsidRPr="00A2207F" w:rsidRDefault="00F4721F" w:rsidP="005B6BD0">
            <w:pPr>
              <w:pStyle w:val="TCTableBody"/>
              <w:jc w:val="center"/>
            </w:pPr>
            <w:r w:rsidRPr="00A2207F">
              <w:t>V</w:t>
            </w:r>
            <w:r w:rsidRPr="00A2207F">
              <w:rPr>
                <w:vertAlign w:val="subscript"/>
              </w:rPr>
              <w:t>th,</w:t>
            </w:r>
            <w:r w:rsidRPr="00A2207F">
              <w:rPr>
                <w:vertAlign w:val="subscript"/>
              </w:rPr>
              <w:t>electro</w:t>
            </w:r>
            <w:r w:rsidR="00B53D35" w:rsidRPr="00A2207F">
              <w:rPr>
                <w:vertAlign w:val="superscript"/>
              </w:rPr>
              <w:t>c</w:t>
            </w:r>
            <w:r w:rsidR="008C79C5" w:rsidRPr="00A2207F">
              <w:t xml:space="preserve"> /</w:t>
            </w:r>
            <w:r w:rsidRPr="00A2207F">
              <w:t>V</w:t>
            </w:r>
          </w:p>
        </w:tc>
        <w:tc>
          <w:tcPr>
            <w:tcW w:w="944" w:type="dxa"/>
          </w:tcPr>
          <w:p w14:paraId="144F56E4" w14:textId="2B086A88" w:rsidR="00F4721F" w:rsidRPr="00A2207F" w:rsidRDefault="00F4721F" w:rsidP="005B6BD0">
            <w:pPr>
              <w:pStyle w:val="TCTableBody"/>
              <w:jc w:val="center"/>
              <w:rPr>
                <w:vertAlign w:val="superscript"/>
              </w:rPr>
            </w:pPr>
            <w:r w:rsidRPr="00A2207F">
              <w:t>I</w:t>
            </w:r>
            <w:r w:rsidRPr="00A2207F">
              <w:rPr>
                <w:vertAlign w:val="subscript"/>
              </w:rPr>
              <w:t>on</w:t>
            </w:r>
            <w:r w:rsidRPr="00A2207F">
              <w:t>/I</w:t>
            </w:r>
            <w:r w:rsidRPr="00A2207F">
              <w:rPr>
                <w:vertAlign w:val="subscript"/>
              </w:rPr>
              <w:t>off</w:t>
            </w:r>
            <w:r w:rsidRPr="00A2207F">
              <w:t xml:space="preserve"> for electrons</w:t>
            </w:r>
            <w:r w:rsidR="00B53D35" w:rsidRPr="00A2207F">
              <w:rPr>
                <w:vertAlign w:val="superscript"/>
              </w:rPr>
              <w:t>c</w:t>
            </w:r>
          </w:p>
        </w:tc>
      </w:tr>
      <w:tr w:rsidR="008C79C5" w:rsidRPr="00A2207F" w14:paraId="447E37BA" w14:textId="77777777" w:rsidTr="005B6BD0">
        <w:trPr>
          <w:jc w:val="center"/>
        </w:trPr>
        <w:tc>
          <w:tcPr>
            <w:tcW w:w="1271" w:type="dxa"/>
          </w:tcPr>
          <w:p w14:paraId="2111F488" w14:textId="224E7D90" w:rsidR="008C498B" w:rsidRPr="00A2207F" w:rsidRDefault="008C498B" w:rsidP="005B6BD0">
            <w:pPr>
              <w:pStyle w:val="TCTableBody"/>
              <w:jc w:val="center"/>
            </w:pPr>
            <w:r w:rsidRPr="00A2207F">
              <w:t>100</w:t>
            </w:r>
          </w:p>
        </w:tc>
        <w:tc>
          <w:tcPr>
            <w:tcW w:w="1134" w:type="dxa"/>
          </w:tcPr>
          <w:p w14:paraId="48DED894" w14:textId="3702CE27" w:rsidR="008C498B" w:rsidRPr="00A2207F" w:rsidRDefault="008C498B" w:rsidP="005B6BD0">
            <w:pPr>
              <w:pStyle w:val="TCTableBody"/>
              <w:jc w:val="center"/>
            </w:pPr>
            <w:r w:rsidRPr="00A2207F">
              <w:t>40</w:t>
            </w:r>
          </w:p>
        </w:tc>
        <w:tc>
          <w:tcPr>
            <w:tcW w:w="1648" w:type="dxa"/>
          </w:tcPr>
          <w:p w14:paraId="1D363ED0" w14:textId="66551F83" w:rsidR="008C498B" w:rsidRPr="00A2207F" w:rsidRDefault="008C498B" w:rsidP="005B6BD0">
            <w:pPr>
              <w:pStyle w:val="TCTableBody"/>
              <w:jc w:val="center"/>
              <w:rPr>
                <w:vertAlign w:val="superscript"/>
              </w:rPr>
            </w:pPr>
            <w:r w:rsidRPr="00A2207F">
              <w:t>0.04</w:t>
            </w:r>
            <w:r w:rsidR="00AF1E2B" w:rsidRPr="00A2207F">
              <w:rPr>
                <w:rFonts w:cs="Times"/>
              </w:rPr>
              <w:t>±</w:t>
            </w:r>
            <w:r w:rsidRPr="00A2207F">
              <w:t>0.003</w:t>
            </w:r>
            <w:r w:rsidR="00292CE4" w:rsidRPr="00A2207F">
              <w:rPr>
                <w:vertAlign w:val="superscript"/>
              </w:rPr>
              <w:t>d</w:t>
            </w:r>
          </w:p>
          <w:p w14:paraId="28277112" w14:textId="5FFA64E1" w:rsidR="008C498B" w:rsidRPr="00A2207F" w:rsidRDefault="008C498B" w:rsidP="005B6BD0">
            <w:pPr>
              <w:pStyle w:val="TCTableBody"/>
              <w:jc w:val="center"/>
            </w:pPr>
            <w:r w:rsidRPr="00A2207F">
              <w:t>(</w:t>
            </w:r>
            <w:r w:rsidR="00AF1E2B" w:rsidRPr="00A2207F">
              <w:t>0.046</w:t>
            </w:r>
            <w:r w:rsidR="00AF1E2B" w:rsidRPr="00A2207F">
              <w:rPr>
                <w:rFonts w:cs="Times"/>
              </w:rPr>
              <w:t>±</w:t>
            </w:r>
            <w:r w:rsidRPr="00A2207F">
              <w:t>0.002)</w:t>
            </w:r>
          </w:p>
        </w:tc>
        <w:tc>
          <w:tcPr>
            <w:tcW w:w="1038" w:type="dxa"/>
          </w:tcPr>
          <w:p w14:paraId="0C298813" w14:textId="289636B1" w:rsidR="008C498B" w:rsidRPr="00A2207F" w:rsidRDefault="00DC3358" w:rsidP="005B6BD0">
            <w:pPr>
              <w:pStyle w:val="TCTableBody"/>
              <w:jc w:val="center"/>
            </w:pPr>
            <w:r w:rsidRPr="00A2207F">
              <w:t>-120</w:t>
            </w:r>
            <w:r w:rsidRPr="00A2207F">
              <w:rPr>
                <w:rFonts w:cs="Times"/>
              </w:rPr>
              <w:t>±</w:t>
            </w:r>
            <w:r w:rsidRPr="00A2207F">
              <w:rPr>
                <w:rFonts w:cs="Times"/>
              </w:rPr>
              <w:t>8</w:t>
            </w:r>
          </w:p>
        </w:tc>
        <w:tc>
          <w:tcPr>
            <w:tcW w:w="858" w:type="dxa"/>
          </w:tcPr>
          <w:p w14:paraId="3055EDC9" w14:textId="245B0CFD" w:rsidR="008C498B" w:rsidRPr="00A2207F" w:rsidRDefault="00C75619" w:rsidP="005B6BD0">
            <w:pPr>
              <w:pStyle w:val="TCTableBody"/>
              <w:jc w:val="center"/>
              <w:rPr>
                <w:vertAlign w:val="superscript"/>
              </w:rPr>
            </w:pPr>
            <w:r w:rsidRPr="00A2207F">
              <w:t>10</w:t>
            </w:r>
            <w:r w:rsidRPr="00A2207F">
              <w:rPr>
                <w:vertAlign w:val="superscript"/>
              </w:rPr>
              <w:t>4</w:t>
            </w:r>
          </w:p>
        </w:tc>
        <w:tc>
          <w:tcPr>
            <w:tcW w:w="1559" w:type="dxa"/>
          </w:tcPr>
          <w:p w14:paraId="1836BE0A" w14:textId="3661D81F" w:rsidR="008C498B" w:rsidRPr="00A2207F" w:rsidRDefault="00AF1E2B" w:rsidP="005B6BD0">
            <w:pPr>
              <w:pStyle w:val="TCTableBody"/>
              <w:jc w:val="center"/>
            </w:pPr>
            <w:r w:rsidRPr="00A2207F">
              <w:t>0.075</w:t>
            </w:r>
            <w:r w:rsidRPr="00A2207F">
              <w:rPr>
                <w:rFonts w:cs="Times"/>
              </w:rPr>
              <w:t>±</w:t>
            </w:r>
            <w:r w:rsidR="008C79C5" w:rsidRPr="00A2207F">
              <w:t>0.01</w:t>
            </w:r>
          </w:p>
          <w:p w14:paraId="6B900A4A" w14:textId="62ACFA9F" w:rsidR="008C498B" w:rsidRPr="00A2207F" w:rsidRDefault="00AF1E2B" w:rsidP="005B6BD0">
            <w:pPr>
              <w:pStyle w:val="TCTableBody"/>
              <w:jc w:val="center"/>
            </w:pPr>
            <w:r w:rsidRPr="00A2207F">
              <w:t>(0.11</w:t>
            </w:r>
            <w:r w:rsidRPr="00A2207F">
              <w:rPr>
                <w:rFonts w:cs="Times"/>
              </w:rPr>
              <w:t>±</w:t>
            </w:r>
            <w:r w:rsidR="008C498B" w:rsidRPr="00A2207F">
              <w:t>0.03)</w:t>
            </w:r>
          </w:p>
        </w:tc>
        <w:tc>
          <w:tcPr>
            <w:tcW w:w="1134" w:type="dxa"/>
          </w:tcPr>
          <w:p w14:paraId="77FAF5DB" w14:textId="59E25120" w:rsidR="008C498B" w:rsidRPr="00A2207F" w:rsidRDefault="00DC3358" w:rsidP="005B6BD0">
            <w:pPr>
              <w:pStyle w:val="TCTableBody"/>
              <w:jc w:val="center"/>
            </w:pPr>
            <w:r w:rsidRPr="00A2207F">
              <w:t>43</w:t>
            </w:r>
            <w:r w:rsidRPr="00A2207F">
              <w:rPr>
                <w:rFonts w:cs="Times"/>
              </w:rPr>
              <w:t>±</w:t>
            </w:r>
            <w:r w:rsidRPr="00A2207F">
              <w:rPr>
                <w:rFonts w:cs="Times"/>
              </w:rPr>
              <w:t>5</w:t>
            </w:r>
          </w:p>
        </w:tc>
        <w:tc>
          <w:tcPr>
            <w:tcW w:w="944" w:type="dxa"/>
          </w:tcPr>
          <w:p w14:paraId="0FE7A3A9" w14:textId="62CAB234" w:rsidR="008C498B" w:rsidRPr="00A2207F" w:rsidRDefault="008C498B" w:rsidP="005B6BD0">
            <w:pPr>
              <w:pStyle w:val="TCTableBody"/>
              <w:jc w:val="center"/>
              <w:rPr>
                <w:vertAlign w:val="superscript"/>
              </w:rPr>
            </w:pPr>
            <w:r w:rsidRPr="00A2207F">
              <w:t>10</w:t>
            </w:r>
            <w:r w:rsidR="00C75619" w:rsidRPr="00A2207F">
              <w:rPr>
                <w:vertAlign w:val="superscript"/>
              </w:rPr>
              <w:t>5</w:t>
            </w:r>
          </w:p>
        </w:tc>
      </w:tr>
      <w:tr w:rsidR="008C79C5" w:rsidRPr="00A2207F" w14:paraId="2FF3283E" w14:textId="77777777" w:rsidTr="005B6BD0">
        <w:trPr>
          <w:jc w:val="center"/>
        </w:trPr>
        <w:tc>
          <w:tcPr>
            <w:tcW w:w="1271" w:type="dxa"/>
          </w:tcPr>
          <w:p w14:paraId="392CB04A" w14:textId="57D846EF" w:rsidR="008C498B" w:rsidRPr="00A2207F" w:rsidRDefault="008C498B" w:rsidP="005B6BD0">
            <w:pPr>
              <w:pStyle w:val="TCTableBody"/>
              <w:jc w:val="center"/>
            </w:pPr>
          </w:p>
        </w:tc>
        <w:tc>
          <w:tcPr>
            <w:tcW w:w="1134" w:type="dxa"/>
          </w:tcPr>
          <w:p w14:paraId="0273D8EF" w14:textId="01AB7D5F" w:rsidR="008C498B" w:rsidRPr="00A2207F" w:rsidRDefault="008C498B" w:rsidP="005B6BD0">
            <w:pPr>
              <w:pStyle w:val="TCTableBody"/>
              <w:jc w:val="center"/>
            </w:pPr>
            <w:r w:rsidRPr="00A2207F">
              <w:t>50</w:t>
            </w:r>
          </w:p>
        </w:tc>
        <w:tc>
          <w:tcPr>
            <w:tcW w:w="1648" w:type="dxa"/>
          </w:tcPr>
          <w:p w14:paraId="5F75E2CE" w14:textId="19DE3C80" w:rsidR="008C498B" w:rsidRPr="00A2207F" w:rsidRDefault="008C498B" w:rsidP="005B6BD0">
            <w:pPr>
              <w:pStyle w:val="TCTableBody"/>
              <w:jc w:val="center"/>
            </w:pPr>
            <w:r w:rsidRPr="00A2207F">
              <w:t>0.076</w:t>
            </w:r>
          </w:p>
          <w:p w14:paraId="3155F854" w14:textId="488AD6CC" w:rsidR="008C498B" w:rsidRPr="00A2207F" w:rsidRDefault="008C498B" w:rsidP="005B6BD0">
            <w:pPr>
              <w:pStyle w:val="TCTableBody"/>
              <w:jc w:val="center"/>
            </w:pPr>
            <w:r w:rsidRPr="00A2207F">
              <w:t>(0.09)</w:t>
            </w:r>
          </w:p>
        </w:tc>
        <w:tc>
          <w:tcPr>
            <w:tcW w:w="1038" w:type="dxa"/>
          </w:tcPr>
          <w:p w14:paraId="4A248E80" w14:textId="7A7FD235" w:rsidR="008C498B" w:rsidRPr="00A2207F" w:rsidRDefault="00DC3358" w:rsidP="005B6BD0">
            <w:pPr>
              <w:pStyle w:val="TCTableBody"/>
              <w:jc w:val="center"/>
            </w:pPr>
            <w:r w:rsidRPr="00A2207F">
              <w:t>-23</w:t>
            </w:r>
          </w:p>
        </w:tc>
        <w:tc>
          <w:tcPr>
            <w:tcW w:w="858" w:type="dxa"/>
          </w:tcPr>
          <w:p w14:paraId="777BA920" w14:textId="4BE6E598" w:rsidR="008C498B" w:rsidRPr="00A2207F" w:rsidRDefault="00C75619" w:rsidP="005B6BD0">
            <w:pPr>
              <w:pStyle w:val="TCTableBody"/>
              <w:jc w:val="center"/>
              <w:rPr>
                <w:vertAlign w:val="superscript"/>
              </w:rPr>
            </w:pPr>
            <w:r w:rsidRPr="00A2207F">
              <w:t>10</w:t>
            </w:r>
            <w:r w:rsidRPr="00A2207F">
              <w:rPr>
                <w:vertAlign w:val="superscript"/>
              </w:rPr>
              <w:t>5</w:t>
            </w:r>
          </w:p>
        </w:tc>
        <w:tc>
          <w:tcPr>
            <w:tcW w:w="1559" w:type="dxa"/>
          </w:tcPr>
          <w:p w14:paraId="715D8297" w14:textId="7DC3C26D" w:rsidR="00C75619" w:rsidRPr="00A2207F" w:rsidRDefault="008C498B" w:rsidP="005B6BD0">
            <w:pPr>
              <w:pStyle w:val="TCTableBody"/>
              <w:jc w:val="center"/>
            </w:pPr>
            <w:r w:rsidRPr="00A2207F">
              <w:t>0.075</w:t>
            </w:r>
          </w:p>
          <w:p w14:paraId="5E142EA7" w14:textId="2B67D3B7" w:rsidR="008C498B" w:rsidRPr="00A2207F" w:rsidRDefault="008C498B" w:rsidP="005B6BD0">
            <w:pPr>
              <w:pStyle w:val="TCTableBody"/>
              <w:jc w:val="center"/>
            </w:pPr>
            <w:r w:rsidRPr="00A2207F">
              <w:t>(0.094)</w:t>
            </w:r>
          </w:p>
        </w:tc>
        <w:tc>
          <w:tcPr>
            <w:tcW w:w="1134" w:type="dxa"/>
          </w:tcPr>
          <w:p w14:paraId="0A92D91D" w14:textId="14B02488" w:rsidR="008C498B" w:rsidRPr="00A2207F" w:rsidRDefault="00DC3358" w:rsidP="005B6BD0">
            <w:pPr>
              <w:pStyle w:val="TCTableBody"/>
              <w:jc w:val="center"/>
            </w:pPr>
            <w:r w:rsidRPr="00A2207F">
              <w:t>22</w:t>
            </w:r>
          </w:p>
        </w:tc>
        <w:tc>
          <w:tcPr>
            <w:tcW w:w="944" w:type="dxa"/>
          </w:tcPr>
          <w:p w14:paraId="474EAA96" w14:textId="54817257" w:rsidR="008C498B" w:rsidRPr="00A2207F" w:rsidRDefault="00C75619" w:rsidP="005B6BD0">
            <w:pPr>
              <w:pStyle w:val="TCTableBody"/>
              <w:jc w:val="center"/>
              <w:rPr>
                <w:vertAlign w:val="superscript"/>
              </w:rPr>
            </w:pPr>
            <w:r w:rsidRPr="00A2207F">
              <w:t>10</w:t>
            </w:r>
            <w:r w:rsidRPr="00A2207F">
              <w:rPr>
                <w:vertAlign w:val="superscript"/>
              </w:rPr>
              <w:t>6</w:t>
            </w:r>
          </w:p>
        </w:tc>
      </w:tr>
      <w:tr w:rsidR="008C79C5" w:rsidRPr="00A2207F" w14:paraId="7E0B118F" w14:textId="77777777" w:rsidTr="005B6BD0">
        <w:trPr>
          <w:jc w:val="center"/>
        </w:trPr>
        <w:tc>
          <w:tcPr>
            <w:tcW w:w="1271" w:type="dxa"/>
          </w:tcPr>
          <w:p w14:paraId="1E5B8DA5" w14:textId="37F644C2" w:rsidR="008C498B" w:rsidRPr="00A2207F" w:rsidRDefault="008C498B" w:rsidP="005B6BD0">
            <w:pPr>
              <w:pStyle w:val="TCTableBody"/>
              <w:jc w:val="center"/>
            </w:pPr>
          </w:p>
        </w:tc>
        <w:tc>
          <w:tcPr>
            <w:tcW w:w="1134" w:type="dxa"/>
          </w:tcPr>
          <w:p w14:paraId="3955B27B" w14:textId="2AF558C4" w:rsidR="008C498B" w:rsidRPr="00A2207F" w:rsidRDefault="008C498B" w:rsidP="005B6BD0">
            <w:pPr>
              <w:pStyle w:val="TCTableBody"/>
              <w:jc w:val="center"/>
            </w:pPr>
            <w:r w:rsidRPr="00A2207F">
              <w:t>100</w:t>
            </w:r>
          </w:p>
        </w:tc>
        <w:tc>
          <w:tcPr>
            <w:tcW w:w="1648" w:type="dxa"/>
          </w:tcPr>
          <w:p w14:paraId="051C2E3C" w14:textId="77777777" w:rsidR="008C498B" w:rsidRPr="00A2207F" w:rsidRDefault="008C498B" w:rsidP="005B6BD0">
            <w:pPr>
              <w:pStyle w:val="TCTableBody"/>
              <w:jc w:val="center"/>
            </w:pPr>
            <w:r w:rsidRPr="00A2207F">
              <w:t>0.048</w:t>
            </w:r>
          </w:p>
          <w:p w14:paraId="27ACF3B9" w14:textId="25266B05" w:rsidR="008C498B" w:rsidRPr="00A2207F" w:rsidRDefault="008C498B" w:rsidP="005B6BD0">
            <w:pPr>
              <w:pStyle w:val="TCTableBody"/>
              <w:jc w:val="center"/>
            </w:pPr>
            <w:r w:rsidRPr="00A2207F">
              <w:t>(0.069)</w:t>
            </w:r>
          </w:p>
        </w:tc>
        <w:tc>
          <w:tcPr>
            <w:tcW w:w="1038" w:type="dxa"/>
          </w:tcPr>
          <w:p w14:paraId="310ECE49" w14:textId="447630D3" w:rsidR="008C498B" w:rsidRPr="00A2207F" w:rsidRDefault="00DC3358" w:rsidP="005B6BD0">
            <w:pPr>
              <w:pStyle w:val="TCTableBody"/>
              <w:jc w:val="center"/>
            </w:pPr>
            <w:r w:rsidRPr="00A2207F">
              <w:t>-90</w:t>
            </w:r>
          </w:p>
        </w:tc>
        <w:tc>
          <w:tcPr>
            <w:tcW w:w="858" w:type="dxa"/>
          </w:tcPr>
          <w:p w14:paraId="200C8456" w14:textId="2B4CAE4D" w:rsidR="008C498B" w:rsidRPr="00A2207F" w:rsidRDefault="00C75619" w:rsidP="005B6BD0">
            <w:pPr>
              <w:pStyle w:val="TCTableBody"/>
              <w:jc w:val="center"/>
              <w:rPr>
                <w:vertAlign w:val="superscript"/>
              </w:rPr>
            </w:pPr>
            <w:r w:rsidRPr="00A2207F">
              <w:t>10</w:t>
            </w:r>
            <w:r w:rsidRPr="00A2207F">
              <w:rPr>
                <w:vertAlign w:val="superscript"/>
              </w:rPr>
              <w:t>5</w:t>
            </w:r>
          </w:p>
        </w:tc>
        <w:tc>
          <w:tcPr>
            <w:tcW w:w="1559" w:type="dxa"/>
          </w:tcPr>
          <w:p w14:paraId="057BB009" w14:textId="5A06DE2F" w:rsidR="008C498B" w:rsidRPr="00A2207F" w:rsidRDefault="008C498B" w:rsidP="005B6BD0">
            <w:pPr>
              <w:pStyle w:val="TCTableBody"/>
              <w:jc w:val="center"/>
            </w:pPr>
            <w:r w:rsidRPr="00A2207F">
              <w:t>0.079</w:t>
            </w:r>
          </w:p>
          <w:p w14:paraId="1B3DAB77" w14:textId="751CEC09" w:rsidR="008C498B" w:rsidRPr="00A2207F" w:rsidRDefault="008C498B" w:rsidP="005B6BD0">
            <w:pPr>
              <w:pStyle w:val="TCTableBody"/>
              <w:jc w:val="center"/>
            </w:pPr>
            <w:r w:rsidRPr="00A2207F">
              <w:t>(0.13)</w:t>
            </w:r>
          </w:p>
        </w:tc>
        <w:tc>
          <w:tcPr>
            <w:tcW w:w="1134" w:type="dxa"/>
          </w:tcPr>
          <w:p w14:paraId="18C6E7E6" w14:textId="053BEA12" w:rsidR="008C498B" w:rsidRPr="00A2207F" w:rsidRDefault="00DC3358" w:rsidP="005B6BD0">
            <w:pPr>
              <w:pStyle w:val="TCTableBody"/>
              <w:jc w:val="center"/>
            </w:pPr>
            <w:r w:rsidRPr="00A2207F">
              <w:t>29</w:t>
            </w:r>
          </w:p>
        </w:tc>
        <w:tc>
          <w:tcPr>
            <w:tcW w:w="944" w:type="dxa"/>
          </w:tcPr>
          <w:p w14:paraId="27E7AE01" w14:textId="49FF97C0" w:rsidR="008C498B" w:rsidRPr="00A2207F" w:rsidRDefault="008C498B" w:rsidP="005B6BD0">
            <w:pPr>
              <w:pStyle w:val="TCTableBody"/>
              <w:jc w:val="center"/>
              <w:rPr>
                <w:vertAlign w:val="superscript"/>
              </w:rPr>
            </w:pPr>
            <w:r w:rsidRPr="00A2207F">
              <w:t>1</w:t>
            </w:r>
            <w:r w:rsidR="00C75619" w:rsidRPr="00A2207F">
              <w:t>0</w:t>
            </w:r>
            <w:r w:rsidR="00C75619" w:rsidRPr="00A2207F">
              <w:rPr>
                <w:vertAlign w:val="superscript"/>
              </w:rPr>
              <w:t>6</w:t>
            </w:r>
          </w:p>
        </w:tc>
      </w:tr>
      <w:tr w:rsidR="008C79C5" w:rsidRPr="00A2207F" w14:paraId="3E898825" w14:textId="77777777" w:rsidTr="005B6BD0">
        <w:trPr>
          <w:jc w:val="center"/>
        </w:trPr>
        <w:tc>
          <w:tcPr>
            <w:tcW w:w="1271" w:type="dxa"/>
          </w:tcPr>
          <w:p w14:paraId="09AD99CE" w14:textId="6A6648B6" w:rsidR="008C498B" w:rsidRPr="00A2207F" w:rsidRDefault="008C498B" w:rsidP="005B6BD0">
            <w:pPr>
              <w:pStyle w:val="TCTableBody"/>
              <w:jc w:val="center"/>
            </w:pPr>
            <w:r w:rsidRPr="00A2207F">
              <w:t>200</w:t>
            </w:r>
          </w:p>
        </w:tc>
        <w:tc>
          <w:tcPr>
            <w:tcW w:w="1134" w:type="dxa"/>
          </w:tcPr>
          <w:p w14:paraId="63F23B3E" w14:textId="0A72EE19" w:rsidR="008C498B" w:rsidRPr="00A2207F" w:rsidRDefault="008C498B" w:rsidP="005B6BD0">
            <w:pPr>
              <w:pStyle w:val="TCTableBody"/>
              <w:jc w:val="center"/>
            </w:pPr>
            <w:r w:rsidRPr="00A2207F">
              <w:t>50</w:t>
            </w:r>
          </w:p>
        </w:tc>
        <w:tc>
          <w:tcPr>
            <w:tcW w:w="1648" w:type="dxa"/>
          </w:tcPr>
          <w:p w14:paraId="79E785CD" w14:textId="6AA6C698" w:rsidR="008C498B" w:rsidRPr="00A2207F" w:rsidRDefault="008C498B" w:rsidP="005B6BD0">
            <w:pPr>
              <w:pStyle w:val="TCTableBody"/>
              <w:jc w:val="center"/>
              <w:rPr>
                <w:vertAlign w:val="superscript"/>
              </w:rPr>
            </w:pPr>
            <w:r w:rsidRPr="00A2207F">
              <w:t xml:space="preserve">0.23 </w:t>
            </w:r>
            <w:r w:rsidR="00AF1E2B" w:rsidRPr="00A2207F">
              <w:rPr>
                <w:rFonts w:cs="Times"/>
              </w:rPr>
              <w:t>±</w:t>
            </w:r>
            <w:r w:rsidRPr="00A2207F">
              <w:t xml:space="preserve"> 0.1</w:t>
            </w:r>
            <w:r w:rsidR="00292CE4" w:rsidRPr="00A2207F">
              <w:rPr>
                <w:vertAlign w:val="superscript"/>
              </w:rPr>
              <w:t>e</w:t>
            </w:r>
          </w:p>
          <w:p w14:paraId="5ED79755" w14:textId="158CFE58" w:rsidR="008C498B" w:rsidRPr="00A2207F" w:rsidRDefault="008C498B" w:rsidP="005B6BD0">
            <w:pPr>
              <w:pStyle w:val="TCTableBody"/>
              <w:jc w:val="center"/>
            </w:pPr>
            <w:r w:rsidRPr="00A2207F">
              <w:t>(0.52</w:t>
            </w:r>
            <w:r w:rsidR="00AF1E2B" w:rsidRPr="00A2207F">
              <w:rPr>
                <w:rFonts w:cs="Times"/>
              </w:rPr>
              <w:t>±</w:t>
            </w:r>
            <w:r w:rsidRPr="00A2207F">
              <w:t>0.08)</w:t>
            </w:r>
          </w:p>
        </w:tc>
        <w:tc>
          <w:tcPr>
            <w:tcW w:w="1038" w:type="dxa"/>
          </w:tcPr>
          <w:p w14:paraId="0FD5819B" w14:textId="295B702F" w:rsidR="008C498B" w:rsidRPr="00A2207F" w:rsidRDefault="00DC3358" w:rsidP="005B6BD0">
            <w:pPr>
              <w:pStyle w:val="TCTableBody"/>
              <w:jc w:val="center"/>
            </w:pPr>
            <w:r w:rsidRPr="00A2207F">
              <w:t>-131</w:t>
            </w:r>
            <w:r w:rsidRPr="00A2207F">
              <w:rPr>
                <w:rFonts w:cs="Times"/>
              </w:rPr>
              <w:t>±</w:t>
            </w:r>
            <w:r w:rsidRPr="00A2207F">
              <w:rPr>
                <w:rFonts w:cs="Times"/>
              </w:rPr>
              <w:t>2</w:t>
            </w:r>
          </w:p>
        </w:tc>
        <w:tc>
          <w:tcPr>
            <w:tcW w:w="858" w:type="dxa"/>
          </w:tcPr>
          <w:p w14:paraId="0CD9D61A" w14:textId="419D638F" w:rsidR="008C498B" w:rsidRPr="00A2207F" w:rsidRDefault="00C75619" w:rsidP="005B6BD0">
            <w:pPr>
              <w:pStyle w:val="TCTableBody"/>
              <w:jc w:val="center"/>
              <w:rPr>
                <w:vertAlign w:val="superscript"/>
              </w:rPr>
            </w:pPr>
            <w:r w:rsidRPr="00A2207F">
              <w:t>10</w:t>
            </w:r>
            <w:r w:rsidRPr="00A2207F">
              <w:rPr>
                <w:vertAlign w:val="superscript"/>
              </w:rPr>
              <w:t>3</w:t>
            </w:r>
          </w:p>
        </w:tc>
        <w:tc>
          <w:tcPr>
            <w:tcW w:w="1559" w:type="dxa"/>
          </w:tcPr>
          <w:p w14:paraId="6E3D2E2E" w14:textId="5CD4F0B9" w:rsidR="008C498B" w:rsidRPr="00A2207F" w:rsidRDefault="008C498B" w:rsidP="005B6BD0">
            <w:pPr>
              <w:pStyle w:val="TCTableBody"/>
              <w:jc w:val="center"/>
            </w:pPr>
            <w:r w:rsidRPr="00A2207F">
              <w:t xml:space="preserve">0.48 </w:t>
            </w:r>
            <w:r w:rsidR="00AF1E2B" w:rsidRPr="00A2207F">
              <w:rPr>
                <w:rFonts w:cs="Times"/>
              </w:rPr>
              <w:t>±</w:t>
            </w:r>
            <w:r w:rsidRPr="00A2207F">
              <w:t xml:space="preserve"> 0</w:t>
            </w:r>
          </w:p>
          <w:p w14:paraId="1BF75F2A" w14:textId="07DE7533" w:rsidR="008C498B" w:rsidRPr="00A2207F" w:rsidRDefault="008C498B" w:rsidP="005B6BD0">
            <w:pPr>
              <w:pStyle w:val="TCTableBody"/>
              <w:jc w:val="center"/>
            </w:pPr>
            <w:r w:rsidRPr="00A2207F">
              <w:t xml:space="preserve">(1.2 </w:t>
            </w:r>
            <w:r w:rsidR="00AF1E2B" w:rsidRPr="00A2207F">
              <w:rPr>
                <w:rFonts w:cs="Times"/>
              </w:rPr>
              <w:t>±</w:t>
            </w:r>
            <w:r w:rsidRPr="00A2207F">
              <w:t>0.05)</w:t>
            </w:r>
          </w:p>
        </w:tc>
        <w:tc>
          <w:tcPr>
            <w:tcW w:w="1134" w:type="dxa"/>
          </w:tcPr>
          <w:p w14:paraId="242EA137" w14:textId="6EA5D339" w:rsidR="008C498B" w:rsidRPr="00A2207F" w:rsidRDefault="00DC3358" w:rsidP="005B6BD0">
            <w:pPr>
              <w:pStyle w:val="TCTableBody"/>
              <w:jc w:val="center"/>
            </w:pPr>
            <w:r w:rsidRPr="00A2207F">
              <w:t>52</w:t>
            </w:r>
            <w:r w:rsidRPr="00A2207F">
              <w:rPr>
                <w:rFonts w:cs="Times"/>
              </w:rPr>
              <w:t>±</w:t>
            </w:r>
            <w:r w:rsidRPr="00A2207F">
              <w:rPr>
                <w:rFonts w:cs="Times"/>
              </w:rPr>
              <w:t>3</w:t>
            </w:r>
          </w:p>
        </w:tc>
        <w:tc>
          <w:tcPr>
            <w:tcW w:w="944" w:type="dxa"/>
          </w:tcPr>
          <w:p w14:paraId="7C0A9F2D" w14:textId="71902E1D" w:rsidR="008C498B" w:rsidRPr="00A2207F" w:rsidRDefault="00C75619" w:rsidP="005B6BD0">
            <w:pPr>
              <w:pStyle w:val="TCTableBody"/>
              <w:jc w:val="center"/>
              <w:rPr>
                <w:vertAlign w:val="superscript"/>
              </w:rPr>
            </w:pPr>
            <w:r w:rsidRPr="00A2207F">
              <w:t>10</w:t>
            </w:r>
            <w:r w:rsidRPr="00A2207F">
              <w:rPr>
                <w:vertAlign w:val="superscript"/>
              </w:rPr>
              <w:t>6</w:t>
            </w:r>
          </w:p>
        </w:tc>
      </w:tr>
    </w:tbl>
    <w:p w14:paraId="3EBA4D24" w14:textId="0C2AC059" w:rsidR="0021252C" w:rsidRPr="00A2207F" w:rsidRDefault="00B53D35" w:rsidP="005B6BD0">
      <w:pPr>
        <w:pStyle w:val="FETableFootnote"/>
      </w:pPr>
      <w:r w:rsidRPr="00A2207F">
        <w:rPr>
          <w:i/>
          <w:vertAlign w:val="superscript"/>
        </w:rPr>
        <w:t>a</w:t>
      </w:r>
      <w:r w:rsidRPr="00A2207F">
        <w:rPr>
          <w:i/>
        </w:rPr>
        <w:t>μ</w:t>
      </w:r>
      <w:r w:rsidRPr="00A2207F">
        <w:rPr>
          <w:vertAlign w:val="subscript"/>
        </w:rPr>
        <w:t xml:space="preserve">hole </w:t>
      </w:r>
      <w:r w:rsidRPr="00A2207F">
        <w:t xml:space="preserve">and </w:t>
      </w:r>
      <w:r w:rsidRPr="00A2207F">
        <w:rPr>
          <w:i/>
        </w:rPr>
        <w:t>μ</w:t>
      </w:r>
      <w:r w:rsidRPr="00A2207F">
        <w:rPr>
          <w:vertAlign w:val="subscript"/>
        </w:rPr>
        <w:t>electron</w:t>
      </w:r>
      <w:r w:rsidRPr="00A2207F">
        <w:t xml:space="preserve"> refer to the highest effective mobilities measured in the saturation regime for a gate-voltage range of 20 V. </w:t>
      </w:r>
      <w:r w:rsidRPr="00A2207F">
        <w:rPr>
          <w:vertAlign w:val="superscript"/>
        </w:rPr>
        <w:t>b</w:t>
      </w:r>
      <w:r w:rsidRPr="00A2207F">
        <w:t xml:space="preserve">Peak values for saturation regime mobility are given in brackets next to the best-fit values because the second derivative plots are noisier. </w:t>
      </w:r>
      <w:r w:rsidRPr="00A2207F">
        <w:rPr>
          <w:vertAlign w:val="superscript"/>
        </w:rPr>
        <w:t>c</w:t>
      </w:r>
      <w:r w:rsidRPr="00A2207F">
        <w:t>The threshold voltages (V</w:t>
      </w:r>
      <w:r w:rsidR="00292CE4" w:rsidRPr="00A2207F">
        <w:rPr>
          <w:vertAlign w:val="subscript"/>
        </w:rPr>
        <w:t>th</w:t>
      </w:r>
      <w:r w:rsidRPr="00A2207F">
        <w:t>) and the on-to-off ratios (I</w:t>
      </w:r>
      <w:r w:rsidRPr="00A2207F">
        <w:rPr>
          <w:vertAlign w:val="subscript"/>
        </w:rPr>
        <w:t>on</w:t>
      </w:r>
      <w:r w:rsidRPr="00A2207F">
        <w:t>/I</w:t>
      </w:r>
      <w:r w:rsidRPr="00A2207F">
        <w:rPr>
          <w:vertAlign w:val="subscript"/>
        </w:rPr>
        <w:t>off</w:t>
      </w:r>
      <w:r w:rsidRPr="00A2207F">
        <w:t>) were extracted from the linear regime (V</w:t>
      </w:r>
      <w:r w:rsidRPr="00A2207F">
        <w:rPr>
          <w:vertAlign w:val="subscript"/>
        </w:rPr>
        <w:t>d</w:t>
      </w:r>
      <w:r w:rsidRPr="00A2207F">
        <w:t xml:space="preserve"> = −30 V (all devices) except for 200 </w:t>
      </w:r>
      <w:r w:rsidRPr="00A2207F">
        <w:rPr>
          <w:vertAlign w:val="superscript"/>
        </w:rPr>
        <w:t>o</w:t>
      </w:r>
      <w:r w:rsidRPr="00A2207F">
        <w:t>C a</w:t>
      </w:r>
      <w:r w:rsidR="00292CE4" w:rsidRPr="00A2207F">
        <w:t>nnealed (-90V) for holes and V</w:t>
      </w:r>
      <w:r w:rsidR="00292CE4" w:rsidRPr="00A2207F">
        <w:rPr>
          <w:vertAlign w:val="subscript"/>
        </w:rPr>
        <w:t>d</w:t>
      </w:r>
      <w:r w:rsidRPr="00A2207F">
        <w:t xml:space="preserve"> = 30 V (all devices) </w:t>
      </w:r>
      <w:r w:rsidR="00134A50" w:rsidRPr="00A2207F">
        <w:t>except for 40 µm device (</w:t>
      </w:r>
      <w:r w:rsidRPr="00A2207F">
        <w:t>60 V) for electrons).</w:t>
      </w:r>
      <w:r w:rsidR="00292CE4" w:rsidRPr="00A2207F">
        <w:rPr>
          <w:vertAlign w:val="superscript"/>
        </w:rPr>
        <w:t>d</w:t>
      </w:r>
      <w:r w:rsidR="00292CE4" w:rsidRPr="00A2207F">
        <w:t>Average of 4 devices.</w:t>
      </w:r>
      <w:r w:rsidR="00292CE4" w:rsidRPr="00A2207F">
        <w:rPr>
          <w:vertAlign w:val="superscript"/>
        </w:rPr>
        <w:t>e</w:t>
      </w:r>
      <w:r w:rsidR="00292CE4" w:rsidRPr="00A2207F">
        <w:t>Average of 2 devices</w:t>
      </w:r>
    </w:p>
    <w:p w14:paraId="70EB6FC1" w14:textId="77777777" w:rsidR="00540C92" w:rsidRPr="00A2207F" w:rsidRDefault="00540C92" w:rsidP="00540C92">
      <w:pPr>
        <w:pStyle w:val="VDTableTitle"/>
        <w:rPr>
          <w:b/>
        </w:rPr>
      </w:pPr>
      <w:r w:rsidRPr="00A2207F">
        <w:rPr>
          <w:b/>
        </w:rPr>
        <w:t xml:space="preserve">Table 2. </w:t>
      </w:r>
      <w:r w:rsidRPr="00A2207F">
        <w:t xml:space="preserve">OFET </w:t>
      </w:r>
      <w:r w:rsidR="004D6308" w:rsidRPr="00A2207F">
        <w:t>Characteristics</w:t>
      </w:r>
      <w:r w:rsidRPr="00A2207F">
        <w:t xml:space="preserve"> of </w:t>
      </w:r>
      <w:r w:rsidRPr="00A2207F">
        <w:rPr>
          <w:b/>
        </w:rPr>
        <w:t>INDT-T</w:t>
      </w:r>
    </w:p>
    <w:p w14:paraId="15B56A76" w14:textId="7CD163B2" w:rsidR="00DE343D" w:rsidRPr="00A2207F" w:rsidRDefault="00A902AB" w:rsidP="005B6BD0">
      <w:pPr>
        <w:pStyle w:val="TAMainText"/>
        <w:jc w:val="center"/>
        <w:rPr>
          <w:lang w:val="en-GB"/>
        </w:rPr>
      </w:pPr>
      <w:r w:rsidRPr="00A2207F">
        <w:rPr>
          <w:noProof/>
          <w:lang w:val="en-GB" w:eastAsia="en-GB"/>
        </w:rPr>
        <w:lastRenderedPageBreak/>
        <w:drawing>
          <wp:inline distT="0" distB="0" distL="0" distR="0" wp14:anchorId="5FE9DB2B" wp14:editId="78AAAB16">
            <wp:extent cx="4213860" cy="6355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3860" cy="6355080"/>
                    </a:xfrm>
                    <a:prstGeom prst="rect">
                      <a:avLst/>
                    </a:prstGeom>
                    <a:noFill/>
                  </pic:spPr>
                </pic:pic>
              </a:graphicData>
            </a:graphic>
          </wp:inline>
        </w:drawing>
      </w:r>
    </w:p>
    <w:p w14:paraId="6B7576AE" w14:textId="68AC5713" w:rsidR="00580813" w:rsidRPr="00A2207F" w:rsidRDefault="00580813" w:rsidP="005B6BD0">
      <w:pPr>
        <w:pStyle w:val="VAFigureCaption"/>
        <w:rPr>
          <w:lang w:val="en-GB"/>
        </w:rPr>
      </w:pPr>
      <w:r w:rsidRPr="00A2207F">
        <w:rPr>
          <w:b/>
          <w:lang w:val="en-GB"/>
        </w:rPr>
        <w:t xml:space="preserve">Figure 4. </w:t>
      </w:r>
      <w:r w:rsidRPr="00A2207F">
        <w:rPr>
          <w:lang w:val="en-GB"/>
        </w:rPr>
        <w:t xml:space="preserve">The </w:t>
      </w:r>
      <w:r w:rsidRPr="00A2207F">
        <w:t>transfer</w:t>
      </w:r>
      <w:r w:rsidRPr="00A2207F">
        <w:rPr>
          <w:lang w:val="en-GB"/>
        </w:rPr>
        <w:t xml:space="preserve"> and output </w:t>
      </w:r>
      <w:r w:rsidRPr="00A2207F">
        <w:t xml:space="preserve">characteristics of </w:t>
      </w:r>
      <w:r w:rsidR="00A902AB" w:rsidRPr="00A2207F">
        <w:t xml:space="preserve">an </w:t>
      </w:r>
      <w:r w:rsidRPr="00A2207F">
        <w:t>OFET devices</w:t>
      </w:r>
      <w:r w:rsidR="00256EF9" w:rsidRPr="00A2207F">
        <w:t xml:space="preserve"> of </w:t>
      </w:r>
      <w:r w:rsidR="00256EF9" w:rsidRPr="00A2207F">
        <w:rPr>
          <w:b/>
        </w:rPr>
        <w:t>INDT-T</w:t>
      </w:r>
      <w:r w:rsidR="00A902AB" w:rsidRPr="00A2207F">
        <w:rPr>
          <w:b/>
        </w:rPr>
        <w:t xml:space="preserve"> </w:t>
      </w:r>
      <w:r w:rsidR="00A902AB" w:rsidRPr="00A2207F">
        <w:t>annealed at 200</w:t>
      </w:r>
      <w:r w:rsidR="00A902AB" w:rsidRPr="00A2207F">
        <w:rPr>
          <w:vertAlign w:val="superscript"/>
        </w:rPr>
        <w:t>o</w:t>
      </w:r>
      <w:r w:rsidR="00A902AB" w:rsidRPr="00A2207F">
        <w:t>C</w:t>
      </w:r>
    </w:p>
    <w:p w14:paraId="4A75BABA" w14:textId="77040205" w:rsidR="002570C9" w:rsidRPr="00A2207F" w:rsidRDefault="002570C9" w:rsidP="002570C9">
      <w:pPr>
        <w:pStyle w:val="TAMainText"/>
      </w:pPr>
      <w:r w:rsidRPr="00A2207F">
        <w:t xml:space="preserve">The threshold voltage for electrons was in the range of ~20-50V which are comparable to values measured in DPP and iso-indigo based OFETs. However the large threshold voltages for holes </w:t>
      </w:r>
      <w:r w:rsidRPr="00A2207F">
        <w:lastRenderedPageBreak/>
        <w:t>indicates an injection barrier for holes. We attribute this to non-optimized matching of the electrodes and the polymer HOMO.</w:t>
      </w:r>
      <w:r w:rsidRPr="00A2207F">
        <w:t xml:space="preserve"> To overcome this OFETs with UV-O</w:t>
      </w:r>
      <w:r w:rsidRPr="00A2207F">
        <w:rPr>
          <w:vertAlign w:val="subscript"/>
        </w:rPr>
        <w:t>3</w:t>
      </w:r>
      <w:r w:rsidRPr="00A2207F">
        <w:t xml:space="preserve"> treated Au electrodes with an Al adhesion layer (40 nm + 5 nm) for optimized hole injection due to a deeper work function were fabricated.</w:t>
      </w:r>
      <w:r w:rsidR="00C92808" w:rsidRPr="00A2207F">
        <w:t xml:space="preserve"> The results are shown in Table 3.</w:t>
      </w:r>
    </w:p>
    <w:tbl>
      <w:tblPr>
        <w:tblStyle w:val="TableGrid"/>
        <w:tblW w:w="5949" w:type="dxa"/>
        <w:jc w:val="center"/>
        <w:tblLayout w:type="fixed"/>
        <w:tblLook w:val="04A0" w:firstRow="1" w:lastRow="0" w:firstColumn="1" w:lastColumn="0" w:noHBand="0" w:noVBand="1"/>
      </w:tblPr>
      <w:tblGrid>
        <w:gridCol w:w="1271"/>
        <w:gridCol w:w="1134"/>
        <w:gridCol w:w="1648"/>
        <w:gridCol w:w="1038"/>
        <w:gridCol w:w="858"/>
      </w:tblGrid>
      <w:tr w:rsidR="00B6742C" w:rsidRPr="00A2207F" w14:paraId="676CB226" w14:textId="77777777" w:rsidTr="005B6BD0">
        <w:trPr>
          <w:jc w:val="center"/>
        </w:trPr>
        <w:tc>
          <w:tcPr>
            <w:tcW w:w="1271" w:type="dxa"/>
          </w:tcPr>
          <w:p w14:paraId="138A9849" w14:textId="77777777" w:rsidR="00B6742C" w:rsidRPr="00A2207F" w:rsidRDefault="00B6742C" w:rsidP="0009568E">
            <w:pPr>
              <w:pStyle w:val="TCTableBody"/>
              <w:jc w:val="center"/>
            </w:pPr>
            <w:r w:rsidRPr="00A2207F">
              <w:t>Annealing Temp.</w:t>
            </w:r>
          </w:p>
          <w:p w14:paraId="4700DE51" w14:textId="77777777" w:rsidR="00B6742C" w:rsidRPr="00A2207F" w:rsidRDefault="00B6742C" w:rsidP="0009568E">
            <w:pPr>
              <w:pStyle w:val="TCTableBody"/>
              <w:jc w:val="center"/>
            </w:pPr>
            <w:r w:rsidRPr="00A2207F">
              <w:t>/</w:t>
            </w:r>
            <w:r w:rsidRPr="00A2207F">
              <w:rPr>
                <w:vertAlign w:val="superscript"/>
              </w:rPr>
              <w:t>o</w:t>
            </w:r>
            <w:r w:rsidRPr="00A2207F">
              <w:t>C</w:t>
            </w:r>
          </w:p>
        </w:tc>
        <w:tc>
          <w:tcPr>
            <w:tcW w:w="1134" w:type="dxa"/>
          </w:tcPr>
          <w:p w14:paraId="075DB34E" w14:textId="77777777" w:rsidR="00B6742C" w:rsidRPr="00A2207F" w:rsidRDefault="00B6742C" w:rsidP="0009568E">
            <w:pPr>
              <w:pStyle w:val="TCTableBody"/>
              <w:jc w:val="center"/>
            </w:pPr>
            <w:r w:rsidRPr="00A2207F">
              <w:t>Channel Length /</w:t>
            </w:r>
            <w:r w:rsidRPr="00A2207F">
              <w:rPr>
                <w:rFonts w:cs="Times"/>
              </w:rPr>
              <w:t>µ</w:t>
            </w:r>
            <w:r w:rsidRPr="00A2207F">
              <w:t>m</w:t>
            </w:r>
          </w:p>
        </w:tc>
        <w:tc>
          <w:tcPr>
            <w:tcW w:w="1648" w:type="dxa"/>
          </w:tcPr>
          <w:p w14:paraId="30B45DB3" w14:textId="77777777" w:rsidR="00B6742C" w:rsidRPr="00A2207F" w:rsidRDefault="00B6742C" w:rsidP="0009568E">
            <w:pPr>
              <w:pStyle w:val="TCTableBody"/>
              <w:jc w:val="center"/>
              <w:rPr>
                <w:rFonts w:cs="Times"/>
                <w:vertAlign w:val="superscript"/>
              </w:rPr>
            </w:pPr>
            <w:r w:rsidRPr="00A2207F">
              <w:rPr>
                <w:rFonts w:cs="Times"/>
                <w:i/>
              </w:rPr>
              <w:t>µ</w:t>
            </w:r>
            <w:r w:rsidRPr="00A2207F">
              <w:rPr>
                <w:rFonts w:cs="Times"/>
                <w:vertAlign w:val="subscript"/>
              </w:rPr>
              <w:t>hole</w:t>
            </w:r>
            <w:r w:rsidRPr="00A2207F">
              <w:rPr>
                <w:rFonts w:cs="Times"/>
                <w:vertAlign w:val="superscript"/>
              </w:rPr>
              <w:t>a,b</w:t>
            </w:r>
          </w:p>
          <w:p w14:paraId="127B75DF" w14:textId="77777777" w:rsidR="00B6742C" w:rsidRPr="00A2207F" w:rsidRDefault="00B6742C" w:rsidP="0009568E">
            <w:pPr>
              <w:pStyle w:val="TCTableBody"/>
              <w:jc w:val="center"/>
            </w:pPr>
            <w:r w:rsidRPr="00A2207F">
              <w:t>(peak value)</w:t>
            </w:r>
          </w:p>
          <w:p w14:paraId="25659752" w14:textId="77777777" w:rsidR="00B6742C" w:rsidRPr="00A2207F" w:rsidRDefault="00B6742C" w:rsidP="0009568E">
            <w:pPr>
              <w:pStyle w:val="TCTableBody"/>
              <w:jc w:val="center"/>
              <w:rPr>
                <w:vertAlign w:val="superscript"/>
              </w:rPr>
            </w:pPr>
            <w:r w:rsidRPr="00A2207F">
              <w:t>/cm</w:t>
            </w:r>
            <w:r w:rsidRPr="00A2207F">
              <w:rPr>
                <w:vertAlign w:val="superscript"/>
              </w:rPr>
              <w:t>2</w:t>
            </w:r>
            <w:r w:rsidRPr="00A2207F">
              <w:t xml:space="preserve"> V</w:t>
            </w:r>
            <w:r w:rsidRPr="00A2207F">
              <w:rPr>
                <w:vertAlign w:val="superscript"/>
              </w:rPr>
              <w:t>-1</w:t>
            </w:r>
            <w:r w:rsidRPr="00A2207F">
              <w:t xml:space="preserve"> s</w:t>
            </w:r>
            <w:r w:rsidRPr="00A2207F">
              <w:rPr>
                <w:vertAlign w:val="superscript"/>
              </w:rPr>
              <w:t>-1</w:t>
            </w:r>
          </w:p>
        </w:tc>
        <w:tc>
          <w:tcPr>
            <w:tcW w:w="1038" w:type="dxa"/>
          </w:tcPr>
          <w:p w14:paraId="456AFE2E" w14:textId="77777777" w:rsidR="00B6742C" w:rsidRPr="00A2207F" w:rsidRDefault="00B6742C" w:rsidP="0009568E">
            <w:pPr>
              <w:pStyle w:val="TCTableBody"/>
              <w:jc w:val="center"/>
            </w:pPr>
            <w:r w:rsidRPr="00A2207F">
              <w:t>V</w:t>
            </w:r>
            <w:r w:rsidRPr="00A2207F">
              <w:rPr>
                <w:vertAlign w:val="subscript"/>
              </w:rPr>
              <w:t>th,,hole</w:t>
            </w:r>
            <w:r w:rsidRPr="00A2207F">
              <w:rPr>
                <w:vertAlign w:val="superscript"/>
              </w:rPr>
              <w:t>c</w:t>
            </w:r>
            <w:r w:rsidRPr="00A2207F">
              <w:t xml:space="preserve"> /V</w:t>
            </w:r>
          </w:p>
        </w:tc>
        <w:tc>
          <w:tcPr>
            <w:tcW w:w="858" w:type="dxa"/>
          </w:tcPr>
          <w:p w14:paraId="34A5F8F0" w14:textId="77777777" w:rsidR="00B6742C" w:rsidRPr="00A2207F" w:rsidRDefault="00B6742C" w:rsidP="0009568E">
            <w:pPr>
              <w:pStyle w:val="TCTableBody"/>
              <w:jc w:val="center"/>
              <w:rPr>
                <w:vertAlign w:val="superscript"/>
              </w:rPr>
            </w:pPr>
            <w:r w:rsidRPr="00A2207F">
              <w:t>I</w:t>
            </w:r>
            <w:r w:rsidRPr="00A2207F">
              <w:rPr>
                <w:vertAlign w:val="subscript"/>
              </w:rPr>
              <w:t>on</w:t>
            </w:r>
            <w:r w:rsidRPr="00A2207F">
              <w:t>/I</w:t>
            </w:r>
            <w:r w:rsidRPr="00A2207F">
              <w:rPr>
                <w:vertAlign w:val="subscript"/>
              </w:rPr>
              <w:t>off</w:t>
            </w:r>
            <w:r w:rsidRPr="00A2207F">
              <w:t xml:space="preserve"> for holes</w:t>
            </w:r>
            <w:r w:rsidRPr="00A2207F">
              <w:rPr>
                <w:vertAlign w:val="superscript"/>
              </w:rPr>
              <w:t>c</w:t>
            </w:r>
          </w:p>
        </w:tc>
      </w:tr>
      <w:tr w:rsidR="00B6742C" w:rsidRPr="00A2207F" w14:paraId="7E3EC976" w14:textId="77777777" w:rsidTr="005B6BD0">
        <w:trPr>
          <w:jc w:val="center"/>
        </w:trPr>
        <w:tc>
          <w:tcPr>
            <w:tcW w:w="1271" w:type="dxa"/>
          </w:tcPr>
          <w:p w14:paraId="4FFB3CC3" w14:textId="77777777" w:rsidR="00B6742C" w:rsidRPr="00A2207F" w:rsidRDefault="00B6742C" w:rsidP="0009568E">
            <w:pPr>
              <w:pStyle w:val="TCTableBody"/>
              <w:jc w:val="center"/>
            </w:pPr>
            <w:r w:rsidRPr="00A2207F">
              <w:t>100</w:t>
            </w:r>
          </w:p>
        </w:tc>
        <w:tc>
          <w:tcPr>
            <w:tcW w:w="1134" w:type="dxa"/>
          </w:tcPr>
          <w:p w14:paraId="7456E053" w14:textId="5626134D" w:rsidR="00B6742C" w:rsidRPr="00A2207F" w:rsidRDefault="00B6742C" w:rsidP="0009568E">
            <w:pPr>
              <w:pStyle w:val="TCTableBody"/>
              <w:jc w:val="center"/>
            </w:pPr>
            <w:r w:rsidRPr="00A2207F">
              <w:t>3</w:t>
            </w:r>
            <w:r w:rsidRPr="00A2207F">
              <w:t>0</w:t>
            </w:r>
          </w:p>
        </w:tc>
        <w:tc>
          <w:tcPr>
            <w:tcW w:w="1648" w:type="dxa"/>
          </w:tcPr>
          <w:p w14:paraId="43E8C80A" w14:textId="2BB516A6" w:rsidR="00B6742C" w:rsidRPr="00A2207F" w:rsidRDefault="00B6742C" w:rsidP="0009568E">
            <w:pPr>
              <w:pStyle w:val="TCTableBody"/>
              <w:jc w:val="center"/>
              <w:rPr>
                <w:vertAlign w:val="superscript"/>
              </w:rPr>
            </w:pPr>
            <w:r w:rsidRPr="00A2207F">
              <w:t>0.1</w:t>
            </w:r>
            <w:r w:rsidRPr="00A2207F">
              <w:rPr>
                <w:rFonts w:cs="Times"/>
              </w:rPr>
              <w:t>±</w:t>
            </w:r>
            <w:r w:rsidRPr="00A2207F">
              <w:t>0.01</w:t>
            </w:r>
            <w:r w:rsidRPr="00A2207F">
              <w:rPr>
                <w:vertAlign w:val="superscript"/>
              </w:rPr>
              <w:t>d</w:t>
            </w:r>
          </w:p>
          <w:p w14:paraId="544EF316" w14:textId="78BECF70" w:rsidR="00B6742C" w:rsidRPr="00A2207F" w:rsidRDefault="00B6742C" w:rsidP="0009568E">
            <w:pPr>
              <w:pStyle w:val="TCTableBody"/>
              <w:jc w:val="center"/>
            </w:pPr>
            <w:r w:rsidRPr="00A2207F">
              <w:t>(</w:t>
            </w:r>
            <w:r w:rsidRPr="00A2207F">
              <w:t>0.13</w:t>
            </w:r>
            <w:r w:rsidRPr="00A2207F">
              <w:rPr>
                <w:rFonts w:cs="Times"/>
              </w:rPr>
              <w:t>±</w:t>
            </w:r>
            <w:r w:rsidRPr="00A2207F">
              <w:t>0.015</w:t>
            </w:r>
            <w:r w:rsidRPr="00A2207F">
              <w:t>)</w:t>
            </w:r>
          </w:p>
        </w:tc>
        <w:tc>
          <w:tcPr>
            <w:tcW w:w="1038" w:type="dxa"/>
          </w:tcPr>
          <w:p w14:paraId="73D06975" w14:textId="53ADEE59" w:rsidR="00B6742C" w:rsidRPr="00A2207F" w:rsidRDefault="00B6742C" w:rsidP="0009568E">
            <w:pPr>
              <w:pStyle w:val="TCTableBody"/>
              <w:jc w:val="center"/>
            </w:pPr>
            <w:r w:rsidRPr="00A2207F">
              <w:t>-14</w:t>
            </w:r>
            <w:r w:rsidRPr="00A2207F">
              <w:rPr>
                <w:rFonts w:cs="Times"/>
              </w:rPr>
              <w:t>±</w:t>
            </w:r>
            <w:r w:rsidRPr="00A2207F">
              <w:rPr>
                <w:rFonts w:cs="Times"/>
              </w:rPr>
              <w:t>0.5</w:t>
            </w:r>
          </w:p>
        </w:tc>
        <w:tc>
          <w:tcPr>
            <w:tcW w:w="858" w:type="dxa"/>
          </w:tcPr>
          <w:p w14:paraId="1D6A9EDF" w14:textId="77777777" w:rsidR="00B6742C" w:rsidRPr="00A2207F" w:rsidRDefault="00B6742C" w:rsidP="0009568E">
            <w:pPr>
              <w:pStyle w:val="TCTableBody"/>
              <w:jc w:val="center"/>
              <w:rPr>
                <w:vertAlign w:val="superscript"/>
              </w:rPr>
            </w:pPr>
            <w:r w:rsidRPr="00A2207F">
              <w:t>10</w:t>
            </w:r>
            <w:r w:rsidRPr="00A2207F">
              <w:rPr>
                <w:vertAlign w:val="superscript"/>
              </w:rPr>
              <w:t>4</w:t>
            </w:r>
          </w:p>
        </w:tc>
      </w:tr>
    </w:tbl>
    <w:p w14:paraId="4ED674A6" w14:textId="79325053" w:rsidR="00B6742C" w:rsidRPr="00A2207F" w:rsidRDefault="00B6742C" w:rsidP="00B6742C">
      <w:pPr>
        <w:pStyle w:val="FETableFootnote"/>
      </w:pPr>
      <w:r w:rsidRPr="00A2207F">
        <w:rPr>
          <w:i/>
          <w:vertAlign w:val="superscript"/>
        </w:rPr>
        <w:t>a</w:t>
      </w:r>
      <w:r w:rsidRPr="00A2207F">
        <w:rPr>
          <w:i/>
        </w:rPr>
        <w:t>μ</w:t>
      </w:r>
      <w:r w:rsidRPr="00A2207F">
        <w:rPr>
          <w:vertAlign w:val="subscript"/>
        </w:rPr>
        <w:t xml:space="preserve">hole </w:t>
      </w:r>
      <w:r w:rsidRPr="00A2207F">
        <w:t>refer</w:t>
      </w:r>
      <w:r w:rsidRPr="00A2207F">
        <w:t>s</w:t>
      </w:r>
      <w:r w:rsidRPr="00A2207F">
        <w:t xml:space="preserve"> to the highest effective mobilities measured in the saturation regime for a gate-voltage range of 20 V. </w:t>
      </w:r>
      <w:r w:rsidRPr="00A2207F">
        <w:rPr>
          <w:vertAlign w:val="superscript"/>
        </w:rPr>
        <w:t>b</w:t>
      </w:r>
      <w:r w:rsidRPr="00A2207F">
        <w:t xml:space="preserve">Peak values for saturation regime mobility are given in brackets next to the best-fit values because the second derivative plots are noisier. </w:t>
      </w:r>
      <w:r w:rsidRPr="00A2207F">
        <w:rPr>
          <w:vertAlign w:val="superscript"/>
        </w:rPr>
        <w:t>c</w:t>
      </w:r>
      <w:r w:rsidRPr="00A2207F">
        <w:t>The threshold voltages (V</w:t>
      </w:r>
      <w:r w:rsidRPr="00A2207F">
        <w:rPr>
          <w:vertAlign w:val="subscript"/>
        </w:rPr>
        <w:t>th</w:t>
      </w:r>
      <w:r w:rsidRPr="00A2207F">
        <w:t>) and the on-to-off ratios (I</w:t>
      </w:r>
      <w:r w:rsidRPr="00A2207F">
        <w:rPr>
          <w:vertAlign w:val="subscript"/>
        </w:rPr>
        <w:t>on</w:t>
      </w:r>
      <w:r w:rsidRPr="00A2207F">
        <w:t>/I</w:t>
      </w:r>
      <w:r w:rsidRPr="00A2207F">
        <w:rPr>
          <w:vertAlign w:val="subscript"/>
        </w:rPr>
        <w:t>off</w:t>
      </w:r>
      <w:r w:rsidRPr="00A2207F">
        <w:t>) were extracted from the linear regime (V</w:t>
      </w:r>
      <w:r w:rsidRPr="00A2207F">
        <w:rPr>
          <w:vertAlign w:val="subscript"/>
        </w:rPr>
        <w:t>d</w:t>
      </w:r>
      <w:r w:rsidRPr="00A2207F">
        <w:t xml:space="preserve"> = −30 V</w:t>
      </w:r>
      <w:r w:rsidRPr="00A2207F">
        <w:t>) for holes</w:t>
      </w:r>
      <w:r w:rsidRPr="00A2207F">
        <w:t>.</w:t>
      </w:r>
      <w:r w:rsidRPr="00A2207F">
        <w:t xml:space="preserve"> </w:t>
      </w:r>
      <w:r w:rsidRPr="00A2207F">
        <w:rPr>
          <w:vertAlign w:val="superscript"/>
        </w:rPr>
        <w:t>d</w:t>
      </w:r>
      <w:r w:rsidRPr="00A2207F">
        <w:t>Average of 2 devices</w:t>
      </w:r>
    </w:p>
    <w:p w14:paraId="45E99BB4" w14:textId="080E2291" w:rsidR="000F47E9" w:rsidRPr="00A2207F" w:rsidRDefault="000F47E9" w:rsidP="000F47E9">
      <w:pPr>
        <w:pStyle w:val="VDTableTitle"/>
        <w:rPr>
          <w:b/>
        </w:rPr>
      </w:pPr>
      <w:r w:rsidRPr="00A2207F">
        <w:rPr>
          <w:b/>
        </w:rPr>
        <w:t>Table 3</w:t>
      </w:r>
      <w:r w:rsidRPr="00A2207F">
        <w:rPr>
          <w:b/>
        </w:rPr>
        <w:t xml:space="preserve">. </w:t>
      </w:r>
      <w:r w:rsidRPr="00A2207F">
        <w:t xml:space="preserve">Hole optimized </w:t>
      </w:r>
      <w:r w:rsidRPr="00A2207F">
        <w:t xml:space="preserve">OFET Characteristics of </w:t>
      </w:r>
      <w:r w:rsidRPr="00A2207F">
        <w:rPr>
          <w:b/>
        </w:rPr>
        <w:t>INDT-T</w:t>
      </w:r>
    </w:p>
    <w:p w14:paraId="616272E3" w14:textId="77777777" w:rsidR="002570C9" w:rsidRPr="00A2207F" w:rsidRDefault="002570C9" w:rsidP="00540C92">
      <w:pPr>
        <w:pStyle w:val="TAMainText"/>
        <w:rPr>
          <w:lang w:val="en-GB"/>
        </w:rPr>
      </w:pPr>
    </w:p>
    <w:p w14:paraId="22E1C600" w14:textId="15C17C51" w:rsidR="002570C9" w:rsidRPr="00A2207F" w:rsidRDefault="00C17F65" w:rsidP="00365107">
      <w:pPr>
        <w:pStyle w:val="TAMainText"/>
        <w:rPr>
          <w:lang w:val="en-GB"/>
        </w:rPr>
      </w:pPr>
      <w:r w:rsidRPr="00A2207F">
        <w:rPr>
          <w:lang w:val="en-GB"/>
        </w:rPr>
        <w:t xml:space="preserve">Only p-type transport was observed for these devices, however it is clear that both the measured hole mobility and threshold voltage are significantly improved relative to the equivalent devices presented in Table 2. </w:t>
      </w:r>
      <w:r w:rsidR="00A922D9" w:rsidRPr="00A2207F">
        <w:rPr>
          <w:lang w:val="en-GB"/>
        </w:rPr>
        <w:t>This indicates that the larger threshold voltages observed in the initial device data is</w:t>
      </w:r>
      <w:r w:rsidR="00DA5CB1" w:rsidRPr="00A2207F">
        <w:rPr>
          <w:lang w:val="en-GB"/>
        </w:rPr>
        <w:t xml:space="preserve"> likely</w:t>
      </w:r>
      <w:r w:rsidR="00A922D9" w:rsidRPr="00A2207F">
        <w:rPr>
          <w:lang w:val="en-GB"/>
        </w:rPr>
        <w:t xml:space="preserve"> due to improper work function matching, or sub-optimal metal-polymer contact. Bottom gate-Bottom contact OFET devices were also fabricated but these suffered from significant hysteresis</w:t>
      </w:r>
      <w:r w:rsidR="00365107" w:rsidRPr="00A2207F">
        <w:rPr>
          <w:lang w:val="en-GB"/>
        </w:rPr>
        <w:t xml:space="preserve"> and lower mobilities</w:t>
      </w:r>
      <w:r w:rsidR="00A922D9" w:rsidRPr="00A2207F">
        <w:rPr>
          <w:lang w:val="en-GB"/>
        </w:rPr>
        <w:t>.</w:t>
      </w:r>
    </w:p>
    <w:p w14:paraId="132B2D56" w14:textId="1ED8FE61" w:rsidR="00F74BB9" w:rsidRPr="00A2207F" w:rsidRDefault="00F74BB9" w:rsidP="00540C92">
      <w:pPr>
        <w:pStyle w:val="TAMainText"/>
        <w:rPr>
          <w:lang w:val="en-GB"/>
        </w:rPr>
      </w:pPr>
      <w:r w:rsidRPr="00A2207F">
        <w:rPr>
          <w:lang w:val="en-GB"/>
        </w:rPr>
        <w:t>Conventional and inverted bulk-heterojunction OPV devices were fabricated using a 1:2 blend of INDT-T:PC</w:t>
      </w:r>
      <w:r w:rsidRPr="00A2207F">
        <w:rPr>
          <w:vertAlign w:val="subscript"/>
          <w:lang w:val="en-GB"/>
        </w:rPr>
        <w:t>71</w:t>
      </w:r>
      <w:r w:rsidRPr="00A2207F">
        <w:rPr>
          <w:lang w:val="en-GB"/>
        </w:rPr>
        <w:t>BM as the active layer spin-coated from a 4:1 CHCl</w:t>
      </w:r>
      <w:r w:rsidRPr="00A2207F">
        <w:rPr>
          <w:vertAlign w:val="subscript"/>
          <w:lang w:val="en-GB"/>
        </w:rPr>
        <w:t>3</w:t>
      </w:r>
      <w:r w:rsidRPr="00A2207F">
        <w:rPr>
          <w:lang w:val="en-GB"/>
        </w:rPr>
        <w:t>:ODCB solution (10 mg/mL). The J-V curves and EQE are shown in Figure</w:t>
      </w:r>
      <w:r w:rsidR="002741FB" w:rsidRPr="00A2207F">
        <w:rPr>
          <w:lang w:val="en-GB"/>
        </w:rPr>
        <w:t xml:space="preserve"> </w:t>
      </w:r>
      <w:r w:rsidR="00580813" w:rsidRPr="00A2207F">
        <w:rPr>
          <w:lang w:val="en-GB"/>
        </w:rPr>
        <w:t>5</w:t>
      </w:r>
      <w:r w:rsidRPr="00A2207F">
        <w:rPr>
          <w:lang w:val="en-GB"/>
        </w:rPr>
        <w:t xml:space="preserve"> and the data is presented in Table </w:t>
      </w:r>
      <w:r w:rsidR="000F47E9" w:rsidRPr="00A2207F">
        <w:rPr>
          <w:lang w:val="en-GB"/>
        </w:rPr>
        <w:t>4</w:t>
      </w:r>
      <w:r w:rsidRPr="00A2207F">
        <w:rPr>
          <w:lang w:val="en-GB"/>
        </w:rPr>
        <w:t>. The conventional OPV device provides a PCE of 2.25 %, with a short circuit current (J</w:t>
      </w:r>
      <w:r w:rsidRPr="00A2207F">
        <w:rPr>
          <w:vertAlign w:val="subscript"/>
          <w:lang w:val="en-GB"/>
        </w:rPr>
        <w:t>sc</w:t>
      </w:r>
      <w:r w:rsidRPr="00A2207F">
        <w:rPr>
          <w:lang w:val="en-GB"/>
        </w:rPr>
        <w:t xml:space="preserve">) of 6.27 mA </w:t>
      </w:r>
      <w:r w:rsidRPr="00A2207F">
        <w:rPr>
          <w:lang w:val="en-GB"/>
        </w:rPr>
        <w:lastRenderedPageBreak/>
        <w:t>cm</w:t>
      </w:r>
      <w:r w:rsidRPr="00A2207F">
        <w:rPr>
          <w:vertAlign w:val="superscript"/>
          <w:lang w:val="en-GB"/>
        </w:rPr>
        <w:t>−2</w:t>
      </w:r>
      <w:r w:rsidRPr="00A2207F">
        <w:rPr>
          <w:lang w:val="en-GB"/>
        </w:rPr>
        <w:t>, an open circuit voltage (V</w:t>
      </w:r>
      <w:r w:rsidRPr="00A2207F">
        <w:rPr>
          <w:vertAlign w:val="subscript"/>
          <w:lang w:val="en-GB"/>
        </w:rPr>
        <w:t>oc</w:t>
      </w:r>
      <w:r w:rsidRPr="00A2207F">
        <w:rPr>
          <w:lang w:val="en-GB"/>
        </w:rPr>
        <w:t>) of 0.62 V, and a fill factor (FF) of 0.58. The relatively high open circuit voltage is impressive considering the extremely narrow bandgap of INDT-T, and the devices all have relatively good fill factors, indicating good charge extraction at low fields. The inverted devices showed similar overall efficiencies of 2.35 %, but had slightly increased short circuit currents (J</w:t>
      </w:r>
      <w:r w:rsidRPr="00A2207F">
        <w:rPr>
          <w:vertAlign w:val="subscript"/>
          <w:lang w:val="en-GB"/>
        </w:rPr>
        <w:t>sc</w:t>
      </w:r>
      <w:r w:rsidRPr="00A2207F">
        <w:rPr>
          <w:lang w:val="en-GB"/>
        </w:rPr>
        <w:t xml:space="preserve"> = 6.88 mA cm</w:t>
      </w:r>
      <w:r w:rsidRPr="00A2207F">
        <w:rPr>
          <w:vertAlign w:val="superscript"/>
          <w:lang w:val="en-GB"/>
        </w:rPr>
        <w:t>−2</w:t>
      </w:r>
      <w:r w:rsidRPr="00A2207F">
        <w:rPr>
          <w:lang w:val="en-GB"/>
        </w:rPr>
        <w:t>) and lower open circuit voltages (V</w:t>
      </w:r>
      <w:r w:rsidRPr="00A2207F">
        <w:rPr>
          <w:vertAlign w:val="subscript"/>
          <w:lang w:val="en-GB"/>
        </w:rPr>
        <w:t>oc</w:t>
      </w:r>
      <w:r w:rsidRPr="00A2207F">
        <w:rPr>
          <w:lang w:val="en-GB"/>
        </w:rPr>
        <w:t xml:space="preserve"> = 0.59 V). Similar variations between conventional and inverted OPV devices have been shown before in DPP-based conjugated polymers. The EQE shows that the majority of the photocurrent originates from the fullerene absorption but there remains an appreciable contribution from the extremely near-IR absorbing INDT-T polymer up to 950 nm. Despite the modest overall efficiencies, these devices represent some of the highest efficiencies from such ultra-narrow band-gap materials.</w:t>
      </w:r>
      <w:r w:rsidR="00BB0081" w:rsidRPr="00A2207F">
        <w:rPr>
          <w:lang w:val="en-GB"/>
        </w:rPr>
        <w:fldChar w:fldCharType="begin"/>
      </w:r>
      <w:r w:rsidR="002B7F27" w:rsidRPr="00A2207F">
        <w:rPr>
          <w:lang w:val="en-GB"/>
        </w:rPr>
        <w:instrText xml:space="preserve"> ADDIN EN.CITE &lt;EndNote&gt;&lt;Cite&gt;&lt;Author&gt;Hendriks&lt;/Author&gt;&lt;Year&gt;2014&lt;/Year&gt;&lt;RecNum&gt;60&lt;/RecNum&gt;&lt;DisplayText&gt;&lt;style face="superscript"&gt;16&lt;/style&gt;&lt;/DisplayText&gt;&lt;record&gt;&lt;rec-number&gt;60&lt;/rec-number&gt;&lt;foreign-keys&gt;&lt;key app="EN" db-id="wxddddxe45zzx5e5e0eprttmv59apwsvttta" timestamp="1420650522"&gt;60&lt;/key&gt;&lt;/foreign-keys&gt;&lt;ref-type name="Journal Article"&gt;17&lt;/ref-type&gt;&lt;contributors&gt;&lt;authors&gt;&lt;author&gt;Hendriks, Koen H.&lt;/author&gt;&lt;author&gt;Li, Weiwei&lt;/author&gt;&lt;author&gt;Wienk, Martijn M.&lt;/author&gt;&lt;author&gt;Janssen, René A. J.&lt;/author&gt;&lt;/authors&gt;&lt;/contributors&gt;&lt;titles&gt;&lt;title&gt;Small-Bandgap Semiconducting Polymers with High Near-Infrared Photoresponse&lt;/title&gt;&lt;secondary-title&gt;Journal of the American Chemical Society&lt;/secondary-title&gt;&lt;/titles&gt;&lt;periodical&gt;&lt;full-title&gt;Journal of the American Chemical Society&lt;/full-title&gt;&lt;abbr-1&gt;J. Am. Chem. Soc.&lt;/abbr-1&gt;&lt;/periodical&gt;&lt;pages&gt;12130-12136&lt;/pages&gt;&lt;volume&gt;136&lt;/volume&gt;&lt;number&gt;34&lt;/number&gt;&lt;dates&gt;&lt;year&gt;2014&lt;/year&gt;&lt;pub-dates&gt;&lt;date&gt;2014/08/27&lt;/date&gt;&lt;/pub-dates&gt;&lt;/dates&gt;&lt;publisher&gt;American Chemical Society&lt;/publisher&gt;&lt;isbn&gt;0002-7863&lt;/isbn&gt;&lt;urls&gt;&lt;related-urls&gt;&lt;url&gt;http://dx.doi.org/10.1021/ja506265h&lt;/url&gt;&lt;/related-urls&gt;&lt;/urls&gt;&lt;electronic-resource-num&gt;10.1021/ja506265h&lt;/electronic-resource-num&gt;&lt;access-date&gt;2015/01/07&lt;/access-date&gt;&lt;/record&gt;&lt;/Cite&gt;&lt;/EndNote&gt;</w:instrText>
      </w:r>
      <w:r w:rsidR="00BB0081" w:rsidRPr="00A2207F">
        <w:rPr>
          <w:lang w:val="en-GB"/>
        </w:rPr>
        <w:fldChar w:fldCharType="separate"/>
      </w:r>
      <w:r w:rsidR="002B7F27" w:rsidRPr="00A2207F">
        <w:rPr>
          <w:noProof/>
          <w:vertAlign w:val="superscript"/>
          <w:lang w:val="en-GB"/>
        </w:rPr>
        <w:t>16</w:t>
      </w:r>
      <w:r w:rsidR="00BB0081" w:rsidRPr="00A2207F">
        <w:rPr>
          <w:lang w:val="en-GB"/>
        </w:rPr>
        <w:fldChar w:fldCharType="end"/>
      </w:r>
      <w:r w:rsidRPr="00A2207F">
        <w:rPr>
          <w:lang w:val="en-GB"/>
        </w:rPr>
        <w:t xml:space="preserve"> We believe that the lower contribution to the photocurrent is predominantly due to insufficient energetic offset of the polymer with respect to the fullerene.</w:t>
      </w:r>
      <w:r w:rsidR="00BB0081" w:rsidRPr="00A2207F">
        <w:rPr>
          <w:lang w:val="en-GB"/>
        </w:rPr>
        <w:fldChar w:fldCharType="begin"/>
      </w:r>
      <w:r w:rsidR="002B7F27" w:rsidRPr="00A2207F">
        <w:rPr>
          <w:lang w:val="en-GB"/>
        </w:rPr>
        <w:instrText xml:space="preserve"> ADDIN EN.CITE &lt;EndNote&gt;&lt;Cite&gt;&lt;Author&gt;Bronstein&lt;/Author&gt;&lt;Year&gt;2013&lt;/Year&gt;&lt;RecNum&gt;61&lt;/RecNum&gt;&lt;DisplayText&gt;&lt;style face="superscript"&gt;17&lt;/style&gt;&lt;/DisplayText&gt;&lt;record&gt;&lt;rec-number&gt;61&lt;/rec-number&gt;&lt;foreign-keys&gt;&lt;key app="EN" db-id="wxddddxe45zzx5e5e0eprttmv59apwsvttta" timestamp="1420650624"&gt;61&lt;/key&gt;&lt;/foreign-keys&gt;&lt;ref-type name="Journal Article"&gt;17&lt;/ref-type&gt;&lt;contributors&gt;&lt;authors&gt;&lt;author&gt;Bronstein, Hugo&lt;/author&gt;&lt;author&gt;Collado-Fregoso, Elisa&lt;/author&gt;&lt;author&gt;Hadipour, Afshin&lt;/author&gt;&lt;author&gt;Soon, Ying W.&lt;/author&gt;&lt;author&gt;Huang, Zhenggang&lt;/author&gt;&lt;author&gt;Dimitrov, Stoichko D.&lt;/author&gt;&lt;author&gt;Ashraf, Raja Shahid&lt;/author&gt;&lt;author&gt;Rand, Barry P.&lt;/author&gt;&lt;author&gt;Watkins, Scott E.&lt;/author&gt;&lt;author&gt;Tuladhar, Pabitra S.&lt;/author&gt;&lt;author&gt;Meager, Iain&lt;/author&gt;&lt;author&gt;Durrant, James R.&lt;/author&gt;&lt;author&gt;McCulloch, Iain&lt;/author&gt;&lt;/authors&gt;&lt;/contributors&gt;&lt;titles&gt;&lt;title&gt;Thieno[3,2-b]thiophene-diketopyrrolopyrrole Containing Polymers for Inverted Solar Cells Devices with High Short Circuit Currents&lt;/title&gt;&lt;secondary-title&gt;Advanced Functional Materials&lt;/secondary-title&gt;&lt;/titles&gt;&lt;periodical&gt;&lt;full-title&gt;Advanced Functional Materials&lt;/full-title&gt;&lt;abbr-1&gt;Adv. Funct. Mater.&lt;/abbr-1&gt;&lt;/periodical&gt;&lt;pages&gt;5647-5654&lt;/pages&gt;&lt;volume&gt;23&lt;/volume&gt;&lt;number&gt;45&lt;/number&gt;&lt;keywords&gt;&lt;keyword&gt;conjugated polymers&lt;/keyword&gt;&lt;keyword&gt;inverted solar cells&lt;/keyword&gt;&lt;keyword&gt;thienothiophene&lt;/keyword&gt;&lt;/keywords&gt;&lt;dates&gt;&lt;year&gt;2013&lt;/year&gt;&lt;/dates&gt;&lt;publisher&gt;WILEY-VCH Verlag&lt;/publisher&gt;&lt;isbn&gt;1616-3028&lt;/isbn&gt;&lt;urls&gt;&lt;related-urls&gt;&lt;url&gt;http://dx.doi.org/10.1002/adfm.201300287&lt;/url&gt;&lt;/related-urls&gt;&lt;/urls&gt;&lt;electronic-resource-num&gt;10.1002/adfm.201300287&lt;/electronic-resource-num&gt;&lt;/record&gt;&lt;/Cite&gt;&lt;/EndNote&gt;</w:instrText>
      </w:r>
      <w:r w:rsidR="00BB0081" w:rsidRPr="00A2207F">
        <w:rPr>
          <w:lang w:val="en-GB"/>
        </w:rPr>
        <w:fldChar w:fldCharType="separate"/>
      </w:r>
      <w:r w:rsidR="002B7F27" w:rsidRPr="00A2207F">
        <w:rPr>
          <w:noProof/>
          <w:vertAlign w:val="superscript"/>
          <w:lang w:val="en-GB"/>
        </w:rPr>
        <w:t>17</w:t>
      </w:r>
      <w:r w:rsidR="00BB0081" w:rsidRPr="00A2207F">
        <w:rPr>
          <w:lang w:val="en-GB"/>
        </w:rPr>
        <w:fldChar w:fldCharType="end"/>
      </w:r>
      <w:r w:rsidRPr="00A2207F">
        <w:rPr>
          <w:lang w:val="en-GB"/>
        </w:rPr>
        <w:t xml:space="preserve"> More importantly we demonstrate the first functioning OPV devices of this very novel chromophore indicating that it is well-suited for further development in this field.</w:t>
      </w:r>
    </w:p>
    <w:p w14:paraId="7A76F735" w14:textId="05A39274" w:rsidR="002741FB" w:rsidRPr="00A2207F" w:rsidRDefault="00C26122" w:rsidP="002741FB">
      <w:pPr>
        <w:pStyle w:val="VAFigureCaption"/>
        <w:rPr>
          <w:lang w:val="en-GB"/>
        </w:rPr>
      </w:pPr>
      <w:r w:rsidRPr="00A2207F">
        <w:rPr>
          <w:noProof/>
          <w:lang w:eastAsia="en-GB"/>
        </w:rPr>
        <w:lastRenderedPageBreak/>
        <w:drawing>
          <wp:inline distT="0" distB="0" distL="0" distR="0" wp14:anchorId="7BB555FD" wp14:editId="76B0BFDF">
            <wp:extent cx="2970000" cy="4539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V and EQE.png"/>
                    <pic:cNvPicPr/>
                  </pic:nvPicPr>
                  <pic:blipFill rotWithShape="1">
                    <a:blip r:embed="rId15" cstate="print">
                      <a:extLst>
                        <a:ext uri="{28A0092B-C50C-407E-A947-70E740481C1C}">
                          <a14:useLocalDpi xmlns:a14="http://schemas.microsoft.com/office/drawing/2010/main" val="0"/>
                        </a:ext>
                      </a:extLst>
                    </a:blip>
                    <a:srcRect l="2992" t="3131" r="52305" b="49215"/>
                    <a:stretch/>
                  </pic:blipFill>
                  <pic:spPr bwMode="auto">
                    <a:xfrm>
                      <a:off x="0" y="0"/>
                      <a:ext cx="2970000" cy="4539600"/>
                    </a:xfrm>
                    <a:prstGeom prst="rect">
                      <a:avLst/>
                    </a:prstGeom>
                    <a:ln>
                      <a:noFill/>
                    </a:ln>
                    <a:extLst>
                      <a:ext uri="{53640926-AAD7-44D8-BBD7-CCE9431645EC}">
                        <a14:shadowObscured xmlns:a14="http://schemas.microsoft.com/office/drawing/2010/main"/>
                      </a:ext>
                    </a:extLst>
                  </pic:spPr>
                </pic:pic>
              </a:graphicData>
            </a:graphic>
          </wp:inline>
        </w:drawing>
      </w:r>
    </w:p>
    <w:p w14:paraId="40F6AA95" w14:textId="4F6425F7" w:rsidR="002741FB" w:rsidRPr="00A2207F" w:rsidRDefault="002741FB" w:rsidP="002741FB">
      <w:pPr>
        <w:pStyle w:val="VAFigureCaption"/>
        <w:rPr>
          <w:bCs/>
          <w:lang w:val="en-GB"/>
        </w:rPr>
      </w:pPr>
      <w:r w:rsidRPr="00A2207F">
        <w:rPr>
          <w:b/>
          <w:bCs/>
          <w:lang w:val="en-GB"/>
        </w:rPr>
        <w:t xml:space="preserve">Figure </w:t>
      </w:r>
      <w:r w:rsidR="00580813" w:rsidRPr="00A2207F">
        <w:rPr>
          <w:b/>
          <w:bCs/>
          <w:lang w:val="en-GB"/>
        </w:rPr>
        <w:t>5</w:t>
      </w:r>
      <w:r w:rsidRPr="00A2207F">
        <w:rPr>
          <w:b/>
          <w:bCs/>
          <w:lang w:val="en-GB"/>
        </w:rPr>
        <w:t xml:space="preserve">. </w:t>
      </w:r>
      <w:r w:rsidRPr="00A2207F">
        <w:rPr>
          <w:bCs/>
          <w:lang w:val="en-GB"/>
        </w:rPr>
        <w:t xml:space="preserve">a) </w:t>
      </w:r>
      <w:r w:rsidRPr="00A2207F">
        <w:t>J−V characteristics of INDT-T:PC[70]BM solar cell</w:t>
      </w:r>
      <w:r w:rsidR="00892AA7" w:rsidRPr="00A2207F">
        <w:t>s</w:t>
      </w:r>
      <w:r w:rsidRPr="00A2207F">
        <w:t xml:space="preserve"> b) External quantum efficiency of the </w:t>
      </w:r>
      <w:r w:rsidR="00892AA7" w:rsidRPr="00A2207F">
        <w:t>INDT-T:PC[70]BM solar cell</w:t>
      </w:r>
    </w:p>
    <w:tbl>
      <w:tblPr>
        <w:tblStyle w:val="TableGrid"/>
        <w:tblW w:w="0" w:type="auto"/>
        <w:tblLook w:val="04A0" w:firstRow="1" w:lastRow="0" w:firstColumn="1" w:lastColumn="0" w:noHBand="0" w:noVBand="1"/>
      </w:tblPr>
      <w:tblGrid>
        <w:gridCol w:w="1870"/>
        <w:gridCol w:w="1870"/>
        <w:gridCol w:w="1870"/>
        <w:gridCol w:w="1870"/>
        <w:gridCol w:w="1870"/>
      </w:tblGrid>
      <w:tr w:rsidR="00BB0081" w:rsidRPr="00A2207F" w14:paraId="5097B19F" w14:textId="77777777" w:rsidTr="00BB0081">
        <w:tc>
          <w:tcPr>
            <w:tcW w:w="1870" w:type="dxa"/>
          </w:tcPr>
          <w:p w14:paraId="51FAF98F" w14:textId="77777777" w:rsidR="00BB0081" w:rsidRPr="00A2207F" w:rsidRDefault="00BB0081" w:rsidP="00BB0081">
            <w:pPr>
              <w:pStyle w:val="TCTableBody"/>
              <w:rPr>
                <w:b/>
              </w:rPr>
            </w:pPr>
            <w:r w:rsidRPr="00A2207F">
              <w:t>Architecture</w:t>
            </w:r>
          </w:p>
        </w:tc>
        <w:tc>
          <w:tcPr>
            <w:tcW w:w="1870" w:type="dxa"/>
          </w:tcPr>
          <w:p w14:paraId="2444BE37" w14:textId="77777777" w:rsidR="00BB0081" w:rsidRPr="00A2207F" w:rsidRDefault="00BB0081" w:rsidP="00BB0081">
            <w:pPr>
              <w:pStyle w:val="TCTableBody"/>
              <w:rPr>
                <w:b/>
              </w:rPr>
            </w:pPr>
            <w:r w:rsidRPr="00A2207F">
              <w:t>J</w:t>
            </w:r>
            <w:r w:rsidRPr="00A2207F">
              <w:rPr>
                <w:vertAlign w:val="subscript"/>
              </w:rPr>
              <w:t>sc</w:t>
            </w:r>
            <w:r w:rsidRPr="00A2207F">
              <w:t xml:space="preserve"> (mA cm</w:t>
            </w:r>
            <w:r w:rsidRPr="00A2207F">
              <w:rPr>
                <w:vertAlign w:val="superscript"/>
              </w:rPr>
              <w:t>−2</w:t>
            </w:r>
            <w:r w:rsidRPr="00A2207F">
              <w:t>)</w:t>
            </w:r>
          </w:p>
        </w:tc>
        <w:tc>
          <w:tcPr>
            <w:tcW w:w="1870" w:type="dxa"/>
          </w:tcPr>
          <w:p w14:paraId="7C420098" w14:textId="77777777" w:rsidR="00BB0081" w:rsidRPr="00A2207F" w:rsidRDefault="00BB0081" w:rsidP="00BB0081">
            <w:pPr>
              <w:pStyle w:val="TCTableBody"/>
              <w:rPr>
                <w:b/>
              </w:rPr>
            </w:pPr>
            <w:r w:rsidRPr="00A2207F">
              <w:t>V</w:t>
            </w:r>
            <w:r w:rsidRPr="00A2207F">
              <w:rPr>
                <w:vertAlign w:val="subscript"/>
              </w:rPr>
              <w:t>oc</w:t>
            </w:r>
            <w:r w:rsidRPr="00A2207F">
              <w:t xml:space="preserve"> (V)</w:t>
            </w:r>
          </w:p>
        </w:tc>
        <w:tc>
          <w:tcPr>
            <w:tcW w:w="1870" w:type="dxa"/>
          </w:tcPr>
          <w:p w14:paraId="0B1DC567" w14:textId="77777777" w:rsidR="00BB0081" w:rsidRPr="00A2207F" w:rsidRDefault="00BB0081" w:rsidP="00BB0081">
            <w:pPr>
              <w:pStyle w:val="TCTableBody"/>
              <w:rPr>
                <w:b/>
              </w:rPr>
            </w:pPr>
            <w:r w:rsidRPr="00A2207F">
              <w:t>FF</w:t>
            </w:r>
          </w:p>
        </w:tc>
        <w:tc>
          <w:tcPr>
            <w:tcW w:w="1870" w:type="dxa"/>
          </w:tcPr>
          <w:p w14:paraId="102AAF67" w14:textId="77777777" w:rsidR="00BB0081" w:rsidRPr="00A2207F" w:rsidRDefault="00BB0081" w:rsidP="00BB0081">
            <w:pPr>
              <w:pStyle w:val="TCTableBody"/>
              <w:rPr>
                <w:b/>
              </w:rPr>
            </w:pPr>
            <w:r w:rsidRPr="00A2207F">
              <w:t>PCE (%)</w:t>
            </w:r>
          </w:p>
        </w:tc>
      </w:tr>
      <w:tr w:rsidR="00BB0081" w:rsidRPr="00A2207F" w14:paraId="62C812CE" w14:textId="77777777" w:rsidTr="00BB0081">
        <w:tc>
          <w:tcPr>
            <w:tcW w:w="1870" w:type="dxa"/>
          </w:tcPr>
          <w:p w14:paraId="66860B3C" w14:textId="77777777" w:rsidR="00BB0081" w:rsidRPr="00A2207F" w:rsidRDefault="00BB0081" w:rsidP="00BB0081">
            <w:pPr>
              <w:pStyle w:val="TCTableBody"/>
              <w:rPr>
                <w:b/>
              </w:rPr>
            </w:pPr>
            <w:r w:rsidRPr="00A2207F">
              <w:t>Conventional</w:t>
            </w:r>
          </w:p>
        </w:tc>
        <w:tc>
          <w:tcPr>
            <w:tcW w:w="1870" w:type="dxa"/>
          </w:tcPr>
          <w:p w14:paraId="3F69DAE8" w14:textId="77777777" w:rsidR="00BB0081" w:rsidRPr="00A2207F" w:rsidRDefault="00BB0081" w:rsidP="00BB0081">
            <w:pPr>
              <w:pStyle w:val="TCTableBody"/>
              <w:rPr>
                <w:b/>
              </w:rPr>
            </w:pPr>
            <w:r w:rsidRPr="00A2207F">
              <w:t>6.27</w:t>
            </w:r>
          </w:p>
        </w:tc>
        <w:tc>
          <w:tcPr>
            <w:tcW w:w="1870" w:type="dxa"/>
          </w:tcPr>
          <w:p w14:paraId="5AFFD584" w14:textId="77777777" w:rsidR="00BB0081" w:rsidRPr="00A2207F" w:rsidRDefault="00BB0081" w:rsidP="00BB0081">
            <w:pPr>
              <w:pStyle w:val="TCTableBody"/>
              <w:rPr>
                <w:b/>
              </w:rPr>
            </w:pPr>
            <w:r w:rsidRPr="00A2207F">
              <w:t>0.62</w:t>
            </w:r>
          </w:p>
        </w:tc>
        <w:tc>
          <w:tcPr>
            <w:tcW w:w="1870" w:type="dxa"/>
          </w:tcPr>
          <w:p w14:paraId="23AEFDA0" w14:textId="77777777" w:rsidR="00BB0081" w:rsidRPr="00A2207F" w:rsidRDefault="00BB0081" w:rsidP="00BB0081">
            <w:pPr>
              <w:pStyle w:val="TCTableBody"/>
              <w:rPr>
                <w:b/>
              </w:rPr>
            </w:pPr>
            <w:r w:rsidRPr="00A2207F">
              <w:t>0.58</w:t>
            </w:r>
          </w:p>
        </w:tc>
        <w:tc>
          <w:tcPr>
            <w:tcW w:w="1870" w:type="dxa"/>
          </w:tcPr>
          <w:p w14:paraId="0B44A058" w14:textId="77777777" w:rsidR="00BB0081" w:rsidRPr="00A2207F" w:rsidRDefault="00BB0081" w:rsidP="00BB0081">
            <w:pPr>
              <w:pStyle w:val="TCTableBody"/>
              <w:rPr>
                <w:b/>
              </w:rPr>
            </w:pPr>
            <w:r w:rsidRPr="00A2207F">
              <w:t>2.25</w:t>
            </w:r>
          </w:p>
        </w:tc>
      </w:tr>
      <w:tr w:rsidR="001E2AD4" w:rsidRPr="00A2207F" w14:paraId="05FFDE0C" w14:textId="77777777" w:rsidTr="00BB0081">
        <w:tc>
          <w:tcPr>
            <w:tcW w:w="1870" w:type="dxa"/>
          </w:tcPr>
          <w:p w14:paraId="30864393" w14:textId="77777777" w:rsidR="001E2AD4" w:rsidRPr="00A2207F" w:rsidRDefault="001E2AD4" w:rsidP="001E2AD4">
            <w:r w:rsidRPr="00A2207F">
              <w:t>Inverted</w:t>
            </w:r>
          </w:p>
        </w:tc>
        <w:tc>
          <w:tcPr>
            <w:tcW w:w="1870" w:type="dxa"/>
          </w:tcPr>
          <w:p w14:paraId="29DB36F8" w14:textId="77777777" w:rsidR="001E2AD4" w:rsidRPr="00A2207F" w:rsidRDefault="001E2AD4" w:rsidP="001E2AD4">
            <w:r w:rsidRPr="00A2207F">
              <w:t>6.88</w:t>
            </w:r>
          </w:p>
        </w:tc>
        <w:tc>
          <w:tcPr>
            <w:tcW w:w="1870" w:type="dxa"/>
          </w:tcPr>
          <w:p w14:paraId="59D89664" w14:textId="77777777" w:rsidR="001E2AD4" w:rsidRPr="00A2207F" w:rsidRDefault="001E2AD4" w:rsidP="001E2AD4">
            <w:r w:rsidRPr="00A2207F">
              <w:t>0.59</w:t>
            </w:r>
          </w:p>
        </w:tc>
        <w:tc>
          <w:tcPr>
            <w:tcW w:w="1870" w:type="dxa"/>
          </w:tcPr>
          <w:p w14:paraId="650E7369" w14:textId="77777777" w:rsidR="001E2AD4" w:rsidRPr="00A2207F" w:rsidRDefault="001E2AD4" w:rsidP="001E2AD4">
            <w:r w:rsidRPr="00A2207F">
              <w:t>0.58</w:t>
            </w:r>
          </w:p>
        </w:tc>
        <w:tc>
          <w:tcPr>
            <w:tcW w:w="1870" w:type="dxa"/>
          </w:tcPr>
          <w:p w14:paraId="766E715C" w14:textId="77777777" w:rsidR="001E2AD4" w:rsidRPr="00A2207F" w:rsidRDefault="001E2AD4" w:rsidP="001E2AD4">
            <w:r w:rsidRPr="00A2207F">
              <w:t>2.35</w:t>
            </w:r>
          </w:p>
        </w:tc>
      </w:tr>
    </w:tbl>
    <w:p w14:paraId="43F61D25" w14:textId="50114C05" w:rsidR="00BB0081" w:rsidRPr="00A2207F" w:rsidRDefault="00BB0081" w:rsidP="00BB0081">
      <w:pPr>
        <w:pStyle w:val="VDTableTitle"/>
      </w:pPr>
      <w:r w:rsidRPr="00A2207F">
        <w:rPr>
          <w:b/>
        </w:rPr>
        <w:t xml:space="preserve">Table </w:t>
      </w:r>
      <w:r w:rsidR="000F47E9" w:rsidRPr="00A2207F">
        <w:rPr>
          <w:b/>
        </w:rPr>
        <w:t>4</w:t>
      </w:r>
      <w:r w:rsidRPr="00A2207F">
        <w:rPr>
          <w:b/>
        </w:rPr>
        <w:t xml:space="preserve">. </w:t>
      </w:r>
      <w:r w:rsidRPr="00A2207F">
        <w:t xml:space="preserve">OPV Device Characteristics of </w:t>
      </w:r>
      <w:r w:rsidRPr="00A2207F">
        <w:rPr>
          <w:b/>
        </w:rPr>
        <w:t>INDT-T-</w:t>
      </w:r>
      <w:r w:rsidRPr="00A2207F">
        <w:t>Based Solar Cells</w:t>
      </w:r>
    </w:p>
    <w:p w14:paraId="53C8E36A" w14:textId="77777777" w:rsidR="00F74BB9" w:rsidRPr="00A2207F" w:rsidRDefault="00F74BB9" w:rsidP="00F74BB9">
      <w:pPr>
        <w:pStyle w:val="TAMainText"/>
        <w:rPr>
          <w:b/>
          <w:bCs/>
          <w:lang w:val="en-GB"/>
        </w:rPr>
      </w:pPr>
      <w:r w:rsidRPr="00A2207F">
        <w:rPr>
          <w:b/>
          <w:bCs/>
          <w:lang w:val="en-GB"/>
        </w:rPr>
        <w:t>Conclusion</w:t>
      </w:r>
    </w:p>
    <w:p w14:paraId="5CC94494" w14:textId="4E00F739" w:rsidR="00F74BB9" w:rsidRPr="00A2207F" w:rsidRDefault="00F74BB9" w:rsidP="00F74BB9">
      <w:pPr>
        <w:pStyle w:val="TAMainText"/>
        <w:rPr>
          <w:lang w:val="en-GB"/>
        </w:rPr>
      </w:pPr>
      <w:r w:rsidRPr="00A2207F">
        <w:rPr>
          <w:lang w:val="en-GB"/>
        </w:rPr>
        <w:t xml:space="preserve">We report the synthesis of a novel soluble monomer INDT for use in conjugated polymers based on naturally occurring indigo. Incorporation of this novel unit in a conjugated polymer, INDT-T, </w:t>
      </w:r>
      <w:r w:rsidRPr="00A2207F">
        <w:rPr>
          <w:lang w:val="en-GB"/>
        </w:rPr>
        <w:lastRenderedPageBreak/>
        <w:t>results in an extremely narrow band-gap material with high crystallinity. This polymer exhibits high ambipolar transport in OFET devices, with holes and electrons exhibiting mobilities o</w:t>
      </w:r>
      <w:r w:rsidR="000F47E9" w:rsidRPr="00A2207F">
        <w:rPr>
          <w:lang w:val="en-GB"/>
        </w:rPr>
        <w:t>f</w:t>
      </w:r>
      <w:r w:rsidRPr="00A2207F">
        <w:rPr>
          <w:lang w:val="en-GB"/>
        </w:rPr>
        <w:t xml:space="preserve"> 0.</w:t>
      </w:r>
      <w:r w:rsidR="000F47E9" w:rsidRPr="00A2207F">
        <w:rPr>
          <w:lang w:val="en-GB"/>
        </w:rPr>
        <w:t>23</w:t>
      </w:r>
      <w:r w:rsidRPr="00A2207F">
        <w:rPr>
          <w:lang w:val="en-GB"/>
        </w:rPr>
        <w:t xml:space="preserve"> cm</w:t>
      </w:r>
      <w:r w:rsidRPr="00A2207F">
        <w:rPr>
          <w:vertAlign w:val="superscript"/>
          <w:lang w:val="en-GB"/>
        </w:rPr>
        <w:t>2</w:t>
      </w:r>
      <w:r w:rsidRPr="00A2207F">
        <w:rPr>
          <w:lang w:val="en-GB"/>
        </w:rPr>
        <w:t xml:space="preserve"> V</w:t>
      </w:r>
      <w:r w:rsidRPr="00A2207F">
        <w:rPr>
          <w:vertAlign w:val="superscript"/>
          <w:lang w:val="en-GB"/>
        </w:rPr>
        <w:t>−1</w:t>
      </w:r>
      <w:r w:rsidRPr="00A2207F">
        <w:rPr>
          <w:lang w:val="en-GB"/>
        </w:rPr>
        <w:t xml:space="preserve"> s</w:t>
      </w:r>
      <w:r w:rsidRPr="00A2207F">
        <w:rPr>
          <w:vertAlign w:val="superscript"/>
          <w:lang w:val="en-GB"/>
        </w:rPr>
        <w:t>−1</w:t>
      </w:r>
      <w:r w:rsidR="000F47E9" w:rsidRPr="00A2207F">
        <w:rPr>
          <w:vertAlign w:val="superscript"/>
          <w:lang w:val="en-GB"/>
        </w:rPr>
        <w:t xml:space="preserve"> </w:t>
      </w:r>
      <w:r w:rsidR="000F47E9" w:rsidRPr="00A2207F">
        <w:rPr>
          <w:lang w:val="en-GB"/>
        </w:rPr>
        <w:t xml:space="preserve">and 0.48 </w:t>
      </w:r>
      <w:r w:rsidR="000F47E9" w:rsidRPr="00A2207F">
        <w:rPr>
          <w:lang w:val="en-GB"/>
        </w:rPr>
        <w:t>cm</w:t>
      </w:r>
      <w:r w:rsidR="000F47E9" w:rsidRPr="00A2207F">
        <w:rPr>
          <w:vertAlign w:val="superscript"/>
          <w:lang w:val="en-GB"/>
        </w:rPr>
        <w:t>2</w:t>
      </w:r>
      <w:r w:rsidR="000F47E9" w:rsidRPr="00A2207F">
        <w:rPr>
          <w:lang w:val="en-GB"/>
        </w:rPr>
        <w:t xml:space="preserve"> V</w:t>
      </w:r>
      <w:r w:rsidR="000F47E9" w:rsidRPr="00A2207F">
        <w:rPr>
          <w:vertAlign w:val="superscript"/>
          <w:lang w:val="en-GB"/>
        </w:rPr>
        <w:t>−1</w:t>
      </w:r>
      <w:r w:rsidR="000F47E9" w:rsidRPr="00A2207F">
        <w:rPr>
          <w:lang w:val="en-GB"/>
        </w:rPr>
        <w:t xml:space="preserve"> s</w:t>
      </w:r>
      <w:r w:rsidR="000F47E9" w:rsidRPr="00A2207F">
        <w:rPr>
          <w:vertAlign w:val="superscript"/>
          <w:lang w:val="en-GB"/>
        </w:rPr>
        <w:t>−1</w:t>
      </w:r>
      <w:r w:rsidR="000F47E9" w:rsidRPr="00A2207F">
        <w:rPr>
          <w:vertAlign w:val="superscript"/>
          <w:lang w:val="en-GB"/>
        </w:rPr>
        <w:t xml:space="preserve"> </w:t>
      </w:r>
      <w:r w:rsidR="000F47E9" w:rsidRPr="00A2207F">
        <w:rPr>
          <w:lang w:val="en-GB"/>
        </w:rPr>
        <w:t>respectively</w:t>
      </w:r>
      <w:r w:rsidRPr="00A2207F">
        <w:rPr>
          <w:lang w:val="en-GB"/>
        </w:rPr>
        <w:t>. Conventional and inverted OPV devices give efficiencies of up to 2.35 % with photocurrent generated up to 950 nm, demonstrating the potential of this novel monomer unit for implementation in near-IR OPV devices.</w:t>
      </w:r>
    </w:p>
    <w:p w14:paraId="3058D143" w14:textId="77777777" w:rsidR="00EB4AC2" w:rsidRPr="00A2207F" w:rsidRDefault="00EB4AC2" w:rsidP="00F74BB9">
      <w:pPr>
        <w:pStyle w:val="TAMainText"/>
        <w:rPr>
          <w:b/>
          <w:lang w:val="en-GB"/>
        </w:rPr>
      </w:pPr>
      <w:r w:rsidRPr="00A2207F">
        <w:rPr>
          <w:b/>
          <w:lang w:val="en-GB"/>
        </w:rPr>
        <w:t>Experimental Section</w:t>
      </w:r>
    </w:p>
    <w:p w14:paraId="5A60B59B" w14:textId="77777777" w:rsidR="00EB4AC2" w:rsidRPr="00A2207F" w:rsidRDefault="00EB4AC2" w:rsidP="00F74BB9">
      <w:pPr>
        <w:pStyle w:val="TAMainText"/>
        <w:rPr>
          <w:b/>
          <w:lang w:val="en-GB"/>
        </w:rPr>
      </w:pPr>
      <w:r w:rsidRPr="00A2207F">
        <w:rPr>
          <w:b/>
          <w:lang w:val="en-GB"/>
        </w:rPr>
        <w:t>Characterisation</w:t>
      </w:r>
    </w:p>
    <w:p w14:paraId="4B23D2F9" w14:textId="77777777" w:rsidR="00EB4AC2" w:rsidRPr="00A2207F" w:rsidRDefault="00EB4AC2" w:rsidP="00EB4AC2">
      <w:pPr>
        <w:pStyle w:val="TAMainText"/>
        <w:rPr>
          <w:lang w:val="en-GB"/>
        </w:rPr>
      </w:pPr>
      <w:r w:rsidRPr="00A2207F">
        <w:rPr>
          <w:vertAlign w:val="superscript"/>
          <w:lang w:val="en-GB"/>
        </w:rPr>
        <w:t>1</w:t>
      </w:r>
      <w:r w:rsidRPr="00A2207F">
        <w:rPr>
          <w:lang w:val="en-GB"/>
        </w:rPr>
        <w:t xml:space="preserve">H NMR spectra were recorded at 400 MHz on a Bruker Avance 400 spectrometer, at 500 MHz on a Bruker Avance 500 spectrometer, or at 600 MHz on a Bruker Avance 600 spectrometer in the stated solvent using residual protic solvent CHCl3 (δ = 7.26 ppm, s) or DMSO (δ = 2.56 ppm, qn) as the internal standard. </w:t>
      </w:r>
      <w:r w:rsidRPr="00A2207F">
        <w:rPr>
          <w:vertAlign w:val="superscript"/>
          <w:lang w:val="en-GB"/>
        </w:rPr>
        <w:t>13</w:t>
      </w:r>
      <w:r w:rsidRPr="00A2207F">
        <w:rPr>
          <w:lang w:val="en-GB"/>
        </w:rPr>
        <w:t>C NMR spectra were recorded at 125 MHz on a Bruker Avance 500 spectrometer or at 150 MHz on a Bruker Avance 600 spectrometer in the stated solvent using the central reference of CHCl3 (δ = 77.0 ppm, t) or DMSO (δ = 39.52 ppm, septet) as the internal standard. Mass spectra were obtained using either a VG70-SE or MAT 900XP spectrometer at the Department of Chemistry, University College London. X-ray diffraction (XRD) measurements were carried out with a Bruker D4 Endeavour diffractometer equipped with a nickel-filtered Cu Kα1 beam and a scintillation counter detector and post-sample graphite monochromator, using a current of 30 mA and an accelerating voltage of 40 kV. UV-vis spectra were recorded on a Perkin</w:t>
      </w:r>
      <w:r w:rsidRPr="00A2207F">
        <w:rPr>
          <w:lang w:val="en-GB"/>
        </w:rPr>
        <w:noBreakHyphen/>
        <w:t>Elmer Lambda 950 spectrophotometer.</w:t>
      </w:r>
    </w:p>
    <w:p w14:paraId="3861883A" w14:textId="77777777" w:rsidR="00EB4AC2" w:rsidRPr="00A2207F" w:rsidRDefault="00EB4AC2" w:rsidP="00EB4AC2">
      <w:pPr>
        <w:pStyle w:val="TAMainText"/>
        <w:rPr>
          <w:b/>
          <w:lang w:val="en-GB"/>
        </w:rPr>
      </w:pPr>
      <w:r w:rsidRPr="00A2207F">
        <w:rPr>
          <w:b/>
          <w:lang w:val="en-GB"/>
        </w:rPr>
        <w:t>Synthesis</w:t>
      </w:r>
    </w:p>
    <w:p w14:paraId="10B3F6E2" w14:textId="77777777" w:rsidR="00EB4AC2" w:rsidRPr="00A2207F" w:rsidRDefault="00EB4AC2" w:rsidP="00EB4AC2">
      <w:pPr>
        <w:pStyle w:val="TAMainText"/>
        <w:rPr>
          <w:b/>
          <w:lang w:val="en-GB"/>
        </w:rPr>
      </w:pPr>
      <w:r w:rsidRPr="00A2207F">
        <w:rPr>
          <w:b/>
          <w:lang w:val="en-GB"/>
        </w:rPr>
        <w:t>2-nitro-5-((tetrahydro-2</w:t>
      </w:r>
      <w:r w:rsidRPr="00A2207F">
        <w:rPr>
          <w:b/>
          <w:i/>
          <w:lang w:val="en-GB"/>
        </w:rPr>
        <w:t>H</w:t>
      </w:r>
      <w:r w:rsidRPr="00A2207F">
        <w:rPr>
          <w:b/>
          <w:lang w:val="en-GB"/>
        </w:rPr>
        <w:t>-pyran-2-yl)oxy)benzaldehyde</w:t>
      </w:r>
    </w:p>
    <w:p w14:paraId="6312FF76" w14:textId="77777777" w:rsidR="004A0488" w:rsidRPr="00A2207F" w:rsidRDefault="00EB4AC2" w:rsidP="004A0488">
      <w:pPr>
        <w:pStyle w:val="TAMainText"/>
        <w:rPr>
          <w:lang w:val="en-GB"/>
        </w:rPr>
      </w:pPr>
      <w:r w:rsidRPr="00A2207F">
        <w:rPr>
          <w:lang w:val="en-GB"/>
        </w:rPr>
        <w:t>5-hydroxy-2-nitrobenzaldehyde (5.09 g, 31 mmol) and 3,4-dihydro-2</w:t>
      </w:r>
      <w:r w:rsidRPr="00A2207F">
        <w:rPr>
          <w:i/>
          <w:lang w:val="en-GB"/>
        </w:rPr>
        <w:t>H</w:t>
      </w:r>
      <w:r w:rsidRPr="00A2207F">
        <w:rPr>
          <w:lang w:val="en-GB"/>
        </w:rPr>
        <w:t xml:space="preserve">-pyran (13.7 mL, 0.15 mol) were dissolved in a 4:1 solution of dichloromethane:hexane (61 mL). </w:t>
      </w:r>
      <w:r w:rsidRPr="00A2207F">
        <w:rPr>
          <w:i/>
          <w:lang w:val="en-GB"/>
        </w:rPr>
        <w:t>p</w:t>
      </w:r>
      <w:r w:rsidRPr="00A2207F">
        <w:rPr>
          <w:lang w:val="en-GB"/>
        </w:rPr>
        <w:t xml:space="preserve">-Toluenesulfonic acid </w:t>
      </w:r>
      <w:r w:rsidRPr="00A2207F">
        <w:rPr>
          <w:lang w:val="en-GB"/>
        </w:rPr>
        <w:lastRenderedPageBreak/>
        <w:t>(58 mg, 1 mol%) was suspended in dichloromethane (15 mL) and a few drops of pyridine were added. The acidic mixture was then added in one portion and the reaction stirred for 12 h. Solvent and unreacted 3,4-dihydro-2</w:t>
      </w:r>
      <w:r w:rsidRPr="00A2207F">
        <w:rPr>
          <w:i/>
          <w:lang w:val="en-GB"/>
        </w:rPr>
        <w:t>H</w:t>
      </w:r>
      <w:r w:rsidRPr="00A2207F">
        <w:rPr>
          <w:lang w:val="en-GB"/>
        </w:rPr>
        <w:t xml:space="preserve">-pyran were then removed </w:t>
      </w:r>
      <w:r w:rsidRPr="00A2207F">
        <w:rPr>
          <w:i/>
          <w:lang w:val="en-GB"/>
        </w:rPr>
        <w:t xml:space="preserve">in vacuo </w:t>
      </w:r>
      <w:r w:rsidRPr="00A2207F">
        <w:rPr>
          <w:lang w:val="en-GB"/>
        </w:rPr>
        <w:t>to give a brown oil which was purified by flash chromatography on silica gel (4:1, PET:EtOAc, R</w:t>
      </w:r>
      <w:r w:rsidRPr="00A2207F">
        <w:rPr>
          <w:vertAlign w:val="subscript"/>
          <w:lang w:val="en-GB"/>
        </w:rPr>
        <w:t>F</w:t>
      </w:r>
      <w:r w:rsidRPr="00A2207F">
        <w:rPr>
          <w:lang w:val="en-GB"/>
        </w:rPr>
        <w:t xml:space="preserve"> =</w:t>
      </w:r>
      <w:r w:rsidRPr="00A2207F">
        <w:rPr>
          <w:vertAlign w:val="superscript"/>
          <w:lang w:val="en-GB"/>
        </w:rPr>
        <w:t xml:space="preserve"> </w:t>
      </w:r>
      <w:r w:rsidRPr="00A2207F">
        <w:rPr>
          <w:lang w:val="en-GB"/>
        </w:rPr>
        <w:t>0.3) to give the product as a yellow oil (7.66 g, 100%).</w:t>
      </w:r>
      <w:r w:rsidR="004A0488" w:rsidRPr="00A2207F">
        <w:rPr>
          <w:lang w:val="en-GB"/>
        </w:rPr>
        <w:t xml:space="preserve"> </w:t>
      </w:r>
      <w:r w:rsidR="004A0488" w:rsidRPr="00A2207F">
        <w:rPr>
          <w:b/>
          <w:vertAlign w:val="superscript"/>
          <w:lang w:val="en-GB"/>
        </w:rPr>
        <w:t>1</w:t>
      </w:r>
      <w:r w:rsidR="004A0488" w:rsidRPr="00A2207F">
        <w:rPr>
          <w:b/>
          <w:lang w:val="en-GB"/>
        </w:rPr>
        <w:t>H NMR</w:t>
      </w:r>
      <w:r w:rsidR="004A0488" w:rsidRPr="00A2207F">
        <w:rPr>
          <w:lang w:val="en-GB"/>
        </w:rPr>
        <w:t xml:space="preserve"> (400 MHz, CDCl</w:t>
      </w:r>
      <w:r w:rsidR="004A0488" w:rsidRPr="00A2207F">
        <w:rPr>
          <w:vertAlign w:val="subscript"/>
          <w:lang w:val="en-GB"/>
        </w:rPr>
        <w:t>3</w:t>
      </w:r>
      <w:r w:rsidR="004A0488" w:rsidRPr="00A2207F">
        <w:rPr>
          <w:lang w:val="en-GB"/>
        </w:rPr>
        <w:t xml:space="preserve">) δ 10.49 (s, 1H), 8.17 (d, </w:t>
      </w:r>
      <w:r w:rsidR="004A0488" w:rsidRPr="00A2207F">
        <w:rPr>
          <w:i/>
          <w:iCs/>
          <w:lang w:val="en-GB"/>
        </w:rPr>
        <w:t>J</w:t>
      </w:r>
      <w:r w:rsidR="004A0488" w:rsidRPr="00A2207F">
        <w:rPr>
          <w:lang w:val="en-GB"/>
        </w:rPr>
        <w:t xml:space="preserve"> = 9.0 Hz, 1H), 7.51 (d, </w:t>
      </w:r>
      <w:r w:rsidR="004A0488" w:rsidRPr="00A2207F">
        <w:rPr>
          <w:i/>
          <w:iCs/>
          <w:lang w:val="en-GB"/>
        </w:rPr>
        <w:t>J</w:t>
      </w:r>
      <w:r w:rsidR="004A0488" w:rsidRPr="00A2207F">
        <w:rPr>
          <w:lang w:val="en-GB"/>
        </w:rPr>
        <w:t xml:space="preserve"> = 2.8 Hz, 1H), 7.33 (dd, </w:t>
      </w:r>
      <w:r w:rsidR="004A0488" w:rsidRPr="00A2207F">
        <w:rPr>
          <w:i/>
          <w:iCs/>
          <w:lang w:val="en-GB"/>
        </w:rPr>
        <w:t>J</w:t>
      </w:r>
      <w:r w:rsidR="004A0488" w:rsidRPr="00A2207F">
        <w:rPr>
          <w:lang w:val="en-GB"/>
        </w:rPr>
        <w:t xml:space="preserve"> = 9.0, 2.8 Hz, 1H), 5.62 (t, </w:t>
      </w:r>
      <w:r w:rsidR="004A0488" w:rsidRPr="00A2207F">
        <w:rPr>
          <w:i/>
          <w:iCs/>
          <w:lang w:val="en-GB"/>
        </w:rPr>
        <w:t>J</w:t>
      </w:r>
      <w:r w:rsidR="004A0488" w:rsidRPr="00A2207F">
        <w:rPr>
          <w:lang w:val="en-GB"/>
        </w:rPr>
        <w:t xml:space="preserve"> = 2.8 Hz, 1H), 3.84 – 3.74 (m, 1H), 3.71 – 3.63 (m, 1H), 1.96 – 1.90 (m, 2H), 1.80 – 1.69 (m, 2H), 1.68 – 1.62 (m, 2H)  </w:t>
      </w:r>
      <w:r w:rsidR="004A0488" w:rsidRPr="00A2207F">
        <w:rPr>
          <w:b/>
          <w:lang w:val="en-GB"/>
        </w:rPr>
        <w:t>LRMS</w:t>
      </w:r>
      <w:r w:rsidR="004A0488" w:rsidRPr="00A2207F">
        <w:rPr>
          <w:lang w:val="en-GB"/>
        </w:rPr>
        <w:t xml:space="preserve"> (CI+) </w:t>
      </w:r>
      <w:r w:rsidR="004A0488" w:rsidRPr="00A2207F">
        <w:rPr>
          <w:i/>
          <w:lang w:val="en-GB"/>
        </w:rPr>
        <w:t>m/z</w:t>
      </w:r>
      <w:r w:rsidR="004A0488" w:rsidRPr="00A2207F">
        <w:rPr>
          <w:lang w:val="en-GB"/>
        </w:rPr>
        <w:t xml:space="preserve"> 252 [MH]</w:t>
      </w:r>
      <w:r w:rsidR="004A0488" w:rsidRPr="00A2207F">
        <w:rPr>
          <w:vertAlign w:val="superscript"/>
          <w:lang w:val="en-GB"/>
        </w:rPr>
        <w:t>+</w:t>
      </w:r>
    </w:p>
    <w:p w14:paraId="6ADF3705" w14:textId="77777777" w:rsidR="004A0488" w:rsidRPr="00A2207F" w:rsidRDefault="004A0488" w:rsidP="004A0488">
      <w:pPr>
        <w:pStyle w:val="TAMainText"/>
        <w:rPr>
          <w:b/>
          <w:lang w:val="en-GB"/>
        </w:rPr>
      </w:pPr>
      <w:r w:rsidRPr="00A2207F">
        <w:rPr>
          <w:b/>
          <w:lang w:val="en-GB"/>
        </w:rPr>
        <w:t>(</w:t>
      </w:r>
      <w:r w:rsidRPr="00A2207F">
        <w:rPr>
          <w:b/>
          <w:i/>
          <w:lang w:val="en-GB"/>
        </w:rPr>
        <w:t>E</w:t>
      </w:r>
      <w:r w:rsidRPr="00A2207F">
        <w:rPr>
          <w:b/>
          <w:lang w:val="en-GB"/>
        </w:rPr>
        <w:t>)-5,5'-bis(benzyloxy)-[2,2'-biindolinylidene]-3,3'-dione</w:t>
      </w:r>
    </w:p>
    <w:p w14:paraId="104E9CE7" w14:textId="77777777" w:rsidR="004A0488" w:rsidRPr="00A2207F" w:rsidRDefault="004A0488" w:rsidP="004A0488">
      <w:pPr>
        <w:pStyle w:val="TAMainText"/>
        <w:rPr>
          <w:lang w:val="en-GB"/>
        </w:rPr>
      </w:pPr>
      <w:r w:rsidRPr="00A2207F">
        <w:rPr>
          <w:lang w:val="en-GB"/>
        </w:rPr>
        <w:t>2-nitro-5-((tetrahydro-2</w:t>
      </w:r>
      <w:r w:rsidRPr="00A2207F">
        <w:rPr>
          <w:i/>
          <w:lang w:val="en-GB"/>
        </w:rPr>
        <w:t>H</w:t>
      </w:r>
      <w:r w:rsidRPr="00A2207F">
        <w:rPr>
          <w:lang w:val="en-GB"/>
        </w:rPr>
        <w:t>-pyran-2-yl)oxy)benzaldehyde</w:t>
      </w:r>
      <w:r w:rsidRPr="00A2207F">
        <w:rPr>
          <w:b/>
          <w:lang w:val="en-GB"/>
        </w:rPr>
        <w:t xml:space="preserve"> </w:t>
      </w:r>
      <w:r w:rsidRPr="00A2207F">
        <w:rPr>
          <w:lang w:val="en-GB"/>
        </w:rPr>
        <w:t xml:space="preserve">(2.3 g) was dissolved in acetone (34.5 mL) and cooled to -10 °C. With vigorous stirring, a 0.2 M solution of potassium hydroxide (4.6 mL) was added dropwise over 15 min, turning the solution pale yellow. After 30 min the solution was warmed to 5 °C and a 0.4 M solution of potassium hydroxide (34.5 mL) was added dropwise, slowly. When half of this solution was added the reaction turned deep green, once addition was complete the reaction was a dark green/blue colour. After addition the reaction was covered and allowed to warm to room temperature and stir for 24 h. The solid was then collected by vacuum filtration and washed with methanol until washings ran colourless to give a blue solid (0.72 g, 34%). </w:t>
      </w:r>
      <w:r w:rsidRPr="00A2207F">
        <w:rPr>
          <w:b/>
          <w:vertAlign w:val="superscript"/>
          <w:lang w:val="en-GB"/>
        </w:rPr>
        <w:t>1</w:t>
      </w:r>
      <w:r w:rsidRPr="00A2207F">
        <w:rPr>
          <w:b/>
          <w:lang w:val="en-GB"/>
        </w:rPr>
        <w:t>H NMR</w:t>
      </w:r>
      <w:r w:rsidRPr="00A2207F">
        <w:rPr>
          <w:lang w:val="en-GB"/>
        </w:rPr>
        <w:t xml:space="preserve"> (600 MHz, CDCl</w:t>
      </w:r>
      <w:r w:rsidRPr="00A2207F">
        <w:rPr>
          <w:vertAlign w:val="subscript"/>
          <w:lang w:val="en-GB"/>
        </w:rPr>
        <w:t>3</w:t>
      </w:r>
      <w:r w:rsidRPr="00A2207F">
        <w:rPr>
          <w:lang w:val="en-GB"/>
        </w:rPr>
        <w:t xml:space="preserve">) δ 8.76 (s, 2H), 7.42 (d, </w:t>
      </w:r>
      <w:r w:rsidRPr="00A2207F">
        <w:rPr>
          <w:i/>
          <w:iCs/>
          <w:lang w:val="en-GB"/>
        </w:rPr>
        <w:t>J</w:t>
      </w:r>
      <w:r w:rsidRPr="00A2207F">
        <w:rPr>
          <w:lang w:val="en-GB"/>
        </w:rPr>
        <w:t xml:space="preserve"> = 2.5 Hz, 2H), 7.22 (dd, </w:t>
      </w:r>
      <w:r w:rsidRPr="00A2207F">
        <w:rPr>
          <w:i/>
          <w:iCs/>
          <w:lang w:val="en-GB"/>
        </w:rPr>
        <w:t>J</w:t>
      </w:r>
      <w:r w:rsidRPr="00A2207F">
        <w:rPr>
          <w:lang w:val="en-GB"/>
        </w:rPr>
        <w:t xml:space="preserve"> = 8.7, 2.5 Hz, 2H), 6.96 (d, </w:t>
      </w:r>
      <w:r w:rsidRPr="00A2207F">
        <w:rPr>
          <w:i/>
          <w:iCs/>
          <w:lang w:val="en-GB"/>
        </w:rPr>
        <w:t>J</w:t>
      </w:r>
      <w:r w:rsidRPr="00A2207F">
        <w:rPr>
          <w:lang w:val="en-GB"/>
        </w:rPr>
        <w:t xml:space="preserve"> = 8.7 Hz, 2H), 5.34 (t, </w:t>
      </w:r>
      <w:r w:rsidRPr="00A2207F">
        <w:rPr>
          <w:i/>
          <w:iCs/>
          <w:lang w:val="en-GB"/>
        </w:rPr>
        <w:t>J</w:t>
      </w:r>
      <w:r w:rsidRPr="00A2207F">
        <w:rPr>
          <w:lang w:val="en-GB"/>
        </w:rPr>
        <w:t xml:space="preserve"> = 3.3 Hz, 2H), 3.97 – 3.88 (m, 2H), 3.68 – 3.58 (m, 2H), 2.04 – 1.94 (m, 4H), 1.92 – 1.82 (m, 4H), 1.73 – 1.63 (m, 4H)  </w:t>
      </w:r>
      <w:r w:rsidRPr="00A2207F">
        <w:rPr>
          <w:b/>
          <w:lang w:val="en-GB"/>
        </w:rPr>
        <w:t>LRMS</w:t>
      </w:r>
      <w:r w:rsidRPr="00A2207F">
        <w:rPr>
          <w:lang w:val="en-GB"/>
        </w:rPr>
        <w:t xml:space="preserve"> (CI+) </w:t>
      </w:r>
      <w:r w:rsidRPr="00A2207F">
        <w:rPr>
          <w:i/>
          <w:lang w:val="en-GB"/>
        </w:rPr>
        <w:t>m/z</w:t>
      </w:r>
      <w:r w:rsidRPr="00A2207F">
        <w:rPr>
          <w:lang w:val="en-GB"/>
        </w:rPr>
        <w:t xml:space="preserve"> 463 [MH]</w:t>
      </w:r>
      <w:r w:rsidRPr="00A2207F">
        <w:rPr>
          <w:vertAlign w:val="superscript"/>
          <w:lang w:val="en-GB"/>
        </w:rPr>
        <w:t>+</w:t>
      </w:r>
      <w:r w:rsidRPr="00A2207F">
        <w:rPr>
          <w:lang w:val="en-GB"/>
        </w:rPr>
        <w:t xml:space="preserve"> </w:t>
      </w:r>
      <w:r w:rsidRPr="00A2207F">
        <w:rPr>
          <w:b/>
          <w:lang w:val="en-GB"/>
        </w:rPr>
        <w:t>HRMS</w:t>
      </w:r>
      <w:r w:rsidRPr="00A2207F">
        <w:rPr>
          <w:lang w:val="en-GB"/>
        </w:rPr>
        <w:t xml:space="preserve"> Found (CI+): [MH]</w:t>
      </w:r>
      <w:r w:rsidRPr="00A2207F">
        <w:rPr>
          <w:vertAlign w:val="superscript"/>
          <w:lang w:val="en-GB"/>
        </w:rPr>
        <w:t>+</w:t>
      </w:r>
      <w:r w:rsidRPr="00A2207F">
        <w:rPr>
          <w:lang w:val="en-GB"/>
        </w:rPr>
        <w:t xml:space="preserve"> 463.18632, C</w:t>
      </w:r>
      <w:r w:rsidRPr="00A2207F">
        <w:rPr>
          <w:vertAlign w:val="subscript"/>
          <w:lang w:val="en-GB"/>
        </w:rPr>
        <w:t>26</w:t>
      </w:r>
      <w:r w:rsidRPr="00A2207F">
        <w:rPr>
          <w:lang w:val="en-GB"/>
        </w:rPr>
        <w:t>H</w:t>
      </w:r>
      <w:r w:rsidRPr="00A2207F">
        <w:rPr>
          <w:vertAlign w:val="subscript"/>
          <w:lang w:val="en-GB"/>
        </w:rPr>
        <w:t>27</w:t>
      </w:r>
      <w:r w:rsidRPr="00A2207F">
        <w:rPr>
          <w:lang w:val="en-GB"/>
        </w:rPr>
        <w:t>N</w:t>
      </w:r>
      <w:r w:rsidRPr="00A2207F">
        <w:rPr>
          <w:vertAlign w:val="subscript"/>
          <w:lang w:val="en-GB"/>
        </w:rPr>
        <w:t>2</w:t>
      </w:r>
      <w:r w:rsidRPr="00A2207F">
        <w:rPr>
          <w:lang w:val="en-GB"/>
        </w:rPr>
        <w:t>O</w:t>
      </w:r>
      <w:r w:rsidRPr="00A2207F">
        <w:rPr>
          <w:vertAlign w:val="subscript"/>
          <w:lang w:val="en-GB"/>
        </w:rPr>
        <w:t>6</w:t>
      </w:r>
      <w:r w:rsidRPr="00A2207F">
        <w:rPr>
          <w:lang w:val="en-GB"/>
        </w:rPr>
        <w:t xml:space="preserve"> requires 463.18691</w:t>
      </w:r>
    </w:p>
    <w:p w14:paraId="32E5F48E" w14:textId="77777777" w:rsidR="004A0488" w:rsidRPr="00A2207F" w:rsidRDefault="004A0488" w:rsidP="004A0488">
      <w:pPr>
        <w:pStyle w:val="TAMainText"/>
        <w:rPr>
          <w:b/>
          <w:lang w:val="en-GB"/>
        </w:rPr>
      </w:pPr>
      <w:r w:rsidRPr="00A2207F">
        <w:rPr>
          <w:b/>
          <w:lang w:val="en-GB"/>
        </w:rPr>
        <w:t>2,9-dihydroxy-7,14-di(thiophen-2-yl)diindolo[3,2,1-</w:t>
      </w:r>
      <w:r w:rsidRPr="00A2207F">
        <w:rPr>
          <w:b/>
          <w:i/>
          <w:lang w:val="en-GB"/>
        </w:rPr>
        <w:t>de</w:t>
      </w:r>
      <w:r w:rsidRPr="00A2207F">
        <w:rPr>
          <w:b/>
          <w:lang w:val="en-GB"/>
        </w:rPr>
        <w:t>:3',2',1'-</w:t>
      </w:r>
      <w:r w:rsidRPr="00A2207F">
        <w:rPr>
          <w:b/>
          <w:i/>
          <w:lang w:val="en-GB"/>
        </w:rPr>
        <w:t>ij</w:t>
      </w:r>
      <w:r w:rsidRPr="00A2207F">
        <w:rPr>
          <w:b/>
          <w:lang w:val="en-GB"/>
        </w:rPr>
        <w:t>][1,5]naphthyridine-6,13-dione</w:t>
      </w:r>
    </w:p>
    <w:p w14:paraId="3AE3ACA0" w14:textId="77777777" w:rsidR="004A0488" w:rsidRPr="00A2207F" w:rsidRDefault="004A0488" w:rsidP="004A0488">
      <w:pPr>
        <w:pStyle w:val="TAMainText"/>
        <w:rPr>
          <w:lang w:val="en-GB"/>
        </w:rPr>
      </w:pPr>
      <w:r w:rsidRPr="00A2207F">
        <w:rPr>
          <w:lang w:val="en-GB"/>
        </w:rPr>
        <w:lastRenderedPageBreak/>
        <w:t>(</w:t>
      </w:r>
      <w:r w:rsidRPr="00A2207F">
        <w:rPr>
          <w:i/>
          <w:lang w:val="en-GB"/>
        </w:rPr>
        <w:t>E</w:t>
      </w:r>
      <w:r w:rsidRPr="00A2207F">
        <w:rPr>
          <w:lang w:val="en-GB"/>
        </w:rPr>
        <w:t>)-5,5'-bis((tetrahydro-2</w:t>
      </w:r>
      <w:r w:rsidRPr="00A2207F">
        <w:rPr>
          <w:i/>
          <w:lang w:val="en-GB"/>
        </w:rPr>
        <w:t>H</w:t>
      </w:r>
      <w:r w:rsidRPr="00A2207F">
        <w:rPr>
          <w:lang w:val="en-GB"/>
        </w:rPr>
        <w:t xml:space="preserve">-pyran-2-yl)oxy)-[2,2'-biindolinylidene]-3,3'-dione (2.2 g, 4.8 mmol), and 2-(thiophen-2-yl)acetyl chloride (3.6 mL, 29 mmol) were dissolved in anhydrous xylene (96 mL) and the reaction refluxed at 165 °C for 24 h. The blue reaction turned purple after 1 h. After 24 h the vapours from the argon flow were no longer acidic. The reaction was transferred to a 250 mL round bottomed flask washing with methanol and chloroform. All solvent was removed </w:t>
      </w:r>
      <w:r w:rsidRPr="00A2207F">
        <w:rPr>
          <w:i/>
          <w:lang w:val="en-GB"/>
        </w:rPr>
        <w:t xml:space="preserve">in vacuo </w:t>
      </w:r>
      <w:r w:rsidRPr="00A2207F">
        <w:rPr>
          <w:lang w:val="en-GB"/>
        </w:rPr>
        <w:t xml:space="preserve">to give a black residue. The residue was taken up in methanol and the yellow methanol washings carefully decanted off, to leave the black solid in the flask. After five methanol washings the solid was suspended in methanol and, with stirring, 5% sodium hydroxide solution (20 mL, 2.5 equiv) was added. The solution immediately turned dark red and then black and allowed to stir for 12 h. 6M hydrochloric acid (4.1 mL, 24.8 mmol) was then added to neutralise the reaction. The methanol and water were then removed </w:t>
      </w:r>
      <w:r w:rsidRPr="00A2207F">
        <w:rPr>
          <w:i/>
          <w:lang w:val="en-GB"/>
        </w:rPr>
        <w:t>in vacuo</w:t>
      </w:r>
      <w:r w:rsidRPr="00A2207F">
        <w:rPr>
          <w:lang w:val="en-GB"/>
        </w:rPr>
        <w:t xml:space="preserve"> and the resulting residue was washed with a small amount of water which was carefully decanted off, to remove any salts. The solid was then taken up in acetone and filtered off under reduced pressure. The resulting dark solid was washed with water, acetone then methanol, then air dried to give a black solid (0.7 g, 29%). </w:t>
      </w:r>
      <w:r w:rsidRPr="00A2207F">
        <w:rPr>
          <w:b/>
          <w:vertAlign w:val="superscript"/>
          <w:lang w:val="en-GB"/>
        </w:rPr>
        <w:t>1</w:t>
      </w:r>
      <w:r w:rsidRPr="00A2207F">
        <w:rPr>
          <w:b/>
          <w:lang w:val="en-GB"/>
        </w:rPr>
        <w:t>H NMR</w:t>
      </w:r>
      <w:r w:rsidRPr="00A2207F">
        <w:rPr>
          <w:lang w:val="en-GB"/>
        </w:rPr>
        <w:t xml:space="preserve"> (600 MHz, DMSO) δ 10.03 (s, 2H), 8.22 (d, </w:t>
      </w:r>
      <w:r w:rsidRPr="00A2207F">
        <w:rPr>
          <w:i/>
          <w:iCs/>
          <w:lang w:val="en-GB"/>
        </w:rPr>
        <w:t>J</w:t>
      </w:r>
      <w:r w:rsidRPr="00A2207F">
        <w:rPr>
          <w:lang w:val="en-GB"/>
        </w:rPr>
        <w:t xml:space="preserve"> = 8.7 Hz, 2H), 7.96 (d, </w:t>
      </w:r>
      <w:r w:rsidRPr="00A2207F">
        <w:rPr>
          <w:i/>
          <w:iCs/>
          <w:lang w:val="en-GB"/>
        </w:rPr>
        <w:t>J</w:t>
      </w:r>
      <w:r w:rsidRPr="00A2207F">
        <w:rPr>
          <w:lang w:val="en-GB"/>
        </w:rPr>
        <w:t xml:space="preserve"> = 4.5 Hz, 2H), 7.74 (d, </w:t>
      </w:r>
      <w:r w:rsidRPr="00A2207F">
        <w:rPr>
          <w:i/>
          <w:iCs/>
          <w:lang w:val="en-GB"/>
        </w:rPr>
        <w:t>J</w:t>
      </w:r>
      <w:r w:rsidRPr="00A2207F">
        <w:rPr>
          <w:lang w:val="en-GB"/>
        </w:rPr>
        <w:t xml:space="preserve"> = 3.6 Hz, 2H), 7.53 (d, </w:t>
      </w:r>
      <w:r w:rsidRPr="00A2207F">
        <w:rPr>
          <w:i/>
          <w:iCs/>
          <w:lang w:val="en-GB"/>
        </w:rPr>
        <w:t>J</w:t>
      </w:r>
      <w:r w:rsidRPr="00A2207F">
        <w:rPr>
          <w:lang w:val="en-GB"/>
        </w:rPr>
        <w:t xml:space="preserve"> = 2.4 Hz, 2H), 7.35 (dd, </w:t>
      </w:r>
      <w:r w:rsidRPr="00A2207F">
        <w:rPr>
          <w:i/>
          <w:iCs/>
          <w:lang w:val="en-GB"/>
        </w:rPr>
        <w:t>J</w:t>
      </w:r>
      <w:r w:rsidRPr="00A2207F">
        <w:rPr>
          <w:lang w:val="en-GB"/>
        </w:rPr>
        <w:t xml:space="preserve"> = 4.5, 3.6 Hz, 2H), 7.07 (dd, </w:t>
      </w:r>
      <w:r w:rsidRPr="00A2207F">
        <w:rPr>
          <w:i/>
          <w:iCs/>
          <w:lang w:val="en-GB"/>
        </w:rPr>
        <w:t>J</w:t>
      </w:r>
      <w:r w:rsidRPr="00A2207F">
        <w:rPr>
          <w:lang w:val="en-GB"/>
        </w:rPr>
        <w:t xml:space="preserve"> = 8.7, 2.4 Hz, 2H)  </w:t>
      </w:r>
      <w:r w:rsidRPr="00A2207F">
        <w:rPr>
          <w:b/>
          <w:lang w:val="en-GB"/>
        </w:rPr>
        <w:t>LRMS</w:t>
      </w:r>
      <w:r w:rsidRPr="00A2207F">
        <w:rPr>
          <w:lang w:val="en-GB"/>
        </w:rPr>
        <w:t xml:space="preserve"> (ES+) </w:t>
      </w:r>
      <w:r w:rsidRPr="00A2207F">
        <w:rPr>
          <w:i/>
          <w:lang w:val="en-GB"/>
        </w:rPr>
        <w:t xml:space="preserve">m/z </w:t>
      </w:r>
      <w:r w:rsidRPr="00A2207F">
        <w:rPr>
          <w:lang w:val="en-GB"/>
        </w:rPr>
        <w:t>507 [MH]</w:t>
      </w:r>
      <w:r w:rsidRPr="00A2207F">
        <w:rPr>
          <w:vertAlign w:val="superscript"/>
          <w:lang w:val="en-GB"/>
        </w:rPr>
        <w:t>+</w:t>
      </w:r>
      <w:r w:rsidRPr="00A2207F">
        <w:rPr>
          <w:lang w:val="en-GB"/>
        </w:rPr>
        <w:t xml:space="preserve"> </w:t>
      </w:r>
      <w:r w:rsidRPr="00A2207F">
        <w:rPr>
          <w:b/>
          <w:lang w:val="en-GB"/>
        </w:rPr>
        <w:t>HRMS</w:t>
      </w:r>
      <w:r w:rsidRPr="00A2207F">
        <w:rPr>
          <w:lang w:val="en-GB"/>
        </w:rPr>
        <w:t xml:space="preserve"> Found (ES+): [MH]</w:t>
      </w:r>
      <w:r w:rsidRPr="00A2207F">
        <w:rPr>
          <w:vertAlign w:val="superscript"/>
          <w:lang w:val="en-GB"/>
        </w:rPr>
        <w:t>+</w:t>
      </w:r>
      <w:r w:rsidRPr="00A2207F">
        <w:rPr>
          <w:lang w:val="en-GB"/>
        </w:rPr>
        <w:t xml:space="preserve"> 507.0482, C</w:t>
      </w:r>
      <w:r w:rsidRPr="00A2207F">
        <w:rPr>
          <w:vertAlign w:val="subscript"/>
          <w:lang w:val="en-GB"/>
        </w:rPr>
        <w:t>28</w:t>
      </w:r>
      <w:r w:rsidRPr="00A2207F">
        <w:rPr>
          <w:lang w:val="en-GB"/>
        </w:rPr>
        <w:t>H</w:t>
      </w:r>
      <w:r w:rsidRPr="00A2207F">
        <w:rPr>
          <w:vertAlign w:val="subscript"/>
          <w:lang w:val="en-GB"/>
        </w:rPr>
        <w:t>15</w:t>
      </w:r>
      <w:r w:rsidRPr="00A2207F">
        <w:rPr>
          <w:lang w:val="en-GB"/>
        </w:rPr>
        <w:t>N</w:t>
      </w:r>
      <w:r w:rsidRPr="00A2207F">
        <w:rPr>
          <w:vertAlign w:val="subscript"/>
          <w:lang w:val="en-GB"/>
        </w:rPr>
        <w:t>2</w:t>
      </w:r>
      <w:r w:rsidRPr="00A2207F">
        <w:rPr>
          <w:lang w:val="en-GB"/>
        </w:rPr>
        <w:t>O</w:t>
      </w:r>
      <w:r w:rsidRPr="00A2207F">
        <w:rPr>
          <w:vertAlign w:val="subscript"/>
          <w:lang w:val="en-GB"/>
        </w:rPr>
        <w:t>4</w:t>
      </w:r>
      <w:r w:rsidRPr="00A2207F">
        <w:rPr>
          <w:lang w:val="en-GB"/>
        </w:rPr>
        <w:t>S</w:t>
      </w:r>
      <w:r w:rsidRPr="00A2207F">
        <w:rPr>
          <w:vertAlign w:val="subscript"/>
          <w:lang w:val="en-GB"/>
        </w:rPr>
        <w:t>2</w:t>
      </w:r>
      <w:r w:rsidRPr="00A2207F">
        <w:rPr>
          <w:lang w:val="en-GB"/>
        </w:rPr>
        <w:t xml:space="preserve"> requires 507.0473</w:t>
      </w:r>
    </w:p>
    <w:p w14:paraId="4B624313" w14:textId="77777777" w:rsidR="004A0488" w:rsidRPr="00A2207F" w:rsidRDefault="004A0488" w:rsidP="004A0488">
      <w:pPr>
        <w:pStyle w:val="TAMainText"/>
        <w:rPr>
          <w:b/>
          <w:lang w:val="en-GB"/>
        </w:rPr>
      </w:pPr>
      <w:r w:rsidRPr="00A2207F">
        <w:rPr>
          <w:b/>
          <w:lang w:val="en-GB"/>
        </w:rPr>
        <w:t>2,9-bis((2-octyldodecyl)oxy)-7,14-di(thiophen-2-yl)diindolo[3,2,1-</w:t>
      </w:r>
      <w:r w:rsidRPr="00A2207F">
        <w:rPr>
          <w:b/>
          <w:i/>
          <w:lang w:val="en-GB"/>
        </w:rPr>
        <w:t>de</w:t>
      </w:r>
      <w:r w:rsidRPr="00A2207F">
        <w:rPr>
          <w:b/>
          <w:lang w:val="en-GB"/>
        </w:rPr>
        <w:t>:3',2',1'-</w:t>
      </w:r>
      <w:r w:rsidRPr="00A2207F">
        <w:rPr>
          <w:b/>
          <w:i/>
          <w:lang w:val="en-GB"/>
        </w:rPr>
        <w:t>ij</w:t>
      </w:r>
      <w:r w:rsidRPr="00A2207F">
        <w:rPr>
          <w:b/>
          <w:lang w:val="en-GB"/>
        </w:rPr>
        <w:t>][1,5]naphthyridine-6,13-dione</w:t>
      </w:r>
    </w:p>
    <w:p w14:paraId="13B41EA6" w14:textId="77777777" w:rsidR="004A0488" w:rsidRPr="00A2207F" w:rsidRDefault="004A0488" w:rsidP="004A0488">
      <w:pPr>
        <w:pStyle w:val="TAMainText"/>
        <w:rPr>
          <w:lang w:val="en-GB"/>
        </w:rPr>
      </w:pPr>
      <w:r w:rsidRPr="00A2207F">
        <w:rPr>
          <w:lang w:val="en-GB"/>
        </w:rPr>
        <w:t>2,9-dihydroxy-7,14-di(thiophen-2-yl)diindolo[3,2,1-</w:t>
      </w:r>
      <w:r w:rsidRPr="00A2207F">
        <w:rPr>
          <w:i/>
          <w:lang w:val="en-GB"/>
        </w:rPr>
        <w:t>de</w:t>
      </w:r>
      <w:r w:rsidRPr="00A2207F">
        <w:rPr>
          <w:lang w:val="en-GB"/>
        </w:rPr>
        <w:t>:3',2',1'-</w:t>
      </w:r>
      <w:r w:rsidRPr="00A2207F">
        <w:rPr>
          <w:i/>
          <w:lang w:val="en-GB"/>
        </w:rPr>
        <w:t>ij</w:t>
      </w:r>
      <w:r w:rsidRPr="00A2207F">
        <w:rPr>
          <w:lang w:val="en-GB"/>
        </w:rPr>
        <w:t xml:space="preserve">][1,5]naphthyridine-6,13-dione (0.7 g, 1.4 mmol) potassium carbonate (2.67 g, 19 mmol) and 9-(bromomethyl)nonadecane (1.25 g, 3.5 mmol) were dissolved in dimethylformamide (28 mL) and heated at 60 °C with stirring for </w:t>
      </w:r>
      <w:r w:rsidRPr="00A2207F">
        <w:rPr>
          <w:lang w:val="en-GB"/>
        </w:rPr>
        <w:lastRenderedPageBreak/>
        <w:t xml:space="preserve">24 h. The reaction was then cooled and poured into a separating funnel containing brine and hexane. The organic layer was extracted with brine (5 × 50 mL), separated and filtered under reduced pressure to remove black particulates. The purple organic filtrate was then dried over magnesium sulphate, filtered and concentrated </w:t>
      </w:r>
      <w:r w:rsidRPr="00A2207F">
        <w:rPr>
          <w:i/>
          <w:lang w:val="en-GB"/>
        </w:rPr>
        <w:t>in vacuo</w:t>
      </w:r>
      <w:r w:rsidRPr="00A2207F">
        <w:rPr>
          <w:lang w:val="en-GB"/>
        </w:rPr>
        <w:t xml:space="preserve"> to give a purple oil. The crude oil was purified by flash chromatography on silica gel (9:1, PET: EtOAc, R</w:t>
      </w:r>
      <w:r w:rsidRPr="00A2207F">
        <w:rPr>
          <w:vertAlign w:val="subscript"/>
          <w:lang w:val="en-GB"/>
        </w:rPr>
        <w:t xml:space="preserve">F </w:t>
      </w:r>
      <w:r w:rsidRPr="00A2207F">
        <w:rPr>
          <w:lang w:val="en-GB"/>
        </w:rPr>
        <w:t xml:space="preserve">= 0.2) to give a pure purple oil (119 mg, 8%). </w:t>
      </w:r>
      <w:r w:rsidRPr="00A2207F">
        <w:rPr>
          <w:b/>
          <w:vertAlign w:val="superscript"/>
          <w:lang w:val="en-GB"/>
        </w:rPr>
        <w:t>1</w:t>
      </w:r>
      <w:r w:rsidRPr="00A2207F">
        <w:rPr>
          <w:b/>
          <w:lang w:val="en-GB"/>
        </w:rPr>
        <w:t>H NMR</w:t>
      </w:r>
      <w:r w:rsidRPr="00A2207F">
        <w:rPr>
          <w:lang w:val="en-GB"/>
        </w:rPr>
        <w:t xml:space="preserve"> (600 MHz, CDCl</w:t>
      </w:r>
      <w:r w:rsidRPr="00A2207F">
        <w:rPr>
          <w:vertAlign w:val="subscript"/>
          <w:lang w:val="en-GB"/>
        </w:rPr>
        <w:t>3</w:t>
      </w:r>
      <w:r w:rsidRPr="00A2207F">
        <w:rPr>
          <w:lang w:val="en-GB"/>
        </w:rPr>
        <w:t xml:space="preserve">) δ 8.40 (d, </w:t>
      </w:r>
      <w:r w:rsidRPr="00A2207F">
        <w:rPr>
          <w:i/>
          <w:iCs/>
          <w:lang w:val="en-GB"/>
        </w:rPr>
        <w:t>J</w:t>
      </w:r>
      <w:r w:rsidRPr="00A2207F">
        <w:rPr>
          <w:lang w:val="en-GB"/>
        </w:rPr>
        <w:t xml:space="preserve"> = 8.9 Hz, 2H), 7.74 (dd, </w:t>
      </w:r>
      <w:r w:rsidRPr="00A2207F">
        <w:rPr>
          <w:i/>
          <w:iCs/>
          <w:lang w:val="en-GB"/>
        </w:rPr>
        <w:t>J</w:t>
      </w:r>
      <w:r w:rsidRPr="00A2207F">
        <w:rPr>
          <w:lang w:val="en-GB"/>
        </w:rPr>
        <w:t xml:space="preserve"> = 3.6, 0.8 Hz, 2H), 7.69 (dd, </w:t>
      </w:r>
      <w:r w:rsidRPr="00A2207F">
        <w:rPr>
          <w:i/>
          <w:iCs/>
          <w:lang w:val="en-GB"/>
        </w:rPr>
        <w:t>J</w:t>
      </w:r>
      <w:r w:rsidRPr="00A2207F">
        <w:rPr>
          <w:lang w:val="en-GB"/>
        </w:rPr>
        <w:t xml:space="preserve"> = 5.1, 0.8 Hz, 2H), 7.65 (d, </w:t>
      </w:r>
      <w:r w:rsidRPr="00A2207F">
        <w:rPr>
          <w:i/>
          <w:iCs/>
          <w:lang w:val="en-GB"/>
        </w:rPr>
        <w:t>J</w:t>
      </w:r>
      <w:r w:rsidRPr="00A2207F">
        <w:rPr>
          <w:lang w:val="en-GB"/>
        </w:rPr>
        <w:t xml:space="preserve"> = 2.5 Hz, 2H), 7.27 – 7.24 (m, 2H), 7.08 (dd, </w:t>
      </w:r>
      <w:r w:rsidRPr="00A2207F">
        <w:rPr>
          <w:i/>
          <w:iCs/>
          <w:lang w:val="en-GB"/>
        </w:rPr>
        <w:t>J</w:t>
      </w:r>
      <w:r w:rsidRPr="00A2207F">
        <w:rPr>
          <w:lang w:val="en-GB"/>
        </w:rPr>
        <w:t xml:space="preserve"> = 8.9, 2.5 Hz, 2H), 3.81 (d, </w:t>
      </w:r>
      <w:r w:rsidRPr="00A2207F">
        <w:rPr>
          <w:i/>
          <w:iCs/>
          <w:lang w:val="en-GB"/>
        </w:rPr>
        <w:t>J</w:t>
      </w:r>
      <w:r w:rsidRPr="00A2207F">
        <w:rPr>
          <w:lang w:val="en-GB"/>
        </w:rPr>
        <w:t xml:space="preserve"> = 5.8 Hz, 4H), 1.81 – 1.73 (m, 2H), 1.47 – 1.40 (m, 4H), 1.40 – 1.35 (m, 4H), 1.35 – 1.20 (m, 56H), 0.90 – 0.84 (m, 12H) </w:t>
      </w:r>
      <w:r w:rsidRPr="00A2207F">
        <w:rPr>
          <w:b/>
          <w:vertAlign w:val="superscript"/>
          <w:lang w:val="en-GB"/>
        </w:rPr>
        <w:t>13</w:t>
      </w:r>
      <w:r w:rsidRPr="00A2207F">
        <w:rPr>
          <w:b/>
          <w:lang w:val="en-GB"/>
        </w:rPr>
        <w:t>C NMR</w:t>
      </w:r>
      <w:r w:rsidRPr="00A2207F">
        <w:rPr>
          <w:lang w:val="en-GB"/>
        </w:rPr>
        <w:t xml:space="preserve"> (150 MHz, CDCl</w:t>
      </w:r>
      <w:r w:rsidRPr="00A2207F">
        <w:rPr>
          <w:vertAlign w:val="subscript"/>
          <w:lang w:val="en-GB"/>
        </w:rPr>
        <w:t>3</w:t>
      </w:r>
      <w:r w:rsidRPr="00A2207F">
        <w:rPr>
          <w:lang w:val="en-GB"/>
        </w:rPr>
        <w:t xml:space="preserve">) δ 158.5, 158.0, 138.0, 134.8, 130.3, 130.2, 130.1, 127.1, 126.3, 125.1, 122.5, 118.4, 118.3, 111.0, 71.9, 38.0, 32.0, 31.4, 30.2, 29.8, 29.7, 29.5, 26.9, 22.8, 14.3 </w:t>
      </w:r>
      <w:r w:rsidRPr="00A2207F">
        <w:rPr>
          <w:b/>
          <w:lang w:val="en-GB"/>
        </w:rPr>
        <w:t>LRMS</w:t>
      </w:r>
      <w:r w:rsidRPr="00A2207F">
        <w:rPr>
          <w:lang w:val="en-GB"/>
        </w:rPr>
        <w:t xml:space="preserve"> (ES-) </w:t>
      </w:r>
      <w:r w:rsidRPr="00A2207F">
        <w:rPr>
          <w:i/>
          <w:lang w:val="en-GB"/>
        </w:rPr>
        <w:t xml:space="preserve">m/z </w:t>
      </w:r>
      <w:r w:rsidRPr="00A2207F">
        <w:rPr>
          <w:lang w:val="en-GB"/>
        </w:rPr>
        <w:t>1065 [M-H]</w:t>
      </w:r>
      <w:r w:rsidRPr="00A2207F">
        <w:rPr>
          <w:vertAlign w:val="superscript"/>
          <w:lang w:val="en-GB"/>
        </w:rPr>
        <w:t>+</w:t>
      </w:r>
      <w:r w:rsidRPr="00A2207F">
        <w:rPr>
          <w:lang w:val="en-GB"/>
        </w:rPr>
        <w:t xml:space="preserve">  </w:t>
      </w:r>
    </w:p>
    <w:p w14:paraId="00088B9E" w14:textId="77777777" w:rsidR="004A0488" w:rsidRPr="00A2207F" w:rsidRDefault="004A0488" w:rsidP="004A0488">
      <w:pPr>
        <w:pStyle w:val="TAMainText"/>
        <w:rPr>
          <w:b/>
          <w:lang w:val="en-GB"/>
        </w:rPr>
      </w:pPr>
      <w:r w:rsidRPr="00A2207F">
        <w:rPr>
          <w:b/>
          <w:lang w:val="en-GB"/>
        </w:rPr>
        <w:t>7,14-bis(5-bromothiophen-2-yl)-2,9-bis((2-octyldodecyl)oxy)diindolo[3,2,1-</w:t>
      </w:r>
      <w:r w:rsidRPr="00A2207F">
        <w:rPr>
          <w:b/>
          <w:i/>
          <w:lang w:val="en-GB"/>
        </w:rPr>
        <w:t>de</w:t>
      </w:r>
      <w:r w:rsidRPr="00A2207F">
        <w:rPr>
          <w:b/>
          <w:lang w:val="en-GB"/>
        </w:rPr>
        <w:t>:3',2',1'-</w:t>
      </w:r>
      <w:r w:rsidRPr="00A2207F">
        <w:rPr>
          <w:b/>
          <w:i/>
          <w:lang w:val="en-GB"/>
        </w:rPr>
        <w:t>ij</w:t>
      </w:r>
      <w:r w:rsidRPr="00A2207F">
        <w:rPr>
          <w:b/>
          <w:lang w:val="en-GB"/>
        </w:rPr>
        <w:t>][1,5]naphthyridine-6,13-dione</w:t>
      </w:r>
    </w:p>
    <w:p w14:paraId="62E0E08C" w14:textId="77777777" w:rsidR="004A0488" w:rsidRPr="00A2207F" w:rsidRDefault="004A0488" w:rsidP="004A0488">
      <w:pPr>
        <w:pStyle w:val="TAMainText"/>
        <w:ind w:firstLine="0"/>
        <w:rPr>
          <w:lang w:val="en-GB"/>
        </w:rPr>
      </w:pPr>
      <w:r w:rsidRPr="00A2207F">
        <w:rPr>
          <w:lang w:val="en-GB"/>
        </w:rPr>
        <w:t>2,9-bis((2-octyldodecyl)oxy)-7,14-di(thiophen-2-yl)diindolo[3,2,1-</w:t>
      </w:r>
      <w:r w:rsidRPr="00A2207F">
        <w:rPr>
          <w:i/>
          <w:lang w:val="en-GB"/>
        </w:rPr>
        <w:t>de</w:t>
      </w:r>
      <w:r w:rsidRPr="00A2207F">
        <w:rPr>
          <w:lang w:val="en-GB"/>
        </w:rPr>
        <w:t>:3',2',1'-</w:t>
      </w:r>
      <w:r w:rsidRPr="00A2207F">
        <w:rPr>
          <w:i/>
          <w:lang w:val="en-GB"/>
        </w:rPr>
        <w:t>ij</w:t>
      </w:r>
      <w:r w:rsidRPr="00A2207F">
        <w:rPr>
          <w:lang w:val="en-GB"/>
        </w:rPr>
        <w:t xml:space="preserve">][1,5]naphthyridine-6,13-dione (119 mg, 0.11 mmol) was dissolved in dichloromethane (15 mL) and the solution was cooled to 0 °C. N-Bromosuccinimide (43 mg, 0.24 mmol) was added all at once to the stirring solution and the reaction was covered and kept at 0 °C for 30 min. The ice bath was then removed and the reaction allowed to warm to room temperature and stir for a further 12 h. After 1 h the solution had changed from purple to sapphire blue. After 12 h the reaction was diluted with further dichloromethane and washed with water (2 × 30 mL) then brine (30 mL), dried over magnesium sulphate and concentrated to give a waxy solid. Methanol was added to the flask and to give a suspension, which was then collected by vacuum filtration to give a pure blue waxy solid (60 mg, 44%) </w:t>
      </w:r>
      <w:r w:rsidRPr="00A2207F">
        <w:rPr>
          <w:b/>
          <w:vertAlign w:val="superscript"/>
          <w:lang w:val="en-GB"/>
        </w:rPr>
        <w:t>1</w:t>
      </w:r>
      <w:r w:rsidRPr="00A2207F">
        <w:rPr>
          <w:b/>
          <w:lang w:val="en-GB"/>
        </w:rPr>
        <w:t>H NMR</w:t>
      </w:r>
      <w:r w:rsidRPr="00A2207F">
        <w:rPr>
          <w:lang w:val="en-GB"/>
        </w:rPr>
        <w:t xml:space="preserve"> (600 MHz, CDCl</w:t>
      </w:r>
      <w:r w:rsidRPr="00A2207F">
        <w:rPr>
          <w:vertAlign w:val="subscript"/>
          <w:lang w:val="en-GB"/>
        </w:rPr>
        <w:t>3</w:t>
      </w:r>
      <w:r w:rsidRPr="00A2207F">
        <w:rPr>
          <w:lang w:val="en-GB"/>
        </w:rPr>
        <w:t xml:space="preserve">) δ 8.34 (d, </w:t>
      </w:r>
      <w:r w:rsidRPr="00A2207F">
        <w:rPr>
          <w:i/>
          <w:iCs/>
          <w:lang w:val="en-GB"/>
        </w:rPr>
        <w:t>J</w:t>
      </w:r>
      <w:r w:rsidRPr="00A2207F">
        <w:rPr>
          <w:lang w:val="en-GB"/>
        </w:rPr>
        <w:t xml:space="preserve"> = 8.9 Hz, 2H), 7.67 (d, </w:t>
      </w:r>
      <w:r w:rsidRPr="00A2207F">
        <w:rPr>
          <w:i/>
          <w:iCs/>
          <w:lang w:val="en-GB"/>
        </w:rPr>
        <w:t>J</w:t>
      </w:r>
      <w:r w:rsidRPr="00A2207F">
        <w:rPr>
          <w:lang w:val="en-GB"/>
        </w:rPr>
        <w:t xml:space="preserve"> = 2.4 Hz, </w:t>
      </w:r>
      <w:r w:rsidRPr="00A2207F">
        <w:rPr>
          <w:lang w:val="en-GB"/>
        </w:rPr>
        <w:lastRenderedPageBreak/>
        <w:t xml:space="preserve">2H), 7.54 (d, </w:t>
      </w:r>
      <w:r w:rsidRPr="00A2207F">
        <w:rPr>
          <w:i/>
          <w:iCs/>
          <w:lang w:val="en-GB"/>
        </w:rPr>
        <w:t>J</w:t>
      </w:r>
      <w:r w:rsidRPr="00A2207F">
        <w:rPr>
          <w:lang w:val="en-GB"/>
        </w:rPr>
        <w:t xml:space="preserve"> = 3.9 Hz, 2H), 7.21 (d, </w:t>
      </w:r>
      <w:r w:rsidRPr="00A2207F">
        <w:rPr>
          <w:i/>
          <w:iCs/>
          <w:lang w:val="en-GB"/>
        </w:rPr>
        <w:t>J</w:t>
      </w:r>
      <w:r w:rsidRPr="00A2207F">
        <w:rPr>
          <w:lang w:val="en-GB"/>
        </w:rPr>
        <w:t xml:space="preserve"> = 3.9 Hz, 2H), 7.07 (dd, </w:t>
      </w:r>
      <w:r w:rsidRPr="00A2207F">
        <w:rPr>
          <w:i/>
          <w:iCs/>
          <w:lang w:val="en-GB"/>
        </w:rPr>
        <w:t>J</w:t>
      </w:r>
      <w:r w:rsidRPr="00A2207F">
        <w:rPr>
          <w:lang w:val="en-GB"/>
        </w:rPr>
        <w:t xml:space="preserve"> = 8.9, 2.4 Hz, 2H), 3.83 (d, </w:t>
      </w:r>
      <w:r w:rsidRPr="00A2207F">
        <w:rPr>
          <w:i/>
          <w:iCs/>
          <w:lang w:val="en-GB"/>
        </w:rPr>
        <w:t>J</w:t>
      </w:r>
      <w:r w:rsidRPr="00A2207F">
        <w:rPr>
          <w:lang w:val="en-GB"/>
        </w:rPr>
        <w:t xml:space="preserve"> = 5.7 Hz, 4H), 1.83 – 1.75 (m, 2H), 1.48 – 1.41 (m, 4H), 1.41 – 1.36 (m, 4H), 1.36 – 1.17 (m, 56H), 0.91 – 0.83 (m, 12H) </w:t>
      </w:r>
      <w:r w:rsidRPr="00A2207F">
        <w:rPr>
          <w:b/>
          <w:vertAlign w:val="superscript"/>
          <w:lang w:val="en-GB"/>
        </w:rPr>
        <w:t>13</w:t>
      </w:r>
      <w:r w:rsidRPr="00A2207F">
        <w:rPr>
          <w:b/>
          <w:lang w:val="en-GB"/>
        </w:rPr>
        <w:t>C NMR</w:t>
      </w:r>
      <w:r w:rsidRPr="00A2207F">
        <w:rPr>
          <w:lang w:val="en-GB"/>
        </w:rPr>
        <w:t xml:space="preserve"> (150 MHz, CDCl</w:t>
      </w:r>
      <w:r w:rsidRPr="00A2207F">
        <w:rPr>
          <w:vertAlign w:val="subscript"/>
          <w:lang w:val="en-GB"/>
        </w:rPr>
        <w:t>3</w:t>
      </w:r>
      <w:r w:rsidRPr="00A2207F">
        <w:rPr>
          <w:lang w:val="en-GB"/>
        </w:rPr>
        <w:t xml:space="preserve">) δ 158.1, 137.6, 136.6, 123.0, 129.2, 129.0, 126.8, 124.4, 122.4, 118.7, 111.0, 72.0, 51.0, 38.0, 32.0, 31.4, 30.2, 29.8, 29.5, 27.0, 22.8, 14.3 </w:t>
      </w:r>
      <w:r w:rsidRPr="00A2207F">
        <w:rPr>
          <w:b/>
          <w:lang w:val="en-GB"/>
        </w:rPr>
        <w:t>HRMS</w:t>
      </w:r>
      <w:r w:rsidRPr="00A2207F">
        <w:rPr>
          <w:lang w:val="en-GB"/>
        </w:rPr>
        <w:t xml:space="preserve"> Found (ES-): [M-H]</w:t>
      </w:r>
      <w:r w:rsidRPr="00A2207F">
        <w:rPr>
          <w:vertAlign w:val="superscript"/>
          <w:lang w:val="en-GB"/>
        </w:rPr>
        <w:t>-</w:t>
      </w:r>
      <w:r w:rsidRPr="00A2207F">
        <w:rPr>
          <w:lang w:val="en-GB"/>
        </w:rPr>
        <w:t xml:space="preserve"> 1221.4817, C</w:t>
      </w:r>
      <w:r w:rsidRPr="00A2207F">
        <w:rPr>
          <w:vertAlign w:val="subscript"/>
          <w:lang w:val="en-GB"/>
        </w:rPr>
        <w:t>68</w:t>
      </w:r>
      <w:r w:rsidRPr="00A2207F">
        <w:rPr>
          <w:lang w:val="en-GB"/>
        </w:rPr>
        <w:t>H</w:t>
      </w:r>
      <w:r w:rsidRPr="00A2207F">
        <w:rPr>
          <w:vertAlign w:val="subscript"/>
          <w:lang w:val="en-GB"/>
        </w:rPr>
        <w:t>91</w:t>
      </w:r>
      <w:r w:rsidRPr="00A2207F">
        <w:rPr>
          <w:lang w:val="en-GB"/>
        </w:rPr>
        <w:t>Br</w:t>
      </w:r>
      <w:r w:rsidRPr="00A2207F">
        <w:rPr>
          <w:vertAlign w:val="subscript"/>
          <w:lang w:val="en-GB"/>
        </w:rPr>
        <w:t>2</w:t>
      </w:r>
      <w:r w:rsidRPr="00A2207F">
        <w:rPr>
          <w:lang w:val="en-GB"/>
        </w:rPr>
        <w:t>N</w:t>
      </w:r>
      <w:r w:rsidRPr="00A2207F">
        <w:rPr>
          <w:vertAlign w:val="subscript"/>
          <w:lang w:val="en-GB"/>
        </w:rPr>
        <w:t>2</w:t>
      </w:r>
      <w:r w:rsidRPr="00A2207F">
        <w:rPr>
          <w:lang w:val="en-GB"/>
        </w:rPr>
        <w:t>O</w:t>
      </w:r>
      <w:r w:rsidRPr="00A2207F">
        <w:rPr>
          <w:vertAlign w:val="subscript"/>
          <w:lang w:val="en-GB"/>
        </w:rPr>
        <w:t>4</w:t>
      </w:r>
      <w:r w:rsidRPr="00A2207F">
        <w:rPr>
          <w:lang w:val="en-GB"/>
        </w:rPr>
        <w:t>S</w:t>
      </w:r>
      <w:r w:rsidRPr="00A2207F">
        <w:rPr>
          <w:vertAlign w:val="subscript"/>
          <w:lang w:val="en-GB"/>
        </w:rPr>
        <w:t>2</w:t>
      </w:r>
      <w:r w:rsidRPr="00A2207F">
        <w:rPr>
          <w:lang w:val="en-GB"/>
        </w:rPr>
        <w:t xml:space="preserve"> requires 1221.4787</w:t>
      </w:r>
    </w:p>
    <w:p w14:paraId="681344E2" w14:textId="77777777" w:rsidR="004A0488" w:rsidRPr="00A2207F" w:rsidRDefault="004A0488" w:rsidP="004A0488">
      <w:pPr>
        <w:pStyle w:val="TAMainText"/>
        <w:rPr>
          <w:b/>
          <w:lang w:val="en-GB"/>
        </w:rPr>
      </w:pPr>
      <w:r w:rsidRPr="00A2207F">
        <w:rPr>
          <w:b/>
          <w:lang w:val="en-GB"/>
        </w:rPr>
        <w:t>Polymer INDT-T</w:t>
      </w:r>
    </w:p>
    <w:p w14:paraId="46467A67" w14:textId="77777777" w:rsidR="004A0488" w:rsidRPr="00A2207F" w:rsidRDefault="004A0488" w:rsidP="004A0488">
      <w:pPr>
        <w:pStyle w:val="TAMainText"/>
        <w:rPr>
          <w:lang w:val="en-GB"/>
        </w:rPr>
      </w:pPr>
      <w:r w:rsidRPr="00A2207F">
        <w:rPr>
          <w:lang w:val="en-GB"/>
        </w:rPr>
        <w:t>7,14-bis(5-bromothiophen-2-yl)-2,9-bis((2-octyldodecyl)oxy)diindolo[3,2,1-</w:t>
      </w:r>
      <w:r w:rsidRPr="00A2207F">
        <w:rPr>
          <w:i/>
          <w:lang w:val="en-GB"/>
        </w:rPr>
        <w:t>de</w:t>
      </w:r>
      <w:r w:rsidRPr="00A2207F">
        <w:rPr>
          <w:lang w:val="en-GB"/>
        </w:rPr>
        <w:t>:3',2',1'-</w:t>
      </w:r>
      <w:r w:rsidRPr="00A2207F">
        <w:rPr>
          <w:i/>
          <w:lang w:val="en-GB"/>
        </w:rPr>
        <w:t>ij</w:t>
      </w:r>
      <w:r w:rsidRPr="00A2207F">
        <w:rPr>
          <w:lang w:val="en-GB"/>
        </w:rPr>
        <w:t xml:space="preserve">][1,5]naphthyridine-6,13-dione (60.1 mg, 49.1 µmol), tris(dibenzylideneacetone)dipalladium(0) (2.6 mg, 2.8 µmol, 6 mol%), tri(o-tolyl)phosphine (3.47 mg, 11.4 µmol) and  2,5-bis(trimethylstannyl)thiophene (20.15 mg, 49.1 µmol) were added to a dry 10 mL microwave vial equipped with a stirrer bar and sealed. Chlorobenzene (2.5 mL) was added via syringe and the solution degassed with argon for 30 min. The vial was then placed in a microwave reactor and heated as follows: 10 min at 100 °C, 5 min at 120 °C, 5 min at 140 °C, 5 min at 160 °C and 20 min at 180 °C. The vial was then allowed to cool and the reaction had changed colour from sapphire blue to turquoise. The reaction mixture was added dropwise slowly into rapidly stirring methanol (70 mL) and allowed to stir for 2 h, forming fine dark blue fibres. The polymeric material was then filtered under reduced pressure into a cellulose thimble and washed with methanol then acetone. The polymer was purified by soxhlet extraction as follows: acetone for 12 h, hexane for 12 h and chloroform for 12 h. The chloroform was then concentrated to give a turquoise plastic-like film on the round bottomed flask. This film was dissolved in a minimum volume of hot chlorobenzene (~2.5 mL) then added dropwise slowly into rapidly stirring methanol cooled to 0 °C. Once addition was complete the methanol was stirred for 30 min then filtered under vacuum, washing carefully with methanol then a small amount of acetone then allowed to dry, forming a dark blue film. The </w:t>
      </w:r>
      <w:r w:rsidRPr="00A2207F">
        <w:rPr>
          <w:lang w:val="en-GB"/>
        </w:rPr>
        <w:lastRenderedPageBreak/>
        <w:t xml:space="preserve">polymer was air dried for 1 h then placed in a vial and dried under vacuum for 12 h (49 mg, 87%). </w:t>
      </w:r>
      <w:r w:rsidRPr="00A2207F">
        <w:rPr>
          <w:b/>
          <w:lang w:val="en-GB"/>
        </w:rPr>
        <w:t>GPC</w:t>
      </w:r>
      <w:r w:rsidRPr="00A2207F">
        <w:rPr>
          <w:lang w:val="en-GB"/>
        </w:rPr>
        <w:t xml:space="preserve"> (PS): Mn = 15687, Mw = 49381, PDI = 3.15; </w:t>
      </w:r>
      <w:r w:rsidRPr="00A2207F">
        <w:rPr>
          <w:b/>
          <w:lang w:val="en-GB"/>
        </w:rPr>
        <w:t>UV</w:t>
      </w:r>
      <w:r w:rsidRPr="00A2207F">
        <w:rPr>
          <w:lang w:val="en-GB"/>
        </w:rPr>
        <w:t xml:space="preserve"> (PhCl) λ</w:t>
      </w:r>
      <w:r w:rsidRPr="00A2207F">
        <w:rPr>
          <w:vertAlign w:val="subscript"/>
          <w:lang w:val="en-GB"/>
        </w:rPr>
        <w:t>max</w:t>
      </w:r>
      <w:r w:rsidRPr="00A2207F">
        <w:rPr>
          <w:lang w:val="en-GB"/>
        </w:rPr>
        <w:t xml:space="preserve"> 797, (Thin film) λ</w:t>
      </w:r>
      <w:r w:rsidRPr="00A2207F">
        <w:rPr>
          <w:vertAlign w:val="subscript"/>
          <w:lang w:val="en-GB"/>
        </w:rPr>
        <w:t>max</w:t>
      </w:r>
      <w:r w:rsidRPr="00A2207F">
        <w:rPr>
          <w:lang w:val="en-GB"/>
        </w:rPr>
        <w:t xml:space="preserve"> 790</w:t>
      </w:r>
    </w:p>
    <w:p w14:paraId="18D29544" w14:textId="77777777" w:rsidR="004A0488" w:rsidRPr="00A2207F" w:rsidRDefault="004A0488" w:rsidP="000B5610">
      <w:pPr>
        <w:pStyle w:val="TESupportingInformation"/>
        <w:spacing w:after="240"/>
        <w:ind w:firstLine="0"/>
        <w:jc w:val="left"/>
        <w:rPr>
          <w:lang w:val="en-GB"/>
        </w:rPr>
      </w:pPr>
    </w:p>
    <w:p w14:paraId="61B50EFE" w14:textId="77777777" w:rsidR="00DD6DBB" w:rsidRPr="00A2207F" w:rsidRDefault="00C10EE0" w:rsidP="000B5610">
      <w:pPr>
        <w:pStyle w:val="TESupportingInformation"/>
        <w:spacing w:after="240"/>
        <w:ind w:firstLine="0"/>
        <w:jc w:val="left"/>
      </w:pPr>
      <w:r w:rsidRPr="00A2207F">
        <w:t>ASSOCIATED CONTENT</w:t>
      </w:r>
    </w:p>
    <w:p w14:paraId="7A0D1670" w14:textId="77777777" w:rsidR="00C10EE0" w:rsidRPr="00A2207F" w:rsidRDefault="00C10EE0" w:rsidP="000B5610">
      <w:pPr>
        <w:pStyle w:val="TESupportingInformation"/>
        <w:spacing w:after="240"/>
        <w:ind w:firstLine="0"/>
        <w:jc w:val="left"/>
      </w:pPr>
      <w:r w:rsidRPr="00A2207F">
        <w:rPr>
          <w:b/>
        </w:rPr>
        <w:t>Supporting Information</w:t>
      </w:r>
      <w:r w:rsidRPr="00A2207F">
        <w:t xml:space="preserve">. </w:t>
      </w:r>
      <w:r w:rsidR="004A0488" w:rsidRPr="00A2207F">
        <w:t>Experimental details, characterizations and NMR spectra. This material is available free of charge via the Internet at http://pubs.acs.org.</w:t>
      </w:r>
    </w:p>
    <w:p w14:paraId="6322C3AB" w14:textId="77777777" w:rsidR="00DD6DBB" w:rsidRPr="00A2207F" w:rsidRDefault="00DD6DBB" w:rsidP="00DD6DBB">
      <w:pPr>
        <w:pStyle w:val="FACorrespondingAuthorFootnote"/>
        <w:spacing w:after="0"/>
        <w:jc w:val="left"/>
      </w:pPr>
      <w:r w:rsidRPr="00A2207F">
        <w:t>AUTHOR INFORMATION</w:t>
      </w:r>
    </w:p>
    <w:p w14:paraId="47B95010" w14:textId="77777777" w:rsidR="00DD6DBB" w:rsidRPr="00A2207F" w:rsidRDefault="00DD6DBB" w:rsidP="004E7185">
      <w:pPr>
        <w:pStyle w:val="FAAuthorInfoSubtitle"/>
      </w:pPr>
      <w:r w:rsidRPr="00A2207F">
        <w:t>Corresponding Author</w:t>
      </w:r>
    </w:p>
    <w:p w14:paraId="2B414098" w14:textId="77777777" w:rsidR="009246AD" w:rsidRPr="00A2207F" w:rsidRDefault="00DD6DBB" w:rsidP="00DD6DBB">
      <w:pPr>
        <w:pStyle w:val="FACorrespondingAuthorFootnote"/>
        <w:spacing w:after="240"/>
        <w:jc w:val="left"/>
      </w:pPr>
      <w:r w:rsidRPr="00A2207F">
        <w:t>*</w:t>
      </w:r>
      <w:r w:rsidR="00200B11" w:rsidRPr="00A2207F">
        <w:t>Email: h.bronstein@ucl.ac.uk (H.B.).</w:t>
      </w:r>
    </w:p>
    <w:p w14:paraId="0157C557" w14:textId="77777777" w:rsidR="00C10EE0" w:rsidRPr="00A2207F" w:rsidRDefault="00C10EE0" w:rsidP="00DD6DBB">
      <w:pPr>
        <w:pStyle w:val="FAAuthorInfoSubtitle"/>
      </w:pPr>
      <w:r w:rsidRPr="00A2207F">
        <w:t>Funding Sources</w:t>
      </w:r>
    </w:p>
    <w:p w14:paraId="1F3A3DF9" w14:textId="5EF59759" w:rsidR="00200B11" w:rsidRPr="00A2207F" w:rsidRDefault="00200B11" w:rsidP="00DD6DBB">
      <w:pPr>
        <w:pStyle w:val="FAAuthorInfoSubtitle"/>
        <w:rPr>
          <w:b w:val="0"/>
        </w:rPr>
      </w:pPr>
      <w:r w:rsidRPr="00A2207F">
        <w:rPr>
          <w:b w:val="0"/>
        </w:rPr>
        <w:t>This material is based upon work supported as part of the Qatar NPRP 7-286-1-046</w:t>
      </w:r>
      <w:r w:rsidR="00593BF4" w:rsidRPr="00A2207F">
        <w:rPr>
          <w:b w:val="0"/>
        </w:rPr>
        <w:t xml:space="preserve"> research grant.</w:t>
      </w:r>
    </w:p>
    <w:p w14:paraId="1868491C" w14:textId="77777777" w:rsidR="00217647" w:rsidRPr="00A2207F" w:rsidRDefault="00217647" w:rsidP="00217647">
      <w:pPr>
        <w:rPr>
          <w:b/>
        </w:rPr>
      </w:pPr>
      <w:r w:rsidRPr="00A2207F">
        <w:rPr>
          <w:b/>
        </w:rPr>
        <w:t>Insert Table of Contents Graphic and Synopsis Here</w:t>
      </w:r>
    </w:p>
    <w:p w14:paraId="73C9795E" w14:textId="0EBC075A" w:rsidR="00226D32" w:rsidRPr="00A2207F" w:rsidRDefault="007A5A74" w:rsidP="00DA3F17">
      <w:pPr>
        <w:pStyle w:val="TAMainText"/>
        <w:jc w:val="center"/>
      </w:pPr>
      <w:r w:rsidRPr="00A2207F">
        <w:drawing>
          <wp:inline distT="0" distB="0" distL="0" distR="0" wp14:anchorId="31F6DB37" wp14:editId="66449DFA">
            <wp:extent cx="3462682"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9535" cy="1103870"/>
                    </a:xfrm>
                    <a:prstGeom prst="rect">
                      <a:avLst/>
                    </a:prstGeom>
                    <a:noFill/>
                    <a:ln>
                      <a:noFill/>
                    </a:ln>
                  </pic:spPr>
                </pic:pic>
              </a:graphicData>
            </a:graphic>
          </wp:inline>
        </w:drawing>
      </w:r>
    </w:p>
    <w:p w14:paraId="13420A91" w14:textId="77777777" w:rsidR="00A82175" w:rsidRPr="00A2207F" w:rsidRDefault="00A82175" w:rsidP="00A82175">
      <w:pPr>
        <w:pStyle w:val="TAMainText"/>
      </w:pPr>
      <w:r w:rsidRPr="00A2207F">
        <w:t>A novel, extremely narrow band-gap polymer with a structure based on natural indigo has been synthesised and exhibits high crystallinity, high ambipolar transport in OFET devices, and OPV device efficiencies up to 2.35% with light absorbance up to 950 nm, demonstrating potential in near-IR photovoltaics.</w:t>
      </w:r>
    </w:p>
    <w:p w14:paraId="679C1ED6" w14:textId="77777777" w:rsidR="00217647" w:rsidRPr="00A2207F" w:rsidRDefault="00217647" w:rsidP="00217647"/>
    <w:p w14:paraId="6B57E07D" w14:textId="77777777" w:rsidR="00217647" w:rsidRPr="00A2207F" w:rsidRDefault="00217647" w:rsidP="00217647"/>
    <w:p w14:paraId="254C1911" w14:textId="77777777" w:rsidR="009246AD" w:rsidRPr="00A2207F" w:rsidRDefault="00DD6DBB" w:rsidP="0058383A">
      <w:pPr>
        <w:pStyle w:val="TFReferencesSection"/>
        <w:spacing w:after="0"/>
        <w:ind w:firstLine="0"/>
      </w:pPr>
      <w:r w:rsidRPr="00A2207F">
        <w:t>REFERENCES</w:t>
      </w:r>
    </w:p>
    <w:p w14:paraId="511E8194" w14:textId="77777777" w:rsidR="002B7F27" w:rsidRPr="00A2207F" w:rsidRDefault="0080615A" w:rsidP="002B7F27">
      <w:pPr>
        <w:pStyle w:val="EndNoteBibliography"/>
        <w:spacing w:after="0"/>
      </w:pPr>
      <w:r w:rsidRPr="00A2207F">
        <w:fldChar w:fldCharType="begin"/>
      </w:r>
      <w:r w:rsidRPr="00A2207F">
        <w:instrText xml:space="preserve"> ADDIN EN.REFLIST </w:instrText>
      </w:r>
      <w:r w:rsidRPr="00A2207F">
        <w:fldChar w:fldCharType="separate"/>
      </w:r>
      <w:r w:rsidR="002B7F27" w:rsidRPr="00A2207F">
        <w:t>1.</w:t>
      </w:r>
      <w:r w:rsidR="002B7F27" w:rsidRPr="00A2207F">
        <w:tab/>
        <w:t xml:space="preserve">Bronstein, H.; Chen, Z.; Ashraf, R. S.; Zhang, W.; Du, J.; Durrant, J. R.; Shakya Tuladhar, P.; Song, K.; Watkins, S. E.; Geerts, Y.; Wienk, M. M.; Janssen, R. A. J.; Anthopoulos, T.; Sirringhaus, H.; Heeney, M.; McCulloch, I. </w:t>
      </w:r>
      <w:r w:rsidR="002B7F27" w:rsidRPr="00A2207F">
        <w:rPr>
          <w:i/>
        </w:rPr>
        <w:t xml:space="preserve">J. Am. Chem. Soc. </w:t>
      </w:r>
      <w:r w:rsidR="002B7F27" w:rsidRPr="00A2207F">
        <w:rPr>
          <w:b/>
        </w:rPr>
        <w:t>2011,</w:t>
      </w:r>
      <w:r w:rsidR="002B7F27" w:rsidRPr="00A2207F">
        <w:t xml:space="preserve"> 133, (10), 3272-3275.</w:t>
      </w:r>
    </w:p>
    <w:p w14:paraId="21F4DF01" w14:textId="77777777" w:rsidR="002B7F27" w:rsidRPr="00A2207F" w:rsidRDefault="002B7F27" w:rsidP="002B7F27">
      <w:pPr>
        <w:pStyle w:val="EndNoteBibliography"/>
        <w:spacing w:after="0"/>
      </w:pPr>
      <w:r w:rsidRPr="00A2207F">
        <w:t>2.</w:t>
      </w:r>
      <w:r w:rsidRPr="00A2207F">
        <w:tab/>
        <w:t xml:space="preserve">Zhang, X.; Bronstein, H.; Kronemeijer, A. J.; Smith, J.; Kim, Y.; Kline, R. J.; Richter, L. J.; Anthopoulos, T. D.; Sirringhaus, H.; Song, K.; Heeney, M.; Zhang, W.; McCulloch, I.; DeLongchamp, D. M. </w:t>
      </w:r>
      <w:r w:rsidRPr="00A2207F">
        <w:rPr>
          <w:i/>
        </w:rPr>
        <w:t xml:space="preserve">Nat Commun </w:t>
      </w:r>
      <w:r w:rsidRPr="00A2207F">
        <w:rPr>
          <w:b/>
        </w:rPr>
        <w:t>2013,</w:t>
      </w:r>
      <w:r w:rsidRPr="00A2207F">
        <w:t xml:space="preserve"> 4.</w:t>
      </w:r>
    </w:p>
    <w:p w14:paraId="710CD555" w14:textId="77777777" w:rsidR="002B7F27" w:rsidRPr="00A2207F" w:rsidRDefault="002B7F27" w:rsidP="002B7F27">
      <w:pPr>
        <w:pStyle w:val="EndNoteBibliography"/>
        <w:spacing w:after="0"/>
      </w:pPr>
      <w:r w:rsidRPr="00A2207F">
        <w:t>3.</w:t>
      </w:r>
      <w:r w:rsidRPr="00A2207F">
        <w:tab/>
        <w:t xml:space="preserve">Guo, X.; Zhou, N.; Lou, S. J.; Smith, J.; Tice, D. B.; Hennek, J. W.; Ortiz, R. P.; Navarrete, J. T. L.; Li, S.; Strzalka, J.; Chen, L. X.; Chang, R. P. H.; Facchetti, A.; Marks, T. J. </w:t>
      </w:r>
      <w:r w:rsidRPr="00A2207F">
        <w:rPr>
          <w:i/>
        </w:rPr>
        <w:t xml:space="preserve">Nat Photon </w:t>
      </w:r>
      <w:r w:rsidRPr="00A2207F">
        <w:rPr>
          <w:b/>
        </w:rPr>
        <w:t>2013,</w:t>
      </w:r>
      <w:r w:rsidRPr="00A2207F">
        <w:t xml:space="preserve"> 7, (10), 825-833.</w:t>
      </w:r>
    </w:p>
    <w:p w14:paraId="624FE262" w14:textId="77777777" w:rsidR="002B7F27" w:rsidRPr="00A2207F" w:rsidRDefault="002B7F27" w:rsidP="002B7F27">
      <w:pPr>
        <w:pStyle w:val="EndNoteBibliography"/>
        <w:spacing w:after="0"/>
      </w:pPr>
      <w:r w:rsidRPr="00A2207F">
        <w:t>4.</w:t>
      </w:r>
      <w:r w:rsidRPr="00A2207F">
        <w:tab/>
        <w:t xml:space="preserve">Li, W.; Hendriks, K. H.; Roelofs, W. S. C.; Kim, Y.; Wienk, M. M.; Janssen, R. A. J. </w:t>
      </w:r>
      <w:r w:rsidRPr="00A2207F">
        <w:rPr>
          <w:i/>
        </w:rPr>
        <w:t xml:space="preserve">Adv. Mater. </w:t>
      </w:r>
      <w:r w:rsidRPr="00A2207F">
        <w:rPr>
          <w:b/>
        </w:rPr>
        <w:t>2013,</w:t>
      </w:r>
      <w:r w:rsidRPr="00A2207F">
        <w:t xml:space="preserve"> 25, (23), 3182-3186.</w:t>
      </w:r>
    </w:p>
    <w:p w14:paraId="52D8F9CA" w14:textId="77777777" w:rsidR="002B7F27" w:rsidRPr="00A2207F" w:rsidRDefault="002B7F27" w:rsidP="002B7F27">
      <w:pPr>
        <w:pStyle w:val="EndNoteBibliography"/>
        <w:spacing w:after="0"/>
      </w:pPr>
      <w:r w:rsidRPr="00A2207F">
        <w:t>5.</w:t>
      </w:r>
      <w:r w:rsidRPr="00A2207F">
        <w:tab/>
        <w:t xml:space="preserve">Naik, M. A.; Patil, S. </w:t>
      </w:r>
      <w:r w:rsidRPr="00A2207F">
        <w:rPr>
          <w:i/>
        </w:rPr>
        <w:t xml:space="preserve">J. Polym. Sci. A Polym. Chem. </w:t>
      </w:r>
      <w:r w:rsidRPr="00A2207F">
        <w:rPr>
          <w:b/>
        </w:rPr>
        <w:t>2013,</w:t>
      </w:r>
      <w:r w:rsidRPr="00A2207F">
        <w:t xml:space="preserve"> 51, (20), 4241-4260.</w:t>
      </w:r>
    </w:p>
    <w:p w14:paraId="679AB190" w14:textId="77777777" w:rsidR="002B7F27" w:rsidRPr="00A2207F" w:rsidRDefault="002B7F27" w:rsidP="002B7F27">
      <w:pPr>
        <w:pStyle w:val="EndNoteBibliography"/>
        <w:spacing w:after="0"/>
      </w:pPr>
      <w:r w:rsidRPr="00A2207F">
        <w:t>6.</w:t>
      </w:r>
      <w:r w:rsidRPr="00A2207F">
        <w:tab/>
        <w:t xml:space="preserve">Deng, P.; Zhang, Q. </w:t>
      </w:r>
      <w:r w:rsidRPr="00A2207F">
        <w:rPr>
          <w:i/>
        </w:rPr>
        <w:t xml:space="preserve">Polym. Chem. </w:t>
      </w:r>
      <w:r w:rsidRPr="00A2207F">
        <w:rPr>
          <w:b/>
        </w:rPr>
        <w:t>2014,</w:t>
      </w:r>
      <w:r w:rsidRPr="00A2207F">
        <w:t xml:space="preserve"> 5, (10), 3298-3305.</w:t>
      </w:r>
    </w:p>
    <w:p w14:paraId="2AE3CBD0" w14:textId="77777777" w:rsidR="002B7F27" w:rsidRPr="00A2207F" w:rsidRDefault="002B7F27" w:rsidP="002B7F27">
      <w:pPr>
        <w:pStyle w:val="EndNoteBibliography"/>
        <w:spacing w:after="0"/>
      </w:pPr>
      <w:r w:rsidRPr="00A2207F">
        <w:t>7.</w:t>
      </w:r>
      <w:r w:rsidRPr="00A2207F">
        <w:tab/>
        <w:t xml:space="preserve">Guo, C.; Sun, B.; Quinn, J.; Yan, Z. Q.; Li, Y. N. </w:t>
      </w:r>
      <w:r w:rsidRPr="00A2207F">
        <w:rPr>
          <w:i/>
        </w:rPr>
        <w:t xml:space="preserve">J. Mater. Chem. C </w:t>
      </w:r>
      <w:r w:rsidRPr="00A2207F">
        <w:rPr>
          <w:b/>
        </w:rPr>
        <w:t>2014,</w:t>
      </w:r>
      <w:r w:rsidRPr="00A2207F">
        <w:t xml:space="preserve"> 2, (21), 4289-4296.</w:t>
      </w:r>
    </w:p>
    <w:p w14:paraId="4CFF89BA" w14:textId="77777777" w:rsidR="002B7F27" w:rsidRPr="00A2207F" w:rsidRDefault="002B7F27" w:rsidP="002B7F27">
      <w:pPr>
        <w:pStyle w:val="EndNoteBibliography"/>
        <w:spacing w:after="0"/>
      </w:pPr>
      <w:r w:rsidRPr="00A2207F">
        <w:t>8.</w:t>
      </w:r>
      <w:r w:rsidRPr="00A2207F">
        <w:tab/>
        <w:t xml:space="preserve">Gorner, H.; Pouliquen, J.; Kossanyi, J. </w:t>
      </w:r>
      <w:r w:rsidRPr="00A2207F">
        <w:rPr>
          <w:i/>
        </w:rPr>
        <w:t xml:space="preserve">Can. J. Chem.-Rev. Can. Chim. </w:t>
      </w:r>
      <w:r w:rsidRPr="00A2207F">
        <w:rPr>
          <w:b/>
        </w:rPr>
        <w:t>1987,</w:t>
      </w:r>
      <w:r w:rsidRPr="00A2207F">
        <w:t xml:space="preserve"> 65, (4), 708-717.</w:t>
      </w:r>
    </w:p>
    <w:p w14:paraId="7E1CD911" w14:textId="77777777" w:rsidR="002B7F27" w:rsidRPr="00A2207F" w:rsidRDefault="002B7F27" w:rsidP="002B7F27">
      <w:pPr>
        <w:pStyle w:val="EndNoteBibliography"/>
        <w:spacing w:after="0"/>
      </w:pPr>
      <w:r w:rsidRPr="00A2207F">
        <w:t>9.</w:t>
      </w:r>
      <w:r w:rsidRPr="00A2207F">
        <w:tab/>
        <w:t xml:space="preserve">Rondão, R.; Seixas de Melo, J.; Melo, M. J.; Parola, A. J. </w:t>
      </w:r>
      <w:r w:rsidRPr="00A2207F">
        <w:rPr>
          <w:i/>
        </w:rPr>
        <w:t xml:space="preserve">J. Phys. Chem. A </w:t>
      </w:r>
      <w:r w:rsidRPr="00A2207F">
        <w:rPr>
          <w:b/>
        </w:rPr>
        <w:t>2012,</w:t>
      </w:r>
      <w:r w:rsidRPr="00A2207F">
        <w:t xml:space="preserve"> 116, (11), 2826-2832.</w:t>
      </w:r>
    </w:p>
    <w:p w14:paraId="3B2040BE" w14:textId="77777777" w:rsidR="002B7F27" w:rsidRPr="00A2207F" w:rsidRDefault="002B7F27" w:rsidP="002B7F27">
      <w:pPr>
        <w:pStyle w:val="EndNoteBibliography"/>
        <w:spacing w:after="0"/>
      </w:pPr>
      <w:r w:rsidRPr="00A2207F">
        <w:t>10.</w:t>
      </w:r>
      <w:r w:rsidRPr="00A2207F">
        <w:tab/>
        <w:t xml:space="preserve">Irimia-Vladu, M.; Głowacki, E. D.; Troshin, P. A.; Schwabegger, G.; Leonat, L.; Susarova, D. K.; Krystal, O.; Ullah, M.; Kanbur, Y.; Bodea, M. A.; Razumov, V. F.; Sitter, H.; Bauer, S.; Sariciftci, N. S. </w:t>
      </w:r>
      <w:r w:rsidRPr="00A2207F">
        <w:rPr>
          <w:i/>
        </w:rPr>
        <w:t xml:space="preserve">Adv. Mater. </w:t>
      </w:r>
      <w:r w:rsidRPr="00A2207F">
        <w:rPr>
          <w:b/>
        </w:rPr>
        <w:t>2012,</w:t>
      </w:r>
      <w:r w:rsidRPr="00A2207F">
        <w:t xml:space="preserve"> 24, (3), 375-380.</w:t>
      </w:r>
    </w:p>
    <w:p w14:paraId="17D4EF9D" w14:textId="77777777" w:rsidR="002B7F27" w:rsidRPr="00A2207F" w:rsidRDefault="002B7F27" w:rsidP="002B7F27">
      <w:pPr>
        <w:pStyle w:val="EndNoteBibliography"/>
        <w:spacing w:after="0"/>
      </w:pPr>
      <w:r w:rsidRPr="00A2207F">
        <w:t>11.</w:t>
      </w:r>
      <w:r w:rsidRPr="00A2207F">
        <w:tab/>
        <w:t xml:space="preserve">Klimovich, I. V.; Leshanskaya, L. I.; Troyanov, S. I.; Anokhin, D. V.; Novikov, D. V.; Piryazev, A. A.; Ivanov, D. A.; Dremova, N. N.; Troshin, P. A. </w:t>
      </w:r>
      <w:r w:rsidRPr="00A2207F">
        <w:rPr>
          <w:i/>
        </w:rPr>
        <w:t xml:space="preserve">J. Mater. Chem. C </w:t>
      </w:r>
      <w:r w:rsidRPr="00A2207F">
        <w:rPr>
          <w:b/>
        </w:rPr>
        <w:t>2014</w:t>
      </w:r>
      <w:r w:rsidRPr="00A2207F">
        <w:t>.</w:t>
      </w:r>
    </w:p>
    <w:p w14:paraId="15CCD224" w14:textId="77777777" w:rsidR="002B7F27" w:rsidRPr="00A2207F" w:rsidRDefault="002B7F27" w:rsidP="002B7F27">
      <w:pPr>
        <w:pStyle w:val="EndNoteBibliography"/>
        <w:spacing w:after="0"/>
      </w:pPr>
      <w:r w:rsidRPr="00A2207F">
        <w:t>12.</w:t>
      </w:r>
      <w:r w:rsidRPr="00A2207F">
        <w:tab/>
        <w:t xml:space="preserve">Engi, G. Z. </w:t>
      </w:r>
      <w:r w:rsidRPr="00A2207F">
        <w:rPr>
          <w:i/>
        </w:rPr>
        <w:t xml:space="preserve">Angew. Chem. </w:t>
      </w:r>
      <w:r w:rsidRPr="00A2207F">
        <w:rPr>
          <w:b/>
        </w:rPr>
        <w:t>1914,</w:t>
      </w:r>
      <w:r w:rsidRPr="00A2207F">
        <w:t xml:space="preserve"> 27, 144.</w:t>
      </w:r>
    </w:p>
    <w:p w14:paraId="52E1FC55" w14:textId="77777777" w:rsidR="002B7F27" w:rsidRPr="00A2207F" w:rsidRDefault="002B7F27" w:rsidP="002B7F27">
      <w:pPr>
        <w:pStyle w:val="EndNoteBibliography"/>
        <w:spacing w:after="0"/>
      </w:pPr>
      <w:r w:rsidRPr="00A2207F">
        <w:t>13.</w:t>
      </w:r>
      <w:r w:rsidRPr="00A2207F">
        <w:tab/>
        <w:t xml:space="preserve">Glowacki, E. D.; Leonat, L.; Voss, G.; Bodea, M.; Bozkurt, Z.; Irimia-Vladu, M.; Bauer, S.; Sariciftci, N. S. In </w:t>
      </w:r>
      <w:r w:rsidRPr="00A2207F">
        <w:rPr>
          <w:i/>
        </w:rPr>
        <w:t>Natural and nature-inspired semiconductors for organic electronics</w:t>
      </w:r>
      <w:r w:rsidRPr="00A2207F">
        <w:t>, 2011; 2011; pp 81180M-81180M-10.</w:t>
      </w:r>
    </w:p>
    <w:p w14:paraId="7D00C905" w14:textId="77777777" w:rsidR="002B7F27" w:rsidRPr="00A2207F" w:rsidRDefault="002B7F27" w:rsidP="002B7F27">
      <w:pPr>
        <w:pStyle w:val="EndNoteBibliography"/>
        <w:spacing w:after="0"/>
      </w:pPr>
      <w:r w:rsidRPr="00A2207F">
        <w:t>14.</w:t>
      </w:r>
      <w:r w:rsidRPr="00A2207F">
        <w:tab/>
        <w:t xml:space="preserve">He, B.; Pun, A. B.; Zherebetskyy, D.; Liu, Y.; Liu, F.; Klivansky, L. M.; McGough, A. M.; Zhang, B. A.; Lo, K.; Russell, T. P.; Wang, L.; Liu, Y. </w:t>
      </w:r>
      <w:r w:rsidRPr="00A2207F">
        <w:rPr>
          <w:i/>
        </w:rPr>
        <w:t xml:space="preserve">J. Am. Chem. Soc. </w:t>
      </w:r>
      <w:r w:rsidRPr="00A2207F">
        <w:rPr>
          <w:b/>
        </w:rPr>
        <w:t>2014,</w:t>
      </w:r>
      <w:r w:rsidRPr="00A2207F">
        <w:t xml:space="preserve"> 136, (42), 15093-15101.</w:t>
      </w:r>
    </w:p>
    <w:p w14:paraId="4815C9FD" w14:textId="77777777" w:rsidR="002B7F27" w:rsidRPr="00A2207F" w:rsidRDefault="002B7F27" w:rsidP="002B7F27">
      <w:pPr>
        <w:pStyle w:val="EndNoteBibliography"/>
        <w:spacing w:after="0"/>
      </w:pPr>
      <w:r w:rsidRPr="00A2207F">
        <w:t>15.</w:t>
      </w:r>
      <w:r w:rsidRPr="00A2207F">
        <w:tab/>
        <w:t xml:space="preserve">Noriega, R.; Rivnay, J.; Vandewal, K.; Koch, F. P. V.; Stingelin, N.; Smith, P.; Toney, M. F.; Salleo, A. </w:t>
      </w:r>
      <w:r w:rsidRPr="00A2207F">
        <w:rPr>
          <w:i/>
        </w:rPr>
        <w:t xml:space="preserve">Nat Mater </w:t>
      </w:r>
      <w:r w:rsidRPr="00A2207F">
        <w:rPr>
          <w:b/>
        </w:rPr>
        <w:t>2013,</w:t>
      </w:r>
      <w:r w:rsidRPr="00A2207F">
        <w:t xml:space="preserve"> 12, (11), 1038-1044.</w:t>
      </w:r>
    </w:p>
    <w:p w14:paraId="297411CA" w14:textId="77777777" w:rsidR="002B7F27" w:rsidRPr="00A2207F" w:rsidRDefault="002B7F27" w:rsidP="002B7F27">
      <w:pPr>
        <w:pStyle w:val="EndNoteBibliography"/>
        <w:spacing w:after="0"/>
      </w:pPr>
      <w:r w:rsidRPr="00A2207F">
        <w:t>16.</w:t>
      </w:r>
      <w:r w:rsidRPr="00A2207F">
        <w:tab/>
        <w:t xml:space="preserve">Hendriks, K. H.; Li, W.; Wienk, M. M.; Janssen, R. A. J. </w:t>
      </w:r>
      <w:r w:rsidRPr="00A2207F">
        <w:rPr>
          <w:i/>
        </w:rPr>
        <w:t xml:space="preserve">J. Am. Chem. Soc. </w:t>
      </w:r>
      <w:r w:rsidRPr="00A2207F">
        <w:rPr>
          <w:b/>
        </w:rPr>
        <w:t>2014,</w:t>
      </w:r>
      <w:r w:rsidRPr="00A2207F">
        <w:t xml:space="preserve"> 136, (34), 12130-12136.</w:t>
      </w:r>
    </w:p>
    <w:p w14:paraId="4617FD0D" w14:textId="77777777" w:rsidR="002B7F27" w:rsidRPr="00A2207F" w:rsidRDefault="002B7F27" w:rsidP="002B7F27">
      <w:pPr>
        <w:pStyle w:val="EndNoteBibliography"/>
      </w:pPr>
      <w:r w:rsidRPr="00A2207F">
        <w:t>17.</w:t>
      </w:r>
      <w:r w:rsidRPr="00A2207F">
        <w:tab/>
        <w:t xml:space="preserve">Bronstein, H.; Collado-Fregoso, E.; Hadipour, A.; Soon, Y. W.; Huang, Z.; Dimitrov, S. D.; Ashraf, R. S.; Rand, B. P.; Watkins, S. E.; Tuladhar, P. S.; Meager, I.; Durrant, J. R.; McCulloch, I. </w:t>
      </w:r>
      <w:r w:rsidRPr="00A2207F">
        <w:rPr>
          <w:i/>
        </w:rPr>
        <w:t xml:space="preserve">Adv. Funct. Mater. </w:t>
      </w:r>
      <w:r w:rsidRPr="00A2207F">
        <w:rPr>
          <w:b/>
        </w:rPr>
        <w:t>2013,</w:t>
      </w:r>
      <w:r w:rsidRPr="00A2207F">
        <w:t xml:space="preserve"> 23, (45), 5647-5654.</w:t>
      </w:r>
    </w:p>
    <w:p w14:paraId="577B10F7" w14:textId="63A72B80" w:rsidR="009246AD" w:rsidRDefault="0080615A" w:rsidP="000B5610">
      <w:pPr>
        <w:pStyle w:val="SNSynopsisTOC"/>
        <w:spacing w:after="240"/>
        <w:jc w:val="left"/>
      </w:pPr>
      <w:r w:rsidRPr="00A2207F">
        <w:fldChar w:fldCharType="end"/>
      </w:r>
    </w:p>
    <w:sectPr w:rsidR="009246AD" w:rsidSect="000B5610">
      <w:footerReference w:type="even" r:id="rId17"/>
      <w:footerReference w:type="default" r:id="rId18"/>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27EEB" w14:textId="77777777" w:rsidR="003A0E71" w:rsidRDefault="003A0E71">
      <w:r>
        <w:separator/>
      </w:r>
    </w:p>
  </w:endnote>
  <w:endnote w:type="continuationSeparator" w:id="0">
    <w:p w14:paraId="74D00246" w14:textId="77777777" w:rsidR="003A0E71" w:rsidRDefault="003A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242E" w14:textId="77777777" w:rsidR="003B4AF3" w:rsidRDefault="003B4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AFB3E7" w14:textId="77777777" w:rsidR="003B4AF3" w:rsidRDefault="003B4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C94D" w14:textId="77777777" w:rsidR="003B4AF3" w:rsidRDefault="003B4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07F">
      <w:rPr>
        <w:rStyle w:val="PageNumber"/>
        <w:noProof/>
      </w:rPr>
      <w:t>1</w:t>
    </w:r>
    <w:r>
      <w:rPr>
        <w:rStyle w:val="PageNumber"/>
      </w:rPr>
      <w:fldChar w:fldCharType="end"/>
    </w:r>
  </w:p>
  <w:p w14:paraId="75655D6B" w14:textId="77777777" w:rsidR="003B4AF3" w:rsidRDefault="003B4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D9C3" w14:textId="77777777" w:rsidR="003A0E71" w:rsidRDefault="003A0E71">
      <w:r>
        <w:separator/>
      </w:r>
    </w:p>
  </w:footnote>
  <w:footnote w:type="continuationSeparator" w:id="0">
    <w:p w14:paraId="2F548642" w14:textId="77777777" w:rsidR="003A0E71" w:rsidRDefault="003A0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cromolecules&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ddddxe45zzx5e5e0eprttmv59apwsvttta&quot;&gt;1st year report&lt;record-ids&gt;&lt;item&gt;32&lt;/item&gt;&lt;item&gt;33&lt;/item&gt;&lt;item&gt;43&lt;/item&gt;&lt;item&gt;44&lt;/item&gt;&lt;item&gt;45&lt;/item&gt;&lt;item&gt;54&lt;/item&gt;&lt;item&gt;55&lt;/item&gt;&lt;item&gt;56&lt;/item&gt;&lt;item&gt;57&lt;/item&gt;&lt;item&gt;58&lt;/item&gt;&lt;item&gt;60&lt;/item&gt;&lt;item&gt;61&lt;/item&gt;&lt;item&gt;64&lt;/item&gt;&lt;item&gt;65&lt;/item&gt;&lt;item&gt;66&lt;/item&gt;&lt;item&gt;67&lt;/item&gt;&lt;item&gt;68&lt;/item&gt;&lt;/record-ids&gt;&lt;/item&gt;&lt;/Libraries&gt;"/>
  </w:docVars>
  <w:rsids>
    <w:rsidRoot w:val="002609D7"/>
    <w:rsid w:val="00007F15"/>
    <w:rsid w:val="0004450F"/>
    <w:rsid w:val="0005660F"/>
    <w:rsid w:val="000702AD"/>
    <w:rsid w:val="00075030"/>
    <w:rsid w:val="00082135"/>
    <w:rsid w:val="00090B93"/>
    <w:rsid w:val="000A696A"/>
    <w:rsid w:val="000B5610"/>
    <w:rsid w:val="000B6F4A"/>
    <w:rsid w:val="000C05CC"/>
    <w:rsid w:val="000E6335"/>
    <w:rsid w:val="000F47E9"/>
    <w:rsid w:val="00124274"/>
    <w:rsid w:val="00134A50"/>
    <w:rsid w:val="00141A56"/>
    <w:rsid w:val="00143799"/>
    <w:rsid w:val="00163B1B"/>
    <w:rsid w:val="001927B2"/>
    <w:rsid w:val="00195ACA"/>
    <w:rsid w:val="001A6AE2"/>
    <w:rsid w:val="001A7A90"/>
    <w:rsid w:val="001B602C"/>
    <w:rsid w:val="001B631F"/>
    <w:rsid w:val="001E2AD4"/>
    <w:rsid w:val="00200B11"/>
    <w:rsid w:val="0021252C"/>
    <w:rsid w:val="00212B1D"/>
    <w:rsid w:val="00217647"/>
    <w:rsid w:val="00226AA3"/>
    <w:rsid w:val="00226D32"/>
    <w:rsid w:val="00254E86"/>
    <w:rsid w:val="00256EF9"/>
    <w:rsid w:val="002570C9"/>
    <w:rsid w:val="002609D7"/>
    <w:rsid w:val="00264402"/>
    <w:rsid w:val="00271A02"/>
    <w:rsid w:val="002741FB"/>
    <w:rsid w:val="00292CE4"/>
    <w:rsid w:val="002A7493"/>
    <w:rsid w:val="002B7F27"/>
    <w:rsid w:val="002C3431"/>
    <w:rsid w:val="002D089F"/>
    <w:rsid w:val="002D52E4"/>
    <w:rsid w:val="002E29FC"/>
    <w:rsid w:val="003161C8"/>
    <w:rsid w:val="00324128"/>
    <w:rsid w:val="00363355"/>
    <w:rsid w:val="00363F20"/>
    <w:rsid w:val="00365107"/>
    <w:rsid w:val="003651ED"/>
    <w:rsid w:val="003664E9"/>
    <w:rsid w:val="003679A1"/>
    <w:rsid w:val="00382F05"/>
    <w:rsid w:val="003A0E71"/>
    <w:rsid w:val="003B4AF3"/>
    <w:rsid w:val="003C0EB1"/>
    <w:rsid w:val="003C2650"/>
    <w:rsid w:val="003C788C"/>
    <w:rsid w:val="003E15CD"/>
    <w:rsid w:val="003E1F76"/>
    <w:rsid w:val="003E5207"/>
    <w:rsid w:val="0041244A"/>
    <w:rsid w:val="004219CF"/>
    <w:rsid w:val="004402D1"/>
    <w:rsid w:val="00443DF7"/>
    <w:rsid w:val="00445C6B"/>
    <w:rsid w:val="00473498"/>
    <w:rsid w:val="00475FD2"/>
    <w:rsid w:val="004A0488"/>
    <w:rsid w:val="004A74FC"/>
    <w:rsid w:val="004C19EF"/>
    <w:rsid w:val="004C6876"/>
    <w:rsid w:val="004D6308"/>
    <w:rsid w:val="004E7185"/>
    <w:rsid w:val="00522B7D"/>
    <w:rsid w:val="00534450"/>
    <w:rsid w:val="00540C92"/>
    <w:rsid w:val="005553EF"/>
    <w:rsid w:val="0056066E"/>
    <w:rsid w:val="00574BDE"/>
    <w:rsid w:val="00580813"/>
    <w:rsid w:val="0058383A"/>
    <w:rsid w:val="00591A57"/>
    <w:rsid w:val="00593BF4"/>
    <w:rsid w:val="005A41EB"/>
    <w:rsid w:val="005B6BD0"/>
    <w:rsid w:val="005D0C10"/>
    <w:rsid w:val="005E3851"/>
    <w:rsid w:val="005E78D0"/>
    <w:rsid w:val="006135B4"/>
    <w:rsid w:val="006140B3"/>
    <w:rsid w:val="00625021"/>
    <w:rsid w:val="00634C10"/>
    <w:rsid w:val="006455A5"/>
    <w:rsid w:val="00683148"/>
    <w:rsid w:val="006B2581"/>
    <w:rsid w:val="006B3806"/>
    <w:rsid w:val="006C22F3"/>
    <w:rsid w:val="006C7F08"/>
    <w:rsid w:val="006D2AFB"/>
    <w:rsid w:val="00706A60"/>
    <w:rsid w:val="00730023"/>
    <w:rsid w:val="007629D3"/>
    <w:rsid w:val="00762CF0"/>
    <w:rsid w:val="00775E26"/>
    <w:rsid w:val="00794616"/>
    <w:rsid w:val="007A5A74"/>
    <w:rsid w:val="007F0776"/>
    <w:rsid w:val="007F5D13"/>
    <w:rsid w:val="007F7D2B"/>
    <w:rsid w:val="008047DE"/>
    <w:rsid w:val="0080615A"/>
    <w:rsid w:val="00826C9C"/>
    <w:rsid w:val="008536D8"/>
    <w:rsid w:val="008537E8"/>
    <w:rsid w:val="008655C0"/>
    <w:rsid w:val="00892AA7"/>
    <w:rsid w:val="008A7839"/>
    <w:rsid w:val="008C498B"/>
    <w:rsid w:val="008C79C5"/>
    <w:rsid w:val="008E4D7B"/>
    <w:rsid w:val="008F3CA3"/>
    <w:rsid w:val="00912169"/>
    <w:rsid w:val="0091483D"/>
    <w:rsid w:val="0092037A"/>
    <w:rsid w:val="009246AD"/>
    <w:rsid w:val="00927539"/>
    <w:rsid w:val="0097140A"/>
    <w:rsid w:val="009D1834"/>
    <w:rsid w:val="009F1C35"/>
    <w:rsid w:val="009F2E7E"/>
    <w:rsid w:val="00A02D62"/>
    <w:rsid w:val="00A20EB5"/>
    <w:rsid w:val="00A2207F"/>
    <w:rsid w:val="00A764EF"/>
    <w:rsid w:val="00A82175"/>
    <w:rsid w:val="00A902AB"/>
    <w:rsid w:val="00A922D9"/>
    <w:rsid w:val="00AB34C5"/>
    <w:rsid w:val="00AB65E9"/>
    <w:rsid w:val="00AC60AF"/>
    <w:rsid w:val="00AE17AB"/>
    <w:rsid w:val="00AF1E2B"/>
    <w:rsid w:val="00AF7F6A"/>
    <w:rsid w:val="00B05A88"/>
    <w:rsid w:val="00B1637B"/>
    <w:rsid w:val="00B22FFD"/>
    <w:rsid w:val="00B521EB"/>
    <w:rsid w:val="00B53D35"/>
    <w:rsid w:val="00B6742C"/>
    <w:rsid w:val="00B7618D"/>
    <w:rsid w:val="00BA3E07"/>
    <w:rsid w:val="00BB0081"/>
    <w:rsid w:val="00BB6BF9"/>
    <w:rsid w:val="00BD2C44"/>
    <w:rsid w:val="00BE297B"/>
    <w:rsid w:val="00C06A33"/>
    <w:rsid w:val="00C10EE0"/>
    <w:rsid w:val="00C12556"/>
    <w:rsid w:val="00C17F65"/>
    <w:rsid w:val="00C26122"/>
    <w:rsid w:val="00C27162"/>
    <w:rsid w:val="00C40667"/>
    <w:rsid w:val="00C6170A"/>
    <w:rsid w:val="00C75619"/>
    <w:rsid w:val="00C92808"/>
    <w:rsid w:val="00CD55D2"/>
    <w:rsid w:val="00D27FAC"/>
    <w:rsid w:val="00D32E24"/>
    <w:rsid w:val="00D451E7"/>
    <w:rsid w:val="00DA3F17"/>
    <w:rsid w:val="00DA5CB1"/>
    <w:rsid w:val="00DC3358"/>
    <w:rsid w:val="00DD4601"/>
    <w:rsid w:val="00DD6DBB"/>
    <w:rsid w:val="00DE343D"/>
    <w:rsid w:val="00E03BEF"/>
    <w:rsid w:val="00E074F2"/>
    <w:rsid w:val="00E15118"/>
    <w:rsid w:val="00E16342"/>
    <w:rsid w:val="00E47229"/>
    <w:rsid w:val="00E51AB7"/>
    <w:rsid w:val="00E5297C"/>
    <w:rsid w:val="00E91482"/>
    <w:rsid w:val="00E94BBB"/>
    <w:rsid w:val="00E96302"/>
    <w:rsid w:val="00EB4AC2"/>
    <w:rsid w:val="00ED2907"/>
    <w:rsid w:val="00F014E0"/>
    <w:rsid w:val="00F043B6"/>
    <w:rsid w:val="00F134F5"/>
    <w:rsid w:val="00F347D7"/>
    <w:rsid w:val="00F4721F"/>
    <w:rsid w:val="00F47B85"/>
    <w:rsid w:val="00F53753"/>
    <w:rsid w:val="00F5645C"/>
    <w:rsid w:val="00F74BB9"/>
    <w:rsid w:val="00F7633D"/>
    <w:rsid w:val="00F8626E"/>
    <w:rsid w:val="00FD13BF"/>
    <w:rsid w:val="00FE6219"/>
    <w:rsid w:val="00FE772F"/>
    <w:rsid w:val="00FF2D4B"/>
    <w:rsid w:val="00FF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78435"/>
  <w15:docId w15:val="{2F601B78-7D00-484B-99FB-B2998654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link w:val="TFReferencesSectionChar"/>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customStyle="1" w:styleId="EndNoteBibliographyTitle">
    <w:name w:val="EndNote Bibliography Title"/>
    <w:basedOn w:val="Normal"/>
    <w:link w:val="EndNoteBibliographyTitleChar"/>
    <w:rsid w:val="00382F05"/>
    <w:pPr>
      <w:spacing w:after="0"/>
      <w:jc w:val="center"/>
    </w:pPr>
    <w:rPr>
      <w:rFonts w:cs="Times"/>
      <w:noProof/>
    </w:rPr>
  </w:style>
  <w:style w:type="character" w:customStyle="1" w:styleId="TFReferencesSectionChar">
    <w:name w:val="TF_References_Section Char"/>
    <w:basedOn w:val="DefaultParagraphFont"/>
    <w:link w:val="TFReferencesSection"/>
    <w:rsid w:val="00382F05"/>
    <w:rPr>
      <w:rFonts w:ascii="Times" w:hAnsi="Times"/>
      <w:sz w:val="24"/>
    </w:rPr>
  </w:style>
  <w:style w:type="character" w:customStyle="1" w:styleId="EndNoteBibliographyTitleChar">
    <w:name w:val="EndNote Bibliography Title Char"/>
    <w:basedOn w:val="TFReferencesSectionChar"/>
    <w:link w:val="EndNoteBibliographyTitle"/>
    <w:rsid w:val="00382F05"/>
    <w:rPr>
      <w:rFonts w:ascii="Times" w:hAnsi="Times" w:cs="Times"/>
      <w:noProof/>
      <w:sz w:val="24"/>
    </w:rPr>
  </w:style>
  <w:style w:type="paragraph" w:customStyle="1" w:styleId="EndNoteBibliography">
    <w:name w:val="EndNote Bibliography"/>
    <w:basedOn w:val="Normal"/>
    <w:link w:val="EndNoteBibliographyChar"/>
    <w:rsid w:val="00382F05"/>
    <w:pPr>
      <w:jc w:val="left"/>
    </w:pPr>
    <w:rPr>
      <w:rFonts w:cs="Times"/>
      <w:noProof/>
    </w:rPr>
  </w:style>
  <w:style w:type="character" w:customStyle="1" w:styleId="EndNoteBibliographyChar">
    <w:name w:val="EndNote Bibliography Char"/>
    <w:basedOn w:val="TFReferencesSectionChar"/>
    <w:link w:val="EndNoteBibliography"/>
    <w:rsid w:val="00382F05"/>
    <w:rPr>
      <w:rFonts w:ascii="Times" w:hAnsi="Times" w:cs="Times"/>
      <w:noProof/>
      <w:sz w:val="24"/>
    </w:rPr>
  </w:style>
  <w:style w:type="table" w:styleId="TableGrid">
    <w:name w:val="Table Grid"/>
    <w:basedOn w:val="TableNormal"/>
    <w:rsid w:val="0054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AHeading">
    <w:name w:val="04 A Heading"/>
    <w:basedOn w:val="Normal"/>
    <w:link w:val="04AHeadingChar"/>
    <w:qFormat/>
    <w:rsid w:val="00540C92"/>
    <w:pPr>
      <w:spacing w:before="240" w:after="120"/>
      <w:jc w:val="left"/>
    </w:pPr>
    <w:rPr>
      <w:rFonts w:asciiTheme="minorHAnsi" w:eastAsiaTheme="minorHAnsi" w:hAnsiTheme="minorHAnsi" w:cstheme="minorBidi"/>
      <w:b/>
      <w:sz w:val="22"/>
      <w:szCs w:val="22"/>
      <w:lang w:val="en-GB"/>
    </w:rPr>
  </w:style>
  <w:style w:type="character" w:customStyle="1" w:styleId="04AHeadingChar">
    <w:name w:val="04 A Heading Char"/>
    <w:basedOn w:val="DefaultParagraphFont"/>
    <w:link w:val="04AHeading"/>
    <w:rsid w:val="00540C92"/>
    <w:rPr>
      <w:rFonts w:asciiTheme="minorHAnsi" w:eastAsiaTheme="minorHAnsi" w:hAnsiTheme="minorHAnsi" w:cstheme="minorBidi"/>
      <w:b/>
      <w:sz w:val="22"/>
      <w:szCs w:val="22"/>
      <w:lang w:val="en-GB"/>
    </w:rPr>
  </w:style>
  <w:style w:type="paragraph" w:customStyle="1" w:styleId="G4bTableBody">
    <w:name w:val="G4b Table Body"/>
    <w:basedOn w:val="Normal"/>
    <w:link w:val="G4bTableBodyChar"/>
    <w:qFormat/>
    <w:rsid w:val="003C0EB1"/>
    <w:pPr>
      <w:keepNext/>
      <w:keepLines/>
      <w:spacing w:after="0"/>
      <w:jc w:val="center"/>
    </w:pPr>
    <w:rPr>
      <w:rFonts w:ascii="Times New Roman" w:hAnsi="Times New Roman"/>
      <w:sz w:val="16"/>
      <w:szCs w:val="16"/>
      <w:lang w:val="en-GB" w:eastAsia="en-GB"/>
    </w:rPr>
  </w:style>
  <w:style w:type="character" w:customStyle="1" w:styleId="G4bTableBodyChar">
    <w:name w:val="G4b Table Body Char"/>
    <w:basedOn w:val="DefaultParagraphFont"/>
    <w:link w:val="G4bTableBody"/>
    <w:rsid w:val="003C0EB1"/>
    <w:rPr>
      <w:rFonts w:ascii="Times New Roman" w:hAnsi="Times New Roman"/>
      <w:sz w:val="16"/>
      <w:szCs w:val="16"/>
      <w:lang w:val="en-GB" w:eastAsia="en-GB"/>
    </w:rPr>
  </w:style>
  <w:style w:type="paragraph" w:customStyle="1" w:styleId="G4aTableTitle">
    <w:name w:val="G4a Table Title"/>
    <w:basedOn w:val="Normal"/>
    <w:link w:val="G4aTableTitleChar"/>
    <w:qFormat/>
    <w:rsid w:val="003C0EB1"/>
    <w:pPr>
      <w:keepNext/>
      <w:keepLines/>
      <w:pBdr>
        <w:top w:val="single" w:sz="12" w:space="1" w:color="999999"/>
        <w:bottom w:val="single" w:sz="6" w:space="1" w:color="auto"/>
      </w:pBdr>
      <w:spacing w:before="120" w:after="120" w:line="190" w:lineRule="exact"/>
      <w:jc w:val="left"/>
    </w:pPr>
    <w:rPr>
      <w:rFonts w:ascii="Times New Roman" w:hAnsi="Times New Roman"/>
      <w:sz w:val="16"/>
      <w:lang w:val="en-GB" w:eastAsia="en-GB"/>
    </w:rPr>
  </w:style>
  <w:style w:type="character" w:customStyle="1" w:styleId="G4aTableTitleChar">
    <w:name w:val="G4a Table Title Char"/>
    <w:basedOn w:val="DefaultParagraphFont"/>
    <w:link w:val="G4aTableTitle"/>
    <w:rsid w:val="003C0EB1"/>
    <w:rPr>
      <w:rFonts w:ascii="Times New Roman" w:hAnsi="Times New Roman"/>
      <w:sz w:val="16"/>
      <w:lang w:val="en-GB" w:eastAsia="en-GB"/>
    </w:rPr>
  </w:style>
  <w:style w:type="paragraph" w:customStyle="1" w:styleId="G4cTableFootnote">
    <w:name w:val="G4c Table Footnote"/>
    <w:basedOn w:val="Normal"/>
    <w:link w:val="G4cTableFootnoteChar"/>
    <w:qFormat/>
    <w:rsid w:val="003C0EB1"/>
    <w:pPr>
      <w:keepLines/>
      <w:pBdr>
        <w:bottom w:val="single" w:sz="12" w:space="1" w:color="999999"/>
      </w:pBdr>
      <w:spacing w:before="120" w:after="160"/>
      <w:jc w:val="left"/>
    </w:pPr>
    <w:rPr>
      <w:rFonts w:ascii="Times New Roman" w:hAnsi="Times New Roman"/>
      <w:sz w:val="16"/>
      <w:lang w:val="en-GB" w:eastAsia="en-GB"/>
    </w:rPr>
  </w:style>
  <w:style w:type="character" w:customStyle="1" w:styleId="G4cTableFootnoteChar">
    <w:name w:val="G4c Table Footnote Char"/>
    <w:basedOn w:val="DefaultParagraphFont"/>
    <w:link w:val="G4cTableFootnote"/>
    <w:rsid w:val="003C0EB1"/>
    <w:rPr>
      <w:rFonts w:ascii="Times New Roman" w:hAnsi="Times New Roman"/>
      <w:sz w:val="16"/>
      <w:lang w:val="en-GB" w:eastAsia="en-GB"/>
    </w:rPr>
  </w:style>
  <w:style w:type="paragraph" w:styleId="Header">
    <w:name w:val="header"/>
    <w:basedOn w:val="Normal"/>
    <w:link w:val="HeaderChar"/>
    <w:unhideWhenUsed/>
    <w:rsid w:val="004A74FC"/>
    <w:pPr>
      <w:tabs>
        <w:tab w:val="center" w:pos="4513"/>
        <w:tab w:val="right" w:pos="9026"/>
      </w:tabs>
      <w:spacing w:after="0"/>
    </w:pPr>
  </w:style>
  <w:style w:type="character" w:customStyle="1" w:styleId="HeaderChar">
    <w:name w:val="Header Char"/>
    <w:basedOn w:val="DefaultParagraphFont"/>
    <w:link w:val="Header"/>
    <w:rsid w:val="004A74FC"/>
    <w:rPr>
      <w:rFonts w:ascii="Times" w:hAnsi="Times"/>
      <w:sz w:val="24"/>
    </w:rPr>
  </w:style>
  <w:style w:type="paragraph" w:styleId="Revision">
    <w:name w:val="Revision"/>
    <w:hidden/>
    <w:uiPriority w:val="99"/>
    <w:semiHidden/>
    <w:rsid w:val="00706A60"/>
    <w:rPr>
      <w:rFonts w:ascii="Times" w:hAnsi="Times"/>
      <w:sz w:val="24"/>
    </w:rPr>
  </w:style>
  <w:style w:type="character" w:styleId="CommentReference">
    <w:name w:val="annotation reference"/>
    <w:basedOn w:val="DefaultParagraphFont"/>
    <w:semiHidden/>
    <w:unhideWhenUsed/>
    <w:rsid w:val="00D27FAC"/>
    <w:rPr>
      <w:sz w:val="16"/>
      <w:szCs w:val="16"/>
    </w:rPr>
  </w:style>
  <w:style w:type="paragraph" w:styleId="CommentText">
    <w:name w:val="annotation text"/>
    <w:basedOn w:val="Normal"/>
    <w:link w:val="CommentTextChar"/>
    <w:semiHidden/>
    <w:unhideWhenUsed/>
    <w:rsid w:val="00D27FAC"/>
    <w:rPr>
      <w:sz w:val="20"/>
    </w:rPr>
  </w:style>
  <w:style w:type="character" w:customStyle="1" w:styleId="CommentTextChar">
    <w:name w:val="Comment Text Char"/>
    <w:basedOn w:val="DefaultParagraphFont"/>
    <w:link w:val="CommentText"/>
    <w:semiHidden/>
    <w:rsid w:val="00D27FAC"/>
    <w:rPr>
      <w:rFonts w:ascii="Times" w:hAnsi="Times"/>
    </w:rPr>
  </w:style>
  <w:style w:type="paragraph" w:styleId="CommentSubject">
    <w:name w:val="annotation subject"/>
    <w:basedOn w:val="CommentText"/>
    <w:next w:val="CommentText"/>
    <w:link w:val="CommentSubjectChar"/>
    <w:semiHidden/>
    <w:unhideWhenUsed/>
    <w:rsid w:val="00D27FAC"/>
    <w:rPr>
      <w:b/>
      <w:bCs/>
    </w:rPr>
  </w:style>
  <w:style w:type="character" w:customStyle="1" w:styleId="CommentSubjectChar">
    <w:name w:val="Comment Subject Char"/>
    <w:basedOn w:val="CommentTextChar"/>
    <w:link w:val="CommentSubject"/>
    <w:semiHidden/>
    <w:rsid w:val="00D27FAC"/>
    <w:rPr>
      <w:rFonts w:ascii="Times" w:hAnsi="Times"/>
      <w:b/>
      <w:bCs/>
    </w:rPr>
  </w:style>
  <w:style w:type="character" w:customStyle="1" w:styleId="BalloonTextChar">
    <w:name w:val="Balloon Text Char"/>
    <w:basedOn w:val="DefaultParagraphFont"/>
    <w:link w:val="BalloonText"/>
    <w:uiPriority w:val="99"/>
    <w:semiHidden/>
    <w:rsid w:val="008C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lan\Download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5E89-5470-488A-8F44-564DC272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0</TotalTime>
  <Pages>21</Pages>
  <Words>7292</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48766</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Kealan</dc:creator>
  <cp:keywords/>
  <cp:lastModifiedBy>Hugo Bronstein</cp:lastModifiedBy>
  <cp:revision>2</cp:revision>
  <cp:lastPrinted>2008-06-11T21:33:00Z</cp:lastPrinted>
  <dcterms:created xsi:type="dcterms:W3CDTF">2015-07-01T22:15:00Z</dcterms:created>
  <dcterms:modified xsi:type="dcterms:W3CDTF">2015-07-01T22:15:00Z</dcterms:modified>
</cp:coreProperties>
</file>