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104773" w14:textId="77777777" w:rsidR="001601DB" w:rsidRPr="001601DB" w:rsidRDefault="001601DB" w:rsidP="001601DB">
      <w:pPr>
        <w:spacing w:line="360" w:lineRule="auto"/>
        <w:jc w:val="both"/>
        <w:rPr>
          <w:rFonts w:ascii="Calibri" w:eastAsia="Times New Roman" w:hAnsi="Calibri" w:cs="Times New Roman"/>
          <w:bCs/>
          <w:i/>
          <w:color w:val="000000"/>
          <w:shd w:val="clear" w:color="auto" w:fill="FFFFFF"/>
          <w:lang w:eastAsia="en-GB"/>
        </w:rPr>
      </w:pPr>
      <w:r w:rsidRPr="001601DB">
        <w:rPr>
          <w:rFonts w:ascii="Calibri" w:eastAsia="Times New Roman" w:hAnsi="Calibri" w:cs="Times New Roman"/>
          <w:bCs/>
          <w:i/>
          <w:color w:val="000000"/>
          <w:shd w:val="clear" w:color="auto" w:fill="FFFFFF"/>
          <w:lang w:eastAsia="en-GB"/>
        </w:rPr>
        <w:t>Full title:</w:t>
      </w:r>
    </w:p>
    <w:p w14:paraId="0991C07A" w14:textId="2E634058" w:rsidR="001601DB" w:rsidRPr="001601DB" w:rsidRDefault="001601DB" w:rsidP="001601DB">
      <w:pPr>
        <w:spacing w:line="360" w:lineRule="auto"/>
        <w:jc w:val="both"/>
        <w:rPr>
          <w:rFonts w:ascii="Calibri" w:eastAsia="Times New Roman" w:hAnsi="Calibri" w:cs="Times New Roman"/>
          <w:b/>
          <w:bCs/>
          <w:color w:val="000000"/>
          <w:shd w:val="clear" w:color="auto" w:fill="FFFFFF"/>
          <w:lang w:eastAsia="en-GB"/>
        </w:rPr>
      </w:pPr>
      <w:r w:rsidRPr="001601DB">
        <w:rPr>
          <w:rFonts w:ascii="Calibri" w:eastAsia="Times New Roman" w:hAnsi="Calibri" w:cs="Times New Roman"/>
          <w:b/>
          <w:bCs/>
          <w:color w:val="000000"/>
          <w:shd w:val="clear" w:color="auto" w:fill="FFFFFF"/>
          <w:lang w:eastAsia="en-GB"/>
        </w:rPr>
        <w:t>Hyperpolarized carbon-13 M</w:t>
      </w:r>
      <w:r w:rsidR="00C22C98">
        <w:rPr>
          <w:rFonts w:ascii="Calibri" w:eastAsia="Times New Roman" w:hAnsi="Calibri" w:cs="Times New Roman"/>
          <w:b/>
          <w:bCs/>
          <w:color w:val="000000"/>
          <w:shd w:val="clear" w:color="auto" w:fill="FFFFFF"/>
          <w:lang w:eastAsia="en-GB"/>
        </w:rPr>
        <w:t>agnetic Resonance Spectroscopic Imaging</w:t>
      </w:r>
      <w:r w:rsidRPr="001601DB">
        <w:rPr>
          <w:rFonts w:ascii="Calibri" w:eastAsia="Times New Roman" w:hAnsi="Calibri" w:cs="Times New Roman"/>
          <w:b/>
          <w:bCs/>
          <w:color w:val="000000"/>
          <w:shd w:val="clear" w:color="auto" w:fill="FFFFFF"/>
          <w:lang w:eastAsia="en-GB"/>
        </w:rPr>
        <w:t xml:space="preserve">: a clinical tool for studying tumour metabolism </w:t>
      </w:r>
    </w:p>
    <w:p w14:paraId="3791B68D" w14:textId="77777777" w:rsidR="001601DB" w:rsidRPr="001601DB" w:rsidRDefault="001601DB" w:rsidP="001601DB">
      <w:pPr>
        <w:spacing w:line="360" w:lineRule="auto"/>
        <w:jc w:val="both"/>
        <w:rPr>
          <w:rFonts w:ascii="Calibri" w:eastAsia="Times New Roman" w:hAnsi="Calibri" w:cs="Times New Roman"/>
          <w:b/>
          <w:bCs/>
          <w:color w:val="000000"/>
          <w:shd w:val="clear" w:color="auto" w:fill="FFFFFF"/>
          <w:lang w:eastAsia="en-GB"/>
        </w:rPr>
      </w:pPr>
    </w:p>
    <w:p w14:paraId="6C151BD5" w14:textId="77777777" w:rsidR="001601DB" w:rsidRPr="001601DB" w:rsidRDefault="001601DB" w:rsidP="001601DB">
      <w:pPr>
        <w:spacing w:line="360" w:lineRule="auto"/>
        <w:jc w:val="both"/>
        <w:rPr>
          <w:rFonts w:ascii="Calibri" w:eastAsia="Times New Roman" w:hAnsi="Calibri" w:cs="Times New Roman"/>
          <w:bCs/>
          <w:i/>
          <w:color w:val="000000"/>
          <w:shd w:val="clear" w:color="auto" w:fill="FFFFFF"/>
          <w:lang w:eastAsia="en-GB"/>
        </w:rPr>
      </w:pPr>
      <w:r w:rsidRPr="001601DB">
        <w:rPr>
          <w:rFonts w:ascii="Calibri" w:eastAsia="Times New Roman" w:hAnsi="Calibri" w:cs="Times New Roman"/>
          <w:bCs/>
          <w:i/>
          <w:color w:val="000000"/>
          <w:shd w:val="clear" w:color="auto" w:fill="FFFFFF"/>
          <w:lang w:eastAsia="en-GB"/>
        </w:rPr>
        <w:t>Abbreviated title:</w:t>
      </w:r>
    </w:p>
    <w:p w14:paraId="00D9A7B4" w14:textId="15E7C4C1" w:rsidR="001601DB" w:rsidRDefault="001601DB" w:rsidP="001601DB">
      <w:pPr>
        <w:spacing w:line="360" w:lineRule="auto"/>
        <w:jc w:val="both"/>
        <w:rPr>
          <w:rFonts w:ascii="Calibri" w:eastAsia="Times New Roman" w:hAnsi="Calibri" w:cs="Times New Roman"/>
          <w:b/>
          <w:bCs/>
          <w:color w:val="000000"/>
          <w:shd w:val="clear" w:color="auto" w:fill="FFFFFF"/>
          <w:lang w:eastAsia="en-GB"/>
        </w:rPr>
      </w:pPr>
      <w:r w:rsidRPr="001601DB">
        <w:rPr>
          <w:rFonts w:ascii="Calibri" w:eastAsia="Times New Roman" w:hAnsi="Calibri" w:cs="Times New Roman"/>
          <w:b/>
          <w:bCs/>
          <w:color w:val="000000"/>
          <w:shd w:val="clear" w:color="auto" w:fill="FFFFFF"/>
          <w:lang w:eastAsia="en-GB"/>
        </w:rPr>
        <w:t>Hyperpolarized 13C MR</w:t>
      </w:r>
      <w:r w:rsidR="00C22C98">
        <w:rPr>
          <w:rFonts w:ascii="Calibri" w:eastAsia="Times New Roman" w:hAnsi="Calibri" w:cs="Times New Roman"/>
          <w:b/>
          <w:bCs/>
          <w:color w:val="000000"/>
          <w:shd w:val="clear" w:color="auto" w:fill="FFFFFF"/>
          <w:lang w:eastAsia="en-GB"/>
        </w:rPr>
        <w:t>S</w:t>
      </w:r>
      <w:r w:rsidRPr="001601DB">
        <w:rPr>
          <w:rFonts w:ascii="Calibri" w:eastAsia="Times New Roman" w:hAnsi="Calibri" w:cs="Times New Roman"/>
          <w:b/>
          <w:bCs/>
          <w:color w:val="000000"/>
          <w:shd w:val="clear" w:color="auto" w:fill="FFFFFF"/>
          <w:lang w:eastAsia="en-GB"/>
        </w:rPr>
        <w:t xml:space="preserve">I for studying tumour metabolism </w:t>
      </w:r>
    </w:p>
    <w:p w14:paraId="3B7B0D5B" w14:textId="77777777" w:rsidR="00EB033C" w:rsidRDefault="00EB033C" w:rsidP="001601DB">
      <w:pPr>
        <w:spacing w:line="360" w:lineRule="auto"/>
        <w:jc w:val="both"/>
        <w:rPr>
          <w:rFonts w:ascii="Calibri" w:eastAsia="Times New Roman" w:hAnsi="Calibri" w:cs="Times New Roman"/>
          <w:b/>
          <w:bCs/>
          <w:color w:val="000000"/>
          <w:shd w:val="clear" w:color="auto" w:fill="FFFFFF"/>
          <w:lang w:eastAsia="en-GB"/>
        </w:rPr>
      </w:pPr>
    </w:p>
    <w:p w14:paraId="11A6E2B1" w14:textId="77777777" w:rsidR="00EB033C" w:rsidRPr="00EB033C" w:rsidRDefault="00EB033C" w:rsidP="00EB033C">
      <w:pPr>
        <w:spacing w:line="360" w:lineRule="auto"/>
        <w:jc w:val="both"/>
        <w:rPr>
          <w:rFonts w:ascii="Calibri" w:eastAsia="Times New Roman" w:hAnsi="Calibri" w:cs="Times New Roman"/>
          <w:bCs/>
          <w:i/>
          <w:color w:val="000000"/>
          <w:shd w:val="clear" w:color="auto" w:fill="FFFFFF"/>
          <w:lang w:eastAsia="en-GB"/>
        </w:rPr>
      </w:pPr>
      <w:r w:rsidRPr="00EB033C">
        <w:rPr>
          <w:rFonts w:ascii="Calibri" w:eastAsia="Times New Roman" w:hAnsi="Calibri" w:cs="Times New Roman"/>
          <w:bCs/>
          <w:i/>
          <w:color w:val="000000"/>
          <w:shd w:val="clear" w:color="auto" w:fill="FFFFFF"/>
          <w:lang w:eastAsia="en-GB"/>
        </w:rPr>
        <w:t>Authors:</w:t>
      </w:r>
    </w:p>
    <w:p w14:paraId="4A53580C" w14:textId="77777777" w:rsidR="00EB033C" w:rsidRPr="00EB033C" w:rsidRDefault="00EB033C" w:rsidP="00EB033C">
      <w:pPr>
        <w:spacing w:line="360" w:lineRule="auto"/>
        <w:jc w:val="both"/>
        <w:rPr>
          <w:rFonts w:ascii="Calibri" w:eastAsia="Times New Roman" w:hAnsi="Calibri" w:cs="Times New Roman"/>
          <w:bCs/>
          <w:color w:val="000000"/>
          <w:shd w:val="clear" w:color="auto" w:fill="FFFFFF"/>
          <w:lang w:eastAsia="en-GB"/>
        </w:rPr>
      </w:pPr>
      <w:proofErr w:type="spellStart"/>
      <w:r w:rsidRPr="00EB033C">
        <w:rPr>
          <w:rFonts w:ascii="Calibri" w:eastAsia="Times New Roman" w:hAnsi="Calibri" w:cs="Times New Roman"/>
          <w:bCs/>
          <w:color w:val="000000"/>
          <w:shd w:val="clear" w:color="auto" w:fill="FFFFFF"/>
          <w:lang w:eastAsia="en-GB"/>
        </w:rPr>
        <w:t>Fulvio</w:t>
      </w:r>
      <w:proofErr w:type="spellEnd"/>
      <w:r w:rsidRPr="00EB033C">
        <w:rPr>
          <w:rFonts w:ascii="Calibri" w:eastAsia="Times New Roman" w:hAnsi="Calibri" w:cs="Times New Roman"/>
          <w:bCs/>
          <w:color w:val="000000"/>
          <w:shd w:val="clear" w:color="auto" w:fill="FFFFFF"/>
          <w:lang w:eastAsia="en-GB"/>
        </w:rPr>
        <w:t xml:space="preserve"> Zaccagna</w:t>
      </w:r>
      <w:r w:rsidRPr="00EB033C">
        <w:rPr>
          <w:rFonts w:ascii="Calibri" w:eastAsia="Times New Roman" w:hAnsi="Calibri" w:cs="Times New Roman"/>
          <w:bCs/>
          <w:color w:val="000000"/>
          <w:shd w:val="clear" w:color="auto" w:fill="FFFFFF"/>
          <w:vertAlign w:val="superscript"/>
          <w:lang w:eastAsia="en-GB"/>
        </w:rPr>
        <w:t>1</w:t>
      </w:r>
      <w:r w:rsidRPr="00EB033C">
        <w:rPr>
          <w:rFonts w:ascii="Calibri" w:eastAsia="Times New Roman" w:hAnsi="Calibri" w:cs="Times New Roman"/>
          <w:bCs/>
          <w:color w:val="000000"/>
          <w:shd w:val="clear" w:color="auto" w:fill="FFFFFF"/>
          <w:lang w:eastAsia="en-GB"/>
        </w:rPr>
        <w:t>, MD, James T Grist</w:t>
      </w:r>
      <w:r w:rsidRPr="00EB033C">
        <w:rPr>
          <w:rFonts w:ascii="Calibri" w:eastAsia="Times New Roman" w:hAnsi="Calibri" w:cs="Times New Roman"/>
          <w:bCs/>
          <w:color w:val="000000"/>
          <w:shd w:val="clear" w:color="auto" w:fill="FFFFFF"/>
          <w:vertAlign w:val="superscript"/>
          <w:lang w:eastAsia="en-GB"/>
        </w:rPr>
        <w:t>1</w:t>
      </w:r>
      <w:r w:rsidRPr="00EB033C">
        <w:rPr>
          <w:rFonts w:ascii="Calibri" w:eastAsia="Times New Roman" w:hAnsi="Calibri" w:cs="Times New Roman"/>
          <w:bCs/>
          <w:color w:val="000000"/>
          <w:shd w:val="clear" w:color="auto" w:fill="FFFFFF"/>
          <w:lang w:eastAsia="en-GB"/>
        </w:rPr>
        <w:t xml:space="preserve">, BSc, </w:t>
      </w:r>
      <w:proofErr w:type="spellStart"/>
      <w:r w:rsidRPr="00EB033C">
        <w:rPr>
          <w:rFonts w:ascii="Calibri" w:eastAsia="Times New Roman" w:hAnsi="Calibri" w:cs="Times New Roman"/>
          <w:bCs/>
          <w:color w:val="000000"/>
          <w:shd w:val="clear" w:color="auto" w:fill="FFFFFF"/>
          <w:lang w:eastAsia="en-GB"/>
        </w:rPr>
        <w:t>AMInstP</w:t>
      </w:r>
      <w:proofErr w:type="spellEnd"/>
      <w:r w:rsidRPr="00EB033C">
        <w:rPr>
          <w:rFonts w:ascii="Calibri" w:eastAsia="Times New Roman" w:hAnsi="Calibri" w:cs="Times New Roman"/>
          <w:bCs/>
          <w:color w:val="000000"/>
          <w:shd w:val="clear" w:color="auto" w:fill="FFFFFF"/>
          <w:lang w:eastAsia="en-GB"/>
        </w:rPr>
        <w:t xml:space="preserve">, </w:t>
      </w:r>
      <w:proofErr w:type="spellStart"/>
      <w:r w:rsidRPr="00EB033C">
        <w:rPr>
          <w:rFonts w:ascii="Calibri" w:eastAsia="Times New Roman" w:hAnsi="Calibri" w:cs="Times New Roman"/>
          <w:bCs/>
          <w:color w:val="000000"/>
          <w:shd w:val="clear" w:color="auto" w:fill="FFFFFF"/>
          <w:lang w:eastAsia="en-GB"/>
        </w:rPr>
        <w:t>Surrin</w:t>
      </w:r>
      <w:proofErr w:type="spellEnd"/>
      <w:r w:rsidRPr="00EB033C">
        <w:rPr>
          <w:rFonts w:ascii="Calibri" w:eastAsia="Times New Roman" w:hAnsi="Calibri" w:cs="Times New Roman"/>
          <w:bCs/>
          <w:color w:val="000000"/>
          <w:shd w:val="clear" w:color="auto" w:fill="FFFFFF"/>
          <w:lang w:eastAsia="en-GB"/>
        </w:rPr>
        <w:t xml:space="preserve"> S Deen</w:t>
      </w:r>
      <w:r w:rsidRPr="00EB033C">
        <w:rPr>
          <w:rFonts w:ascii="Calibri" w:eastAsia="Times New Roman" w:hAnsi="Calibri" w:cs="Times New Roman"/>
          <w:bCs/>
          <w:color w:val="000000"/>
          <w:shd w:val="clear" w:color="auto" w:fill="FFFFFF"/>
          <w:vertAlign w:val="superscript"/>
          <w:lang w:eastAsia="en-GB"/>
        </w:rPr>
        <w:t>1</w:t>
      </w:r>
      <w:r w:rsidRPr="00EB033C">
        <w:rPr>
          <w:rFonts w:ascii="Calibri" w:eastAsia="Times New Roman" w:hAnsi="Calibri" w:cs="Times New Roman"/>
          <w:bCs/>
          <w:color w:val="000000"/>
          <w:shd w:val="clear" w:color="auto" w:fill="FFFFFF"/>
          <w:lang w:eastAsia="en-GB"/>
        </w:rPr>
        <w:t>, MBBS, Ramona Woitek</w:t>
      </w:r>
      <w:r w:rsidRPr="00EB033C">
        <w:rPr>
          <w:rFonts w:ascii="Calibri" w:eastAsia="Times New Roman" w:hAnsi="Calibri" w:cs="Times New Roman"/>
          <w:bCs/>
          <w:color w:val="000000"/>
          <w:shd w:val="clear" w:color="auto" w:fill="FFFFFF"/>
          <w:vertAlign w:val="superscript"/>
          <w:lang w:eastAsia="en-GB"/>
        </w:rPr>
        <w:t>1</w:t>
      </w:r>
      <w:r w:rsidRPr="00EB033C">
        <w:rPr>
          <w:rFonts w:ascii="Calibri" w:eastAsia="Times New Roman" w:hAnsi="Calibri" w:cs="Times New Roman"/>
          <w:bCs/>
          <w:color w:val="000000"/>
          <w:shd w:val="clear" w:color="auto" w:fill="FFFFFF"/>
          <w:lang w:eastAsia="en-GB"/>
        </w:rPr>
        <w:t>, MD, PhD, Laura M. T. Lechermann</w:t>
      </w:r>
      <w:r w:rsidRPr="00EB033C">
        <w:rPr>
          <w:rFonts w:ascii="Calibri" w:eastAsia="Times New Roman" w:hAnsi="Calibri" w:cs="Times New Roman"/>
          <w:bCs/>
          <w:color w:val="000000"/>
          <w:shd w:val="clear" w:color="auto" w:fill="FFFFFF"/>
          <w:vertAlign w:val="superscript"/>
          <w:lang w:eastAsia="en-GB"/>
        </w:rPr>
        <w:t>1</w:t>
      </w:r>
      <w:r w:rsidRPr="00EB033C">
        <w:rPr>
          <w:rFonts w:ascii="Calibri" w:eastAsia="Times New Roman" w:hAnsi="Calibri" w:cs="Times New Roman"/>
          <w:bCs/>
          <w:color w:val="000000"/>
          <w:shd w:val="clear" w:color="auto" w:fill="FFFFFF"/>
          <w:lang w:eastAsia="en-GB"/>
        </w:rPr>
        <w:t>, MSc, BSc, Mary A McLean</w:t>
      </w:r>
      <w:r w:rsidRPr="00EB033C">
        <w:rPr>
          <w:rFonts w:ascii="Calibri" w:eastAsia="Times New Roman" w:hAnsi="Calibri" w:cs="Times New Roman"/>
          <w:bCs/>
          <w:color w:val="000000"/>
          <w:shd w:val="clear" w:color="auto" w:fill="FFFFFF"/>
          <w:vertAlign w:val="superscript"/>
          <w:lang w:eastAsia="en-GB"/>
        </w:rPr>
        <w:t>2</w:t>
      </w:r>
      <w:r w:rsidRPr="00EB033C">
        <w:rPr>
          <w:rFonts w:ascii="Calibri" w:eastAsia="Times New Roman" w:hAnsi="Calibri" w:cs="Times New Roman"/>
          <w:bCs/>
          <w:color w:val="000000"/>
          <w:shd w:val="clear" w:color="auto" w:fill="FFFFFF"/>
          <w:lang w:eastAsia="en-GB"/>
        </w:rPr>
        <w:t xml:space="preserve">, PhD, </w:t>
      </w:r>
      <w:proofErr w:type="spellStart"/>
      <w:r w:rsidRPr="00EB033C">
        <w:rPr>
          <w:rFonts w:ascii="Calibri" w:eastAsia="Times New Roman" w:hAnsi="Calibri" w:cs="Times New Roman"/>
          <w:bCs/>
          <w:color w:val="000000"/>
          <w:shd w:val="clear" w:color="auto" w:fill="FFFFFF"/>
          <w:lang w:eastAsia="en-GB"/>
        </w:rPr>
        <w:t>Bristi</w:t>
      </w:r>
      <w:proofErr w:type="spellEnd"/>
      <w:r w:rsidRPr="00EB033C">
        <w:rPr>
          <w:rFonts w:ascii="Calibri" w:eastAsia="Times New Roman" w:hAnsi="Calibri" w:cs="Times New Roman"/>
          <w:bCs/>
          <w:color w:val="000000"/>
          <w:shd w:val="clear" w:color="auto" w:fill="FFFFFF"/>
          <w:lang w:eastAsia="en-GB"/>
        </w:rPr>
        <w:t xml:space="preserve"> Basu</w:t>
      </w:r>
      <w:r w:rsidRPr="00EB033C">
        <w:rPr>
          <w:rFonts w:ascii="Calibri" w:eastAsia="Times New Roman" w:hAnsi="Calibri" w:cs="Times New Roman"/>
          <w:bCs/>
          <w:color w:val="000000"/>
          <w:shd w:val="clear" w:color="auto" w:fill="FFFFFF"/>
          <w:vertAlign w:val="superscript"/>
          <w:lang w:eastAsia="en-GB"/>
        </w:rPr>
        <w:t>3</w:t>
      </w:r>
      <w:r w:rsidRPr="00EB033C">
        <w:rPr>
          <w:rFonts w:ascii="Calibri" w:eastAsia="Times New Roman" w:hAnsi="Calibri" w:cs="Times New Roman"/>
          <w:bCs/>
          <w:color w:val="000000"/>
          <w:shd w:val="clear" w:color="auto" w:fill="FFFFFF"/>
          <w:lang w:eastAsia="en-GB"/>
        </w:rPr>
        <w:t xml:space="preserve">, BM Bch, MRCP, FRCP, PhD and </w:t>
      </w:r>
      <w:proofErr w:type="spellStart"/>
      <w:r w:rsidRPr="00EB033C">
        <w:rPr>
          <w:rFonts w:ascii="Calibri" w:eastAsia="Times New Roman" w:hAnsi="Calibri" w:cs="Times New Roman"/>
          <w:bCs/>
          <w:color w:val="000000"/>
          <w:shd w:val="clear" w:color="auto" w:fill="FFFFFF"/>
          <w:lang w:eastAsia="en-GB"/>
        </w:rPr>
        <w:t>Ferdia</w:t>
      </w:r>
      <w:proofErr w:type="spellEnd"/>
      <w:r w:rsidRPr="00EB033C">
        <w:rPr>
          <w:rFonts w:ascii="Calibri" w:eastAsia="Times New Roman" w:hAnsi="Calibri" w:cs="Times New Roman"/>
          <w:bCs/>
          <w:color w:val="000000"/>
          <w:shd w:val="clear" w:color="auto" w:fill="FFFFFF"/>
          <w:lang w:eastAsia="en-GB"/>
        </w:rPr>
        <w:t xml:space="preserve"> A. Gallagher</w:t>
      </w:r>
      <w:r w:rsidRPr="00EB033C">
        <w:rPr>
          <w:rFonts w:ascii="Calibri" w:eastAsia="Times New Roman" w:hAnsi="Calibri" w:cs="Times New Roman"/>
          <w:bCs/>
          <w:color w:val="000000"/>
          <w:shd w:val="clear" w:color="auto" w:fill="FFFFFF"/>
          <w:vertAlign w:val="superscript"/>
          <w:lang w:eastAsia="en-GB"/>
        </w:rPr>
        <w:t>1</w:t>
      </w:r>
      <w:r w:rsidRPr="00EB033C">
        <w:rPr>
          <w:rFonts w:ascii="Calibri" w:eastAsia="Times New Roman" w:hAnsi="Calibri" w:cs="Times New Roman"/>
          <w:bCs/>
          <w:color w:val="000000"/>
          <w:shd w:val="clear" w:color="auto" w:fill="FFFFFF"/>
          <w:lang w:eastAsia="en-GB"/>
        </w:rPr>
        <w:t xml:space="preserve">, BA, BM </w:t>
      </w:r>
      <w:proofErr w:type="spellStart"/>
      <w:r w:rsidRPr="00EB033C">
        <w:rPr>
          <w:rFonts w:ascii="Calibri" w:eastAsia="Times New Roman" w:hAnsi="Calibri" w:cs="Times New Roman"/>
          <w:bCs/>
          <w:color w:val="000000"/>
          <w:shd w:val="clear" w:color="auto" w:fill="FFFFFF"/>
          <w:lang w:eastAsia="en-GB"/>
        </w:rPr>
        <w:t>BCh</w:t>
      </w:r>
      <w:proofErr w:type="spellEnd"/>
      <w:r w:rsidRPr="00EB033C">
        <w:rPr>
          <w:rFonts w:ascii="Calibri" w:eastAsia="Times New Roman" w:hAnsi="Calibri" w:cs="Times New Roman"/>
          <w:bCs/>
          <w:color w:val="000000"/>
          <w:shd w:val="clear" w:color="auto" w:fill="FFFFFF"/>
          <w:lang w:eastAsia="en-GB"/>
        </w:rPr>
        <w:t>, MRCP, FRCR, PhD</w:t>
      </w:r>
    </w:p>
    <w:p w14:paraId="2841D2E4" w14:textId="77777777" w:rsidR="00EB033C" w:rsidRPr="00EB033C" w:rsidRDefault="00EB033C" w:rsidP="00EB033C">
      <w:pPr>
        <w:spacing w:line="360" w:lineRule="auto"/>
        <w:jc w:val="both"/>
        <w:rPr>
          <w:rFonts w:ascii="Calibri" w:eastAsia="Times New Roman" w:hAnsi="Calibri" w:cs="Times New Roman"/>
          <w:bCs/>
          <w:color w:val="000000"/>
          <w:shd w:val="clear" w:color="auto" w:fill="FFFFFF"/>
          <w:lang w:eastAsia="en-GB"/>
        </w:rPr>
      </w:pPr>
    </w:p>
    <w:p w14:paraId="00443233" w14:textId="77777777" w:rsidR="00EB033C" w:rsidRPr="00EB033C" w:rsidRDefault="00EB033C" w:rsidP="00EB033C">
      <w:pPr>
        <w:spacing w:line="360" w:lineRule="auto"/>
        <w:jc w:val="both"/>
        <w:rPr>
          <w:rFonts w:ascii="Calibri" w:eastAsia="Times New Roman" w:hAnsi="Calibri" w:cs="Times New Roman"/>
          <w:bCs/>
          <w:i/>
          <w:color w:val="000000"/>
          <w:shd w:val="clear" w:color="auto" w:fill="FFFFFF"/>
          <w:lang w:eastAsia="en-GB"/>
        </w:rPr>
      </w:pPr>
      <w:r w:rsidRPr="00EB033C">
        <w:rPr>
          <w:rFonts w:ascii="Calibri" w:eastAsia="Times New Roman" w:hAnsi="Calibri" w:cs="Times New Roman"/>
          <w:bCs/>
          <w:i/>
          <w:color w:val="000000"/>
          <w:shd w:val="clear" w:color="auto" w:fill="FFFFFF"/>
          <w:lang w:eastAsia="en-GB"/>
        </w:rPr>
        <w:t>Affiliations</w:t>
      </w:r>
    </w:p>
    <w:p w14:paraId="534678F0" w14:textId="77777777" w:rsidR="00EB033C" w:rsidRPr="00EB033C" w:rsidRDefault="00EB033C" w:rsidP="00EB033C">
      <w:pPr>
        <w:spacing w:line="360" w:lineRule="auto"/>
        <w:jc w:val="both"/>
        <w:rPr>
          <w:rFonts w:ascii="Calibri" w:eastAsia="Times New Roman" w:hAnsi="Calibri" w:cs="Times New Roman"/>
          <w:bCs/>
          <w:color w:val="000000"/>
          <w:shd w:val="clear" w:color="auto" w:fill="FFFFFF"/>
          <w:lang w:eastAsia="en-GB"/>
        </w:rPr>
      </w:pPr>
      <w:r w:rsidRPr="00EB033C">
        <w:rPr>
          <w:rFonts w:ascii="Calibri" w:eastAsia="Times New Roman" w:hAnsi="Calibri" w:cs="Times New Roman"/>
          <w:bCs/>
          <w:color w:val="000000"/>
          <w:shd w:val="clear" w:color="auto" w:fill="FFFFFF"/>
          <w:lang w:eastAsia="en-GB"/>
        </w:rPr>
        <w:t>1 Department of Radiology, University of Cambridge, Cambridge, United Kingdom</w:t>
      </w:r>
    </w:p>
    <w:p w14:paraId="519A61AF" w14:textId="77777777" w:rsidR="00EB033C" w:rsidRPr="00EB033C" w:rsidRDefault="00EB033C" w:rsidP="00EB033C">
      <w:pPr>
        <w:spacing w:line="360" w:lineRule="auto"/>
        <w:jc w:val="both"/>
        <w:rPr>
          <w:rFonts w:ascii="Calibri" w:eastAsia="Times New Roman" w:hAnsi="Calibri" w:cs="Times New Roman"/>
          <w:bCs/>
          <w:color w:val="000000"/>
          <w:shd w:val="clear" w:color="auto" w:fill="FFFFFF"/>
          <w:lang w:eastAsia="en-GB"/>
        </w:rPr>
      </w:pPr>
      <w:r w:rsidRPr="00EB033C">
        <w:rPr>
          <w:rFonts w:ascii="Calibri" w:eastAsia="Times New Roman" w:hAnsi="Calibri" w:cs="Times New Roman"/>
          <w:bCs/>
          <w:color w:val="000000"/>
          <w:shd w:val="clear" w:color="auto" w:fill="FFFFFF"/>
          <w:lang w:eastAsia="en-GB"/>
        </w:rPr>
        <w:t>2 Cancer Research UK Cambridge Institute, University of Cambridge, Cambridge, United Kingdom</w:t>
      </w:r>
    </w:p>
    <w:p w14:paraId="2AA25E47" w14:textId="77777777" w:rsidR="00EB033C" w:rsidRPr="00EB033C" w:rsidRDefault="00EB033C" w:rsidP="00EB033C">
      <w:pPr>
        <w:spacing w:line="360" w:lineRule="auto"/>
        <w:jc w:val="both"/>
        <w:rPr>
          <w:rFonts w:ascii="Calibri" w:eastAsia="Times New Roman" w:hAnsi="Calibri" w:cs="Times New Roman"/>
          <w:bCs/>
          <w:color w:val="000000"/>
          <w:shd w:val="clear" w:color="auto" w:fill="FFFFFF"/>
          <w:lang w:eastAsia="en-GB"/>
        </w:rPr>
      </w:pPr>
      <w:r w:rsidRPr="00EB033C">
        <w:rPr>
          <w:rFonts w:ascii="Calibri" w:eastAsia="Times New Roman" w:hAnsi="Calibri" w:cs="Times New Roman"/>
          <w:bCs/>
          <w:color w:val="000000"/>
          <w:shd w:val="clear" w:color="auto" w:fill="FFFFFF"/>
          <w:lang w:eastAsia="en-GB"/>
        </w:rPr>
        <w:t>3 Department of Oncology, University of Cambridge, Cambridge, United Kingdom</w:t>
      </w:r>
    </w:p>
    <w:p w14:paraId="7ABC4149" w14:textId="77777777" w:rsidR="00EB033C" w:rsidRPr="001601DB" w:rsidRDefault="00EB033C" w:rsidP="001601DB">
      <w:pPr>
        <w:spacing w:line="360" w:lineRule="auto"/>
        <w:jc w:val="both"/>
        <w:rPr>
          <w:rFonts w:ascii="Calibri" w:eastAsia="Times New Roman" w:hAnsi="Calibri" w:cs="Times New Roman"/>
          <w:b/>
          <w:bCs/>
          <w:color w:val="000000"/>
          <w:shd w:val="clear" w:color="auto" w:fill="FFFFFF"/>
          <w:lang w:eastAsia="en-GB"/>
        </w:rPr>
      </w:pPr>
    </w:p>
    <w:p w14:paraId="7903F2B5" w14:textId="77777777" w:rsidR="001601DB" w:rsidRPr="000D72AC" w:rsidRDefault="001601DB" w:rsidP="001B4024">
      <w:pPr>
        <w:spacing w:line="360" w:lineRule="auto"/>
        <w:jc w:val="both"/>
        <w:rPr>
          <w:rFonts w:ascii="Calibri" w:eastAsia="Times New Roman" w:hAnsi="Calibri" w:cs="Times New Roman"/>
          <w:color w:val="000000"/>
          <w:shd w:val="clear" w:color="auto" w:fill="FFFFFF"/>
          <w:lang w:eastAsia="en-GB"/>
        </w:rPr>
      </w:pPr>
    </w:p>
    <w:p w14:paraId="51A7B59E" w14:textId="77777777" w:rsidR="001601DB" w:rsidRDefault="001601DB" w:rsidP="001B4024">
      <w:pPr>
        <w:spacing w:line="360" w:lineRule="auto"/>
        <w:jc w:val="both"/>
        <w:rPr>
          <w:b/>
        </w:rPr>
        <w:sectPr w:rsidR="001601DB" w:rsidSect="004F4AC5">
          <w:footerReference w:type="even" r:id="rId8"/>
          <w:footerReference w:type="default" r:id="rId9"/>
          <w:pgSz w:w="11900" w:h="16840"/>
          <w:pgMar w:top="1440" w:right="1440" w:bottom="1440" w:left="1440" w:header="708" w:footer="708" w:gutter="0"/>
          <w:cols w:space="708"/>
          <w:docGrid w:linePitch="360"/>
        </w:sectPr>
      </w:pPr>
    </w:p>
    <w:p w14:paraId="7383432C" w14:textId="6CAD5BCD" w:rsidR="00373C92" w:rsidRDefault="005C1CF0" w:rsidP="001B4024">
      <w:pPr>
        <w:spacing w:line="360" w:lineRule="auto"/>
        <w:jc w:val="both"/>
        <w:rPr>
          <w:b/>
        </w:rPr>
      </w:pPr>
      <w:r w:rsidRPr="005C1CF0">
        <w:rPr>
          <w:b/>
        </w:rPr>
        <w:lastRenderedPageBreak/>
        <w:t>Abstract</w:t>
      </w:r>
    </w:p>
    <w:p w14:paraId="182EB592" w14:textId="0207D5CE" w:rsidR="00F7362A" w:rsidRPr="000D72AC" w:rsidRDefault="00722FD5" w:rsidP="00F7362A">
      <w:pPr>
        <w:spacing w:line="360" w:lineRule="auto"/>
        <w:jc w:val="both"/>
      </w:pPr>
      <w:r>
        <w:t>Glucose</w:t>
      </w:r>
      <w:r w:rsidR="00C35A7C">
        <w:t xml:space="preserve"> metabolism </w:t>
      </w:r>
      <w:r>
        <w:t>in tumours is</w:t>
      </w:r>
      <w:r w:rsidR="00F7362A">
        <w:t xml:space="preserve"> reprogrammed </w:t>
      </w:r>
      <w:r w:rsidR="00AD7A76">
        <w:t>away from oxidative metabolism</w:t>
      </w:r>
      <w:r>
        <w:t xml:space="preserve">, even in </w:t>
      </w:r>
      <w:r w:rsidR="00DD2678">
        <w:t xml:space="preserve">the </w:t>
      </w:r>
      <w:r>
        <w:t xml:space="preserve">presence of oxygen. </w:t>
      </w:r>
      <w:r w:rsidR="00F7362A">
        <w:t>N</w:t>
      </w:r>
      <w:r w:rsidR="00C35A7C">
        <w:t xml:space="preserve">on-invasive </w:t>
      </w:r>
      <w:r w:rsidR="00C35A7C" w:rsidRPr="000D72AC">
        <w:t>imaging</w:t>
      </w:r>
      <w:r w:rsidR="00C35A7C">
        <w:t xml:space="preserve"> </w:t>
      </w:r>
      <w:r w:rsidR="00F7362A">
        <w:t>techniques can</w:t>
      </w:r>
      <w:r w:rsidR="00C35A7C">
        <w:t xml:space="preserve"> probe these alterations in cancer </w:t>
      </w:r>
      <w:r w:rsidR="00C35A7C" w:rsidRPr="000D72AC">
        <w:t>metabolism</w:t>
      </w:r>
      <w:r w:rsidR="00C35A7C">
        <w:t xml:space="preserve"> </w:t>
      </w:r>
      <w:r w:rsidR="00F7362A">
        <w:t xml:space="preserve">providing </w:t>
      </w:r>
      <w:r w:rsidR="00DE56D0">
        <w:t>tools to detect tumours and their response to therapy</w:t>
      </w:r>
      <w:r w:rsidR="00F7362A">
        <w:t xml:space="preserve">. Although </w:t>
      </w:r>
      <w:r w:rsidR="00E550A4">
        <w:t>P</w:t>
      </w:r>
      <w:r w:rsidR="00F7362A">
        <w:t>ositron Emission T</w:t>
      </w:r>
      <w:r w:rsidR="00F7362A" w:rsidRPr="0029614D">
        <w:t xml:space="preserve">omography </w:t>
      </w:r>
      <w:r w:rsidR="00F7362A">
        <w:t>with [</w:t>
      </w:r>
      <w:r w:rsidR="00F7362A" w:rsidRPr="006128AD">
        <w:rPr>
          <w:vertAlign w:val="superscript"/>
        </w:rPr>
        <w:t>18</w:t>
      </w:r>
      <w:r w:rsidR="00F7362A" w:rsidRPr="0029614D">
        <w:t>F</w:t>
      </w:r>
      <w:r w:rsidR="00F7362A">
        <w:t>]</w:t>
      </w:r>
      <w:r w:rsidR="00F7362A" w:rsidRPr="0029614D">
        <w:t>2-fluoro-</w:t>
      </w:r>
      <w:r w:rsidR="00F7362A">
        <w:t>2-deoxy-D-glucose (</w:t>
      </w:r>
      <w:r w:rsidR="00F7362A" w:rsidRPr="00374D05">
        <w:rPr>
          <w:vertAlign w:val="superscript"/>
        </w:rPr>
        <w:t>18</w:t>
      </w:r>
      <w:r w:rsidR="00F7362A">
        <w:t xml:space="preserve">F-FDG PET) is an established clinical tool to probe cancer metabolism, it </w:t>
      </w:r>
      <w:r w:rsidR="001C64F9">
        <w:t xml:space="preserve">has poor </w:t>
      </w:r>
      <w:r w:rsidR="00F7362A">
        <w:t>spatial resolution</w:t>
      </w:r>
      <w:r w:rsidR="00AD4071">
        <w:t xml:space="preserve"> and</w:t>
      </w:r>
      <w:r w:rsidR="00F7362A">
        <w:t xml:space="preserve"> soft tissue contrast, utilises </w:t>
      </w:r>
      <w:r w:rsidR="00F35458">
        <w:t xml:space="preserve">ionizing </w:t>
      </w:r>
      <w:r w:rsidR="00F7362A">
        <w:t>radiation</w:t>
      </w:r>
      <w:r w:rsidR="00681E9D" w:rsidRPr="00681E9D">
        <w:t xml:space="preserve"> </w:t>
      </w:r>
      <w:r w:rsidR="00DE56D0">
        <w:t xml:space="preserve">and only </w:t>
      </w:r>
      <w:r w:rsidR="00681E9D">
        <w:t xml:space="preserve">probes glucose uptake </w:t>
      </w:r>
      <w:r w:rsidR="00DE56D0">
        <w:t xml:space="preserve">and phosphorylation </w:t>
      </w:r>
      <w:r w:rsidR="00681E9D">
        <w:t>and not further</w:t>
      </w:r>
      <w:r w:rsidR="00DE56D0">
        <w:t xml:space="preserve"> downstream</w:t>
      </w:r>
      <w:r w:rsidR="00681E9D">
        <w:t xml:space="preserve"> metabolism.</w:t>
      </w:r>
      <w:r w:rsidR="00DE56D0">
        <w:t xml:space="preserve"> </w:t>
      </w:r>
      <w:r w:rsidR="00F7362A" w:rsidRPr="000D72AC">
        <w:t>Magnet</w:t>
      </w:r>
      <w:r w:rsidR="00F7362A">
        <w:t xml:space="preserve">ic Resonance Spectroscopy (MRS) has the capability to </w:t>
      </w:r>
      <w:r w:rsidR="00DE56D0">
        <w:t xml:space="preserve">non-invasively </w:t>
      </w:r>
      <w:r w:rsidR="00F7362A">
        <w:t xml:space="preserve">detect and </w:t>
      </w:r>
      <w:r w:rsidR="00681E9D">
        <w:t xml:space="preserve">distinguish </w:t>
      </w:r>
      <w:r w:rsidR="00F7362A">
        <w:t>molecules within tissue</w:t>
      </w:r>
      <w:r w:rsidR="00DE56D0">
        <w:t xml:space="preserve"> but has </w:t>
      </w:r>
      <w:r w:rsidR="00F7362A">
        <w:t xml:space="preserve">low sensitivity and </w:t>
      </w:r>
      <w:r w:rsidR="00DE56D0">
        <w:t xml:space="preserve">can only detect selected </w:t>
      </w:r>
      <w:r w:rsidR="00F7362A">
        <w:t xml:space="preserve">nuclei. </w:t>
      </w:r>
      <w:r w:rsidR="00F7362A" w:rsidRPr="000D72AC">
        <w:t>Dynamic Nuclear Polari</w:t>
      </w:r>
      <w:r w:rsidR="00030E78">
        <w:t>s</w:t>
      </w:r>
      <w:r w:rsidR="00F7362A" w:rsidRPr="000D72AC">
        <w:t xml:space="preserve">ation (DNP) </w:t>
      </w:r>
      <w:r w:rsidR="00F7362A">
        <w:t xml:space="preserve">is a technique which greatly increases the signal-to-noise </w:t>
      </w:r>
      <w:r w:rsidR="001C64F9">
        <w:t xml:space="preserve">ratio </w:t>
      </w:r>
      <w:r w:rsidR="00F7362A">
        <w:t xml:space="preserve">(SNR) achieved </w:t>
      </w:r>
      <w:r w:rsidR="00DE56D0">
        <w:t xml:space="preserve">with </w:t>
      </w:r>
      <w:r w:rsidR="00F7362A">
        <w:t xml:space="preserve">MR by </w:t>
      </w:r>
      <w:r w:rsidR="00F7362A" w:rsidRPr="000D72AC">
        <w:t>significantly increas</w:t>
      </w:r>
      <w:r w:rsidR="00F7362A">
        <w:t>ing</w:t>
      </w:r>
      <w:r w:rsidR="00F7362A" w:rsidRPr="000D72AC">
        <w:t xml:space="preserve"> </w:t>
      </w:r>
      <w:r w:rsidR="00DE56D0">
        <w:t xml:space="preserve">nuclear spin </w:t>
      </w:r>
      <w:r w:rsidR="00F7362A" w:rsidRPr="000D72AC">
        <w:t>polari</w:t>
      </w:r>
      <w:r w:rsidR="00030E78">
        <w:t>s</w:t>
      </w:r>
      <w:r w:rsidR="00F7362A" w:rsidRPr="000D72AC">
        <w:t>ation</w:t>
      </w:r>
      <w:r w:rsidR="00DE56D0">
        <w:t xml:space="preserve"> and t</w:t>
      </w:r>
      <w:r w:rsidR="00F7362A">
        <w:t xml:space="preserve">his method </w:t>
      </w:r>
      <w:r w:rsidR="00DE56D0">
        <w:t xml:space="preserve">has now been </w:t>
      </w:r>
      <w:r w:rsidR="00F7362A">
        <w:t xml:space="preserve">translated </w:t>
      </w:r>
      <w:r w:rsidR="00DE56D0">
        <w:t>into human imaging</w:t>
      </w:r>
      <w:r w:rsidR="00F7362A">
        <w:t xml:space="preserve">. </w:t>
      </w:r>
      <w:r w:rsidR="00F7362A" w:rsidRPr="000D72AC">
        <w:t xml:space="preserve">This review provides a brief overview of </w:t>
      </w:r>
      <w:r w:rsidR="00A07C61">
        <w:t>this process</w:t>
      </w:r>
      <w:r w:rsidR="00F7362A" w:rsidRPr="000D72AC">
        <w:t>,</w:t>
      </w:r>
      <w:r w:rsidR="00F7362A">
        <w:t xml:space="preserve"> </w:t>
      </w:r>
      <w:r w:rsidR="00DE56D0">
        <w:t xml:space="preserve">also </w:t>
      </w:r>
      <w:r w:rsidR="00F7362A">
        <w:t>termed</w:t>
      </w:r>
      <w:r w:rsidR="00F7362A" w:rsidRPr="000D72AC">
        <w:t xml:space="preserve"> Hyperpolari</w:t>
      </w:r>
      <w:r w:rsidR="007546D5">
        <w:t>z</w:t>
      </w:r>
      <w:r w:rsidR="00F7362A" w:rsidRPr="000D72AC">
        <w:t xml:space="preserve">ed </w:t>
      </w:r>
      <w:r w:rsidR="00F7362A">
        <w:t>C</w:t>
      </w:r>
      <w:r w:rsidR="00F7362A" w:rsidRPr="000D72AC">
        <w:t xml:space="preserve">arbon-13 Magnetic Resonance </w:t>
      </w:r>
      <w:r w:rsidR="003E0A30">
        <w:t xml:space="preserve">Spectroscopic </w:t>
      </w:r>
      <w:r w:rsidR="00F7362A">
        <w:t>Imaging</w:t>
      </w:r>
      <w:r w:rsidR="00F7362A" w:rsidRPr="000D72AC">
        <w:t xml:space="preserve"> (HP </w:t>
      </w:r>
      <w:r w:rsidR="00F7362A" w:rsidRPr="000D72AC">
        <w:rPr>
          <w:vertAlign w:val="superscript"/>
        </w:rPr>
        <w:t>13</w:t>
      </w:r>
      <w:r w:rsidR="00F7362A" w:rsidRPr="000D72AC">
        <w:t>C</w:t>
      </w:r>
      <w:r w:rsidR="00F7362A">
        <w:t>-</w:t>
      </w:r>
      <w:r w:rsidR="00F7362A" w:rsidRPr="000D72AC">
        <w:t>MRSI), its application</w:t>
      </w:r>
      <w:r w:rsidR="00F7362A">
        <w:t>s</w:t>
      </w:r>
      <w:r w:rsidR="00F7362A" w:rsidRPr="000D72AC">
        <w:t xml:space="preserve"> in pre-clinical </w:t>
      </w:r>
      <w:r w:rsidR="00F7362A">
        <w:t>imaging</w:t>
      </w:r>
      <w:r w:rsidR="00F7362A" w:rsidRPr="000D72AC">
        <w:t xml:space="preserve">, </w:t>
      </w:r>
      <w:r w:rsidR="00F7362A">
        <w:t>an outline of</w:t>
      </w:r>
      <w:r w:rsidR="00F7362A" w:rsidRPr="000D72AC">
        <w:t xml:space="preserve"> t</w:t>
      </w:r>
      <w:r w:rsidR="00F7362A">
        <w:t xml:space="preserve">he current human </w:t>
      </w:r>
      <w:r w:rsidR="00F7362A" w:rsidRPr="000D72AC">
        <w:t>trials</w:t>
      </w:r>
      <w:r w:rsidR="00F7362A">
        <w:t xml:space="preserve"> that are ongoing</w:t>
      </w:r>
      <w:r w:rsidR="00DE56D0">
        <w:t>,</w:t>
      </w:r>
      <w:r w:rsidR="00F7362A">
        <w:t xml:space="preserve"> as well as</w:t>
      </w:r>
      <w:r w:rsidR="00F7362A" w:rsidRPr="000D72AC">
        <w:t xml:space="preserve"> future </w:t>
      </w:r>
      <w:r w:rsidR="00F7362A">
        <w:t>potential applications</w:t>
      </w:r>
      <w:r w:rsidR="00DE56D0">
        <w:t xml:space="preserve"> in oncology</w:t>
      </w:r>
      <w:r w:rsidR="00F7362A" w:rsidRPr="000D72AC">
        <w:t xml:space="preserve">. </w:t>
      </w:r>
    </w:p>
    <w:p w14:paraId="4D672F38" w14:textId="77777777" w:rsidR="00F7362A" w:rsidRPr="005C1CF0" w:rsidRDefault="00F7362A" w:rsidP="001B4024">
      <w:pPr>
        <w:spacing w:line="360" w:lineRule="auto"/>
        <w:jc w:val="both"/>
        <w:rPr>
          <w:b/>
        </w:rPr>
        <w:sectPr w:rsidR="00F7362A" w:rsidRPr="005C1CF0" w:rsidSect="004F4AC5">
          <w:pgSz w:w="11900" w:h="16840"/>
          <w:pgMar w:top="1440" w:right="1440" w:bottom="1440" w:left="1440" w:header="708" w:footer="708" w:gutter="0"/>
          <w:cols w:space="708"/>
          <w:docGrid w:linePitch="360"/>
        </w:sectPr>
      </w:pPr>
    </w:p>
    <w:p w14:paraId="686A4B6B" w14:textId="23886ADD" w:rsidR="00280B67" w:rsidRPr="00280B67" w:rsidRDefault="00280B67" w:rsidP="005B1264">
      <w:pPr>
        <w:spacing w:line="360" w:lineRule="auto"/>
        <w:jc w:val="both"/>
        <w:rPr>
          <w:b/>
        </w:rPr>
      </w:pPr>
      <w:r w:rsidRPr="00280B67">
        <w:rPr>
          <w:b/>
        </w:rPr>
        <w:lastRenderedPageBreak/>
        <w:t>Introduction</w:t>
      </w:r>
    </w:p>
    <w:p w14:paraId="7F676514" w14:textId="2B4F1F4C" w:rsidR="00C77C9E" w:rsidRDefault="00F74335" w:rsidP="005B1264">
      <w:pPr>
        <w:spacing w:line="360" w:lineRule="auto"/>
        <w:jc w:val="both"/>
      </w:pPr>
      <w:r>
        <w:t>T</w:t>
      </w:r>
      <w:r w:rsidR="004155FF">
        <w:t xml:space="preserve">umours metabolise glucose </w:t>
      </w:r>
      <w:r>
        <w:t xml:space="preserve">very </w:t>
      </w:r>
      <w:r w:rsidR="004155FF">
        <w:t>differently from normal tissue</w:t>
      </w:r>
      <w:r w:rsidR="00C77C9E">
        <w:t>, generating lactate even in the presence of oxygen, a process known as</w:t>
      </w:r>
      <w:r w:rsidR="00AD7A76">
        <w:t xml:space="preserve"> </w:t>
      </w:r>
      <w:r w:rsidR="00DE56D0">
        <w:t xml:space="preserve">the </w:t>
      </w:r>
      <w:r w:rsidR="002B1EF3">
        <w:t xml:space="preserve">Warburg </w:t>
      </w:r>
      <w:r w:rsidR="007B066E">
        <w:t>e</w:t>
      </w:r>
      <w:r w:rsidR="002B1EF3">
        <w:t>ffect</w:t>
      </w:r>
      <w:r w:rsidR="00A30B63">
        <w:t>.</w:t>
      </w:r>
      <w:r w:rsidR="00CD1C7D">
        <w:fldChar w:fldCharType="begin" w:fldLock="1"/>
      </w:r>
      <w:r w:rsidR="006D4D5D">
        <w:instrText>ADDIN CSL_CITATION { "citationItems" : [ { "id" : "ITEM-1", "itemData" : { "DOI" : "10.1126/science.123.3191.309", "ISBN" : "0369-7606 (Print)\\r0369-7606 (Linking)", "ISSN" : "00368075", "PMID" : "13298683", "author" : [ { "dropping-particle" : "", "family" : "Warburg", "given" : "O", "non-dropping-particle" : "", "parse-names" : false, "suffix" : "" } ], "container-title" : "Science", "id" : "ITEM-1", "issue" : "3191", "issued" : { "date-parts" : [ [ "1956" ] ] }, "page" : "309-14", "title" : "On the Origin of Cancer Cells", "type" : "article-journal", "volume" : "123" }, "uris" : [ "http://www.mendeley.com/documents/?uuid=49aad212-4430-415f-9fec-14887896bc80" ] } ], "mendeley" : { "formattedCitation" : "&lt;sup&gt;1&lt;/sup&gt;", "plainTextFormattedCitation" : "1", "previouslyFormattedCitation" : "&lt;sup&gt;1&lt;/sup&gt;" }, "properties" : {  }, "schema" : "https://github.com/citation-style-language/schema/raw/master/csl-citation.json" }</w:instrText>
      </w:r>
      <w:r w:rsidR="00CD1C7D">
        <w:fldChar w:fldCharType="separate"/>
      </w:r>
      <w:r w:rsidR="00CD1C7D" w:rsidRPr="00CD1C7D">
        <w:rPr>
          <w:noProof/>
          <w:vertAlign w:val="superscript"/>
        </w:rPr>
        <w:t>1</w:t>
      </w:r>
      <w:r w:rsidR="00CD1C7D">
        <w:fldChar w:fldCharType="end"/>
      </w:r>
      <w:r w:rsidR="004155FF">
        <w:t xml:space="preserve"> </w:t>
      </w:r>
      <w:r w:rsidR="004520B0">
        <w:t xml:space="preserve">Other metabolic pathways, such as amino acid utilisation and fatty acid synthesis, are also </w:t>
      </w:r>
      <w:r w:rsidR="0068466D">
        <w:t xml:space="preserve">reprogrammed </w:t>
      </w:r>
      <w:r w:rsidR="004520B0">
        <w:t>in tumours compared to normal tissue</w:t>
      </w:r>
      <w:r w:rsidR="00C77C9E">
        <w:t>.</w:t>
      </w:r>
      <w:r w:rsidR="00592A0D">
        <w:fldChar w:fldCharType="begin" w:fldLock="1"/>
      </w:r>
      <w:r w:rsidR="006D4D5D">
        <w:instrText>ADDIN CSL_CITATION { "citationItems" : [ { "id" : "ITEM-1", "itemData" : { "DOI" : "10.1158/0008-5472.CAN-05-4673", "ISSN" : "0008-5472", "PMID" : "16778164", "abstract" : "Fatty acid synthase (FAS), the sole mammalian enzyme capable of de novo fatty acid synthesis, is highly expressed in most human carcinomas. FAS is associated with poor prognosis in breast and prostate cancer, is elaborated into the blood of cancer patients, and its inhibition is selectively cytotoxic to human cancer cells. Thus, FAS and fatty acid metabolism in cancer has become a focus for the potential diagnosis and treatment of cancer.", "author" : [ { "dropping-particle" : "", "family" : "Kuhajda", "given" : "F. P.", "non-dropping-particle" : "", "parse-names" : false, "suffix" : "" } ], "container-title" : "Cancer Research", "id" : "ITEM-1", "issue" : "12", "issued" : { "date-parts" : [ [ "2006", "6", "15" ] ] }, "page" : "5977-5980", "title" : "Fatty Acid Synthase and Cancer: New Application of an Old Pathway", "type" : "article-journal", "volume" : "66" }, "uris" : [ "http://www.mendeley.com/documents/?uuid=202d4fd0-595c-3029-a424-81e0f6e3f011" ] }, { "id" : "ITEM-2", "itemData" : { "DOI" : "10.1016/S0969-8051(00)00195-5", "ISBN" : "0969-8051", "ISSN" : "09698051", "PMID" : "11295421", "abstract" : "To reveal the metabolic fate of acetate in neoplasms that may characterize the accumulation patterns of [1-\\n                        11C]acetate in tumors depicted by positron emission tomography. Four tumor cell lines (LS174T, RPMI2650, A2780, and A375) and fibroblasts in growing and resting states were used. In uptake experiments, cells were incubated with[1-\\n                        14C]acetate for 40 min. [\\n                        14C]CO\\n                        2 was measured in the tight-air chamber, and the metabolites in cells were identified by thin layer chromatography and paper chromatography. The glucose metabolic rate of each cell line was measured with [2,6-\\n                        3H]2-deoxy-glucose (DG), and the growth activity of each cell line was estimated by measuring the incorporation of [\\n                        3H]methyl thymidine into DNA. Compared with resting fibroblasts, all four tumor cell lines showed higher accumulation of \\n                        14C activity from [1-\\n                        14C]acetate. These tumor-to-normal ratios of [1-\\n                        14C]acetate were larger than those of DG. Tumor cells incorporated \\n                        14C activity into the lipid-soluble fraction, mostly of phosphatidylcholine and neutral lipids, more prominently than did fibroblasts. The lipid-soluble fraction of \\n                        14C accumulation in cells showed a positive correlation with growth activity, whereas the water-soluble and CO\\n                        2 fractions did not. These findings suggest that the high tumor-to-normal ratio of [1-\\n                        14C]acetate is mainly due to the enhanced lipid synthesis, which reflects the high growth activity of neoplasms. This in vitro study suggests that [1-\\n                        11C]acetate is appropriate for estimating the growth activity of tumor cells. ?? 2001 Elsevier Science Inc.", "author" : [ { "dropping-particle" : "", "family" : "Yoshimoto", "given" : "M.", "non-dropping-particle" : "", "parse-names" : false, "suffix" : "" }, { "dropping-particle" : "", "family" : "Waki", "given" : "A.", "non-dropping-particle" : "", "parse-names" : false, "suffix" : "" }, { "dropping-particle" : "", "family" : "Yonekura", "given" : "Y.", "non-dropping-particle" : "", "parse-names" : false, "suffix" : "" }, { "dropping-particle" : "", "family" : "Sadato", "given" : "N.", "non-dropping-particle" : "", "parse-names" : false, "suffix" : "" }, { "dropping-particle" : "", "family" : "Murata", "given" : "T.", "non-dropping-particle" : "", "parse-names" : false, "suffix" : "" }, { "dropping-particle" : "", "family" : "Omata", "given" : "N.", "non-dropping-particle" : "", "parse-names" : false, "suffix" : "" }, { "dropping-particle" : "", "family" : "Takahashi", "given" : "N.", "non-dropping-particle" : "", "parse-names" : false, "suffix" : "" }, { "dropping-particle" : "", "family" : "Welch", "given" : "M. J.", "non-dropping-particle" : "", "parse-names" : false, "suffix" : "" }, { "dropping-particle" : "", "family" : "Fujibayashi", "given" : "Y.", "non-dropping-particle" : "", "parse-names" : false, "suffix" : "" } ], "container-title" : "Nuclear Medicine and Biology", "id" : "ITEM-2", "issue" : "2", "issued" : { "date-parts" : [ [ "2001" ] ] }, "page" : "117-122", "title" : "Characterization of acetate metabolism in tumor cells in relation to cell proliferation: Acetate metabolism in tumor cells", "type" : "article-journal", "volume" : "28" }, "uris" : [ "http://www.mendeley.com/documents/?uuid=a0a1bc56-0ca6-43d3-98d9-833c6533fc02" ] }, { "id" : "ITEM-3", "itemData" : { "DOI" : "10.1038/nrc2222", "ISSN" : "1474-175X", "PMID" : "17882277", "abstract" : "There is a renewed interest in the ultimate role of fatty acid synthase (FASN)--a key lipogenic enzyme catalysing the terminal steps in the de novo biogenesis of fatty acids--in cancer pathogenesis. Tumour-associated FASN, by conferring growth and survival advantages rather than functioning as an anabolic energy-storage pathway, appears to necessarily accompany the natural history of most human cancers. A recent identification of cross-talk between FASN and well-established cancer-controlling networks begins to delineate the oncogenic nature of FASN-driven lipogenesis. FASN, a nearly-universal druggable target in many human carcinomas and their precursor lesions, offers new therapeutic opportunities for metabolically treating and preventing cancer.", "author" : [ { "dropping-particle" : "", "family" : "Menendez", "given" : "Javier A.", "non-dropping-particle" : "", "parse-names" : false, "suffix" : "" }, { "dropping-particle" : "", "family" : "Lupu", "given" : "Ruth", "non-dropping-particle" : "", "parse-names" : false, "suffix" : "" } ], "container-title" : "Nature Reviews Cancer", "id" : "ITEM-3", "issue" : "10", "issued" : { "date-parts" : [ [ "2007", "10" ] ] }, "page" : "763-777", "title" : "Fatty acid synthase and the lipogenic phenotype in cancer pathogenesis", "type" : "article-journal", "volume" : "7" }, "uris" : [ "http://www.mendeley.com/documents/?uuid=92c88e8a-15c1-3ebf-97b8-a5cb72798a08" ] } ], "mendeley" : { "formattedCitation" : "&lt;sup&gt;2\u20134&lt;/sup&gt;", "plainTextFormattedCitation" : "2\u20134", "previouslyFormattedCitation" : "&lt;sup&gt;2\u20134&lt;/sup&gt;" }, "properties" : {  }, "schema" : "https://github.com/citation-style-language/schema/raw/master/csl-citation.json" }</w:instrText>
      </w:r>
      <w:r w:rsidR="00592A0D">
        <w:fldChar w:fldCharType="separate"/>
      </w:r>
      <w:r w:rsidR="00592A0D" w:rsidRPr="00592A0D">
        <w:rPr>
          <w:noProof/>
          <w:vertAlign w:val="superscript"/>
        </w:rPr>
        <w:t>2–4</w:t>
      </w:r>
      <w:r w:rsidR="00592A0D">
        <w:fldChar w:fldCharType="end"/>
      </w:r>
      <w:r w:rsidR="00C77C9E">
        <w:t xml:space="preserve"> </w:t>
      </w:r>
      <w:proofErr w:type="gramStart"/>
      <w:r w:rsidR="00D20D20">
        <w:t>A</w:t>
      </w:r>
      <w:r w:rsidR="0080739B">
        <w:t xml:space="preserve"> number of</w:t>
      </w:r>
      <w:proofErr w:type="gramEnd"/>
      <w:r w:rsidR="0080739B">
        <w:t xml:space="preserve"> </w:t>
      </w:r>
      <w:r w:rsidR="00E87D17">
        <w:t xml:space="preserve">non-invasive </w:t>
      </w:r>
      <w:r w:rsidR="00E87D17" w:rsidRPr="000D72AC">
        <w:t>imaging</w:t>
      </w:r>
      <w:r w:rsidR="00E87D17">
        <w:t xml:space="preserve"> methods </w:t>
      </w:r>
      <w:r w:rsidR="00D20D20">
        <w:t xml:space="preserve">have been </w:t>
      </w:r>
      <w:r w:rsidR="00E87D17">
        <w:t>used to probe</w:t>
      </w:r>
      <w:r w:rsidR="0080739B">
        <w:t xml:space="preserve"> </w:t>
      </w:r>
      <w:r w:rsidR="00E87D17">
        <w:t>the</w:t>
      </w:r>
      <w:r w:rsidR="00D20D20">
        <w:t>se</w:t>
      </w:r>
      <w:r w:rsidR="0080739B">
        <w:t xml:space="preserve"> </w:t>
      </w:r>
      <w:r w:rsidR="00C77C9E">
        <w:t>alter</w:t>
      </w:r>
      <w:r w:rsidR="00E87D17">
        <w:t>ations in cancer</w:t>
      </w:r>
      <w:r w:rsidR="00C77C9E">
        <w:t xml:space="preserve"> </w:t>
      </w:r>
      <w:r w:rsidR="007125DA" w:rsidRPr="000D72AC">
        <w:t>metabolism</w:t>
      </w:r>
      <w:r w:rsidR="002A61FC">
        <w:t>.</w:t>
      </w:r>
      <w:r w:rsidR="00A2378C">
        <w:t xml:space="preserve"> </w:t>
      </w:r>
      <w:r w:rsidR="002A61FC">
        <w:t>T</w:t>
      </w:r>
      <w:r w:rsidR="0080739B">
        <w:t>his review will describe a new technique</w:t>
      </w:r>
      <w:r w:rsidR="00E87D17">
        <w:t xml:space="preserve"> </w:t>
      </w:r>
      <w:r w:rsidR="00D20D20">
        <w:t>for studying this</w:t>
      </w:r>
      <w:r w:rsidR="00E87D17">
        <w:t xml:space="preserve"> metabolism </w:t>
      </w:r>
      <w:r w:rsidR="00D20D20">
        <w:t>termed hyperpolari</w:t>
      </w:r>
      <w:r w:rsidR="007546D5">
        <w:t>z</w:t>
      </w:r>
      <w:r w:rsidR="00D20D20">
        <w:t xml:space="preserve">ed carbon-13 </w:t>
      </w:r>
      <w:r w:rsidR="0022144D">
        <w:t>MR</w:t>
      </w:r>
      <w:r w:rsidR="001F2421">
        <w:t>S</w:t>
      </w:r>
      <w:r w:rsidR="0022144D">
        <w:t>I</w:t>
      </w:r>
      <w:r w:rsidR="00C77C9E">
        <w:t>.</w:t>
      </w:r>
      <w:r w:rsidR="00406AC8" w:rsidRPr="000D72AC">
        <w:fldChar w:fldCharType="begin" w:fldLock="1"/>
      </w:r>
      <w:r w:rsidR="006D4D5D">
        <w:instrText>ADDIN CSL_CITATION { "citationItems" : [ { "id" : "ITEM-1", "itemData" : { "DOI" : "10.1148/radiology.219.2.r01ma19316", "ISBN" : "0033-8419", "ISSN" : "0033-8419", "PMID" : "11323453", "abstract" : "The term molecular imaging can be broadly defined as the in vivo characterization and measurement of biologic processes at the cellular and molecular level. In contradistinction to \u201cclassical\u201d diagnostic imaging, it sets forth to probe the molecular abnormalities that are the basis of disease rather than to image the end effects of these molecular alterations. While the underlying biology represents a new arena for many radiologists, concomitant efforts such as development of novel agents, signal amplification strategies, and imaging technologies clearly dovetail with prior research efforts of our specialty. Radiologists will play a leading role in directing developments of this embryonic but burgeoning field. This article presents some recent developments in molecular sciences and medicine and shows how imaging can be used, at least experimentally, to assess specific molecular targets. In the future, specific imaging of such targets will allow earlier detection and characterization of disease, earlier an...", "author" : [ { "dropping-particle" : "", "family" : "Weissleder", "given" : "Ralph", "non-dropping-particle" : "", "parse-names" : false, "suffix" : "" }, { "dropping-particle" : "", "family" : "Mahmood", "given" : "Umar", "non-dropping-particle" : "", "parse-names" : false, "suffix" : "" } ], "container-title" : "Radiology", "id" : "ITEM-1", "issue" : "2", "issued" : { "date-parts" : [ [ "2001" ] ] }, "page" : "316-333", "title" : "Molecular Imaging", "type" : "article-journal", "volume" : "219" }, "uris" : [ "http://www.mendeley.com/documents/?uuid=ebbfad32-a37a-413a-a289-0994d7693e53" ] } ], "mendeley" : { "formattedCitation" : "&lt;sup&gt;5&lt;/sup&gt;", "plainTextFormattedCitation" : "5", "previouslyFormattedCitation" : "&lt;sup&gt;5&lt;/sup&gt;" }, "properties" : {  }, "schema" : "https://github.com/citation-style-language/schema/raw/master/csl-citation.json" }</w:instrText>
      </w:r>
      <w:r w:rsidR="00406AC8" w:rsidRPr="000D72AC">
        <w:fldChar w:fldCharType="separate"/>
      </w:r>
      <w:r w:rsidR="00347736" w:rsidRPr="00347736">
        <w:rPr>
          <w:noProof/>
          <w:vertAlign w:val="superscript"/>
        </w:rPr>
        <w:t>5</w:t>
      </w:r>
      <w:r w:rsidR="00406AC8" w:rsidRPr="000D72AC">
        <w:fldChar w:fldCharType="end"/>
      </w:r>
      <w:r w:rsidR="00CB5E8C" w:rsidRPr="000D72AC">
        <w:t xml:space="preserve"> </w:t>
      </w:r>
    </w:p>
    <w:p w14:paraId="20D9444F" w14:textId="77777777" w:rsidR="0001326A" w:rsidRDefault="0001326A" w:rsidP="005B1264">
      <w:pPr>
        <w:spacing w:line="360" w:lineRule="auto"/>
        <w:jc w:val="both"/>
      </w:pPr>
    </w:p>
    <w:p w14:paraId="740AC018" w14:textId="13A6A357" w:rsidR="001F200C" w:rsidRDefault="009D6A80" w:rsidP="001F200C">
      <w:pPr>
        <w:spacing w:line="360" w:lineRule="auto"/>
        <w:jc w:val="both"/>
      </w:pPr>
      <w:r>
        <w:t>Positron Emission T</w:t>
      </w:r>
      <w:r w:rsidRPr="0029614D">
        <w:t>omography (PET)</w:t>
      </w:r>
      <w:r>
        <w:t xml:space="preserve"> </w:t>
      </w:r>
      <w:r w:rsidR="00D20D20">
        <w:t xml:space="preserve">is an extremely sensitive technique </w:t>
      </w:r>
      <w:r w:rsidR="001D7382">
        <w:t xml:space="preserve">for </w:t>
      </w:r>
      <w:r w:rsidR="00D20D20">
        <w:t>study</w:t>
      </w:r>
      <w:r w:rsidR="001D7382">
        <w:t>ing</w:t>
      </w:r>
      <w:r w:rsidR="00D20D20">
        <w:t xml:space="preserve"> molecular processes without </w:t>
      </w:r>
      <w:r w:rsidR="001F200C">
        <w:t xml:space="preserve">disrupting </w:t>
      </w:r>
      <w:r w:rsidR="00060F3F">
        <w:t xml:space="preserve">normal </w:t>
      </w:r>
      <w:r w:rsidR="001F200C">
        <w:t>physiology</w:t>
      </w:r>
      <w:r w:rsidR="00216E1C">
        <w:t xml:space="preserve">, with tracer detection in the </w:t>
      </w:r>
      <w:proofErr w:type="spellStart"/>
      <w:r w:rsidR="00216E1C">
        <w:t>nano</w:t>
      </w:r>
      <w:proofErr w:type="spellEnd"/>
      <w:r w:rsidR="00216E1C">
        <w:t xml:space="preserve">- to </w:t>
      </w:r>
      <w:proofErr w:type="spellStart"/>
      <w:r w:rsidR="00216E1C">
        <w:t>picomolar</w:t>
      </w:r>
      <w:proofErr w:type="spellEnd"/>
      <w:r w:rsidR="00216E1C">
        <w:t xml:space="preserve"> range</w:t>
      </w:r>
      <w:r w:rsidR="001F200C">
        <w:t>.</w:t>
      </w:r>
      <w:r w:rsidR="001F200C">
        <w:fldChar w:fldCharType="begin" w:fldLock="1"/>
      </w:r>
      <w:r w:rsidR="006D4D5D">
        <w:instrText>ADDIN CSL_CITATION { "citationItems" : [ { "id" : "ITEM-1", "itemData" : { "DOI" : "jnumed.107.043331 [pii]\\r10.2967/jnumed.107.043331", "ISBN" : "0161-5505 (Print)\\r0161-5505 (Linking)", "ISSN" : "0161-5505", "PMID" : "18199608", "abstract" : "Today's medical imaging technologies are expected to furnish anatomic, physiologic, molecular, and genomic information for accurate disease diagnosis, prediction of treatment response, and development of highly specific and sensitive drugs and imaging agents. However, none of the current imaging methods used in humans provides comprehensive medical imaging. To harness the strengths of different imaging methods, multimodality imaging has become an attractive strategy for in vivo studies. Beyond small-animal imaging, a less frequently used multimodality imaging strategy is the fusion of radionuclear and optical methods. This less frequent use is probably attributable to some misconceptions, technical difficulties, or a lack of appreciation for the benefits of the 2 methods in patient care. This minireview addresses some of these concerns, with emphasis on the potential applications of multimodality optical and SPECT/PET systems.", "author" : [ { "dropping-particle" : "", "family" : "Culver", "given" : "J", "non-dropping-particle" : "", "parse-names" : false, "suffix" : "" }, { "dropping-particle" : "", "family" : "Akers", "given" : "W", "non-dropping-particle" : "", "parse-names" : false, "suffix" : "" }, { "dropping-particle" : "", "family" : "Achilefu", "given" : "S", "non-dropping-particle" : "", "parse-names" : false, "suffix" : "" } ], "container-title" : "J Nucl Med", "id" : "ITEM-1", "issue" : "2", "issued" : { "date-parts" : [ [ "2008" ] ] }, "page" : "169-172", "title" : "Multimodality molecular imaging with combined optical and SPECT/PET modalities", "type" : "article-journal", "volume" : "49" }, "uris" : [ "http://www.mendeley.com/documents/?uuid=151a3140-a7df-42c3-af96-89fba3fef209" ] }, { "id" : "ITEM-2", "itemData" : { "DOI" : "10.1593/neo.101102", "ISBN" : "1522-8002", "ISSN" : "1476-5586", "PMID" : "21403835", "abstract" : "A major challenge in cancer biology is to monitor and understand cancer metabolism in vivo with the goal of improved diagnosis and perhaps therapy. Because of the complexity of biochemical pathways, tracer methods are required for detecting specific enzyme-catalyzed reactions. Stable isotopes such as (13)C or (15)N with detection by nuclear magnetic resonance provide the necessary information about tissue biochemistry, but the crucial metabolites are present in low concentration and therefore are beyond the detection threshold of traditional magnetic resonance methods. A solution is to improve sensitivity by a factor of 10,000 or more by temporarily redistributing the populations of nuclear spins in a magnetic field, a process termed hyperpolarization. Although this effect is short-lived, hyperpolarized molecules can be generated in an aqueous solution and infused in vivo where metabolism generates products that can be imaged. This discovery lifts the primary constraint on magnetic resonance imaging for monitoring metabolism-poor sensitivity-while preserving the advantage of biochemical information. The purpose of this report was to briefly summarize the known abnormalities in cancer metabolism, the value and limitations of current imaging methods for metabolism, and the principles of hyperpolarization. Recent preclinical applications are described. Hyperpolarization technology is still in its infancy, and current polarizer equipment and methods are suboptimal. Nevertheless, there are no fundamental barriers to rapid translation of this exciting technology to clinical research and perhaps clinical care.", "author" : [ { "dropping-particle" : "", "family" : "Kurhanewicz", "given" : "John", "non-dropping-particle" : "", "parse-names" : false, "suffix" : "" }, { "dropping-particle" : "", "family" : "Vigneron", "given" : "Daniel B", "non-dropping-particle" : "", "parse-names" : false, "suffix" : "" }, { "dropping-particle" : "", "family" : "Brindle", "given" : "Kevin", "non-dropping-particle" : "", "parse-names" : false, "suffix" : "" }, { "dropping-particle" : "", "family" : "Chekmenev", "given" : "Eduard Y", "non-dropping-particle" : "", "parse-names" : false, "suffix" : "" }, { "dropping-particle" : "", "family" : "Comment", "given" : "Arnaud", "non-dropping-particle" : "", "parse-names" : false, "suffix" : "" }, { "dropping-particle" : "", "family" : "Cunningham", "given" : "Charles H", "non-dropping-particle" : "", "parse-names" : false, "suffix" : "" }, { "dropping-particle" : "", "family" : "Deberardinis", "given" : "Ralph J", "non-dropping-particle" : "", "parse-names" : false, "suffix" : "" }, { "dropping-particle" : "", "family" : "Green", "given" : "Gary G", "non-dropping-particle" : "", "parse-names" : false, "suffix" : "" }, { "dropping-particle" : "", "family" : "Leach", "given" : "Martin O", "non-dropping-particle" : "", "parse-names" : false, "suffix" : "" }, { "dropping-particle" : "", "family" : "Rajan", "given" : "Sunder S", "non-dropping-particle" : "", "parse-names" : false, "suffix" : "" }, { "dropping-particle" : "", "family" : "Rizi", "given" : "Rahim R", "non-dropping-particle" : "", "parse-names" : false, "suffix" : "" }, { "dropping-particle" : "", "family" : "Ross", "given" : "Brian D", "non-dropping-particle" : "", "parse-names" : false, "suffix" : "" }, { "dropping-particle" : "", "family" : "Warren", "given" : "Warren S", "non-dropping-particle" : "", "parse-names" : false, "suffix" : "" }, { "dropping-particle" : "", "family" : "Malloy", "given" : "Craig R", "non-dropping-particle" : "", "parse-names" : false, "suffix" : "" } ], "container-title" : "Neoplasia (New York, N.Y.)", "id" : "ITEM-2", "issue" : "2", "issued" : { "date-parts" : [ [ "2011" ] ] }, "page" : "81-97", "publisher" : "Neoplasia Press, Inc.", "title" : "Analysis of cancer metabolism by imaging hyperpolarized nuclei: prospects for translation to clinical research.", "type" : "article-journal", "volume" : "13" }, "uris" : [ "http://www.mendeley.com/documents/?uuid=81bbb16a-816a-43e9-a77c-efc6faf107f9" ] } ], "mendeley" : { "formattedCitation" : "&lt;sup&gt;6,7&lt;/sup&gt;", "plainTextFormattedCitation" : "6,7", "previouslyFormattedCitation" : "&lt;sup&gt;6,7&lt;/sup&gt;" }, "properties" : {  }, "schema" : "https://github.com/citation-style-language/schema/raw/master/csl-citation.json" }</w:instrText>
      </w:r>
      <w:r w:rsidR="001F200C">
        <w:fldChar w:fldCharType="separate"/>
      </w:r>
      <w:r w:rsidRPr="009D6A80">
        <w:rPr>
          <w:noProof/>
          <w:vertAlign w:val="superscript"/>
        </w:rPr>
        <w:t>6,7</w:t>
      </w:r>
      <w:r w:rsidR="001F200C">
        <w:fldChar w:fldCharType="end"/>
      </w:r>
      <w:r w:rsidR="001F200C" w:rsidRPr="001F200C">
        <w:t xml:space="preserve"> </w:t>
      </w:r>
      <w:r w:rsidRPr="0029614D">
        <w:t>PET</w:t>
      </w:r>
      <w:r>
        <w:t xml:space="preserve"> </w:t>
      </w:r>
      <w:r w:rsidR="001D7382">
        <w:t>imaging in conjunction with</w:t>
      </w:r>
      <w:r>
        <w:t xml:space="preserve"> [</w:t>
      </w:r>
      <w:r w:rsidRPr="006128AD">
        <w:rPr>
          <w:vertAlign w:val="superscript"/>
        </w:rPr>
        <w:t>18</w:t>
      </w:r>
      <w:r w:rsidRPr="0029614D">
        <w:t>F</w:t>
      </w:r>
      <w:r>
        <w:t>]</w:t>
      </w:r>
      <w:r w:rsidRPr="0029614D">
        <w:t>2-fluoro-</w:t>
      </w:r>
      <w:r>
        <w:t>2-deoxy-D-glucose (</w:t>
      </w:r>
      <w:r w:rsidRPr="00374D05">
        <w:rPr>
          <w:vertAlign w:val="superscript"/>
        </w:rPr>
        <w:t>18</w:t>
      </w:r>
      <w:r>
        <w:t>F-FDG), is an established clinical tool to probe altered glucose metabolism in cancer patients.</w:t>
      </w:r>
      <w:r>
        <w:fldChar w:fldCharType="begin" w:fldLock="1"/>
      </w:r>
      <w:r w:rsidR="006D4D5D">
        <w:instrText>ADDIN CSL_CITATION { "citationItems" : [ { "id" : "ITEM-1", "itemData" : { "DOI" : "10.1007/s40134-013-0016-x", "ISSN" : "2167-4825", "author" : [ { "dropping-particle" : "", "family" : "Czernin", "given" : "Johannes", "non-dropping-particle" : "", "parse-names" : false, "suffix" : "" }, { "dropping-particle" : "", "family" : "Allen-Auerbach", "given" : "Martin", "non-dropping-particle" : "", "parse-names" : false, "suffix" : "" }, { "dropping-particle" : "", "family" : "Nathanson", "given" : "David", "non-dropping-particle" : "", "parse-names" : false, "suffix" : "" }, { "dropping-particle" : "", "family" : "Herrmann", "given" : "Ken", "non-dropping-particle" : "", "parse-names" : false, "suffix" : "" } ], "container-title" : "Current Radiology Reports", "id" : "ITEM-1", "issue" : "3", "issued" : { "date-parts" : [ [ "2013" ] ] }, "page" : "177-190", "title" : "PET/CT in Oncology: Current Status and Perspectives", "type" : "article-journal", "volume" : "1" }, "uris" : [ "http://www.mendeley.com/documents/?uuid=6de79d09-31a3-44a4-8041-6261e92370d2" ] } ], "mendeley" : { "formattedCitation" : "&lt;sup&gt;8&lt;/sup&gt;", "plainTextFormattedCitation" : "8", "previouslyFormattedCitation" : "&lt;sup&gt;8&lt;/sup&gt;" }, "properties" : {  }, "schema" : "https://github.com/citation-style-language/schema/raw/master/csl-citation.json" }</w:instrText>
      </w:r>
      <w:r>
        <w:fldChar w:fldCharType="separate"/>
      </w:r>
      <w:r w:rsidRPr="009D6A80">
        <w:rPr>
          <w:noProof/>
          <w:vertAlign w:val="superscript"/>
        </w:rPr>
        <w:t>8</w:t>
      </w:r>
      <w:r>
        <w:fldChar w:fldCharType="end"/>
      </w:r>
      <w:r>
        <w:t xml:space="preserve"> </w:t>
      </w:r>
      <w:r w:rsidR="001F200C">
        <w:t xml:space="preserve">Whole body </w:t>
      </w:r>
      <w:r w:rsidR="00D20D20" w:rsidRPr="006128AD">
        <w:rPr>
          <w:vertAlign w:val="superscript"/>
        </w:rPr>
        <w:t>18</w:t>
      </w:r>
      <w:r w:rsidR="00D20D20">
        <w:t>F-</w:t>
      </w:r>
      <w:r w:rsidR="001F200C">
        <w:t xml:space="preserve">FDG PET </w:t>
      </w:r>
      <w:r w:rsidR="00216E1C">
        <w:t>is</w:t>
      </w:r>
      <w:r w:rsidR="0041598A">
        <w:t xml:space="preserve"> superior to standard Computed Tomography</w:t>
      </w:r>
      <w:r w:rsidR="00216E1C">
        <w:t xml:space="preserve"> for the assessment of</w:t>
      </w:r>
      <w:r w:rsidR="001F200C">
        <w:t xml:space="preserve"> </w:t>
      </w:r>
      <w:r w:rsidR="00216E1C">
        <w:t xml:space="preserve">tumour </w:t>
      </w:r>
      <w:r w:rsidR="001F200C">
        <w:t xml:space="preserve">stage </w:t>
      </w:r>
      <w:r w:rsidR="002F561A">
        <w:t>in</w:t>
      </w:r>
      <w:r w:rsidR="00216E1C">
        <w:t xml:space="preserve"> many </w:t>
      </w:r>
      <w:r w:rsidR="0041598A">
        <w:t>malignancies</w:t>
      </w:r>
      <w:r w:rsidR="001F200C">
        <w:fldChar w:fldCharType="begin" w:fldLock="1"/>
      </w:r>
      <w:r w:rsidR="00481147">
        <w:instrText>ADDIN CSL_CITATION { "citationItems" : [ { "id" : "ITEM-1", "itemData" : { "DOI" : "10.1102/1470-7330.2012.9005", "ISSN" : "1470-7330", "PMID" : "23022990", "abstract" : "Cancer is a major cause of illness and death in Western society and is associated with a heavy concomitant economic burden. Although use of imaging comprises only a small proportion of the fiscal impact of cancer, its use has been increasing over recent decades, causing concern amongst funders of health care and efforts to constrain the use of new imaging tests with a relatively high unit cost. In clinical practice, positron emission tomography/computed tomography (PET/CT) is generally performed when less expensive tests have left some uncertainty regarding appropriate management. In this setting, its utility relates to provision of incremental diagnostic information. However, given that superior diagnostic information can positively affect patient management, wherein the majority of costs reside, it may be both more efficient and cost effective to go directly to the most accurate investigation in certain situations. For PET/CT, the ability to provide more accurate assessment of metastatic status than is available from conventional diagnostic paradigms provides a rationale for its independent rather than incremental use in patients presenting with either a high likelihood of malignancy or proven malignancy of a locally advanced nature and an accordingly high risk of metastatic disease. A randomized trial design is described that could be used to test this hypothesis.", "author" : [ { "dropping-particle" : "", "family" : "Hicks", "given" : "Rodney J", "non-dropping-particle" : "", "parse-names" : false, "suffix" : "" } ], "container-title" : "Cancer imaging : the official publication of the International Cancer Imaging Society", "id" : "ITEM-1", "issued" : { "date-parts" : [ [ "2012" ] ] }, "page" : "315-23", "title" : "Should positron emission tomography/computed tomography be the first rather than the last test performed in the assessment of cancer?", "type" : "article-journal", "volume" : "12" }, "uris" : [ "http://www.mendeley.com/documents/?uuid=55739497-1eda-4de7-90a1-e0c509b5d70a" ] } ], "mendeley" : { "formattedCitation" : "&lt;sup&gt;9&lt;/sup&gt;", "plainTextFormattedCitation" : "9", "previouslyFormattedCitation" : "&lt;sup&gt;9&lt;/sup&gt;" }, "properties" : {  }, "schema" : "https://github.com/citation-style-language/schema/raw/master/csl-citation.json" }</w:instrText>
      </w:r>
      <w:r w:rsidR="001F200C">
        <w:fldChar w:fldCharType="separate"/>
      </w:r>
      <w:r w:rsidR="001F200C" w:rsidRPr="001F200C">
        <w:rPr>
          <w:noProof/>
          <w:vertAlign w:val="superscript"/>
        </w:rPr>
        <w:t>9</w:t>
      </w:r>
      <w:r w:rsidR="001F200C">
        <w:fldChar w:fldCharType="end"/>
      </w:r>
      <w:r w:rsidR="0041598A">
        <w:t>,</w:t>
      </w:r>
      <w:r w:rsidR="001F200C">
        <w:t xml:space="preserve"> </w:t>
      </w:r>
      <w:r w:rsidR="0041598A">
        <w:t>h</w:t>
      </w:r>
      <w:r w:rsidR="001F200C">
        <w:t>owever</w:t>
      </w:r>
      <w:r w:rsidR="00CD706E">
        <w:t xml:space="preserve"> </w:t>
      </w:r>
      <w:r w:rsidR="0041598A">
        <w:t xml:space="preserve">it </w:t>
      </w:r>
      <w:r w:rsidR="00CD706E">
        <w:t xml:space="preserve">is limited </w:t>
      </w:r>
      <w:r w:rsidR="002F561A">
        <w:t>by</w:t>
      </w:r>
      <w:r w:rsidR="00CD706E">
        <w:t xml:space="preserve"> a </w:t>
      </w:r>
      <w:r w:rsidR="00E20F63">
        <w:t xml:space="preserve">relatively low clinical </w:t>
      </w:r>
      <w:r w:rsidR="001F200C">
        <w:t>spatial resolution</w:t>
      </w:r>
      <w:r w:rsidR="002F561A">
        <w:t xml:space="preserve"> (of</w:t>
      </w:r>
      <w:r w:rsidR="00E20F63">
        <w:t xml:space="preserve"> the order of 5</w:t>
      </w:r>
      <w:r w:rsidR="00D20D20">
        <w:t xml:space="preserve"> </w:t>
      </w:r>
      <w:r w:rsidR="00E20F63">
        <w:t xml:space="preserve">mm), </w:t>
      </w:r>
      <w:r w:rsidR="002F561A">
        <w:t>poor</w:t>
      </w:r>
      <w:r w:rsidR="00E20F63">
        <w:t xml:space="preserve"> soft tissue contrast, exposure</w:t>
      </w:r>
      <w:r w:rsidR="0041598A">
        <w:t xml:space="preserve"> of patients</w:t>
      </w:r>
      <w:r w:rsidR="00E20F63">
        <w:t xml:space="preserve"> to </w:t>
      </w:r>
      <w:r w:rsidR="00FD4614">
        <w:t xml:space="preserve">ionizing </w:t>
      </w:r>
      <w:r w:rsidR="00E20F63">
        <w:t>radiation and the</w:t>
      </w:r>
      <w:r w:rsidR="00C25680">
        <w:t xml:space="preserve"> inability to discriminate between different metabolites or </w:t>
      </w:r>
      <w:r w:rsidR="005707D0">
        <w:t xml:space="preserve">the </w:t>
      </w:r>
      <w:r w:rsidR="00C25680">
        <w:t>compartment</w:t>
      </w:r>
      <w:r w:rsidR="005707D0">
        <w:t xml:space="preserve"> from which the signal arises</w:t>
      </w:r>
      <w:r w:rsidR="00E77AC6">
        <w:t xml:space="preserve"> </w:t>
      </w:r>
      <w:r w:rsidR="005707D0">
        <w:t>e.g. extracellular</w:t>
      </w:r>
      <w:r w:rsidR="00E77AC6">
        <w:t xml:space="preserve"> vs intracellular</w:t>
      </w:r>
      <w:r w:rsidR="00E20F63">
        <w:t>.</w:t>
      </w:r>
      <w:r w:rsidR="002B1EF3">
        <w:fldChar w:fldCharType="begin" w:fldLock="1"/>
      </w:r>
      <w:r w:rsidR="00481147">
        <w:instrText>ADDIN CSL_CITATION { "citationItems" : [ { "id" : "ITEM-1", "itemData" : { "DOI" : "10.2967/jnumed.110.085258", "ISBN" : "1535-5667 (Electronic)\\r0161-5505 (Linking)", "ISSN" : "0161-5505", "PMID" : "21849405", "abstract" : "Dynamic nuclear polarization (DNP) is an emerging technique for dramatically increasing the sensitivity of magnetic resonance spectroscopy (MRS). This review evaluates the potential strengths and weaknesses of DNP-enhanced (13)C magnetic resonance spectroscopic imaging (DNP-MRSI) as a clinical imaging technique in comparison to PET. The major advantage of MRS is chemical shift, which enables the injected molecule to be observed separately from its metabolites, whereas the major advantage of PET is its high sensitivity. Factors such as spatial and temporal resolution and potential risks and costs of the two techniques will be discussed. PET tracers and (13)C-labeled molecules that can be used in oncology will be reviewed with reference to the biologic processes they detect. Because DNP-MRSI and PET are, in principle, similar techniques for assessing tumor metabolism, the experiences gained during the development of PET may help to accelerate translation of DNP-MRSI into routine patient imaging.", "author" : [ { "dropping-particle" : "", "family" : "Gallagher", "given" : "Ferdia A", "non-dropping-particle" : "", "parse-names" : false, "suffix" : "" }, { "dropping-particle" : "", "family" : "Bohndiek", "given" : "Sarah E", "non-dropping-particle" : "", "parse-names" : false, "suffix" : "" }, { "dropping-particle" : "", "family" : "Kettunen", "given" : "Mikko I", "non-dropping-particle" : "", "parse-names" : false, "suffix" : "" }, { "dropping-particle" : "", "family" : "Lewis", "given" : "David Y", "non-dropping-particle" : "", "parse-names" : false, "suffix" : "" }, { "dropping-particle" : "", "family" : "Soloviev", "given" : "Dmitry", "non-dropping-particle" : "", "parse-names" : false, "suffix" : "" }, { "dropping-particle" : "", "family" : "Brindle", "given" : "Kevin M", "non-dropping-particle" : "", "parse-names" : false, "suffix" : "" } ], "container-title" : "Journal of nuclear medicine : official publication, Society of Nuclear Medicine", "id" : "ITEM-1", "issued" : { "date-parts" : [ [ "2011" ] ] }, "page" : "1333-1336", "title" : "Hyperpolarized 13C MRI and PET: In Vivo Tumor Biochemistry.", "type" : "article-journal", "volume" : "52" }, "uris" : [ "http://www.mendeley.com/documents/?uuid=ea689f0f-8776-4848-8fea-deb9e7a2f45e" ] }, { "id" : "ITEM-2", "itemData" : { "DOI" : "10.1002/jmri.25711", "ISSN" : "15222586", "PMID" : "28370695", "abstract" : "Simultaneous positron emission tomography and MRI (PET/MRI) is a technology that combines the anatomic and quantitative strengths of MR imaging with physiologic information obtained from PET. PET and computed tomography (PET/CT) performed in a single scanning session is an established technology already in widespread and accepted use worldwide. Given the higher cost and complexity of operating and interpreting the studies obtained on a PET/MRI system, there has been question as to which patients would benefit most from imaging with PET/MRI versus PET/CT. In this article, we compare PET/MRI with PET/CT, detail the applications for which PET/MRI has shown promise and discuss impediments to future adoption. It is our hope that future work will prove the benefit of PET/MRI to specific groups of patients, initially those in which PET/CT and MRI are already performed, leveraging simultaneity and allowing for greater degrees of multiparametric evaluation. LEVEL OF EVIDENCE 5 J. Magn. Reson. Imaging 2017.", "author" : [ { "dropping-particle" : "", "family" : "Ehman", "given" : "Eric C.", "non-dropping-particle" : "", "parse-names" : false, "suffix" : "" }, { "dropping-particle" : "", "family" : "Johnson", "given" : "Geoffrey B.", "non-dropping-particle" : "", "parse-names" : false, "suffix" : "" }, { "dropping-particle" : "", "family" : "Villanueva-Meyer", "given" : "Javier E.", "non-dropping-particle" : "", "parse-names" : false, "suffix" : "" }, { "dropping-particle" : "", "family" : "Cha", "given" : "Soonmee", "non-dropping-particle" : "", "parse-names" : false, "suffix" : "" }, { "dropping-particle" : "", "family" : "Leynes", "given" : "Andrew Palmera", "non-dropping-particle" : "", "parse-names" : false, "suffix" : "" }, { "dropping-particle" : "", "family" : "Larson", "given" : "Peder Eric Zufall", "non-dropping-particle" : "", "parse-names" : false, "suffix" : "" }, { "dropping-particle" : "", "family" : "Hope", "given" : "Thomas A.", "non-dropping-particle" : "", "parse-names" : false, "suffix" : "" } ], "container-title" : "Journal of Magnetic Resonance Imaging", "id" : "ITEM-2", "issued" : { "date-parts" : [ [ "2017" ] ] }, "page" : "1-16", "title" : "PET/MRI: Where might it replace PET/CT?", "type" : "article-journal" }, "uris" : [ "http://www.mendeley.com/documents/?uuid=b4c4e612-5e78-4779-8b37-52f046c5ab20" ] } ], "mendeley" : { "formattedCitation" : "&lt;sup&gt;10,11&lt;/sup&gt;", "plainTextFormattedCitation" : "10,11", "previouslyFormattedCitation" : "&lt;sup&gt;10,11&lt;/sup&gt;" }, "properties" : {  }, "schema" : "https://github.com/citation-style-language/schema/raw/master/csl-citation.json" }</w:instrText>
      </w:r>
      <w:r w:rsidR="002B1EF3">
        <w:fldChar w:fldCharType="separate"/>
      </w:r>
      <w:r w:rsidR="002B1EF3" w:rsidRPr="002B1EF3">
        <w:rPr>
          <w:noProof/>
          <w:vertAlign w:val="superscript"/>
        </w:rPr>
        <w:t>10,11</w:t>
      </w:r>
      <w:r w:rsidR="002B1EF3">
        <w:fldChar w:fldCharType="end"/>
      </w:r>
    </w:p>
    <w:p w14:paraId="3F4D66CD" w14:textId="0A74986D" w:rsidR="00973BCC" w:rsidRPr="000D72AC" w:rsidRDefault="00973BCC" w:rsidP="005B1264">
      <w:pPr>
        <w:spacing w:line="360" w:lineRule="auto"/>
        <w:jc w:val="both"/>
      </w:pPr>
    </w:p>
    <w:p w14:paraId="2AB640AD" w14:textId="11AE4074" w:rsidR="0023287C" w:rsidRDefault="00C77C9E" w:rsidP="00125EDB">
      <w:pPr>
        <w:spacing w:line="360" w:lineRule="auto"/>
        <w:jc w:val="both"/>
      </w:pPr>
      <w:r w:rsidRPr="000D72AC">
        <w:t>Magnet</w:t>
      </w:r>
      <w:r>
        <w:t xml:space="preserve">ic Resonance Spectroscopy (MRS) </w:t>
      </w:r>
      <w:r w:rsidR="0041598A">
        <w:t xml:space="preserve">may </w:t>
      </w:r>
      <w:r w:rsidR="0055783A">
        <w:t xml:space="preserve">also </w:t>
      </w:r>
      <w:r w:rsidR="006B13FE">
        <w:t>play</w:t>
      </w:r>
      <w:r>
        <w:t xml:space="preserve"> a </w:t>
      </w:r>
      <w:r w:rsidR="0041598A">
        <w:t xml:space="preserve">useful </w:t>
      </w:r>
      <w:r>
        <w:t>role</w:t>
      </w:r>
      <w:r w:rsidR="002E3BAB">
        <w:t xml:space="preserve"> in </w:t>
      </w:r>
      <w:r w:rsidR="00710D55">
        <w:t xml:space="preserve">probing </w:t>
      </w:r>
      <w:r w:rsidR="0055783A">
        <w:t>cancer metabolism</w:t>
      </w:r>
      <w:r w:rsidR="00356CEB">
        <w:t xml:space="preserve"> </w:t>
      </w:r>
      <w:r w:rsidR="0041598A">
        <w:t xml:space="preserve">by detecting </w:t>
      </w:r>
      <w:r w:rsidR="0065792D">
        <w:t xml:space="preserve">the </w:t>
      </w:r>
      <w:r w:rsidR="00F709F3">
        <w:t>resonant frequenc</w:t>
      </w:r>
      <w:r w:rsidR="00DD6B39">
        <w:t>ies</w:t>
      </w:r>
      <w:r w:rsidR="00F709F3">
        <w:t xml:space="preserve"> </w:t>
      </w:r>
      <w:r w:rsidR="0065792D">
        <w:t xml:space="preserve">of nuclei </w:t>
      </w:r>
      <w:r w:rsidR="00C25680">
        <w:t xml:space="preserve">within </w:t>
      </w:r>
      <w:r w:rsidR="0041598A">
        <w:t xml:space="preserve">distinct </w:t>
      </w:r>
      <w:r w:rsidR="00C25680">
        <w:t>molecule</w:t>
      </w:r>
      <w:r w:rsidR="0041598A">
        <w:t>s</w:t>
      </w:r>
      <w:r w:rsidR="00C25680">
        <w:t xml:space="preserve"> (</w:t>
      </w:r>
      <w:r w:rsidR="0065792D">
        <w:t>such as that of hydrogen</w:t>
      </w:r>
      <w:r w:rsidR="00C25680">
        <w:t>,</w:t>
      </w:r>
      <w:r w:rsidR="0065792D">
        <w:t xml:space="preserve"> </w:t>
      </w:r>
      <w:r w:rsidR="0065792D" w:rsidRPr="00F32C74">
        <w:rPr>
          <w:vertAlign w:val="superscript"/>
        </w:rPr>
        <w:t>1</w:t>
      </w:r>
      <w:r w:rsidR="0065792D">
        <w:t>H</w:t>
      </w:r>
      <w:r w:rsidR="00C25680">
        <w:t>,</w:t>
      </w:r>
      <w:r w:rsidR="0065792D">
        <w:t xml:space="preserve"> or protons)</w:t>
      </w:r>
      <w:r w:rsidR="0041598A">
        <w:t>, therefore it</w:t>
      </w:r>
      <w:r w:rsidR="0065792D">
        <w:t xml:space="preserve"> can be u</w:t>
      </w:r>
      <w:r w:rsidR="00261D93">
        <w:t xml:space="preserve">sed to </w:t>
      </w:r>
      <w:r w:rsidR="0041598A">
        <w:t xml:space="preserve">non-invasively </w:t>
      </w:r>
      <w:r w:rsidR="00261D93">
        <w:t xml:space="preserve">discriminate </w:t>
      </w:r>
      <w:r w:rsidR="00710D55">
        <w:t xml:space="preserve">between </w:t>
      </w:r>
      <w:r w:rsidR="00261D93">
        <w:t>metabolites</w:t>
      </w:r>
      <w:r w:rsidR="0065792D">
        <w:t>.</w:t>
      </w:r>
      <w:r w:rsidR="00261D93">
        <w:fldChar w:fldCharType="begin" w:fldLock="1"/>
      </w:r>
      <w:r w:rsidR="006D4D5D">
        <w:instrText>ADDIN CSL_CITATION { "citationItems" : [ { "id" : "ITEM-1", "itemData" : { "DOI" : "10.5152/dir.2015.15009", "ISSN" : "13053612", "author" : [ { "dropping-particle" : "", "family" : "Garc\u00eda-Figueiras", "given" : "Roberto", "non-dropping-particle" : "", "parse-names" : false, "suffix" : "" }, { "dropping-particle" : "", "family" : "Baleato-Gonz\u00e1lez", "given" : "Sandra", "non-dropping-particle" : "", "parse-names" : false, "suffix" : "" }, { "dropping-particle" : "", "family" : "Padhani", "given" : "Anwar R.", "non-dropping-particle" : "", "parse-names" : false, "suffix" : "" }, { "dropping-particle" : "", "family" : "Oleaga", "given" : "Laura", "non-dropping-particle" : "", "parse-names" : false, "suffix" : "" }, { "dropping-particle" : "", "family" : "Vilanova", "given" : "Joan C.", "non-dropping-particle" : "", "parse-names" : false, "suffix" : "" }, { "dropping-particle" : "", "family" : "Luna", "given" : "Antonio", "non-dropping-particle" : "", "parse-names" : false, "suffix" : "" }, { "dropping-particle" : "", "family" : "G\u00f3mez", "given" : "Juan Carlos Cobas", "non-dropping-particle" : "", "parse-names" : false, "suffix" : "" } ], "container-title" : "Diagnostic and Interventional Radiology", "id" : "ITEM-1", "issue" : "1", "issued" : { "date-parts" : [ [ "2016" ] ] }, "page" : "75-89", "title" : "Proton magnetic resonance spectroscopy in oncology: The fingerprints of cancer?", "type" : "article-journal", "volume" : "22" }, "uris" : [ "http://www.mendeley.com/documents/?uuid=77bd71a0-bcd4-442a-ae6a-d0f8fb4d7f61" ] }, { "id" : "ITEM-2", "itemData" : { "DOI" : "10.1016/S1470-2045(06)70905-6", "ISBN" : "1470-2045 (Print)\\r1470-2045 (Linking)", "ISSN" : "14702045", "PMID" : "17012048", "abstract" : "Standardised proton magnetic resonance spectroscopic imaging (MRSI) was initially developed for routine in-situ clinical assessment of human brain tumours, and its use was later extended for examination of prostate and breast cancers. MRSI coupled with both routine and functional MRI techniques provides more detailed information about a tumour's location and extent of its infiltration than any other modality alone. Information obtained by adding MRSI data to anatomical and functional MRI findings aid in clinical management decisions (such as watchful waiting vs immediate intervention). In this Review, we discuss the current status of proton MRSI, with emphasis on its clinical use to map the location and extent of tumour processes for spectroscopic image-guided biopsy procedures and to monitor treatment paradigms for brain, prostate, and breast cancer.", "author" : [ { "dropping-particle" : "", "family" : "Kwock", "given" : "Lester", "non-dropping-particle" : "", "parse-names" : false, "suffix" : "" }, { "dropping-particle" : "", "family" : "Smith", "given" : "J Keith", "non-dropping-particle" : "", "parse-names" : false, "suffix" : "" }, { "dropping-particle" : "", "family" : "Castillo", "given" : "Mauricio", "non-dropping-particle" : "", "parse-names" : false, "suffix" : "" }, { "dropping-particle" : "", "family" : "Ewend", "given" : "Matthew G", "non-dropping-particle" : "", "parse-names" : false, "suffix" : "" }, { "dropping-particle" : "", "family" : "Collichio", "given" : "Frances", "non-dropping-particle" : "", "parse-names" : false, "suffix" : "" }, { "dropping-particle" : "", "family" : "Morris", "given" : "David E", "non-dropping-particle" : "", "parse-names" : false, "suffix" : "" }, { "dropping-particle" : "", "family" : "Bouldin", "given" : "Thomas W", "non-dropping-particle" : "", "parse-names" : false, "suffix" : "" }, { "dropping-particle" : "", "family" : "Cush", "given" : "Sharon", "non-dropping-particle" : "", "parse-names" : false, "suffix" : "" } ], "container-title" : "The Lancet Oncology", "id" : "ITEM-2", "issue" : "10", "issued" : { "date-parts" : [ [ "2006" ] ] }, "page" : "859-868", "title" : "Clinical role of proton magnetic resonance spectroscopy in oncology: brain, breast, and prostate cancer", "type" : "article-journal", "volume" : "7" }, "uris" : [ "http://www.mendeley.com/documents/?uuid=11580316-dba6-45ef-8979-42ffe6c94143" ] } ], "mendeley" : { "formattedCitation" : "&lt;sup&gt;12,13&lt;/sup&gt;", "plainTextFormattedCitation" : "12,13", "previouslyFormattedCitation" : "&lt;sup&gt;12,13&lt;/sup&gt;" }, "properties" : {  }, "schema" : "https://github.com/citation-style-language/schema/raw/master/csl-citation.json" }</w:instrText>
      </w:r>
      <w:r w:rsidR="00261D93">
        <w:fldChar w:fldCharType="separate"/>
      </w:r>
      <w:r w:rsidR="00E20F63" w:rsidRPr="00E20F63">
        <w:rPr>
          <w:noProof/>
          <w:vertAlign w:val="superscript"/>
        </w:rPr>
        <w:t>12,13</w:t>
      </w:r>
      <w:r w:rsidR="00261D93">
        <w:fldChar w:fldCharType="end"/>
      </w:r>
      <w:r w:rsidR="0065792D">
        <w:t xml:space="preserve"> However</w:t>
      </w:r>
      <w:r w:rsidR="00C501EB">
        <w:t>,</w:t>
      </w:r>
      <w:r w:rsidR="0065792D">
        <w:t xml:space="preserve"> in comparison to PET</w:t>
      </w:r>
      <w:r w:rsidR="00C501EB">
        <w:t>,</w:t>
      </w:r>
      <w:r w:rsidR="0065792D">
        <w:t xml:space="preserve"> MR is a very insensitive technique utilising only a small</w:t>
      </w:r>
      <w:r w:rsidR="00C501EB">
        <w:t xml:space="preserve"> number of the available nuclei to generate an image</w:t>
      </w:r>
      <w:r w:rsidR="00A02E3D">
        <w:t xml:space="preserve"> or spectrum</w:t>
      </w:r>
      <w:r w:rsidR="00FD4614">
        <w:t>.</w:t>
      </w:r>
      <w:r w:rsidR="00C501EB">
        <w:t xml:space="preserve"> </w:t>
      </w:r>
      <w:r w:rsidR="00FD4614">
        <w:t>A</w:t>
      </w:r>
      <w:r w:rsidR="00C501EB">
        <w:t>t clinical field strengths, only a few of the available hydrogen nuclei in every million are used to generate the</w:t>
      </w:r>
      <w:r w:rsidR="00A02E3D">
        <w:t>se</w:t>
      </w:r>
      <w:r w:rsidR="00C501EB">
        <w:t xml:space="preserve"> images</w:t>
      </w:r>
      <w:r w:rsidR="00A02E3D">
        <w:t>.</w:t>
      </w:r>
      <w:r w:rsidR="00AD072C">
        <w:fldChar w:fldCharType="begin" w:fldLock="1"/>
      </w:r>
      <w:r w:rsidR="006D4D5D">
        <w:instrText>ADDIN CSL_CITATION { "citationItems" : [ { "id" : "ITEM-1", "itemData" : { "DOI" : "10.1016/j.mric.2008.07.005", "ISBN" : "1064-9689 (Print)\\r1064-9689 (Linking)", "ISSN" : "10649689", "PMID" : "18926432", "abstract" : "Commercial MR imaging/magnetic resonance spectroscopic imaging (MRSI) packages for staging prostate cancer on 1.5-T MR scanners are now available. The technology is becoming mature enough to begin assessing its clinical utility in selecting, planning, and following prostate cancer therapy. Before therapy, 1.5-T MR imaging/MRSI has the potential to improve the local evaluation of prostate cancer presence and volume and has a significant incremental benefit in the prediction of pathologic stage when added to clinical nomograms. After therapy, two metabolic biomarkers of effective and ineffective therapy have been identified and are being validated with 10-year outcomes. Accuracy can be improved by performing MR imaging/MRSI at higher magnetic field strengths, using more sensitive hyperpolarized 13C MRSI techniques and through the addition of other functional MR techniques. ?? 2008 Elsevier Inc. All rights reserved.", "author" : [ { "dropping-particle" : "", "family" : "Kurhanewicz", "given" : "John", "non-dropping-particle" : "", "parse-names" : false, "suffix" : "" }, { "dropping-particle" : "", "family" : "Vigneron", "given" : "Daniel B.", "non-dropping-particle" : "", "parse-names" : false, "suffix" : "" } ], "container-title" : "Magnetic Resonance Imaging Clinics of North America", "id" : "ITEM-1", "issue" : "4", "issued" : { "date-parts" : [ [ "2008" ] ] }, "page" : "697-710", "title" : "Advances in MR Spectroscopy of the Prostate", "type" : "article-journal", "volume" : "16" }, "uris" : [ "http://www.mendeley.com/documents/?uuid=81b174bb-cd0f-43f7-a0c6-bf0d06b79468" ] }, { "id" : "ITEM-2", "itemData" : { "DOI" : "10.1007/s00249-009-0517-y", "ISBN" : "1432-1017", "ISSN" : "01757571", "PMID" : "19680645", "abstract" : "The clinical use of in vivo magnetic resonance spectroscopy (MRS) has been limited for a long time, mainly due to its low sensitivity. However, with the advent of clinical MR systems with higher magnetic field strengths such as 3 Tesla, the development of better coils, and the design of optimized radio-frequency pulses, sensitivity has been considerably improved. Therefore, in vivo MRS has become a technique that is routinely used more and more in the clinic. In this review, the basic methodology of in vivo MRS is described-mainly focused on (1)H MRS of the brain-with attention to hardware requirements, patient safety, acquisition methods, data post-processing, and quantification. Furthermore, examples of clinical applications of in vivo brain MRS in two interesting fields are described. First, together with a description of the major resonances present in brain MR spectra, several examples are presented of deviations from the normal spectral pattern associated with inborn errors of metabolism. Second, through examples of MR spectra of brain tumors, it is shown that MRS can play an important role in oncology.", "author" : [ { "dropping-particle" : "", "family" : "Graaf", "given" : "Marinette", "non-dropping-particle" : "Van Der", "parse-names" : false, "suffix" : "" } ], "container-title" : "European Biophysics Journal", "id" : "ITEM-2", "issue" : "4", "issued" : { "date-parts" : [ [ "2010" ] ] }, "page" : "527-540", "title" : "In vivo magnetic resonance spectroscopy: Basic methodology and clinical applications", "type" : "article-journal", "volume" : "39" }, "uris" : [ "http://www.mendeley.com/documents/?uuid=d70e4c4a-45fc-4cd4-98ea-f080789ab72f" ] } ], "mendeley" : { "formattedCitation" : "&lt;sup&gt;14,15&lt;/sup&gt;", "plainTextFormattedCitation" : "14,15", "previouslyFormattedCitation" : "&lt;sup&gt;14,15&lt;/sup&gt;" }, "properties" : {  }, "schema" : "https://github.com/citation-style-language/schema/raw/master/csl-citation.json" }</w:instrText>
      </w:r>
      <w:r w:rsidR="00AD072C">
        <w:fldChar w:fldCharType="separate"/>
      </w:r>
      <w:r w:rsidR="00E20F63" w:rsidRPr="00E20F63">
        <w:rPr>
          <w:noProof/>
          <w:vertAlign w:val="superscript"/>
        </w:rPr>
        <w:t>14,15</w:t>
      </w:r>
      <w:r w:rsidR="00AD072C">
        <w:fldChar w:fldCharType="end"/>
      </w:r>
      <w:r w:rsidR="00AD072C">
        <w:t xml:space="preserve"> </w:t>
      </w:r>
      <w:r w:rsidR="00A02E3D">
        <w:t>This</w:t>
      </w:r>
      <w:r w:rsidR="00A02E3D" w:rsidRPr="000D72AC">
        <w:t xml:space="preserve"> low sensitivity is due to the low polari</w:t>
      </w:r>
      <w:r w:rsidR="00030E78">
        <w:t>s</w:t>
      </w:r>
      <w:r w:rsidR="00A02E3D" w:rsidRPr="000D72AC">
        <w:t>ation of the nuclei at thermal equilibrium</w:t>
      </w:r>
      <w:r w:rsidR="00C25680">
        <w:t xml:space="preserve"> and c</w:t>
      </w:r>
      <w:r w:rsidR="00C501EB">
        <w:t xml:space="preserve">onsequently, </w:t>
      </w:r>
      <w:r w:rsidR="00A02E3D">
        <w:t xml:space="preserve">only molecules at relatively high </w:t>
      </w:r>
      <w:r w:rsidR="0023287C">
        <w:t>concentration</w:t>
      </w:r>
      <w:r w:rsidR="00A02E3D">
        <w:t xml:space="preserve"> can be probed with MRS.</w:t>
      </w:r>
      <w:r w:rsidR="00C501EB">
        <w:t xml:space="preserve"> </w:t>
      </w:r>
      <w:r w:rsidR="0023287C">
        <w:t>D</w:t>
      </w:r>
      <w:r w:rsidR="005C7604" w:rsidRPr="000D72AC">
        <w:t xml:space="preserve">espite </w:t>
      </w:r>
      <w:r w:rsidR="00A02E3D">
        <w:t>the</w:t>
      </w:r>
      <w:r w:rsidR="00A02E3D" w:rsidRPr="000D72AC">
        <w:t xml:space="preserve"> </w:t>
      </w:r>
      <w:r w:rsidR="00A02E3D">
        <w:t xml:space="preserve">great </w:t>
      </w:r>
      <w:r w:rsidR="005C7604" w:rsidRPr="000D72AC">
        <w:t xml:space="preserve">potential </w:t>
      </w:r>
      <w:r w:rsidR="00A02E3D">
        <w:t>of MRS</w:t>
      </w:r>
      <w:r w:rsidR="00A02E3D" w:rsidRPr="000D72AC">
        <w:t xml:space="preserve"> </w:t>
      </w:r>
      <w:r w:rsidR="005C7604" w:rsidRPr="000D72AC">
        <w:t xml:space="preserve">as a tool to </w:t>
      </w:r>
      <w:r w:rsidR="0041598A">
        <w:t>study</w:t>
      </w:r>
      <w:r w:rsidR="0041598A" w:rsidRPr="000D72AC">
        <w:t xml:space="preserve"> </w:t>
      </w:r>
      <w:r w:rsidR="005C7604" w:rsidRPr="000D72AC">
        <w:t>biochemistry</w:t>
      </w:r>
      <w:r w:rsidR="00A02E3D">
        <w:t xml:space="preserve"> </w:t>
      </w:r>
      <w:r w:rsidR="00A02E3D" w:rsidRPr="00F32C74">
        <w:rPr>
          <w:i/>
        </w:rPr>
        <w:t>in vivo</w:t>
      </w:r>
      <w:r w:rsidR="005C7604" w:rsidRPr="000D72AC">
        <w:t>,</w:t>
      </w:r>
      <w:r w:rsidR="00A02E3D">
        <w:t xml:space="preserve"> it</w:t>
      </w:r>
      <w:r w:rsidR="005C7604" w:rsidRPr="000D72AC">
        <w:t xml:space="preserve"> </w:t>
      </w:r>
      <w:r w:rsidR="00C933E5" w:rsidRPr="000D72AC">
        <w:t xml:space="preserve">is not </w:t>
      </w:r>
      <w:r w:rsidR="00A02E3D">
        <w:t xml:space="preserve">used </w:t>
      </w:r>
      <w:r w:rsidR="00C933E5" w:rsidRPr="000D72AC">
        <w:t xml:space="preserve">routinely in </w:t>
      </w:r>
      <w:r w:rsidR="00A02E3D">
        <w:t xml:space="preserve">the </w:t>
      </w:r>
      <w:r w:rsidR="00C933E5" w:rsidRPr="000D72AC">
        <w:t>clinic</w:t>
      </w:r>
      <w:r w:rsidR="00125EDB">
        <w:t xml:space="preserve"> due to both the low spatial and molecular sensitivity of the technique, and difficulty in subsequent data interpretation</w:t>
      </w:r>
      <w:r w:rsidR="00C933E5" w:rsidRPr="000D72AC">
        <w:t>.</w:t>
      </w:r>
      <w:r w:rsidR="00220B00" w:rsidRPr="000D72AC">
        <w:fldChar w:fldCharType="begin" w:fldLock="1"/>
      </w:r>
      <w:r w:rsidR="00481147">
        <w:instrText>ADDIN CSL_CITATION { "citationItems" : [ { "id" : "ITEM-1", "itemData" : { "DOI" : "10.2967/jnumed.110.085258", "ISBN" : "1535-5667 (Electronic)\\r0161-5505 (Linking)", "ISSN" : "0161-5505", "PMID" : "21849405", "abstract" : "Dynamic nuclear polarization (DNP) is an emerging technique for dramatically increasing the sensitivity of magnetic resonance spectroscopy (MRS). This review evaluates the potential strengths and weaknesses of DNP-enhanced (13)C magnetic resonance spectroscopic imaging (DNP-MRSI) as a clinical imaging technique in comparison to PET. The major advantage of MRS is chemical shift, which enables the injected molecule to be observed separately from its metabolites, whereas the major advantage of PET is its high sensitivity. Factors such as spatial and temporal resolution and potential risks and costs of the two techniques will be discussed. PET tracers and (13)C-labeled molecules that can be used in oncology will be reviewed with reference to the biologic processes they detect. Because DNP-MRSI and PET are, in principle, similar techniques for assessing tumor metabolism, the experiences gained during the development of PET may help to accelerate translation of DNP-MRSI into routine patient imaging.", "author" : [ { "dropping-particle" : "", "family" : "Gallagher", "given" : "Ferdia A", "non-dropping-particle" : "", "parse-names" : false, "suffix" : "" }, { "dropping-particle" : "", "family" : "Bohndiek", "given" : "Sarah E", "non-dropping-particle" : "", "parse-names" : false, "suffix" : "" }, { "dropping-particle" : "", "family" : "Kettunen", "given" : "Mikko I", "non-dropping-particle" : "", "parse-names" : false, "suffix" : "" }, { "dropping-particle" : "", "family" : "Lewis", "given" : "David Y", "non-dropping-particle" : "", "parse-names" : false, "suffix" : "" }, { "dropping-particle" : "", "family" : "Soloviev", "given" : "Dmitry", "non-dropping-particle" : "", "parse-names" : false, "suffix" : "" }, { "dropping-particle" : "", "family" : "Brindle", "given" : "Kevin M", "non-dropping-particle" : "", "parse-names" : false, "suffix" : "" } ], "container-title" : "Journal of nuclear medicine : official publication, Society of Nuclear Medicine", "id" : "ITEM-1", "issued" : { "date-parts" : [ [ "2011" ] ] }, "page" : "1333-1336", "title" : "Hyperpolarized 13C MRI and PET: In Vivo Tumor Biochemistry.", "type" : "article-journal", "volume" : "52" }, "uris" : [ "http://www.mendeley.com/documents/?uuid=ea689f0f-8776-4848-8fea-deb9e7a2f45e" ] }, { "id" : "ITEM-2", "itemData" : { "DOI" : "10.1016/S1470-2045(06)70905-6", "ISBN" : "1470-2045 (Print)\\r1470-2045 (Linking)", "ISSN" : "14702045", "PMID" : "17012048", "abstract" : "Standardised proton magnetic resonance spectroscopic imaging (MRSI) was initially developed for routine in-situ clinical assessment of human brain tumours, and its use was later extended for examination of prostate and breast cancers. MRSI coupled with both routine and functional MRI techniques provides more detailed information about a tumour's location and extent of its infiltration than any other modality alone. Information obtained by adding MRSI data to anatomical and functional MRI findings aid in clinical management decisions (such as watchful waiting vs immediate intervention). In this Review, we discuss the current status of proton MRSI, with emphasis on its clinical use to map the location and extent of tumour processes for spectroscopic image-guided biopsy procedures and to monitor treatment paradigms for brain, prostate, and breast cancer.", "author" : [ { "dropping-particle" : "", "family" : "Kwock", "given" : "Lester", "non-dropping-particle" : "", "parse-names" : false, "suffix" : "" }, { "dropping-particle" : "", "family" : "Smith", "given" : "J Keith", "non-dropping-particle" : "", "parse-names" : false, "suffix" : "" }, { "dropping-particle" : "", "family" : "Castillo", "given" : "Mauricio", "non-dropping-particle" : "", "parse-names" : false, "suffix" : "" }, { "dropping-particle" : "", "family" : "Ewend", "given" : "Matthew G", "non-dropping-particle" : "", "parse-names" : false, "suffix" : "" }, { "dropping-particle" : "", "family" : "Collichio", "given" : "Frances", "non-dropping-particle" : "", "parse-names" : false, "suffix" : "" }, { "dropping-particle" : "", "family" : "Morris", "given" : "David E", "non-dropping-particle" : "", "parse-names" : false, "suffix" : "" }, { "dropping-particle" : "", "family" : "Bouldin", "given" : "Thomas W", "non-dropping-particle" : "", "parse-names" : false, "suffix" : "" }, { "dropping-particle" : "", "family" : "Cush", "given" : "Sharon", "non-dropping-particle" : "", "parse-names" : false, "suffix" : "" } ], "container-title" : "The Lancet Oncology", "id" : "ITEM-2", "issue" : "10", "issued" : { "date-parts" : [ [ "2006" ] ] }, "page" : "859-868", "title" : "Clinical role of proton magnetic resonance spectroscopy in oncology: brain, breast, and prostate cancer", "type" : "article-journal", "volume" : "7" }, "uris" : [ "http://www.mendeley.com/documents/?uuid=11580316-dba6-45ef-8979-42ffe6c94143" ] } ], "mendeley" : { "formattedCitation" : "&lt;sup&gt;10,13&lt;/sup&gt;", "plainTextFormattedCitation" : "10,13", "previouslyFormattedCitation" : "&lt;sup&gt;10,13&lt;/sup&gt;" }, "properties" : {  }, "schema" : "https://github.com/citation-style-language/schema/raw/master/csl-citation.json" }</w:instrText>
      </w:r>
      <w:r w:rsidR="00220B00" w:rsidRPr="000D72AC">
        <w:fldChar w:fldCharType="separate"/>
      </w:r>
      <w:r w:rsidR="006D4D5D" w:rsidRPr="006D4D5D">
        <w:rPr>
          <w:noProof/>
          <w:vertAlign w:val="superscript"/>
        </w:rPr>
        <w:t>10,13</w:t>
      </w:r>
      <w:r w:rsidR="00220B00" w:rsidRPr="000D72AC">
        <w:fldChar w:fldCharType="end"/>
      </w:r>
      <w:r w:rsidR="00553440" w:rsidRPr="000D72AC">
        <w:t xml:space="preserve"> </w:t>
      </w:r>
    </w:p>
    <w:p w14:paraId="057D8FD6" w14:textId="77777777" w:rsidR="005F3A36" w:rsidRDefault="005F3A36" w:rsidP="00F32C74">
      <w:pPr>
        <w:spacing w:line="360" w:lineRule="auto"/>
        <w:jc w:val="both"/>
      </w:pPr>
    </w:p>
    <w:p w14:paraId="5E177B49" w14:textId="6657CCE6" w:rsidR="00113E8B" w:rsidRPr="000D72AC" w:rsidRDefault="0023287C" w:rsidP="00F32C74">
      <w:pPr>
        <w:spacing w:line="360" w:lineRule="auto"/>
        <w:jc w:val="both"/>
      </w:pPr>
      <w:r w:rsidRPr="000D72AC">
        <w:t>Dynamic Nuclear Polari</w:t>
      </w:r>
      <w:r w:rsidR="00030E78">
        <w:t>s</w:t>
      </w:r>
      <w:r w:rsidRPr="000D72AC">
        <w:t xml:space="preserve">ation (DNP) </w:t>
      </w:r>
      <w:r>
        <w:t xml:space="preserve">is a </w:t>
      </w:r>
      <w:r w:rsidR="009A7EA3">
        <w:t>technique based in solid state physics</w:t>
      </w:r>
      <w:r>
        <w:t xml:space="preserve"> which</w:t>
      </w:r>
      <w:r w:rsidR="0011562B">
        <w:t xml:space="preserve"> gr</w:t>
      </w:r>
      <w:r w:rsidR="00FB16C7">
        <w:t xml:space="preserve">eatly increases </w:t>
      </w:r>
      <w:r w:rsidR="00663C47">
        <w:t>the</w:t>
      </w:r>
      <w:r w:rsidR="00FB16C7">
        <w:t xml:space="preserve"> signal-to-noise </w:t>
      </w:r>
      <w:r w:rsidR="00AD6A9C">
        <w:t xml:space="preserve">ratio </w:t>
      </w:r>
      <w:r w:rsidR="00663C47">
        <w:t xml:space="preserve">(SNR) achieved on MR </w:t>
      </w:r>
      <w:r w:rsidR="00FB16C7">
        <w:t xml:space="preserve">by </w:t>
      </w:r>
      <w:r w:rsidR="00553440" w:rsidRPr="000D72AC">
        <w:t>significantly increas</w:t>
      </w:r>
      <w:r w:rsidR="00FB16C7">
        <w:t>ing</w:t>
      </w:r>
      <w:r w:rsidR="00553440" w:rsidRPr="000D72AC">
        <w:t xml:space="preserve"> the </w:t>
      </w:r>
      <w:r w:rsidR="00553440" w:rsidRPr="000D72AC">
        <w:lastRenderedPageBreak/>
        <w:t>polari</w:t>
      </w:r>
      <w:r w:rsidR="00030E78">
        <w:t>s</w:t>
      </w:r>
      <w:r w:rsidR="00553440" w:rsidRPr="000D72AC">
        <w:t xml:space="preserve">ation of nuclear spins </w:t>
      </w:r>
      <w:r w:rsidR="00663C47">
        <w:t>and therefore enabling a much larger proportion of them to be utilised for imaging</w:t>
      </w:r>
      <w:r w:rsidR="00FB16C7">
        <w:t>.</w:t>
      </w:r>
      <w:r w:rsidR="00327B06">
        <w:fldChar w:fldCharType="begin" w:fldLock="1"/>
      </w:r>
      <w:r w:rsidR="006D4D5D">
        <w:instrText>ADDIN CSL_CITATION { "citationItems" : [ { "id" : "ITEM-1", "itemData" : { "DOI" : "10.1103/PhysRev.92.411", "ISBN" : "0031-899X", "ISSN" : "0031899X", "PMID" : "608", "abstract" : "negative mu mesons in this momentum interval is 4700. Since none of these particles was absorbed in 147 g/cm' of lead the removal path length must be greater than 6.9&amp;10' g/cm'. The upper limit for the corresponding removal cross section is 2.4g 10 \" cm'/nucleon. The statistical significance placed on these limits is the same as that placed on the previously determined upper limit for the intensity of pi mesons. This result is more direct than the results obtained by the earlier experiments in the sense that no correc-tions have to be made for instrumental errors or for nuclear events produced by particles other than mu mesons, e.g. , pi mesons and protons in equilibrium with the mu meson Aux. However, it should be pointed out that the cross section corresponding to a removal path length refers only to those collisions in which a large fraction of the incident energy is distributed among several heavily ionizing particles. A new method for polarizing nuclei, applicable only to metals, is proposed. It is shown that if the electron spin resonance of the conduction electrons is saturated, the nuclei will be polarized to the same degree they would be if their gyromagnetic ratio were that of the electron spin. This action results from. the para-magnetic relaxation processes that occur by means of the hyperfine structure interaction between electron and nuclear spins. A shift of the electron spin resonance due to the same interaction will occur for large amounts of polarization and should provide a direct indication of the degree of polarization.", "author" : [ { "dropping-particle" : "", "family" : "Overhauser", "given" : "Albert W.", "non-dropping-particle" : "", "parse-names" : false, "suffix" : "" } ], "container-title" : "Physical Review", "id" : "ITEM-1", "issue" : "2", "issued" : { "date-parts" : [ [ "1953" ] ] }, "page" : "411-415", "title" : "Polarization of nuclei in metals", "type" : "article-journal", "volume" : "92" }, "uris" : [ "http://www.mendeley.com/documents/?uuid=5565f4a5-bd5b-4833-ad6a-8b6dc35d72ac" ] } ], "mendeley" : { "formattedCitation" : "&lt;sup&gt;16&lt;/sup&gt;", "plainTextFormattedCitation" : "16", "previouslyFormattedCitation" : "&lt;sup&gt;16&lt;/sup&gt;" }, "properties" : {  }, "schema" : "https://github.com/citation-style-language/schema/raw/master/csl-citation.json" }</w:instrText>
      </w:r>
      <w:r w:rsidR="00327B06">
        <w:fldChar w:fldCharType="separate"/>
      </w:r>
      <w:r w:rsidR="00E20F63" w:rsidRPr="00E20F63">
        <w:rPr>
          <w:noProof/>
          <w:vertAlign w:val="superscript"/>
        </w:rPr>
        <w:t>16</w:t>
      </w:r>
      <w:r w:rsidR="00327B06">
        <w:fldChar w:fldCharType="end"/>
      </w:r>
      <w:r w:rsidR="00FB16C7">
        <w:t xml:space="preserve"> </w:t>
      </w:r>
      <w:r w:rsidR="004E25E2" w:rsidRPr="004E25E2">
        <w:t xml:space="preserve">In 2003 DNP was combined with an efficient method to </w:t>
      </w:r>
      <w:r w:rsidR="004B4154">
        <w:t>transfer</w:t>
      </w:r>
      <w:r w:rsidR="004E25E2" w:rsidRPr="004E25E2">
        <w:t xml:space="preserve"> the substrate from the solid (</w:t>
      </w:r>
      <w:r w:rsidR="0097515D">
        <w:t>~</w:t>
      </w:r>
      <w:r w:rsidR="004E25E2" w:rsidRPr="004E25E2">
        <w:t>1</w:t>
      </w:r>
      <w:r w:rsidR="004B4154">
        <w:t xml:space="preserve"> </w:t>
      </w:r>
      <w:r w:rsidR="004E25E2" w:rsidRPr="004E25E2">
        <w:t>K) to liquid (</w:t>
      </w:r>
      <w:r w:rsidR="0097515D">
        <w:t>~</w:t>
      </w:r>
      <w:r w:rsidR="004E25E2" w:rsidRPr="004E25E2">
        <w:t>300</w:t>
      </w:r>
      <w:r w:rsidR="004B4154">
        <w:t xml:space="preserve"> </w:t>
      </w:r>
      <w:r w:rsidR="004E25E2" w:rsidRPr="004E25E2">
        <w:t xml:space="preserve">K) state, </w:t>
      </w:r>
      <w:r w:rsidR="004B4154">
        <w:t>a process which is now</w:t>
      </w:r>
      <w:r w:rsidR="004E25E2" w:rsidRPr="004E25E2">
        <w:t xml:space="preserve"> known as ‘Dissolution DNP’. </w:t>
      </w:r>
      <w:r w:rsidR="004E25E2">
        <w:t xml:space="preserve"> This technique</w:t>
      </w:r>
      <w:r>
        <w:t xml:space="preserve"> </w:t>
      </w:r>
      <w:r w:rsidR="00553440" w:rsidRPr="000D72AC">
        <w:t>open</w:t>
      </w:r>
      <w:r>
        <w:t>ed</w:t>
      </w:r>
      <w:r w:rsidR="00553440" w:rsidRPr="000D72AC">
        <w:t xml:space="preserve"> up new </w:t>
      </w:r>
      <w:r>
        <w:t>possibilities</w:t>
      </w:r>
      <w:r w:rsidRPr="000D72AC">
        <w:t xml:space="preserve"> </w:t>
      </w:r>
      <w:r w:rsidR="001B5BBD">
        <w:t>for the method</w:t>
      </w:r>
      <w:r w:rsidR="00FB16C7">
        <w:t xml:space="preserve"> to be </w:t>
      </w:r>
      <w:r w:rsidR="001B5BBD">
        <w:t>translated</w:t>
      </w:r>
      <w:r w:rsidR="00FB16C7">
        <w:t xml:space="preserve"> in</w:t>
      </w:r>
      <w:r w:rsidR="001B5BBD">
        <w:t>to</w:t>
      </w:r>
      <w:r w:rsidR="00FB16C7">
        <w:t xml:space="preserve"> biological systems</w:t>
      </w:r>
      <w:r w:rsidR="00663C47">
        <w:t xml:space="preserve"> such as cell studies and </w:t>
      </w:r>
      <w:r w:rsidR="00663C47" w:rsidRPr="00F32C74">
        <w:rPr>
          <w:i/>
        </w:rPr>
        <w:t>in vivo</w:t>
      </w:r>
      <w:r w:rsidR="00663C47">
        <w:t xml:space="preserve"> animal imaging</w:t>
      </w:r>
      <w:r w:rsidR="00553440" w:rsidRPr="000D72AC">
        <w:t>.</w:t>
      </w:r>
      <w:r w:rsidR="007D64C6" w:rsidRPr="000D72AC">
        <w:fldChar w:fldCharType="begin" w:fldLock="1"/>
      </w:r>
      <w:r w:rsidR="006D4D5D">
        <w:instrText>ADDIN CSL_CITATION { "citationItems" : [ { "id" : "ITEM-1", "itemData" : { "DOI" : "10.1073/pnas.1733835100", "ISBN" : "0027-8424 (Print)\\r0027-8424 (Linking)", "ISSN" : "0027-8424", "PMID" : "12930897", "abstract" : "A method for obtaining strongly polarized nuclear spins in solution has been developed. The method uses low temperature, high magnetic field, and dynamic nuclear polarization (DNP) to strongly polarize nuclear spins in the solid state. The solid sample is subsequently dissolved rapidly in a suitable solvent to create a solution of molecules with hyperpolarized nuclear spins. The polarization is performed in a DNP polarizer, consisting of a super-conducting magnet (3.35 T) and a liquid-helium cooled sample space. The sample is irradiated with microwaves at approximately 94 GHz. Subsequent to polarization, the sample is dissolved by an injection system inside the DNP magnet. The dissolution process effectively preserves the nuclear polarization. The resulting hyperpolarized liquid sample can be transferred to a high-resolution NMR spectrometer, where an enhanced NMR signal can be acquired, or it may be used as an agent for in vivo imaging or spectroscopy. In this article we describe the use of the method on aqueous solutions of [13C]urea. Polarizations of 37% for 13C and 7.8% for 15N, respectively, were obtained after the dissolution. These polarizations correspond to an enhancement of 44,400 for 13C and 23,500 for 15N, respectively, compared with thermal equilibrium at 9.4 T and room temperature. The method can be used generally for signal enhancement and reduction of measurement time in liquid-state NMR and opens up for a variety of in vitro and in vivo applications of DNP-enhanced NMR.", "author" : [ { "dropping-particle" : "", "family" : "Ardenkjaer-Larsen", "given" : "Jan H", "non-dropping-particle" : "", "parse-names" : false, "suffix" : "" }, { "dropping-particle" : "", "family" : "Fridlund", "given" : "Bj\u00f6rn", "non-dropping-particle" : "", "parse-names" : false, "suffix" : "" }, { "dropping-particle" : "", "family" : "Gram", "given" : "Andreas", "non-dropping-particle" : "", "parse-names" : false, "suffix" : "" }, { "dropping-particle" : "", "family" : "Hansson", "given" : "Georg", "non-dropping-particle" : "", "parse-names" : false, "suffix" : "" }, { "dropping-particle" : "", "family" : "Hansson", "given" : "Lennart", "non-dropping-particle" : "", "parse-names" : false, "suffix" : "" }, { "dropping-particle" : "", "family" : "Lerche", "given" : "Mathilde H", "non-dropping-particle" : "", "parse-names" : false, "suffix" : "" }, { "dropping-particle" : "", "family" : "Servin", "given" : "Rolf", "non-dropping-particle" : "", "parse-names" : false, "suffix" : "" }, { "dropping-particle" : "", "family" : "Thaning", "given" : "Mikkel", "non-dropping-particle" : "", "parse-names" : false, "suffix" : "" }, { "dropping-particle" : "", "family" : "Golman", "given" : "Klaes", "non-dropping-particle" : "", "parse-names" : false, "suffix" : "" } ], "container-title" : "Proceedings of the National Academy of Sciences of the United States of America", "id" : "ITEM-1", "issue" : "18", "issued" : { "date-parts" : [ [ "2003" ] ] }, "page" : "10158-63", "title" : "Increase in signal-to-noise ratio of &gt; 10,000 times in liquid-state NMR.", "type" : "article-journal", "volume" : "100" }, "uris" : [ "http://www.mendeley.com/documents/?uuid=60ab8556-9f41-4e59-bbd9-cab964ce441e" ] } ], "mendeley" : { "formattedCitation" : "&lt;sup&gt;17&lt;/sup&gt;", "plainTextFormattedCitation" : "17", "previouslyFormattedCitation" : "&lt;sup&gt;17&lt;/sup&gt;" }, "properties" : {  }, "schema" : "https://github.com/citation-style-language/schema/raw/master/csl-citation.json" }</w:instrText>
      </w:r>
      <w:r w:rsidR="007D64C6" w:rsidRPr="000D72AC">
        <w:fldChar w:fldCharType="separate"/>
      </w:r>
      <w:r w:rsidR="00E20F63" w:rsidRPr="00E20F63">
        <w:rPr>
          <w:noProof/>
          <w:vertAlign w:val="superscript"/>
        </w:rPr>
        <w:t>17</w:t>
      </w:r>
      <w:r w:rsidR="007D64C6" w:rsidRPr="000D72AC">
        <w:fldChar w:fldCharType="end"/>
      </w:r>
      <w:r w:rsidR="00553440" w:rsidRPr="000D72AC">
        <w:t xml:space="preserve"> Th</w:t>
      </w:r>
      <w:r>
        <w:t>e</w:t>
      </w:r>
      <w:r w:rsidR="00553440" w:rsidRPr="000D72AC">
        <w:t xml:space="preserve"> technique</w:t>
      </w:r>
      <w:r w:rsidR="00DA7502" w:rsidRPr="000D72AC">
        <w:t xml:space="preserve">, </w:t>
      </w:r>
      <w:r w:rsidR="001B5BBD">
        <w:t>termed</w:t>
      </w:r>
      <w:r w:rsidR="001B5BBD" w:rsidRPr="000D72AC">
        <w:t xml:space="preserve"> </w:t>
      </w:r>
      <w:r w:rsidR="00DA7502" w:rsidRPr="000D72AC">
        <w:t>Hyperpolari</w:t>
      </w:r>
      <w:r w:rsidR="007546D5">
        <w:t>z</w:t>
      </w:r>
      <w:r w:rsidR="00DA7502" w:rsidRPr="000D72AC">
        <w:t xml:space="preserve">ed </w:t>
      </w:r>
      <w:r w:rsidR="001B5BBD">
        <w:t>C</w:t>
      </w:r>
      <w:r w:rsidR="00DA7502" w:rsidRPr="000D72AC">
        <w:t xml:space="preserve">arbon-13 Magnetic Resonance </w:t>
      </w:r>
      <w:r w:rsidR="001B5BBD">
        <w:t>Spectroscopic Imaging</w:t>
      </w:r>
      <w:r w:rsidR="001B5BBD" w:rsidRPr="000D72AC">
        <w:t xml:space="preserve"> </w:t>
      </w:r>
      <w:r w:rsidR="00DA7502" w:rsidRPr="000D72AC">
        <w:t xml:space="preserve">(HP </w:t>
      </w:r>
      <w:r w:rsidR="00DA7502" w:rsidRPr="000D72AC">
        <w:rPr>
          <w:vertAlign w:val="superscript"/>
        </w:rPr>
        <w:t>13</w:t>
      </w:r>
      <w:r w:rsidR="00DA7502" w:rsidRPr="000D72AC">
        <w:t>C</w:t>
      </w:r>
      <w:r w:rsidR="00D002D5">
        <w:t>-</w:t>
      </w:r>
      <w:r w:rsidR="00DA7502" w:rsidRPr="000D72AC">
        <w:t xml:space="preserve">MRSI), </w:t>
      </w:r>
      <w:r w:rsidR="00973BCC" w:rsidRPr="000D72AC">
        <w:t xml:space="preserve">has </w:t>
      </w:r>
      <w:r w:rsidR="00663C47">
        <w:t xml:space="preserve">now </w:t>
      </w:r>
      <w:r w:rsidR="00973BCC" w:rsidRPr="000D72AC">
        <w:t>been translated in</w:t>
      </w:r>
      <w:r w:rsidR="00663C47">
        <w:t>to</w:t>
      </w:r>
      <w:r w:rsidR="00973BCC" w:rsidRPr="000D72AC">
        <w:t xml:space="preserve"> humans.</w:t>
      </w:r>
      <w:r w:rsidR="00973BCC" w:rsidRPr="000D72AC">
        <w:fldChar w:fldCharType="begin" w:fldLock="1"/>
      </w:r>
      <w:r w:rsidR="00481147">
        <w:instrText>ADDIN CSL_CITATION { "citationItems" : [ { "id" : "ITEM-1", "itemData" : { "DOI" : "10.1126/scitranslmed.3006070", "author" : [ { "dropping-particle" : "", "family" : "Nelson", "given" : "Sarah J", "non-dropping-particle" : "", "parse-names" : false, "suffix" : "" }, { "dropping-particle" : "", "family" : "Kurhanewicz", "given" : "John", "non-dropping-particle" : "", "parse-names" : false, "suffix" : "" }, { "dropping-particle" : "", "family" : "Vigneron", "given" : "Daniel B", "non-dropping-particle" : "", "parse-names" : false, "suffix" : "" }, { "dropping-particle" : "", "family" : "Larson", "given" : "Peder E Z", "non-dropping-particle" : "", "parse-names" : false, "suffix" : "" }, { "dropping-particle" : "", "family" : "Harzstark", "given" : "Andrea L", "non-dropping-particle" : "", "parse-names" : false, "suffix" : "" }, { "dropping-particle" : "", "family" : "Ferrone", "given" : "Marcus", "non-dropping-particle" : "", "parse-names" : false, "suffix" : "" }, { "dropping-particle" : "Van", "family" : "Criekinge", "given" : "Mark", "non-dropping-particle" : "", "parse-names" : false, "suffix" : "" }, { "dropping-particle" : "", "family" : "Chang", "given" : "Jose W", "non-dropping-particle" : "", "parse-names" : false, "suffix" : "" }, { "dropping-particle" : "", "family" : "Bok", "given" : "Robert", "non-dropping-particle" : "", "parse-names" : false, "suffix" : "" }, { "dropping-particle" : "", "family" : "Park", "given" : "Ilwoo", "non-dropping-particle" : "", "parse-names" : false, "suffix" : "" }, { "dropping-particle" : "", "family" : "Reed", "given" : "Galen", "non-dropping-particle" : "", "parse-names" : false, "suffix" : "" }, { "dropping-particle" : "", "family" : "Carvajal", "given" : "Lucas", "non-dropping-particle" : "", "parse-names" : false, "suffix" : "" }, { "dropping-particle" : "", "family" : "Small", "given" : "Eric J", "non-dropping-particle" : "", "parse-names" : false, "suffix" : "" }, { "dropping-particle" : "", "family" : "Munster", "given" : "Pamela", "non-dropping-particle" : "", "parse-names" : false, "suffix" : "" }, { "dropping-particle" : "", "family" : "Weinberg", "given" : "Vivian K", "non-dropping-particle" : "", "parse-names" : false, "suffix" : "" }, { "dropping-particle" : "", "family" : "Ardenkjaer-larsen", "given" : "Jan Henrik", "non-dropping-particle" : "", "parse-names" : false, "suffix" : "" }, { "dropping-particle" : "", "family" : "Chen", "given" : "Albert P", "non-dropping-particle" : "", "parse-names" : false, "suffix" : "" }, { "dropping-particle" : "", "family" : "Hurd", "given" : "Ralph E", "non-dropping-particle" : "", "parse-names" : false, "suffix" : "" }, { "dropping-particle" : "", "family" : "Odegardstuen", "given" : "Liv-ingrid", "non-dropping-particle" : "", "parse-names" : false, "suffix" : "" }, { "dropping-particle" : "", "family" : "Robb", "given" : "Fraser J", "non-dropping-particle" : "", "parse-names" : false, "suffix" : "" }, { "dropping-particle" : "", "family" : "Tropp", "given" : "James", "non-dropping-particle" : "", "parse-names" : false, "suffix" : "" }, { "dropping-particle" : "", "family" : "Murray", "given" : "Jonathan a", "non-dropping-particle" : "", "parse-names" : false, "suffix" : "" } ], "container-title" : "Science Translational Medicine", "id" : "ITEM-1", "issue" : "198", "issued" : { "date-parts" : [ [ "2013" ] ] }, "title" : "Metabolic Imaging of Patients with Prostate Cancer Using Hyperpolarized [1-13C] Pyruvate", "type" : "article-journal", "volume" : "5" }, "uris" : [ "http://www.mendeley.com/documents/?uuid=b007ec5f-d467-4343-a43c-e691dfc465f0" ] } ], "mendeley" : { "formattedCitation" : "&lt;sup&gt;18&lt;/sup&gt;", "plainTextFormattedCitation" : "18", "previouslyFormattedCitation" : "&lt;sup&gt;18&lt;/sup&gt;" }, "properties" : {  }, "schema" : "https://github.com/citation-style-language/schema/raw/master/csl-citation.json" }</w:instrText>
      </w:r>
      <w:r w:rsidR="00973BCC" w:rsidRPr="000D72AC">
        <w:fldChar w:fldCharType="separate"/>
      </w:r>
      <w:r w:rsidR="00E20F63" w:rsidRPr="00E20F63">
        <w:rPr>
          <w:noProof/>
          <w:vertAlign w:val="superscript"/>
        </w:rPr>
        <w:t>18</w:t>
      </w:r>
      <w:r w:rsidR="00973BCC" w:rsidRPr="000D72AC">
        <w:fldChar w:fldCharType="end"/>
      </w:r>
      <w:r w:rsidR="00663C47">
        <w:t xml:space="preserve"> </w:t>
      </w:r>
      <w:r w:rsidR="00773906" w:rsidRPr="000D72AC">
        <w:t>This review provides a brief overview of the technique, its application</w:t>
      </w:r>
      <w:r w:rsidR="00247548">
        <w:t>s</w:t>
      </w:r>
      <w:r w:rsidR="00773906" w:rsidRPr="000D72AC">
        <w:t xml:space="preserve"> in pre-clinical </w:t>
      </w:r>
      <w:r w:rsidR="00247548">
        <w:t>imaging</w:t>
      </w:r>
      <w:r w:rsidR="00773906" w:rsidRPr="000D72AC">
        <w:t xml:space="preserve">, </w:t>
      </w:r>
      <w:r w:rsidR="00247548">
        <w:t>an outline of</w:t>
      </w:r>
      <w:r w:rsidR="00773906" w:rsidRPr="000D72AC">
        <w:t xml:space="preserve"> t</w:t>
      </w:r>
      <w:r w:rsidR="00247548">
        <w:t xml:space="preserve">he current human </w:t>
      </w:r>
      <w:r w:rsidR="00773906" w:rsidRPr="000D72AC">
        <w:t>trials</w:t>
      </w:r>
      <w:r w:rsidR="00247548">
        <w:t xml:space="preserve"> that are ongoing as well as</w:t>
      </w:r>
      <w:r w:rsidR="00773906" w:rsidRPr="000D72AC">
        <w:t xml:space="preserve"> future </w:t>
      </w:r>
      <w:r w:rsidR="00247548">
        <w:t>potential applications</w:t>
      </w:r>
      <w:r w:rsidR="00773906" w:rsidRPr="000D72AC">
        <w:t>.</w:t>
      </w:r>
      <w:r w:rsidR="00973BCC" w:rsidRPr="000D72AC">
        <w:t xml:space="preserve"> </w:t>
      </w:r>
    </w:p>
    <w:p w14:paraId="3D08169A" w14:textId="77777777" w:rsidR="003B5743" w:rsidRPr="000D72AC" w:rsidRDefault="003B5743" w:rsidP="001B4024">
      <w:pPr>
        <w:spacing w:line="360" w:lineRule="auto"/>
        <w:jc w:val="both"/>
      </w:pPr>
    </w:p>
    <w:p w14:paraId="403417F5" w14:textId="1D8D0D7D" w:rsidR="00727B0F" w:rsidRPr="00F6642A" w:rsidRDefault="0091279F" w:rsidP="001B4024">
      <w:pPr>
        <w:spacing w:line="360" w:lineRule="auto"/>
        <w:jc w:val="both"/>
        <w:rPr>
          <w:b/>
        </w:rPr>
      </w:pPr>
      <w:r w:rsidRPr="00F6642A">
        <w:rPr>
          <w:b/>
        </w:rPr>
        <w:t xml:space="preserve">MR Spectroscopy and the benefits of </w:t>
      </w:r>
      <w:r w:rsidR="00601602">
        <w:rPr>
          <w:b/>
        </w:rPr>
        <w:t>m</w:t>
      </w:r>
      <w:r w:rsidR="00601602" w:rsidRPr="00601602">
        <w:rPr>
          <w:b/>
        </w:rPr>
        <w:t>etabolic imaging with MRI</w:t>
      </w:r>
    </w:p>
    <w:p w14:paraId="080AE4EA" w14:textId="17130E96" w:rsidR="003B5743" w:rsidRPr="000D72AC" w:rsidRDefault="00663C47" w:rsidP="00625759">
      <w:pPr>
        <w:spacing w:line="360" w:lineRule="auto"/>
        <w:jc w:val="both"/>
      </w:pPr>
      <w:r>
        <w:t xml:space="preserve">Conventional </w:t>
      </w:r>
      <w:r w:rsidRPr="00625759">
        <w:rPr>
          <w:vertAlign w:val="superscript"/>
        </w:rPr>
        <w:t>1</w:t>
      </w:r>
      <w:r>
        <w:t xml:space="preserve">H-MRI largely measures </w:t>
      </w:r>
      <w:r w:rsidR="003B5743" w:rsidRPr="000D72AC">
        <w:t xml:space="preserve">the </w:t>
      </w:r>
      <w:r w:rsidR="003B4890">
        <w:t xml:space="preserve">spatial </w:t>
      </w:r>
      <w:r w:rsidR="003B5743" w:rsidRPr="000D72AC">
        <w:t>distribution of water and fat molecules</w:t>
      </w:r>
      <w:r>
        <w:t xml:space="preserve"> within tissue</w:t>
      </w:r>
      <w:r w:rsidR="003B4890">
        <w:t xml:space="preserve"> and has led</w:t>
      </w:r>
      <w:r>
        <w:t xml:space="preserve"> </w:t>
      </w:r>
      <w:r w:rsidR="003B5743" w:rsidRPr="000D72AC">
        <w:t xml:space="preserve">to </w:t>
      </w:r>
      <w:r w:rsidR="008E4D83">
        <w:t xml:space="preserve">many clinical </w:t>
      </w:r>
      <w:r w:rsidR="003B5743" w:rsidRPr="000D72AC">
        <w:t>applications in</w:t>
      </w:r>
      <w:r w:rsidR="00247548">
        <w:t xml:space="preserve"> </w:t>
      </w:r>
      <w:r w:rsidR="003B5743" w:rsidRPr="000D72AC">
        <w:t>neurological, cardiac, and oncological imaging.</w:t>
      </w:r>
      <w:r w:rsidR="002A7002">
        <w:fldChar w:fldCharType="begin" w:fldLock="1"/>
      </w:r>
      <w:r w:rsidR="006D4D5D">
        <w:instrText>ADDIN CSL_CITATION { "citationItems" : [ { "id" : "ITEM-1", "itemData" : { "DOI" : "10.1016/j.clineuro.2010.03.022", "ISBN" : "0303-8467", "ISSN" : "03038467", "PMID" : "20417027", "abstract" : "Magnetic resonance imaging (MRI) has played a unique role in the diagnosis and management of patients with multiple sclerosis (MS). In the recent years, there have been considerable changes in the diagnostic criteria for MS as MR-based studies demonstrated its power in earlier and more accurate diagnosis of the disease. Moreover, MRI metrics have become key supportive outcome measures to evaluate the efficacy of experimental treatments in randomized, controlled trials. MRI can also be used as a prognostic tool in patients with clinically isolated syndrome. Although advanced quantitative MRI measures such as magnetization transfer, spectroscopy, and diffusion imaging have added much more to our knowledge about pathogenesis and natural history of the disease but their cost, availability, complexity and lack of validation have limited their use in routine clinical practice. Conventional MR techniques including proton density, T1/T2-weighted images and fluid-attenuated inversion recovery sequences are now accepted in standard protocols for diagnosis and treatment outcome measures in clinical trials for MS. The present review will focus on the type, morphology and evolution of MS lesions in conventional MRI and discusses their use for the monitoring of the disease both in daily clinical practice and experimental trials. ?? 2010 Elsevier B.V. All rights reserved.", "author" : [ { "dropping-particle" : "", "family" : "Sahraian", "given" : "Mohammad Ali", "non-dropping-particle" : "", "parse-names" : false, "suffix" : "" }, { "dropping-particle" : "", "family" : "Eshaghi", "given" : "Arman", "non-dropping-particle" : "", "parse-names" : false, "suffix" : "" } ], "container-title" : "Clinical Neurology and Neurosurgery", "id" : "ITEM-1", "issue" : "7", "issued" : { "date-parts" : [ [ "2010" ] ] }, "page" : "609-615", "publisher" : "Elsevier B.V.", "title" : "Role of MRI in diagnosis and treatment of multiple sclerosis", "type" : "article-journal", "volume" : "112" }, "uris" : [ "http://www.mendeley.com/documents/?uuid=c261c7c2-c114-487b-9e5b-6a97ef17c280" ] }, { "id" : "ITEM-2", "itemData" : { "DOI" : "10.1007/s00062-015-0439-2", "ISBN" : "0006201504392", "ISSN" : "18691447", "PMID" : "26220640", "abstract" : "The value of magnetic resonance (MR) imaging for the clinical management of brain tumour patients has greatly increased in recent years through the introduction of functional MR sequences. Previously, MR imaging for brain tumours relied for the most part on contrast-enhanced T1-weighted MR sequences but today with the help of advanced functional MR sequences, the pathophysiological aspects of tumour growth can be directly visualised and investigated. This article will present the pathophysiological background of the MR sequences relevant to neuro-oncological imaging as well as potential clinical applications. Ultimately, we take a look at possible future developments for ultra-high-field MR imaging.", "author" : [ { "dropping-particle" : "", "family" : "Radbruch", "given" : "A.", "non-dropping-particle" : "", "parse-names" : false, "suffix" : "" }, { "dropping-particle" : "", "family" : "Bendszus", "given" : "M.", "non-dropping-particle" : "", "parse-names" : false, "suffix" : "" } ], "container-title" : "Clinical Neuroradiology", "id" : "ITEM-2", "issued" : { "date-parts" : [ [ "2015" ] ] }, "page" : "143-149", "title" : "Advanced MR Imaging in Neuro-oncology", "type" : "article-journal", "volume" : "25" }, "uris" : [ "http://www.mendeley.com/documents/?uuid=2b868de3-285d-4f50-b37d-cb877db79a80" ] }, { "id" : "ITEM-3", "itemData" : { "DOI" : "10.1016/S0140-6736(04)16509-4", "ISBN" : "1474-547X (Electronic)\\n0140-6736 (Linking)", "ISSN" : "01406736", "PMID" : "15220041", "abstract" : "Rapid progress has been made in cardiac MRI (CMRI) over the past decade, which has firmly established it as a reliable and clinically important technique for assessment of cardiac structure, function, perfusion, and myocardial viability. Its versatility and accuracy is unmatched by any other individual imaging modality. CMRI is non-invasive and has high spatial resolution and avoids use of potentially nephrotoxic contrast agent or radiation. It has been extensively studied against other established non-invasive imaging modalities and has been shown to be superior in many scenarios, particularly with respect to assessment of cardiac and great vessel morphology and left ventricular function. Furthermore, its clinical use continues to expand with increasing experience and proliferation of CMRI centres. As worldwide prevalence of cardiovascular disease continues to rise, CMRI provides opportunity for improved and cost-effective non-invasive assessment. Continued progress in CMRI technology promises to further widen its clinical application in coronary imaging, myocardial perfusion, comprehensive assessment of valves, and plaque characterisation.", "author" : [ { "dropping-particle" : "", "family" : "Constantine", "given" : "Godwin", "non-dropping-particle" : "", "parse-names" : false, "suffix" : "" }, { "dropping-particle" : "", "family" : "Shan", "given" : "Kesavan", "non-dropping-particle" : "", "parse-names" : false, "suffix" : "" }, { "dropping-particle" : "", "family" : "Flamm", "given" : "Scott D.", "non-dropping-particle" : "", "parse-names" : false, "suffix" : "" }, { "dropping-particle" : "", "family" : "Sivananthan", "given" : "Mohan U.", "non-dropping-particle" : "", "parse-names" : false, "suffix" : "" } ], "container-title" : "Lancet", "id" : "ITEM-3", "issue" : "9427", "issued" : { "date-parts" : [ [ "2004" ] ] }, "page" : "2162-2171", "title" : "Role of MRI in clinical cardiology", "type" : "article-journal", "volume" : "363" }, "uris" : [ "http://www.mendeley.com/documents/?uuid=fe4c9b99-ef09-4354-a5d3-67cf57d6f7de" ] } ], "mendeley" : { "formattedCitation" : "&lt;sup&gt;19\u201321&lt;/sup&gt;", "plainTextFormattedCitation" : "19\u201321", "previouslyFormattedCitation" : "&lt;sup&gt;19\u201321&lt;/sup&gt;" }, "properties" : {  }, "schema" : "https://github.com/citation-style-language/schema/raw/master/csl-citation.json" }</w:instrText>
      </w:r>
      <w:r w:rsidR="002A7002">
        <w:fldChar w:fldCharType="separate"/>
      </w:r>
      <w:r w:rsidR="002A7002" w:rsidRPr="002A7002">
        <w:rPr>
          <w:noProof/>
          <w:vertAlign w:val="superscript"/>
        </w:rPr>
        <w:t>19–21</w:t>
      </w:r>
      <w:r w:rsidR="002A7002">
        <w:fldChar w:fldCharType="end"/>
      </w:r>
      <w:r w:rsidR="00A05EC2" w:rsidRPr="000D72AC">
        <w:t xml:space="preserve"> </w:t>
      </w:r>
      <w:r w:rsidR="003B5743" w:rsidRPr="000D72AC">
        <w:t xml:space="preserve">MR can also be </w:t>
      </w:r>
      <w:r w:rsidR="008E4D83">
        <w:t>used</w:t>
      </w:r>
      <w:r w:rsidR="008E4D83" w:rsidRPr="000D72AC">
        <w:t xml:space="preserve"> </w:t>
      </w:r>
      <w:r w:rsidR="003B5743" w:rsidRPr="000D72AC">
        <w:t xml:space="preserve">to provide information </w:t>
      </w:r>
      <w:r w:rsidR="008E4D83">
        <w:t>on the</w:t>
      </w:r>
      <w:r w:rsidR="008E4D83" w:rsidRPr="000D72AC">
        <w:t xml:space="preserve"> </w:t>
      </w:r>
      <w:r w:rsidR="003B48E8">
        <w:t xml:space="preserve">nature </w:t>
      </w:r>
      <w:r w:rsidR="008E4D83">
        <w:t>of other molecules by</w:t>
      </w:r>
      <w:r w:rsidR="003B5743" w:rsidRPr="000D72AC">
        <w:t xml:space="preserve"> utilising the property of chemical shift to discriminate </w:t>
      </w:r>
      <w:r w:rsidR="008E4D83">
        <w:t xml:space="preserve">the resonant frequency of </w:t>
      </w:r>
      <w:r w:rsidR="003B5743" w:rsidRPr="000D72AC">
        <w:t>protons</w:t>
      </w:r>
      <w:r w:rsidR="008E4D83">
        <w:t>. MR</w:t>
      </w:r>
      <w:r w:rsidR="008E4D83" w:rsidRPr="000D72AC">
        <w:t xml:space="preserve">S </w:t>
      </w:r>
      <w:r w:rsidR="008E4D83">
        <w:t>has been used to detect</w:t>
      </w:r>
      <w:r w:rsidR="006F28FC">
        <w:t xml:space="preserve"> the steady state </w:t>
      </w:r>
      <w:r w:rsidR="00D45A56">
        <w:t>levels of diverse molecules incl</w:t>
      </w:r>
      <w:r w:rsidR="006F28FC">
        <w:t>uding</w:t>
      </w:r>
      <w:r w:rsidR="008E4D83">
        <w:t xml:space="preserve"> </w:t>
      </w:r>
      <w:r w:rsidR="003B5743" w:rsidRPr="000D72AC">
        <w:t>lactate,</w:t>
      </w:r>
      <w:r w:rsidR="008E4D83">
        <w:t xml:space="preserve"> N-</w:t>
      </w:r>
      <w:proofErr w:type="spellStart"/>
      <w:r w:rsidR="008E4D83">
        <w:t>acetylaspartate</w:t>
      </w:r>
      <w:proofErr w:type="spellEnd"/>
      <w:r w:rsidR="008E4D83">
        <w:t xml:space="preserve"> (NAA) and glutamate.</w:t>
      </w:r>
      <w:r w:rsidR="00A05EC2" w:rsidRPr="000D72AC">
        <w:fldChar w:fldCharType="begin" w:fldLock="1"/>
      </w:r>
      <w:r w:rsidR="006D4D5D">
        <w:instrText>ADDIN CSL_CITATION { "citationItems" : [ { "id" : "ITEM-1", "itemData" : { "DOI" : "10.1016/S1470-2045(06)70905-6", "ISBN" : "1470-2045 (Print)\\r1470-2045 (Linking)", "ISSN" : "14702045", "PMID" : "17012048", "abstract" : "Standardised proton magnetic resonance spectroscopic imaging (MRSI) was initially developed for routine in-situ clinical assessment of human brain tumours, and its use was later extended for examination of prostate and breast cancers. MRSI coupled with both routine and functional MRI techniques provides more detailed information about a tumour's location and extent of its infiltration than any other modality alone. Information obtained by adding MRSI data to anatomical and functional MRI findings aid in clinical management decisions (such as watchful waiting vs immediate intervention). In this Review, we discuss the current status of proton MRSI, with emphasis on its clinical use to map the location and extent of tumour processes for spectroscopic image-guided biopsy procedures and to monitor treatment paradigms for brain, prostate, and breast cancer.", "author" : [ { "dropping-particle" : "", "family" : "Kwock", "given" : "Lester", "non-dropping-particle" : "", "parse-names" : false, "suffix" : "" }, { "dropping-particle" : "", "family" : "Smith", "given" : "J Keith", "non-dropping-particle" : "", "parse-names" : false, "suffix" : "" }, { "dropping-particle" : "", "family" : "Castillo", "given" : "Mauricio", "non-dropping-particle" : "", "parse-names" : false, "suffix" : "" }, { "dropping-particle" : "", "family" : "Ewend", "given" : "Matthew G", "non-dropping-particle" : "", "parse-names" : false, "suffix" : "" }, { "dropping-particle" : "", "family" : "Collichio", "given" : "Frances", "non-dropping-particle" : "", "parse-names" : false, "suffix" : "" }, { "dropping-particle" : "", "family" : "Morris", "given" : "David E", "non-dropping-particle" : "", "parse-names" : false, "suffix" : "" }, { "dropping-particle" : "", "family" : "Bouldin", "given" : "Thomas W", "non-dropping-particle" : "", "parse-names" : false, "suffix" : "" }, { "dropping-particle" : "", "family" : "Cush", "given" : "Sharon", "non-dropping-particle" : "", "parse-names" : false, "suffix" : "" } ], "container-title" : "The Lancet Oncology", "id" : "ITEM-1", "issue" : "10", "issued" : { "date-parts" : [ [ "2006" ] ] }, "page" : "859-868", "title" : "Clinical role of proton magnetic resonance spectroscopy in oncology: brain, breast, and prostate cancer", "type" : "article-journal", "volume" : "7" }, "uris" : [ "http://www.mendeley.com/documents/?uuid=11580316-dba6-45ef-8979-42ffe6c94143" ] }, { "id" : "ITEM-2", "itemData" : { "DOI" : "10.5152/dir.2015.15009", "ISSN" : "13053612", "author" : [ { "dropping-particle" : "", "family" : "Garc\u00eda-Figueiras", "given" : "Roberto", "non-dropping-particle" : "", "parse-names" : false, "suffix" : "" }, { "dropping-particle" : "", "family" : "Baleato-Gonz\u00e1lez", "given" : "Sandra", "non-dropping-particle" : "", "parse-names" : false, "suffix" : "" }, { "dropping-particle" : "", "family" : "Padhani", "given" : "Anwar R.", "non-dropping-particle" : "", "parse-names" : false, "suffix" : "" }, { "dropping-particle" : "", "family" : "Oleaga", "given" : "Laura", "non-dropping-particle" : "", "parse-names" : false, "suffix" : "" }, { "dropping-particle" : "", "family" : "Vilanova", "given" : "Joan C.", "non-dropping-particle" : "", "parse-names" : false, "suffix" : "" }, { "dropping-particle" : "", "family" : "Luna", "given" : "Antonio", "non-dropping-particle" : "", "parse-names" : false, "suffix" : "" }, { "dropping-particle" : "", "family" : "G\u00f3mez", "given" : "Juan Carlos Cobas", "non-dropping-particle" : "", "parse-names" : false, "suffix" : "" } ], "container-title" : "Diagnostic and Interventional Radiology", "id" : "ITEM-2", "issue" : "1", "issued" : { "date-parts" : [ [ "2016" ] ] }, "page" : "75-89", "title" : "Proton magnetic resonance spectroscopy in oncology: The fingerprints of cancer?", "type" : "article-journal", "volume" : "22" }, "uris" : [ "http://www.mendeley.com/documents/?uuid=77bd71a0-bcd4-442a-ae6a-d0f8fb4d7f61" ] } ], "mendeley" : { "formattedCitation" : "&lt;sup&gt;12,13&lt;/sup&gt;", "plainTextFormattedCitation" : "12,13", "previouslyFormattedCitation" : "&lt;sup&gt;12,13&lt;/sup&gt;" }, "properties" : {  }, "schema" : "https://github.com/citation-style-language/schema/raw/master/csl-citation.json" }</w:instrText>
      </w:r>
      <w:r w:rsidR="00A05EC2" w:rsidRPr="000D72AC">
        <w:fldChar w:fldCharType="separate"/>
      </w:r>
      <w:r w:rsidR="00E20F63" w:rsidRPr="00E20F63">
        <w:rPr>
          <w:noProof/>
          <w:vertAlign w:val="superscript"/>
        </w:rPr>
        <w:t>12,13</w:t>
      </w:r>
      <w:r w:rsidR="00A05EC2" w:rsidRPr="000D72AC">
        <w:fldChar w:fldCharType="end"/>
      </w:r>
      <w:r w:rsidR="002664D2" w:rsidRPr="000D72AC">
        <w:t xml:space="preserve"> </w:t>
      </w:r>
    </w:p>
    <w:p w14:paraId="3F43DAAB" w14:textId="77777777" w:rsidR="0023287C" w:rsidRDefault="0023287C" w:rsidP="00625759">
      <w:pPr>
        <w:spacing w:line="360" w:lineRule="auto"/>
        <w:jc w:val="both"/>
      </w:pPr>
    </w:p>
    <w:p w14:paraId="29289A94" w14:textId="72AD8731" w:rsidR="0023287C" w:rsidRDefault="00D45A56" w:rsidP="00625759">
      <w:pPr>
        <w:spacing w:line="360" w:lineRule="auto"/>
        <w:jc w:val="both"/>
      </w:pPr>
      <w:r>
        <w:t>An alternative approach to the steady state measurement of tissue metabolites</w:t>
      </w:r>
      <w:r w:rsidR="003B5743" w:rsidRPr="000D72AC">
        <w:t>,</w:t>
      </w:r>
      <w:r>
        <w:t xml:space="preserve"> is to </w:t>
      </w:r>
      <w:r w:rsidR="00583A1E">
        <w:t>probe</w:t>
      </w:r>
      <w:r w:rsidR="00523F79">
        <w:t xml:space="preserve"> dynamic changes in metabolites </w:t>
      </w:r>
      <w:r w:rsidR="003B4890">
        <w:t>during</w:t>
      </w:r>
      <w:r w:rsidR="00583A1E">
        <w:t xml:space="preserve"> enzymatic reactions</w:t>
      </w:r>
      <w:r w:rsidR="003B4890">
        <w:t>, which</w:t>
      </w:r>
      <w:r w:rsidR="00523F79">
        <w:t xml:space="preserve"> can be assessed</w:t>
      </w:r>
      <w:r w:rsidR="00583A1E">
        <w:t xml:space="preserve"> </w:t>
      </w:r>
      <w:r w:rsidR="00E926F9">
        <w:t>through</w:t>
      </w:r>
      <w:r w:rsidR="00583A1E">
        <w:t xml:space="preserve"> the exogenous administration of </w:t>
      </w:r>
      <w:r w:rsidR="00523F79">
        <w:t xml:space="preserve">labelled </w:t>
      </w:r>
      <w:r w:rsidR="00583A1E">
        <w:t>metabolites</w:t>
      </w:r>
      <w:r>
        <w:t>.</w:t>
      </w:r>
      <w:r w:rsidR="003B5743" w:rsidRPr="000D72AC">
        <w:t xml:space="preserve"> </w:t>
      </w:r>
      <w:r w:rsidR="00E926F9">
        <w:t>A</w:t>
      </w:r>
      <w:r w:rsidR="00583A1E">
        <w:t xml:space="preserve"> </w:t>
      </w:r>
      <w:r w:rsidR="003B5743" w:rsidRPr="000D72AC">
        <w:t>physiologically</w:t>
      </w:r>
      <w:r w:rsidR="00583A1E">
        <w:t>-</w:t>
      </w:r>
      <w:r w:rsidR="003B5743" w:rsidRPr="000D72AC">
        <w:t>active substrate</w:t>
      </w:r>
      <w:r w:rsidR="00583A1E">
        <w:t xml:space="preserve"> labelled</w:t>
      </w:r>
      <w:r w:rsidR="003B5743" w:rsidRPr="000D72AC">
        <w:t xml:space="preserve"> with </w:t>
      </w:r>
      <w:r w:rsidR="004165F7">
        <w:t xml:space="preserve">a </w:t>
      </w:r>
      <w:r w:rsidR="00583A1E">
        <w:t>nucleus</w:t>
      </w:r>
      <w:r w:rsidR="004165F7">
        <w:t xml:space="preserve"> that can be detected with MRI</w:t>
      </w:r>
      <w:r w:rsidR="003B5743" w:rsidRPr="000D72AC">
        <w:t xml:space="preserve">, </w:t>
      </w:r>
      <w:r w:rsidR="003B4890" w:rsidRPr="000D72AC">
        <w:t>allow</w:t>
      </w:r>
      <w:r w:rsidR="003B4890">
        <w:t>s</w:t>
      </w:r>
      <w:r w:rsidR="003B4890" w:rsidRPr="000D72AC">
        <w:t xml:space="preserve"> </w:t>
      </w:r>
      <w:r w:rsidR="003B5743" w:rsidRPr="000D72AC">
        <w:t xml:space="preserve">spectral discrimination between the substrate and </w:t>
      </w:r>
      <w:r w:rsidR="002664D2" w:rsidRPr="000D72AC">
        <w:t>its</w:t>
      </w:r>
      <w:r w:rsidR="003B5743" w:rsidRPr="000D72AC">
        <w:t xml:space="preserve"> subsequent downstream metabolic products</w:t>
      </w:r>
      <w:r w:rsidR="00E926F9">
        <w:t>; when applied to imaging it allows the spatial distribution of both the substrate and the product to be detected.</w:t>
      </w:r>
      <w:r w:rsidR="004F7857" w:rsidRPr="004F7857">
        <w:t xml:space="preserve"> </w:t>
      </w:r>
      <w:r w:rsidR="004F7857" w:rsidRPr="000D72AC">
        <w:t>However</w:t>
      </w:r>
      <w:r w:rsidR="004D6B0B">
        <w:t>,</w:t>
      </w:r>
      <w:r w:rsidR="004F7857" w:rsidRPr="000D72AC">
        <w:t xml:space="preserve"> MR</w:t>
      </w:r>
      <w:r w:rsidR="004F7857">
        <w:t>S</w:t>
      </w:r>
      <w:r w:rsidR="004F7857" w:rsidRPr="000D72AC">
        <w:t xml:space="preserve"> </w:t>
      </w:r>
      <w:r w:rsidR="004F7857">
        <w:t>requires long acquisition times which in turn makes it difficult to</w:t>
      </w:r>
      <w:r w:rsidR="004F7857" w:rsidRPr="000D72AC">
        <w:t xml:space="preserve"> </w:t>
      </w:r>
      <w:r w:rsidR="004F7857">
        <w:t xml:space="preserve">discriminate rapid </w:t>
      </w:r>
      <w:r w:rsidR="004F7857" w:rsidRPr="000D72AC">
        <w:t xml:space="preserve">changes </w:t>
      </w:r>
      <w:r w:rsidR="000760F4">
        <w:t>in real-</w:t>
      </w:r>
      <w:r w:rsidR="004F7857">
        <w:t xml:space="preserve">time </w:t>
      </w:r>
      <w:r w:rsidR="004F7857" w:rsidRPr="000D72AC">
        <w:t>metabolism</w:t>
      </w:r>
      <w:r w:rsidR="004F7857">
        <w:t xml:space="preserve"> </w:t>
      </w:r>
      <w:r w:rsidR="004F7857" w:rsidRPr="00625759">
        <w:rPr>
          <w:i/>
        </w:rPr>
        <w:t>in vivo</w:t>
      </w:r>
      <w:r w:rsidR="004F7857" w:rsidRPr="000D72AC">
        <w:t xml:space="preserve">. </w:t>
      </w:r>
      <w:r w:rsidR="003B5743" w:rsidRPr="000D72AC">
        <w:t xml:space="preserve"> </w:t>
      </w:r>
      <w:r w:rsidR="00583A1E" w:rsidRPr="000D72AC">
        <w:rPr>
          <w:vertAlign w:val="superscript"/>
        </w:rPr>
        <w:t>13</w:t>
      </w:r>
      <w:r w:rsidR="00583A1E" w:rsidRPr="000D72AC">
        <w:t xml:space="preserve">C </w:t>
      </w:r>
      <w:r w:rsidR="00EE353D">
        <w:t xml:space="preserve">is ideal for labelling endogenous </w:t>
      </w:r>
      <w:r w:rsidR="00583A1E" w:rsidRPr="000D72AC">
        <w:t>metaboli</w:t>
      </w:r>
      <w:r w:rsidR="00EE353D">
        <w:t>c molecules</w:t>
      </w:r>
      <w:r w:rsidR="003B4890">
        <w:t xml:space="preserve"> which are mostly carbon based, as</w:t>
      </w:r>
      <w:r w:rsidR="003B5743" w:rsidRPr="000D72AC">
        <w:t xml:space="preserve"> its low </w:t>
      </w:r>
      <w:r w:rsidR="00583A1E">
        <w:t xml:space="preserve">natural </w:t>
      </w:r>
      <w:r w:rsidR="003B5743" w:rsidRPr="000D72AC">
        <w:t>abundance</w:t>
      </w:r>
      <w:r w:rsidR="00EE353D">
        <w:t xml:space="preserve"> (1.1%)</w:t>
      </w:r>
      <w:r w:rsidR="003B4890">
        <w:t xml:space="preserve"> results in</w:t>
      </w:r>
      <w:r w:rsidR="00EE353D">
        <w:t xml:space="preserve"> a</w:t>
      </w:r>
      <w:r w:rsidR="003B5743" w:rsidRPr="000D72AC">
        <w:t xml:space="preserve"> low </w:t>
      </w:r>
      <w:r w:rsidR="003B4890">
        <w:t xml:space="preserve">level of </w:t>
      </w:r>
      <w:r w:rsidR="003B5743" w:rsidRPr="000D72AC">
        <w:t>background noise</w:t>
      </w:r>
      <w:r w:rsidR="00583A1E">
        <w:t xml:space="preserve">. </w:t>
      </w:r>
      <w:r w:rsidR="003B5743" w:rsidRPr="000D72AC">
        <w:rPr>
          <w:vertAlign w:val="superscript"/>
        </w:rPr>
        <w:t>13</w:t>
      </w:r>
      <w:r w:rsidR="003B5743" w:rsidRPr="000D72AC">
        <w:t>C</w:t>
      </w:r>
      <w:r w:rsidR="00CE06D4">
        <w:t>-</w:t>
      </w:r>
      <w:r w:rsidR="00710D55">
        <w:t xml:space="preserve">MRS </w:t>
      </w:r>
      <w:r w:rsidR="00B03C51">
        <w:t xml:space="preserve">acquisition from either a single voxel or a small number of voxels </w:t>
      </w:r>
      <w:r w:rsidR="003B5743" w:rsidRPr="000D72AC">
        <w:t xml:space="preserve">has been used to successfully </w:t>
      </w:r>
      <w:r w:rsidR="003B4890">
        <w:t>analyse</w:t>
      </w:r>
      <w:r w:rsidR="003B4890" w:rsidRPr="000D72AC">
        <w:t xml:space="preserve"> </w:t>
      </w:r>
      <w:r w:rsidR="003B5743" w:rsidRPr="000D72AC">
        <w:t xml:space="preserve">many </w:t>
      </w:r>
      <w:r w:rsidR="001E0D7D">
        <w:t>physiological processes in organs</w:t>
      </w:r>
      <w:r w:rsidR="00583A1E">
        <w:t xml:space="preserve"> </w:t>
      </w:r>
      <w:r w:rsidR="00E43E61">
        <w:t xml:space="preserve">such as </w:t>
      </w:r>
      <w:r w:rsidR="00CE06D4">
        <w:t xml:space="preserve">in </w:t>
      </w:r>
      <w:r w:rsidR="00E43E61">
        <w:t>the</w:t>
      </w:r>
      <w:r w:rsidR="003B5743" w:rsidRPr="000D72AC">
        <w:t xml:space="preserve"> </w:t>
      </w:r>
      <w:r w:rsidR="00421367">
        <w:t>brain</w:t>
      </w:r>
      <w:r w:rsidR="00E43E61">
        <w:t>,</w:t>
      </w:r>
      <w:r w:rsidR="00421367">
        <w:t xml:space="preserve"> a</w:t>
      </w:r>
      <w:r w:rsidR="00CE06D4">
        <w:t xml:space="preserve">s well as </w:t>
      </w:r>
      <w:r w:rsidR="003B4890">
        <w:t>pathological processes</w:t>
      </w:r>
      <w:r w:rsidR="00E43E61">
        <w:t xml:space="preserve"> including </w:t>
      </w:r>
      <w:r w:rsidR="003B5743" w:rsidRPr="000D72AC">
        <w:t>cancer.</w:t>
      </w:r>
      <w:r w:rsidR="00912380">
        <w:fldChar w:fldCharType="begin" w:fldLock="1"/>
      </w:r>
      <w:r w:rsidR="006D4D5D">
        <w:instrText>ADDIN CSL_CITATION { "citationItems" : [ { "id" : "ITEM-1", "itemData" : { "DOI" : "10.1002/nbm.844", "ISBN" : "0952-3480 (Print)\\r0952-3480 (Linking)", "ISSN" : "0952-3480", "PMID" : "14679497", "abstract" : "The power of (13)C-MRS lies in its unique chemical specificity, enabling detection and quantification of metabolic intermediates which would not be so readily monitored using conventional radiochemical techniques. Examples from animal studies, by examination of tissue extracts from the whole brain, brain slices and cultured cells, include observation of intermediates such as citrate and triose phosphates which have yielded novel information on neuronal/glial relationships. The use of (13)C-labelled acetate as a specific precursor for glial metabolism provided evidence in support of the view that some of the GABA produced in the brain is derived from glial glutamine. Such studies have also provided direct evidence on the contribution of anaplerotic pathways to intermediary metabolism. Analogous studies are now being performed on the human brain, where (13)C-acetate is used to quantitate the overall contribution of glial cells to intermediary metabolism, and use of (13)C-glucose enables direct calculation of rates of flux through the TCA (F(TCA)) and of the glutamate-glutamine cycle (F(CYC)), leading to the conclusion that the rate of glial recycling of glutamate accounts for some 50% of F(TCA). The rate of 0.74 micromol min(-1) g(-1) for F(TCA) is compatible with PET rates of CMRglc of 0.3-0.4 micromol min(-1) g(-1) (since each glucose molecule yields two molecules of pyruvate entering the TCA). Our brain activation studies showed a 60% increase in F(TCA), which is very similar to the increases in CBF and in CMRglc observed in PET activation studies.", "author" : [ { "dropping-particle" : "", "family" : "Morris", "given" : "Peter", "non-dropping-particle" : "", "parse-names" : false, "suffix" : "" }, { "dropping-particle" : "", "family" : "Bachelard", "given" : "Herman", "non-dropping-particle" : "", "parse-names" : false, "suffix" : "" } ], "container-title" : "NMR in biomedicine", "id" : "ITEM-1", "issue" : "6-7", "issued" : { "date-parts" : [ [ "2003" ] ] }, "page" : "303-12", "title" : "Reflections on the application of 13C-MRS to research on brain metabolism.", "type" : "article-journal", "volume" : "16" }, "uris" : [ "http://www.mendeley.com/documents/?uuid=24bab125-e693-4d7e-b89b-a014bbddfccf" ] }, { "id" : "ITEM-2", "itemData" : { "DOI" : "10.1016/0167-4889(90)90219-4", "ISSN" : "01674889", "PMID" : "2334736", "abstract" : "The early changes in the energetics of T47D-clone 11 human breast cancer cells, following treatment with adriamycin and several other anti-cancer drugs were characterized by 31P- and 13C-NMR spectroscopy. Treatment of the cells with cytotoxic doses of either adriamycin (10-5 M), daunomycin (10-5 M) or actinomycin-D (2 ?? 10-6 M) induced an immediate increase in the content of the nucleoside triphosphate (NTP) pool. A maximum increase of 30 to 50% was reached 6 to 8 h after treatment, and was followed by a gradual decrease, in accord with the decline in cell number due to cell death. High-performance liquid chromatography measurements indicated that the adriamycin-induced build-up of the NTP pool was mainly due to a specific increase in ATP and GTP. Treatment with cytotoxic doses of cytosine arabinofuranoside (10-4 M) and cis-platin (10-4 M) and with the antiestrogen tamoxifen at a dose which inhibited growth (2 ?? 10-6 M) did not induce an early increase in the NTP content. Adriamycin and actinomycin-D did not alter significantly the rates of glucose consumption and lactate production via glycolysis during the first 4 to 8 h of treatment. Both drugs, however, caused during this time interval a 50% inhibition in the rate of glutamate synthesis via the Krebs cycle. Complementary flow cytometry studies have indicated that within 4 h of treatment with either adriamycin or actinomycin-D there is no detectable change in cell cycle distribution. Treatment for longer time periods indicated that each drug affects the cell cycle distribution in a different manner. Thus, the early increase in NTP can not be associated with a specific cell cycle distribution. The results suggest therefore that drugs of the antracycline and actinomycine type exert a similar specific and early metabolic induction which may affect the energy state of the cells. This induction may relate to the cytotoxic mechanism and could potentially serve as an early marker for response to treatment. ?? 1990.", "author" : [ { "dropping-particle" : "", "family" : "Neeman", "given" : "Michal", "non-dropping-particle" : "", "parse-names" : false, "suffix" : "" }, { "dropping-particle" : "", "family" : "Eldar", "given" : "Hagit", "non-dropping-particle" : "", "parse-names" : false, "suffix" : "" }, { "dropping-particle" : "", "family" : "Rushkin", "given" : "Edna", "non-dropping-particle" : "", "parse-names" : false, "suffix" : "" }, { "dropping-particle" : "", "family" : "Degani", "given" : "Hadassa", "non-dropping-particle" : "", "parse-names" : false, "suffix" : "" } ], "container-title" : "BBA - Molecular Cell Research", "id" : "ITEM-2", "issue" : "2", "issued" : { "date-parts" : [ [ "1990" ] ] }, "page" : "255-263", "title" : "Chemotherapy-induced changes in the energetics of human breast cancer cells; 31P- and 13C-NMR studies", "type" : "article-journal", "volume" : "1052" }, "uris" : [ "http://www.mendeley.com/documents/?uuid=a5099677-7f27-4a58-a8c6-369c4e166931" ] }, { "id" : "ITEM-3", "itemData" : { "DOI" : "10.1155/2014/759791", "ISSN" : "2314-6141", "PMID" : "25093181", "abstract" : "(13)C NMR isotopomer analysis was used to characterize intermediary metabolism in three colorectal cancer cell lines (WiDr, LS1034, and C2BBe1) and determine the \"metabolic remodeling\" that occurs under hypoxia. Under normoxia, the three colorectal cancer cell lines present high rates of lactate production and can be seen as \"Warburg\" like cancer cells independently of substrate availability, since such profile was dominant at both high and low glucose media contents. The LS1034 was the less glycolytic of the three cell lines and was the most affected by the event of hypoxia, raising abruptly glucose consumption and lactate production. The other two colorectal cell lines, WiDr and C2BBe1, adapted better to hypoxia and were able to maintain their oxidative fluxes even at the very low levels of oxygen. These differential metabolic behaviors of the three colorectal cell lines show how important an adequate knowledge of the \"metabolic remodeling\" that follows a given cancer treatment is towards the correct (re)design of therapeutic strategies against cancer.", "author" : [ { "dropping-particle" : "", "family" : "Abrantes", "given" : "Ana M", "non-dropping-particle" : "", "parse-names" : false, "suffix" : "" }, { "dropping-particle" : "", "family" : "Tavares", "given" : "Ludgero C", "non-dropping-particle" : "", "parse-names" : false, "suffix" : "" }, { "dropping-particle" : "", "family" : "Pires", "given" : "Salom\u00e9", "non-dropping-particle" : "", "parse-names" : false, "suffix" : "" }, { "dropping-particle" : "", "family" : "Casalta-Lopes", "given" : "Jo\u00e3o", "non-dropping-particle" : "", "parse-names" : false, "suffix" : "" }, { "dropping-particle" : "", "family" : "Mendes", "given" : "C\u00e2ndida", "non-dropping-particle" : "", "parse-names" : false, "suffix" : "" }, { "dropping-particle" : "", "family" : "Sim\u00f5es", "given" : "Marta", "non-dropping-particle" : "", "parse-names" : false, "suffix" : "" }, { "dropping-particle" : "", "family" : "Grazina", "given" : "Manuela M", "non-dropping-particle" : "", "parse-names" : false, "suffix" : "" }, { "dropping-particle" : "", "family" : "Carvalho", "given" : "Rui a", "non-dropping-particle" : "", "parse-names" : false, "suffix" : "" }, { "dropping-particle" : "", "family" : "Botelho", "given" : "Maria Filomena", "non-dropping-particle" : "", "parse-names" : false, "suffix" : "" } ], "container-title" : "BioMed research international", "id" : "ITEM-3", "issued" : { "date-parts" : [ [ "2014" ] ] }, "page" : "759791", "title" : "Metabolic effects of hypoxia in colorectal cancer by (13) C NMR isotopomer analysis.", "type" : "article-journal", "volume" : "2014" }, "uris" : [ "http://www.mendeley.com/documents/?uuid=fc0a2a46-2af5-4e02-98e2-976efe528de1" ] } ], "mendeley" : { "formattedCitation" : "&lt;sup&gt;22\u201324&lt;/sup&gt;", "plainTextFormattedCitation" : "22\u201324", "previouslyFormattedCitation" : "&lt;sup&gt;22\u201324&lt;/sup&gt;" }, "properties" : {  }, "schema" : "https://github.com/citation-style-language/schema/raw/master/csl-citation.json" }</w:instrText>
      </w:r>
      <w:r w:rsidR="00912380">
        <w:fldChar w:fldCharType="separate"/>
      </w:r>
      <w:r w:rsidR="002A7002" w:rsidRPr="002A7002">
        <w:rPr>
          <w:noProof/>
          <w:vertAlign w:val="superscript"/>
        </w:rPr>
        <w:t>22–24</w:t>
      </w:r>
      <w:r w:rsidR="00912380">
        <w:fldChar w:fldCharType="end"/>
      </w:r>
      <w:r w:rsidR="003B5743" w:rsidRPr="000D72AC">
        <w:t xml:space="preserve"> </w:t>
      </w:r>
      <w:r w:rsidR="003B4890">
        <w:t>Although</w:t>
      </w:r>
      <w:r w:rsidR="00BA6DFB">
        <w:t xml:space="preserve"> </w:t>
      </w:r>
      <w:r w:rsidR="00BA6DFB" w:rsidRPr="00C855E9">
        <w:rPr>
          <w:vertAlign w:val="superscript"/>
        </w:rPr>
        <w:t>13</w:t>
      </w:r>
      <w:r w:rsidR="00BA6DFB">
        <w:t>C-</w:t>
      </w:r>
      <w:r w:rsidR="00710D55">
        <w:t>MRS</w:t>
      </w:r>
      <w:r w:rsidR="00BA6DFB">
        <w:t xml:space="preserve"> has been used to detect e</w:t>
      </w:r>
      <w:r w:rsidR="00E25E1F">
        <w:t xml:space="preserve">arly </w:t>
      </w:r>
      <w:r w:rsidR="00C855E9">
        <w:t xml:space="preserve">changes in </w:t>
      </w:r>
      <w:r w:rsidR="00BA6DFB">
        <w:t xml:space="preserve">cancer </w:t>
      </w:r>
      <w:r w:rsidR="00C855E9">
        <w:t>metaboli</w:t>
      </w:r>
      <w:r w:rsidR="00BA6DFB">
        <w:t>sm</w:t>
      </w:r>
      <w:r w:rsidR="00C855E9">
        <w:t xml:space="preserve"> </w:t>
      </w:r>
      <w:r w:rsidR="00E25E1F">
        <w:t>as a</w:t>
      </w:r>
      <w:r w:rsidR="000760F4">
        <w:t xml:space="preserve"> bio</w:t>
      </w:r>
      <w:r w:rsidR="00E25E1F" w:rsidRPr="00E25E1F">
        <w:t>marker for response to treatment</w:t>
      </w:r>
      <w:r w:rsidR="00E25E1F">
        <w:fldChar w:fldCharType="begin" w:fldLock="1"/>
      </w:r>
      <w:r w:rsidR="006D4D5D">
        <w:instrText>ADDIN CSL_CITATION { "citationItems" : [ { "id" : "ITEM-1", "itemData" : { "DOI" : "10.1016/0167-4889(90)90219-4", "ISSN" : "01674889", "PMID" : "2334736", "abstract" : "The early changes in the energetics of T47D-clone 11 human breast cancer cells, following treatment with adriamycin and several other anti-cancer drugs were characterized by 31P- and 13C-NMR spectroscopy. Treatment of the cells with cytotoxic doses of either adriamycin (10-5 M), daunomycin (10-5 M) or actinomycin-D (2 ?? 10-6 M) induced an immediate increase in the content of the nucleoside triphosphate (NTP) pool. A maximum increase of 30 to 50% was reached 6 to 8 h after treatment, and was followed by a gradual decrease, in accord with the decline in cell number due to cell death. High-performance liquid chromatography measurements indicated that the adriamycin-induced build-up of the NTP pool was mainly due to a specific increase in ATP and GTP. Treatment with cytotoxic doses of cytosine arabinofuranoside (10-4 M) and cis-platin (10-4 M) and with the antiestrogen tamoxifen at a dose which inhibited growth (2 ?? 10-6 M) did not induce an early increase in the NTP content. Adriamycin and actinomycin-D did not alter significantly the rates of glucose consumption and lactate production via glycolysis during the first 4 to 8 h of treatment. Both drugs, however, caused during this time interval a 50% inhibition in the rate of glutamate synthesis via the Krebs cycle. Complementary flow cytometry studies have indicated that within 4 h of treatment with either adriamycin or actinomycin-D there is no detectable change in cell cycle distribution. Treatment for longer time periods indicated that each drug affects the cell cycle distribution in a different manner. Thus, the early increase in NTP can not be associated with a specific cell cycle distribution. The results suggest therefore that drugs of the antracycline and actinomycine type exert a similar specific and early metabolic induction which may affect the energy state of the cells. This induction may relate to the cytotoxic mechanism and could potentially serve as an early marker for response to treatment. ?? 1990.", "author" : [ { "dropping-particle" : "", "family" : "Neeman", "given" : "Michal", "non-dropping-particle" : "", "parse-names" : false, "suffix" : "" }, { "dropping-particle" : "", "family" : "Eldar", "given" : "Hagit", "non-dropping-particle" : "", "parse-names" : false, "suffix" : "" }, { "dropping-particle" : "", "family" : "Rushkin", "given" : "Edna", "non-dropping-particle" : "", "parse-names" : false, "suffix" : "" }, { "dropping-particle" : "", "family" : "Degani", "given" : "Hadassa", "non-dropping-particle" : "", "parse-names" : false, "suffix" : "" } ], "container-title" : "BBA - Molecular Cell Research", "id" : "ITEM-1", "issue" : "2", "issued" : { "date-parts" : [ [ "1990" ] ] }, "page" : "255-263", "title" : "Chemotherapy-induced changes in the energetics of human breast cancer cells; 31P- and 13C-NMR studies", "type" : "article-journal", "volume" : "1052" }, "uris" : [ "http://www.mendeley.com/documents/?uuid=a5099677-7f27-4a58-a8c6-369c4e166931" ] } ], "mendeley" : { "formattedCitation" : "&lt;sup&gt;23&lt;/sup&gt;", "plainTextFormattedCitation" : "23", "previouslyFormattedCitation" : "&lt;sup&gt;23&lt;/sup&gt;" }, "properties" : {  }, "schema" : "https://github.com/citation-style-language/schema/raw/master/csl-citation.json" }</w:instrText>
      </w:r>
      <w:r w:rsidR="00E25E1F">
        <w:fldChar w:fldCharType="separate"/>
      </w:r>
      <w:r w:rsidR="002A7002" w:rsidRPr="002A7002">
        <w:rPr>
          <w:noProof/>
          <w:vertAlign w:val="superscript"/>
        </w:rPr>
        <w:t>23</w:t>
      </w:r>
      <w:r w:rsidR="00E25E1F">
        <w:fldChar w:fldCharType="end"/>
      </w:r>
      <w:r w:rsidR="003B4890">
        <w:t>,</w:t>
      </w:r>
      <w:r w:rsidR="00E25E1F">
        <w:t xml:space="preserve">  </w:t>
      </w:r>
      <w:r w:rsidR="003B4890">
        <w:t xml:space="preserve">its utility </w:t>
      </w:r>
      <w:r w:rsidR="003B5743" w:rsidRPr="000D72AC">
        <w:t xml:space="preserve">is limited by </w:t>
      </w:r>
      <w:r w:rsidR="00F97BF8">
        <w:t xml:space="preserve">very </w:t>
      </w:r>
      <w:r w:rsidR="003B5743" w:rsidRPr="000D72AC">
        <w:t xml:space="preserve">low </w:t>
      </w:r>
      <w:r w:rsidR="00583A1E">
        <w:t>SNR</w:t>
      </w:r>
      <w:r w:rsidR="00FA3BE7">
        <w:t xml:space="preserve"> as well as </w:t>
      </w:r>
      <w:r w:rsidR="005B30B2">
        <w:t>poor</w:t>
      </w:r>
      <w:r w:rsidR="00FA3BE7">
        <w:t xml:space="preserve"> </w:t>
      </w:r>
      <w:r w:rsidR="003B5743" w:rsidRPr="000D72AC">
        <w:t>temporal</w:t>
      </w:r>
      <w:r w:rsidR="00FA3BE7">
        <w:t xml:space="preserve"> and </w:t>
      </w:r>
      <w:r w:rsidR="00FA3BE7">
        <w:lastRenderedPageBreak/>
        <w:t>spatial resolution</w:t>
      </w:r>
      <w:r w:rsidR="003B5743" w:rsidRPr="000D72AC">
        <w:t xml:space="preserve">. </w:t>
      </w:r>
      <w:r w:rsidR="00E926F9">
        <w:t xml:space="preserve">Therefore the </w:t>
      </w:r>
      <w:r w:rsidR="005B30B2">
        <w:t xml:space="preserve">increase in SNR afforded by </w:t>
      </w:r>
      <w:r w:rsidR="00E926F9">
        <w:t>DNP</w:t>
      </w:r>
      <w:r w:rsidR="005B30B2">
        <w:t xml:space="preserve"> </w:t>
      </w:r>
      <w:r w:rsidR="00E926F9">
        <w:t xml:space="preserve">has opened up the possibility of </w:t>
      </w:r>
      <w:r w:rsidR="00D5013D">
        <w:t>applying</w:t>
      </w:r>
      <w:r w:rsidR="00D5013D" w:rsidRPr="000D72AC">
        <w:t xml:space="preserve"> </w:t>
      </w:r>
      <w:r w:rsidR="00D5013D" w:rsidRPr="000D72AC">
        <w:rPr>
          <w:vertAlign w:val="superscript"/>
        </w:rPr>
        <w:t>13</w:t>
      </w:r>
      <w:r w:rsidR="00D5013D" w:rsidRPr="000D72AC">
        <w:t>C</w:t>
      </w:r>
      <w:r w:rsidR="00D5013D">
        <w:t>-MRS in new ways</w:t>
      </w:r>
      <w:r w:rsidR="004F7857">
        <w:t>,</w:t>
      </w:r>
      <w:r w:rsidR="00D5013D">
        <w:t xml:space="preserve"> </w:t>
      </w:r>
      <w:r w:rsidR="003B5743" w:rsidRPr="000D72AC">
        <w:t>allow</w:t>
      </w:r>
      <w:r w:rsidR="00D5013D">
        <w:t>ing</w:t>
      </w:r>
      <w:r w:rsidR="003B5743" w:rsidRPr="000D72AC">
        <w:t xml:space="preserve"> for rapid acquisition of </w:t>
      </w:r>
      <w:r w:rsidR="005B30B2">
        <w:t>imaging</w:t>
      </w:r>
      <w:r w:rsidR="003B5743" w:rsidRPr="000D72AC">
        <w:t xml:space="preserve"> to probe real-time metabolism.</w:t>
      </w:r>
      <w:r w:rsidR="00813899">
        <w:fldChar w:fldCharType="begin" w:fldLock="1"/>
      </w:r>
      <w:r w:rsidR="006D4D5D">
        <w:instrText>ADDIN CSL_CITATION { "citationItems" : [ { "id" : "ITEM-1", "itemData" : { "DOI" : "10.1073/pnas.1733835100", "ISBN" : "0027-8424 (Print)\\r0027-8424 (Linking)", "ISSN" : "0027-8424", "PMID" : "12930897", "abstract" : "A method for obtaining strongly polarized nuclear spins in solution has been developed. The method uses low temperature, high magnetic field, and dynamic nuclear polarization (DNP) to strongly polarize nuclear spins in the solid state. The solid sample is subsequently dissolved rapidly in a suitable solvent to create a solution of molecules with hyperpolarized nuclear spins. The polarization is performed in a DNP polarizer, consisting of a super-conducting magnet (3.35 T) and a liquid-helium cooled sample space. The sample is irradiated with microwaves at approximately 94 GHz. Subsequent to polarization, the sample is dissolved by an injection system inside the DNP magnet. The dissolution process effectively preserves the nuclear polarization. The resulting hyperpolarized liquid sample can be transferred to a high-resolution NMR spectrometer, where an enhanced NMR signal can be acquired, or it may be used as an agent for in vivo imaging or spectroscopy. In this article we describe the use of the method on aqueous solutions of [13C]urea. Polarizations of 37% for 13C and 7.8% for 15N, respectively, were obtained after the dissolution. These polarizations correspond to an enhancement of 44,400 for 13C and 23,500 for 15N, respectively, compared with thermal equilibrium at 9.4 T and room temperature. The method can be used generally for signal enhancement and reduction of measurement time in liquid-state NMR and opens up for a variety of in vitro and in vivo applications of DNP-enhanced NMR.", "author" : [ { "dropping-particle" : "", "family" : "Ardenkjaer-Larsen", "given" : "Jan H", "non-dropping-particle" : "", "parse-names" : false, "suffix" : "" }, { "dropping-particle" : "", "family" : "Fridlund", "given" : "Bj\u00f6rn", "non-dropping-particle" : "", "parse-names" : false, "suffix" : "" }, { "dropping-particle" : "", "family" : "Gram", "given" : "Andreas", "non-dropping-particle" : "", "parse-names" : false, "suffix" : "" }, { "dropping-particle" : "", "family" : "Hansson", "given" : "Georg", "non-dropping-particle" : "", "parse-names" : false, "suffix" : "" }, { "dropping-particle" : "", "family" : "Hansson", "given" : "Lennart", "non-dropping-particle" : "", "parse-names" : false, "suffix" : "" }, { "dropping-particle" : "", "family" : "Lerche", "given" : "Mathilde H", "non-dropping-particle" : "", "parse-names" : false, "suffix" : "" }, { "dropping-particle" : "", "family" : "Servin", "given" : "Rolf", "non-dropping-particle" : "", "parse-names" : false, "suffix" : "" }, { "dropping-particle" : "", "family" : "Thaning", "given" : "Mikkel", "non-dropping-particle" : "", "parse-names" : false, "suffix" : "" }, { "dropping-particle" : "", "family" : "Golman", "given" : "Klaes", "non-dropping-particle" : "", "parse-names" : false, "suffix" : "" } ], "container-title" : "Proceedings of the National Academy of Sciences of the United States of America", "id" : "ITEM-1", "issue" : "18", "issued" : { "date-parts" : [ [ "2003" ] ] }, "page" : "10158-63", "title" : "Increase in signal-to-noise ratio of &gt; 10,000 times in liquid-state NMR.", "type" : "article-journal", "volume" : "100" }, "uris" : [ "http://www.mendeley.com/documents/?uuid=60ab8556-9f41-4e59-bbd9-cab964ce441e" ] }, { "id" : "ITEM-2", "itemData" : { "DOI" : "10.1002/jmri.23753", "ISSN" : "10531807", "author" : [ { "dropping-particle" : "", "family" : "Hurd", "given" : "Ralph E.", "non-dropping-particle" : "", "parse-names" : false, "suffix" : "" }, { "dropping-particle" : "", "family" : "Yen", "given" : "Yi-Fen", "non-dropping-particle" : "", "parse-names" : false, "suffix" : "" }, { "dropping-particle" : "", "family" : "Chen", "given" : "Albert", "non-dropping-particle" : "", "parse-names" : false, "suffix" : "" }, { "dropping-particle" : "", "family" : "Ardenkjaer-Larsen", "given" : "Jan Henrik", "non-dropping-particle" : "", "parse-names" : false, "suffix" : "" } ], "container-title" : "Journal of Magnetic Resonance Imaging", "id" : "ITEM-2", "issue" : "6", "issued" : { "date-parts" : [ [ "2012" ] ] }, "page" : "1314-1328", "title" : "Hyperpolarized 13C metabolic imaging using dissolution dynamic nuclear polarization", "type" : "article-journal", "volume" : "36" }, "uris" : [ "http://www.mendeley.com/documents/?uuid=a3a4b218-d9ac-43b6-a958-56ee31a2479b" ] } ], "mendeley" : { "formattedCitation" : "&lt;sup&gt;17,25&lt;/sup&gt;", "plainTextFormattedCitation" : "17,25", "previouslyFormattedCitation" : "&lt;sup&gt;17,25&lt;/sup&gt;" }, "properties" : {  }, "schema" : "https://github.com/citation-style-language/schema/raw/master/csl-citation.json" }</w:instrText>
      </w:r>
      <w:r w:rsidR="00813899">
        <w:fldChar w:fldCharType="separate"/>
      </w:r>
      <w:r w:rsidR="002A7002" w:rsidRPr="002A7002">
        <w:rPr>
          <w:noProof/>
          <w:vertAlign w:val="superscript"/>
        </w:rPr>
        <w:t>17,25</w:t>
      </w:r>
      <w:r w:rsidR="00813899">
        <w:fldChar w:fldCharType="end"/>
      </w:r>
    </w:p>
    <w:p w14:paraId="706AE42F" w14:textId="24AA55D8" w:rsidR="008161B7" w:rsidRDefault="00C2092D" w:rsidP="00625759">
      <w:pPr>
        <w:spacing w:before="240" w:line="360" w:lineRule="auto"/>
        <w:jc w:val="both"/>
      </w:pPr>
      <w:r>
        <w:t>There are several methods that have been described for increasing nuclear polarisation and generically they are termed hyperpolari</w:t>
      </w:r>
      <w:r w:rsidR="00030E78">
        <w:t>s</w:t>
      </w:r>
      <w:r>
        <w:t xml:space="preserve">ation techniques; for example, there are </w:t>
      </w:r>
      <w:r w:rsidR="005B30B2">
        <w:t xml:space="preserve">a number of </w:t>
      </w:r>
      <w:r>
        <w:t>approaches for the hyperpolarisation of gases used in ventilation imaging.</w:t>
      </w:r>
      <w:r w:rsidR="00CE79A4">
        <w:fldChar w:fldCharType="begin" w:fldLock="1"/>
      </w:r>
      <w:r w:rsidR="006D4D5D">
        <w:instrText>ADDIN CSL_CITATION { "citationItems" : [ { "id" : "ITEM-1", "itemData" : { "DOI" : "10.1002/jmri.25002", "ISBN" : "1522-2586 (Electronic)\\r1053-1807 (Linking)", "ISSN" : "15222586", "PMID" : "26218920", "abstract" : "This review focuses on the state-of-the-art of the three major classes of gas contrast agents used in magnetic resonance imaging (MRI)-hyperpolarized (HP) gas, molecular oxygen, and fluorinated gas--and their application to clinical pulmonary research. During the past several years there has been accelerated development of pulmonary MRI. This has been driven in part by concerns regarding ionizing radiation using multidetector computed tomography (CT). However, MRI also offers capabilities for fast multispectral and functional imaging using gas agents that are not technically feasible with CT. Recent improvements in gradient performance and radial acquisition methods using ultrashort echo time (UTE) have contributed to advances in these functional pulmonary MRI techniques. The relative strengths and weaknesses of the main functional imaging methods and gas agents are compared and applications to measures of ventilation, diffusion, and gas exchange are presented. Functional lung MRI methods using these gas agents are improving our understanding of a wide range of chronic lung diseases, including chronic obstructive pulmonary disease, asthma, and cystic fibrosis in both adults and children.", "author" : [ { "dropping-particle" : "", "family" : "Kruger", "given" : "Stanley J.", "non-dropping-particle" : "", "parse-names" : false, "suffix" : "" }, { "dropping-particle" : "", "family" : "Nagle", "given" : "Scott K.", "non-dropping-particle" : "", "parse-names" : false, "suffix" : "" }, { "dropping-particle" : "", "family" : "Couch", "given" : "Marcus J.", "non-dropping-particle" : "", "parse-names" : false, "suffix" : "" }, { "dropping-particle" : "", "family" : "Ohno", "given" : "Yoshiharu", "non-dropping-particle" : "", "parse-names" : false, "suffix" : "" }, { "dropping-particle" : "", "family" : "Albert", "given" : "Mitchell", "non-dropping-particle" : "", "parse-names" : false, "suffix" : "" }, { "dropping-particle" : "", "family" : "Fain", "given" : "Sean B.", "non-dropping-particle" : "", "parse-names" : false, "suffix" : "" } ], "container-title" : "Journal of Magnetic Resonance Imaging", "id" : "ITEM-1", "issue" : "2", "issued" : { "date-parts" : [ [ "2016" ] ] }, "page" : "295-315", "title" : "Functional imaging of the lungs with gas agents", "type" : "article-journal", "volume" : "43" }, "uris" : [ "http://www.mendeley.com/documents/?uuid=362ef9f8-91b3-4189-ac62-b05b889b7f66" ] }, { "id" : "ITEM-2", "itemData" : { "DOI" : "10.1016/j.ejrad.2016.09.015", "ISSN" : "18727727", "PMID" : "27707585", "abstract" : "In the last two decades, functional imaging of the lungs using hyperpolarized noble gases has entered the clinical stage. Both helium (3He) and xenon (129Xe) gas have been thoroughly investigated for their ability to assess both the global and regional patterns of lung ventilation. With advances in polarizer technology and the current transition towards the widely available 129Xe gas, this method is ready for translation to the clinic. Currently, hyperpolarized (HP) noble gas lung MRI is limited to selected academic institutions; yet, the promising results from initial clinical trials have drawn the attention of the pulmonary medicine community. HP 129Xe MRI provides not only 3-dimensional ventilation imaging, but also unique capabilities for probing regional lung physiology. In this review article, we aim to (1) provide a brief overview of current ventilation MR imaging techniques, (2) emphasize the role of HP 129Xe MRI within the array of different imaging strategies, (3) discuss the unique imaging possibilities with HP 129Xe MRI, and (4) propose clinical applications.", "author" : [ { "dropping-particle" : "", "family" : "Ebner", "given" : "Lukas", "non-dropping-particle" : "", "parse-names" : false, "suffix" : "" }, { "dropping-particle" : "", "family" : "Kammerman", "given" : "Jeff", "non-dropping-particle" : "", "parse-names" : false, "suffix" : "" }, { "dropping-particle" : "", "family" : "Driehuys", "given" : "Bastiaan", "non-dropping-particle" : "", "parse-names" : false, "suffix" : "" }, { "dropping-particle" : "", "family" : "Schiebler", "given" : "Mark L.", "non-dropping-particle" : "", "parse-names" : false, "suffix" : "" }, { "dropping-particle" : "V.", "family" : "Cadman", "given" : "Robert", "non-dropping-particle" : "", "parse-names" : false, "suffix" : "" }, { "dropping-particle" : "", "family" : "Fain", "given" : "Sean B.", "non-dropping-particle" : "", "parse-names" : false, "suffix" : "" } ], "container-title" : "European Journal of Radiology", "id" : "ITEM-2", "issued" : { "date-parts" : [ [ "2017" ] ] }, "page" : "343-352", "publisher" : "Elsevier Ireland Ltd", "title" : "The role of hyperpolarized 129xenon in MR imaging of pulmonary function", "type" : "article-journal", "volume" : "86" }, "uris" : [ "http://www.mendeley.com/documents/?uuid=860ba80f-861e-44de-88e5-c74242fa6b35" ] }, { "id" : "ITEM-3", "itemData" : { "DOI" : "10.1007/s11307-014-0788-2", "ISBN" : "1536-1632", "ISSN" : "18602002", "PMID" : "25228404", "abstract" : "Magnetic resonance imaging (MRI) is a potentially ideal imaging modality for noninvasive, nonionizing, and longitudinal assessment of disease. Hyperpolarized (HP) agents have been developed in the past 20 years for MR imaging, and they have the potential to vastly improve MRI sensitivity for the diagnosis and management of various diseases. The polarization of nuclear magnetic resonance (NMR)-sensitive nuclei other than (1)H (e.g., (3)He, (129)Xe) can be enhanced by a factor of up to 100,000 times above thermal equilibrium levels, which enables direct detection of the HP agent with no background signal. In this review, a number of HP media applications in MR imaging are discussed, including HP (3)He and (129)Xe lung imaging, HP (129)Xe brain imaging, and HP (129)Xe biosensors. Inert fluorinated gas MRI, which is a new lung imaging technique that does not require hyperpolarization, is also briefly discussed. This technique will likely be an important future direction for the HP gas lung imaging community.", "author" : [ { "dropping-particle" : "", "family" : "Couch", "given" : "Marcus J.", "non-dropping-particle" : "", "parse-names" : false, "suffix" : "" }, { "dropping-particle" : "", "family" : "Blasiak", "given" : "Barbara", "non-dropping-particle" : "", "parse-names" : false, "suffix" : "" }, { "dropping-particle" : "", "family" : "Tomanek", "given" : "Boguslaw", "non-dropping-particle" : "", "parse-names" : false, "suffix" : "" }, { "dropping-particle" : "V.", "family" : "Ouriadov", "given" : "Alexei", "non-dropping-particle" : "", "parse-names" : false, "suffix" : "" }, { "dropping-particle" : "", "family" : "Fox", "given" : "Matthew S.", "non-dropping-particle" : "", "parse-names" : false, "suffix" : "" }, { "dropping-particle" : "", "family" : "Dowhos", "given" : "Krista M.", "non-dropping-particle" : "", "parse-names" : false, "suffix" : "" }, { "dropping-particle" : "", "family" : "Albert", "given" : "Mitchell S.", "non-dropping-particle" : "", "parse-names" : false, "suffix" : "" } ], "container-title" : "Molecular Imaging and Biology", "id" : "ITEM-3", "issue" : "2", "issued" : { "date-parts" : [ [ "2015" ] ] }, "page" : "149-162", "title" : "Hyperpolarized and Inert Gas MRI: The Future", "type" : "article-journal", "volume" : "17" }, "uris" : [ "http://www.mendeley.com/documents/?uuid=bdf90970-13dd-4da9-b245-4f0baaed9ce2" ] } ], "mendeley" : { "formattedCitation" : "&lt;sup&gt;26\u201328&lt;/sup&gt;", "plainTextFormattedCitation" : "26\u201328", "previouslyFormattedCitation" : "&lt;sup&gt;26\u201328&lt;/sup&gt;" }, "properties" : {  }, "schema" : "https://github.com/citation-style-language/schema/raw/master/csl-citation.json" }</w:instrText>
      </w:r>
      <w:r w:rsidR="00CE79A4">
        <w:fldChar w:fldCharType="separate"/>
      </w:r>
      <w:r w:rsidR="00CE79A4" w:rsidRPr="00CE79A4">
        <w:rPr>
          <w:noProof/>
          <w:vertAlign w:val="superscript"/>
        </w:rPr>
        <w:t>26–28</w:t>
      </w:r>
      <w:r w:rsidR="00CE79A4">
        <w:fldChar w:fldCharType="end"/>
      </w:r>
      <w:r w:rsidR="00CE79A4">
        <w:t xml:space="preserve"> </w:t>
      </w:r>
      <w:r w:rsidR="003B5743" w:rsidRPr="000D72AC">
        <w:t xml:space="preserve">DNP </w:t>
      </w:r>
      <w:r w:rsidR="00D5013D">
        <w:t>was</w:t>
      </w:r>
      <w:r w:rsidR="003B5743" w:rsidRPr="000D72AC">
        <w:t xml:space="preserve"> first po</w:t>
      </w:r>
      <w:r w:rsidR="00733B22" w:rsidRPr="000D72AC">
        <w:t xml:space="preserve">stulated </w:t>
      </w:r>
      <w:r w:rsidR="007546D5">
        <w:t>as a hyperpolari</w:t>
      </w:r>
      <w:r w:rsidR="00030E78">
        <w:t>s</w:t>
      </w:r>
      <w:r w:rsidR="00904799">
        <w:t xml:space="preserve">ation method </w:t>
      </w:r>
      <w:r w:rsidR="00733B22" w:rsidRPr="000D72AC">
        <w:t xml:space="preserve">by </w:t>
      </w:r>
      <w:proofErr w:type="spellStart"/>
      <w:r w:rsidR="00733B22" w:rsidRPr="000D72AC">
        <w:t>Overhauser</w:t>
      </w:r>
      <w:proofErr w:type="spellEnd"/>
      <w:r w:rsidR="00733B22" w:rsidRPr="000D72AC">
        <w:t xml:space="preserve"> in 1953</w:t>
      </w:r>
      <w:r w:rsidR="00733B22" w:rsidRPr="000D72AC">
        <w:fldChar w:fldCharType="begin" w:fldLock="1"/>
      </w:r>
      <w:r w:rsidR="006D4D5D">
        <w:instrText>ADDIN CSL_CITATION { "citationItems" : [ { "id" : "ITEM-1", "itemData" : { "DOI" : "10.1103/PhysRev.92.411", "ISBN" : "0031-899X", "ISSN" : "0031899X", "PMID" : "608", "abstract" : "negative mu mesons in this momentum interval is 4700. Since none of these particles was absorbed in 147 g/cm' of lead the removal path length must be greater than 6.9&amp;10' g/cm'. The upper limit for the corresponding removal cross section is 2.4g 10 \" cm'/nucleon. The statistical significance placed on these limits is the same as that placed on the previously determined upper limit for the intensity of pi mesons. This result is more direct than the results obtained by the earlier experiments in the sense that no correc-tions have to be made for instrumental errors or for nuclear events produced by particles other than mu mesons, e.g. , pi mesons and protons in equilibrium with the mu meson Aux. However, it should be pointed out that the cross section corresponding to a removal path length refers only to those collisions in which a large fraction of the incident energy is distributed among several heavily ionizing particles. A new method for polarizing nuclei, applicable only to metals, is proposed. It is shown that if the electron spin resonance of the conduction electrons is saturated, the nuclei will be polarized to the same degree they would be if their gyromagnetic ratio were that of the electron spin. This action results from. the para-magnetic relaxation processes that occur by means of the hyperfine structure interaction between electron and nuclear spins. A shift of the electron spin resonance due to the same interaction will occur for large amounts of polarization and should provide a direct indication of the degree of polarization.", "author" : [ { "dropping-particle" : "", "family" : "Overhauser", "given" : "Albert W.", "non-dropping-particle" : "", "parse-names" : false, "suffix" : "" } ], "container-title" : "Physical Review", "id" : "ITEM-1", "issue" : "2", "issued" : { "date-parts" : [ [ "1953" ] ] }, "page" : "411-415", "title" : "Polarization of nuclei in metals", "type" : "article-journal", "volume" : "92" }, "uris" : [ "http://www.mendeley.com/documents/?uuid=5565f4a5-bd5b-4833-ad6a-8b6dc35d72ac" ] } ], "mendeley" : { "formattedCitation" : "&lt;sup&gt;16&lt;/sup&gt;", "plainTextFormattedCitation" : "16", "previouslyFormattedCitation" : "&lt;sup&gt;16&lt;/sup&gt;" }, "properties" : {  }, "schema" : "https://github.com/citation-style-language/schema/raw/master/csl-citation.json" }</w:instrText>
      </w:r>
      <w:r w:rsidR="00733B22" w:rsidRPr="000D72AC">
        <w:fldChar w:fldCharType="separate"/>
      </w:r>
      <w:r w:rsidR="00E20F63" w:rsidRPr="00E20F63">
        <w:rPr>
          <w:noProof/>
          <w:vertAlign w:val="superscript"/>
        </w:rPr>
        <w:t>16</w:t>
      </w:r>
      <w:r w:rsidR="00733B22" w:rsidRPr="000D72AC">
        <w:fldChar w:fldCharType="end"/>
      </w:r>
      <w:r w:rsidR="00904799">
        <w:t>, and</w:t>
      </w:r>
      <w:r>
        <w:t xml:space="preserve"> </w:t>
      </w:r>
      <w:r w:rsidR="0029770E">
        <w:t xml:space="preserve">has now been </w:t>
      </w:r>
      <w:r>
        <w:t>applie</w:t>
      </w:r>
      <w:r w:rsidR="0029770E">
        <w:t>d</w:t>
      </w:r>
      <w:r>
        <w:t xml:space="preserve"> to</w:t>
      </w:r>
      <w:r w:rsidR="003B5743" w:rsidRPr="000D72AC">
        <w:t xml:space="preserve"> </w:t>
      </w:r>
      <w:r w:rsidR="003B5743" w:rsidRPr="000D72AC">
        <w:rPr>
          <w:vertAlign w:val="superscript"/>
        </w:rPr>
        <w:t>13</w:t>
      </w:r>
      <w:r w:rsidR="003B5743" w:rsidRPr="000D72AC">
        <w:t>C</w:t>
      </w:r>
      <w:r w:rsidR="0029770E">
        <w:t>-</w:t>
      </w:r>
      <w:r w:rsidR="003B5743" w:rsidRPr="000D72AC">
        <w:t>labelled physiologically substrate</w:t>
      </w:r>
      <w:r>
        <w:t>s</w:t>
      </w:r>
      <w:r w:rsidR="003B5743" w:rsidRPr="000D72AC">
        <w:t xml:space="preserve"> </w:t>
      </w:r>
      <w:r>
        <w:t xml:space="preserve">which are rapidly transported and metabolised by the cells. </w:t>
      </w:r>
      <w:r w:rsidR="0029770E">
        <w:t xml:space="preserve">To facilitate the process, </w:t>
      </w:r>
      <w:r>
        <w:t xml:space="preserve">labelled molecules </w:t>
      </w:r>
      <w:r w:rsidR="00163312">
        <w:t>are</w:t>
      </w:r>
      <w:r w:rsidR="00163312" w:rsidRPr="000D72AC">
        <w:t xml:space="preserve"> </w:t>
      </w:r>
      <w:r w:rsidR="003B5743" w:rsidRPr="000D72AC">
        <w:t xml:space="preserve">mixed with a free-radical containing agent, frozen in a glass state, </w:t>
      </w:r>
      <w:r w:rsidR="0029770E">
        <w:t xml:space="preserve">and then </w:t>
      </w:r>
      <w:r w:rsidR="003B5743" w:rsidRPr="000D72AC">
        <w:t xml:space="preserve">cooled to </w:t>
      </w:r>
      <w:r w:rsidR="00D5013D">
        <w:t xml:space="preserve">approximately </w:t>
      </w:r>
      <w:r w:rsidR="003B5743" w:rsidRPr="000D72AC">
        <w:t>1 Kelvin</w:t>
      </w:r>
      <w:r w:rsidR="0029770E">
        <w:t xml:space="preserve"> in </w:t>
      </w:r>
      <w:r w:rsidR="003B5743" w:rsidRPr="000D72AC">
        <w:t>a magnetic field</w:t>
      </w:r>
      <w:r>
        <w:t xml:space="preserve"> </w:t>
      </w:r>
      <w:r w:rsidR="00D5013D">
        <w:t>e.g</w:t>
      </w:r>
      <w:r w:rsidR="004C0E94">
        <w:t>.</w:t>
      </w:r>
      <w:r w:rsidR="00D5013D">
        <w:t xml:space="preserve"> 3.35 </w:t>
      </w:r>
      <w:r w:rsidR="005B30B2">
        <w:t xml:space="preserve">T </w:t>
      </w:r>
      <w:r w:rsidR="00D5013D">
        <w:t>or 5 T</w:t>
      </w:r>
      <w:r w:rsidR="003B5743" w:rsidRPr="000D72AC">
        <w:t xml:space="preserve">. </w:t>
      </w:r>
      <w:r w:rsidR="00D5013D">
        <w:t>At these extreme physical conditions the electron pool in the free radical becomes fully polarised and the transfer of polarisation from the electron pool to the nuclear pool is facilitated by</w:t>
      </w:r>
      <w:r w:rsidR="003B5743" w:rsidRPr="000D72AC">
        <w:t xml:space="preserve"> microwave </w:t>
      </w:r>
      <w:r w:rsidR="00D5013D">
        <w:t xml:space="preserve">irradiation. </w:t>
      </w:r>
      <w:r>
        <w:t xml:space="preserve">Increasing the polarisation </w:t>
      </w:r>
      <w:r w:rsidR="00AD6A9C">
        <w:t xml:space="preserve">to levels </w:t>
      </w:r>
      <w:r>
        <w:t xml:space="preserve">required for </w:t>
      </w:r>
      <w:r w:rsidRPr="00625759">
        <w:rPr>
          <w:i/>
        </w:rPr>
        <w:t>in vivo</w:t>
      </w:r>
      <w:r>
        <w:t xml:space="preserve"> imaging takes</w:t>
      </w:r>
      <w:r w:rsidR="003B5743" w:rsidRPr="000D72AC">
        <w:t xml:space="preserve"> approximately two hours</w:t>
      </w:r>
      <w:r>
        <w:t xml:space="preserve"> and following this</w:t>
      </w:r>
      <w:r w:rsidR="003B5743" w:rsidRPr="000D72AC">
        <w:t xml:space="preserve"> the sample is removed from the field</w:t>
      </w:r>
      <w:r w:rsidR="005B30B2">
        <w:t xml:space="preserve"> </w:t>
      </w:r>
      <w:r w:rsidR="003B5743" w:rsidRPr="000D72AC">
        <w:t>and quickly dissolved with superheated water</w:t>
      </w:r>
      <w:r w:rsidR="0012108C" w:rsidRPr="000D72AC">
        <w:t>.</w:t>
      </w:r>
      <w:r w:rsidR="00607E3E">
        <w:fldChar w:fldCharType="begin" w:fldLock="1"/>
      </w:r>
      <w:r w:rsidR="006D4D5D">
        <w:instrText>ADDIN CSL_CITATION { "citationItems" : [ { "id" : "ITEM-1", "itemData" : { "DOI" : "10.1002/nbm.1682", "ISBN" : "1099-1492", "ISSN" : "09523480", "PMID" : "21416540", "abstract" : "A novel polarizer based on the dissolution-dynamic nuclear polarization (DNP) method has been designed, built and tested. The polarizer differs from those previously described by being designed with sterile use intent and being compatible with clinical use. The main features are: (1) an integral, disposable fluid path containing all pharmaceuticals constituting a sterile barrier, (2) a closed-cycle cryogenic system designed to eliminate consumption of liquid cryogens and (3) multi-sample polarization to increase throughput. The fluid path consists of a vial with the agent to be polarized, a pair of concentric inlet and outlet tubes connected to a syringe with dissolution medium and a receiver, respectively. The fluid path can operate at up to 400 K and 2.0 MPa and generates volumes as high as 100 mL. An inline filter removes the amount of electron paramagnetic agent in the final product by more than 100-fold in the case of [1-(13)C]pyruvate. The system uses a sorption pump in conjunction with a conventional cryocooler. The system operates through cycles of pumping to low temperature and regeneration of the sorption pump. The magnet accommodates four samples at the same time. A temperature of less than 1 K was achieved for 68 h (no sample heat loads) with a liquid helium volume of 2.4 L. The regeneration of the liquid helium could be achieved in less than 10 h, and the transition to cold (&lt; 1.2 K) was achieved in less than 90 min. A solid state polarization of 36 \u00b1 4% for [1-(13)C]pyruvic acid was obtained with only 10 mW of microwave power. The loading of a sample adds less than 50 J of heat to the helium bath by introducing the sample over 15 min. The heat load imposed on the helium bath during dissolution was less than 70 J. The measured liquid state polarization was 18 \u00b1 2%.", "author" : [ { "dropping-particle" : "", "family" : "Ardenkjaer-Larsen", "given" : "Jan H.", "non-dropping-particle" : "", "parse-names" : false, "suffix" : "" }, { "dropping-particle" : "", "family" : "Leach", "given" : "Andrew M.", "non-dropping-particle" : "", "parse-names" : false, "suffix" : "" }, { "dropping-particle" : "", "family" : "Clarke", "given" : "Neil", "non-dropping-particle" : "", "parse-names" : false, "suffix" : "" }, { "dropping-particle" : "", "family" : "Urbahn", "given" : "John", "non-dropping-particle" : "", "parse-names" : false, "suffix" : "" }, { "dropping-particle" : "", "family" : "Anderson", "given" : "Denise", "non-dropping-particle" : "", "parse-names" : false, "suffix" : "" }, { "dropping-particle" : "", "family" : "Skloss", "given" : "Timothy W.", "non-dropping-particle" : "", "parse-names" : false, "suffix" : "" } ], "container-title" : "NMR in Biomedicine", "id" : "ITEM-1", "issue" : "8", "issued" : { "date-parts" : [ [ "2011" ] ] }, "page" : "927-932", "title" : "Dynamic nuclear polarization polarizer for sterile use intent", "type" : "article-journal", "volume" : "24" }, "uris" : [ "http://www.mendeley.com/documents/?uuid=b09d55c2-ebe1-4138-a79d-be0ce7ed82f9" ] }, { "id" : "ITEM-2", "itemData" : { "DOI" : "10.1016/j.jmr.2015.12.024", "ISSN" : "10960856", "PMID" : "26920827", "abstract" : "We discuss conceptual and instrumental progress in dissolution DNP since its introduction in 2003. In our view there are three critical steps in the dissolution DNP process: (i) The achievable polarization level in a sample. (ii) The time required to build up the polarization. (iii) The transfer of the sample to the measurement system with minimum loss of polarization. In this review we describe in detail these steps and the different methodological and instrumental implementations, which have been proposed to optimize them.", "author" : [ { "dropping-particle" : "", "family" : "J\u00e4hnig", "given" : "Fabian", "non-dropping-particle" : "", "parse-names" : false, "suffix" : "" }, { "dropping-particle" : "", "family" : "Kwiatkowski", "given" : "Grzegorz", "non-dropping-particle" : "", "parse-names" : false, "suffix" : "" }, { "dropping-particle" : "", "family" : "Ernst", "given" : "Matthias", "non-dropping-particle" : "", "parse-names" : false, "suffix" : "" } ], "container-title" : "Journal of Magnetic Resonance", "id" : "ITEM-2", "issued" : { "date-parts" : [ [ "2016" ] ] }, "page" : "22-29", "title" : "Conceptual and instrumental progress in dissolution DNP", "type" : "article-journal", "volume" : "264" }, "uris" : [ "http://www.mendeley.com/documents/?uuid=7d386c58-fa20-4997-8e19-56eed39bdc6d" ] } ], "mendeley" : { "formattedCitation" : "&lt;sup&gt;29,30&lt;/sup&gt;", "plainTextFormattedCitation" : "29,30", "previouslyFormattedCitation" : "&lt;sup&gt;29,30&lt;/sup&gt;" }, "properties" : {  }, "schema" : "https://github.com/citation-style-language/schema/raw/master/csl-citation.json" }</w:instrText>
      </w:r>
      <w:r w:rsidR="00607E3E">
        <w:fldChar w:fldCharType="separate"/>
      </w:r>
      <w:r w:rsidR="00CE79A4" w:rsidRPr="00CE79A4">
        <w:rPr>
          <w:noProof/>
          <w:vertAlign w:val="superscript"/>
        </w:rPr>
        <w:t>29,30</w:t>
      </w:r>
      <w:r w:rsidR="00607E3E">
        <w:fldChar w:fldCharType="end"/>
      </w:r>
      <w:r w:rsidR="003B5743" w:rsidRPr="000D72AC">
        <w:t xml:space="preserve"> </w:t>
      </w:r>
      <w:r w:rsidR="0091279F">
        <w:t>This hyperpolari</w:t>
      </w:r>
      <w:r w:rsidR="007546D5">
        <w:t>z</w:t>
      </w:r>
      <w:r w:rsidR="0091279F">
        <w:t>ed</w:t>
      </w:r>
      <w:r>
        <w:t xml:space="preserve"> sample </w:t>
      </w:r>
      <w:r w:rsidR="005B30B2">
        <w:t>has an increase in signal of 10,000</w:t>
      </w:r>
      <w:r w:rsidR="00B81DDF">
        <w:t xml:space="preserve"> to </w:t>
      </w:r>
      <w:r w:rsidR="005B30B2">
        <w:t xml:space="preserve">100,000-fold and </w:t>
      </w:r>
      <w:r w:rsidR="0091279F">
        <w:t xml:space="preserve">can be </w:t>
      </w:r>
      <w:r w:rsidR="00DF3581">
        <w:t>used</w:t>
      </w:r>
      <w:r w:rsidR="0091279F">
        <w:t xml:space="preserve"> to probe the</w:t>
      </w:r>
      <w:r w:rsidR="003B5743" w:rsidRPr="000D72AC">
        <w:t xml:space="preserve"> real</w:t>
      </w:r>
      <w:r w:rsidR="000760F4">
        <w:t>-</w:t>
      </w:r>
      <w:r w:rsidR="003B5743" w:rsidRPr="000D72AC">
        <w:t xml:space="preserve">time dynamics of enzymatic activity </w:t>
      </w:r>
      <w:r w:rsidR="00DF3581" w:rsidRPr="00625759">
        <w:rPr>
          <w:i/>
        </w:rPr>
        <w:t>in vitro</w:t>
      </w:r>
      <w:r w:rsidR="00DF3581">
        <w:t xml:space="preserve"> in cell culture or </w:t>
      </w:r>
      <w:r w:rsidR="00DF3581" w:rsidRPr="00625759">
        <w:rPr>
          <w:i/>
        </w:rPr>
        <w:t>in vivo</w:t>
      </w:r>
      <w:r w:rsidR="00DF3581">
        <w:t xml:space="preserve"> in animal models, </w:t>
      </w:r>
      <w:r w:rsidR="0091279F">
        <w:t>using</w:t>
      </w:r>
      <w:r w:rsidR="003B5743" w:rsidRPr="000D72AC">
        <w:t xml:space="preserve"> rapid spectroscopy or imaging.</w:t>
      </w:r>
      <w:r w:rsidR="003E1C04">
        <w:fldChar w:fldCharType="begin" w:fldLock="1"/>
      </w:r>
      <w:r w:rsidR="00481147">
        <w:instrText>ADDIN CSL_CITATION { "citationItems" : [ { "id" : "ITEM-1", "itemData" : { "DOI" : "10.1038/srep40812", "ISSN" : "2045-2322", "PMID" : "28094329", "abstract" : "Renal ischemia/reperfusion injury (IRI) is a leading cause of acute kidney injury (AKI), and at present, there is a lack of reliable biomarkers that can diagnose AKI and measure early progression because the commonly used methods cannot evaluate single-kidney IRI. Hyperpolarized [1,4-(13)C2]fumarate conversion to [1,4-(13)C2]malate by fumarase has been proposed as a measure of necrosis in rat tumor models and in chemically induced AKI rats. Here we show that the degradation of cell membranes in connection with necrosis leads to elevated fumarase activity in plasma and urine and secondly that hyperpolarized [1,4-(13)C2]malate production 24\u2009h after reperfusion correlates with renal necrosis in a 40-min unilateral ischemic rat model. Fumarase activity screening on bio-fluids can detect injury severity, in bilateral as well as unilateral AKI models, differentiating moderate and severe AKI as well as short- and long-term AKI. Furthermore after verification of renal injury by bio-fluid analysis the precise injury location can be monitored by in vivo measurements of the fumarase activity non-invasively by hyperpolarized [1,4-(13)C]fumarate MR imaging. The combined in vitro and in vivo biomarker of AKI responds to the essential requirements for a new reliable biomarker of AKI.", "author" : [ { "dropping-particle" : "", "family" : "Nielsen", "given" : "Per Mose", "non-dropping-particle" : "", "parse-names" : false, "suffix" : "" }, { "dropping-particle" : "", "family" : "Eldirdiri", "given" : "Abubakr", "non-dropping-particle" : "", "parse-names" : false, "suffix" : "" }, { "dropping-particle" : "", "family" : "Bertelsen", "given" : "Lotte Bonde", "non-dropping-particle" : "", "parse-names" : false, "suffix" : "" }, { "dropping-particle" : "", "family" : "J\u00f8rgensen", "given" : "Hans St\u00f8dkilde", "non-dropping-particle" : "", "parse-names" : false, "suffix" : "" }, { "dropping-particle" : "", "family" : "Ardenkjaer-Larsen", "given" : "Jan Henrik", "non-dropping-particle" : "", "parse-names" : false, "suffix" : "" }, { "dropping-particle" : "", "family" : "Laustsen", "given" : "Christoffer", "non-dropping-particle" : "", "parse-names" : false, "suffix" : "" } ], "container-title" : "Scientific Reports", "id" : "ITEM-1", "issue" : "December 2016", "issued" : { "date-parts" : [ [ "2017" ] ] }, "page" : "40812", "publisher" : "Nature Publishing Group", "title" : "Fumarase activity: an in vivo and in vitro biomarker for acute kidney injury", "type" : "article-journal", "volume" : "7" }, "uris" : [ "http://www.mendeley.com/documents/?uuid=f15d4468-a302-4d59-a25b-9c7a414005bf" ] }, { "id" : "ITEM-2", "itemData" : { "DOI" : "10.1016/j.jmr.2009.11.020", "ISBN" : "1090-7807", "ISSN" : "10907807", "PMID" : "20022775", "abstract" : "NMR spectroscopy is an established, versatile technique for the detection of molecular interactions, even when these interactions are weak. Signal enhancement by several orders of magnitude through dynamic nuclear polarization alleviates several practical limitations of NMR-based interaction studies. This enhanced non-equilibrium polarization contributes sensitivity for the detection of molecular interactions in a single NMR transient. We show that direct 13C NMR ligand binding studies at natural isotopic abundance of 13C gets feasible in this way. Resultant screens are easy to interpret and can be performed at 13C concentrations below ??M. In addition to such ligand-detected studies of molecular interaction, ligand binding can be assessed and quantified with enzymatic assays that employ hyperpolarized substrates at varying enzyme inhibitor concentrations. The physical labeling of nuclear spins by hyperpolarization thus provides the opportunity to devise fast novel in vitro experiments with low material requirement and without the need for synthetic modifications of target or ligands. ?? 2009 Elsevier Inc. All rights reserved.", "author" : [ { "dropping-particle" : "", "family" : "Lerche", "given" : "Mathilde H.", "non-dropping-particle" : "", "parse-names" : false, "suffix" : "" }, { "dropping-particle" : "", "family" : "Meier", "given" : "Sebastian", "non-dropping-particle" : "", "parse-names" : false, "suffix" : "" }, { "dropping-particle" : "", "family" : "Jensen", "given" : "Pernille R.", "non-dropping-particle" : "", "parse-names" : false, "suffix" : "" }, { "dropping-particle" : "", "family" : "Baumann", "given" : "Herbert", "non-dropping-particle" : "", "parse-names" : false, "suffix" : "" }, { "dropping-particle" : "", "family" : "Petersen", "given" : "Bent O.", "non-dropping-particle" : "", "parse-names" : false, "suffix" : "" }, { "dropping-particle" : "", "family" : "Karlsson", "given" : "Magnus", "non-dropping-particle" : "", "parse-names" : false, "suffix" : "" }, { "dropping-particle" : "", "family" : "Duus", "given" : "Jens", "non-dropping-particle" : "", "parse-names" : false, "suffix" : "" }, { "dropping-particle" : "", "family" : "Ardenkj\u00e6r-Larsen", "given" : "Jan H.", "non-dropping-particle" : "", "parse-names" : false, "suffix" : "" } ], "container-title" : "Journal of Magnetic Resonance", "id" : "ITEM-2", "issue" : "1", "issued" : { "date-parts" : [ [ "2010" ] ] }, "page" : "52-56", "publisher" : "Elsevier Inc.", "title" : "Study of molecular interactions with 13C DNP-NMR", "type" : "article-journal", "volume" : "203" }, "uris" : [ "http://www.mendeley.com/documents/?uuid=43d85efe-01b3-4a7b-9939-e99e76173b64" ] }, { "id" : "ITEM-3", "itemData" : { "DOI" : "10.1073/pnas.0706235104", "ISBN" : "1977319777", "ISSN" : "1091-6490", "PMID" : "18056642", "abstract" : "(13)C NMR is a powerful tool for monitoring metabolic fluxes in vivo. The recent availability of automated dynamic nuclear polarization equipment for hyperpolarizing (13)C nuclei now offers the potential to measure metabolic fluxes through select enzyme-catalyzed steps with substantially improved sensitivity. Here, we investigated the metabolism of hyperpolarized [1-(13)C(1)]pyruvate in a widely used model for physiology and pharmacology, the perfused rat heart. Dissolved (13)CO(2), the immediate product of the first step of the reaction catalyzed by pyruvate dehydrogenase, was observed with a temporal resolution of approximately 1 s along with H(13)CO(3)(-), the hydrated form of (13)CO(2) generated catalytically by carbonic anhydrase. In hearts presented with the medium-chain fatty acid octanoate in addition to hyperpolarized [1-(13)C(1)]pyruvate, production of (13)CO(2) and H(13)CO(3)(-) was suppressed by approximately 90%, whereas the signal from [1-(13)C(1)]lactate was enhanced. In separate experiments, it was shown that O(2) consumption and tricarboxylic acid (TCA) cycle flux were unchanged in the presence of added octanoate. Thus, the rate of appearance of (13)CO(2) and H(13)CO(3)(-) from [1-(13)C(1)]pyruvate does not reflect production of CO(2) in the TCA cycle but rather reflects flux through pyruvate dehydrogenase exclusively.", "author" : [ { "dropping-particle" : "", "family" : "Merritt", "given" : "Matthew E", "non-dropping-particle" : "", "parse-names" : false, "suffix" : "" }, { "dropping-particle" : "", "family" : "Harrison", "given" : "Crystal", "non-dropping-particle" : "", "parse-names" : false, "suffix" : "" }, { "dropping-particle" : "", "family" : "Storey", "given" : "Charles", "non-dropping-particle" : "", "parse-names" : false, "suffix" : "" }, { "dropping-particle" : "", "family" : "Jeffrey", "given" : "F Mark", "non-dropping-particle" : "", "parse-names" : false, "suffix" : "" }, { "dropping-particle" : "", "family" : "Sherry", "given" : "A Dean", "non-dropping-particle" : "", "parse-names" : false, "suffix" : "" }, { "dropping-particle" : "", "family" : "Malloy", "given" : "Craig R", "non-dropping-particle" : "", "parse-names" : false, "suffix" : "" } ], "container-title" : "Proc Natl Acad Sci U S A", "id" : "ITEM-3", "issue" : "50", "issued" : { "date-parts" : [ [ "2007" ] ] }, "page" : "19773-19777", "title" : "Hyperpolarized 13C allows a direct measure of flux through a single enzyme-catalyzed step by NMR", "type" : "article-journal", "volume" : "104" }, "uris" : [ "http://www.mendeley.com/documents/?uuid=a9bac0de-74ec-4eec-9543-45964d228c46" ] }, { "id" : "ITEM-4", "itemData" : { "DOI" : "10.1038/nm1650", "ISBN" : "1078-8956", "ISSN" : "1078-8956", "PMID" : "17965722", "abstract" : "Measurements of early tumor responses to therapy have been shown, in some cases, to predict treatment outcome. We show in lymphoma-bearing mice injected intravenously with hyperpolarized [1-(13)C]pyruvate that the lactate dehydrogenase-catalyzed flux of (13)C label between the carboxyl groups of pyruvate and lactate in the tumor can be measured using (13)C magnetic resonance spectroscopy and spectroscopic imaging, and that this flux is inhibited within 24 h of chemotherapy. The reduction in the measured flux after drug treatment and the induction of tumor cell death can be explained by loss of the coenzyme NAD(H) and decreases in concentrations of lactate and enzyme in the tumors. The technique could provide a new way to assess tumor responses to treatment in the clinic.", "author" : [ { "dropping-particle" : "", "family" : "Day", "given" : "Sam E", "non-dropping-particle" : "", "parse-names" : false, "suffix" : "" }, { "dropping-particle" : "", "family" : "Kettunen", "given" : "Mikko I", "non-dropping-particle" : "", "parse-names" : false, "suffix" : "" }, { "dropping-particle" : "", "family" : "Gallagher", "given" : "Ferdia A", "non-dropping-particle" : "", "parse-names" : false, "suffix" : "" }, { "dropping-particle" : "", "family" : "Hu", "given" : "De-En", "non-dropping-particle" : "", "parse-names" : false, "suffix" : "" }, { "dropping-particle" : "", "family" : "Lerche", "given" : "Mathilde", "non-dropping-particle" : "", "parse-names" : false, "suffix" : "" }, { "dropping-particle" : "", "family" : "Wolber", "given" : "Jan", "non-dropping-particle" : "", "parse-names" : false, "suffix" : "" }, { "dropping-particle" : "", "family" : "Golman", "given" : "Klaes", "non-dropping-particle" : "", "parse-names" : false, "suffix" : "" }, { "dropping-particle" : "", "family" : "Ardenkjaer-Larsen", "given" : "Jan Henrik", "non-dropping-particle" : "", "parse-names" : false, "suffix" : "" }, { "dropping-particle" : "", "family" : "Brindle", "given" : "Kevin M", "non-dropping-particle" : "", "parse-names" : false, "suffix" : "" } ], "container-title" : "Nature medicine", "id" : "ITEM-4", "issue" : "11", "issued" : { "date-parts" : [ [ "2007" ] ] }, "page" : "1382-1387", "title" : "Detecting tumor response to treatment using hyperpolarized 13C magnetic resonance imaging and spectroscopy.", "type" : "article-journal", "volume" : "13" }, "uris" : [ "http://www.mendeley.com/documents/?uuid=43856305-8d92-4b3b-ae59-117b0116aff4" ] } ], "mendeley" : { "formattedCitation" : "&lt;sup&gt;31\u201334&lt;/sup&gt;", "plainTextFormattedCitation" : "31\u201334", "previouslyFormattedCitation" : "&lt;sup&gt;31\u201334&lt;/sup&gt;" }, "properties" : {  }, "schema" : "https://github.com/citation-style-language/schema/raw/master/csl-citation.json" }</w:instrText>
      </w:r>
      <w:r w:rsidR="003E1C04">
        <w:fldChar w:fldCharType="separate"/>
      </w:r>
      <w:r w:rsidR="00CE79A4" w:rsidRPr="00CE79A4">
        <w:rPr>
          <w:noProof/>
          <w:vertAlign w:val="superscript"/>
        </w:rPr>
        <w:t>31–34</w:t>
      </w:r>
      <w:r w:rsidR="003E1C04">
        <w:fldChar w:fldCharType="end"/>
      </w:r>
      <w:r w:rsidR="004F7857">
        <w:t xml:space="preserve"> The term spectroscop</w:t>
      </w:r>
      <w:r w:rsidR="00094005">
        <w:t>ic imaging is used where</w:t>
      </w:r>
      <w:r w:rsidR="004F7857">
        <w:t xml:space="preserve"> spectra are acquired from </w:t>
      </w:r>
      <w:r w:rsidR="00DA36DC">
        <w:t>multiple</w:t>
      </w:r>
      <w:r w:rsidR="004F7857">
        <w:t xml:space="preserve"> voxels to generate an image of the metabolic distribution across the tissue. </w:t>
      </w:r>
    </w:p>
    <w:p w14:paraId="79ECF42A" w14:textId="4A3D5C05" w:rsidR="005C7604" w:rsidRPr="000D72AC" w:rsidRDefault="00DA36DC" w:rsidP="00625759">
      <w:pPr>
        <w:spacing w:before="240" w:line="360" w:lineRule="auto"/>
        <w:jc w:val="both"/>
      </w:pPr>
      <w:r>
        <w:t>One of the challenges of the technique is that the</w:t>
      </w:r>
      <w:r w:rsidR="004F7857">
        <w:t xml:space="preserve"> signal from </w:t>
      </w:r>
      <w:r w:rsidR="00A260EB">
        <w:t xml:space="preserve">the </w:t>
      </w:r>
      <w:r w:rsidR="004F7857">
        <w:t>hyperpolarized carb</w:t>
      </w:r>
      <w:r w:rsidR="00A260EB">
        <w:t>on</w:t>
      </w:r>
      <w:r w:rsidR="004F7857">
        <w:t xml:space="preserve"> is very transient and decays with a half-life that is commonly </w:t>
      </w:r>
      <w:r>
        <w:t xml:space="preserve">20-30 s </w:t>
      </w:r>
      <w:r w:rsidRPr="00103F22">
        <w:rPr>
          <w:i/>
        </w:rPr>
        <w:t>in vivo</w:t>
      </w:r>
      <w:r>
        <w:t xml:space="preserve">; therefore perfusion, transport and metabolism must occur during approximately 5 half-lives or 2-3 mins. </w:t>
      </w:r>
      <w:r w:rsidR="00094005" w:rsidRPr="00094005">
        <w:t xml:space="preserve">This limits the number of </w:t>
      </w:r>
      <w:r w:rsidR="00094005" w:rsidRPr="00103F22">
        <w:rPr>
          <w:i/>
        </w:rPr>
        <w:t>in vivo</w:t>
      </w:r>
      <w:r w:rsidR="00094005" w:rsidRPr="00094005">
        <w:t xml:space="preserve"> molecules and reactions that can be probed with the technique and necessitates very rapid and efficient imaging strategies</w:t>
      </w:r>
      <w:r w:rsidR="00094005">
        <w:t>.</w:t>
      </w:r>
    </w:p>
    <w:p w14:paraId="4B0B4510" w14:textId="77777777" w:rsidR="00922584" w:rsidRPr="000D72AC" w:rsidRDefault="00922584" w:rsidP="001B4024">
      <w:pPr>
        <w:spacing w:line="360" w:lineRule="auto"/>
        <w:jc w:val="both"/>
      </w:pPr>
    </w:p>
    <w:p w14:paraId="1E109380" w14:textId="061AD1A4" w:rsidR="00DE5CE6" w:rsidRPr="000D72AC" w:rsidRDefault="00DE5CE6" w:rsidP="001B4024">
      <w:pPr>
        <w:spacing w:line="360" w:lineRule="auto"/>
        <w:jc w:val="both"/>
      </w:pPr>
      <w:r w:rsidRPr="000D72AC">
        <w:rPr>
          <w:i/>
        </w:rPr>
        <w:t>Preclinical imaging</w:t>
      </w:r>
    </w:p>
    <w:p w14:paraId="1BFECD10" w14:textId="63F447CF" w:rsidR="009C3FB6" w:rsidRDefault="00FF759E" w:rsidP="00167826">
      <w:pPr>
        <w:spacing w:line="360" w:lineRule="auto"/>
        <w:jc w:val="both"/>
      </w:pPr>
      <w:r w:rsidRPr="000D72AC">
        <w:t>To date,</w:t>
      </w:r>
      <w:r w:rsidR="00727B0F" w:rsidRPr="000D72AC">
        <w:t xml:space="preserve"> </w:t>
      </w:r>
      <w:r w:rsidR="008D6FF2" w:rsidRPr="000D72AC">
        <w:t>[1-</w:t>
      </w:r>
      <w:r w:rsidR="00727B0F" w:rsidRPr="000D72AC">
        <w:rPr>
          <w:vertAlign w:val="superscript"/>
        </w:rPr>
        <w:t>13</w:t>
      </w:r>
      <w:r w:rsidR="00727B0F" w:rsidRPr="000D72AC">
        <w:t>C</w:t>
      </w:r>
      <w:r w:rsidR="008D6FF2" w:rsidRPr="000D72AC">
        <w:t>]</w:t>
      </w:r>
      <w:r w:rsidR="00727B0F" w:rsidRPr="000D72AC">
        <w:t xml:space="preserve">pyruvate </w:t>
      </w:r>
      <w:r w:rsidRPr="000D72AC">
        <w:t xml:space="preserve">has been </w:t>
      </w:r>
      <w:r w:rsidR="00727B0F" w:rsidRPr="000D72AC">
        <w:t>the most widely used metabolite</w:t>
      </w:r>
      <w:r w:rsidRPr="000D72AC">
        <w:t xml:space="preserve"> for hyperpolari</w:t>
      </w:r>
      <w:r w:rsidR="007546D5">
        <w:t>z</w:t>
      </w:r>
      <w:r w:rsidRPr="000D72AC">
        <w:t xml:space="preserve">ed </w:t>
      </w:r>
      <w:r w:rsidR="002A7002" w:rsidRPr="002A7002">
        <w:rPr>
          <w:vertAlign w:val="superscript"/>
        </w:rPr>
        <w:t>13</w:t>
      </w:r>
      <w:r w:rsidR="002A7002">
        <w:t xml:space="preserve">C </w:t>
      </w:r>
      <w:r w:rsidRPr="000D72AC">
        <w:t>MR</w:t>
      </w:r>
      <w:r w:rsidR="001F2421">
        <w:t>S</w:t>
      </w:r>
      <w:r w:rsidRPr="000D72AC">
        <w:t>I,</w:t>
      </w:r>
      <w:r w:rsidR="00727B0F" w:rsidRPr="000D72AC">
        <w:t xml:space="preserve"> due to its relatively long </w:t>
      </w:r>
      <w:r w:rsidR="00DF3581">
        <w:t xml:space="preserve">polarisation </w:t>
      </w:r>
      <w:r w:rsidR="00D627B5">
        <w:t>half-life</w:t>
      </w:r>
      <w:r w:rsidR="008A430B">
        <w:t xml:space="preserve"> (</w:t>
      </w:r>
      <w:r w:rsidR="008A430B" w:rsidRPr="008A430B">
        <w:t xml:space="preserve">the time it takes for a </w:t>
      </w:r>
      <w:r w:rsidR="008A430B">
        <w:t>compound</w:t>
      </w:r>
      <w:r w:rsidR="008A430B" w:rsidRPr="008A430B">
        <w:t xml:space="preserve"> to lose half of </w:t>
      </w:r>
      <w:r w:rsidR="00024C3E">
        <w:t>its initial</w:t>
      </w:r>
      <w:r w:rsidR="00024C3E" w:rsidRPr="008A430B">
        <w:t xml:space="preserve"> </w:t>
      </w:r>
      <w:r w:rsidR="00024C3E">
        <w:t>hyper</w:t>
      </w:r>
      <w:r w:rsidR="008A430B">
        <w:t>polari</w:t>
      </w:r>
      <w:r w:rsidR="007546D5">
        <w:t>z</w:t>
      </w:r>
      <w:r w:rsidR="005B30B2">
        <w:t>ed signal</w:t>
      </w:r>
      <w:r w:rsidR="008A430B">
        <w:t>)</w:t>
      </w:r>
      <w:r w:rsidR="00727B0F" w:rsidRPr="000D72AC">
        <w:t xml:space="preserve">, rapid distribution and uptake, and the central role it plays in </w:t>
      </w:r>
      <w:r w:rsidR="00DF3581">
        <w:t xml:space="preserve">many </w:t>
      </w:r>
      <w:r w:rsidR="00727B0F" w:rsidRPr="000D72AC">
        <w:t>metaboli</w:t>
      </w:r>
      <w:r w:rsidR="00DF3581">
        <w:t>c pathways</w:t>
      </w:r>
      <w:r w:rsidR="00A03C4C">
        <w:t xml:space="preserve"> (f</w:t>
      </w:r>
      <w:r w:rsidR="00D627B5">
        <w:t xml:space="preserve">igure </w:t>
      </w:r>
      <w:r w:rsidR="00BD0A67">
        <w:t>1</w:t>
      </w:r>
      <w:r w:rsidR="00D627B5">
        <w:t>)</w:t>
      </w:r>
      <w:r w:rsidR="00E32813" w:rsidRPr="000D72AC">
        <w:t>.</w:t>
      </w:r>
      <w:r w:rsidR="0064669F" w:rsidRPr="000D72AC">
        <w:fldChar w:fldCharType="begin" w:fldLock="1"/>
      </w:r>
      <w:r w:rsidR="00481147">
        <w:instrText>ADDIN CSL_CITATION { "citationItems" : [ { "id" : "ITEM-1", "itemData" : { "DOI" : "10.1002/mrm.22999", "ISSN" : "07403194", "PMID" : "21661043", "abstract" : "Dynamic nuclear polarization is an emerging technique for increasing the sensitivity of magnetic resonance imaging and spectroscopy, particularly for low-\u03b3 nuclei. The technique has been applied recently to a number of 13C-labeled cell metabolites in biological systems: the increase in signal-to-noise allows the spatial distribution of an injected molecule to be imaged as well as its metabolic product or products. This review highlights the most significant molecules investigated to date in preclinical cancer models, either in terms of their demonstrated metabolism in vivo or the biological processes that they can probe. In particular, label exchange between hyperpolarized 13C-labeled pyruvate and lactate, catalyzed by lactate dehydrogenase, has been shown to have a number of potential applications. Finally, techniques to image these molecules are also discussed as well as methods that may extend the lifetime of the hyperpolarized signal. Hyperpolarized magnetic resonance imaging and magnetic resonance spectroscopic imaging have shown great promise for the imaging of cancer in preclinical work, both for diagnosis and for monitoring therapy response. If the challenges in translating this technique to human imaging can be overcome, then it has the potential to significantly alter the management of cancer patients. Magn Reson Med, 2011. \u00a9 2011 Wiley-Liss, Inc.", "author" : [ { "dropping-particle" : "", "family" : "Brindle", "given" : "Kevin M.", "non-dropping-particle" : "", "parse-names" : false, "suffix" : "" }, { "dropping-particle" : "", "family" : "Bohndiek", "given" : "Sarah E.", "non-dropping-particle" : "", "parse-names" : false, "suffix" : "" }, { "dropping-particle" : "", "family" : "Gallagher", "given" : "Ferdia A.", "non-dropping-particle" : "", "parse-names" : false, "suffix" : "" }, { "dropping-particle" : "", "family" : "Kettunen", "given" : "Mikko I.", "non-dropping-particle" : "", "parse-names" : false, "suffix" : "" } ], "container-title" : "Magnetic Resonance in Medicine", "id" : "ITEM-1", "issued" : { "date-parts" : [ [ "2011" ] ] }, "page" : "505-519", "title" : "Tumor imaging using hyperpolarized 13C magnetic resonance spectroscopy", "type" : "article-journal", "volume" : "66" }, "uris" : [ "http://www.mendeley.com/documents/?uuid=d2635439-05d9-4e73-b159-8fda321e4353" ] }, { "id" : "ITEM-2", "itemData" : { "DOI" : "10.1016/bs.mie.2015.04.006", "ISBN" : "9780128022931", "ISSN" : "15577988", "PMID" : "26358902", "abstract" : "Diseased tissue is often characterized by abnormalities in intermediary metabolism. Observing these alterations in situ may lead to an improved understanding of pathological processes and novel ways to monitor these processes noninvasively in human patients. Although 13C is a stable isotope safe for use in animal models of disease as well as human subjects, its utility as a metabolic tracer has largely been limited to ex vivo analyses employing analytical techniques like mass spectrometry or nuclear magnetic resonance spectroscopy. Neither of these techniques is suitable for noninvasive metabolic monitoring, and the low abundance and poor gyromagnetic ratio of conventional 13C make it a poor nucleus for imaging. However, the recent advent of hyperpolarization methods, particularly dynamic nuclear polarization (DNP), makes it possible to enhance the spin polarization state of 13C by many orders of magnitude, resulting in a temporary amplification of the signal sufficient for monitoring kinetics of enzyme-catalyzed reactions in living tissue through magnetic resonance spectroscopy or magnetic resonance imaging. Here, we review DNP techniques to monitor metabolism in cultured cells, perfused hearts, and perfused livers, focusing on our experiences with hyperpolarized [1-13C]pyruvate. We present detailed approaches to optimize the DNP procedure, streamline biological sample preparation, and maximize detection of specific metabolic activities. We also discuss practical aspects in the choice of metabolic substrates for hyperpolarization studies and outline some of the current technical and conceptual challenges in the field, including efforts to use hyperpolarization to quantify metabolic rates in vivo.", "author" : [ { "dropping-particle" : "", "family" : "Lumata", "given" : "Lloyd", "non-dropping-particle" : "", "parse-names" : false, "suffix" : "" }, { "dropping-particle" : "", "family" : "Yang", "given" : "Chendong", "non-dropping-particle" : "", "parse-names" : false, "suffix" : "" }, { "dropping-particle" : "", "family" : "Ragavan", "given" : "Mukundan", "non-dropping-particle" : "", "parse-names" : false, "suffix" : "" }, { "dropping-particle" : "", "family" : "Carpenter", "given" : "Nicholas", "non-dropping-particle" : "", "parse-names" : false, "suffix" : "" }, { "dropping-particle" : "", "family" : "DeBerardinis", "given" : "Ralph J.", "non-dropping-particle" : "", "parse-names" : false, "suffix" : "" }, { "dropping-particle" : "", "family" : "Merritt", "given" : "Matthew E.", "non-dropping-particle" : "", "parse-names" : false, "suffix" : "" } ], "container-title" : "Methods in Enzymology", "edition" : "1", "id" : "ITEM-2", "issued" : { "date-parts" : [ [ "2015" ] ] }, "number-of-pages" : "73-106", "publisher" : "Elsevier Inc.", "title" : "Hyperpolarized 13C Magnetic Resonance and its use in metabolic assessment of cultured cells and perfused organs", "type" : "book", "volume" : "561" }, "uris" : [ "http://www.mendeley.com/documents/?uuid=f9631d7f-62b7-4985-8f93-8b4accf078f5" ] } ], "mendeley" : { "formattedCitation" : "&lt;sup&gt;35,36&lt;/sup&gt;", "plainTextFormattedCitation" : "35,36", "previouslyFormattedCitation" : "&lt;sup&gt;35,36&lt;/sup&gt;" }, "properties" : {  }, "schema" : "https://github.com/citation-style-language/schema/raw/master/csl-citation.json" }</w:instrText>
      </w:r>
      <w:r w:rsidR="0064669F" w:rsidRPr="000D72AC">
        <w:fldChar w:fldCharType="separate"/>
      </w:r>
      <w:r w:rsidR="00CE79A4" w:rsidRPr="00CE79A4">
        <w:rPr>
          <w:noProof/>
          <w:vertAlign w:val="superscript"/>
        </w:rPr>
        <w:t>35,36</w:t>
      </w:r>
      <w:r w:rsidR="0064669F" w:rsidRPr="000D72AC">
        <w:fldChar w:fldCharType="end"/>
      </w:r>
      <w:r w:rsidR="00727B0F" w:rsidRPr="000D72AC">
        <w:t xml:space="preserve"> </w:t>
      </w:r>
      <w:r w:rsidR="004736E4">
        <w:t>P</w:t>
      </w:r>
      <w:r w:rsidR="004736E4" w:rsidRPr="000D72AC">
        <w:t>yruvate</w:t>
      </w:r>
      <w:r w:rsidR="004736E4">
        <w:t xml:space="preserve"> is at an important metabolic </w:t>
      </w:r>
      <w:r w:rsidR="004736E4">
        <w:lastRenderedPageBreak/>
        <w:t xml:space="preserve">crossroad between the formation of lactate on one hand, and entry into the </w:t>
      </w:r>
      <w:r w:rsidR="004736E4" w:rsidRPr="000D72AC">
        <w:t xml:space="preserve">tricarboxylic acid cycle </w:t>
      </w:r>
      <w:r w:rsidR="004736E4">
        <w:t xml:space="preserve">(TCA) </w:t>
      </w:r>
      <w:r w:rsidR="00BC5AB7">
        <w:t xml:space="preserve">with </w:t>
      </w:r>
      <w:r w:rsidR="004736E4">
        <w:t>the formation of carbon dioxide on the other.</w:t>
      </w:r>
    </w:p>
    <w:p w14:paraId="3BCB4EDC" w14:textId="77777777" w:rsidR="009C3FB6" w:rsidRDefault="009C3FB6" w:rsidP="00167826">
      <w:pPr>
        <w:spacing w:line="360" w:lineRule="auto"/>
        <w:jc w:val="both"/>
      </w:pPr>
    </w:p>
    <w:p w14:paraId="3E3D2860" w14:textId="65022A2B" w:rsidR="0037305D" w:rsidRDefault="00727B0F" w:rsidP="00167826">
      <w:pPr>
        <w:spacing w:line="360" w:lineRule="auto"/>
        <w:jc w:val="both"/>
      </w:pPr>
      <w:r w:rsidRPr="000D72AC">
        <w:t xml:space="preserve">In cancer, </w:t>
      </w:r>
      <w:r w:rsidR="00FF759E" w:rsidRPr="000D72AC">
        <w:t>the</w:t>
      </w:r>
      <w:r w:rsidR="005F7928">
        <w:t xml:space="preserve"> </w:t>
      </w:r>
      <w:r w:rsidRPr="000D72AC">
        <w:rPr>
          <w:vertAlign w:val="superscript"/>
        </w:rPr>
        <w:t>13</w:t>
      </w:r>
      <w:r w:rsidRPr="000D72AC">
        <w:t xml:space="preserve">C label on </w:t>
      </w:r>
      <w:r w:rsidR="00FF759E" w:rsidRPr="000D72AC">
        <w:t>[1-</w:t>
      </w:r>
      <w:r w:rsidRPr="000D72AC">
        <w:rPr>
          <w:vertAlign w:val="superscript"/>
        </w:rPr>
        <w:t>13</w:t>
      </w:r>
      <w:r w:rsidRPr="000D72AC">
        <w:t>C</w:t>
      </w:r>
      <w:r w:rsidR="00FF759E" w:rsidRPr="000D72AC">
        <w:t>]</w:t>
      </w:r>
      <w:r w:rsidRPr="000D72AC">
        <w:t xml:space="preserve">pyruvate is predominantly exchanged to </w:t>
      </w:r>
      <w:r w:rsidR="009416C9" w:rsidRPr="000D72AC">
        <w:t>[1-</w:t>
      </w:r>
      <w:r w:rsidRPr="000D72AC">
        <w:rPr>
          <w:vertAlign w:val="superscript"/>
        </w:rPr>
        <w:t>13</w:t>
      </w:r>
      <w:r w:rsidRPr="000D72AC">
        <w:t>C</w:t>
      </w:r>
      <w:r w:rsidR="009416C9" w:rsidRPr="000D72AC">
        <w:t>]</w:t>
      </w:r>
      <w:r w:rsidRPr="000D72AC">
        <w:t xml:space="preserve">lactate via </w:t>
      </w:r>
      <w:r w:rsidR="00BC5AB7">
        <w:t xml:space="preserve">the enzyme </w:t>
      </w:r>
      <w:r w:rsidRPr="000D72AC">
        <w:t xml:space="preserve">lactate dehydrogenase (LDH) </w:t>
      </w:r>
      <w:r w:rsidR="005F7928">
        <w:t xml:space="preserve">but some will </w:t>
      </w:r>
      <w:r w:rsidR="006A4829">
        <w:t xml:space="preserve">also </w:t>
      </w:r>
      <w:r w:rsidR="005F7928">
        <w:t xml:space="preserve">be </w:t>
      </w:r>
      <w:r w:rsidRPr="000D72AC">
        <w:t>exchange</w:t>
      </w:r>
      <w:r w:rsidR="005F7928">
        <w:t>d</w:t>
      </w:r>
      <w:r w:rsidRPr="000D72AC">
        <w:t xml:space="preserve"> to </w:t>
      </w:r>
      <w:r w:rsidR="009416C9" w:rsidRPr="000D72AC">
        <w:t>[1-</w:t>
      </w:r>
      <w:r w:rsidRPr="000D72AC">
        <w:rPr>
          <w:vertAlign w:val="superscript"/>
        </w:rPr>
        <w:t>13</w:t>
      </w:r>
      <w:r w:rsidRPr="000D72AC">
        <w:t>C</w:t>
      </w:r>
      <w:r w:rsidR="009416C9" w:rsidRPr="000D72AC">
        <w:t>]</w:t>
      </w:r>
      <w:r w:rsidRPr="000D72AC">
        <w:t>alanine via alanine aminotransferase (ALT), or</w:t>
      </w:r>
      <w:r w:rsidR="002E1EA3">
        <w:t xml:space="preserve"> irreversibly converted to</w:t>
      </w:r>
      <w:r w:rsidR="005F7928">
        <w:t xml:space="preserve"> </w:t>
      </w:r>
      <w:r w:rsidRPr="000D72AC">
        <w:rPr>
          <w:vertAlign w:val="superscript"/>
        </w:rPr>
        <w:t>13</w:t>
      </w:r>
      <w:r w:rsidRPr="000D72AC">
        <w:t>CO</w:t>
      </w:r>
      <w:r w:rsidRPr="000D72AC">
        <w:rPr>
          <w:vertAlign w:val="subscript"/>
        </w:rPr>
        <w:t>2</w:t>
      </w:r>
      <w:r w:rsidRPr="000D72AC">
        <w:t xml:space="preserve"> via pyruvate dehydrogenase (PDH).</w:t>
      </w:r>
      <w:r w:rsidR="006E3943" w:rsidRPr="000D72AC">
        <w:fldChar w:fldCharType="begin" w:fldLock="1"/>
      </w:r>
      <w:r w:rsidR="006D4D5D">
        <w:instrText>ADDIN CSL_CITATION { "citationItems" : [ { "id" : "ITEM-1", "itemData" : { "DOI" : "10.1073/pnas.0706235104", "ISBN" : "1977319777", "ISSN" : "1091-6490", "PMID" : "18056642", "abstract" : "(13)C NMR is a powerful tool for monitoring metabolic fluxes in vivo. The recent availability of automated dynamic nuclear polarization equipment for hyperpolarizing (13)C nuclei now offers the potential to measure metabolic fluxes through select enzyme-catalyzed steps with substantially improved sensitivity. Here, we investigated the metabolism of hyperpolarized [1-(13)C(1)]pyruvate in a widely used model for physiology and pharmacology, the perfused rat heart. Dissolved (13)CO(2), the immediate product of the first step of the reaction catalyzed by pyruvate dehydrogenase, was observed with a temporal resolution of approximately 1 s along with H(13)CO(3)(-), the hydrated form of (13)CO(2) generated catalytically by carbonic anhydrase. In hearts presented with the medium-chain fatty acid octanoate in addition to hyperpolarized [1-(13)C(1)]pyruvate, production of (13)CO(2) and H(13)CO(3)(-) was suppressed by approximately 90%, whereas the signal from [1-(13)C(1)]lactate was enhanced. In separate experiments, it was shown that O(2) consumption and tricarboxylic acid (TCA) cycle flux were unchanged in the presence of added octanoate. Thus, the rate of appearance of (13)CO(2) and H(13)CO(3)(-) from [1-(13)C(1)]pyruvate does not reflect production of CO(2) in the TCA cycle but rather reflects flux through pyruvate dehydrogenase exclusively.", "author" : [ { "dropping-particle" : "", "family" : "Merritt", "given" : "Matthew E", "non-dropping-particle" : "", "parse-names" : false, "suffix" : "" }, { "dropping-particle" : "", "family" : "Harrison", "given" : "Crystal", "non-dropping-particle" : "", "parse-names" : false, "suffix" : "" }, { "dropping-particle" : "", "family" : "Storey", "given" : "Charles", "non-dropping-particle" : "", "parse-names" : false, "suffix" : "" }, { "dropping-particle" : "", "family" : "Jeffrey", "given" : "F Mark", "non-dropping-particle" : "", "parse-names" : false, "suffix" : "" }, { "dropping-particle" : "", "family" : "Sherry", "given" : "A Dean", "non-dropping-particle" : "", "parse-names" : false, "suffix" : "" }, { "dropping-particle" : "", "family" : "Malloy", "given" : "Craig R", "non-dropping-particle" : "", "parse-names" : false, "suffix" : "" } ], "container-title" : "Proc Natl Acad Sci U S A", "id" : "ITEM-1", "issue" : "50", "issued" : { "date-parts" : [ [ "2007" ] ] }, "page" : "19773-19777", "title" : "Hyperpolarized 13C allows a direct measure of flux through a single enzyme-catalyzed step by NMR", "type" : "article-journal", "volume" : "104" }, "uris" : [ "http://www.mendeley.com/documents/?uuid=a9bac0de-74ec-4eec-9543-45964d228c46" ] } ], "mendeley" : { "formattedCitation" : "&lt;sup&gt;33&lt;/sup&gt;", "plainTextFormattedCitation" : "33", "previouslyFormattedCitation" : "&lt;sup&gt;33&lt;/sup&gt;" }, "properties" : {  }, "schema" : "https://github.com/citation-style-language/schema/raw/master/csl-citation.json" }</w:instrText>
      </w:r>
      <w:r w:rsidR="006E3943" w:rsidRPr="000D72AC">
        <w:fldChar w:fldCharType="separate"/>
      </w:r>
      <w:r w:rsidR="00CE79A4" w:rsidRPr="00CE79A4">
        <w:rPr>
          <w:noProof/>
          <w:vertAlign w:val="superscript"/>
        </w:rPr>
        <w:t>33</w:t>
      </w:r>
      <w:r w:rsidR="006E3943" w:rsidRPr="000D72AC">
        <w:fldChar w:fldCharType="end"/>
      </w:r>
      <w:r w:rsidR="00FF759E" w:rsidRPr="000D72AC">
        <w:t xml:space="preserve"> </w:t>
      </w:r>
      <w:r w:rsidRPr="000D72AC">
        <w:t>Th</w:t>
      </w:r>
      <w:r w:rsidR="005F7928">
        <w:t xml:space="preserve">e </w:t>
      </w:r>
      <w:r w:rsidR="00720E50">
        <w:t xml:space="preserve">production of </w:t>
      </w:r>
      <w:r w:rsidR="005F7928">
        <w:t xml:space="preserve">lactate in tumour tissue, even in the presence of oxygen, is termed the </w:t>
      </w:r>
      <w:r w:rsidRPr="000D72AC">
        <w:t xml:space="preserve">‘Warburg effect’ </w:t>
      </w:r>
      <w:r w:rsidR="005F7928">
        <w:t xml:space="preserve">and </w:t>
      </w:r>
      <w:r w:rsidRPr="000D72AC">
        <w:t>has been observed using HP</w:t>
      </w:r>
      <w:r w:rsidR="00DA7502" w:rsidRPr="000D72AC">
        <w:t xml:space="preserve"> </w:t>
      </w:r>
      <w:r w:rsidR="00DA7502" w:rsidRPr="000D72AC">
        <w:rPr>
          <w:vertAlign w:val="superscript"/>
        </w:rPr>
        <w:t>13</w:t>
      </w:r>
      <w:r w:rsidR="00DA7502" w:rsidRPr="000D72AC">
        <w:t>C</w:t>
      </w:r>
      <w:r w:rsidR="00EA2B1E">
        <w:t>-</w:t>
      </w:r>
      <w:r w:rsidRPr="000D72AC">
        <w:t>MRSI in a variety of preclinical cancer models</w:t>
      </w:r>
      <w:r w:rsidR="005F7928">
        <w:t xml:space="preserve">. There is evidence that the labelling of lactate </w:t>
      </w:r>
      <w:r w:rsidR="00CF573C" w:rsidRPr="000D72AC">
        <w:t>correlates with tumour grade</w:t>
      </w:r>
      <w:r w:rsidR="00FD2CCF">
        <w:t xml:space="preserve">, with higher lactate </w:t>
      </w:r>
      <w:r w:rsidR="006A4829">
        <w:t xml:space="preserve">labelling present </w:t>
      </w:r>
      <w:r w:rsidR="00FD2CCF">
        <w:t>in more aggressive tumours</w:t>
      </w:r>
      <w:r w:rsidRPr="000D72AC">
        <w:t>.</w:t>
      </w:r>
      <w:r w:rsidR="006E3943" w:rsidRPr="000D72AC">
        <w:fldChar w:fldCharType="begin" w:fldLock="1"/>
      </w:r>
      <w:r w:rsidR="00481147">
        <w:instrText>ADDIN CSL_CITATION { "citationItems" : [ { "id" : "ITEM-1", "itemData" : { "DOI" : "10.1126/science.123.3191.309", "ISBN" : "0369-7606 (Print)\\r0369-7606 (Linking)", "ISSN" : "00368075", "PMID" : "13298683", "author" : [ { "dropping-particle" : "", "family" : "Warburg", "given" : "O", "non-dropping-particle" : "", "parse-names" : false, "suffix" : "" } ], "container-title" : "Science", "id" : "ITEM-1", "issue" : "3191", "issued" : { "date-parts" : [ [ "1956" ] ] }, "page" : "309-14", "title" : "On the Origin of Cancer Cells", "type" : "article-journal", "volume" : "123" }, "uris" : [ "http://www.mendeley.com/documents/?uuid=49aad212-4430-415f-9fec-14887896bc80" ] }, { "id" : "ITEM-2", "itemData" : { "DOI" : "10.1158/0008-5472.CAN-08-0749", "ISSN" : "0008-5472", "author" : [ { "dropping-particle" : "", "family" : "Albers", "given" : "M. J.", "non-dropping-particle" : "", "parse-names" : false, "suffix" : "" }, { "dropping-particle" : "", "family" : "Bok", "given" : "R.", "non-dropping-particle" : "", "parse-names" : false, "suffix" : "" }, { "dropping-particle" : "", "family" : "Chen", "given" : "A. P.", "non-dropping-particle" : "", "parse-names" : false, "suffix" : "" }, { "dropping-particle" : "", "family" : "Cunningham", "given" : "C. H.", "non-dropping-particle" : "", "parse-names" : false, "suffix" : "" }, { "dropping-particle" : "", "family" : "Zierhut", "given" : "M. L.", "non-dropping-particle" : "", "parse-names" : false, "suffix" : "" }, { "dropping-particle" : "", "family" : "Zhang", "given" : "V. Y.", "non-dropping-particle" : "", "parse-names" : false, "suffix" : "" }, { "dropping-particle" : "", "family" : "Kohler", "given" : "S. J.", "non-dropping-particle" : "", "parse-names" : false, "suffix" : "" }, { "dropping-particle" : "", "family" : "Tropp", "given" : "J.", "non-dropping-particle" : "", "parse-names" : false, "suffix" : "" }, { "dropping-particle" : "", "family" : "Hurd", "given" : "R. E.", "non-dropping-particle" : "", "parse-names" : false, "suffix" : "" }, { "dropping-particle" : "", "family" : "Yen", "given" : "Y.-F.", "non-dropping-particle" : "", "parse-names" : false, "suffix" : "" }, { "dropping-particle" : "", "family" : "Nelson", "given" : "S. J.", "non-dropping-particle" : "", "parse-names" : false, "suffix" : "" }, { "dropping-particle" : "", "family" : "Vigneron", "given" : "D. B.", "non-dropping-particle" : "", "parse-names" : false, "suffix" : "" }, { "dropping-particle" : "", "family" : "Kurhanewicz", "given" : "J.", "non-dropping-particle" : "", "parse-names" : false, "suffix" : "" } ], "container-title" : "Cancer Research", "id" : "ITEM-2", "issue" : "20", "issued" : { "date-parts" : [ [ "2008" ] ] }, "page" : "8607-8615", "title" : "Hyperpolarized 13C lactate, pyruvate, and alanine: noninvasive biomarkers for prostate cancer detection and grading", "type" : "article-journal", "volume" : "68" }, "uris" : [ "http://www.mendeley.com/documents/?uuid=bb05a8ce-05e2-4de0-8245-43a57b14e2b2" ] } ], "mendeley" : { "formattedCitation" : "&lt;sup&gt;1,37&lt;/sup&gt;", "plainTextFormattedCitation" : "1,37", "previouslyFormattedCitation" : "&lt;sup&gt;1,37&lt;/sup&gt;" }, "properties" : {  }, "schema" : "https://github.com/citation-style-language/schema/raw/master/csl-citation.json" }</w:instrText>
      </w:r>
      <w:r w:rsidR="006E3943" w:rsidRPr="000D72AC">
        <w:fldChar w:fldCharType="separate"/>
      </w:r>
      <w:r w:rsidR="00CE79A4" w:rsidRPr="00CE79A4">
        <w:rPr>
          <w:noProof/>
          <w:vertAlign w:val="superscript"/>
        </w:rPr>
        <w:t>1,37</w:t>
      </w:r>
      <w:r w:rsidR="006E3943" w:rsidRPr="000D72AC">
        <w:fldChar w:fldCharType="end"/>
      </w:r>
      <w:r w:rsidRPr="000D72AC">
        <w:t xml:space="preserve"> </w:t>
      </w:r>
      <w:r w:rsidR="00143830" w:rsidRPr="000D72AC">
        <w:t xml:space="preserve">HP </w:t>
      </w:r>
      <w:r w:rsidR="00143830" w:rsidRPr="000D72AC">
        <w:rPr>
          <w:vertAlign w:val="superscript"/>
        </w:rPr>
        <w:t>13</w:t>
      </w:r>
      <w:r w:rsidR="00143830" w:rsidRPr="000D72AC">
        <w:t>C</w:t>
      </w:r>
      <w:r w:rsidR="00143830">
        <w:t>-</w:t>
      </w:r>
      <w:r w:rsidR="00143830" w:rsidRPr="000D72AC">
        <w:t xml:space="preserve">MRSI </w:t>
      </w:r>
      <w:r w:rsidR="005F7928">
        <w:t xml:space="preserve">has </w:t>
      </w:r>
      <w:r w:rsidR="002E1EA3">
        <w:t xml:space="preserve">also </w:t>
      </w:r>
      <w:r w:rsidR="005F7928">
        <w:t xml:space="preserve">been used to </w:t>
      </w:r>
      <w:r w:rsidR="0037305D">
        <w:t>demonstrate a consistent decrease</w:t>
      </w:r>
      <w:r w:rsidR="005F7928">
        <w:t xml:space="preserve"> in the </w:t>
      </w:r>
      <w:r w:rsidRPr="000D72AC">
        <w:rPr>
          <w:vertAlign w:val="superscript"/>
        </w:rPr>
        <w:t>13</w:t>
      </w:r>
      <w:r w:rsidRPr="000D72AC">
        <w:t xml:space="preserve">C exchange between </w:t>
      </w:r>
      <w:r w:rsidR="00D32BC3" w:rsidRPr="000D72AC">
        <w:t>[1-</w:t>
      </w:r>
      <w:r w:rsidRPr="000D72AC">
        <w:rPr>
          <w:vertAlign w:val="superscript"/>
        </w:rPr>
        <w:t>13</w:t>
      </w:r>
      <w:r w:rsidRPr="000D72AC">
        <w:t>C</w:t>
      </w:r>
      <w:r w:rsidR="00D32BC3" w:rsidRPr="000D72AC">
        <w:t>]</w:t>
      </w:r>
      <w:r w:rsidRPr="000D72AC">
        <w:t xml:space="preserve">pyruvate and </w:t>
      </w:r>
      <w:r w:rsidR="00D32BC3" w:rsidRPr="000D72AC">
        <w:t>[1-</w:t>
      </w:r>
      <w:r w:rsidRPr="000D72AC">
        <w:rPr>
          <w:vertAlign w:val="superscript"/>
        </w:rPr>
        <w:t>13</w:t>
      </w:r>
      <w:r w:rsidRPr="000D72AC">
        <w:t>C</w:t>
      </w:r>
      <w:r w:rsidR="00D32BC3" w:rsidRPr="000D72AC">
        <w:t>]</w:t>
      </w:r>
      <w:r w:rsidRPr="000D72AC">
        <w:t>lactate</w:t>
      </w:r>
      <w:r w:rsidR="00143830">
        <w:t xml:space="preserve"> during tumour responses</w:t>
      </w:r>
      <w:r w:rsidR="006A4829">
        <w:t>,</w:t>
      </w:r>
      <w:r w:rsidRPr="000D72AC">
        <w:t xml:space="preserve"> </w:t>
      </w:r>
      <w:r w:rsidR="0037305D">
        <w:t xml:space="preserve">regardless of treatment type </w:t>
      </w:r>
      <w:r w:rsidR="00143830">
        <w:t xml:space="preserve">in various </w:t>
      </w:r>
      <w:r w:rsidR="00143830" w:rsidRPr="00143830">
        <w:rPr>
          <w:i/>
        </w:rPr>
        <w:t>in vitro</w:t>
      </w:r>
      <w:r w:rsidR="00143830">
        <w:t xml:space="preserve"> and </w:t>
      </w:r>
      <w:r w:rsidR="00143830" w:rsidRPr="00143830">
        <w:rPr>
          <w:i/>
        </w:rPr>
        <w:t>in vivo</w:t>
      </w:r>
      <w:r w:rsidR="00143830">
        <w:t xml:space="preserve"> models, </w:t>
      </w:r>
      <w:r w:rsidR="0037305D">
        <w:t xml:space="preserve">with </w:t>
      </w:r>
      <w:r w:rsidR="00143830">
        <w:t xml:space="preserve">changes </w:t>
      </w:r>
      <w:r w:rsidR="0037305D">
        <w:t xml:space="preserve">seen </w:t>
      </w:r>
      <w:r w:rsidRPr="000D72AC">
        <w:t>as early as 24</w:t>
      </w:r>
      <w:r w:rsidR="005F7928">
        <w:t xml:space="preserve"> </w:t>
      </w:r>
      <w:r w:rsidRPr="000D72AC">
        <w:t>h</w:t>
      </w:r>
      <w:r w:rsidR="005F7928">
        <w:t>ours</w:t>
      </w:r>
      <w:r w:rsidRPr="000D72AC">
        <w:t xml:space="preserve"> after the initiation </w:t>
      </w:r>
      <w:r w:rsidR="00FB4E45" w:rsidRPr="000D72AC">
        <w:t xml:space="preserve">of </w:t>
      </w:r>
      <w:r w:rsidR="005F7928">
        <w:t>therapy</w:t>
      </w:r>
      <w:r w:rsidR="00143830">
        <w:t xml:space="preserve">, </w:t>
      </w:r>
      <w:r w:rsidR="008838A7">
        <w:t xml:space="preserve">and </w:t>
      </w:r>
      <w:r w:rsidR="006A4829">
        <w:t>sometimes</w:t>
      </w:r>
      <w:r w:rsidR="00143830">
        <w:t xml:space="preserve"> </w:t>
      </w:r>
      <w:r w:rsidR="006A4829">
        <w:t xml:space="preserve">earlier </w:t>
      </w:r>
      <w:r w:rsidR="00143830">
        <w:t>than conventional imaging modalities such as di</w:t>
      </w:r>
      <w:r w:rsidR="008838A7">
        <w:t>ff</w:t>
      </w:r>
      <w:r w:rsidR="00143830">
        <w:t>u</w:t>
      </w:r>
      <w:r w:rsidR="008838A7">
        <w:t>s</w:t>
      </w:r>
      <w:r w:rsidR="00143830">
        <w:t>ion-weighted imaging</w:t>
      </w:r>
      <w:r w:rsidRPr="000D72AC">
        <w:t>.</w:t>
      </w:r>
      <w:r w:rsidR="00FB4E45" w:rsidRPr="000D72AC">
        <w:fldChar w:fldCharType="begin" w:fldLock="1"/>
      </w:r>
      <w:r w:rsidR="00481147">
        <w:instrText>ADDIN CSL_CITATION { "citationItems" : [ { "id" : "ITEM-1", "itemData" : { "DOI" : "10.1038/nm1650", "ISBN" : "1078-8956", "ISSN" : "1078-8956", "PMID" : "17965722", "abstract" : "Measurements of early tumor responses to therapy have been shown, in some cases, to predict treatment outcome. We show in lymphoma-bearing mice injected intravenously with hyperpolarized [1-(13)C]pyruvate that the lactate dehydrogenase-catalyzed flux of (13)C label between the carboxyl groups of pyruvate and lactate in the tumor can be measured using (13)C magnetic resonance spectroscopy and spectroscopic imaging, and that this flux is inhibited within 24 h of chemotherapy. The reduction in the measured flux after drug treatment and the induction of tumor cell death can be explained by loss of the coenzyme NAD(H) and decreases in concentrations of lactate and enzyme in the tumors. The technique could provide a new way to assess tumor responses to treatment in the clinic.", "author" : [ { "dropping-particle" : "", "family" : "Day", "given" : "Sam E", "non-dropping-particle" : "", "parse-names" : false, "suffix" : "" }, { "dropping-particle" : "", "family" : "Kettunen", "given" : "Mikko I", "non-dropping-particle" : "", "parse-names" : false, "suffix" : "" }, { "dropping-particle" : "", "family" : "Gallagher", "given" : "Ferdia A", "non-dropping-particle" : "", "parse-names" : false, "suffix" : "" }, { "dropping-particle" : "", "family" : "Hu", "given" : "De-En", "non-dropping-particle" : "", "parse-names" : false, "suffix" : "" }, { "dropping-particle" : "", "family" : "Lerche", "given" : "Mathilde", "non-dropping-particle" : "", "parse-names" : false, "suffix" : "" }, { "dropping-particle" : "", "family" : "Wolber", "given" : "Jan", "non-dropping-particle" : "", "parse-names" : false, "suffix" : "" }, { "dropping-particle" : "", "family" : "Golman", "given" : "Klaes", "non-dropping-particle" : "", "parse-names" : false, "suffix" : "" }, { "dropping-particle" : "", "family" : "Ardenkjaer-Larsen", "given" : "Jan Henrik", "non-dropping-particle" : "", "parse-names" : false, "suffix" : "" }, { "dropping-particle" : "", "family" : "Brindle", "given" : "Kevin M", "non-dropping-particle" : "", "parse-names" : false, "suffix" : "" } ], "container-title" : "Nature medicine", "id" : "ITEM-1", "issue" : "11", "issued" : { "date-parts" : [ [ "2007" ] ] }, "page" : "1382-1387", "title" : "Detecting tumor response to treatment using hyperpolarized 13C magnetic resonance imaging and spectroscopy.", "type" : "article-journal", "volume" : "13" }, "uris" : [ "http://www.mendeley.com/documents/?uuid=43856305-8d92-4b3b-ae59-117b0116aff4" ] }, { "id" : "ITEM-2", "itemData" : { "DOI" : "10.1038/sj.bjc.6605945", "ISBN" : "0007-0920\\r1532-1827", "ISSN" : "1532-1827", "PMID" : "20924379", "abstract" : "Background:The recent introduction of a dynamic nuclear polarisation technique has permitted noninvasive imaging of tumour cell metabolism in vivo following intravenous administration of (13)C-labelled cell substrates.Methods:Changes in hyperpolarised [1-(13)C]pyruvate and [1,4-(13)C(2)]fumarate metabolism were evaluated in both MDA-MB-231 cells and in implanted MDA-MB-231 tumours following doxorubicin treatment.Results:Treatment of MDA-MB-231 cells resulted in the induction of apoptosis, which was accompanied by a decrease in hyperpolarised (13)C label flux between [1-(13)C]pyruvate and lactate, which was correlated with a decrease in the cellular NAD(H) coenzyme pool. There was also an increase in the rate of fumarate conversion to malate, which accompanied the onset of cellular necrosis. In vivo, the decrease in (13)C label exchange between pyruvate and lactate and the increased flux between fumarate and malate, following drug treatment, were shown to occur in the absence of any detectable change in tumour size.Conclusion:We show here that the early responses of a human breast adenocarcinoma tumour model to drug treatment can be followed by administration of both hyperpolarised [1-(13)C]pyruvate and [1,4-(13)C(2)]fumarate. These techniques could be used, therefore, in the clinic to detect the early responses of breast tumours to treatment.", "author" : [ { "dropping-particle" : "", "family" : "Witney", "given" : "T H", "non-dropping-particle" : "", "parse-names" : false, "suffix" : "" }, { "dropping-particle" : "", "family" : "Kettunen", "given" : "M I", "non-dropping-particle" : "", "parse-names" : false, "suffix" : "" }, { "dropping-particle" : "", "family" : "Hu", "given" : "D-e", "non-dropping-particle" : "", "parse-names" : false, "suffix" : "" }, { "dropping-particle" : "", "family" : "Gallagher", "given" : "F A", "non-dropping-particle" : "", "parse-names" : false, "suffix" : "" }, { "dropping-particle" : "", "family" : "Bohndiek", "given" : "S E", "non-dropping-particle" : "", "parse-names" : false, "suffix" : "" }, { "dropping-particle" : "", "family" : "Napolitano", "given" : "R", "non-dropping-particle" : "", "parse-names" : false, "suffix" : "" }, { "dropping-particle" : "", "family" : "Brindle", "given" : "K M", "non-dropping-particle" : "", "parse-names" : false, "suffix" : "" } ], "container-title" : "British journal of cancer", "id" : "ITEM-2", "issued" : { "date-parts" : [ [ "2010" ] ] }, "page" : "1400-1406", "title" : "Detecting treatment response in a model of human breast adenocarcinoma using hyperpolarised [1-13C]pyruvate and [1,4-13C2]fumarate.", "type" : "article-journal", "volume" : "103" }, "uris" : [ "http://www.mendeley.com/documents/?uuid=65926124-a15b-442f-87ce-4f356fabc7e4" ] }, { "id" : "ITEM-3", "itemData" : { "DOI" : "10.1593/neo.09254", "ISBN" : "1476-5586 (Electronic)\\r1476-5586 (Linking)", "ISSN" : "1476-5586", "PMID" : "19484146", "abstract" : "Detection of early tumor responses to treatment can give an indication of clinical outcome. Positron emission tomography measurements of the uptake of the glucose analog, [(18)F] 2-fluoro-2-deoxy-D-glucose (FDG), have demonstrated their potential for detecting early treatment response in the clinic. We have shown recently that (13)C magnetic resonance spectroscopy and spectroscopic imaging measurements of the uptake and conversion of hyperpolarized [1-(13)C]pyruvate into [1-(13)C]lactate can be used to detect treatment response in a murine lymphoma model. The present study compares these magnetic resonance measurements with changes in FDG uptake after chemotherapy. A decrease in FDG uptake was found to precede the decrease in flux of hyperpolarized (13)C label between pyruvate and lactate, both in tumor cells in vitro and in tumors in vivo. However, the magnitude of the decrease in FDG uptake and the decrease in pyruvate to lactate flux was comparable at 24 hours after drug treatment. In cells, the decrease in FDG uptake was shown to correlate with changes in plasma membrane expression of the facilitative glucose transporters, whereas the decrease in pyruvate to lactate flux could be explained by an increase in poly(ADP-ribose) polymerase activity and subsequent depletion of the NAD(H) pool. These results show that measurement of flux between pyruvate and lactate may be an alternative to FDG-positron emission tomography for imaging tumor treatment response in the clinic.", "author" : [ { "dropping-particle" : "", "family" : "Witney", "given" : "Timothy H", "non-dropping-particle" : "", "parse-names" : false, "suffix" : "" }, { "dropping-particle" : "", "family" : "Kettunen", "given" : "Mikko I", "non-dropping-particle" : "", "parse-names" : false, "suffix" : "" }, { "dropping-particle" : "", "family" : "Day", "given" : "Samuel E", "non-dropping-particle" : "", "parse-names" : false, "suffix" : "" }, { "dropping-particle" : "", "family" : "Hu", "given" : "De-en", "non-dropping-particle" : "", "parse-names" : false, "suffix" : "" }, { "dropping-particle" : "", "family" : "Neves", "given" : "Andre A", "non-dropping-particle" : "", "parse-names" : false, "suffix" : "" }, { "dropping-particle" : "", "family" : "Gallagher", "given" : "Ferdia A", "non-dropping-particle" : "", "parse-names" : false, "suffix" : "" }, { "dropping-particle" : "", "family" : "Fulton", "given" : "Sandra M", "non-dropping-particle" : "", "parse-names" : false, "suffix" : "" }, { "dropping-particle" : "", "family" : "Brindle", "given" : "Kevin M", "non-dropping-particle" : "", "parse-names" : false, "suffix" : "" } ], "container-title" : "Neoplasia (New York, N.Y.)", "id" : "ITEM-3", "issue" : "6", "issued" : { "date-parts" : [ [ "2009" ] ] }, "page" : "574-82", "title" : "A comparison between radiolabeled fluorodeoxyglucose uptake and hyperpolarized (13)C-labeled pyruvate utilization as methods for detecting tumor response to treatment.", "type" : "article-journal", "volume" : "11" }, "uris" : [ "http://www.mendeley.com/documents/?uuid=c9f03821-9286-443d-ba35-1853756f2b46" ] }, { "id" : "ITEM-4", "itemData" : { "DOI" : "10.1158/0008-5472.CAN-09-2251", "ISBN" : "1538-7445 (Electronic)\\r0008-5472 (Linking)", "ISSN" : "00085472", "PMID" : "20145128", "abstract" : "Numerous mechanism-based anticancer drugs that target the phosphatidylinositol-3-kinase (PI3K) signaling pathway are in clinical trials. However, assessment of response using traditional imaging methods remains a challenge, as it is often associated with tumor stasis. Here we show for the first time the efficacy of hyperpolarized 13 C magnetic resonance spectroscopy (MRS) in detecting the effect of PI3K signaling inhibition by monitoring hyperpolarized [1-13 C]-lactate levels produced from hyperpolarized [1-13 C]-pyruvate through lactate dehydrogenase (LDH) activity. Studies were performed on GS-2 glioblastoma and MDA-MB-231 breast adenocarcinoma cells. Following inhibition of signaling, hyperpolarized lactate dropped significantly to 42\u00b112% and 76\u00b15% in GS-2 cells treated with LY294002 and everolimus respectively and to 71\u00b115% in MDA-MB-231 cells treated with LY294002. This correlated with a drop in LDH activity to 48\u00b14%, 63\u00b14% and 69\u00b112%, and was associated with a drop in LDHA mRNA levels and LDHA and HIF-1\u03b1 protein levels. Taken together the data demonstrate that hyperpolarized 13 C MRS of pyruvate can be used to monitor the drop in LDHA activity and expression following reduced HIF-1\u03b1 levels resulting from PI3K signal inhibition. In line with these findings, in vivo studies of GS-2 subcutaneous xenografts treated with everolimus resulted in inhibition in tumor growth, which was associated with a drop in the hyperpolarized lactate-to-pyruvate ratio. In contrast an increase in the ratio was detected in controls. This works demonstrates the potential of hyperpolarized 13 C MRS for noninvasive imaging of drug target modulation by treatments that modulate PI3K signaling and HIF-1\u03b1 levels.", "author" : [ { "dropping-particle" : "", "family" : "Ward", "given" : "Christopher S.", "non-dropping-particle" : "", "parse-names" : false, "suffix" : "" }, { "dropping-particle" : "", "family" : "Venkatesh", "given" : "Humsa S.", "non-dropping-particle" : "", "parse-names" : false, "suffix" : "" }, { "dropping-particle" : "", "family" : "Chaumeil", "given" : "Myriam M.", "non-dropping-particle" : "", "parse-names" : false, "suffix" : "" }, { "dropping-particle" : "", "family" : "Brandes", "given" : "Alissa H.", "non-dropping-particle" : "", "parse-names" : false, "suffix" : "" }, { "dropping-particle" : "", "family" : "VanCriekinge", "given" : "Mark", "non-dropping-particle" : "", "parse-names" : false, "suffix" : "" }, { "dropping-particle" : "", "family" : "Dafni", "given" : "Hagit", "non-dropping-particle" : "", "parse-names" : false, "suffix" : "" }, { "dropping-particle" : "", "family" : "Sukumar", "given" : "Subramaniam", "non-dropping-particle" : "", "parse-names" : false, "suffix" : "" }, { "dropping-particle" : "", "family" : "Nelson", "given" : "Sarah J.", "non-dropping-particle" : "", "parse-names" : false, "suffix" : "" }, { "dropping-particle" : "", "family" : "Vigneron", "given" : "Daniel B.", "non-dropping-particle" : "", "parse-names" : false, "suffix" : "" }, { "dropping-particle" : "", "family" : "Kurhanewicz", "given" : "John", "non-dropping-particle" : "", "parse-names" : false, "suffix" : "" }, { "dropping-particle" : "", "family" : "James", "given" : "C. David", "non-dropping-particle" : "", "parse-names" : false, "suffix" : "" }, { "dropping-particle" : "", "family" : "Haas-Kogan", "given" : "Daphne A.", "non-dropping-particle" : "", "parse-names" : false, "suffix" : "" }, { "dropping-particle" : "", "family" : "Ronen", "given" : "Sabrina M.", "non-dropping-particle" : "", "parse-names" : false, "suffix" : "" } ], "container-title" : "Cancer Research", "id" : "ITEM-4", "issue" : "4", "issued" : { "date-parts" : [ [ "2010" ] ] }, "page" : "1296-1305", "title" : "Noninvasive detection of target modulation following phosphatidylinositol 3-kinase inhibition using hyperpolarized 13C magnetic resonance spectroscopy", "type" : "article-journal", "volume" : "70" }, "uris" : [ "http://www.mendeley.com/documents/?uuid=84dc0563-0796-43d1-a7ed-d4e3bba8b6ba" ] }, { "id" : "ITEM-5", "itemData" : { "DOI" : "10.1158/0008-5472.CAN-11-2795", "ISBN" : "1538-7445 (Electronic)\\r0008-5472 (Linking)", "ISSN" : "00085472", "PMID" : "22223844", "abstract" : "No clinically validated biomarkers exist to image tumor responses to antiangiogenic therapy. Here, we report the utility of hyperpolarized (13)C magnetic resonance spectroscopy (MRS) to detect the early effects of anti-VEGF therapy. In two colorectal cancer xenograft models, displaying differential sensitivity to VEGF blockade, we compared hyperpolarized MRS with measurements of tumor perfusion using dynamic contrast agent-enhanced (DCE)-MRI and tumor cellularity using diffusion-weighted MRI of the apparent diffusion coefficient (ADC) of tissue water. In tumors sensitive to anti-VEGF therapy, (13)C flux between hyperpolarized [1-(13)C]pyruvate and [1-(13)C]lactate decreased after anti-VEGF therapy and correlated with reduced perfusion. Production of [1,4-(13)C(2)]malate from hyperpolarized [1,4-(13)C(2)]fumarate increased in parallel with tumor cell necrosis, preceding any change in tumor ADC. In contrast, tumors that were less sensitive to anti-VEGF therapy showed an increase in (13)C flux from hyperpolarized [1-(13)C]pyruvate and an increase in uptake of a gadolinium contrast agent, whereas tumor ADC decreased. Increased label flux could be explained by vascular normalization after VEGF blockade, increasing delivery of hyperpolarized [1-(13)C]pyruvate as observed. Despite the minimal response of these tumors to treatment, with only a minor increase in necrosis observed histologically, production of [1,4-(13)C(2)]malate from hyperpolarized [1,4-(13)C(2)]fumarate in therapy-resistant tumors also increased. Together, our findings show that hyperpolarized (13)C MRS detects early responses to anti-VEGF therapy, including vascular normalization or vascular destruction and cell death.", "author" : [ { "dropping-particle" : "", "family" : "Bohndiek", "given" : "Sarah E.", "non-dropping-particle" : "", "parse-names" : false, "suffix" : "" }, { "dropping-particle" : "", "family" : "Kettunen", "given" : "Mikko I.", "non-dropping-particle" : "", "parse-names" : false, "suffix" : "" }, { "dropping-particle" : "", "family" : "Hu", "given" : "De En", "non-dropping-particle" : "", "parse-names" : false, "suffix" : "" }, { "dropping-particle" : "", "family" : "Brindle", "given" : "Kevin M.", "non-dropping-particle" : "", "parse-names" : false, "suffix" : "" } ], "container-title" : "Cancer Research", "id" : "ITEM-5", "issue" : "4", "issued" : { "date-parts" : [ [ "2012" ] ] }, "page" : "854-864", "title" : "Hyperpolarized 13C spectroscopy detects early changes in tumor vasculature and metabolism after VEGF neutralization", "type" : "article-journal", "volume" : "72" }, "uris" : [ "http://www.mendeley.com/documents/?uuid=b7131286-4f64-4b57-84b7-9ec7a75c2f09" ] }, { "id" : "ITEM-6", "itemData" : { "DOI" : "10.1002/mrm.22698", "ISBN" : "07403194", "ISSN" : "07403194", "PMID" : "21264939", "abstract" : "We show here that hyperpolarized [1-(13) C]pyruvate can be used to detect treatment response in a glioma tumor model; a tumor type where detection of response with (18) fluoro-2-deoxyglucose, using positron emission tomography, is limited by the high background signals from normal brain tissue. (13) C chemical shift images acquired following intravenous injection of hyperpolarized [1-(13) C]pyruvate into rats with implanted C6 gliomas showed significant labeling of lactate within the tumors but comparatively low levels in surrounding brain.Labeled pyruvate was observed at high levels in blood vessels above the brain and from other major vessels elsewhere but was detected at only low levels in tumor and brain.The ratio of hyperpolarized (13) C label in tumor lactate compared to the maximum pyruvate signal in the blood vessels was decreased from 0.38 \u00b1 0.16 to 0.23 \u00b1 0.13, (a reduction of 34%) by 72 h following whole brain irradiation with 15 Gy.", "author" : [ { "dropping-particle" : "", "family" : "Day", "given" : "Sam E.", "non-dropping-particle" : "", "parse-names" : false, "suffix" : "" }, { "dropping-particle" : "", "family" : "Kettunen", "given" : "Mikko I.", "non-dropping-particle" : "", "parse-names" : false, "suffix" : "" }, { "dropping-particle" : "", "family" : "Cherukuri", "given" : "Murali Krishna", "non-dropping-particle" : "", "parse-names" : false, "suffix" : "" }, { "dropping-particle" : "", "family" : "Mitchell", "given" : "James B.", "non-dropping-particle" : "", "parse-names" : false, "suffix" : "" }, { "dropping-particle" : "", "family" : "Lizak", "given" : "Martin J.", "non-dropping-particle" : "", "parse-names" : false, "suffix" : "" }, { "dropping-particle" : "", "family" : "Morris", "given" : "H. Douglas", "non-dropping-particle" : "", "parse-names" : false, "suffix" : "" }, { "dropping-particle" : "", "family" : "Matsumoto", "given" : "Shingo", "non-dropping-particle" : "", "parse-names" : false, "suffix" : "" }, { "dropping-particle" : "", "family" : "Koretsky", "given" : "Alan P.", "non-dropping-particle" : "", "parse-names" : false, "suffix" : "" }, { "dropping-particle" : "", "family" : "Brindle", "given" : "Kevin M.", "non-dropping-particle" : "", "parse-names" : false, "suffix" : "" } ], "container-title" : "Magnetic Resonance in Medicine", "id" : "ITEM-6", "issue" : "2", "issued" : { "date-parts" : [ [ "2011" ] ] }, "page" : "557-563", "title" : "Detecting response of rat C6 glioma tumors to radiotherapy using hyperpolarized [1-13C]pyruvate and 13C magnetic resonance spectroscopic imaging", "type" : "article-journal", "volume" : "65" }, "uris" : [ "http://www.mendeley.com/documents/?uuid=3fc153ee-1c16-40e7-a2bf-8343f8dd5a52" ] } ], "mendeley" : { "formattedCitation" : "&lt;sup&gt;34,38\u201342&lt;/sup&gt;", "plainTextFormattedCitation" : "34,38\u201342", "previouslyFormattedCitation" : "&lt;sup&gt;34,38\u201342&lt;/sup&gt;" }, "properties" : {  }, "schema" : "https://github.com/citation-style-language/schema/raw/master/csl-citation.json" }</w:instrText>
      </w:r>
      <w:r w:rsidR="00FB4E45" w:rsidRPr="000D72AC">
        <w:fldChar w:fldCharType="separate"/>
      </w:r>
      <w:r w:rsidR="00CE79A4" w:rsidRPr="00CE79A4">
        <w:rPr>
          <w:noProof/>
          <w:vertAlign w:val="superscript"/>
        </w:rPr>
        <w:t>34,38–42</w:t>
      </w:r>
      <w:r w:rsidR="00FB4E45" w:rsidRPr="000D72AC">
        <w:fldChar w:fldCharType="end"/>
      </w:r>
      <w:r w:rsidR="001F4B4E" w:rsidRPr="000D72AC">
        <w:t xml:space="preserve"> </w:t>
      </w:r>
      <w:r w:rsidR="0037305D" w:rsidRPr="000D72AC">
        <w:t xml:space="preserve">HP </w:t>
      </w:r>
      <w:r w:rsidR="0037305D" w:rsidRPr="000D72AC">
        <w:rPr>
          <w:vertAlign w:val="superscript"/>
        </w:rPr>
        <w:t>13</w:t>
      </w:r>
      <w:r w:rsidR="0037305D" w:rsidRPr="000D72AC">
        <w:t>C</w:t>
      </w:r>
      <w:r w:rsidR="00EA2B1E">
        <w:t>-</w:t>
      </w:r>
      <w:r w:rsidR="0037305D" w:rsidRPr="000D72AC">
        <w:t xml:space="preserve">MRSI may </w:t>
      </w:r>
      <w:r w:rsidR="00143830">
        <w:t xml:space="preserve">also </w:t>
      </w:r>
      <w:r w:rsidR="0037305D" w:rsidRPr="000D72AC">
        <w:t>have a role in the early detection of preneoplastic</w:t>
      </w:r>
      <w:r w:rsidR="001027D8">
        <w:t xml:space="preserve"> </w:t>
      </w:r>
      <w:r w:rsidR="0037305D" w:rsidRPr="000D72AC">
        <w:t>changes</w:t>
      </w:r>
      <w:r w:rsidR="00954345">
        <w:t>,</w:t>
      </w:r>
      <w:r w:rsidR="0037305D" w:rsidRPr="000D72AC">
        <w:t xml:space="preserve"> as demonstrated in </w:t>
      </w:r>
      <w:r w:rsidR="001E0D7D">
        <w:t xml:space="preserve">a </w:t>
      </w:r>
      <w:r w:rsidR="0037305D" w:rsidRPr="000D72AC">
        <w:t xml:space="preserve">pancreatic model evaluating LDH activity </w:t>
      </w:r>
      <w:r w:rsidR="006A4829">
        <w:t>with</w:t>
      </w:r>
      <w:r w:rsidR="0037305D" w:rsidRPr="000D72AC">
        <w:t xml:space="preserve"> increased HP </w:t>
      </w:r>
      <w:r w:rsidR="0037305D" w:rsidRPr="000D72AC">
        <w:rPr>
          <w:vertAlign w:val="superscript"/>
        </w:rPr>
        <w:t>13</w:t>
      </w:r>
      <w:r w:rsidR="0037305D" w:rsidRPr="000D72AC">
        <w:t xml:space="preserve">C label exchange between </w:t>
      </w:r>
      <w:r w:rsidR="0037305D" w:rsidRPr="000D72AC">
        <w:rPr>
          <w:vertAlign w:val="superscript"/>
        </w:rPr>
        <w:t>13</w:t>
      </w:r>
      <w:r w:rsidR="0037305D" w:rsidRPr="000D72AC">
        <w:t>C-pyruvate and endogenous lactate</w:t>
      </w:r>
      <w:r w:rsidR="006A4829">
        <w:t xml:space="preserve"> present with</w:t>
      </w:r>
      <w:r w:rsidR="00954345">
        <w:t xml:space="preserve"> the onset of</w:t>
      </w:r>
      <w:r w:rsidR="006A4829">
        <w:t xml:space="preserve"> neoplastic transformation</w:t>
      </w:r>
      <w:r w:rsidR="0037305D" w:rsidRPr="000D72AC">
        <w:t>.</w:t>
      </w:r>
      <w:r w:rsidR="0037305D" w:rsidRPr="000D72AC">
        <w:fldChar w:fldCharType="begin" w:fldLock="1"/>
      </w:r>
      <w:r w:rsidR="006D4D5D">
        <w:instrText>ADDIN CSL_CITATION { "citationItems" : [ { "id" : "ITEM-1", "itemData" : { "DOI" : "10.1136/gutjnl-2015-310114", "ISSN" : "0017-5749", "PMID" : "26347531", "abstract" : "OBJECTIVES Pancreatic cancer (PCa) is treatable by surgery when detected at an early stage. Non-invasive imaging methods able to detect both established tumours and their precursor lesions are needed to select patients for surgery. We investigated here whether pancreatic preneoplasia could be detected prior to the development of invasive cancers in genetically engineered mouse models of PCa using metabolic imaging. DESIGN The concentrations of alanine and lactate and the activities of lactate dehydrogenase (LDH) and alanine aminotransferase (ALT) were measured in extracts prepared from the pancreas of animals at different stages of disease progression; from pancreatitis, through tissue with predominantly low-grade and then high-grade pancreatic intraepithelial neoplasia and then tumour. (13)C magnetic resonance spectroscopic imaging ((13)C-MRSI) was used to measure non-invasively changes in (13)C labelling of alanine and lactate with disease progression, following injection of hyperpolarised [1-(13)C]pyruvate. RESULTS Progressive decreases in the alanine/lactate concentration ratio and ALT/LDH activity ratio with disease progression were accompanied by a corresponding decrease in the [1-(13)C]alanine/[1-(13)C]lactate signal ratio observed in (13)C-MRSI images of the pancreas. CONCLUSIONS Metabolic imaging with hyperpolarised [1-(13)C]pyruvate enables detection and monitoring of the progression of PCa precursor lesions. Translation of this MRI technique to the clinic has the potential to improve the management of patients at high risk of developing PCa.", "author" : [ { "dropping-particle" : "", "family" : "Serrao", "given" : "Eva M", "non-dropping-particle" : "", "parse-names" : false, "suffix" : "" }, { "dropping-particle" : "", "family" : "Kettunen", "given" : "Mikko I", "non-dropping-particle" : "", "parse-names" : false, "suffix" : "" }, { "dropping-particle" : "", "family" : "Rodrigues", "given" : "Tiago B", "non-dropping-particle" : "", "parse-names" : false, "suffix" : "" }, { "dropping-particle" : "", "family" : "Dzien", "given" : "Piotr", "non-dropping-particle" : "", "parse-names" : false, "suffix" : "" }, { "dropping-particle" : "", "family" : "Wright", "given" : "Alan J", "non-dropping-particle" : "", "parse-names" : false, "suffix" : "" }, { "dropping-particle" : "", "family" : "Gopinathan", "given" : "Aarthi", "non-dropping-particle" : "", "parse-names" : false, "suffix" : "" }, { "dropping-particle" : "", "family" : "Gallagher", "given" : "Ferdia A", "non-dropping-particle" : "", "parse-names" : false, "suffix" : "" }, { "dropping-particle" : "", "family" : "Lewis", "given" : "David Y", "non-dropping-particle" : "", "parse-names" : false, "suffix" : "" }, { "dropping-particle" : "", "family" : "Frese", "given" : "Kristopher K", "non-dropping-particle" : "", "parse-names" : false, "suffix" : "" }, { "dropping-particle" : "", "family" : "Almeida", "given" : "Jaime", "non-dropping-particle" : "", "parse-names" : false, "suffix" : "" }, { "dropping-particle" : "", "family" : "Howat", "given" : "William J", "non-dropping-particle" : "", "parse-names" : false, "suffix" : "" }, { "dropping-particle" : "", "family" : "Tuveson", "given" : "David A", "non-dropping-particle" : "", "parse-names" : false, "suffix" : "" }, { "dropping-particle" : "", "family" : "Brindle", "given" : "Kevin M", "non-dropping-particle" : "", "parse-names" : false, "suffix" : "" } ], "container-title" : "Gut", "id" : "ITEM-1", "issue" : "3", "issued" : { "date-parts" : [ [ "2016" ] ] }, "page" : "465-475", "title" : "MRI with hyperpolarised [1- &lt;sup&gt;13&lt;/sup&gt; C]pyruvate detects advanced pancreatic preneoplasia prior to invasive disease in a mouse model", "type" : "article-journal", "volume" : "65" }, "uris" : [ "http://www.mendeley.com/documents/?uuid=dc5e3b03-48cb-4312-8df8-01467191d04e" ] } ], "mendeley" : { "formattedCitation" : "&lt;sup&gt;43&lt;/sup&gt;", "plainTextFormattedCitation" : "43", "previouslyFormattedCitation" : "&lt;sup&gt;43&lt;/sup&gt;" }, "properties" : {  }, "schema" : "https://github.com/citation-style-language/schema/raw/master/csl-citation.json" }</w:instrText>
      </w:r>
      <w:r w:rsidR="0037305D" w:rsidRPr="000D72AC">
        <w:fldChar w:fldCharType="separate"/>
      </w:r>
      <w:r w:rsidR="00CE79A4" w:rsidRPr="00CE79A4">
        <w:rPr>
          <w:noProof/>
          <w:vertAlign w:val="superscript"/>
        </w:rPr>
        <w:t>43</w:t>
      </w:r>
      <w:r w:rsidR="0037305D" w:rsidRPr="000D72AC">
        <w:fldChar w:fldCharType="end"/>
      </w:r>
    </w:p>
    <w:p w14:paraId="7898F48D" w14:textId="77777777" w:rsidR="00CB3E42" w:rsidRPr="000D72AC" w:rsidRDefault="00CB3E42" w:rsidP="001B4024">
      <w:pPr>
        <w:spacing w:line="360" w:lineRule="auto"/>
        <w:jc w:val="both"/>
      </w:pPr>
    </w:p>
    <w:p w14:paraId="3AF96A89" w14:textId="7404D2E2" w:rsidR="00C25F70" w:rsidRPr="00F6642A" w:rsidRDefault="00DE5CE6" w:rsidP="001B4024">
      <w:pPr>
        <w:spacing w:line="360" w:lineRule="auto"/>
        <w:jc w:val="both"/>
        <w:rPr>
          <w:b/>
          <w:color w:val="000000" w:themeColor="text1"/>
        </w:rPr>
      </w:pPr>
      <w:r w:rsidRPr="00F6642A">
        <w:rPr>
          <w:b/>
          <w:color w:val="000000" w:themeColor="text1"/>
        </w:rPr>
        <w:t>Translation in</w:t>
      </w:r>
      <w:r w:rsidR="00DF3581" w:rsidRPr="00F6642A">
        <w:rPr>
          <w:b/>
          <w:color w:val="000000" w:themeColor="text1"/>
        </w:rPr>
        <w:t>to</w:t>
      </w:r>
      <w:r w:rsidRPr="00F6642A">
        <w:rPr>
          <w:b/>
          <w:color w:val="000000" w:themeColor="text1"/>
        </w:rPr>
        <w:t xml:space="preserve"> human</w:t>
      </w:r>
      <w:r w:rsidR="00DF3581" w:rsidRPr="00F6642A">
        <w:rPr>
          <w:b/>
          <w:color w:val="000000" w:themeColor="text1"/>
        </w:rPr>
        <w:t xml:space="preserve"> imaging</w:t>
      </w:r>
      <w:r w:rsidR="000C02ED">
        <w:rPr>
          <w:b/>
          <w:color w:val="000000" w:themeColor="text1"/>
        </w:rPr>
        <w:t xml:space="preserve"> </w:t>
      </w:r>
    </w:p>
    <w:p w14:paraId="2C615272" w14:textId="7DABECDA" w:rsidR="0042638B" w:rsidRPr="00943C24" w:rsidRDefault="00C25F70" w:rsidP="00CF23DF">
      <w:pPr>
        <w:spacing w:line="360" w:lineRule="auto"/>
        <w:jc w:val="both"/>
        <w:rPr>
          <w:szCs w:val="21"/>
        </w:rPr>
      </w:pPr>
      <w:r w:rsidRPr="000D72AC">
        <w:t xml:space="preserve">The first human study using </w:t>
      </w:r>
      <w:r w:rsidR="00A83A8C" w:rsidRPr="000D72AC">
        <w:t xml:space="preserve">HP </w:t>
      </w:r>
      <w:r w:rsidR="00A83A8C" w:rsidRPr="000D72AC">
        <w:rPr>
          <w:vertAlign w:val="superscript"/>
        </w:rPr>
        <w:t>13</w:t>
      </w:r>
      <w:r w:rsidR="00A83A8C" w:rsidRPr="000D72AC">
        <w:t>C-MRSI</w:t>
      </w:r>
      <w:r w:rsidRPr="000D72AC">
        <w:t xml:space="preserve"> was completed in 2013 at </w:t>
      </w:r>
      <w:r w:rsidR="002317C2">
        <w:t xml:space="preserve">the </w:t>
      </w:r>
      <w:r w:rsidRPr="000D72AC">
        <w:t>University of California San Francisco</w:t>
      </w:r>
      <w:r w:rsidR="00A83A8C" w:rsidRPr="000D72AC">
        <w:t xml:space="preserve"> (UCSF</w:t>
      </w:r>
      <w:r w:rsidRPr="000D72AC">
        <w:t>).</w:t>
      </w:r>
      <w:r w:rsidR="003F7627" w:rsidRPr="000D72AC">
        <w:fldChar w:fldCharType="begin" w:fldLock="1"/>
      </w:r>
      <w:r w:rsidR="00481147">
        <w:instrText>ADDIN CSL_CITATION { "citationItems" : [ { "id" : "ITEM-1", "itemData" : { "DOI" : "10.1126/scitranslmed.3006070", "author" : [ { "dropping-particle" : "", "family" : "Nelson", "given" : "Sarah J", "non-dropping-particle" : "", "parse-names" : false, "suffix" : "" }, { "dropping-particle" : "", "family" : "Kurhanewicz", "given" : "John", "non-dropping-particle" : "", "parse-names" : false, "suffix" : "" }, { "dropping-particle" : "", "family" : "Vigneron", "given" : "Daniel B", "non-dropping-particle" : "", "parse-names" : false, "suffix" : "" }, { "dropping-particle" : "", "family" : "Larson", "given" : "Peder E Z", "non-dropping-particle" : "", "parse-names" : false, "suffix" : "" }, { "dropping-particle" : "", "family" : "Harzstark", "given" : "Andrea L", "non-dropping-particle" : "", "parse-names" : false, "suffix" : "" }, { "dropping-particle" : "", "family" : "Ferrone", "given" : "Marcus", "non-dropping-particle" : "", "parse-names" : false, "suffix" : "" }, { "dropping-particle" : "Van", "family" : "Criekinge", "given" : "Mark", "non-dropping-particle" : "", "parse-names" : false, "suffix" : "" }, { "dropping-particle" : "", "family" : "Chang", "given" : "Jose W", "non-dropping-particle" : "", "parse-names" : false, "suffix" : "" }, { "dropping-particle" : "", "family" : "Bok", "given" : "Robert", "non-dropping-particle" : "", "parse-names" : false, "suffix" : "" }, { "dropping-particle" : "", "family" : "Park", "given" : "Ilwoo", "non-dropping-particle" : "", "parse-names" : false, "suffix" : "" }, { "dropping-particle" : "", "family" : "Reed", "given" : "Galen", "non-dropping-particle" : "", "parse-names" : false, "suffix" : "" }, { "dropping-particle" : "", "family" : "Carvajal", "given" : "Lucas", "non-dropping-particle" : "", "parse-names" : false, "suffix" : "" }, { "dropping-particle" : "", "family" : "Small", "given" : "Eric J", "non-dropping-particle" : "", "parse-names" : false, "suffix" : "" }, { "dropping-particle" : "", "family" : "Munster", "given" : "Pamela", "non-dropping-particle" : "", "parse-names" : false, "suffix" : "" }, { "dropping-particle" : "", "family" : "Weinberg", "given" : "Vivian K", "non-dropping-particle" : "", "parse-names" : false, "suffix" : "" }, { "dropping-particle" : "", "family" : "Ardenkjaer-larsen", "given" : "Jan Henrik", "non-dropping-particle" : "", "parse-names" : false, "suffix" : "" }, { "dropping-particle" : "", "family" : "Chen", "given" : "Albert P", "non-dropping-particle" : "", "parse-names" : false, "suffix" : "" }, { "dropping-particle" : "", "family" : "Hurd", "given" : "Ralph E", "non-dropping-particle" : "", "parse-names" : false, "suffix" : "" }, { "dropping-particle" : "", "family" : "Odegardstuen", "given" : "Liv-ingrid", "non-dropping-particle" : "", "parse-names" : false, "suffix" : "" }, { "dropping-particle" : "", "family" : "Robb", "given" : "Fraser J", "non-dropping-particle" : "", "parse-names" : false, "suffix" : "" }, { "dropping-particle" : "", "family" : "Tropp", "given" : "James", "non-dropping-particle" : "", "parse-names" : false, "suffix" : "" }, { "dropping-particle" : "", "family" : "Murray", "given" : "Jonathan a", "non-dropping-particle" : "", "parse-names" : false, "suffix" : "" } ], "container-title" : "Science Translational Medicine", "id" : "ITEM-1", "issue" : "198", "issued" : { "date-parts" : [ [ "2013" ] ] }, "title" : "Metabolic Imaging of Patients with Prostate Cancer Using Hyperpolarized [1-13C] Pyruvate", "type" : "article-journal", "volume" : "5" }, "uris" : [ "http://www.mendeley.com/documents/?uuid=b007ec5f-d467-4343-a43c-e691dfc465f0" ] } ], "mendeley" : { "formattedCitation" : "&lt;sup&gt;18&lt;/sup&gt;", "plainTextFormattedCitation" : "18", "previouslyFormattedCitation" : "&lt;sup&gt;18&lt;/sup&gt;" }, "properties" : {  }, "schema" : "https://github.com/citation-style-language/schema/raw/master/csl-citation.json" }</w:instrText>
      </w:r>
      <w:r w:rsidR="003F7627" w:rsidRPr="000D72AC">
        <w:fldChar w:fldCharType="separate"/>
      </w:r>
      <w:r w:rsidR="00E20F63" w:rsidRPr="00E20F63">
        <w:rPr>
          <w:noProof/>
          <w:vertAlign w:val="superscript"/>
        </w:rPr>
        <w:t>18</w:t>
      </w:r>
      <w:r w:rsidR="003F7627" w:rsidRPr="000D72AC">
        <w:fldChar w:fldCharType="end"/>
      </w:r>
      <w:r w:rsidRPr="000D72AC">
        <w:t xml:space="preserve"> This study demonstrated the </w:t>
      </w:r>
      <w:r w:rsidR="00E7275C" w:rsidRPr="000D72AC">
        <w:t xml:space="preserve">safety and </w:t>
      </w:r>
      <w:r w:rsidRPr="000D72AC">
        <w:t xml:space="preserve">feasibility of </w:t>
      </w:r>
      <w:r w:rsidR="00A83A8C" w:rsidRPr="000D72AC">
        <w:t xml:space="preserve">HP </w:t>
      </w:r>
      <w:r w:rsidR="00A83A8C" w:rsidRPr="000D72AC">
        <w:rPr>
          <w:vertAlign w:val="superscript"/>
        </w:rPr>
        <w:t>13</w:t>
      </w:r>
      <w:r w:rsidR="00A83A8C" w:rsidRPr="000D72AC">
        <w:t xml:space="preserve">C-MRSI </w:t>
      </w:r>
      <w:r w:rsidR="00E7275C" w:rsidRPr="000D72AC">
        <w:t>with [1-</w:t>
      </w:r>
      <w:r w:rsidR="00E7275C" w:rsidRPr="000D72AC">
        <w:rPr>
          <w:vertAlign w:val="superscript"/>
        </w:rPr>
        <w:t>13</w:t>
      </w:r>
      <w:proofErr w:type="gramStart"/>
      <w:r w:rsidR="00E7275C" w:rsidRPr="000D72AC">
        <w:t>C]pyruvate</w:t>
      </w:r>
      <w:proofErr w:type="gramEnd"/>
      <w:r w:rsidR="00E7275C" w:rsidRPr="000D72AC">
        <w:t xml:space="preserve"> </w:t>
      </w:r>
      <w:r w:rsidR="00A83A8C" w:rsidRPr="000D72AC">
        <w:t xml:space="preserve">in </w:t>
      </w:r>
      <w:r w:rsidR="00143830">
        <w:t>t</w:t>
      </w:r>
      <w:r w:rsidR="00143830" w:rsidRPr="005E4F05">
        <w:rPr>
          <w:szCs w:val="21"/>
        </w:rPr>
        <w:t>hi</w:t>
      </w:r>
      <w:r w:rsidR="00143830">
        <w:rPr>
          <w:szCs w:val="21"/>
        </w:rPr>
        <w:t>rty one male s</w:t>
      </w:r>
      <w:r w:rsidR="00143830" w:rsidRPr="005E4F05">
        <w:rPr>
          <w:szCs w:val="21"/>
        </w:rPr>
        <w:t>ubjects with</w:t>
      </w:r>
      <w:r w:rsidR="00143830">
        <w:rPr>
          <w:szCs w:val="21"/>
        </w:rPr>
        <w:t xml:space="preserve"> biopsy-proven</w:t>
      </w:r>
      <w:r w:rsidR="00143830" w:rsidRPr="005E4F05">
        <w:rPr>
          <w:szCs w:val="21"/>
        </w:rPr>
        <w:t xml:space="preserve"> prostate cancer</w:t>
      </w:r>
      <w:r w:rsidR="00143830">
        <w:rPr>
          <w:szCs w:val="21"/>
        </w:rPr>
        <w:t>. Patients</w:t>
      </w:r>
      <w:r w:rsidR="00143830" w:rsidRPr="005E4F05">
        <w:rPr>
          <w:szCs w:val="21"/>
        </w:rPr>
        <w:t xml:space="preserve"> </w:t>
      </w:r>
      <w:r w:rsidR="00143830">
        <w:rPr>
          <w:szCs w:val="21"/>
        </w:rPr>
        <w:t>were</w:t>
      </w:r>
      <w:r w:rsidR="00143830" w:rsidRPr="005E4F05">
        <w:rPr>
          <w:szCs w:val="21"/>
        </w:rPr>
        <w:t xml:space="preserve"> </w:t>
      </w:r>
      <w:r w:rsidR="00F3095C">
        <w:rPr>
          <w:szCs w:val="21"/>
        </w:rPr>
        <w:t>injected with hyperpolariz</w:t>
      </w:r>
      <w:r w:rsidR="00143830">
        <w:rPr>
          <w:szCs w:val="21"/>
        </w:rPr>
        <w:t xml:space="preserve">ed </w:t>
      </w:r>
      <w:r w:rsidR="00143830" w:rsidRPr="00230ACE">
        <w:rPr>
          <w:szCs w:val="21"/>
          <w:vertAlign w:val="superscript"/>
        </w:rPr>
        <w:t>13</w:t>
      </w:r>
      <w:r w:rsidR="00143830">
        <w:rPr>
          <w:szCs w:val="21"/>
        </w:rPr>
        <w:t>C-pyruvate. S</w:t>
      </w:r>
      <w:r w:rsidR="00143830" w:rsidRPr="005E4F05">
        <w:rPr>
          <w:szCs w:val="21"/>
        </w:rPr>
        <w:t xml:space="preserve">ignals from pyruvate and lactate were observed in the vasculature, tumour and normal prostate at the 3 </w:t>
      </w:r>
      <w:r w:rsidR="00143830">
        <w:rPr>
          <w:szCs w:val="21"/>
        </w:rPr>
        <w:t xml:space="preserve">dose </w:t>
      </w:r>
      <w:r w:rsidR="00143830" w:rsidRPr="005E4F05">
        <w:rPr>
          <w:szCs w:val="21"/>
        </w:rPr>
        <w:t>levels cons</w:t>
      </w:r>
      <w:r w:rsidR="00143830">
        <w:rPr>
          <w:szCs w:val="21"/>
        </w:rPr>
        <w:t>idered (0.14, 0.28 and 0.43 mL/k</w:t>
      </w:r>
      <w:r w:rsidR="00143830" w:rsidRPr="005E4F05">
        <w:rPr>
          <w:szCs w:val="21"/>
        </w:rPr>
        <w:t>g</w:t>
      </w:r>
      <w:r w:rsidR="00143830">
        <w:rPr>
          <w:szCs w:val="21"/>
        </w:rPr>
        <w:t xml:space="preserve"> actual body weight of 230</w:t>
      </w:r>
      <w:r w:rsidR="008A1600">
        <w:rPr>
          <w:szCs w:val="21"/>
        </w:rPr>
        <w:t xml:space="preserve"> </w:t>
      </w:r>
      <w:r w:rsidR="00143830">
        <w:rPr>
          <w:szCs w:val="21"/>
        </w:rPr>
        <w:t xml:space="preserve">mM pyruvate solution) and uptake in the prostate was observed </w:t>
      </w:r>
      <w:r w:rsidR="008A1600">
        <w:rPr>
          <w:szCs w:val="21"/>
        </w:rPr>
        <w:t xml:space="preserve">approximately </w:t>
      </w:r>
      <w:r w:rsidR="00143830">
        <w:rPr>
          <w:szCs w:val="21"/>
        </w:rPr>
        <w:t>20 seconds after injection.</w:t>
      </w:r>
      <w:r w:rsidR="00143830" w:rsidRPr="005E4F05">
        <w:rPr>
          <w:szCs w:val="21"/>
        </w:rPr>
        <w:t xml:space="preserve">  </w:t>
      </w:r>
      <w:r w:rsidR="00143830">
        <w:rPr>
          <w:szCs w:val="21"/>
        </w:rPr>
        <w:t>A few mild</w:t>
      </w:r>
      <w:r w:rsidR="00143830" w:rsidRPr="005E4F05">
        <w:rPr>
          <w:szCs w:val="21"/>
        </w:rPr>
        <w:t xml:space="preserve"> adverse e</w:t>
      </w:r>
      <w:r w:rsidR="00143830">
        <w:rPr>
          <w:szCs w:val="21"/>
        </w:rPr>
        <w:t xml:space="preserve">vents such as dysgeusia (5/31 patients) were reported but </w:t>
      </w:r>
      <w:r w:rsidR="00143830" w:rsidRPr="005E4F05">
        <w:rPr>
          <w:szCs w:val="21"/>
        </w:rPr>
        <w:t>no</w:t>
      </w:r>
      <w:r w:rsidR="00143830">
        <w:rPr>
          <w:szCs w:val="21"/>
        </w:rPr>
        <w:t xml:space="preserve">ne of them </w:t>
      </w:r>
      <w:proofErr w:type="gramStart"/>
      <w:r w:rsidR="00143830">
        <w:rPr>
          <w:szCs w:val="21"/>
        </w:rPr>
        <w:t>were considered to be</w:t>
      </w:r>
      <w:proofErr w:type="gramEnd"/>
      <w:r w:rsidR="00143830" w:rsidRPr="005E4F05">
        <w:rPr>
          <w:szCs w:val="21"/>
        </w:rPr>
        <w:t xml:space="preserve"> dose</w:t>
      </w:r>
      <w:r w:rsidR="00143830">
        <w:rPr>
          <w:szCs w:val="21"/>
        </w:rPr>
        <w:noBreakHyphen/>
      </w:r>
      <w:r w:rsidR="00143830" w:rsidRPr="005E4F05">
        <w:rPr>
          <w:szCs w:val="21"/>
        </w:rPr>
        <w:t>limiting toxicities</w:t>
      </w:r>
      <w:r w:rsidR="00143830">
        <w:rPr>
          <w:szCs w:val="21"/>
        </w:rPr>
        <w:t xml:space="preserve">. Two single events of dizziness and grade 2 diarrhoea reported in the phase 2 </w:t>
      </w:r>
      <w:proofErr w:type="gramStart"/>
      <w:r w:rsidR="00143830">
        <w:rPr>
          <w:szCs w:val="21"/>
        </w:rPr>
        <w:t>component</w:t>
      </w:r>
      <w:proofErr w:type="gramEnd"/>
      <w:r w:rsidR="0028783F">
        <w:rPr>
          <w:szCs w:val="21"/>
        </w:rPr>
        <w:t>,</w:t>
      </w:r>
      <w:r w:rsidR="00143830">
        <w:rPr>
          <w:szCs w:val="21"/>
        </w:rPr>
        <w:t xml:space="preserve"> were attributed to concomitant medications. The</w:t>
      </w:r>
      <w:r w:rsidR="00143830" w:rsidRPr="005E4F05">
        <w:rPr>
          <w:szCs w:val="21"/>
        </w:rPr>
        <w:t xml:space="preserve"> highest dose </w:t>
      </w:r>
      <w:r w:rsidR="00143830">
        <w:rPr>
          <w:szCs w:val="21"/>
        </w:rPr>
        <w:t xml:space="preserve">tested, 0.43 mL/kg of </w:t>
      </w:r>
      <w:r w:rsidR="00143830" w:rsidRPr="001B45F3">
        <w:rPr>
          <w:szCs w:val="21"/>
          <w:vertAlign w:val="superscript"/>
        </w:rPr>
        <w:t>13</w:t>
      </w:r>
      <w:r w:rsidR="00143830">
        <w:rPr>
          <w:szCs w:val="21"/>
        </w:rPr>
        <w:t>C</w:t>
      </w:r>
      <w:r w:rsidR="00143830">
        <w:rPr>
          <w:szCs w:val="21"/>
        </w:rPr>
        <w:noBreakHyphen/>
        <w:t>pyruvate solution</w:t>
      </w:r>
      <w:r w:rsidR="008A1600">
        <w:rPr>
          <w:szCs w:val="21"/>
        </w:rPr>
        <w:t>,</w:t>
      </w:r>
      <w:r w:rsidR="00143830">
        <w:rPr>
          <w:szCs w:val="21"/>
        </w:rPr>
        <w:t xml:space="preserve"> </w:t>
      </w:r>
      <w:r w:rsidR="00143830" w:rsidRPr="005E4F05">
        <w:rPr>
          <w:szCs w:val="21"/>
        </w:rPr>
        <w:t xml:space="preserve">showed the </w:t>
      </w:r>
      <w:r w:rsidR="00143830">
        <w:rPr>
          <w:szCs w:val="21"/>
        </w:rPr>
        <w:t>highest</w:t>
      </w:r>
      <w:r w:rsidR="00143830" w:rsidRPr="005E4F05">
        <w:rPr>
          <w:szCs w:val="21"/>
        </w:rPr>
        <w:t xml:space="preserve"> SNR for </w:t>
      </w:r>
      <w:r w:rsidR="00143830" w:rsidRPr="00230ACE">
        <w:rPr>
          <w:szCs w:val="21"/>
          <w:vertAlign w:val="superscript"/>
        </w:rPr>
        <w:t>13</w:t>
      </w:r>
      <w:r w:rsidR="00143830">
        <w:rPr>
          <w:szCs w:val="21"/>
        </w:rPr>
        <w:t>C-pyruvate</w:t>
      </w:r>
      <w:r w:rsidR="008A1600">
        <w:rPr>
          <w:szCs w:val="21"/>
        </w:rPr>
        <w:t xml:space="preserve"> as expected</w:t>
      </w:r>
      <w:r w:rsidR="00143830">
        <w:rPr>
          <w:szCs w:val="21"/>
        </w:rPr>
        <w:t xml:space="preserve">. </w:t>
      </w:r>
      <w:r w:rsidR="00143830" w:rsidRPr="000D72AC">
        <w:t xml:space="preserve">The </w:t>
      </w:r>
      <w:r w:rsidR="00143830">
        <w:t>study also demonstrated</w:t>
      </w:r>
      <w:r w:rsidR="00143830" w:rsidRPr="000D72AC">
        <w:t xml:space="preserve"> </w:t>
      </w:r>
      <w:r w:rsidR="00943C24">
        <w:t xml:space="preserve">an </w:t>
      </w:r>
      <w:r w:rsidR="00143830">
        <w:t xml:space="preserve">elevated </w:t>
      </w:r>
      <w:r w:rsidR="00143830" w:rsidRPr="00AC65A1">
        <w:rPr>
          <w:szCs w:val="21"/>
          <w:vertAlign w:val="superscript"/>
        </w:rPr>
        <w:t>13</w:t>
      </w:r>
      <w:r w:rsidR="00143830">
        <w:rPr>
          <w:szCs w:val="21"/>
        </w:rPr>
        <w:t>C-lactate/</w:t>
      </w:r>
      <w:r w:rsidR="00143830" w:rsidRPr="00AC65A1">
        <w:rPr>
          <w:szCs w:val="21"/>
          <w:vertAlign w:val="superscript"/>
        </w:rPr>
        <w:t>13</w:t>
      </w:r>
      <w:r w:rsidR="00143830">
        <w:rPr>
          <w:szCs w:val="21"/>
        </w:rPr>
        <w:t>C-pyruvate ratio</w:t>
      </w:r>
      <w:r w:rsidR="00143830">
        <w:t xml:space="preserve"> on </w:t>
      </w:r>
      <w:r w:rsidR="00143830" w:rsidRPr="000D72AC">
        <w:t xml:space="preserve">HP </w:t>
      </w:r>
      <w:r w:rsidR="00143830" w:rsidRPr="000D72AC">
        <w:rPr>
          <w:vertAlign w:val="superscript"/>
        </w:rPr>
        <w:t>13</w:t>
      </w:r>
      <w:r w:rsidR="00143830" w:rsidRPr="000D72AC">
        <w:t>C</w:t>
      </w:r>
      <w:r w:rsidR="00143830">
        <w:t>-</w:t>
      </w:r>
      <w:r w:rsidR="00143830" w:rsidRPr="000D72AC">
        <w:t>MRSI</w:t>
      </w:r>
      <w:r w:rsidR="00143830">
        <w:t xml:space="preserve"> </w:t>
      </w:r>
      <w:r w:rsidR="00943C24">
        <w:t xml:space="preserve">in </w:t>
      </w:r>
      <w:r w:rsidR="002A7002">
        <w:lastRenderedPageBreak/>
        <w:t xml:space="preserve">one </w:t>
      </w:r>
      <w:r w:rsidR="00943C24">
        <w:t xml:space="preserve">patient </w:t>
      </w:r>
      <w:r w:rsidR="008A1600">
        <w:t>where no abnormality was</w:t>
      </w:r>
      <w:r w:rsidR="00143830" w:rsidRPr="000D72AC">
        <w:t xml:space="preserve"> detectable on conventional </w:t>
      </w:r>
      <w:r w:rsidR="00143830" w:rsidRPr="000D72AC">
        <w:rPr>
          <w:vertAlign w:val="superscript"/>
        </w:rPr>
        <w:t>1</w:t>
      </w:r>
      <w:r w:rsidR="00143830" w:rsidRPr="000D72AC">
        <w:t>H</w:t>
      </w:r>
      <w:r w:rsidR="00143830">
        <w:t>-</w:t>
      </w:r>
      <w:r w:rsidR="00143830" w:rsidRPr="000D72AC">
        <w:t>MRI</w:t>
      </w:r>
      <w:r w:rsidR="008A1600">
        <w:t xml:space="preserve">; this patient </w:t>
      </w:r>
      <w:r w:rsidR="00943C24">
        <w:t>was</w:t>
      </w:r>
      <w:r w:rsidR="00143830">
        <w:t xml:space="preserve"> subsequently shown to </w:t>
      </w:r>
      <w:r w:rsidR="008A1600">
        <w:t>have a</w:t>
      </w:r>
      <w:r w:rsidR="008A1600" w:rsidRPr="000D72AC">
        <w:t xml:space="preserve"> </w:t>
      </w:r>
      <w:r w:rsidR="00143830" w:rsidRPr="000D72AC">
        <w:t>biopsy-proven</w:t>
      </w:r>
      <w:r w:rsidR="00143830">
        <w:t xml:space="preserve"> low-grade</w:t>
      </w:r>
      <w:r w:rsidR="00143830" w:rsidRPr="000D72AC">
        <w:t xml:space="preserve"> tumour</w:t>
      </w:r>
      <w:r w:rsidR="00143830">
        <w:t xml:space="preserve"> (figure 2). </w:t>
      </w:r>
      <w:r w:rsidR="00143830" w:rsidRPr="00CA66DF">
        <w:rPr>
          <w:szCs w:val="21"/>
        </w:rPr>
        <w:t xml:space="preserve">The study concluded that the </w:t>
      </w:r>
      <w:r w:rsidR="00143830">
        <w:rPr>
          <w:szCs w:val="21"/>
        </w:rPr>
        <w:t>data</w:t>
      </w:r>
      <w:r w:rsidR="00143830" w:rsidRPr="00CA66DF">
        <w:rPr>
          <w:szCs w:val="21"/>
        </w:rPr>
        <w:t xml:space="preserve"> confirmed both the safety of the agent and </w:t>
      </w:r>
      <w:r w:rsidR="00943C24">
        <w:rPr>
          <w:szCs w:val="21"/>
        </w:rPr>
        <w:t xml:space="preserve">that an </w:t>
      </w:r>
      <w:r w:rsidR="00143830" w:rsidRPr="00CA66DF">
        <w:rPr>
          <w:szCs w:val="21"/>
        </w:rPr>
        <w:t xml:space="preserve">elevated </w:t>
      </w:r>
      <w:r w:rsidR="00143830" w:rsidRPr="00AC65A1">
        <w:rPr>
          <w:szCs w:val="21"/>
          <w:vertAlign w:val="superscript"/>
        </w:rPr>
        <w:t>13</w:t>
      </w:r>
      <w:r w:rsidR="00143830" w:rsidRPr="00CA66DF">
        <w:rPr>
          <w:szCs w:val="21"/>
        </w:rPr>
        <w:t>C</w:t>
      </w:r>
      <w:r w:rsidR="00143830">
        <w:rPr>
          <w:szCs w:val="21"/>
        </w:rPr>
        <w:noBreakHyphen/>
      </w:r>
      <w:r w:rsidR="00143830" w:rsidRPr="00CA66DF">
        <w:rPr>
          <w:szCs w:val="21"/>
        </w:rPr>
        <w:t>lactate/</w:t>
      </w:r>
      <w:r w:rsidR="00143830" w:rsidRPr="00AC65A1">
        <w:rPr>
          <w:szCs w:val="21"/>
          <w:vertAlign w:val="superscript"/>
        </w:rPr>
        <w:t>13</w:t>
      </w:r>
      <w:r w:rsidR="00143830">
        <w:rPr>
          <w:szCs w:val="21"/>
        </w:rPr>
        <w:t>C</w:t>
      </w:r>
      <w:r w:rsidR="00143830">
        <w:rPr>
          <w:szCs w:val="21"/>
        </w:rPr>
        <w:noBreakHyphen/>
      </w:r>
      <w:r w:rsidR="00143830" w:rsidRPr="00CA66DF">
        <w:rPr>
          <w:szCs w:val="21"/>
        </w:rPr>
        <w:t xml:space="preserve">pyruvate </w:t>
      </w:r>
      <w:r w:rsidR="00943C24">
        <w:rPr>
          <w:szCs w:val="21"/>
        </w:rPr>
        <w:t xml:space="preserve">may be seen </w:t>
      </w:r>
      <w:r w:rsidR="00143830" w:rsidRPr="00CA66DF">
        <w:rPr>
          <w:szCs w:val="21"/>
        </w:rPr>
        <w:t xml:space="preserve">in regions </w:t>
      </w:r>
      <w:r w:rsidR="00943C24">
        <w:rPr>
          <w:szCs w:val="21"/>
        </w:rPr>
        <w:t>that were</w:t>
      </w:r>
      <w:r w:rsidR="00143830" w:rsidRPr="00CA66DF">
        <w:rPr>
          <w:szCs w:val="21"/>
        </w:rPr>
        <w:t xml:space="preserve"> </w:t>
      </w:r>
      <w:r w:rsidR="00143830">
        <w:rPr>
          <w:szCs w:val="21"/>
        </w:rPr>
        <w:t>otherwise undetect</w:t>
      </w:r>
      <w:r w:rsidR="00943C24">
        <w:rPr>
          <w:szCs w:val="21"/>
        </w:rPr>
        <w:t>able with standard methods</w:t>
      </w:r>
      <w:r w:rsidR="00143830">
        <w:rPr>
          <w:szCs w:val="21"/>
        </w:rPr>
        <w:t xml:space="preserve">, </w:t>
      </w:r>
      <w:proofErr w:type="gramStart"/>
      <w:r w:rsidR="00143830">
        <w:t>opening up</w:t>
      </w:r>
      <w:proofErr w:type="gramEnd"/>
      <w:r w:rsidR="00143830">
        <w:t xml:space="preserve"> the possibility of using metabolic imaging to detect occult tumours.</w:t>
      </w:r>
    </w:p>
    <w:p w14:paraId="464CC552" w14:textId="77777777" w:rsidR="0042638B" w:rsidRDefault="0042638B" w:rsidP="00CF23DF">
      <w:pPr>
        <w:spacing w:line="360" w:lineRule="auto"/>
        <w:jc w:val="both"/>
      </w:pPr>
    </w:p>
    <w:p w14:paraId="0D452FEE" w14:textId="27595CBD" w:rsidR="00F6642A" w:rsidRDefault="00143830" w:rsidP="00CF23DF">
      <w:pPr>
        <w:spacing w:line="360" w:lineRule="auto"/>
        <w:jc w:val="both"/>
      </w:pPr>
      <w:r>
        <w:t>T</w:t>
      </w:r>
      <w:r w:rsidR="00A2557E">
        <w:t>his initial study</w:t>
      </w:r>
      <w:r w:rsidR="00F6642A" w:rsidRPr="00F6642A">
        <w:t xml:space="preserve"> </w:t>
      </w:r>
      <w:r w:rsidR="00A2557E">
        <w:t xml:space="preserve">required a sterile room </w:t>
      </w:r>
      <w:r w:rsidR="00F6642A" w:rsidRPr="00F6642A">
        <w:t>for the production and hyperpolari</w:t>
      </w:r>
      <w:r w:rsidR="00030E78">
        <w:t>s</w:t>
      </w:r>
      <w:r w:rsidR="00F6642A" w:rsidRPr="00F6642A">
        <w:t xml:space="preserve">ation of the </w:t>
      </w:r>
      <w:r w:rsidRPr="00143830">
        <w:rPr>
          <w:vertAlign w:val="superscript"/>
        </w:rPr>
        <w:t>13</w:t>
      </w:r>
      <w:r>
        <w:t xml:space="preserve">C </w:t>
      </w:r>
      <w:r w:rsidR="00F6642A" w:rsidRPr="00F6642A">
        <w:t>pyruvate prior to dissolution</w:t>
      </w:r>
      <w:r w:rsidR="00A2557E">
        <w:t xml:space="preserve"> and injection</w:t>
      </w:r>
      <w:r w:rsidR="00F6642A" w:rsidRPr="00F6642A">
        <w:t xml:space="preserve">. </w:t>
      </w:r>
      <w:r>
        <w:t xml:space="preserve">Wider application of the </w:t>
      </w:r>
      <w:r w:rsidR="00F6642A" w:rsidRPr="00F6642A">
        <w:t xml:space="preserve">technology </w:t>
      </w:r>
      <w:r w:rsidR="00A2557E">
        <w:t xml:space="preserve">was </w:t>
      </w:r>
      <w:r w:rsidR="00A14AC4">
        <w:t xml:space="preserve">made possible </w:t>
      </w:r>
      <w:r>
        <w:t xml:space="preserve">by </w:t>
      </w:r>
      <w:r w:rsidR="00A2557E">
        <w:t>the design</w:t>
      </w:r>
      <w:r w:rsidR="00F411A3">
        <w:t xml:space="preserve"> of a new </w:t>
      </w:r>
      <w:r w:rsidR="00977CD9">
        <w:t xml:space="preserve">platform which utilises </w:t>
      </w:r>
      <w:r w:rsidR="00F411A3">
        <w:t xml:space="preserve">an integral, disposable and </w:t>
      </w:r>
      <w:r w:rsidR="00F6642A" w:rsidRPr="00F6642A">
        <w:t>sterile fluid path</w:t>
      </w:r>
      <w:r w:rsidR="00977CD9">
        <w:t xml:space="preserve"> or pharmacy kit</w:t>
      </w:r>
      <w:r w:rsidR="00BF083B">
        <w:t xml:space="preserve"> (figure 3)</w:t>
      </w:r>
      <w:r w:rsidR="003D2711">
        <w:t>.</w:t>
      </w:r>
      <w:r w:rsidR="007E6682">
        <w:fldChar w:fldCharType="begin" w:fldLock="1"/>
      </w:r>
      <w:r w:rsidR="006D4D5D">
        <w:instrText>ADDIN CSL_CITATION { "citationItems" : [ { "id" : "ITEM-1", "itemData" : { "DOI" : "10.1002/nbm.1682", "ISBN" : "1099-1492", "ISSN" : "09523480", "PMID" : "21416540", "abstract" : "A novel polarizer based on the dissolution-dynamic nuclear polarization (DNP) method has been designed, built and tested. The polarizer differs from those previously described by being designed with sterile use intent and being compatible with clinical use. The main features are: (1) an integral, disposable fluid path containing all pharmaceuticals constituting a sterile barrier, (2) a closed-cycle cryogenic system designed to eliminate consumption of liquid cryogens and (3) multi-sample polarization to increase throughput. The fluid path consists of a vial with the agent to be polarized, a pair of concentric inlet and outlet tubes connected to a syringe with dissolution medium and a receiver, respectively. The fluid path can operate at up to 400 K and 2.0 MPa and generates volumes as high as 100 mL. An inline filter removes the amount of electron paramagnetic agent in the final product by more than 100-fold in the case of [1-(13)C]pyruvate. The system uses a sorption pump in conjunction with a conventional cryocooler. The system operates through cycles of pumping to low temperature and regeneration of the sorption pump. The magnet accommodates four samples at the same time. A temperature of less than 1 K was achieved for 68 h (no sample heat loads) with a liquid helium volume of 2.4 L. The regeneration of the liquid helium could be achieved in less than 10 h, and the transition to cold (&lt; 1.2 K) was achieved in less than 90 min. A solid state polarization of 36 \u00b1 4% for [1-(13)C]pyruvic acid was obtained with only 10 mW of microwave power. The loading of a sample adds less than 50 J of heat to the helium bath by introducing the sample over 15 min. The heat load imposed on the helium bath during dissolution was less than 70 J. The measured liquid state polarization was 18 \u00b1 2%.", "author" : [ { "dropping-particle" : "", "family" : "Ardenkjaer-Larsen", "given" : "Jan H.", "non-dropping-particle" : "", "parse-names" : false, "suffix" : "" }, { "dropping-particle" : "", "family" : "Leach", "given" : "Andrew M.", "non-dropping-particle" : "", "parse-names" : false, "suffix" : "" }, { "dropping-particle" : "", "family" : "Clarke", "given" : "Neil", "non-dropping-particle" : "", "parse-names" : false, "suffix" : "" }, { "dropping-particle" : "", "family" : "Urbahn", "given" : "John", "non-dropping-particle" : "", "parse-names" : false, "suffix" : "" }, { "dropping-particle" : "", "family" : "Anderson", "given" : "Denise", "non-dropping-particle" : "", "parse-names" : false, "suffix" : "" }, { "dropping-particle" : "", "family" : "Skloss", "given" : "Timothy W.", "non-dropping-particle" : "", "parse-names" : false, "suffix" : "" } ], "container-title" : "NMR in Biomedicine", "id" : "ITEM-1", "issue" : "8", "issued" : { "date-parts" : [ [ "2011" ] ] }, "page" : "927-932", "title" : "Dynamic nuclear polarization polarizer for sterile use intent", "type" : "article-journal", "volume" : "24" }, "uris" : [ "http://www.mendeley.com/documents/?uuid=b09d55c2-ebe1-4138-a79d-be0ce7ed82f9" ] } ], "mendeley" : { "formattedCitation" : "&lt;sup&gt;29&lt;/sup&gt;", "plainTextFormattedCitation" : "29", "previouslyFormattedCitation" : "&lt;sup&gt;29&lt;/sup&gt;" }, "properties" : {  }, "schema" : "https://github.com/citation-style-language/schema/raw/master/csl-citation.json" }</w:instrText>
      </w:r>
      <w:r w:rsidR="007E6682">
        <w:fldChar w:fldCharType="separate"/>
      </w:r>
      <w:r w:rsidR="00CE79A4" w:rsidRPr="00CE79A4">
        <w:rPr>
          <w:noProof/>
          <w:vertAlign w:val="superscript"/>
        </w:rPr>
        <w:t>29</w:t>
      </w:r>
      <w:r w:rsidR="007E6682">
        <w:fldChar w:fldCharType="end"/>
      </w:r>
      <w:r w:rsidR="00F6642A" w:rsidRPr="00F6642A">
        <w:t xml:space="preserve"> </w:t>
      </w:r>
      <w:r>
        <w:t xml:space="preserve">The </w:t>
      </w:r>
      <w:proofErr w:type="spellStart"/>
      <w:r>
        <w:t>SPINlab</w:t>
      </w:r>
      <w:proofErr w:type="spellEnd"/>
      <w:r>
        <w:t xml:space="preserve"> </w:t>
      </w:r>
      <w:proofErr w:type="spellStart"/>
      <w:r w:rsidR="00A637C2">
        <w:t>hyper</w:t>
      </w:r>
      <w:r w:rsidR="000F06F8">
        <w:t>polari</w:t>
      </w:r>
      <w:r w:rsidR="007546D5">
        <w:t>z</w:t>
      </w:r>
      <w:r w:rsidR="000F06F8">
        <w:t>er</w:t>
      </w:r>
      <w:proofErr w:type="spellEnd"/>
      <w:r w:rsidR="000F06F8">
        <w:t>,</w:t>
      </w:r>
      <w:r w:rsidR="00977CD9">
        <w:t xml:space="preserve"> produced by GE Healthcare</w:t>
      </w:r>
      <w:r w:rsidR="000F06F8">
        <w:t>, uses a closed-cycle cryogenic system</w:t>
      </w:r>
      <w:r w:rsidR="00977CD9">
        <w:t xml:space="preserve"> and</w:t>
      </w:r>
      <w:r w:rsidR="000F06F8">
        <w:t xml:space="preserve"> has multi-sample capability</w:t>
      </w:r>
      <w:r w:rsidR="00BB7CD2">
        <w:t xml:space="preserve"> (figure 4)</w:t>
      </w:r>
      <w:r w:rsidR="00387C80">
        <w:t xml:space="preserve">. </w:t>
      </w:r>
      <w:r w:rsidR="00F6642A" w:rsidRPr="00F6642A">
        <w:t xml:space="preserve">The </w:t>
      </w:r>
      <w:r w:rsidR="00977CD9">
        <w:t>pharmacy kit is</w:t>
      </w:r>
      <w:r w:rsidR="00F6642A" w:rsidRPr="00F6642A">
        <w:t xml:space="preserve"> prefilled </w:t>
      </w:r>
      <w:r>
        <w:t xml:space="preserve">and sealed </w:t>
      </w:r>
      <w:r w:rsidR="00F6642A" w:rsidRPr="00F6642A">
        <w:t>in a sterile environment</w:t>
      </w:r>
      <w:r w:rsidR="001121CF">
        <w:t>,</w:t>
      </w:r>
      <w:r w:rsidR="00977CD9">
        <w:t xml:space="preserve"> before being transferred to the clinical </w:t>
      </w:r>
      <w:proofErr w:type="spellStart"/>
      <w:r>
        <w:t>hyper</w:t>
      </w:r>
      <w:r w:rsidR="00977CD9">
        <w:t>polari</w:t>
      </w:r>
      <w:r w:rsidR="007546D5">
        <w:t>z</w:t>
      </w:r>
      <w:r w:rsidR="00977CD9">
        <w:t>er</w:t>
      </w:r>
      <w:proofErr w:type="spellEnd"/>
      <w:r>
        <w:t>,</w:t>
      </w:r>
      <w:r w:rsidR="00977CD9">
        <w:t xml:space="preserve"> </w:t>
      </w:r>
      <w:r>
        <w:t>thus enabling</w:t>
      </w:r>
      <w:r w:rsidRPr="00F6642A">
        <w:t xml:space="preserve"> </w:t>
      </w:r>
      <w:r w:rsidR="00F6642A" w:rsidRPr="00F6642A">
        <w:t xml:space="preserve">the </w:t>
      </w:r>
      <w:r w:rsidR="00C65D6C" w:rsidRPr="00F6642A">
        <w:t>hyperpolari</w:t>
      </w:r>
      <w:r w:rsidR="00030E78">
        <w:t>s</w:t>
      </w:r>
      <w:r w:rsidR="00C65D6C" w:rsidRPr="00F6642A">
        <w:t>ation</w:t>
      </w:r>
      <w:r w:rsidR="00F6642A" w:rsidRPr="00F6642A">
        <w:t xml:space="preserve"> of a pyruvate sample </w:t>
      </w:r>
      <w:r>
        <w:t>with</w:t>
      </w:r>
      <w:r w:rsidR="00F6642A" w:rsidRPr="00F6642A">
        <w:t>in a</w:t>
      </w:r>
      <w:r w:rsidR="00977CD9">
        <w:t xml:space="preserve"> routine clinical environment</w:t>
      </w:r>
      <w:r w:rsidR="001121CF">
        <w:t xml:space="preserve"> such as a radiology department</w:t>
      </w:r>
      <w:r w:rsidR="00F6642A" w:rsidRPr="00F6642A">
        <w:t>, whilst</w:t>
      </w:r>
      <w:r w:rsidR="00977CD9">
        <w:t xml:space="preserve"> maintaining the sample sterility</w:t>
      </w:r>
      <w:r w:rsidR="00F6642A" w:rsidRPr="00F6642A">
        <w:t>.</w:t>
      </w:r>
      <w:r w:rsidR="001121CF">
        <w:t xml:space="preserve"> Filled </w:t>
      </w:r>
      <w:r>
        <w:t>pharmacy kits</w:t>
      </w:r>
      <w:r w:rsidR="001121CF">
        <w:t xml:space="preserve"> can either be used on the day of production or stored frozen depending on the method that is used.</w:t>
      </w:r>
      <w:r w:rsidR="00F6642A" w:rsidRPr="00F6642A">
        <w:t xml:space="preserve">  </w:t>
      </w:r>
    </w:p>
    <w:p w14:paraId="76816EB4" w14:textId="77777777" w:rsidR="00C65D6C" w:rsidRDefault="00C65D6C" w:rsidP="00CF23DF">
      <w:pPr>
        <w:spacing w:line="360" w:lineRule="auto"/>
        <w:jc w:val="both"/>
      </w:pPr>
    </w:p>
    <w:p w14:paraId="30EA185D" w14:textId="514B0719" w:rsidR="0023287C" w:rsidRPr="00C65D6C" w:rsidRDefault="001D769C" w:rsidP="00CF23DF">
      <w:pPr>
        <w:spacing w:line="360" w:lineRule="auto"/>
        <w:jc w:val="both"/>
        <w:rPr>
          <w:i/>
        </w:rPr>
      </w:pPr>
      <w:r>
        <w:rPr>
          <w:i/>
        </w:rPr>
        <w:t>Clinical imaging studies</w:t>
      </w:r>
    </w:p>
    <w:p w14:paraId="616569C5" w14:textId="231F9E53" w:rsidR="00A13E82" w:rsidRDefault="001D769C" w:rsidP="001E3F5F">
      <w:pPr>
        <w:spacing w:line="360" w:lineRule="auto"/>
        <w:jc w:val="both"/>
      </w:pPr>
      <w:r>
        <w:t>T</w:t>
      </w:r>
      <w:r w:rsidR="0042638B">
        <w:t>here are currently</w:t>
      </w:r>
      <w:r w:rsidR="00C25F70" w:rsidRPr="000D72AC">
        <w:t xml:space="preserve"> </w:t>
      </w:r>
      <w:r w:rsidR="000904BB">
        <w:t>six</w:t>
      </w:r>
      <w:r w:rsidR="00C25F70" w:rsidRPr="000D72AC">
        <w:t xml:space="preserve"> sites</w:t>
      </w:r>
      <w:r>
        <w:t xml:space="preserve"> that</w:t>
      </w:r>
      <w:r w:rsidR="001121CF">
        <w:t xml:space="preserve"> have undertaken </w:t>
      </w:r>
      <w:r w:rsidR="0042638B">
        <w:t>clinical imaging with the technique</w:t>
      </w:r>
      <w:r>
        <w:t>, although</w:t>
      </w:r>
      <w:r w:rsidR="00494637">
        <w:t xml:space="preserve"> </w:t>
      </w:r>
      <w:r>
        <w:t>s</w:t>
      </w:r>
      <w:r w:rsidR="00C25F70" w:rsidRPr="000D72AC">
        <w:t xml:space="preserve">everal other </w:t>
      </w:r>
      <w:r>
        <w:t>facilities</w:t>
      </w:r>
      <w:r w:rsidRPr="000D72AC">
        <w:t xml:space="preserve"> </w:t>
      </w:r>
      <w:r w:rsidR="0042638B">
        <w:t>will commence</w:t>
      </w:r>
      <w:r w:rsidR="00C25F70" w:rsidRPr="000D72AC">
        <w:t xml:space="preserve"> </w:t>
      </w:r>
      <w:r w:rsidRPr="000D72AC">
        <w:t>human</w:t>
      </w:r>
      <w:r w:rsidR="0080505D">
        <w:t xml:space="preserve"> imaging</w:t>
      </w:r>
      <w:r w:rsidR="003728E6">
        <w:t xml:space="preserve"> </w:t>
      </w:r>
      <w:proofErr w:type="gramStart"/>
      <w:r w:rsidR="003728E6">
        <w:t>in the near future</w:t>
      </w:r>
      <w:proofErr w:type="gramEnd"/>
      <w:r w:rsidR="003728E6">
        <w:t>.</w:t>
      </w:r>
      <w:r w:rsidRPr="000D72AC">
        <w:t xml:space="preserve"> </w:t>
      </w:r>
      <w:r w:rsidR="00B273A2">
        <w:t xml:space="preserve">Current </w:t>
      </w:r>
      <w:r w:rsidR="00750B2E">
        <w:t>studies</w:t>
      </w:r>
      <w:r w:rsidR="00750B2E" w:rsidRPr="00B273A2">
        <w:t xml:space="preserve"> </w:t>
      </w:r>
      <w:r w:rsidR="00B273A2">
        <w:t xml:space="preserve">in </w:t>
      </w:r>
      <w:r w:rsidR="00750B2E">
        <w:t xml:space="preserve">human </w:t>
      </w:r>
      <w:r w:rsidR="00B273A2">
        <w:t xml:space="preserve">HP </w:t>
      </w:r>
      <w:r w:rsidR="00B273A2" w:rsidRPr="00B273A2">
        <w:rPr>
          <w:vertAlign w:val="superscript"/>
        </w:rPr>
        <w:t>13</w:t>
      </w:r>
      <w:r w:rsidR="00B273A2">
        <w:t>C</w:t>
      </w:r>
      <w:r w:rsidR="005B30B2">
        <w:t>-</w:t>
      </w:r>
      <w:r w:rsidR="00B273A2">
        <w:t xml:space="preserve">MRSI research are </w:t>
      </w:r>
      <w:r w:rsidR="00750B2E">
        <w:t>exploring pyruvate</w:t>
      </w:r>
      <w:r w:rsidR="00B273A2">
        <w:t xml:space="preserve"> metabolism</w:t>
      </w:r>
      <w:r w:rsidR="00750B2E">
        <w:t xml:space="preserve"> in </w:t>
      </w:r>
      <w:proofErr w:type="gramStart"/>
      <w:r w:rsidR="00750B2E">
        <w:t>a number of</w:t>
      </w:r>
      <w:proofErr w:type="gramEnd"/>
      <w:r w:rsidR="00750B2E">
        <w:t xml:space="preserve"> </w:t>
      </w:r>
      <w:r w:rsidR="00494637">
        <w:t xml:space="preserve">organs </w:t>
      </w:r>
      <w:r w:rsidR="00BF2381">
        <w:t xml:space="preserve">such as the brain, heart, liver and breast </w:t>
      </w:r>
      <w:r w:rsidR="00494637">
        <w:t xml:space="preserve">and in a variety of </w:t>
      </w:r>
      <w:r w:rsidR="00750B2E">
        <w:t>disease processes</w:t>
      </w:r>
      <w:r w:rsidR="00BF2381">
        <w:t xml:space="preserve">. Several of these studies </w:t>
      </w:r>
      <w:r w:rsidR="00943C24">
        <w:t xml:space="preserve">are </w:t>
      </w:r>
      <w:r w:rsidR="00F66EFD">
        <w:t>evaluat</w:t>
      </w:r>
      <w:r w:rsidR="00943C24">
        <w:t>ing</w:t>
      </w:r>
      <w:r w:rsidR="00BF2381">
        <w:t xml:space="preserve"> </w:t>
      </w:r>
      <w:r w:rsidR="00B273A2">
        <w:t xml:space="preserve">HP </w:t>
      </w:r>
      <w:r w:rsidR="00B273A2" w:rsidRPr="00B273A2">
        <w:rPr>
          <w:vertAlign w:val="superscript"/>
        </w:rPr>
        <w:t>13</w:t>
      </w:r>
      <w:r w:rsidR="00B273A2">
        <w:t>C</w:t>
      </w:r>
      <w:r w:rsidR="00EA2B1E">
        <w:t>-</w:t>
      </w:r>
      <w:r w:rsidR="00B273A2">
        <w:t>MRSI</w:t>
      </w:r>
      <w:r w:rsidR="0080505D">
        <w:t xml:space="preserve"> </w:t>
      </w:r>
      <w:r w:rsidR="00B273A2">
        <w:t xml:space="preserve">derived biomarkers </w:t>
      </w:r>
      <w:r w:rsidR="00E568BA">
        <w:t xml:space="preserve">in addition to tissue samples </w:t>
      </w:r>
      <w:proofErr w:type="gramStart"/>
      <w:r w:rsidR="00E568BA">
        <w:t>in order to</w:t>
      </w:r>
      <w:proofErr w:type="gramEnd"/>
      <w:r w:rsidR="00E568BA">
        <w:t xml:space="preserve"> </w:t>
      </w:r>
      <w:r w:rsidR="001E3F5F">
        <w:t xml:space="preserve">understand </w:t>
      </w:r>
      <w:r w:rsidR="00943C24">
        <w:t xml:space="preserve">and validate </w:t>
      </w:r>
      <w:r w:rsidR="001E3F5F">
        <w:t xml:space="preserve">the biophysical nature of signal generation with HP </w:t>
      </w:r>
      <w:r w:rsidR="001E3F5F" w:rsidRPr="00B273A2">
        <w:rPr>
          <w:vertAlign w:val="superscript"/>
        </w:rPr>
        <w:t>13</w:t>
      </w:r>
      <w:r w:rsidR="00265D59">
        <w:t>C-MRSI</w:t>
      </w:r>
      <w:r w:rsidR="001E3F5F">
        <w:t>. Another important aim is to establish the reproducibility and repeatability of the technique.</w:t>
      </w:r>
      <w:r w:rsidR="00A13E82">
        <w:t xml:space="preserve"> </w:t>
      </w:r>
    </w:p>
    <w:p w14:paraId="11FB44DA" w14:textId="5671E56D" w:rsidR="00E61412" w:rsidRDefault="00E61412" w:rsidP="001E3F5F">
      <w:pPr>
        <w:spacing w:line="360" w:lineRule="auto"/>
        <w:jc w:val="both"/>
      </w:pPr>
    </w:p>
    <w:p w14:paraId="53F31C61" w14:textId="4EEC8043" w:rsidR="00D43EDA" w:rsidRDefault="00E568BA" w:rsidP="00CF23DF">
      <w:pPr>
        <w:spacing w:line="360" w:lineRule="auto"/>
        <w:jc w:val="both"/>
      </w:pPr>
      <w:r>
        <w:t xml:space="preserve">A </w:t>
      </w:r>
      <w:r w:rsidR="007631FC" w:rsidRPr="000D72AC">
        <w:t xml:space="preserve">significant </w:t>
      </w:r>
      <w:r>
        <w:t>objective</w:t>
      </w:r>
      <w:r w:rsidRPr="000D72AC">
        <w:t xml:space="preserve"> </w:t>
      </w:r>
      <w:r w:rsidR="007631FC" w:rsidRPr="000D72AC">
        <w:t xml:space="preserve">of the current </w:t>
      </w:r>
      <w:r>
        <w:t>clinical studies</w:t>
      </w:r>
      <w:r w:rsidR="007631FC" w:rsidRPr="000D72AC">
        <w:t xml:space="preserve"> is to investigate HP </w:t>
      </w:r>
      <w:r w:rsidR="007631FC" w:rsidRPr="000D72AC">
        <w:rPr>
          <w:vertAlign w:val="superscript"/>
        </w:rPr>
        <w:t>13</w:t>
      </w:r>
      <w:r w:rsidR="007631FC" w:rsidRPr="000D72AC">
        <w:t>C-MRSI as</w:t>
      </w:r>
      <w:r w:rsidR="00A13E82">
        <w:t xml:space="preserve"> an imaging biomarker of</w:t>
      </w:r>
      <w:r w:rsidR="007631FC" w:rsidRPr="000D72AC">
        <w:t xml:space="preserve"> early treatment response</w:t>
      </w:r>
      <w:r w:rsidR="00B9648E">
        <w:t>. M</w:t>
      </w:r>
      <w:r w:rsidR="006F02B0">
        <w:t xml:space="preserve">any of these studies </w:t>
      </w:r>
      <w:r w:rsidR="00B9648E">
        <w:t xml:space="preserve">are being </w:t>
      </w:r>
      <w:r w:rsidR="006F02B0">
        <w:t xml:space="preserve">run in parallel </w:t>
      </w:r>
      <w:r w:rsidR="00B9648E">
        <w:t>with</w:t>
      </w:r>
      <w:r w:rsidR="006F02B0">
        <w:t xml:space="preserve"> other conventional imaging tests for measuring treatment response</w:t>
      </w:r>
      <w:r>
        <w:t xml:space="preserve">, as well as </w:t>
      </w:r>
      <w:r w:rsidRPr="000D72AC">
        <w:t>functional MR imaging techniques</w:t>
      </w:r>
      <w:r w:rsidR="00E4729E">
        <w:t>,</w:t>
      </w:r>
      <w:r w:rsidRPr="000D72AC">
        <w:t xml:space="preserve"> </w:t>
      </w:r>
      <w:r w:rsidR="00B421D3">
        <w:t>such as</w:t>
      </w:r>
      <w:r w:rsidR="00B421D3" w:rsidRPr="000D72AC">
        <w:t xml:space="preserve"> </w:t>
      </w:r>
      <w:r>
        <w:t>dynamic contrast-enhanced (</w:t>
      </w:r>
      <w:r w:rsidRPr="000D72AC">
        <w:t>DCE</w:t>
      </w:r>
      <w:r>
        <w:t>) MRI.</w:t>
      </w:r>
      <w:r w:rsidR="00B9648E">
        <w:t xml:space="preserve"> </w:t>
      </w:r>
      <w:r>
        <w:t>C</w:t>
      </w:r>
      <w:r w:rsidR="006F02B0">
        <w:t xml:space="preserve">hanges </w:t>
      </w:r>
      <w:r w:rsidR="006F02B0">
        <w:lastRenderedPageBreak/>
        <w:t xml:space="preserve">in </w:t>
      </w:r>
      <w:r w:rsidR="00B9648E">
        <w:t xml:space="preserve">tumour </w:t>
      </w:r>
      <w:r w:rsidR="006F02B0">
        <w:t>metabolism</w:t>
      </w:r>
      <w:r>
        <w:t xml:space="preserve"> in response to therapy</w:t>
      </w:r>
      <w:r w:rsidR="006F02B0">
        <w:t xml:space="preserve"> </w:t>
      </w:r>
      <w:r w:rsidR="005172A9">
        <w:t xml:space="preserve">have been shown to </w:t>
      </w:r>
      <w:r w:rsidR="006F02B0">
        <w:t>occur</w:t>
      </w:r>
      <w:r>
        <w:t xml:space="preserve"> before </w:t>
      </w:r>
      <w:r w:rsidR="006F02B0">
        <w:t xml:space="preserve">anatomical changes </w:t>
      </w:r>
      <w:r>
        <w:t xml:space="preserve">can be detected </w:t>
      </w:r>
      <w:r w:rsidR="006F02B0">
        <w:t xml:space="preserve">and </w:t>
      </w:r>
      <w:r w:rsidR="00B62691">
        <w:t>potentially</w:t>
      </w:r>
      <w:r w:rsidR="006F02B0">
        <w:t xml:space="preserve"> </w:t>
      </w:r>
      <w:r w:rsidR="0080505D">
        <w:t xml:space="preserve">could be </w:t>
      </w:r>
      <w:r w:rsidR="00B9648E">
        <w:t>earlier than</w:t>
      </w:r>
      <w:r w:rsidR="006F02B0">
        <w:t xml:space="preserve"> functional imaging </w:t>
      </w:r>
      <w:r>
        <w:t>alterations</w:t>
      </w:r>
      <w:r w:rsidR="006F02B0">
        <w:t>.</w:t>
      </w:r>
      <w:r w:rsidR="007631FC" w:rsidRPr="000D72AC">
        <w:t xml:space="preserve"> </w:t>
      </w:r>
      <w:r w:rsidR="00943C24">
        <w:t>The use of the technique as a response biomarker</w:t>
      </w:r>
      <w:r w:rsidR="00B9648E" w:rsidRPr="000D72AC">
        <w:t xml:space="preserve"> </w:t>
      </w:r>
      <w:r w:rsidR="00943C24">
        <w:t xml:space="preserve">has been </w:t>
      </w:r>
      <w:r w:rsidR="00B9648E">
        <w:t>demonstrated</w:t>
      </w:r>
      <w:r w:rsidR="00B9648E" w:rsidRPr="000D72AC">
        <w:t xml:space="preserve"> in several animal studies and is now being translated into humans</w:t>
      </w:r>
      <w:r w:rsidR="00C15EDF">
        <w:t xml:space="preserve"> (figure 5)</w:t>
      </w:r>
      <w:r w:rsidR="00B9648E" w:rsidRPr="000D72AC">
        <w:t>.</w:t>
      </w:r>
      <w:r w:rsidR="006D4D5D">
        <w:fldChar w:fldCharType="begin" w:fldLock="1"/>
      </w:r>
      <w:r w:rsidR="00481147">
        <w:instrText>ADDIN CSL_CITATION { "citationItems" : [ { "id" : "ITEM-1", "itemData" : { "DOI" : "10.1038/nm1650", "ISBN" : "1078-8956", "ISSN" : "1078-8956", "PMID" : "17965722", "abstract" : "Measurements of early tumor responses to therapy have been shown, in some cases, to predict treatment outcome. We show in lymphoma-bearing mice injected intravenously with hyperpolarized [1-(13)C]pyruvate that the lactate dehydrogenase-catalyzed flux of (13)C label between the carboxyl groups of pyruvate and lactate in the tumor can be measured using (13)C magnetic resonance spectroscopy and spectroscopic imaging, and that this flux is inhibited within 24 h of chemotherapy. The reduction in the measured flux after drug treatment and the induction of tumor cell death can be explained by loss of the coenzyme NAD(H) and decreases in concentrations of lactate and enzyme in the tumors. The technique could provide a new way to assess tumor responses to treatment in the clinic.", "author" : [ { "dropping-particle" : "", "family" : "Day", "given" : "Sam E", "non-dropping-particle" : "", "parse-names" : false, "suffix" : "" }, { "dropping-particle" : "", "family" : "Kettunen", "given" : "Mikko I", "non-dropping-particle" : "", "parse-names" : false, "suffix" : "" }, { "dropping-particle" : "", "family" : "Gallagher", "given" : "Ferdia A", "non-dropping-particle" : "", "parse-names" : false, "suffix" : "" }, { "dropping-particle" : "", "family" : "Hu", "given" : "De-En", "non-dropping-particle" : "", "parse-names" : false, "suffix" : "" }, { "dropping-particle" : "", "family" : "Lerche", "given" : "Mathilde", "non-dropping-particle" : "", "parse-names" : false, "suffix" : "" }, { "dropping-particle" : "", "family" : "Wolber", "given" : "Jan", "non-dropping-particle" : "", "parse-names" : false, "suffix" : "" }, { "dropping-particle" : "", "family" : "Golman", "given" : "Klaes", "non-dropping-particle" : "", "parse-names" : false, "suffix" : "" }, { "dropping-particle" : "", "family" : "Ardenkjaer-Larsen", "given" : "Jan Henrik", "non-dropping-particle" : "", "parse-names" : false, "suffix" : "" }, { "dropping-particle" : "", "family" : "Brindle", "given" : "Kevin M", "non-dropping-particle" : "", "parse-names" : false, "suffix" : "" } ], "container-title" : "Nature medicine", "id" : "ITEM-1", "issue" : "11", "issued" : { "date-parts" : [ [ "2007" ] ] }, "page" : "1382-1387", "title" : "Detecting tumor response to treatment using hyperpolarized 13C magnetic resonance imaging and spectroscopy.", "type" : "article-journal", "volume" : "13" }, "uris" : [ "http://www.mendeley.com/documents/?uuid=43856305-8d92-4b3b-ae59-117b0116aff4" ] }, { "id" : "ITEM-2", "itemData" : { "DOI" : "10.1593/neo.09254", "ISBN" : "1476-5586 (Electronic)\\r1476-5586 (Linking)", "ISSN" : "1476-5586", "PMID" : "19484146", "abstract" : "Detection of early tumor responses to treatment can give an indication of clinical outcome. Positron emission tomography measurements of the uptake of the glucose analog, [(18)F] 2-fluoro-2-deoxy-D-glucose (FDG), have demonstrated their potential for detecting early treatment response in the clinic. We have shown recently that (13)C magnetic resonance spectroscopy and spectroscopic imaging measurements of the uptake and conversion of hyperpolarized [1-(13)C]pyruvate into [1-(13)C]lactate can be used to detect treatment response in a murine lymphoma model. The present study compares these magnetic resonance measurements with changes in FDG uptake after chemotherapy. A decrease in FDG uptake was found to precede the decrease in flux of hyperpolarized (13)C label between pyruvate and lactate, both in tumor cells in vitro and in tumors in vivo. However, the magnitude of the decrease in FDG uptake and the decrease in pyruvate to lactate flux was comparable at 24 hours after drug treatment. In cells, the decrease in FDG uptake was shown to correlate with changes in plasma membrane expression of the facilitative glucose transporters, whereas the decrease in pyruvate to lactate flux could be explained by an increase in poly(ADP-ribose) polymerase activity and subsequent depletion of the NAD(H) pool. These results show that measurement of flux between pyruvate and lactate may be an alternative to FDG-positron emission tomography for imaging tumor treatment response in the clinic.", "author" : [ { "dropping-particle" : "", "family" : "Witney", "given" : "Timothy H", "non-dropping-particle" : "", "parse-names" : false, "suffix" : "" }, { "dropping-particle" : "", "family" : "Kettunen", "given" : "Mikko I", "non-dropping-particle" : "", "parse-names" : false, "suffix" : "" }, { "dropping-particle" : "", "family" : "Day", "given" : "Samuel E", "non-dropping-particle" : "", "parse-names" : false, "suffix" : "" }, { "dropping-particle" : "", "family" : "Hu", "given" : "De-en", "non-dropping-particle" : "", "parse-names" : false, "suffix" : "" }, { "dropping-particle" : "", "family" : "Neves", "given" : "Andre A", "non-dropping-particle" : "", "parse-names" : false, "suffix" : "" }, { "dropping-particle" : "", "family" : "Gallagher", "given" : "Ferdia A", "non-dropping-particle" : "", "parse-names" : false, "suffix" : "" }, { "dropping-particle" : "", "family" : "Fulton", "given" : "Sandra M", "non-dropping-particle" : "", "parse-names" : false, "suffix" : "" }, { "dropping-particle" : "", "family" : "Brindle", "given" : "Kevin M", "non-dropping-particle" : "", "parse-names" : false, "suffix" : "" } ], "container-title" : "Neoplasia (New York, N.Y.)", "id" : "ITEM-2", "issue" : "6", "issued" : { "date-parts" : [ [ "2009" ] ] }, "page" : "574-82", "title" : "A comparison between radiolabeled fluorodeoxyglucose uptake and hyperpolarized (13)C-labeled pyruvate utilization as methods for detecting tumor response to treatment.", "type" : "article-journal", "volume" : "11" }, "uris" : [ "http://www.mendeley.com/documents/?uuid=c9f03821-9286-443d-ba35-1853756f2b46" ] }, { "id" : "ITEM-3", "itemData" : { "DOI" : "10.1002/mrm.22698", "ISBN" : "07403194", "ISSN" : "07403194", "PMID" : "21264939", "abstract" : "We show here that hyperpolarized [1-(13) C]pyruvate can be used to detect treatment response in a glioma tumor model; a tumor type where detection of response with (18) fluoro-2-deoxyglucose, using positron emission tomography, is limited by the high background signals from normal brain tissue. (13) C chemical shift images acquired following intravenous injection of hyperpolarized [1-(13) C]pyruvate into rats with implanted C6 gliomas showed significant labeling of lactate within the tumors but comparatively low levels in surrounding brain.Labeled pyruvate was observed at high levels in blood vessels above the brain and from other major vessels elsewhere but was detected at only low levels in tumor and brain.The ratio of hyperpolarized (13) C label in tumor lactate compared to the maximum pyruvate signal in the blood vessels was decreased from 0.38 \u00b1 0.16 to 0.23 \u00b1 0.13, (a reduction of 34%) by 72 h following whole brain irradiation with 15 Gy.", "author" : [ { "dropping-particle" : "", "family" : "Day", "given" : "Sam E.", "non-dropping-particle" : "", "parse-names" : false, "suffix" : "" }, { "dropping-particle" : "", "family" : "Kettunen", "given" : "Mikko I.", "non-dropping-particle" : "", "parse-names" : false, "suffix" : "" }, { "dropping-particle" : "", "family" : "Cherukuri", "given" : "Murali Krishna", "non-dropping-particle" : "", "parse-names" : false, "suffix" : "" }, { "dropping-particle" : "", "family" : "Mitchell", "given" : "James B.", "non-dropping-particle" : "", "parse-names" : false, "suffix" : "" }, { "dropping-particle" : "", "family" : "Lizak", "given" : "Martin J.", "non-dropping-particle" : "", "parse-names" : false, "suffix" : "" }, { "dropping-particle" : "", "family" : "Morris", "given" : "H. Douglas", "non-dropping-particle" : "", "parse-names" : false, "suffix" : "" }, { "dropping-particle" : "", "family" : "Matsumoto", "given" : "Shingo", "non-dropping-particle" : "", "parse-names" : false, "suffix" : "" }, { "dropping-particle" : "", "family" : "Koretsky", "given" : "Alan P.", "non-dropping-particle" : "", "parse-names" : false, "suffix" : "" }, { "dropping-particle" : "", "family" : "Brindle", "given" : "Kevin M.", "non-dropping-particle" : "", "parse-names" : false, "suffix" : "" } ], "container-title" : "Magnetic Resonance in Medicine", "id" : "ITEM-3", "issue" : "2", "issued" : { "date-parts" : [ [ "2011" ] ] }, "page" : "557-563", "title" : "Detecting response of rat C6 glioma tumors to radiotherapy using hyperpolarized [1-13C]pyruvate and 13C magnetic resonance spectroscopic imaging", "type" : "article-journal", "volume" : "65" }, "uris" : [ "http://www.mendeley.com/documents/?uuid=3fc153ee-1c16-40e7-a2bf-8343f8dd5a52" ] }, { "id" : "ITEM-4", "itemData" : { "DOI" : "10.1016/j.eururo.2017.07.022", "ISSN" : "18737560", "author" : [ { "dropping-particle" : "", "family" : "Aggarwal", "given" : "Rahul", "non-dropping-particle" : "", "parse-names" : false, "suffix" : "" }, { "dropping-particle" : "", "family" : "Vigneron", "given" : "Daniel B.", "non-dropping-particle" : "", "parse-names" : false, "suffix" : "" }, { "dropping-particle" : "", "family" : "Kurhanewicz", "given" : "John", "non-dropping-particle" : "", "parse-names" : false, "suffix" : "" } ], "container-title" : "European Urology", "id" : "ITEM-4", "issue" : "6", "issued" : { "date-parts" : [ [ "2017" ] ] }, "page" : "1028-1029", "publisher" : "European Association of Urology", "title" : "Hyperpolarized 1-[13C]-Pyruvate Magnetic Resonance Imaging Detects an Early Metabolic Response to Androgen Ablation Therapy in Prostate Cancer", "type" : "article-journal", "volume" : "72" }, "uris" : [ "http://www.mendeley.com/documents/?uuid=880c88a1-e1d2-442f-bbc4-93bfb3ff2871", "http://www.mendeley.com/documents/?uuid=66279a55-728b-4511-82f5-306b119fb485" ] } ], "mendeley" : { "formattedCitation" : "&lt;sup&gt;34,39,42,44&lt;/sup&gt;", "plainTextFormattedCitation" : "34,39,42,44", "previouslyFormattedCitation" : "&lt;sup&gt;34,39,42,44&lt;/sup&gt;" }, "properties" : {  }, "schema" : "https://github.com/citation-style-language/schema/raw/master/csl-citation.json" }</w:instrText>
      </w:r>
      <w:r w:rsidR="006D4D5D">
        <w:fldChar w:fldCharType="separate"/>
      </w:r>
      <w:r w:rsidR="006D4D5D" w:rsidRPr="006D4D5D">
        <w:rPr>
          <w:noProof/>
          <w:vertAlign w:val="superscript"/>
        </w:rPr>
        <w:t>34,39,42,44</w:t>
      </w:r>
      <w:r w:rsidR="006D4D5D">
        <w:fldChar w:fldCharType="end"/>
      </w:r>
      <w:r w:rsidR="00B9648E" w:rsidRPr="000D72AC">
        <w:t xml:space="preserve"> </w:t>
      </w:r>
      <w:r>
        <w:t xml:space="preserve">An exciting area for future research is how </w:t>
      </w:r>
      <w:r w:rsidR="007D3173">
        <w:t xml:space="preserve">changes in metabolism measured </w:t>
      </w:r>
      <w:r w:rsidR="0076466C">
        <w:t>by</w:t>
      </w:r>
      <w:r w:rsidR="007D3173">
        <w:t xml:space="preserve"> </w:t>
      </w:r>
      <w:r w:rsidRPr="000D72AC">
        <w:t xml:space="preserve">HP </w:t>
      </w:r>
      <w:r w:rsidRPr="000D72AC">
        <w:rPr>
          <w:vertAlign w:val="superscript"/>
        </w:rPr>
        <w:t>13</w:t>
      </w:r>
      <w:r w:rsidRPr="000D72AC">
        <w:t xml:space="preserve">C-MRSI </w:t>
      </w:r>
      <w:r w:rsidR="00B9648E">
        <w:t>following treatment</w:t>
      </w:r>
      <w:r>
        <w:t xml:space="preserve"> relate to circulating</w:t>
      </w:r>
      <w:r w:rsidR="00480255">
        <w:t xml:space="preserve"> </w:t>
      </w:r>
      <w:r w:rsidR="00B9648E">
        <w:t xml:space="preserve">tumour </w:t>
      </w:r>
      <w:r w:rsidR="00480255">
        <w:t xml:space="preserve">biomarkers such as </w:t>
      </w:r>
      <w:r>
        <w:t>cell-free</w:t>
      </w:r>
      <w:r w:rsidR="00480255">
        <w:t xml:space="preserve"> DNA</w:t>
      </w:r>
      <w:r w:rsidR="00AE6CAC">
        <w:fldChar w:fldCharType="begin" w:fldLock="1"/>
      </w:r>
      <w:r w:rsidR="006D4D5D">
        <w:instrText>ADDIN CSL_CITATION { "citationItems" : [ { "id" : "ITEM-1", "itemData" : { "DOI" : "10.1126/scitranslmed.3007094.Detection", "ISBN" : "1946-6242 (Electronic)\\r1946-6234 (Linking)", "ISSN" : "1946-6234", "PMID" : "24553385", "abstract" : "The development of noninvasive methods to detect and monitor tumors continues to be a major challenge in oncology. We used digital polymerase chain reaction\u2013based technologies to evaluate the ability of circulating tumor DNA (ctDNA) to detect tumors in 640 patients with various cancer types. We found that ctDNA was detectable in &gt;75% of patients with advanced pancreatic, ovarian, colorectal, bladder, gastroesophageal, breast, melanoma, hepatocellular, and head and neck cancers, but in less than 50% of primary brain, renal, prostate, or thyroid cancers. In patients with localized tumors, ctDNA was detected in 73, 57, 48, and 50% of patients with colorectal cancer, gastroesophageal cancer, pancreatic cancer, and breast adenocarcinoma, respectively. ctDNA was often present in patients without detectable circulating tumor cells, suggesting that these two biomarkers are distinct entities. In a separate panel of 206 patients with metastatic colorectal cancers, we showed that the sensitivity of ctDNA for detection of clinically relevant KRAS gene mutations was 87.2% and its specificity was 99.2%. Finally, we assessed whether ctDNA could provide clues into the mechanisms underlying resistance to epidermal growth factor receptor blockade in 24 patients who objectively responded to therapy but subsequently relapsed. Twenty-three (96%) of these patients developed one or more mutations in genes involved in the mitogen-activated protein kinase pathway. Together, these data suggest that ctDNA is a broadly applicable, sensitive, and specific biomarker that can be used for a variety of clinical and research purposes in patients with multiple different types of cancer.", "author" : [ { "dropping-particle" : "", "family" : "Bettegowda", "given" : "Chetan", "non-dropping-particle" : "", "parse-names" : false, "suffix" : "" }, { "dropping-particle" : "", "family" : "Sausen", "given" : "Mark", "non-dropping-particle" : "", "parse-names" : false, "suffix" : "" }, { "dropping-particle" : "", "family" : "Leary", "given" : "Rebecca J", "non-dropping-particle" : "", "parse-names" : false, "suffix" : "" }, { "dropping-particle" : "", "family" : "Kinde", "given" : "Isaac", "non-dropping-particle" : "", "parse-names" : false, "suffix" : "" }, { "dropping-particle" : "", "family" : "Wang", "given" : "Yuxuan", "non-dropping-particle" : "", "parse-names" : false, "suffix" : "" }, { "dropping-particle" : "", "family" : "Agrawal", "given" : "Nishant", "non-dropping-particle" : "", "parse-names" : false, "suffix" : "" }, { "dropping-particle" : "", "family" : "Bartlett", "given" : "Bjarne R", "non-dropping-particle" : "", "parse-names" : false, "suffix" : "" }, { "dropping-particle" : "", "family" : "Wang", "given" : "Hao", "non-dropping-particle" : "", "parse-names" : false, "suffix" : "" }, { "dropping-particle" : "", "family" : "Luber", "given" : "Brandon", "non-dropping-particle" : "", "parse-names" : false, "suffix" : "" }, { "dropping-particle" : "", "family" : "Alani", "given" : "Rhoda M", "non-dropping-particle" : "", "parse-names" : false, "suffix" : "" }, { "dropping-particle" : "", "family" : "Antonarakis", "given" : "Emmanuel S", "non-dropping-particle" : "", "parse-names" : false, "suffix" : "" }, { "dropping-particle" : "", "family" : "Azad", "given" : "Nilofer S", "non-dropping-particle" : "", "parse-names" : false, "suffix" : "" }, { "dropping-particle" : "", "family" : "Bardelli", "given" : "Alberto", "non-dropping-particle" : "", "parse-names" : false, "suffix" : "" }, { "dropping-particle" : "", "family" : "Brem", "given" : "Henry", "non-dropping-particle" : "", "parse-names" : false, "suffix" : "" }, { "dropping-particle" : "", "family" : "Cameron", "given" : "John L", "non-dropping-particle" : "", "parse-names" : false, "suffix" : "" }, { "dropping-particle" : "", "family" : "Lee", "given" : "Clarence C", "non-dropping-particle" : "", "parse-names" : false, "suffix" : "" }, { "dropping-particle" : "", "family" : "Fecher", "given" : "Leslie A", "non-dropping-particle" : "", "parse-names" : false, "suffix" : "" }, { "dropping-particle" : "", "family" : "Gallia", "given" : "Gary L", "non-dropping-particle" : "", "parse-names" : false, "suffix" : "" }, { "dropping-particle" : "", "family" : "Gibbs", "given" : "Peter", "non-dropping-particle" : "", "parse-names" : false, "suffix" : "" }, { "dropping-particle" : "", "family" : "Le", "given" : "Dung", "non-dropping-particle" : "", "parse-names" : false, "suffix" : "" }, { "dropping-particle" : "", "family" : "Giuntoli", "given" : "Robert L", "non-dropping-particle" : "", "parse-names" : false, "suffix" : "" }, { "dropping-particle" : "", "family" : "Goggins", "given" : "Michael", "non-dropping-particle" : "", "parse-names" : false, "suffix" : "" }, { "dropping-particle" : "", "family" : "Hogarty", "given" : "Michael D", "non-dropping-particle" : "", "parse-names" : false, "suffix" : "" }, { "dropping-particle" : "", "family" : "Holdhoff", "given" : "Matthias", "non-dropping-particle" : "", "parse-names" : false, "suffix" : "" }, { "dropping-particle" : "", "family" : "Hong", "given" : "Seung-Mo", "non-dropping-particle" : "", "parse-names" : false, "suffix" : "" }, { "dropping-particle" : "", "family" : "Jiao", "given" : "Yuchen", "non-dropping-particle" : "", "parse-names" : false, "suffix" : "" }, { "dropping-particle" : "", "family" : "Juhl", "given" : "Hartmut H", "non-dropping-particle" : "", "parse-names" : false, "suffix" : "" }, { "dropping-particle" : "", "family" : "Kim", "given" : "Jenny J", "non-dropping-particle" : "", "parse-names" : false, "suffix" : "" }, { "dropping-particle" : "", "family" : "Siravegna", "given" : "Giulia", "non-dropping-particle" : "", "parse-names" : false, "suffix" : "" }, { "dropping-particle" : "", "family" : "Laheru", "given" : "Daniel A", "non-dropping-particle" : "", "parse-names" : false, "suffix" : "" }, { "dropping-particle" : "", "family" : "Lauricella", "given" : "Calogero", "non-dropping-particle" : "", "parse-names" : false, "suffix" : "" }, { "dropping-particle" : "", "family" : "Lim", "given" : "Michael", "non-dropping-particle" : "", "parse-names" : false, "suffix" : "" }, { "dropping-particle" : "", "family" : "Lipson", "given" : "Evan J", "non-dropping-particle" : "", "parse-names" : false, "suffix" : "" }, { "dropping-particle" : "", "family" : "Marie", "given" : "Suely Kazue Nagahashi", "non-dropping-particle" : "", "parse-names" : false, "suffix" : "" }, { "dropping-particle" : "", "family" : "Netto", "given" : "George J", "non-dropping-particle" : "", "parse-names" : false, "suffix" : "" }, { "dropping-particle" : "", "family" : "Oliner", "given" : "Kelly S", "non-dropping-particle" : "", "parse-names" : false, "suffix" : "" }, { "dropping-particle" : "", "family" : "Olivi", "given" : "Alessandro", "non-dropping-particle" : "", "parse-names" : false, "suffix" : "" }, { "dropping-particle" : "", "family" : "Olsson", "given" : "Louise", "non-dropping-particle" : "", "parse-names" : false, "suffix" : "" }, { "dropping-particle" : "", "family" : "Riggins", "given" : "Gregory J", "non-dropping-particle" : "", "parse-names" : false, "suffix" : "" }, { "dropping-particle" : "", "family" : "Sartore-Bianchi", "given" : "Andrea", "non-dropping-particle" : "", "parse-names" : false, "suffix" : "" }, { "dropping-particle" : "", "family" : "Schmidt", "given" : "Kerstin", "non-dropping-particle" : "", "parse-names" : false, "suffix" : "" }, { "dropping-particle" : "", "family" : "Shih", "given" : "le-Ming", "non-dropping-particle" : "", "parse-names" : false, "suffix" : "" }, { "dropping-particle" : "", "family" : "Oba-Shinjo", "given" : "Sueli Mieko", "non-dropping-particle" : "", "parse-names" : false, "suffix" : "" }, { "dropping-particle" : "", "family" : "Siena", "given" : "Salvatore", "non-dropping-particle" : "", "parse-names" : false, "suffix" : "" }, { "dropping-particle" : "", "family" : "Theodorescu", "given" : "Dan", "non-dropping-particle" : "", "parse-names" : false, "suffix" : "" }, { "dropping-particle" : "", "family" : "Tie", "given" : "Jeanne", "non-dropping-particle" : "", "parse-names" : false, "suffix" : "" }, { "dropping-particle" : "", "family" : "Harkins", "given" : "Timothy T", "non-dropping-particle" : "", "parse-names" : false, "suffix" : "" }, { "dropping-particle" : "", "family" : "Veronese", "given" : "Silvio", "non-dropping-particle" : "", "parse-names" : false, "suffix" : "" }, { "dropping-particle" : "", "family" : "Wang", "given" : "Tian-Li", "non-dropping-particle" : "", "parse-names" : false, "suffix" : "" }, { "dropping-particle" : "", "family" : "Weingart", "given" : "Jon D", "non-dropping-particle" : "", "parse-names" : false, "suffix" : "" }, { "dropping-particle" : "", "family" : "Wolfgang", "given" : "Christopher L", "non-dropping-particle" : "", "parse-names" : false, "suffix" : "" }, { "dropping-particle" : "", "family" : "Wood", "given" : "Laura D", "non-dropping-particle" : "", "parse-names" : false, "suffix" : "" }, { "dropping-particle" : "", "family" : "Xing", "given" : "Dongmei", "non-dropping-particle" : "", "parse-names" : false, "suffix" : "" }, { "dropping-particle" : "", "family" : "Hruban", "given" : "Ralph H", "non-dropping-particle" : "", "parse-names" : false, "suffix" : "" }, { "dropping-particle" : "", "family" : "Wu", "given" : "Jian", "non-dropping-particle" : "", "parse-names" : false, "suffix" : "" }, { "dropping-particle" : "", "family" : "Allen", "given" : "Peter J", "non-dropping-particle" : "", "parse-names" : false, "suffix" : "" }, { "dropping-particle" : "", "family" : "Schmidt", "given" : "C Max", "non-dropping-particle" : "", "parse-names" : false, "suffix" : "" }, { "dropping-particle" : "", "family" : "Choti", "given" : "Michael A", "non-dropping-particle" : "", "parse-names" : false, "suffix" : "" }, { "dropping-particle" : "", "family" : "Velculescu", "given" : "Victor E", "non-dropping-particle" : "", "parse-names" : false, "suffix" : "" }, { "dropping-particle" : "", "family" : "Kinzler", "given" : "Kenneth W", "non-dropping-particle" : "", "parse-names" : false, "suffix" : "" }, { "dropping-particle" : "", "family" : "Vogelstein", "given" : "Bert", "non-dropping-particle" : "", "parse-names" : false, "suffix" : "" }, { "dropping-particle" : "", "family" : "Papadopoulos", "given" : "Nickolas", "non-dropping-particle" : "", "parse-names" : false, "suffix" : "" }, { "dropping-particle" : "", "family" : "Diaz", "given" : "Luis A", "non-dropping-particle" : "", "parse-names" : false, "suffix" : "" }, { "dropping-particle" : "", "family" : "Jr.", "given" : "", "non-dropping-particle" : "", "parse-names" : false, "suffix" : "" }, { "dropping-particle" : "", "family" : "Manuscript", "given" : "Author", "non-dropping-particle" : "", "parse-names" : false, "suffix" : "" }, { "dropping-particle" : "", "family" : "Malignancies", "given" : "Human", "non-dropping-particle" : "", "parse-names" : false, "suffix" : "" } ], "container-title" : "Sci Transl Med", "id" : "ITEM-1", "issue" : "224", "issued" : { "date-parts" : [ [ "2014" ] ] }, "page" : "224ra24", "title" : "Detection of Circulating Tumor DNA in Early- and Late-Stage Human Malignancies", "type" : "article-journal", "volume" : "6" }, "uris" : [ "http://www.mendeley.com/documents/?uuid=5dbf8459-6b81-4ed9-8f99-49059060b85d", "http://www.mendeley.com/documents/?uuid=f0c3935b-b113-4218-b2a3-55302b9dcfe3" ] }, { "id" : "ITEM-2", "itemData" : { "DOI" : "10.1056/NEJMc1306040", "ISBN" : "0028-4793", "ISSN" : "0028-4793", "PMID" : "23484797", "abstract" : "The management of metastatic breast cancer requires monitoring of the tumor burden to determine the response to treatment, and improved biomarkers are needed. Biomarkers such as cancer antigen 15-3 (CA 15-3) and circulating tumor cells have been widely studied. However, circulating cell-free DNA carrying tumor-specific alterations (circulating tumor DNA) has not been extensively investigated or com- pared with other circulating biomarkers in breast cancer. Methods We compared the radiographic imaging of tumors with the assay of circulating tumor DNA, CA 15-3, and circulating tumor cells in 30 women with metastatic breast cancer who were receiving systemic therapy. We used targeted or whole-genome sequencing to identify somatic genomic alterations and designed personalized assays to quantify circulating tumor DNA in serially collected plasma specimens. CA 15-3 levels and numbers of circulating tumor cells were measured at identical time points. Results Circulating tumor DNA was successfully detected in 29 of the 30 women (97%) in whom somatic genomic alterations were identified; CA 15-3 and circulating tumor cells were detected in 21 of 27 women (78%) and 26 of 30 women (87%), respec- tively. Circulating tumor DNA levels showed a greater dynamic range, and greater correlation with changes in tumor burden, than did CA 15-3 or circulating tumor cells. Among the measures tested, circulating tumor DNA provided the earliest measure of treatment response in 10 of 19 women (53%). Conclusions This proof-of-concept analysis showed that circulating tumor DNA is an informa- tive, inherently specific, and highly sensitive biomarker of metastatic breast cancer. (Funded by Cancer Research UK and others.)", "author" : [ { "dropping-particle" : "", "family" : "Dawson", "given" : "Sarah-Jane", "non-dropping-particle" : "", "parse-names" : false, "suffix" : "" }, { "dropping-particle" : "", "family" : "Tsui", "given" : "Dana W.Y.", "non-dropping-particle" : "", "parse-names" : false, "suffix" : "" }, { "dropping-particle" : "", "family" : "Murtaza", "given" : "Muhammed", "non-dropping-particle" : "", "parse-names" : false, "suffix" : "" }, { "dropping-particle" : "", "family" : "Biggs", "given" : "Heather", "non-dropping-particle" : "", "parse-names" : false, "suffix" : "" }, { "dropping-particle" : "", "family" : "Rueda", "given" : "Oscar M.", "non-dropping-particle" : "", "parse-names" : false, "suffix" : "" }, { "dropping-particle" : "", "family" : "Chin", "given" : "Suet-Feung", "non-dropping-particle" : "", "parse-names" : false, "suffix" : "" }, { "dropping-particle" : "", "family" : "Dunning", "given" : "Mark J.", "non-dropping-particle" : "", "parse-names" : false, "suffix" : "" }, { "dropping-particle" : "", "family" : "Gale", "given" : "Davina", "non-dropping-particle" : "", "parse-names" : false, "suffix" : "" }, { "dropping-particle" : "", "family" : "Tim Forshew", "given" : "", "non-dropping-particle" : "", "parse-names" : false, "suffix" : "" }, { "dropping-particle" : "", "family" : "Mahler-Araujo", "given" : "Betania", "non-dropping-particle" : "", "parse-names" : false, "suffix" : "" }, { "dropping-particle" : "", "family" : "Rajan", "given" : "Sabrina", "non-dropping-particle" : "", "parse-names" : false, "suffix" : "" }, { "dropping-particle" : "", "family" : "Humphray", "given" : "Sean", "non-dropping-particle" : "", "parse-names" : false, "suffix" : "" }, { "dropping-particle" : "", "family" : "Becq", "given" : "Jennifer", "non-dropping-particle" : "", "parse-names" : false, "suffix" : "" }, { "dropping-particle" : "", "family" : "Halsall", "given" : "David", "non-dropping-particle" : "", "parse-names" : false, "suffix" : "" }, { "dropping-particle" : "", "family" : "Wallis", "given" : "Matthew", "non-dropping-particle" : "", "parse-names" : false, "suffix" : "" }, { "dropping-particle" : "", "family" : "Bentley", "given" : "David", "non-dropping-particle" : "", "parse-names" : false, "suffix" : "" }, { "dropping-particle" : "", "family" : "Caldas", "given" : "Carlos", "non-dropping-particle" : "", "parse-names" : false, "suffix" : "" }, { "dropping-particle" : "", "family" : "Rosenfeld", "given" : "Nitzan", "non-dropping-particle" : "", "parse-names" : false, "suffix" : "" } ], "container-title" : "N. Engl. J. Med.", "id" : "ITEM-2", "issue" : "1", "issued" : { "date-parts" : [ [ "2013" ] ] }, "page" : "1199-209", "title" : "Analysis of Circulating Tumor DNA to Monitor Metastatic Breast Cancer", "type" : "article-journal", "volume" : "368" }, "uris" : [ "http://www.mendeley.com/documents/?uuid=d1b5a030-5887-4a63-ba57-2e8c265ad6dc", "http://www.mendeley.com/documents/?uuid=0ff2f8b0-d803-42de-a0dc-0db9669b084f" ] } ], "mendeley" : { "formattedCitation" : "&lt;sup&gt;45,46&lt;/sup&gt;", "plainTextFormattedCitation" : "45,46", "previouslyFormattedCitation" : "&lt;sup&gt;45,46&lt;/sup&gt;" }, "properties" : {  }, "schema" : "https://github.com/citation-style-language/schema/raw/master/csl-citation.json" }</w:instrText>
      </w:r>
      <w:r w:rsidR="00AE6CAC">
        <w:fldChar w:fldCharType="separate"/>
      </w:r>
      <w:r w:rsidR="006D4D5D" w:rsidRPr="006D4D5D">
        <w:rPr>
          <w:noProof/>
          <w:vertAlign w:val="superscript"/>
        </w:rPr>
        <w:t>45,46</w:t>
      </w:r>
      <w:r w:rsidR="00AE6CAC">
        <w:fldChar w:fldCharType="end"/>
      </w:r>
      <w:r>
        <w:t xml:space="preserve">, as this would increase the ability to non-invasively interrogate tumour activity and responses to therapies, and spare patients </w:t>
      </w:r>
      <w:r w:rsidR="00943C24">
        <w:t xml:space="preserve">the complications associated with </w:t>
      </w:r>
      <w:r>
        <w:t>serial biopsies.</w:t>
      </w:r>
      <w:r w:rsidRPr="000D72AC">
        <w:t xml:space="preserve"> </w:t>
      </w:r>
      <w:r>
        <w:t xml:space="preserve">Potentially, HP </w:t>
      </w:r>
      <w:r w:rsidRPr="00167FBE">
        <w:rPr>
          <w:vertAlign w:val="superscript"/>
        </w:rPr>
        <w:t>13</w:t>
      </w:r>
      <w:r>
        <w:t xml:space="preserve">C-MRSI may provide a specific </w:t>
      </w:r>
      <w:proofErr w:type="spellStart"/>
      <w:r w:rsidR="00943C24">
        <w:t>pharmacodynamic</w:t>
      </w:r>
      <w:proofErr w:type="spellEnd"/>
      <w:r w:rsidR="00943C24">
        <w:t xml:space="preserve"> downstream</w:t>
      </w:r>
      <w:r>
        <w:t xml:space="preserve"> imaging biomarker </w:t>
      </w:r>
      <w:r w:rsidR="00943C24">
        <w:t>of both</w:t>
      </w:r>
      <w:r>
        <w:t xml:space="preserve"> conventional and novel agents, </w:t>
      </w:r>
      <w:r w:rsidR="007D3173">
        <w:t xml:space="preserve">and </w:t>
      </w:r>
      <w:r w:rsidR="00943C24">
        <w:t xml:space="preserve">could also be used to detect </w:t>
      </w:r>
      <w:r>
        <w:t xml:space="preserve">early changes </w:t>
      </w:r>
      <w:r w:rsidR="00943C24">
        <w:t>following</w:t>
      </w:r>
      <w:r>
        <w:t xml:space="preserve"> therap</w:t>
      </w:r>
      <w:r w:rsidR="00943C24">
        <w:t>y</w:t>
      </w:r>
      <w:r>
        <w:t xml:space="preserve"> </w:t>
      </w:r>
      <w:r w:rsidR="00943C24">
        <w:t>which</w:t>
      </w:r>
      <w:r>
        <w:t xml:space="preserve"> </w:t>
      </w:r>
      <w:r w:rsidR="007D3173">
        <w:t>are</w:t>
      </w:r>
      <w:r>
        <w:t xml:space="preserve"> predictive of </w:t>
      </w:r>
      <w:r w:rsidR="00AF72CC">
        <w:t>long-term</w:t>
      </w:r>
      <w:r w:rsidR="00943C24">
        <w:t xml:space="preserve"> </w:t>
      </w:r>
      <w:r>
        <w:t xml:space="preserve">response. This could therefore provide a novel non-invasive precision medicine approach to drug development, permitting early cessation of </w:t>
      </w:r>
      <w:r w:rsidR="00943C24">
        <w:t xml:space="preserve">ineffective </w:t>
      </w:r>
      <w:r>
        <w:t>drugs and providing a cost saving in terms of patient time and toxicities</w:t>
      </w:r>
      <w:r w:rsidR="00B9648E">
        <w:t xml:space="preserve">. </w:t>
      </w:r>
    </w:p>
    <w:p w14:paraId="561A658D" w14:textId="77777777" w:rsidR="00F6642A" w:rsidRPr="00167FBE" w:rsidRDefault="00F6642A" w:rsidP="001B4024">
      <w:pPr>
        <w:spacing w:line="360" w:lineRule="auto"/>
        <w:jc w:val="both"/>
      </w:pPr>
    </w:p>
    <w:p w14:paraId="545B2294" w14:textId="005C4255" w:rsidR="00221380" w:rsidRPr="00F6642A" w:rsidRDefault="00DE398B" w:rsidP="001B4024">
      <w:pPr>
        <w:spacing w:line="360" w:lineRule="auto"/>
        <w:jc w:val="both"/>
        <w:rPr>
          <w:b/>
        </w:rPr>
      </w:pPr>
      <w:r>
        <w:rPr>
          <w:b/>
        </w:rPr>
        <w:t>The f</w:t>
      </w:r>
      <w:r w:rsidR="00F6642A" w:rsidRPr="00F6642A">
        <w:rPr>
          <w:b/>
        </w:rPr>
        <w:t xml:space="preserve">uture </w:t>
      </w:r>
      <w:r>
        <w:rPr>
          <w:b/>
        </w:rPr>
        <w:t>of the technique</w:t>
      </w:r>
    </w:p>
    <w:p w14:paraId="49C23AFA" w14:textId="123A5728" w:rsidR="00C65D6C" w:rsidRPr="00C65D6C" w:rsidRDefault="00964845" w:rsidP="00C65D6C">
      <w:pPr>
        <w:spacing w:line="360" w:lineRule="auto"/>
        <w:jc w:val="both"/>
        <w:rPr>
          <w:i/>
        </w:rPr>
      </w:pPr>
      <w:r>
        <w:rPr>
          <w:i/>
        </w:rPr>
        <w:t>MRI h</w:t>
      </w:r>
      <w:r w:rsidR="00C65D6C" w:rsidRPr="00C65D6C">
        <w:rPr>
          <w:i/>
        </w:rPr>
        <w:t>ardware</w:t>
      </w:r>
      <w:r w:rsidR="00DE398B">
        <w:rPr>
          <w:i/>
        </w:rPr>
        <w:t xml:space="preserve"> </w:t>
      </w:r>
      <w:r>
        <w:rPr>
          <w:i/>
        </w:rPr>
        <w:t>d</w:t>
      </w:r>
      <w:r w:rsidR="00DE398B">
        <w:rPr>
          <w:i/>
        </w:rPr>
        <w:t>evelopments</w:t>
      </w:r>
      <w:r>
        <w:rPr>
          <w:i/>
        </w:rPr>
        <w:t xml:space="preserve"> for hyperpolari</w:t>
      </w:r>
      <w:r w:rsidR="00030E78">
        <w:rPr>
          <w:i/>
        </w:rPr>
        <w:t>s</w:t>
      </w:r>
      <w:r>
        <w:rPr>
          <w:i/>
        </w:rPr>
        <w:t>ation</w:t>
      </w:r>
    </w:p>
    <w:p w14:paraId="2C40FD31" w14:textId="31FBF5D6" w:rsidR="00885834" w:rsidRDefault="007A29F9" w:rsidP="00885834">
      <w:pPr>
        <w:spacing w:line="360" w:lineRule="auto"/>
        <w:jc w:val="both"/>
      </w:pPr>
      <w:r>
        <w:t xml:space="preserve">Despite the large increase in signal-to-noise that is generated by DNP, </w:t>
      </w:r>
      <w:r w:rsidR="00CD43AD">
        <w:t xml:space="preserve">both </w:t>
      </w:r>
      <w:r w:rsidR="007D3173">
        <w:t xml:space="preserve">the </w:t>
      </w:r>
      <w:r w:rsidR="00CD43AD">
        <w:t xml:space="preserve">hardware and acquisition sequences </w:t>
      </w:r>
      <w:r w:rsidR="00B5400A">
        <w:t>required</w:t>
      </w:r>
      <w:r w:rsidR="007D3173">
        <w:t xml:space="preserve"> </w:t>
      </w:r>
      <w:proofErr w:type="gramStart"/>
      <w:r w:rsidR="007D3173">
        <w:t>have</w:t>
      </w:r>
      <w:r w:rsidR="00CD43AD">
        <w:t xml:space="preserve"> to</w:t>
      </w:r>
      <w:proofErr w:type="gramEnd"/>
      <w:r w:rsidR="00CD43AD">
        <w:t xml:space="preserve"> be optimised to avail of this</w:t>
      </w:r>
      <w:r w:rsidR="007D3173">
        <w:t xml:space="preserve"> increased signal</w:t>
      </w:r>
      <w:r w:rsidR="00DA1246">
        <w:t>.</w:t>
      </w:r>
      <w:r w:rsidR="00CD43AD">
        <w:t xml:space="preserve"> Dedicated </w:t>
      </w:r>
      <w:r w:rsidR="00CD43AD" w:rsidRPr="000405FA">
        <w:rPr>
          <w:vertAlign w:val="superscript"/>
        </w:rPr>
        <w:t>13</w:t>
      </w:r>
      <w:r w:rsidR="00CD43AD">
        <w:t>C coils</w:t>
      </w:r>
      <w:r w:rsidR="00DA1246">
        <w:t xml:space="preserve"> </w:t>
      </w:r>
      <w:r w:rsidR="00CD43AD">
        <w:t xml:space="preserve">are needed for the technology: </w:t>
      </w:r>
      <w:r w:rsidR="00CD7A0A" w:rsidRPr="00CD7A0A">
        <w:t xml:space="preserve">current research being undertaken aims to optimize coil design and pulse </w:t>
      </w:r>
      <w:r w:rsidR="0076466C">
        <w:t xml:space="preserve">sequences </w:t>
      </w:r>
      <w:r w:rsidR="00CD7A0A" w:rsidRPr="00CD7A0A">
        <w:t xml:space="preserve">to maximize the signal acquired. </w:t>
      </w:r>
      <w:r w:rsidR="005615E8">
        <w:t>For example, the use of multiple</w:t>
      </w:r>
      <w:r w:rsidR="00047C50">
        <w:t>-channel</w:t>
      </w:r>
      <w:r w:rsidR="005615E8">
        <w:t xml:space="preserve"> coil arrays can enable parallel imaging techniques to accelerate </w:t>
      </w:r>
      <w:r w:rsidR="00047C50">
        <w:t xml:space="preserve">acquisition </w:t>
      </w:r>
      <w:r w:rsidR="0076466C">
        <w:t xml:space="preserve">while </w:t>
      </w:r>
      <w:r w:rsidR="00047C50">
        <w:t>retain</w:t>
      </w:r>
      <w:r w:rsidR="0076466C">
        <w:t>ing</w:t>
      </w:r>
      <w:r w:rsidR="00047C50">
        <w:t xml:space="preserve"> sensitivity.</w:t>
      </w:r>
      <w:r w:rsidR="00564C91">
        <w:fldChar w:fldCharType="begin" w:fldLock="1"/>
      </w:r>
      <w:r w:rsidR="006D4D5D">
        <w:instrText>ADDIN CSL_CITATION { "citationItems" : [ { "id" : "ITEM-1", "itemData" : { "DOI" : "10.1016/j.jmr.2010.10.007", "ISSN" : "10907807", "PMID" : "21130012", "abstract" : "We report metabolic images of (13)C, following injection of a bolus of hyperpolarized [1-(13)C] pyruvate in a live rat. The data were acquired on a clinical scanner, using custom coils for volume transmission and array reception. Proton blocking of all carbon resonators enabled proton anatomic imaging with the system body coil, to allow for registration of anatomic and metabolic images, for which good correlation was achieved, with some anatomic features (kidney and heart) clearly visible in a carbon image, without reference to the corresponding proton image. Parallel imaging with sensitivity encoding was used to increase the spatial resolution in the SI direction of the rat. The signal to noise ratio in was in some instances unexpectedly high in the parallel images; variability of the polarization among different trials, plus partial volume effects, are noted as a possible cause of this.", "author" : [ { "dropping-particle" : "", "family" : "Tropp", "given" : "James", "non-dropping-particle" : "", "parse-names" : false, "suffix" : "" }, { "dropping-particle" : "", "family" : "Lupo", "given" : "Janine M.", "non-dropping-particle" : "", "parse-names" : false, "suffix" : "" }, { "dropping-particle" : "", "family" : "Chen", "given" : "Albert", "non-dropping-particle" : "", "parse-names" : false, "suffix" : "" }, { "dropping-particle" : "", "family" : "Calderon", "given" : "Paul", "non-dropping-particle" : "", "parse-names" : false, "suffix" : "" }, { "dropping-particle" : "", "family" : "McCune", "given" : "Don", "non-dropping-particle" : "", "parse-names" : false, "suffix" : "" }, { "dropping-particle" : "", "family" : "Grafendorfer", "given" : "Thomas", "non-dropping-particle" : "", "parse-names" : false, "suffix" : "" }, { "dropping-particle" : "", "family" : "Ozturk-Isik", "given" : "Esin", "non-dropping-particle" : "", "parse-names" : false, "suffix" : "" }, { "dropping-particle" : "", "family" : "Larson", "given" : "Peder E.Z.", "non-dropping-particle" : "", "parse-names" : false, "suffix" : "" }, { "dropping-particle" : "", "family" : "Hu", "given" : "Simon", "non-dropping-particle" : "", "parse-names" : false, "suffix" : "" }, { "dropping-particle" : "", "family" : "Yen", "given" : "Yi-Fen", "non-dropping-particle" : "", "parse-names" : false, "suffix" : "" }, { "dropping-particle" : "", "family" : "Robb", "given" : "Fraser", "non-dropping-particle" : "", "parse-names" : false, "suffix" : "" }, { "dropping-particle" : "", "family" : "Bok", "given" : "Robert", "non-dropping-particle" : "", "parse-names" : false, "suffix" : "" }, { "dropping-particle" : "", "family" : "Schulte", "given" : "Rolf", "non-dropping-particle" : "", "parse-names" : false, "suffix" : "" }, { "dropping-particle" : "", "family" : "Xu", "given" : "Duan", "non-dropping-particle" : "", "parse-names" : false, "suffix" : "" }, { "dropping-particle" : "", "family" : "Hurd", "given" : "Ralph", "non-dropping-particle" : "", "parse-names" : false, "suffix" : "" }, { "dropping-particle" : "", "family" : "Vigneron", "given" : "Daniel", "non-dropping-particle" : "", "parse-names" : false, "suffix" : "" }, { "dropping-particle" : "", "family" : "Nelson", "given" : "Sarah", "non-dropping-particle" : "", "parse-names" : false, "suffix" : "" } ], "container-title" : "Journal of Magnetic Resonance", "id" : "ITEM-1", "issue" : "1", "issued" : { "date-parts" : [ [ "2011", "1" ] ] }, "page" : "171-177", "title" : "Multi-channel metabolic imaging, with SENSE reconstruction, of hyperpolarized [1-13C] pyruvate in a live rat at 3.0tesla on a clinical MR scanner", "type" : "article-journal", "volume" : "208" }, "uris" : [ "http://www.mendeley.com/documents/?uuid=fc783d35-8642-31c0-b1cb-807ad56b98a3" ] } ], "mendeley" : { "formattedCitation" : "&lt;sup&gt;47&lt;/sup&gt;", "plainTextFormattedCitation" : "47", "previouslyFormattedCitation" : "&lt;sup&gt;47&lt;/sup&gt;" }, "properties" : {  }, "schema" : "https://github.com/citation-style-language/schema/raw/master/csl-citation.json" }</w:instrText>
      </w:r>
      <w:r w:rsidR="00564C91">
        <w:fldChar w:fldCharType="separate"/>
      </w:r>
      <w:r w:rsidR="006D4D5D" w:rsidRPr="006D4D5D">
        <w:rPr>
          <w:noProof/>
          <w:vertAlign w:val="superscript"/>
        </w:rPr>
        <w:t>47</w:t>
      </w:r>
      <w:r w:rsidR="00564C91">
        <w:fldChar w:fldCharType="end"/>
      </w:r>
      <w:r w:rsidR="00047C50">
        <w:t xml:space="preserve"> </w:t>
      </w:r>
      <w:proofErr w:type="spellStart"/>
      <w:r w:rsidR="00047C50">
        <w:t>Calibrationless</w:t>
      </w:r>
      <w:proofErr w:type="spellEnd"/>
      <w:r w:rsidR="00047C50">
        <w:t xml:space="preserve"> methods have been shown to overcome the limitations of the short-lived hyperpolarized species in this context.</w:t>
      </w:r>
      <w:r w:rsidR="00366D68">
        <w:fldChar w:fldCharType="begin" w:fldLock="1"/>
      </w:r>
      <w:r w:rsidR="006D4D5D">
        <w:instrText>ADDIN CSL_CITATION { "citationItems" : [ { "id" : "ITEM-1", "itemData" : { "DOI" : "10.1016/j.jmr.2015.10.018", "ISSN" : "10907807", "PMID" : "26679288", "abstract" : "A calibrationless parallel imaging technique developed previously for (1)H MRI was modified and tested for hyperpolarized (13)C MRI for applications requiring large FOV and high spatial resolution. The technique was demonstrated with both retrospective and prospective under-sampled data acquired in phantom and in vivo rat studies. A 2-fold acceleration was achieved using a 2D symmetric EPI readout equipped with random blips on the phase encode dimension. Reconstructed images showed excellent qualitative agreement with fully sampled data. Further acceleration can be achieved using acquisition schemes that incorporate multi-dimensional under-sampling.", "author" : [ { "dropping-particle" : "", "family" : "Feng", "given" : "Yesu", "non-dropping-particle" : "", "parse-names" : false, "suffix" : "" }, { "dropping-particle" : "", "family" : "Gordon", "given" : "Jeremy W.", "non-dropping-particle" : "", "parse-names" : false, "suffix" : "" }, { "dropping-particle" : "", "family" : "Shin", "given" : "Peter J.", "non-dropping-particle" : "", "parse-names" : false, "suffix" : "" }, { "dropping-particle" : "", "family" : "Morze", "given" : "Cornelius", "non-dropping-particle" : "von", "parse-names" : false, "suffix" : "" }, { "dropping-particle" : "", "family" : "Lustig", "given" : "Michael", "non-dropping-particle" : "", "parse-names" : false, "suffix" : "" }, { "dropping-particle" : "", "family" : "Larson", "given" : "Peder E.Z.", "non-dropping-particle" : "", "parse-names" : false, "suffix" : "" }, { "dropping-particle" : "", "family" : "Ohliger", "given" : "Michael A.", "non-dropping-particle" : "", "parse-names" : false, "suffix" : "" }, { "dropping-particle" : "", "family" : "Carvajal", "given" : "Lucas", "non-dropping-particle" : "", "parse-names" : false, "suffix" : "" }, { "dropping-particle" : "", "family" : "Tropp", "given" : "James", "non-dropping-particle" : "", "parse-names" : false, "suffix" : "" }, { "dropping-particle" : "", "family" : "Pauly", "given" : "John M.", "non-dropping-particle" : "", "parse-names" : false, "suffix" : "" }, { "dropping-particle" : "", "family" : "Vigneron", "given" : "Daniel B.", "non-dropping-particle" : "", "parse-names" : false, "suffix" : "" } ], "container-title" : "Journal of Magnetic Resonance", "id" : "ITEM-1", "issued" : { "date-parts" : [ [ "2016", "1" ] ] }, "page" : "1-7", "title" : "Development and testing of hyperpolarized 13C MR calibrationless parallel imaging", "type" : "article-journal", "volume" : "262" }, "uris" : [ "http://www.mendeley.com/documents/?uuid=8fe20600-c4ae-381a-b1d7-b7f3d5b82c3f" ] } ], "mendeley" : { "formattedCitation" : "&lt;sup&gt;48&lt;/sup&gt;", "plainTextFormattedCitation" : "48", "previouslyFormattedCitation" : "&lt;sup&gt;48&lt;/sup&gt;" }, "properties" : {  }, "schema" : "https://github.com/citation-style-language/schema/raw/master/csl-citation.json" }</w:instrText>
      </w:r>
      <w:r w:rsidR="00366D68">
        <w:fldChar w:fldCharType="separate"/>
      </w:r>
      <w:r w:rsidR="006D4D5D" w:rsidRPr="006D4D5D">
        <w:rPr>
          <w:noProof/>
          <w:vertAlign w:val="superscript"/>
        </w:rPr>
        <w:t>48</w:t>
      </w:r>
      <w:r w:rsidR="00366D68">
        <w:fldChar w:fldCharType="end"/>
      </w:r>
    </w:p>
    <w:p w14:paraId="3FE01347" w14:textId="77777777" w:rsidR="00885834" w:rsidRPr="000D72AC" w:rsidRDefault="00885834" w:rsidP="00885834">
      <w:pPr>
        <w:spacing w:line="360" w:lineRule="auto"/>
        <w:jc w:val="both"/>
      </w:pPr>
    </w:p>
    <w:p w14:paraId="4A211761" w14:textId="7016E18E" w:rsidR="007631FC" w:rsidRPr="00C65D6C" w:rsidRDefault="00911968" w:rsidP="00C65D6C">
      <w:pPr>
        <w:spacing w:line="360" w:lineRule="auto"/>
        <w:jc w:val="both"/>
      </w:pPr>
      <w:r>
        <w:t>T</w:t>
      </w:r>
      <w:r w:rsidR="00C65D6C" w:rsidRPr="00C65D6C">
        <w:t xml:space="preserve">here have been </w:t>
      </w:r>
      <w:r>
        <w:t>several different</w:t>
      </w:r>
      <w:r w:rsidRPr="00C65D6C">
        <w:t xml:space="preserve"> </w:t>
      </w:r>
      <w:r w:rsidR="00C65D6C" w:rsidRPr="00C65D6C">
        <w:t xml:space="preserve">imaging schemes proposed for the acquisition of hyperpolarized </w:t>
      </w:r>
      <w:r w:rsidR="00C65D6C" w:rsidRPr="0053203C">
        <w:rPr>
          <w:vertAlign w:val="superscript"/>
        </w:rPr>
        <w:t>13</w:t>
      </w:r>
      <w:r w:rsidR="00C65D6C" w:rsidRPr="00C65D6C">
        <w:t>C data</w:t>
      </w:r>
      <w:r w:rsidR="00643F47">
        <w:t>.</w:t>
      </w:r>
      <w:r w:rsidR="00CC1B5F">
        <w:fldChar w:fldCharType="begin" w:fldLock="1"/>
      </w:r>
      <w:r w:rsidR="006D4D5D">
        <w:instrText>ADDIN CSL_CITATION { "citationItems" : [ { "id" : "ITEM-1", "itemData" : { "DOI" : "10.1016/j.jmr.2013.12.013.In", "author" : [ { "dropping-particle" : "", "family" : "Schmidt", "given" : "Rita", "non-dropping-particle" : "", "parse-names" : false, "suffix" : "" }, { "dropping-particle" : "", "family" : "Laustsen", "given" : "Christoffer", "non-dropping-particle" : "", "parse-names" : false, "suffix" : "" }, { "dropping-particle" : "", "family" : "Jean-Nicolas", "given" : "Dumez", "non-dropping-particle" : "", "parse-names" : false, "suffix" : "" }, { "dropping-particle" : "", "family" : "Kettunen", "given" : "Mikko I.", "non-dropping-particle" : "", "parse-names" : false, "suffix" : "" }, { "dropping-particle" : "", "family" : "Serrao", "given" : "Eva M.", "non-dropping-particle" : "", "parse-names" : false, "suffix" : "" }, { "dropping-particle" : "", "family" : "Marco-Rius", "given" : "Irene", "non-dropping-particle" : "", "parse-names" : false, "suffix" : "" }, { "dropping-particle" : "", "family" : "Brindle", "given" : "Kevin M.", "non-dropping-particle" : "", "parse-names" : false, "suffix" : "" }, { "dropping-particle" : "", "family" : "Ardenkjaer-Larsen", "given" : "Jan Henrik", "non-dropping-particle" : "", "parse-names" : false, "suffix" : "" }, { "dropping-particle" : "", "family" : "Frydman", "given" : "Lucio", "non-dropping-particle" : "", "parse-names" : false, "suffix" : "" } ], "container-title" : "Journal of Magnetic Resonance", "id" : "ITEM-1", "issue" : "2", "issued" : { "date-parts" : [ [ "2008" ] ] }, "page" : "89-96", "title" : "In vivo single-shot 13 C spectroscopic imaging of hyperpolarized metabolites by spatiotemporal encoding", "type" : "article-journal", "volume" : "3" }, "uris" : [ "http://www.mendeley.com/documents/?uuid=90f1e82a-9e2c-4a41-b7dc-3a7fce1647a1" ] }, { "id" : "ITEM-2", "itemData" : { "DOI" : "10.1002/nbm.3301", "ISBN" : "1099-1492 (Electronic)\\r0952-3480 (Linking)", "ISSN" : "10991492", "PMID" : "25908233", "abstract" : "The aim of this study was to characterise and compare widely used acquisition strategies for hyperpolarised (13)C imaging. Free induction decay chemical shift imaging (FIDCSI), echo-planar spectroscopic imaging (EPSI), IDEAL spiral chemical shift imaging (ISPCSI) and spiral chemical shift imaging (SPCSI) sequences were designed for two different regimes of spatial resolution. Their characteristics were studied in simulations and in tumour-bearing rats after injection of hyperpolarised [1-(13)C]pyruvate on a clinical 3-T scanner. Two or three different sequences were used on the same rat in random order for direct comparison. The experimentally obtained lactate signal-to-noise ratio (SNR) in the tumour matched the simulations. Differences between the sequences were mainly found in the encoding efficiency, gradient demand and artefact behaviour. Although ISPCSI and SPCSI offer high encoding efficiencies, these non-Cartesian trajectories are more prone than EPSI and FIDCSI to artefacts from various sources. If the encoding efficiency is sufficient for the desired application, EPSI has been proven to be a robust choice. Otherwise, faster spiral acquisition schemes are recommended. The conclusions found in this work can be applied directly to clinical applications.", "author" : [ { "dropping-particle" : "", "family" : "Durst", "given" : "Markus", "non-dropping-particle" : "", "parse-names" : false, "suffix" : "" }, { "dropping-particle" : "", "family" : "Koellisch", "given" : "Ulrich", "non-dropping-particle" : "", "parse-names" : false, "suffix" : "" }, { "dropping-particle" : "", "family" : "Frank", "given" : "Annette", "non-dropping-particle" : "", "parse-names" : false, "suffix" : "" }, { "dropping-particle" : "", "family" : "Rancan", "given" : "Giaime", "non-dropping-particle" : "", "parse-names" : false, "suffix" : "" }, { "dropping-particle" : "V.", "family" : "Gringeri", "given" : "Concetta", "non-dropping-particle" : "", "parse-names" : false, "suffix" : "" }, { "dropping-particle" : "", "family" : "Karas", "given" : "Vincent", "non-dropping-particle" : "", "parse-names" : false, "suffix" : "" }, { "dropping-particle" : "", "family" : "Wiesinger", "given" : "Florian", "non-dropping-particle" : "", "parse-names" : false, "suffix" : "" }, { "dropping-particle" : "", "family" : "Menzel", "given" : "Marion I.", "non-dropping-particle" : "", "parse-names" : false, "suffix" : "" }, { "dropping-particle" : "", "family" : "Schwaiger", "given" : "Markus", "non-dropping-particle" : "", "parse-names" : false, "suffix" : "" }, { "dropping-particle" : "", "family" : "Haase", "given" : "Axel", "non-dropping-particle" : "", "parse-names" : false, "suffix" : "" }, { "dropping-particle" : "", "family" : "Schulte", "given" : "Rolf F.", "non-dropping-particle" : "", "parse-names" : false, "suffix" : "" } ], "container-title" : "NMR in Biomedicine", "id" : "ITEM-2", "issue" : "6", "issued" : { "date-parts" : [ [ "2015" ] ] }, "page" : "715-725", "title" : "Comparison of acquisition schemes for hyperpolarised 13C imaging", "type" : "article-journal", "volume" : "28" }, "uris" : [ "http://www.mendeley.com/documents/?uuid=c8917350-0942-4cb8-8893-653018f10cde" ] }, { "id" : "ITEM-3", "itemData" : { "DOI" : "10.1002/mrm.26123", "ISSN" : "15222594", "PMID" : "26898849", "abstract" : "Purpose\\n\\nTo develop symmetric echo planar imaging (EPI) and a reference scan framework for hyperpolarized 13C metabolic imaging.\\n\\n\\nMethods\\n\\nSymmetric, ramp-sampled EPI with partial Fourier reconstruction was implemented on a 3T scanner. The framework for acquiring a reference scan on the 1H channel and applied to 13C data was described and validated in both phantoms and in vivo metabolism of [1-13C]pyruvate.\\n\\n\\nResults\\n\\nRamp-sampled, symmetric EPI provided a substantial increase in the signal-to-noise ratio of the phantom experiments. The reference scan acquired on the 1H channel yielded 13C phantom images that varied in mean signal intensity &lt;2%, compared with 13C images reconstructed with a reference scan directly measured on the 13C channel. The structural similarity index and dynamic time course from in vivo 13C data further support the application of a 1H reference scan to 13C data to mitigate Nyquist ghost artifacts.\\n\\n\\nConclusion\\n\\nRamp-sampled, symmetric EPI with spectral-spatial excitation of a single metabolite provides a fast, robust, and clinically efficacious approach to acquire hyperpolarized 13C dynamic molecular imaging data. The gains of this efficient sampling, combined with partial Fourier methods, enables large matrix sizes required for human studies. Magn Reson Med, 2016. \u00a9 2016 Wiley Periodicals, Inc.", "author" : [ { "dropping-particle" : "", "family" : "Gordon", "given" : "Jeremy W.", "non-dropping-particle" : "", "parse-names" : false, "suffix" : "" }, { "dropping-particle" : "", "family" : "Vigneron", "given" : "Daniel B.", "non-dropping-particle" : "", "parse-names" : false, "suffix" : "" }, { "dropping-particle" : "", "family" : "Larson", "given" : "Peder E.Z.", "non-dropping-particle" : "", "parse-names" : false, "suffix" : "" } ], "container-title" : "Magnetic Resonance in Medicine", "id" : "ITEM-3", "issue" : "2", "issued" : { "date-parts" : [ [ "2017" ] ] }, "page" : "826-832", "title" : "Development of a symmetric echo planar imaging framework for clinical translation of rapid dynamic hyperpolarized 13C imaging", "type" : "article-journal", "volume" : "77" }, "uris" : [ "http://www.mendeley.com/documents/?uuid=7f91df49-55dd-414f-bd92-f7df2fba080a" ] } ], "mendeley" : { "formattedCitation" : "&lt;sup&gt;49\u201351&lt;/sup&gt;", "plainTextFormattedCitation" : "49\u201351", "previouslyFormattedCitation" : "&lt;sup&gt;49\u201351&lt;/sup&gt;" }, "properties" : {  }, "schema" : "https://github.com/citation-style-language/schema/raw/master/csl-citation.json" }</w:instrText>
      </w:r>
      <w:r w:rsidR="00CC1B5F">
        <w:fldChar w:fldCharType="separate"/>
      </w:r>
      <w:r w:rsidR="006D4D5D" w:rsidRPr="006D4D5D">
        <w:rPr>
          <w:noProof/>
          <w:vertAlign w:val="superscript"/>
        </w:rPr>
        <w:t>49–51</w:t>
      </w:r>
      <w:r w:rsidR="00CC1B5F">
        <w:fldChar w:fldCharType="end"/>
      </w:r>
      <w:r w:rsidR="00CC1B5F">
        <w:t xml:space="preserve"> </w:t>
      </w:r>
      <w:r w:rsidR="00C65D6C" w:rsidRPr="00C65D6C">
        <w:t>A key component of most sequences is the use of single shot, multiple time point</w:t>
      </w:r>
      <w:r>
        <w:t xml:space="preserve"> </w:t>
      </w:r>
      <w:r w:rsidR="00C65D6C" w:rsidRPr="00C65D6C">
        <w:t>acquisition to acquire dynamic, metabolite</w:t>
      </w:r>
      <w:r>
        <w:t>-</w:t>
      </w:r>
      <w:r w:rsidR="00C65D6C" w:rsidRPr="00C65D6C">
        <w:t>specific data.</w:t>
      </w:r>
      <w:r w:rsidR="00CC1B5F">
        <w:fldChar w:fldCharType="begin" w:fldLock="1"/>
      </w:r>
      <w:r w:rsidR="006D4D5D">
        <w:instrText>ADDIN CSL_CITATION { "citationItems" : [ { "id" : "ITEM-1", "itemData" : { "DOI" : "10.1002/mrm.26123", "ISSN" : "15222594", "PMID" : "26898849", "abstract" : "Purpose\\n\\nTo develop symmetric echo planar imaging (EPI) and a reference scan framework for hyperpolarized 13C metabolic imaging.\\n\\n\\nMethods\\n\\nSymmetric, ramp-sampled EPI with partial Fourier reconstruction was implemented on a 3T scanner. The framework for acquiring a reference scan on the 1H channel and applied to 13C data was described and validated in both phantoms and in vivo metabolism of [1-13C]pyruvate.\\n\\n\\nResults\\n\\nRamp-sampled, symmetric EPI provided a substantial increase in the signal-to-noise ratio of the phantom experiments. The reference scan acquired on the 1H channel yielded 13C phantom images that varied in mean signal intensity &lt;2%, compared with 13C images reconstructed with a reference scan directly measured on the 13C channel. The structural similarity index and dynamic time course from in vivo 13C data further support the application of a 1H reference scan to 13C data to mitigate Nyquist ghost artifacts.\\n\\n\\nConclusion\\n\\nRamp-sampled, symmetric EPI with spectral-spatial excitation of a single metabolite provides a fast, robust, and clinically efficacious approach to acquire hyperpolarized 13C dynamic molecular imaging data. The gains of this efficient sampling, combined with partial Fourier methods, enables large matrix sizes required for human studies. Magn Reson Med, 2016. \u00a9 2016 Wiley Periodicals, Inc.", "author" : [ { "dropping-particle" : "", "family" : "Gordon", "given" : "Jeremy W.", "non-dropping-particle" : "", "parse-names" : false, "suffix" : "" }, { "dropping-particle" : "", "family" : "Vigneron", "given" : "Daniel B.", "non-dropping-particle" : "", "parse-names" : false, "suffix" : "" }, { "dropping-particle" : "", "family" : "Larson", "given" : "Peder E.Z.", "non-dropping-particle" : "", "parse-names" : false, "suffix" : "" } ], "container-title" : "Magnetic Resonance in Medicine", "id" : "ITEM-1", "issue" : "2", "issued" : { "date-parts" : [ [ "2017" ] ] }, "page" : "826-832", "title" : "Development of a symmetric echo planar imaging framework for clinical translation of rapid dynamic hyperpolarized 13C imaging", "type" : "article-journal", "volume" : "77" }, "uris" : [ "http://www.mendeley.com/documents/?uuid=7f91df49-55dd-414f-bd92-f7df2fba080a" ] } ], "mendeley" : { "formattedCitation" : "&lt;sup&gt;51&lt;/sup&gt;", "plainTextFormattedCitation" : "51", "previouslyFormattedCitation" : "&lt;sup&gt;51&lt;/sup&gt;" }, "properties" : {  }, "schema" : "https://github.com/citation-style-language/schema/raw/master/csl-citation.json" }</w:instrText>
      </w:r>
      <w:r w:rsidR="00CC1B5F">
        <w:fldChar w:fldCharType="separate"/>
      </w:r>
      <w:r w:rsidR="006D4D5D" w:rsidRPr="006D4D5D">
        <w:rPr>
          <w:noProof/>
          <w:vertAlign w:val="superscript"/>
        </w:rPr>
        <w:t>51</w:t>
      </w:r>
      <w:r w:rsidR="00CC1B5F">
        <w:fldChar w:fldCharType="end"/>
      </w:r>
      <w:r w:rsidR="00C65D6C" w:rsidRPr="00C65D6C">
        <w:t xml:space="preserve"> </w:t>
      </w:r>
      <w:r w:rsidR="00AE7890">
        <w:t xml:space="preserve">The differences mainly involve encoding efficiency, gradient demand and artefact behaviour: non-Cartesian trajectories are more efficient but </w:t>
      </w:r>
      <w:r w:rsidR="0076466C">
        <w:t xml:space="preserve">are </w:t>
      </w:r>
      <w:r w:rsidR="00AE7890">
        <w:t>prone to artefacts.</w:t>
      </w:r>
      <w:r w:rsidR="00366D68">
        <w:fldChar w:fldCharType="begin" w:fldLock="1"/>
      </w:r>
      <w:r w:rsidR="006D4D5D">
        <w:instrText>ADDIN CSL_CITATION { "citationItems" : [ { "id" : "ITEM-1", "itemData" : { "DOI" : "10.1002/nbm.3301", "ISBN" : "1099-1492 (Electronic)\\r0952-3480 (Linking)", "ISSN" : "10991492", "PMID" : "25908233", "abstract" : "The aim of this study was to characterise and compare widely used acquisition strategies for hyperpolarised (13)C imaging. Free induction decay chemical shift imaging (FIDCSI), echo-planar spectroscopic imaging (EPSI), IDEAL spiral chemical shift imaging (ISPCSI) and spiral chemical shift imaging (SPCSI) sequences were designed for two different regimes of spatial resolution. Their characteristics were studied in simulations and in tumour-bearing rats after injection of hyperpolarised [1-(13)C]pyruvate on a clinical 3-T scanner. Two or three different sequences were used on the same rat in random order for direct comparison. The experimentally obtained lactate signal-to-noise ratio (SNR) in the tumour matched the simulations. Differences between the sequences were mainly found in the encoding efficiency, gradient demand and artefact behaviour. Although ISPCSI and SPCSI offer high encoding efficiencies, these non-Cartesian trajectories are more prone than EPSI and FIDCSI to artefacts from various sources. If the encoding efficiency is sufficient for the desired application, EPSI has been proven to be a robust choice. Otherwise, faster spiral acquisition schemes are recommended. The conclusions found in this work can be applied directly to clinical applications.", "author" : [ { "dropping-particle" : "", "family" : "Durst", "given" : "Markus", "non-dropping-particle" : "", "parse-names" : false, "suffix" : "" }, { "dropping-particle" : "", "family" : "Koellisch", "given" : "Ulrich", "non-dropping-particle" : "", "parse-names" : false, "suffix" : "" }, { "dropping-particle" : "", "family" : "Frank", "given" : "Annette", "non-dropping-particle" : "", "parse-names" : false, "suffix" : "" }, { "dropping-particle" : "", "family" : "Rancan", "given" : "Giaime", "non-dropping-particle" : "", "parse-names" : false, "suffix" : "" }, { "dropping-particle" : "V.", "family" : "Gringeri", "given" : "Concetta", "non-dropping-particle" : "", "parse-names" : false, "suffix" : "" }, { "dropping-particle" : "", "family" : "Karas", "given" : "Vincent", "non-dropping-particle" : "", "parse-names" : false, "suffix" : "" }, { "dropping-particle" : "", "family" : "Wiesinger", "given" : "Florian", "non-dropping-particle" : "", "parse-names" : false, "suffix" : "" }, { "dropping-particle" : "", "family" : "Menzel", "given" : "Marion I.", "non-dropping-particle" : "", "parse-names" : false, "suffix" : "" }, { "dropping-particle" : "", "family" : "Schwaiger", "given" : "Markus", "non-dropping-particle" : "", "parse-names" : false, "suffix" : "" }, { "dropping-particle" : "", "family" : "Haase", "given" : "Axel", "non-dropping-particle" : "", "parse-names" : false, "suffix" : "" }, { "dropping-particle" : "", "family" : "Schulte", "given" : "Rolf F.", "non-dropping-particle" : "", "parse-names" : false, "suffix" : "" } ], "container-title" : "NMR in Biomedicine", "id" : "ITEM-1", "issue" : "6", "issued" : { "date-parts" : [ [ "2015" ] ] }, "page" : "715-725", "title" : "Comparison of acquisition schemes for hyperpolarised 13C imaging", "type" : "article-journal", "volume" : "28" }, "uris" : [ "http://www.mendeley.com/documents/?uuid=c8917350-0942-4cb8-8893-653018f10cde" ] } ], "mendeley" : { "formattedCitation" : "&lt;sup&gt;50&lt;/sup&gt;", "plainTextFormattedCitation" : "50", "previouslyFormattedCitation" : "&lt;sup&gt;50&lt;/sup&gt;" }, "properties" : {  }, "schema" : "https://github.com/citation-style-language/schema/raw/master/csl-citation.json" }</w:instrText>
      </w:r>
      <w:r w:rsidR="00366D68">
        <w:fldChar w:fldCharType="separate"/>
      </w:r>
      <w:r w:rsidR="006D4D5D" w:rsidRPr="006D4D5D">
        <w:rPr>
          <w:noProof/>
          <w:vertAlign w:val="superscript"/>
        </w:rPr>
        <w:t>50</w:t>
      </w:r>
      <w:r w:rsidR="00366D68">
        <w:fldChar w:fldCharType="end"/>
      </w:r>
      <w:r w:rsidR="00AE7890">
        <w:t xml:space="preserve"> </w:t>
      </w:r>
      <w:r w:rsidR="00740B57">
        <w:t>The c</w:t>
      </w:r>
      <w:r w:rsidR="00AE7890">
        <w:t xml:space="preserve">hoice of the optimal sequence depends on the spatial and temporal resolution desired and the number of different chemical species </w:t>
      </w:r>
      <w:r w:rsidR="00740B57">
        <w:t>to</w:t>
      </w:r>
      <w:r w:rsidR="00AE7890">
        <w:t xml:space="preserve"> be resolved. </w:t>
      </w:r>
      <w:r>
        <w:t>F</w:t>
      </w:r>
      <w:r w:rsidR="00C65D6C" w:rsidRPr="00C65D6C">
        <w:t xml:space="preserve">uture developments in this area will involve </w:t>
      </w:r>
      <w:r w:rsidR="00AD128F">
        <w:t xml:space="preserve">assessing and improving </w:t>
      </w:r>
      <w:r w:rsidR="00B81DDF">
        <w:t>intersite</w:t>
      </w:r>
      <w:r w:rsidR="00C65D6C" w:rsidRPr="00C65D6C">
        <w:t xml:space="preserve"> reproducibility of </w:t>
      </w:r>
      <w:r>
        <w:t xml:space="preserve">the </w:t>
      </w:r>
      <w:r w:rsidR="00C65D6C" w:rsidRPr="00C65D6C">
        <w:t xml:space="preserve">data acquisition methods. </w:t>
      </w:r>
    </w:p>
    <w:p w14:paraId="0B92BD0F" w14:textId="77777777" w:rsidR="00C65D6C" w:rsidRPr="00C65D6C" w:rsidRDefault="00C65D6C" w:rsidP="00C65D6C">
      <w:pPr>
        <w:spacing w:line="360" w:lineRule="auto"/>
        <w:jc w:val="both"/>
        <w:rPr>
          <w:i/>
        </w:rPr>
      </w:pPr>
    </w:p>
    <w:p w14:paraId="176B91D0" w14:textId="2874E99D" w:rsidR="00C65D6C" w:rsidRPr="00C65D6C" w:rsidRDefault="00C65D6C" w:rsidP="00C65D6C">
      <w:pPr>
        <w:spacing w:line="360" w:lineRule="auto"/>
        <w:jc w:val="both"/>
        <w:rPr>
          <w:i/>
        </w:rPr>
      </w:pPr>
      <w:r w:rsidRPr="00C65D6C">
        <w:rPr>
          <w:i/>
        </w:rPr>
        <w:t xml:space="preserve">Pharmacy </w:t>
      </w:r>
      <w:r w:rsidR="00964845">
        <w:rPr>
          <w:i/>
        </w:rPr>
        <w:t>requirements and developments in formulation</w:t>
      </w:r>
    </w:p>
    <w:p w14:paraId="25D20320" w14:textId="63F7232E" w:rsidR="00964845" w:rsidRDefault="00C65D6C" w:rsidP="00C65D6C">
      <w:pPr>
        <w:spacing w:line="360" w:lineRule="auto"/>
        <w:jc w:val="both"/>
      </w:pPr>
      <w:r w:rsidRPr="00C65D6C">
        <w:t>The current</w:t>
      </w:r>
      <w:r w:rsidR="00B81DDF">
        <w:t xml:space="preserve"> approach for the consumables for the clinical polariser</w:t>
      </w:r>
      <w:r w:rsidRPr="00C65D6C">
        <w:t xml:space="preserve"> require</w:t>
      </w:r>
      <w:r w:rsidR="00B81DDF">
        <w:t xml:space="preserve">s </w:t>
      </w:r>
      <w:r w:rsidRPr="00C65D6C">
        <w:t xml:space="preserve">a </w:t>
      </w:r>
      <w:r w:rsidR="00B81DDF">
        <w:t xml:space="preserve">local </w:t>
      </w:r>
      <w:r w:rsidRPr="00C65D6C">
        <w:t xml:space="preserve">sterile production facility to fill </w:t>
      </w:r>
      <w:r w:rsidR="00B81DDF">
        <w:t>pharmacy kits</w:t>
      </w:r>
      <w:r w:rsidRPr="00C65D6C">
        <w:t xml:space="preserve"> </w:t>
      </w:r>
      <w:r w:rsidR="00B81DDF">
        <w:t>which can be costly to establish. A more practical approach may be the</w:t>
      </w:r>
      <w:r w:rsidRPr="00C65D6C">
        <w:t xml:space="preserve"> development of </w:t>
      </w:r>
      <w:r w:rsidR="00B81DDF">
        <w:t xml:space="preserve">a </w:t>
      </w:r>
      <w:r w:rsidRPr="00C65D6C">
        <w:t>large, centralised, filling facilit</w:t>
      </w:r>
      <w:r w:rsidR="00B81DDF">
        <w:t>y</w:t>
      </w:r>
      <w:r w:rsidRPr="00C65D6C">
        <w:t xml:space="preserve"> where </w:t>
      </w:r>
      <w:r w:rsidR="00B81DDF">
        <w:t>pharmacy kits</w:t>
      </w:r>
      <w:r w:rsidRPr="00C65D6C">
        <w:t xml:space="preserve"> could be </w:t>
      </w:r>
      <w:r w:rsidR="00B81DDF">
        <w:t xml:space="preserve">frozen and transported to other </w:t>
      </w:r>
      <w:r w:rsidRPr="00C65D6C">
        <w:t xml:space="preserve">sites. </w:t>
      </w:r>
      <w:r w:rsidR="002739E5">
        <w:t xml:space="preserve">There are </w:t>
      </w:r>
      <w:proofErr w:type="gramStart"/>
      <w:r w:rsidR="002739E5">
        <w:t>a number of</w:t>
      </w:r>
      <w:proofErr w:type="gramEnd"/>
      <w:r w:rsidR="002739E5">
        <w:t xml:space="preserve"> country-specific regulatory issues that need to be addressed for the production and transport of these filled pharmacy kits </w:t>
      </w:r>
      <w:r w:rsidR="001B160D">
        <w:t xml:space="preserve">at each site which needs to </w:t>
      </w:r>
      <w:r w:rsidR="00D041E5">
        <w:t xml:space="preserve">be </w:t>
      </w:r>
      <w:r w:rsidR="001B160D">
        <w:t>considered before developing a programme of research</w:t>
      </w:r>
      <w:r w:rsidR="002739E5">
        <w:t xml:space="preserve"> locally</w:t>
      </w:r>
      <w:r w:rsidR="001B160D">
        <w:t>.</w:t>
      </w:r>
      <w:r w:rsidR="003A2FA9">
        <w:t xml:space="preserve"> </w:t>
      </w:r>
    </w:p>
    <w:p w14:paraId="0489734F" w14:textId="77777777" w:rsidR="00964845" w:rsidRDefault="00964845" w:rsidP="00C65D6C">
      <w:pPr>
        <w:spacing w:line="360" w:lineRule="auto"/>
        <w:jc w:val="both"/>
      </w:pPr>
    </w:p>
    <w:p w14:paraId="4B1EBA50" w14:textId="52E9F5DE" w:rsidR="00866174" w:rsidRDefault="00453130" w:rsidP="0033768A">
      <w:pPr>
        <w:spacing w:line="360" w:lineRule="auto"/>
        <w:jc w:val="both"/>
      </w:pPr>
      <w:r>
        <w:t>If</w:t>
      </w:r>
      <w:r w:rsidR="00964845" w:rsidRPr="000D72AC">
        <w:t xml:space="preserve"> hyperpolarized </w:t>
      </w:r>
      <w:r w:rsidR="00964845" w:rsidRPr="000D72AC">
        <w:rPr>
          <w:vertAlign w:val="superscript"/>
        </w:rPr>
        <w:t>13</w:t>
      </w:r>
      <w:r w:rsidR="00964845" w:rsidRPr="000D72AC">
        <w:t>C</w:t>
      </w:r>
      <w:r w:rsidR="00964845">
        <w:t>-</w:t>
      </w:r>
      <w:r w:rsidR="00964845" w:rsidRPr="000D72AC">
        <w:t xml:space="preserve">MRSI is </w:t>
      </w:r>
      <w:r>
        <w:t xml:space="preserve">to be more widely used, it needs to be accessible for </w:t>
      </w:r>
      <w:r w:rsidR="00964845" w:rsidRPr="000D72AC">
        <w:t>non-specialist centres</w:t>
      </w:r>
      <w:r w:rsidR="00964845">
        <w:t>. To improve availability, t</w:t>
      </w:r>
      <w:r w:rsidR="003A2FA9">
        <w:t xml:space="preserve">here is ongoing research </w:t>
      </w:r>
      <w:proofErr w:type="gramStart"/>
      <w:r w:rsidR="003A2FA9">
        <w:t>in the area of</w:t>
      </w:r>
      <w:proofErr w:type="gramEnd"/>
      <w:r w:rsidR="003A2FA9">
        <w:t xml:space="preserve"> long-lived polarised states and tran</w:t>
      </w:r>
      <w:r w:rsidR="00A35FAB">
        <w:t>sport of pre-polarised</w:t>
      </w:r>
      <w:r w:rsidR="005F6992">
        <w:t xml:space="preserve"> molecules</w:t>
      </w:r>
      <w:r w:rsidR="00B83ECA">
        <w:t>.</w:t>
      </w:r>
      <w:r w:rsidR="002772AA" w:rsidDel="002772AA">
        <w:t xml:space="preserve"> </w:t>
      </w:r>
      <w:r w:rsidR="00D143C7">
        <w:t>A</w:t>
      </w:r>
      <w:r w:rsidR="00866174">
        <w:t xml:space="preserve">lthough this area is still </w:t>
      </w:r>
      <w:r w:rsidR="00CD43AD">
        <w:t xml:space="preserve">in the early stages of development </w:t>
      </w:r>
      <w:r w:rsidR="00866174">
        <w:t xml:space="preserve">and some way from clinical translation, it could potentially </w:t>
      </w:r>
      <w:proofErr w:type="gramStart"/>
      <w:r w:rsidR="00866174">
        <w:t>open up</w:t>
      </w:r>
      <w:proofErr w:type="gramEnd"/>
      <w:r w:rsidR="00866174">
        <w:t xml:space="preserve"> the possibility of hyperpolari</w:t>
      </w:r>
      <w:r w:rsidR="007546D5">
        <w:t>z</w:t>
      </w:r>
      <w:r w:rsidR="00866174">
        <w:t xml:space="preserve">ing molecules centrally and transporting them to the imaging site without the need for a local polariser. </w:t>
      </w:r>
    </w:p>
    <w:p w14:paraId="4CB77434" w14:textId="77777777" w:rsidR="00866174" w:rsidRDefault="00866174" w:rsidP="0033768A">
      <w:pPr>
        <w:spacing w:line="360" w:lineRule="auto"/>
        <w:jc w:val="both"/>
        <w:rPr>
          <w:i/>
        </w:rPr>
      </w:pPr>
    </w:p>
    <w:p w14:paraId="24F025B3" w14:textId="028D559B" w:rsidR="00DF3581" w:rsidRPr="0033768A" w:rsidRDefault="005B5958" w:rsidP="0033768A">
      <w:pPr>
        <w:spacing w:line="360" w:lineRule="auto"/>
        <w:jc w:val="both"/>
        <w:rPr>
          <w:i/>
        </w:rPr>
      </w:pPr>
      <w:r>
        <w:rPr>
          <w:i/>
        </w:rPr>
        <w:t>New hyperpolari</w:t>
      </w:r>
      <w:r w:rsidR="007546D5">
        <w:rPr>
          <w:i/>
        </w:rPr>
        <w:t>z</w:t>
      </w:r>
      <w:r>
        <w:rPr>
          <w:i/>
        </w:rPr>
        <w:t>ed tracers</w:t>
      </w:r>
    </w:p>
    <w:p w14:paraId="5806B327" w14:textId="2BDC7E1F" w:rsidR="007F77E1" w:rsidRPr="00D759C6" w:rsidRDefault="001B160D" w:rsidP="0055549E">
      <w:pPr>
        <w:spacing w:line="360" w:lineRule="auto"/>
        <w:jc w:val="both"/>
      </w:pPr>
      <w:r>
        <w:t>H</w:t>
      </w:r>
      <w:r w:rsidR="00CA5A28" w:rsidRPr="000D72AC">
        <w:t xml:space="preserve">yperpolarized </w:t>
      </w:r>
      <w:r w:rsidR="00CA5A28" w:rsidRPr="000D72AC">
        <w:rPr>
          <w:vertAlign w:val="superscript"/>
        </w:rPr>
        <w:t>13</w:t>
      </w:r>
      <w:r w:rsidR="00CA5A28" w:rsidRPr="000D72AC">
        <w:t>C</w:t>
      </w:r>
      <w:r>
        <w:t>-</w:t>
      </w:r>
      <w:r w:rsidR="00A35FAB">
        <w:t xml:space="preserve">labelled </w:t>
      </w:r>
      <w:r w:rsidR="00CA5A28" w:rsidRPr="000D72AC">
        <w:t>tracers</w:t>
      </w:r>
      <w:r w:rsidR="00A35FAB">
        <w:t xml:space="preserve"> offer</w:t>
      </w:r>
      <w:r w:rsidR="00CA5A28" w:rsidRPr="000D72AC">
        <w:t xml:space="preserve"> unique opportunities to probe </w:t>
      </w:r>
      <w:r w:rsidR="00D143C7">
        <w:t>many metabolic pathways.</w:t>
      </w:r>
      <w:r w:rsidR="0055549E">
        <w:t xml:space="preserve"> Although many hyperpolari</w:t>
      </w:r>
      <w:r w:rsidR="007546D5">
        <w:t>z</w:t>
      </w:r>
      <w:r w:rsidR="0055549E">
        <w:t>ed tracers have been developed, very few have the necessary biological, chemical and physical properties required for successful translation into human imaging. T</w:t>
      </w:r>
      <w:r w:rsidR="0055549E" w:rsidRPr="000D72AC">
        <w:t xml:space="preserve">able </w:t>
      </w:r>
      <w:r w:rsidR="008C771F">
        <w:t>1</w:t>
      </w:r>
      <w:r w:rsidR="0055549E" w:rsidRPr="000D72AC">
        <w:t xml:space="preserve"> </w:t>
      </w:r>
      <w:r w:rsidR="0055549E">
        <w:t>summaries some of the</w:t>
      </w:r>
      <w:r w:rsidR="0055549E" w:rsidRPr="000D72AC">
        <w:t xml:space="preserve"> tracers which </w:t>
      </w:r>
      <w:r w:rsidR="0055549E">
        <w:t>have clinical potential and provide biologically</w:t>
      </w:r>
      <w:r w:rsidR="009C5F6A">
        <w:t xml:space="preserve"> </w:t>
      </w:r>
      <w:r w:rsidR="0055549E">
        <w:t>useful</w:t>
      </w:r>
      <w:r w:rsidR="0055549E" w:rsidRPr="000D72AC">
        <w:t xml:space="preserve"> information</w:t>
      </w:r>
      <w:r w:rsidR="0055549E">
        <w:t>. As discussed above,</w:t>
      </w:r>
      <w:r w:rsidR="0055549E" w:rsidRPr="000D72AC">
        <w:t xml:space="preserve"> </w:t>
      </w:r>
      <w:r w:rsidR="00CA5A28" w:rsidRPr="000D72AC">
        <w:t>[1-</w:t>
      </w:r>
      <w:r w:rsidR="00CA5A28" w:rsidRPr="000D72AC">
        <w:rPr>
          <w:vertAlign w:val="superscript"/>
        </w:rPr>
        <w:t>13</w:t>
      </w:r>
      <w:r w:rsidR="00CA5A28" w:rsidRPr="000D72AC">
        <w:t>C]</w:t>
      </w:r>
      <w:r w:rsidR="0055549E">
        <w:t>p</w:t>
      </w:r>
      <w:r w:rsidR="00CA5A28" w:rsidRPr="000D72AC">
        <w:t xml:space="preserve">yruvate </w:t>
      </w:r>
      <w:r w:rsidR="00D143C7">
        <w:t>has been used to</w:t>
      </w:r>
      <w:r w:rsidR="00CA5A28" w:rsidRPr="000D72AC">
        <w:t xml:space="preserve"> probe LDH and PDH activity</w:t>
      </w:r>
      <w:r w:rsidR="0055549E">
        <w:t xml:space="preserve"> and similarly</w:t>
      </w:r>
      <w:r w:rsidR="0008667C">
        <w:t>,</w:t>
      </w:r>
      <w:r w:rsidR="0055549E">
        <w:t xml:space="preserve"> </w:t>
      </w:r>
      <w:r w:rsidR="0055549E" w:rsidRPr="000D72AC">
        <w:t>[1-</w:t>
      </w:r>
      <w:r w:rsidR="0055549E" w:rsidRPr="000D72AC">
        <w:rPr>
          <w:vertAlign w:val="superscript"/>
        </w:rPr>
        <w:t>13</w:t>
      </w:r>
      <w:r w:rsidR="0055549E" w:rsidRPr="000D72AC">
        <w:t>C]</w:t>
      </w:r>
      <w:r w:rsidR="0055549E">
        <w:t>lactate</w:t>
      </w:r>
      <w:r w:rsidR="0002250B">
        <w:t xml:space="preserve"> can be used to probe </w:t>
      </w:r>
      <w:r w:rsidR="009C5F6A">
        <w:t>LDH</w:t>
      </w:r>
      <w:r w:rsidR="0055549E">
        <w:t>;</w:t>
      </w:r>
      <w:r w:rsidR="00CA5A28" w:rsidRPr="000D72AC">
        <w:t xml:space="preserve"> </w:t>
      </w:r>
      <w:r w:rsidR="00D143C7">
        <w:t xml:space="preserve">however </w:t>
      </w:r>
      <w:r w:rsidR="0055549E" w:rsidRPr="000D72AC">
        <w:t>[1-</w:t>
      </w:r>
      <w:r w:rsidR="0055549E" w:rsidRPr="000D72AC">
        <w:rPr>
          <w:vertAlign w:val="superscript"/>
        </w:rPr>
        <w:t>13</w:t>
      </w:r>
      <w:r w:rsidR="0055549E" w:rsidRPr="000D72AC">
        <w:t>C]</w:t>
      </w:r>
      <w:r w:rsidR="0055549E">
        <w:t>p</w:t>
      </w:r>
      <w:r w:rsidR="0055549E" w:rsidRPr="000D72AC">
        <w:t xml:space="preserve">yruvate </w:t>
      </w:r>
      <w:r w:rsidR="00D143C7">
        <w:t xml:space="preserve">cannot be used to probe the </w:t>
      </w:r>
      <w:r w:rsidR="007370A1" w:rsidRPr="007370A1">
        <w:t xml:space="preserve">tricarboxylic acid </w:t>
      </w:r>
      <w:r w:rsidR="007370A1">
        <w:t>(</w:t>
      </w:r>
      <w:r w:rsidR="00D143C7">
        <w:t>TCA</w:t>
      </w:r>
      <w:r w:rsidR="007370A1">
        <w:t>)</w:t>
      </w:r>
      <w:r w:rsidR="00D143C7">
        <w:t xml:space="preserve"> cycle</w:t>
      </w:r>
      <w:r w:rsidR="00CE4E48">
        <w:t xml:space="preserve"> as the label </w:t>
      </w:r>
      <w:r w:rsidR="009C5F6A">
        <w:t xml:space="preserve">is not incorporated into </w:t>
      </w:r>
      <w:r w:rsidR="0008667C">
        <w:t>a</w:t>
      </w:r>
      <w:r w:rsidR="00CE4E48">
        <w:t>cetyl CoA</w:t>
      </w:r>
      <w:r w:rsidR="00EB44FE">
        <w:fldChar w:fldCharType="begin" w:fldLock="1"/>
      </w:r>
      <w:r w:rsidR="00481147">
        <w:instrText>ADDIN CSL_CITATION { "citationItems" : [ { "id" : "ITEM-1", "itemData" : { "DOI" : "10.1016/j.mri.2008.01.002", "ISBN" : "0730-725X", "ISSN" : "0730725X", "PMID" : "18479878", "abstract" : "The development of dynamic nuclear polarization in solution has enabled in vivo 13C MR studies at high signal-to-noise ratio following injection of prepolarized 13C substrates. While prior studies have demonstrated the ability to observe metabolism following injection of hyperpolarized 13C pyruvate, the goal of this study was to develop and test a new hyperpolarized agent for investigating in vivo metabolism, [1-13C]lactate. A preparation for prepolarized 13C lactate and the requisite dissolution media were developed to investigate the feasibility for in vivo 13C MRS/MRSI studies following injection of this hyperpolarized agent. This study demonstrated, for the first time, not only the ability to detect hyperpolarized [1-13C]lactate in vivo but also the metabolic products 13C pyruvate, 13C alanine and 13C bicarbonate following injection in normal rats. The use of 13C lactate as a substrate provided the opportunity to study the conversion of lactate to pyruvate in vivo and to detect the secondary conversions to alanine and bicarbonate through pyruvate. This study also demonstrated the potential value of this hyperpolarized agent to investigate in vivo lactate uptake and metabolism in preclinical animal models. ?? 2008 Elsevier Inc. All rights reserved.", "author" : [ { "dropping-particle" : "", "family" : "Chen", "given" : "Albert P.", "non-dropping-particle" : "", "parse-names" : false, "suffix" : "" }, { "dropping-particle" : "", "family" : "Kurhanewicz", "given" : "John", "non-dropping-particle" : "", "parse-names" : false, "suffix" : "" }, { "dropping-particle" : "", "family" : "Bok", "given" : "Robert", "non-dropping-particle" : "", "parse-names" : false, "suffix" : "" }, { "dropping-particle" : "", "family" : "Xu", "given" : "Duan", "non-dropping-particle" : "", "parse-names" : false, "suffix" : "" }, { "dropping-particle" : "", "family" : "Joun", "given" : "David", "non-dropping-particle" : "", "parse-names" : false, "suffix" : "" }, { "dropping-particle" : "", "family" : "Zhang", "given" : "Vickie", "non-dropping-particle" : "", "parse-names" : false, "suffix" : "" }, { "dropping-particle" : "", "family" : "Nelson", "given" : "Sarah J.", "non-dropping-particle" : "", "parse-names" : false, "suffix" : "" }, { "dropping-particle" : "", "family" : "Hurd", "given" : "Ralph E.", "non-dropping-particle" : "", "parse-names" : false, "suffix" : "" }, { "dropping-particle" : "", "family" : "Vigneron", "given" : "Daniel B.", "non-dropping-particle" : "", "parse-names" : false, "suffix" : "" } ], "container-title" : "Magnetic Resonance Imaging", "id" : "ITEM-1", "issue" : "6", "issued" : { "date-parts" : [ [ "2008" ] ] }, "page" : "721-726", "title" : "Feasibility of using hyperpolarized [1-13C]lactate as a substrate for in vivo metabolic 13C MRSI studies", "type" : "article-journal", "volume" : "26" }, "uris" : [ "http://www.mendeley.com/documents/?uuid=8834be3b-5478-4caa-a399-a42449edc036", "http://www.mendeley.com/documents/?uuid=0e6a29de-d5b5-440f-9c2a-aaa0cc966ff2" ] } ], "mendeley" : { "formattedCitation" : "&lt;sup&gt;52&lt;/sup&gt;", "plainTextFormattedCitation" : "52", "previouslyFormattedCitation" : "&lt;sup&gt;52&lt;/sup&gt;" }, "properties" : {  }, "schema" : "https://github.com/citation-style-language/schema/raw/master/csl-citation.json" }</w:instrText>
      </w:r>
      <w:r w:rsidR="00EB44FE">
        <w:fldChar w:fldCharType="separate"/>
      </w:r>
      <w:r w:rsidR="00481147" w:rsidRPr="00481147">
        <w:rPr>
          <w:noProof/>
          <w:vertAlign w:val="superscript"/>
        </w:rPr>
        <w:t>52</w:t>
      </w:r>
      <w:r w:rsidR="00EB44FE">
        <w:fldChar w:fldCharType="end"/>
      </w:r>
      <w:r w:rsidR="0008667C">
        <w:t>:</w:t>
      </w:r>
      <w:r w:rsidR="00D143C7">
        <w:t xml:space="preserve"> </w:t>
      </w:r>
      <w:r w:rsidR="00F857FD" w:rsidRPr="000D72AC">
        <w:t>[1-</w:t>
      </w:r>
      <w:r w:rsidR="00F857FD" w:rsidRPr="000D72AC">
        <w:rPr>
          <w:vertAlign w:val="superscript"/>
        </w:rPr>
        <w:t>13</w:t>
      </w:r>
      <w:r w:rsidR="00F857FD" w:rsidRPr="000D72AC">
        <w:t>C]</w:t>
      </w:r>
      <w:r w:rsidR="00F857FD">
        <w:t>p</w:t>
      </w:r>
      <w:r w:rsidR="00F857FD" w:rsidRPr="000D72AC">
        <w:t>yruvate</w:t>
      </w:r>
      <w:r w:rsidR="00F857FD">
        <w:t xml:space="preserve"> oxidation mediated by PDH releases the hyperpolarized </w:t>
      </w:r>
      <w:r w:rsidR="00F857FD" w:rsidRPr="00D759C6">
        <w:rPr>
          <w:vertAlign w:val="superscript"/>
        </w:rPr>
        <w:t>13</w:t>
      </w:r>
      <w:r w:rsidR="00F857FD">
        <w:t xml:space="preserve">C as </w:t>
      </w:r>
      <w:r w:rsidR="00F857FD">
        <w:rPr>
          <w:vertAlign w:val="superscript"/>
        </w:rPr>
        <w:t>13</w:t>
      </w:r>
      <w:r w:rsidR="00F857FD">
        <w:t>CO</w:t>
      </w:r>
      <w:r w:rsidR="00F857FD" w:rsidRPr="00D759C6">
        <w:rPr>
          <w:vertAlign w:val="subscript"/>
        </w:rPr>
        <w:t>2</w:t>
      </w:r>
      <w:r w:rsidR="00F857FD" w:rsidRPr="00D759C6">
        <w:t xml:space="preserve"> </w:t>
      </w:r>
      <w:r w:rsidR="0008667C">
        <w:t xml:space="preserve">and </w:t>
      </w:r>
      <w:r w:rsidR="00F857FD" w:rsidRPr="00D759C6">
        <w:t xml:space="preserve">therefore the </w:t>
      </w:r>
      <w:r w:rsidR="00F857FD">
        <w:t xml:space="preserve">production of </w:t>
      </w:r>
      <w:r w:rsidR="0008667C">
        <w:t>a</w:t>
      </w:r>
      <w:r w:rsidR="00F857FD">
        <w:t xml:space="preserve">cetyl CoA and </w:t>
      </w:r>
      <w:r w:rsidR="0008667C">
        <w:t>incorporation into</w:t>
      </w:r>
      <w:r w:rsidR="00F857FD">
        <w:t xml:space="preserve"> the Krebs cycle cannot be studied. </w:t>
      </w:r>
      <w:r w:rsidR="0055549E">
        <w:t xml:space="preserve">In contrast, </w:t>
      </w:r>
      <w:r w:rsidR="00CA5A28" w:rsidRPr="000D72AC">
        <w:t>[2-</w:t>
      </w:r>
      <w:r w:rsidR="00CA5A28" w:rsidRPr="000D72AC">
        <w:rPr>
          <w:vertAlign w:val="superscript"/>
        </w:rPr>
        <w:t>13</w:t>
      </w:r>
      <w:r w:rsidR="00CA5A28" w:rsidRPr="000D72AC">
        <w:t>C]</w:t>
      </w:r>
      <w:r w:rsidR="00507985">
        <w:t>pyruvate</w:t>
      </w:r>
      <w:r w:rsidR="00CA5A28" w:rsidRPr="000D72AC">
        <w:t xml:space="preserve"> </w:t>
      </w:r>
      <w:r w:rsidR="00D143C7">
        <w:t xml:space="preserve">allows </w:t>
      </w:r>
      <w:r w:rsidR="00D143C7" w:rsidRPr="000D72AC">
        <w:t>downstream metabolites such as</w:t>
      </w:r>
      <w:r w:rsidR="00587028">
        <w:t xml:space="preserve"> acetyl carnitine, citrate and</w:t>
      </w:r>
      <w:r w:rsidR="00BB3B44">
        <w:t xml:space="preserve"> </w:t>
      </w:r>
      <w:r w:rsidR="00587028">
        <w:t>glutamate</w:t>
      </w:r>
      <w:r w:rsidR="00D143C7">
        <w:t xml:space="preserve"> </w:t>
      </w:r>
      <w:r w:rsidR="00507985">
        <w:t>to be detected</w:t>
      </w:r>
      <w:r w:rsidR="00CA5A28" w:rsidRPr="000D72AC">
        <w:t>.</w:t>
      </w:r>
      <w:r w:rsidR="005C0D35">
        <w:fldChar w:fldCharType="begin" w:fldLock="1"/>
      </w:r>
      <w:r w:rsidR="00481147">
        <w:instrText>ADDIN CSL_CITATION { "citationItems" : [ { "id" : "ITEM-1", "itemData" : { "DOI" : "10.1093/eurjhf/hfs192", "ISBN" : "1879-0844 (Electronic)\\n1388-9842 (Linking)", "ISSN" : "13889842", "PMID" : "23258802", "abstract" : "AIMS:Impaired energy metabolism has been implicated in the pathogenesis of heart failure. Hyperpolarized (13)C magnetic resonance (MR), in which (13)C-labelled metabolites are followed using MR imaging (MRI) or spectroscopy (MRS), has enabled non-invasive assessment of pyruvate metabolism. We investigated the hypothesis that if we serially examined a model of heart failure using non-invasive hyperpolarized [(13)C]pyruvate with MR, the profile of in vivo pyruvate oxidation would change throughout the course of the disease.\n\nMETHODS AND RESULTS:Dilated cardiomyopathy (DCM) was induced in pigs (n = 5) by rapid pacing. Pigs were examined using MR at weekly time points: cine-MRI assessed cardiac structure and function; hyperpolarized [2-(13)C]pyruvate was administered intravenously, and (13)C MRS monitored [(13)C]glutamate production; (31)P MRS assessed cardiac energetics [phosphocreatine (PCr)/ATP]; and hyperpolarized [1-(13)C]pyruvate was administered for MRI of pyruvate dehydrogenase complex (PDC)-mediated pyruvate oxidation via [(13)C]bicarbonate production. Early in pacing, the cardiac index decreased by 25%, PCr/ATP decreased by 26%, and [(13)C]glutamate production decreased by 51%. After clinical features of DCM appeared, end-diastolic volume increased by 40% and [(13)C]bicarbonate production decreased by 67%. Pyruvate dehydrogenase kinase 4 protein increased by two-fold, and phosphorylated Akt decreased by half. Peroxisome proliferator-activated receptor-\u03b1 and carnitine palmitoyltransferase-1 gene expression decreased by a half and a third, respectively.\n\nCONCLUSION:Despite early changes associated with cardiac energetics and (13)C incorporation into the Krebs cycle, pyruvate oxidation was maintained until DCM developed, when the heart's capacity to oxidize both pyruvate and fats was reduced. Hyperpolarized (13)C MR may be important to characterize metabolic changes that occur during heart failure progression.", "author" : [ { "dropping-particle" : "", "family" : "Schroeder", "given" : "Marie A.", "non-dropping-particle" : "", "parse-names" : false, "suffix" : "" }, { "dropping-particle" : "", "family" : "Lau", "given" : "Angus Z.", "non-dropping-particle" : "", "parse-names" : false, "suffix" : "" }, { "dropping-particle" : "", "family" : "Chen", "given" : "Albert P.", "non-dropping-particle" : "", "parse-names" : false, "suffix" : "" }, { "dropping-particle" : "", "family" : "Gu", "given" : "Yiping", "non-dropping-particle" : "", "parse-names" : false, "suffix" : "" }, { "dropping-particle" : "", "family" : "Nagendran", "given" : "Jeevan", "non-dropping-particle" : "", "parse-names" : false, "suffix" : "" }, { "dropping-particle" : "", "family" : "Barry", "given" : "Jennifer", "non-dropping-particle" : "", "parse-names" : false, "suffix" : "" }, { "dropping-particle" : "", "family" : "Hu", "given" : "Xudong", "non-dropping-particle" : "", "parse-names" : false, "suffix" : "" }, { "dropping-particle" : "", "family" : "Dyck", "given" : "Jason R B", "non-dropping-particle" : "", "parse-names" : false, "suffix" : "" }, { "dropping-particle" : "", "family" : "Tyler", "given" : "Damian J.", "non-dropping-particle" : "", "parse-names" : false, "suffix" : "" }, { "dropping-particle" : "", "family" : "Clarke", "given" : "Kieran", "non-dropping-particle" : "", "parse-names" : false, "suffix" : "" }, { "dropping-particle" : "", "family" : "Connelly", "given" : "Kim A.", "non-dropping-particle" : "", "parse-names" : false, "suffix" : "" }, { "dropping-particle" : "", "family" : "Wright", "given" : "Graham A.", "non-dropping-particle" : "", "parse-names" : false, "suffix" : "" }, { "dropping-particle" : "", "family" : "Cunningham", "given" : "Charles H.", "non-dropping-particle" : "", "parse-names" : false, "suffix" : "" } ], "container-title" : "European Journal of Heart Failure", "id" : "ITEM-1", "issue" : "2", "issued" : { "date-parts" : [ [ "2013" ] ] }, "page" : "130-140", "title" : "Hyperpolarized 13C magnetic resonance reveals early- and late-onset changes to in vivo pyruvate metabolism in the failing heart", "type" : "article-journal", "volume" : "15" }, "uris" : [ "http://www.mendeley.com/documents/?uuid=ceb47f6b-4d4c-4b0c-a3f6-1ae1e261e44f" ] }, { "id" : "ITEM-2", "itemData" : { "DOI" : "10.1096/fj.09-129171", "ISBN" : "1530-6860 (Electronic)\\r0892-6638 (Linking)", "ISSN" : "0892-6638", "PMID" : "19329759", "abstract" : "The Krebs cycle plays a fundamental role in cardiac energy production and is often implicated in the energetic imbalance characteristic of heart disease. In this study, we measured Krebs cycle flux in real time in perfused rat hearts using hyperpolarized magnetic resonance spectroscopy (MRS). [2-(13)C]Pyruvate was hyperpolarized and infused into isolated perfused hearts in both healthy and postischemic metabolic states. We followed the enzymatic conversion of pyruvate to lactate, acetylcarnitine, citrate, and glutamate with 1 s temporal resolution. The appearance of (13)C-labeled glutamate was delayed compared with that of other metabolites, indicating that Krebs cycle flux can be measured directly. The production of (13)C-labeled citrate and glutamate was decreased postischemia, as opposed to lactate, which was significantly elevated. These results showed that the control and fluxes of the Krebs cycle in heart disease can be studied using hyperpolarized [2-(13)C]pyruvate.-Schroeder, M. A., Atherton, H. J., Ball, D. R., Cole, M. A., Heather, L. C., Griffin, J. L., Clarke, K., Radda, G. K. Tyler, D. J. Real-time assessment of Krebs cycle metabolism using hyperpolarized (13)C magnetic resonance spectroscopy", "author" : [ { "dropping-particle" : "", "family" : "Schroeder", "given" : "M. A.", "non-dropping-particle" : "", "parse-names" : false, "suffix" : "" }, { "dropping-particle" : "", "family" : "Atherton", "given" : "H. J.", "non-dropping-particle" : "", "parse-names" : false, "suffix" : "" }, { "dropping-particle" : "", "family" : "Ball", "given" : "D. R.", "non-dropping-particle" : "", "parse-names" : false, "suffix" : "" }, { "dropping-particle" : "", "family" : "Cole", "given" : "M. A.", "non-dropping-particle" : "", "parse-names" : false, "suffix" : "" }, { "dropping-particle" : "", "family" : "Heather", "given" : "L. C.", "non-dropping-particle" : "", "parse-names" : false, "suffix" : "" }, { "dropping-particle" : "", "family" : "Griffin", "given" : "J. L.", "non-dropping-particle" : "", "parse-names" : false, "suffix" : "" }, { "dropping-particle" : "", "family" : "Clarke", "given" : "K.", "non-dropping-particle" : "", "parse-names" : false, "suffix" : "" }, { "dropping-particle" : "", "family" : "Radda", "given" : "G. K.", "non-dropping-particle" : "", "parse-names" : false, "suffix" : "" }, { "dropping-particle" : "", "family" : "Tyler", "given" : "D. J.", "non-dropping-particle" : "", "parse-names" : false, "suffix" : "" } ], "container-title" : "The FASEB Journal", "id" : "ITEM-2", "issue" : "8", "issued" : { "date-parts" : [ [ "2009" ] ] }, "page" : "2529-2538", "title" : "Real-time assessment of Krebs cycle metabolism using hyperpolarized 13C magnetic resonance spectroscopy", "type" : "article-journal", "volume" : "23" }, "uris" : [ "http://www.mendeley.com/documents/?uuid=3809e977-6866-4ad7-a7b5-304728bef0bf" ] } ], "mendeley" : { "formattedCitation" : "&lt;sup&gt;53,54&lt;/sup&gt;", "plainTextFormattedCitation" : "53,54", "previouslyFormattedCitation" : "&lt;sup&gt;53,54&lt;/sup&gt;" }, "properties" : {  }, "schema" : "https://github.com/citation-style-language/schema/raw/master/csl-citation.json" }</w:instrText>
      </w:r>
      <w:r w:rsidR="005C0D35">
        <w:fldChar w:fldCharType="separate"/>
      </w:r>
      <w:r w:rsidR="00481147" w:rsidRPr="00481147">
        <w:rPr>
          <w:noProof/>
          <w:vertAlign w:val="superscript"/>
        </w:rPr>
        <w:t>53,54</w:t>
      </w:r>
      <w:r w:rsidR="005C0D35">
        <w:fldChar w:fldCharType="end"/>
      </w:r>
      <w:r w:rsidR="007F77E1" w:rsidRPr="000D72AC">
        <w:t xml:space="preserve"> </w:t>
      </w:r>
      <w:r w:rsidR="002724D0" w:rsidRPr="000D72AC">
        <w:t>[2-</w:t>
      </w:r>
      <w:r w:rsidR="002724D0" w:rsidRPr="000D72AC">
        <w:rPr>
          <w:vertAlign w:val="superscript"/>
        </w:rPr>
        <w:t>13</w:t>
      </w:r>
      <w:r w:rsidR="002724D0" w:rsidRPr="000D72AC">
        <w:t>C]</w:t>
      </w:r>
      <w:r w:rsidR="002724D0">
        <w:t xml:space="preserve">pyruvate </w:t>
      </w:r>
      <w:r w:rsidR="0008667C">
        <w:t>can assess</w:t>
      </w:r>
      <w:r w:rsidR="00D759C6">
        <w:t xml:space="preserve"> </w:t>
      </w:r>
      <w:r w:rsidR="00F857FD">
        <w:t xml:space="preserve">metabolism in tissues where PDH activity is high such as the heart, </w:t>
      </w:r>
      <w:r w:rsidR="0008667C">
        <w:t xml:space="preserve">by </w:t>
      </w:r>
      <w:r w:rsidR="003C0943">
        <w:t>probing</w:t>
      </w:r>
      <w:r w:rsidR="00D759C6">
        <w:t xml:space="preserve"> oxidative metabolism t</w:t>
      </w:r>
      <w:r w:rsidR="00A16A57">
        <w:t>h</w:t>
      </w:r>
      <w:r w:rsidR="00D759C6">
        <w:t>rough the Krebs cycle</w:t>
      </w:r>
      <w:r w:rsidR="003C0943">
        <w:t xml:space="preserve"> rather than anaerobic glycolysis and lactate formation</w:t>
      </w:r>
      <w:r w:rsidR="00D759C6">
        <w:t>.</w:t>
      </w:r>
      <w:r w:rsidR="00AC47CA">
        <w:fldChar w:fldCharType="begin" w:fldLock="1"/>
      </w:r>
      <w:r w:rsidR="00481147">
        <w:instrText>ADDIN CSL_CITATION { "citationItems" : [ { "id" : "ITEM-1", "itemData" : { "DOI" : "10.1096/fj.09-129171", "ISBN" : "1530-6860 (Electronic)\\r0892-6638 (Linking)", "ISSN" : "0892-6638", "PMID" : "19329759", "abstract" : "The Krebs cycle plays a fundamental role in cardiac energy production and is often implicated in the energetic imbalance characteristic of heart disease. In this study, we measured Krebs cycle flux in real time in perfused rat hearts using hyperpolarized magnetic resonance spectroscopy (MRS). [2-(13)C]Pyruvate was hyperpolarized and infused into isolated perfused hearts in both healthy and postischemic metabolic states. We followed the enzymatic conversion of pyruvate to lactate, acetylcarnitine, citrate, and glutamate with 1 s temporal resolution. The appearance of (13)C-labeled glutamate was delayed compared with that of other metabolites, indicating that Krebs cycle flux can be measured directly. The production of (13)C-labeled citrate and glutamate was decreased postischemia, as opposed to lactate, which was significantly elevated. These results showed that the control and fluxes of the Krebs cycle in heart disease can be studied using hyperpolarized [2-(13)C]pyruvate.-Schroeder, M. A., Atherton, H. J., Ball, D. R., Cole, M. A., Heather, L. C., Griffin, J. L., Clarke, K., Radda, G. K. Tyler, D. J. Real-time assessment of Krebs cycle metabolism using hyperpolarized (13)C magnetic resonance spectroscopy", "author" : [ { "dropping-particle" : "", "family" : "Schroeder", "given" : "M. A.", "non-dropping-particle" : "", "parse-names" : false, "suffix" : "" }, { "dropping-particle" : "", "family" : "Atherton", "given" : "H. J.", "non-dropping-particle" : "", "parse-names" : false, "suffix" : "" }, { "dropping-particle" : "", "family" : "Ball", "given" : "D. R.", "non-dropping-particle" : "", "parse-names" : false, "suffix" : "" }, { "dropping-particle" : "", "family" : "Cole", "given" : "M. A.", "non-dropping-particle" : "", "parse-names" : false, "suffix" : "" }, { "dropping-particle" : "", "family" : "Heather", "given" : "L. C.", "non-dropping-particle" : "", "parse-names" : false, "suffix" : "" }, { "dropping-particle" : "", "family" : "Griffin", "given" : "J. L.", "non-dropping-particle" : "", "parse-names" : false, "suffix" : "" }, { "dropping-particle" : "", "family" : "Clarke", "given" : "K.", "non-dropping-particle" : "", "parse-names" : false, "suffix" : "" }, { "dropping-particle" : "", "family" : "Radda", "given" : "G. K.", "non-dropping-particle" : "", "parse-names" : false, "suffix" : "" }, { "dropping-particle" : "", "family" : "Tyler", "given" : "D. J.", "non-dropping-particle" : "", "parse-names" : false, "suffix" : "" } ], "container-title" : "The FASEB Journal", "id" : "ITEM-1", "issue" : "8", "issued" : { "date-parts" : [ [ "2009" ] ] }, "page" : "2529-2538", "title" : "Real-time assessment of Krebs cycle metabolism using hyperpolarized 13C magnetic resonance spectroscopy", "type" : "article-journal", "volume" : "23" }, "uris" : [ "http://www.mendeley.com/documents/?uuid=3809e977-6866-4ad7-a7b5-304728bef0bf" ] } ], "mendeley" : { "formattedCitation" : "&lt;sup&gt;54&lt;/sup&gt;", "plainTextFormattedCitation" : "54", "previouslyFormattedCitation" : "&lt;sup&gt;54&lt;/sup&gt;" }, "properties" : {  }, "schema" : "https://github.com/citation-style-language/schema/raw/master/csl-citation.json" }</w:instrText>
      </w:r>
      <w:r w:rsidR="00AC47CA">
        <w:fldChar w:fldCharType="separate"/>
      </w:r>
      <w:r w:rsidR="00481147" w:rsidRPr="00481147">
        <w:rPr>
          <w:noProof/>
          <w:vertAlign w:val="superscript"/>
        </w:rPr>
        <w:t>54</w:t>
      </w:r>
      <w:r w:rsidR="00AC47CA">
        <w:fldChar w:fldCharType="end"/>
      </w:r>
      <w:r w:rsidR="004013F6">
        <w:t xml:space="preserve"> </w:t>
      </w:r>
    </w:p>
    <w:p w14:paraId="667BE293" w14:textId="77777777" w:rsidR="007B7A56" w:rsidRPr="00AC47CA" w:rsidRDefault="007B7A56" w:rsidP="0033768A">
      <w:pPr>
        <w:spacing w:line="360" w:lineRule="auto"/>
        <w:jc w:val="both"/>
      </w:pPr>
    </w:p>
    <w:p w14:paraId="2B0B2AF6" w14:textId="0A7C4CC0" w:rsidR="007B7A56" w:rsidRPr="000D72AC" w:rsidRDefault="002737C6" w:rsidP="007B7A56">
      <w:pPr>
        <w:spacing w:line="360" w:lineRule="auto"/>
        <w:jc w:val="both"/>
      </w:pPr>
      <w:r w:rsidRPr="000D72AC">
        <w:rPr>
          <w:vertAlign w:val="superscript"/>
        </w:rPr>
        <w:t>13</w:t>
      </w:r>
      <w:r w:rsidRPr="000D72AC">
        <w:t>C</w:t>
      </w:r>
      <w:r>
        <w:t>-</w:t>
      </w:r>
      <w:r w:rsidR="007B7A56" w:rsidRPr="000D72AC">
        <w:t xml:space="preserve">Urea has been utilised to </w:t>
      </w:r>
      <w:r>
        <w:t>probe</w:t>
      </w:r>
      <w:r w:rsidRPr="000D72AC">
        <w:t xml:space="preserve"> </w:t>
      </w:r>
      <w:r w:rsidR="007B7A56" w:rsidRPr="000D72AC">
        <w:t>tissue perfusion</w:t>
      </w:r>
      <w:r>
        <w:t xml:space="preserve"> </w:t>
      </w:r>
      <w:r w:rsidR="003C0943">
        <w:t xml:space="preserve">but </w:t>
      </w:r>
      <w:r>
        <w:t xml:space="preserve">unlike conventional perfusion tracers, is a </w:t>
      </w:r>
      <w:r w:rsidR="007B7A56" w:rsidRPr="000D72AC">
        <w:t xml:space="preserve">small </w:t>
      </w:r>
      <w:r w:rsidR="00726718">
        <w:t xml:space="preserve">endogenous </w:t>
      </w:r>
      <w:r w:rsidR="007B7A56" w:rsidRPr="000D72AC">
        <w:t>molecul</w:t>
      </w:r>
      <w:r>
        <w:t>e</w:t>
      </w:r>
      <w:r w:rsidR="007B7A56" w:rsidRPr="000D72AC">
        <w:t>.</w:t>
      </w:r>
      <w:r w:rsidR="008F2F9C">
        <w:fldChar w:fldCharType="begin" w:fldLock="1"/>
      </w:r>
      <w:r w:rsidR="00481147">
        <w:instrText>ADDIN CSL_CITATION { "citationItems" : [ { "id" : "ITEM-1", "itemData" : { "DOI" : "10.1034/j.1600-0455.44.s.429.1.x", "ISBN" : "9162853228", "ISSN" : "0284-1851", "author" : [ { "dropping-particle" : "", "family" : "Svensson", "given" : "Jonas", "non-dropping-particle" : "", "parse-names" : false, "suffix" : "" } ], "container-title" : "Acta Radiologica", "id" : "ITEM-1", "issue" : "s429", "issued" : { "date-parts" : [ [ "2003" ] ] }, "number-of-pages" : "1-30", "title" : "Contrast-enhanced magnetic resonance angiography. Development and optimization of techniques for paramagnetic and hyperpolarized contrast media", "type" : "book", "volume" : "44" }, "uris" : [ "http://www.mendeley.com/documents/?uuid=6212a1af-a77e-47e8-a7c7-086c4357f572" ] }, { "id" : "ITEM-2", "itemData" : { "DOI" : "10.1002/mrm.10530", "ISBN" : "0740-3194 (Print)\\r0740-3194 (Linking)", "ISSN" : "07403194", "PMID" : "12876701", "abstract" : "A (13)C-enriched water-soluble compound (bis-1,1-(hydroxymethyl)-1-(13)C-cyclopropane-D(8)), with a (13)C-concentration of approximately 200 mM, was hyperpolarized to approximately 15% using dynamic nuclear polarization, and then used as a contrast medium (CM) for contrast-enhanced magnetic resonance angiography (CE-MRA). The long relaxation times (in vitro: T(1) approximately 82 s, T(2) approximately 18 s; in vivo: T(1) approximately 38 s, T(2) approximately 1.3 s) are ideal for steady-state free precession (SSFP) imaging with a true fast imaging and steady precession (trueFISP) pulse sequence. It was shown both theoretically and experimentally that the optimal flip angle was 180 degrees. CE-MRA was performed in four anesthetized live rats after intravenous injection of 3 ml CM. The angiograms covered the thoracic/abdominal region in two of the animals, and the head-neck region in the other two. Fifteen consecutive images were acquired in each experiment, with a flip-back pulse at the end of each image acquisition. In the angiograms, the vena cava (SNR approximately 240), aorta, renal arteries, carotid arteries (SNR approximately 75), jugular veins, and several other vessels were visible. The SNR in the cardiac region was 500. Magnetization was preserved from one image acquisition to the next using the flip-back technique (SNR(cardiac) approximately 10 in the 15th image).", "author" : [ { "dropping-particle" : "", "family" : "Svensson", "given" : "Jonas", "non-dropping-particle" : "", "parse-names" : false, "suffix" : "" }, { "dropping-particle" : "", "family" : "M\u00e5nsson", "given" : "Sven", "non-dropping-particle" : "", "parse-names" : false, "suffix" : "" }, { "dropping-particle" : "", "family" : "Johansson", "given" : "Edvin", "non-dropping-particle" : "", "parse-names" : false, "suffix" : "" }, { "dropping-particle" : "", "family" : "Petersson", "given" : "J. Stefan", "non-dropping-particle" : "", "parse-names" : false, "suffix" : "" }, { "dropping-particle" : "", "family" : "Olsson", "given" : "Lars E.", "non-dropping-particle" : "", "parse-names" : false, "suffix" : "" } ], "container-title" : "Magnetic Resonance in Medicine", "id" : "ITEM-2", "issue" : "2", "issued" : { "date-parts" : [ [ "2003" ] ] }, "page" : "256-262", "title" : "Hyperpolarized 13C MR angiography using trueFISP", "type" : "article-journal", "volume" : "50" }, "uris" : [ "http://www.mendeley.com/documents/?uuid=1abf0cec-c5ce-4849-89ff-45044cd03067" ] } ], "mendeley" : { "formattedCitation" : "&lt;sup&gt;55,56&lt;/sup&gt;", "plainTextFormattedCitation" : "55,56", "previouslyFormattedCitation" : "&lt;sup&gt;55,56&lt;/sup&gt;" }, "properties" : {  }, "schema" : "https://github.com/citation-style-language/schema/raw/master/csl-citation.json" }</w:instrText>
      </w:r>
      <w:r w:rsidR="008F2F9C">
        <w:fldChar w:fldCharType="separate"/>
      </w:r>
      <w:r w:rsidR="00481147" w:rsidRPr="00481147">
        <w:rPr>
          <w:noProof/>
          <w:vertAlign w:val="superscript"/>
        </w:rPr>
        <w:t>55,56</w:t>
      </w:r>
      <w:r w:rsidR="008F2F9C">
        <w:fldChar w:fldCharType="end"/>
      </w:r>
      <w:r w:rsidR="007B7A56" w:rsidRPr="000D72AC">
        <w:t xml:space="preserve"> </w:t>
      </w:r>
      <w:r>
        <w:t xml:space="preserve">A number of </w:t>
      </w:r>
      <w:r w:rsidR="00726718">
        <w:t>potential issues</w:t>
      </w:r>
      <w:r>
        <w:t xml:space="preserve"> </w:t>
      </w:r>
      <w:r w:rsidR="00AD4071">
        <w:t xml:space="preserve">has </w:t>
      </w:r>
      <w:r>
        <w:t xml:space="preserve">been identified with gadolinium-based contrast agents </w:t>
      </w:r>
      <w:r w:rsidR="00726718">
        <w:t xml:space="preserve">recently </w:t>
      </w:r>
      <w:r>
        <w:t>such as accumulation in the brain with repeated use</w:t>
      </w:r>
      <w:r w:rsidR="00726718">
        <w:t>;</w:t>
      </w:r>
      <w:r w:rsidR="002A7002">
        <w:fldChar w:fldCharType="begin" w:fldLock="1"/>
      </w:r>
      <w:r w:rsidR="00481147">
        <w:instrText>ADDIN CSL_CITATION { "citationItems" : [ { "id" : "ITEM-1", "itemData" : { "DOI" : "10.1148/radiol.15150025", "ISBN" : "10.1148/radiol.15150025", "ISSN" : "0033-8419", "PMID" : "25742194", "abstract" : "Purpose To determine if repeated intravenous exposures to gadolinium-based contrast agents (GBCAs) are associated with neuronal tissue deposition. Materials and Methods In this institutional review board-approved single-center study, signal intensities from T1-weighted magnetic resonance (MR) images and postmortem neuronal tissue samples from 13 patients who underwent at least four GBCA-enhanced brain MR examinations between 2000 and 2014 (contrast group) were compared with those from 10 patients who did not receive GBCA (control group). Antemortem consent was obtained from all study participants. Neuronal tissues from the dentate nuclei, pons, globus pallidus, and thalamus of these 23 deceased patients were harvested and analyzed with inductively coupled plasma mass spectrometry (ICP-MS), transmission electron microscopy, and light microscopy to quantify, localize, and assess the effects of gadolinium deposition. Associations between cumulative gadolinium dose, changes in T1-weighted MR signal intensity, and ICP-MS-derived tissue gadolinium concentrations were examined by using the Spearman rank correlation coefficient (\u03c1). Results Compared with neuronal tissues of control patients, all of which demonstrated undetectable levels of gadolinium, neuronal tissues of patients from the contrast group contained 0.1-58.8 \u03bcg gadolinium per gram of tissue, in a significant dose-dependent relationship that correlated with signal intensity changes on precontrast T1-weighted MR images (\u03c1 = 0.49-0.93). All patients in the contrast group had relatively normal renal function at the time of MR examination. Gadolinium deposition in the capillary endothelium and neural interstitium was observed only in the contrast group. Conclusion Intravenous GBCA exposure is associated with neuronal tissue deposition in the setting of relatively normal renal function. Additional studies are needed to investigate the clinical significance of these findings and the generalizability to other GBCAs. (\u00a9) RSNA, 2015 Online supplemental material is available for this article.", "author" : [ { "dropping-particle" : "", "family" : "McDonald", "given" : "Robert J", "non-dropping-particle" : "", "parse-names" : false, "suffix" : "" }, { "dropping-particle" : "", "family" : "McDonald", "given" : "Jennifer S", "non-dropping-particle" : "", "parse-names" : false, "suffix" : "" }, { "dropping-particle" : "", "family" : "Kallmes", "given" : "David F", "non-dropping-particle" : "", "parse-names" : false, "suffix" : "" }, { "dropping-particle" : "", "family" : "Jentoft", "given" : "Mark E", "non-dropping-particle" : "", "parse-names" : false, "suffix" : "" }, { "dropping-particle" : "", "family" : "Murray", "given" : "David L", "non-dropping-particle" : "", "parse-names" : false, "suffix" : "" }, { "dropping-particle" : "", "family" : "Thielen", "given" : "Kent R", "non-dropping-particle" : "", "parse-names" : false, "suffix" : "" }, { "dropping-particle" : "", "family" : "Williamson", "given" : "Eric E", "non-dropping-particle" : "", "parse-names" : false, "suffix" : "" }, { "dropping-particle" : "", "family" : "Eckel", "given" : "Laurence J", "non-dropping-particle" : "", "parse-names" : false, "suffix" : "" } ], "container-title" : "Radiology", "id" : "ITEM-1", "issue" : "3", "issued" : { "date-parts" : [ [ "2015" ] ] }, "page" : "772-782", "title" : "Intracranial gadolinium deposition after contrast-enhanced MR Imaging.", "type" : "article-journal", "volume" : "275" }, "uris" : [ "http://www.mendeley.com/documents/?uuid=5b92eefe-600a-428b-ba5b-fb7c0f2d83da" ] }, { "id" : "ITEM-2", "itemData" : { "DOI" : "10.1148/radiol.2015142690", "ISBN" : "0033-8419", "ISSN" : "1527-1315", "PMID" : "25942417", "abstract" : "Purpose To use inductively coupled plasma mass spectroscopy (ICP-MS) to evaluate gadolinium accumulation in brain tissues, including the dentate nucleus (DN) and globus pallidus (GP), in subjects who received a gadolinium-based contrast agent (GBCA). Materials and Methods Institutional review board approval was obtained for this study. Written informed consent for postmortem investigation was obtained either from the subject prior to his or her death or afterward from the subject's relatives. Brain tissues obtained at autopsy in five subjects who received a linear GBCA (GBCA group) and five subjects with no history of GBCA administration (non-GBCA group) were examined with ICP-MS. Formalin-fixed DN tissue, the inner segment of the GP, cerebellar white matter, the frontal lobe cortex, and frontal lobe white matter were obtained, and their gadolinium concentrations were measured. None of the subjects had received a diagnosis of severely compromised renal function (estimated glomerular filtration rate &lt;45 mL/min/1.73 m(2)) or acute renal failure. Fisher permutation test was used to compare gadolinium concentrations between the two groups and among brain regions. Results Gadolinium was detected in all specimens in the GBCA agent group (mean, 0.25 \u00b5g per gram of brain tissue \u00b1 0.44 [standard deviation]), with significantly higher concentrations in each region (P = .004 vs the non-GBCA group for all regions). In the GBCA group, the DN and GP showed significantly higher gadolinium concentrations (mean, 0.44 \u00b5g/g \u00b1 0.63) than other regions (0.12 \u00b5g/g \u00b1 0.16) (P = .029). Conclusion Even in subjects without severe renal dysfunction, GBCA administration causes gadolinium accumulation in the brain, especially in the DN and GP. (\u00a9) RSNA, 2015.", "author" : [ { "dropping-particle" : "", "family" : "Kanda", "given" : "Tomonori", "non-dropping-particle" : "", "parse-names" : false, "suffix" : "" }, { "dropping-particle" : "", "family" : "Fukusato", "given" : "Toshio", "non-dropping-particle" : "", "parse-names" : false, "suffix" : "" }, { "dropping-particle" : "", "family" : "Matsuda", "given" : "Megumi", "non-dropping-particle" : "", "parse-names" : false, "suffix" : "" }, { "dropping-particle" : "", "family" : "Toyoda", "given" : "Keiko", "non-dropping-particle" : "", "parse-names" : false, "suffix" : "" }, { "dropping-particle" : "", "family" : "Oba", "given" : "Hiroshi", "non-dropping-particle" : "", "parse-names" : false, "suffix" : "" }, { "dropping-particle" : "", "family" : "Kotoku", "given" : "Jun'ichi", "non-dropping-particle" : "", "parse-names" : false, "suffix" : "" }, { "dropping-particle" : "", "family" : "Haruyama", "given" : "Takahiro", "non-dropping-particle" : "", "parse-names" : false, "suffix" : "" }, { "dropping-particle" : "", "family" : "Kitajima", "given" : "Kazuhiro", "non-dropping-particle" : "", "parse-names" : false, "suffix" : "" }, { "dropping-particle" : "", "family" : "Furui", "given" : "Shigeru", "non-dropping-particle" : "", "parse-names" : false, "suffix" : "" } ], "container-title" : "Radiology", "id" : "ITEM-2", "issue" : "1", "issued" : { "date-parts" : [ [ "2015" ] ] }, "page" : "228-32", "title" : "Gadolinium-based contrast agent accumulates in the brain even in subjects without severe renal dysfunction: evaluation of autopsy brain specimens with inductively coupled plasma mass spectroscopy.", "type" : "article-journal", "volume" : "276" }, "uris" : [ "http://www.mendeley.com/documents/?uuid=09ffdb8c-c7b5-4409-b0f0-980168c53350" ] } ], "mendeley" : { "formattedCitation" : "&lt;sup&gt;57,58&lt;/sup&gt;", "plainTextFormattedCitation" : "57,58", "previouslyFormattedCitation" : "&lt;sup&gt;57,58&lt;/sup&gt;" }, "properties" : {  }, "schema" : "https://github.com/citation-style-language/schema/raw/master/csl-citation.json" }</w:instrText>
      </w:r>
      <w:r w:rsidR="002A7002">
        <w:fldChar w:fldCharType="separate"/>
      </w:r>
      <w:r w:rsidR="00481147" w:rsidRPr="00481147">
        <w:rPr>
          <w:noProof/>
          <w:vertAlign w:val="superscript"/>
        </w:rPr>
        <w:t>57,58</w:t>
      </w:r>
      <w:r w:rsidR="002A7002">
        <w:fldChar w:fldCharType="end"/>
      </w:r>
      <w:r w:rsidR="00726718">
        <w:t xml:space="preserve"> </w:t>
      </w:r>
      <w:r>
        <w:t>consequently, hyperpolari</w:t>
      </w:r>
      <w:r w:rsidR="007546D5">
        <w:t>z</w:t>
      </w:r>
      <w:r>
        <w:t xml:space="preserve">ed urea may provide an alternative method to image tissue </w:t>
      </w:r>
      <w:r w:rsidR="0055549E">
        <w:t>perfusion</w:t>
      </w:r>
      <w:r w:rsidR="00726718">
        <w:t xml:space="preserve"> with a physiologically relevant molecule</w:t>
      </w:r>
      <w:r w:rsidR="0055549E">
        <w:t>.</w:t>
      </w:r>
      <w:r w:rsidR="005F164D">
        <w:fldChar w:fldCharType="begin" w:fldLock="1"/>
      </w:r>
      <w:r w:rsidR="00481147">
        <w:instrText>ADDIN CSL_CITATION { "citationItems" : [ { "id" : "ITEM-1", "itemData" : { "DOI" : "10.1016/j.mri.2008.01.002", "ISBN" : "0730-725X", "ISSN" : "0730725X", "PMID" : "18479878", "abstract" : "The development of dynamic nuclear polarization in solution has enabled in vivo 13C MR studies at high signal-to-noise ratio following injection of prepolarized 13C substrates. While prior studies have demonstrated the ability to observe metabolism following injection of hyperpolarized 13C pyruvate, the goal of this study was to develop and test a new hyperpolarized agent for investigating in vivo metabolism, [1-13C]lactate. A preparation for prepolarized 13C lactate and the requisite dissolution media were developed to investigate the feasibility for in vivo 13C MRS/MRSI studies following injection of this hyperpolarized agent. This study demonstrated, for the first time, not only the ability to detect hyperpolarized [1-13C]lactate in vivo but also the metabolic products 13C pyruvate, 13C alanine and 13C bicarbonate following injection in normal rats. The use of 13C lactate as a substrate provided the opportunity to study the conversion of lactate to pyruvate in vivo and to detect the secondary conversions to alanine and bicarbonate through pyruvate. This study also demonstrated the potential value of this hyperpolarized agent to investigate in vivo lactate uptake and metabolism in preclinical animal models. ?? 2008 Elsevier Inc. All rights reserved.", "author" : [ { "dropping-particle" : "", "family" : "Chen", "given" : "Albert P.", "non-dropping-particle" : "", "parse-names" : false, "suffix" : "" }, { "dropping-particle" : "", "family" : "Kurhanewicz", "given" : "John", "non-dropping-particle" : "", "parse-names" : false, "suffix" : "" }, { "dropping-particle" : "", "family" : "Bok", "given" : "Robert", "non-dropping-particle" : "", "parse-names" : false, "suffix" : "" }, { "dropping-particle" : "", "family" : "Xu", "given" : "Duan", "non-dropping-particle" : "", "parse-names" : false, "suffix" : "" }, { "dropping-particle" : "", "family" : "Joun", "given" : "David", "non-dropping-particle" : "", "parse-names" : false, "suffix" : "" }, { "dropping-particle" : "", "family" : "Zhang", "given" : "Vickie", "non-dropping-particle" : "", "parse-names" : false, "suffix" : "" }, { "dropping-particle" : "", "family" : "Nelson", "given" : "Sarah J.", "non-dropping-particle" : "", "parse-names" : false, "suffix" : "" }, { "dropping-particle" : "", "family" : "Hurd", "given" : "Ralph E.", "non-dropping-particle" : "", "parse-names" : false, "suffix" : "" }, { "dropping-particle" : "", "family" : "Vigneron", "given" : "Daniel B.", "non-dropping-particle" : "", "parse-names" : false, "suffix" : "" } ], "container-title" : "Magnetic Resonance Imaging", "id" : "ITEM-1", "issue" : "6", "issued" : { "date-parts" : [ [ "2008" ] ] }, "page" : "721-726", "title" : "Feasibility of using hyperpolarized [1-13C]lactate as a substrate for in vivo metabolic 13C MRSI studies", "type" : "article-journal", "volume" : "26" }, "uris" : [ "http://www.mendeley.com/documents/?uuid=0e6a29de-d5b5-440f-9c2a-aaa0cc966ff2", "http://www.mendeley.com/documents/?uuid=8834be3b-5478-4caa-a399-a42449edc036" ] } ], "mendeley" : { "formattedCitation" : "&lt;sup&gt;52&lt;/sup&gt;", "plainTextFormattedCitation" : "52", "previouslyFormattedCitation" : "&lt;sup&gt;52&lt;/sup&gt;" }, "properties" : {  }, "schema" : "https://github.com/citation-style-language/schema/raw/master/csl-citation.json" }</w:instrText>
      </w:r>
      <w:r w:rsidR="005F164D">
        <w:fldChar w:fldCharType="separate"/>
      </w:r>
      <w:r w:rsidR="00481147" w:rsidRPr="00481147">
        <w:rPr>
          <w:noProof/>
          <w:vertAlign w:val="superscript"/>
        </w:rPr>
        <w:t>52</w:t>
      </w:r>
      <w:r w:rsidR="005F164D">
        <w:fldChar w:fldCharType="end"/>
      </w:r>
      <w:r w:rsidR="0055549E">
        <w:t xml:space="preserve"> </w:t>
      </w:r>
      <w:r w:rsidRPr="000D72AC">
        <w:rPr>
          <w:vertAlign w:val="superscript"/>
        </w:rPr>
        <w:t>13</w:t>
      </w:r>
      <w:r w:rsidRPr="000D72AC">
        <w:t>C</w:t>
      </w:r>
      <w:r>
        <w:t>-Urea</w:t>
      </w:r>
      <w:r w:rsidR="007B7A56" w:rsidRPr="000D72AC">
        <w:t xml:space="preserve"> </w:t>
      </w:r>
      <w:r w:rsidR="0055549E">
        <w:t xml:space="preserve">could also be used to study tissue oxygenation </w:t>
      </w:r>
      <w:r w:rsidR="00A16A57">
        <w:t xml:space="preserve">as </w:t>
      </w:r>
      <w:r w:rsidR="00635542">
        <w:t xml:space="preserve">has been </w:t>
      </w:r>
      <w:r w:rsidR="0055549E">
        <w:t xml:space="preserve">shown in </w:t>
      </w:r>
      <w:r w:rsidR="007B7A56" w:rsidRPr="000D72AC">
        <w:t xml:space="preserve">both </w:t>
      </w:r>
      <w:r w:rsidR="00635542">
        <w:t xml:space="preserve">the </w:t>
      </w:r>
      <w:r w:rsidR="007B7A56" w:rsidRPr="000D72AC">
        <w:t>healthy and diabetic rat kidne</w:t>
      </w:r>
      <w:r w:rsidR="0055549E">
        <w:t>y</w:t>
      </w:r>
      <w:r w:rsidR="007B7A56" w:rsidRPr="000D72AC">
        <w:t>.</w:t>
      </w:r>
      <w:r w:rsidR="007B7A56" w:rsidRPr="000D72AC">
        <w:fldChar w:fldCharType="begin" w:fldLock="1"/>
      </w:r>
      <w:r w:rsidR="00481147">
        <w:instrText>ADDIN CSL_CITATION { "citationItems" : [ { "id" : "ITEM-1", "itemData" : { "DOI" : "10.1109/TMI.2013.2285120", "ISSN" : "02780062", "PMID" : "24235273", "abstract" : "(13)C steady state free precession (SSFP) magnetic resonance imaging and effective spin-spin relaxation time (T2) mapping were performed using hyperpolarized [(13)C] urea and [(13) C,(15)N2] urea injected intravenously in rats. (15)N labeling gave large T2 increases both in solution and in vivo due to the elimination of a strong scalar relaxation pathway. The T2 increase was pronounced in the kidney, with [(13) C,(15) N2] urea giving T2 values of 6.3\u00b11.3 s in the cortex and medulla, and 11\u00b12 s in the renal pelvis. The measured T2 in the aorta was 1.3\u00b10.3 s. [(13)C] urea showed shortened T2 values in the kidney of 0.23\u00b10.03 s compared to 0.28\u00b10.03 s measured in the aorta. The enhanced T2 of [(13)C,(15)N2] urea was utilized to generate large signal enhancement by SSFP acquisitions with flip angles approaching the fully refocused regime. Projection images at 0.94 mm in-plane resolution were acquired with both urea isotopes, with [(13)C,(15) N2] urea giving a greater than four-fold increase in signal-to-noise ratio over [(13)C] urea.", "author" : [ { "dropping-particle" : "", "family" : "Reed", "given" : "Galen D.", "non-dropping-particle" : "", "parse-names" : false, "suffix" : "" }, { "dropping-particle" : "", "family" : "Morze", "given" : "Cornelius", "non-dropping-particle" : "Von", "parse-names" : false, "suffix" : "" }, { "dropping-particle" : "", "family" : "Bok", "given" : "Robert", "non-dropping-particle" : "", "parse-names" : false, "suffix" : "" }, { "dropping-particle" : "", "family" : "Koelsch", "given" : "Bertram L.", "non-dropping-particle" : "", "parse-names" : false, "suffix" : "" }, { "dropping-particle" : "", "family" : "Criekinge", "given" : "Mark", "non-dropping-particle" : "Van", "parse-names" : false, "suffix" : "" }, { "dropping-particle" : "", "family" : "Smith", "given" : "Kenneth J.", "non-dropping-particle" : "", "parse-names" : false, "suffix" : "" }, { "dropping-particle" : "", "family" : "Shang", "given" : "Hong", "non-dropping-particle" : "", "parse-names" : false, "suffix" : "" }, { "dropping-particle" : "", "family" : "Larson", "given" : "Peder E Z", "non-dropping-particle" : "", "parse-names" : false, "suffix" : "" }, { "dropping-particle" : "", "family" : "Kurhanewicz", "given" : "John", "non-dropping-particle" : "", "parse-names" : false, "suffix" : "" }, { "dropping-particle" : "", "family" : "Vigneron", "given" : "Daniel B.", "non-dropping-particle" : "", "parse-names" : false, "suffix" : "" } ], "container-title" : "IEEE Transactions on Medical Imaging", "id" : "ITEM-1", "issue" : "2", "issued" : { "date-parts" : [ [ "2014" ] ] }, "page" : "362-371", "title" : "High resolution 13C MRI with hyperpolarized urea: In vivo T 2 mapping and 15N labeling effects", "type" : "article-journal", "volume" : "33" }, "uris" : [ "http://www.mendeley.com/documents/?uuid=17a2f9d0-c93d-448f-887e-c42082ae1584" ] }, { "id" : "ITEM-2", "itemData" : { "DOI" : "10.1002/mrm.26036", "ISSN" : "15222594", "PMID" : "26584247", "abstract" : "PURPOSE: Our aim was to assess a novel (13) C radial fast spin echo golden ratio single shot method for interrogating early renal changes in the diabetic kidney, using hyperpolarized (HP) [(13) C,(15) N2 ]urea as a T2 relaxation based contrast bio-probe.\\n\\nMETHODS: A novel HP (13) C MR contrast experiment was conducted in a group of streptozotocin type-1 diabetic rat model and age matched controls.\\n\\nRESULTS: A significantly different relaxation time (P = 0.004) was found in the diabetic kidney (0.49 \u00b1 0.03 s) compared with the controls (0.64 \u00b1 0.02 s) and secondly, a strong correlation between the blood oxygen saturation level and the relaxation times were observed in the healthy controls.\\n\\nCONCLUSION: HP [(13) C,(15) N2 ]urea apparent T2 mapping may be a useful for interrogating local renal pO2 status and renal tissue alterations. Magn Reson Med, 2015. \u00a9 2015 The Authors. Magnetic Resonance in Medicine published by Wiley Periodicals, Inc. on behalf of International Society for Magnetic Resonance in Medicine. This is an open access article under the terms of the Creative Commons Attribution-NonCommercial-NoDerivs License, which permits use and distribution in any medium, provided the original work is properly cited, the use is non-commercial and no modifications or adaptations are made.", "author" : [ { "dropping-particle" : "", "family" : "Laustsen", "given" : "Christoffer", "non-dropping-particle" : "", "parse-names" : false, "suffix" : "" }, { "dropping-particle" : "", "family" : "Stokholm N\u00f8rlinger", "given" : "Thomas", "non-dropping-particle" : "", "parse-names" : false, "suffix" : "" }, { "dropping-particle" : "", "family" : "Christoffer Hansen", "given" : "David", "non-dropping-particle" : "", "parse-names" : false, "suffix" : "" }, { "dropping-particle" : "", "family" : "Qi", "given" : "Haiyun", "non-dropping-particle" : "", "parse-names" : false, "suffix" : "" }, { "dropping-particle" : "", "family" : "Mose Nielsen", "given" : "Per", "non-dropping-particle" : "", "parse-names" : false, "suffix" : "" }, { "dropping-particle" : "", "family" : "Bonde Bertelsen", "given" : "Lotte", "non-dropping-particle" : "", "parse-names" : false, "suffix" : "" }, { "dropping-particle" : "", "family" : "Henrik Ardenkjaer-Larsen", "given" : "Jan", "non-dropping-particle" : "", "parse-names" : false, "suffix" : "" }, { "dropping-particle" : "", "family" : "St??dkilde J??rgensen", "given" : "Hans", "non-dropping-particle" : "", "parse-names" : false, "suffix" : "" } ], "container-title" : "Magnetic Resonance in Medicine", "id" : "ITEM-2", "issue" : "2", "issued" : { "date-parts" : [ [ "2016" ] ] }, "page" : "515-518", "title" : "Hyperpolarized 13C urea relaxation mechanism reveals renal changes in diabetic nephropathy", "type" : "article-journal", "volume" : "75" }, "uris" : [ "http://www.mendeley.com/documents/?uuid=cabd16ad-9344-4d21-a102-702c45291a86" ] } ], "mendeley" : { "formattedCitation" : "&lt;sup&gt;59,60&lt;/sup&gt;", "plainTextFormattedCitation" : "59,60", "previouslyFormattedCitation" : "&lt;sup&gt;59,60&lt;/sup&gt;" }, "properties" : {  }, "schema" : "https://github.com/citation-style-language/schema/raw/master/csl-citation.json" }</w:instrText>
      </w:r>
      <w:r w:rsidR="007B7A56" w:rsidRPr="000D72AC">
        <w:fldChar w:fldCharType="separate"/>
      </w:r>
      <w:r w:rsidR="00481147" w:rsidRPr="00481147">
        <w:rPr>
          <w:noProof/>
          <w:vertAlign w:val="superscript"/>
        </w:rPr>
        <w:t>59,60</w:t>
      </w:r>
      <w:r w:rsidR="007B7A56" w:rsidRPr="000D72AC">
        <w:fldChar w:fldCharType="end"/>
      </w:r>
      <w:r>
        <w:t xml:space="preserve"> </w:t>
      </w:r>
    </w:p>
    <w:p w14:paraId="08802287" w14:textId="77777777" w:rsidR="005B1264" w:rsidRDefault="005B1264" w:rsidP="0033768A">
      <w:pPr>
        <w:spacing w:line="360" w:lineRule="auto"/>
        <w:jc w:val="both"/>
      </w:pPr>
    </w:p>
    <w:p w14:paraId="6042209C" w14:textId="4D8C4047" w:rsidR="00CA5A28" w:rsidRPr="000D72AC" w:rsidRDefault="00EE00D7" w:rsidP="0033768A">
      <w:pPr>
        <w:spacing w:line="360" w:lineRule="auto"/>
        <w:jc w:val="both"/>
      </w:pPr>
      <w:r w:rsidRPr="000D72AC">
        <w:t>Hyperpolarized [1,4-</w:t>
      </w:r>
      <w:r w:rsidRPr="000D72AC">
        <w:rPr>
          <w:vertAlign w:val="superscript"/>
        </w:rPr>
        <w:t>13</w:t>
      </w:r>
      <w:r w:rsidRPr="000D72AC">
        <w:t>C</w:t>
      </w:r>
      <w:proofErr w:type="gramStart"/>
      <w:r w:rsidRPr="000D72AC">
        <w:rPr>
          <w:vertAlign w:val="subscript"/>
        </w:rPr>
        <w:t>2</w:t>
      </w:r>
      <w:r w:rsidRPr="000D72AC">
        <w:t>]</w:t>
      </w:r>
      <w:r w:rsidR="00FA37EF">
        <w:t>f</w:t>
      </w:r>
      <w:r w:rsidRPr="000D72AC">
        <w:t>umarate</w:t>
      </w:r>
      <w:proofErr w:type="gramEnd"/>
      <w:r w:rsidRPr="000D72AC">
        <w:t xml:space="preserve"> </w:t>
      </w:r>
      <w:r>
        <w:t>has been proposed as a</w:t>
      </w:r>
      <w:r w:rsidR="00635542">
        <w:t xml:space="preserve"> </w:t>
      </w:r>
      <w:r w:rsidRPr="000D72AC">
        <w:t>positive contrast agent</w:t>
      </w:r>
      <w:r>
        <w:t xml:space="preserve"> for detecting successful treatment response and tissue necrosis.</w:t>
      </w:r>
      <w:r w:rsidRPr="000D72AC">
        <w:t xml:space="preserve"> [1,4-</w:t>
      </w:r>
      <w:r w:rsidRPr="000D72AC">
        <w:rPr>
          <w:vertAlign w:val="superscript"/>
        </w:rPr>
        <w:t>13</w:t>
      </w:r>
      <w:r w:rsidRPr="000D72AC">
        <w:t>C</w:t>
      </w:r>
      <w:proofErr w:type="gramStart"/>
      <w:r w:rsidRPr="000D72AC">
        <w:rPr>
          <w:vertAlign w:val="subscript"/>
        </w:rPr>
        <w:t>2</w:t>
      </w:r>
      <w:r>
        <w:t>]</w:t>
      </w:r>
      <w:r w:rsidR="00FA37EF">
        <w:t>f</w:t>
      </w:r>
      <w:r w:rsidRPr="000D72AC">
        <w:t>umarate</w:t>
      </w:r>
      <w:proofErr w:type="gramEnd"/>
      <w:r>
        <w:t xml:space="preserve"> is exchanged to</w:t>
      </w:r>
      <w:r w:rsidRPr="000D72AC">
        <w:t xml:space="preserve"> [1,4-</w:t>
      </w:r>
      <w:r w:rsidRPr="000D72AC">
        <w:rPr>
          <w:vertAlign w:val="superscript"/>
        </w:rPr>
        <w:t>13</w:t>
      </w:r>
      <w:r w:rsidRPr="000D72AC">
        <w:t>C</w:t>
      </w:r>
      <w:r w:rsidRPr="000D72AC">
        <w:rPr>
          <w:vertAlign w:val="subscript"/>
        </w:rPr>
        <w:t>2</w:t>
      </w:r>
      <w:r w:rsidRPr="000D72AC">
        <w:t>]malate</w:t>
      </w:r>
      <w:r w:rsidR="007B7A56">
        <w:t xml:space="preserve"> in the presence of the enzyme </w:t>
      </w:r>
      <w:proofErr w:type="spellStart"/>
      <w:r w:rsidR="0055549E">
        <w:t>f</w:t>
      </w:r>
      <w:r>
        <w:t>umarase</w:t>
      </w:r>
      <w:proofErr w:type="spellEnd"/>
      <w:r w:rsidR="007B7A56">
        <w:t>.</w:t>
      </w:r>
      <w:r w:rsidR="007B7A56" w:rsidRPr="007B7A56">
        <w:t xml:space="preserve"> </w:t>
      </w:r>
      <w:r w:rsidR="007B7A56">
        <w:t xml:space="preserve">The </w:t>
      </w:r>
      <w:r w:rsidR="0055549E">
        <w:t xml:space="preserve">intracellular enzyme is </w:t>
      </w:r>
      <w:r w:rsidR="007B7A56" w:rsidRPr="000D72AC">
        <w:t xml:space="preserve">released </w:t>
      </w:r>
      <w:r w:rsidR="0055549E">
        <w:t xml:space="preserve">into the extracellular space </w:t>
      </w:r>
      <w:r w:rsidR="00635542">
        <w:t xml:space="preserve">following </w:t>
      </w:r>
      <w:r w:rsidR="0055549E">
        <w:t>necrosis</w:t>
      </w:r>
      <w:r w:rsidR="007B7A56" w:rsidRPr="000D72AC">
        <w:t xml:space="preserve"> </w:t>
      </w:r>
      <w:r w:rsidR="0055549E">
        <w:t>allowing enzymatic conversion of fumarate to malate</w:t>
      </w:r>
      <w:r w:rsidR="00DD5642">
        <w:t xml:space="preserve"> (figure 6)</w:t>
      </w:r>
      <w:r>
        <w:t>.</w:t>
      </w:r>
      <w:r w:rsidRPr="000D72AC">
        <w:fldChar w:fldCharType="begin" w:fldLock="1"/>
      </w:r>
      <w:r w:rsidR="00481147">
        <w:instrText>ADDIN CSL_CITATION { "citationItems" : [ { "id" : "ITEM-1", "itemData" : { "DOI" : "10.1073/pnas.0911447106", "ISBN" : "0027-8424\\r1091-6490", "ISSN" : "1091-6490", "PMID" : "19903889", "abstract" : "Dynamic nuclear polarization of (13)C-labeled cell substrates has been shown to massively increase their sensitivity to detection in NMR experiments. The sensitivity gain is sufficiently large that if these polarized molecules are injected intravenously, their spatial distribution and subsequent conversion into other cell metabolites can be imaged. We have used this method to image the conversion of fumarate to malate in a murine lymphoma tumor in vivo after i.v. injection of hyperpolarized [1,4-(13)C(2)]fumarate. In isolated lymphoma cells, the rate of labeled malate production was unaffected by coadministration of succinate, which competes with fumarate for transport into the cell. There was, however, a correlation with the percentage of cells that had lost plasma membrane integrity, suggesting that the production of labeled malate from fumarate is a sensitive marker of cellular necrosis. Twenty-four hours after treating implanted lymphoma tumors with etoposide, at which point there were significant levels of tumor cell necrosis, there was a 2.4-fold increase in hyperpolarized [1,4-(13)C(2)]malate production compared with the untreated tumors. Therefore, the formation of hyperpolarized (13)C-labeled malate from [1,4-(13)C(2)]fumarate appears to be a sensitive marker of tumor cell death in vivo and could be used to detect the early response of tumors to treatment. Given that fumarate is an endogenous molecule, this technique has the potential to be used clinically.", "author" : [ { "dropping-particle" : "", "family" : "Gallagher", "given" : "Ferdia A", "non-dropping-particle" : "", "parse-names" : false, "suffix" : "" }, { "dropping-particle" : "", "family" : "Kettunen", "given" : "Mikko I", "non-dropping-particle" : "", "parse-names" : false, "suffix" : "" }, { "dropping-particle" : "", "family" : "Hu", "given" : "De-En", "non-dropping-particle" : "", "parse-names" : false, "suffix" : "" }, { "dropping-particle" : "", "family" : "Jensen", "given" : "Pernille R", "non-dropping-particle" : "", "parse-names" : false, "suffix" : "" }, { "dropping-particle" : "In 't", "family" : "Zandt", "given" : "Ren\u00e9", "non-dropping-particle" : "", "parse-names" : false, "suffix" : "" }, { "dropping-particle" : "", "family" : "Karlsson", "given" : "Magnus", "non-dropping-particle" : "", "parse-names" : false, "suffix" : "" }, { "dropping-particle" : "", "family" : "Gisselsson", "given" : "Anna", "non-dropping-particle" : "", "parse-names" : false, "suffix" : "" }, { "dropping-particle" : "", "family" : "Nelson", "given" : "Sarah K", "non-dropping-particle" : "", "parse-names" : false, "suffix" : "" }, { "dropping-particle" : "", "family" : "Witney", "given" : "Timothy H", "non-dropping-particle" : "", "parse-names" : false, "suffix" : "" }, { "dropping-particle" : "", "family" : "Bohndiek", "given" : "Sarah E", "non-dropping-particle" : "", "parse-names" : false, "suffix" : "" }, { "dropping-particle" : "", "family" : "Hansson", "given" : "Georg", "non-dropping-particle" : "", "parse-names" : false, "suffix" : "" }, { "dropping-particle" : "", "family" : "Peitersen", "given" : "Torben", "non-dropping-particle" : "", "parse-names" : false, "suffix" : "" }, { "dropping-particle" : "", "family" : "Lerche", "given" : "Mathilde H", "non-dropping-particle" : "", "parse-names" : false, "suffix" : "" }, { "dropping-particle" : "", "family" : "Brindle", "given" : "Kevin M", "non-dropping-particle" : "", "parse-names" : false, "suffix" : "" } ], "container-title" : "Proc Natl Acad Sci", "id" : "ITEM-1", "issue" : "47", "issued" : { "date-parts" : [ [ "2009" ] ] }, "page" : "19801-19806", "title" : "Production of hyperpolarized [1,4-13C2]malate from [1,4-13C2]fumarate is a marker of cell necrosis and treatment response in tumors.", "type" : "article-journal", "volume" : "106" }, "uris" : [ "http://www.mendeley.com/documents/?uuid=84a998c7-c81c-4d3c-9534-1597b5c5c8f5" ] } ], "mendeley" : { "formattedCitation" : "&lt;sup&gt;61&lt;/sup&gt;", "plainTextFormattedCitation" : "61", "previouslyFormattedCitation" : "&lt;sup&gt;61&lt;/sup&gt;" }, "properties" : {  }, "schema" : "https://github.com/citation-style-language/schema/raw/master/csl-citation.json" }</w:instrText>
      </w:r>
      <w:r w:rsidRPr="000D72AC">
        <w:fldChar w:fldCharType="separate"/>
      </w:r>
      <w:r w:rsidR="00481147" w:rsidRPr="00481147">
        <w:rPr>
          <w:noProof/>
          <w:vertAlign w:val="superscript"/>
        </w:rPr>
        <w:t>61</w:t>
      </w:r>
      <w:r w:rsidRPr="000D72AC">
        <w:fldChar w:fldCharType="end"/>
      </w:r>
      <w:r w:rsidRPr="000D72AC">
        <w:t xml:space="preserve"> </w:t>
      </w:r>
      <w:r w:rsidR="00CA5A28" w:rsidRPr="000D72AC">
        <w:t xml:space="preserve">This has been </w:t>
      </w:r>
      <w:r w:rsidR="0055549E">
        <w:t>demonstrated</w:t>
      </w:r>
      <w:r w:rsidR="0055549E" w:rsidRPr="000D72AC">
        <w:t xml:space="preserve"> </w:t>
      </w:r>
      <w:r w:rsidR="00CA5A28" w:rsidRPr="000D72AC">
        <w:t xml:space="preserve">in </w:t>
      </w:r>
      <w:r w:rsidR="00140313">
        <w:t xml:space="preserve">tumours and in </w:t>
      </w:r>
      <w:r w:rsidR="00E32813" w:rsidRPr="000D72AC">
        <w:t>acute kidney injury</w:t>
      </w:r>
      <w:r w:rsidR="00CA5A28" w:rsidRPr="000D72AC">
        <w:t>.</w:t>
      </w:r>
      <w:r w:rsidR="0074082C" w:rsidRPr="000D72AC">
        <w:fldChar w:fldCharType="begin" w:fldLock="1"/>
      </w:r>
      <w:r w:rsidR="006D4D5D">
        <w:instrText>ADDIN CSL_CITATION { "citationItems" : [ { "id" : "ITEM-1", "itemData" : { "DOI" : "10.1038/srep40812", "ISSN" : "2045-2322", "PMID" : "28094329", "abstract" : "Renal ischemia/reperfusion injury (IRI) is a leading cause of acute kidney injury (AKI), and at present, there is a lack of reliable biomarkers that can diagnose AKI and measure early progression because the commonly used methods cannot evaluate single-kidney IRI. Hyperpolarized [1,4-(13)C2]fumarate conversion to [1,4-(13)C2]malate by fumarase has been proposed as a measure of necrosis in rat tumor models and in chemically induced AKI rats. Here we show that the degradation of cell membranes in connection with necrosis leads to elevated fumarase activity in plasma and urine and secondly that hyperpolarized [1,4-(13)C2]malate production 24\u2009h after reperfusion correlates with renal necrosis in a 40-min unilateral ischemic rat model. Fumarase activity screening on bio-fluids can detect injury severity, in bilateral as well as unilateral AKI models, differentiating moderate and severe AKI as well as short- and long-term AKI. Furthermore after verification of renal injury by bio-fluid analysis the precise injury location can be monitored by in vivo measurements of the fumarase activity non-invasively by hyperpolarized [1,4-(13)C]fumarate MR imaging. The combined in vitro and in vivo biomarker of AKI responds to the essential requirements for a new reliable biomarker of AKI.", "author" : [ { "dropping-particle" : "", "family" : "Nielsen", "given" : "Per Mose", "non-dropping-particle" : "", "parse-names" : false, "suffix" : "" }, { "dropping-particle" : "", "family" : "Eldirdiri", "given" : "Abubakr", "non-dropping-particle" : "", "parse-names" : false, "suffix" : "" }, { "dropping-particle" : "", "family" : "Bertelsen", "given" : "Lotte Bonde", "non-dropping-particle" : "", "parse-names" : false, "suffix" : "" }, { "dropping-particle" : "", "family" : "J\u00f8rgensen", "given" : "Hans St\u00f8dkilde", "non-dropping-particle" : "", "parse-names" : false, "suffix" : "" }, { "dropping-particle" : "", "family" : "Ardenkjaer-Larsen", "given" : "Jan Henrik", "non-dropping-particle" : "", "parse-names" : false, "suffix" : "" }, { "dropping-particle" : "", "family" : "Laustsen", "given" : "Christoffer", "non-dropping-particle" : "", "parse-names" : false, "suffix" : "" } ], "container-title" : "Scientific Reports", "id" : "ITEM-1", "issue" : "December 2016", "issued" : { "date-parts" : [ [ "2017" ] ] }, "page" : "40812", "publisher" : "Nature Publishing Group", "title" : "Fumarase activity: an in vivo and in vitro biomarker for acute kidney injury", "type" : "article-journal", "volume" : "7" }, "uris" : [ "http://www.mendeley.com/documents/?uuid=f15d4468-a302-4d59-a25b-9c7a414005bf" ] } ], "mendeley" : { "formattedCitation" : "&lt;sup&gt;31&lt;/sup&gt;", "plainTextFormattedCitation" : "31", "previouslyFormattedCitation" : "&lt;sup&gt;31&lt;/sup&gt;" }, "properties" : {  }, "schema" : "https://github.com/citation-style-language/schema/raw/master/csl-citation.json" }</w:instrText>
      </w:r>
      <w:r w:rsidR="0074082C" w:rsidRPr="000D72AC">
        <w:fldChar w:fldCharType="separate"/>
      </w:r>
      <w:r w:rsidR="00CE79A4" w:rsidRPr="00CE79A4">
        <w:rPr>
          <w:noProof/>
          <w:vertAlign w:val="superscript"/>
        </w:rPr>
        <w:t>31</w:t>
      </w:r>
      <w:r w:rsidR="0074082C" w:rsidRPr="000D72AC">
        <w:fldChar w:fldCharType="end"/>
      </w:r>
    </w:p>
    <w:p w14:paraId="5A8FAEBF" w14:textId="77777777" w:rsidR="00330422" w:rsidRDefault="00330422" w:rsidP="0033768A">
      <w:pPr>
        <w:spacing w:line="360" w:lineRule="auto"/>
        <w:jc w:val="both"/>
      </w:pPr>
    </w:p>
    <w:p w14:paraId="56FA1C13" w14:textId="1B55CE6D" w:rsidR="00330422" w:rsidRDefault="00330422" w:rsidP="0033768A">
      <w:pPr>
        <w:spacing w:line="360" w:lineRule="auto"/>
        <w:jc w:val="both"/>
      </w:pPr>
      <w:r>
        <w:t xml:space="preserve">One important advantage of </w:t>
      </w:r>
      <w:r w:rsidR="00140313">
        <w:t xml:space="preserve">HP </w:t>
      </w:r>
      <w:r w:rsidR="00C30472" w:rsidRPr="000D72AC">
        <w:rPr>
          <w:vertAlign w:val="superscript"/>
        </w:rPr>
        <w:t>13</w:t>
      </w:r>
      <w:r w:rsidR="00C30472" w:rsidRPr="000D72AC">
        <w:t>C</w:t>
      </w:r>
      <w:r w:rsidR="00C30472">
        <w:t>-</w:t>
      </w:r>
      <w:r w:rsidR="00C30472" w:rsidRPr="000D72AC">
        <w:t>MRSI</w:t>
      </w:r>
      <w:r w:rsidR="00C30472">
        <w:t xml:space="preserve"> over PET imaging is that it allows multiple probes </w:t>
      </w:r>
      <w:r w:rsidR="00085C5B">
        <w:t xml:space="preserve">to be injected </w:t>
      </w:r>
      <w:r w:rsidR="00C30472">
        <w:t xml:space="preserve">either sequentially or simultaneously so that </w:t>
      </w:r>
      <w:r w:rsidR="00635542">
        <w:t xml:space="preserve">several </w:t>
      </w:r>
      <w:r w:rsidR="00C30472">
        <w:t>metabolic pathways can be studie</w:t>
      </w:r>
      <w:r w:rsidR="00DF13A7">
        <w:t>d</w:t>
      </w:r>
      <w:r w:rsidR="00085C5B">
        <w:t xml:space="preserve"> at a single time point</w:t>
      </w:r>
      <w:r w:rsidR="00C30472">
        <w:t>.</w:t>
      </w:r>
      <w:r w:rsidR="002D3F42">
        <w:t xml:space="preserve"> Although </w:t>
      </w:r>
      <w:r w:rsidR="00AD1367">
        <w:t xml:space="preserve">dual </w:t>
      </w:r>
      <w:r w:rsidR="00085C5B">
        <w:t xml:space="preserve">PET </w:t>
      </w:r>
      <w:r w:rsidR="00AD1367">
        <w:t>probe</w:t>
      </w:r>
      <w:r w:rsidR="00085C5B">
        <w:t xml:space="preserve"> injection has also been undertaken</w:t>
      </w:r>
      <w:r w:rsidR="002D3F42">
        <w:t xml:space="preserve">, </w:t>
      </w:r>
      <w:r w:rsidR="008A7E86">
        <w:t xml:space="preserve">the </w:t>
      </w:r>
      <w:r w:rsidR="00085C5B">
        <w:t>modelling  required to differentiate these probes</w:t>
      </w:r>
      <w:r w:rsidR="00245D51">
        <w:t xml:space="preserve"> </w:t>
      </w:r>
      <w:r w:rsidR="00245D51" w:rsidRPr="00245D51">
        <w:t>is complicated by perfusion, metabolism and excretion</w:t>
      </w:r>
      <w:r w:rsidR="00245D51">
        <w:t xml:space="preserve"> and </w:t>
      </w:r>
      <w:r w:rsidR="00085C5B">
        <w:t>is often impractical</w:t>
      </w:r>
      <w:r w:rsidR="00245D51">
        <w:t xml:space="preserve">; furthermore, </w:t>
      </w:r>
      <w:r w:rsidR="00085C5B">
        <w:t>conversion into metabolic products cannot be detected.</w:t>
      </w:r>
      <w:r w:rsidR="00085C5B">
        <w:fldChar w:fldCharType="begin" w:fldLock="1"/>
      </w:r>
      <w:r w:rsidR="00481147">
        <w:instrText>ADDIN CSL_CITATION { "citationItems" : [ { "id" : "ITEM-1", "itemData" : { "DOI" : "10.2967/jnumed.106.036673", "ISBN" : "0161-5505 (Print)\\n0161-5505 (Linking)", "ISSN" : "0161-5505", "PMID" : "17504862", "abstract" : "We have reported previously that (11)C-acetate ((11)C-ACT) PET was complementary to (18)F-FDG PET in the evaluation of primary hepatocellular carcinoma (HCC) in relation to the degree of tumor cellular differentiation. In this retrospective study, our goals were to further explore the complementary role of (11)C-ACT and (18)F-FDG PET in the detection of metastatic HCC disease, to evaluate the tracer characteristics of individual organ metastasis, to identify the risk factors of metastasis, and to evaluate how these results could affect patient management. METHODS: One hundred twenty-one patients were selected for this study. All patients had undergone a \"dual-tracer\" PET/CT same-day protocol with (11)C-ACT PET/CT followed by (18)F-FDG PET/CT. Sets of criteria were chosen to define \"metastasis\" and \"no metastasis\" on a patient basis. The patients considered as true-positive (n = 97) were then divided into 4 groups on the basis of their primary HCC tracer avidity: (18)F-FDG-avid group, (11)C-ACT-avid group, (18)F-FDG- and (11)C-ACT-avid group, and a posttreatment group with metastasis but no baseline dual-tracer PET characterization of the primary tumor and no hepatic recurrence. RESULTS: On a patient basis, dual-tracer PET/CT had a sensitivity of 98%, a specificity of 86%, a positive predictive value of 97%, a negative predictive value of 90%, and an accuracy of 96% in the detection of HCC metastasis. On a lesion basis, 273 metastatic HCC lesions considered as true-positive were detected and categorized according to the organ or site of metastasis: lymph node (abdominal and thoracic, 49%), lung (32%), bone (8%), and others (10%). The lesion-based and patient-based detection sensitivities were 60% and 64%, respectively, by (11)C-ACT and 77% and 79%, respectively, by (18)F-FDG, and they were complementary. In analyzing lesion tracer avidity, there was a positive statistical correlation between primary HCC avidity with the general tendency of metastasis. Clinically significant changes in management were found in patients with true-positive metastasis, of whom 19% were affected by (11)C-ACT PET alone. Dual-tracer PET/CT was more effective than single-tracer PET/CT in identifying candidates for curative therapy (negative predictive value of dual-tracer, (18)F-FDG, and (11)C-ACT PET/CT: 90%, 49%, and 37%, respectively). CONCLUSION: This study confirmed that (18)F-FDG PET/CT is useful in the evaluation of HCC metastasis, although its role in the diagnosis of pr\u2026", "author" : [ { "dropping-particle" : "", "family" : "Ho", "given" : "C.-l.", "non-dropping-particle" : "", "parse-names" : false, "suffix" : "" }, { "dropping-particle" : "", "family" : "Chen", "given" : "S.", "non-dropping-particle" : "", "parse-names" : false, "suffix" : "" }, { "dropping-particle" : "", "family" : "Yeung", "given" : "D. W.C.", "non-dropping-particle" : "", "parse-names" : false, "suffix" : "" }, { "dropping-particle" : "", "family" : "Cheng", "given" : "T. K.C.", "non-dropping-particle" : "", "parse-names" : false, "suffix" : "" } ], "container-title" : "Journal of Nuclear Medicine", "id" : "ITEM-1", "issue" : "6", "issued" : { "date-parts" : [ [ "2007" ] ] }, "page" : "902-909", "title" : "Dual-Tracer PET/CT Imaging in Evaluation of Metastatic Hepatocellular Carcinoma", "type" : "article-journal", "volume" : "48" }, "uris" : [ "http://www.mendeley.com/documents/?uuid=6071646d-5a59-4986-8342-c2e30c26d5c9" ] } ], "mendeley" : { "formattedCitation" : "&lt;sup&gt;62&lt;/sup&gt;", "plainTextFormattedCitation" : "62", "previouslyFormattedCitation" : "&lt;sup&gt;62&lt;/sup&gt;" }, "properties" : {  }, "schema" : "https://github.com/citation-style-language/schema/raw/master/csl-citation.json" }</w:instrText>
      </w:r>
      <w:r w:rsidR="00085C5B">
        <w:fldChar w:fldCharType="separate"/>
      </w:r>
      <w:r w:rsidR="00481147" w:rsidRPr="00481147">
        <w:rPr>
          <w:noProof/>
          <w:vertAlign w:val="superscript"/>
        </w:rPr>
        <w:t>62</w:t>
      </w:r>
      <w:r w:rsidR="00085C5B">
        <w:fldChar w:fldCharType="end"/>
      </w:r>
      <w:r w:rsidR="00085C5B">
        <w:t xml:space="preserve"> In comparison, </w:t>
      </w:r>
      <w:r w:rsidR="002D3F42">
        <w:t>HP</w:t>
      </w:r>
      <w:r w:rsidR="00245D51">
        <w:t xml:space="preserve"> </w:t>
      </w:r>
      <w:r w:rsidR="002D3F42" w:rsidRPr="000D72AC">
        <w:rPr>
          <w:vertAlign w:val="superscript"/>
        </w:rPr>
        <w:t>13</w:t>
      </w:r>
      <w:r w:rsidR="002D3F42" w:rsidRPr="000D72AC">
        <w:t>C</w:t>
      </w:r>
      <w:r w:rsidR="002D3F42">
        <w:t>-</w:t>
      </w:r>
      <w:r w:rsidR="002D3F42" w:rsidRPr="000D72AC">
        <w:t>MRSI</w:t>
      </w:r>
      <w:r w:rsidR="00245D51">
        <w:t xml:space="preserve"> </w:t>
      </w:r>
      <w:r w:rsidR="002D3F42">
        <w:t xml:space="preserve">has the advantage of </w:t>
      </w:r>
      <w:r w:rsidR="00085C5B">
        <w:t>discriminat</w:t>
      </w:r>
      <w:r w:rsidR="008A7E86">
        <w:t>ing</w:t>
      </w:r>
      <w:r w:rsidR="00085C5B">
        <w:t xml:space="preserve"> probes and their metabolites </w:t>
      </w:r>
      <w:proofErr w:type="gramStart"/>
      <w:r w:rsidR="00085C5B">
        <w:t>by virtue of</w:t>
      </w:r>
      <w:proofErr w:type="gramEnd"/>
      <w:r w:rsidR="00085C5B">
        <w:t xml:space="preserve"> differences in chemical shift: therefore</w:t>
      </w:r>
      <w:r w:rsidR="00245D51">
        <w:t>,</w:t>
      </w:r>
      <w:r w:rsidR="00085C5B">
        <w:t xml:space="preserve"> metabolism</w:t>
      </w:r>
      <w:r w:rsidR="002D3F42">
        <w:t xml:space="preserve"> </w:t>
      </w:r>
      <w:r w:rsidR="00085C5B">
        <w:t>of</w:t>
      </w:r>
      <w:r w:rsidR="002D3F42">
        <w:t xml:space="preserve"> molecules </w:t>
      </w:r>
      <w:r w:rsidR="00085C5B">
        <w:t>injected simultaneously</w:t>
      </w:r>
      <w:r w:rsidR="002D3F42">
        <w:t xml:space="preserve"> </w:t>
      </w:r>
      <w:r w:rsidR="00085C5B">
        <w:t>can be directly compared</w:t>
      </w:r>
      <w:r w:rsidR="002D3F42">
        <w:t xml:space="preserve">. </w:t>
      </w:r>
      <w:r w:rsidR="00C30472">
        <w:t>This has been demonstrated in several pre-clinical models and has the potential to be applied to humans in the future.</w:t>
      </w:r>
      <w:r w:rsidR="008B33DF">
        <w:fldChar w:fldCharType="begin" w:fldLock="1"/>
      </w:r>
      <w:r w:rsidR="00481147">
        <w:instrText>ADDIN CSL_CITATION { "citationItems" : [ { "id" : "ITEM-1", "itemData" : { "DOI" : "10.1038/sj.bjc.6605945", "ISBN" : "0007-0920\\r1532-1827", "ISSN" : "1532-1827", "PMID" : "20924379", "abstract" : "Background:The recent introduction of a dynamic nuclear polarisation technique has permitted noninvasive imaging of tumour cell metabolism in vivo following intravenous administration of (13)C-labelled cell substrates.Methods:Changes in hyperpolarised [1-(13)C]pyruvate and [1,4-(13)C(2)]fumarate metabolism were evaluated in both MDA-MB-231 cells and in implanted MDA-MB-231 tumours following doxorubicin treatment.Results:Treatment of MDA-MB-231 cells resulted in the induction of apoptosis, which was accompanied by a decrease in hyperpolarised (13)C label flux between [1-(13)C]pyruvate and lactate, which was correlated with a decrease in the cellular NAD(H) coenzyme pool. There was also an increase in the rate of fumarate conversion to malate, which accompanied the onset of cellular necrosis. In vivo, the decrease in (13)C label exchange between pyruvate and lactate and the increased flux between fumarate and malate, following drug treatment, were shown to occur in the absence of any detectable change in tumour size.Conclusion:We show here that the early responses of a human breast adenocarcinoma tumour model to drug treatment can be followed by administration of both hyperpolarised [1-(13)C]pyruvate and [1,4-(13)C(2)]fumarate. These techniques could be used, therefore, in the clinic to detect the early responses of breast tumours to treatment.", "author" : [ { "dropping-particle" : "", "family" : "Witney", "given" : "T H", "non-dropping-particle" : "", "parse-names" : false, "suffix" : "" }, { "dropping-particle" : "", "family" : "Kettunen", "given" : "M I", "non-dropping-particle" : "", "parse-names" : false, "suffix" : "" }, { "dropping-particle" : "", "family" : "Hu", "given" : "D-e", "non-dropping-particle" : "", "parse-names" : false, "suffix" : "" }, { "dropping-particle" : "", "family" : "Gallagher", "given" : "F A", "non-dropping-particle" : "", "parse-names" : false, "suffix" : "" }, { "dropping-particle" : "", "family" : "Bohndiek", "given" : "S E", "non-dropping-particle" : "", "parse-names" : false, "suffix" : "" }, { "dropping-particle" : "", "family" : "Napolitano", "given" : "R", "non-dropping-particle" : "", "parse-names" : false, "suffix" : "" }, { "dropping-particle" : "", "family" : "Brindle", "given" : "K M", "non-dropping-particle" : "", "parse-names" : false, "suffix" : "" } ], "container-title" : "British journal of cancer", "id" : "ITEM-1", "issued" : { "date-parts" : [ [ "2010" ] ] }, "page" : "1400-1406", "title" : "Detecting treatment response in a model of human breast adenocarcinoma using hyperpolarised [1-13C]pyruvate and [1,4-13C2]fumarate.", "type" : "article-journal", "volume" : "103" }, "uris" : [ "http://www.mendeley.com/documents/?uuid=65926124-a15b-442f-87ce-4f356fabc7e4" ] } ], "mendeley" : { "formattedCitation" : "&lt;sup&gt;38&lt;/sup&gt;", "plainTextFormattedCitation" : "38", "previouslyFormattedCitation" : "&lt;sup&gt;38&lt;/sup&gt;" }, "properties" : {  }, "schema" : "https://github.com/citation-style-language/schema/raw/master/csl-citation.json" }</w:instrText>
      </w:r>
      <w:r w:rsidR="008B33DF">
        <w:fldChar w:fldCharType="separate"/>
      </w:r>
      <w:r w:rsidR="00CE79A4" w:rsidRPr="00CE79A4">
        <w:rPr>
          <w:noProof/>
          <w:vertAlign w:val="superscript"/>
        </w:rPr>
        <w:t>38</w:t>
      </w:r>
      <w:r w:rsidR="008B33DF">
        <w:fldChar w:fldCharType="end"/>
      </w:r>
    </w:p>
    <w:p w14:paraId="013CD4EC" w14:textId="77777777" w:rsidR="00922584" w:rsidRDefault="00922584" w:rsidP="001B4024">
      <w:pPr>
        <w:spacing w:line="360" w:lineRule="auto"/>
        <w:jc w:val="both"/>
      </w:pPr>
    </w:p>
    <w:p w14:paraId="14D88948" w14:textId="3B3AD9EF" w:rsidR="00885834" w:rsidRPr="00DD6A35" w:rsidRDefault="00885834" w:rsidP="001B4024">
      <w:pPr>
        <w:spacing w:line="360" w:lineRule="auto"/>
        <w:jc w:val="both"/>
        <w:rPr>
          <w:i/>
        </w:rPr>
      </w:pPr>
      <w:r w:rsidRPr="00DD6A35">
        <w:rPr>
          <w:i/>
        </w:rPr>
        <w:t xml:space="preserve">Image </w:t>
      </w:r>
      <w:r w:rsidR="00691E80">
        <w:rPr>
          <w:i/>
        </w:rPr>
        <w:t>analysis</w:t>
      </w:r>
      <w:r w:rsidRPr="00DD6A35">
        <w:rPr>
          <w:i/>
        </w:rPr>
        <w:t xml:space="preserve"> and quantification</w:t>
      </w:r>
    </w:p>
    <w:p w14:paraId="10512A82" w14:textId="5FFCD6AB" w:rsidR="00885834" w:rsidRDefault="00635542" w:rsidP="001B4024">
      <w:pPr>
        <w:spacing w:line="360" w:lineRule="auto"/>
        <w:jc w:val="both"/>
      </w:pPr>
      <w:r>
        <w:t>Robust q</w:t>
      </w:r>
      <w:r w:rsidR="00691E80">
        <w:t xml:space="preserve">uantification </w:t>
      </w:r>
      <w:r>
        <w:t xml:space="preserve">of HP </w:t>
      </w:r>
      <w:r w:rsidRPr="00691E80">
        <w:rPr>
          <w:vertAlign w:val="superscript"/>
        </w:rPr>
        <w:t>13</w:t>
      </w:r>
      <w:r>
        <w:t xml:space="preserve">C-MRSI will be important </w:t>
      </w:r>
      <w:r w:rsidR="008C67F3">
        <w:t>for</w:t>
      </w:r>
      <w:r w:rsidR="00691E80">
        <w:t xml:space="preserve"> the repeatability and reproducibility of the technique. </w:t>
      </w:r>
      <w:r w:rsidR="00A321A4">
        <w:t xml:space="preserve">Given that </w:t>
      </w:r>
      <w:r w:rsidR="00280286">
        <w:t xml:space="preserve">the technique probes exchange or flux between two metabolic pools, there are many analogies between the approaches taken for HP </w:t>
      </w:r>
      <w:r w:rsidR="00280286" w:rsidRPr="00691E80">
        <w:rPr>
          <w:vertAlign w:val="superscript"/>
        </w:rPr>
        <w:t>13</w:t>
      </w:r>
      <w:r w:rsidR="00280286">
        <w:t xml:space="preserve">C-MRSI and those used in PET and DCE-MRI. </w:t>
      </w:r>
      <w:r w:rsidR="00691E80">
        <w:t>S</w:t>
      </w:r>
      <w:r w:rsidR="007C00A1">
        <w:t xml:space="preserve">everal </w:t>
      </w:r>
      <w:r w:rsidR="00280286">
        <w:t xml:space="preserve">methods </w:t>
      </w:r>
      <w:r w:rsidR="007C00A1">
        <w:t>have</w:t>
      </w:r>
      <w:r w:rsidR="00691E80">
        <w:t xml:space="preserve"> been proposed </w:t>
      </w:r>
      <w:r w:rsidR="00280286">
        <w:t>to</w:t>
      </w:r>
      <w:r w:rsidR="00691E80">
        <w:t xml:space="preserve"> reliabl</w:t>
      </w:r>
      <w:r w:rsidR="00280286">
        <w:t>y</w:t>
      </w:r>
      <w:r w:rsidR="00691E80">
        <w:t xml:space="preserve"> and reproducibl</w:t>
      </w:r>
      <w:r w:rsidR="00280286">
        <w:t>y</w:t>
      </w:r>
      <w:r w:rsidR="00691E80">
        <w:t xml:space="preserve"> quantif</w:t>
      </w:r>
      <w:r w:rsidR="00280286">
        <w:t xml:space="preserve">y </w:t>
      </w:r>
      <w:r w:rsidR="00691E80">
        <w:t>the pyruvate-lactate exchange reaction</w:t>
      </w:r>
      <w:r w:rsidR="00280286">
        <w:t xml:space="preserve">: </w:t>
      </w:r>
      <w:r w:rsidR="007C00A1">
        <w:t xml:space="preserve">kinetic parameters </w:t>
      </w:r>
      <w:r w:rsidR="00280286">
        <w:t>can be fitted to model-based approaches</w:t>
      </w:r>
      <w:r w:rsidR="007C00A1">
        <w:t xml:space="preserve"> </w:t>
      </w:r>
      <w:r w:rsidR="00C82703">
        <w:t>such as the two-site exchang</w:t>
      </w:r>
      <w:r w:rsidR="007C00A1">
        <w:t>e model</w:t>
      </w:r>
      <w:r w:rsidR="00280286">
        <w:t xml:space="preserve"> which are the most </w:t>
      </w:r>
      <w:r w:rsidR="00280286">
        <w:lastRenderedPageBreak/>
        <w:t xml:space="preserve">accurate; </w:t>
      </w:r>
      <w:r w:rsidR="008B1123">
        <w:t>simpler model-free approaches such as the area under the curve (AUC)</w:t>
      </w:r>
      <w:r w:rsidR="00DF13A7">
        <w:t xml:space="preserve"> of the lactate</w:t>
      </w:r>
      <w:r w:rsidR="00515F75">
        <w:t>-to-</w:t>
      </w:r>
      <w:r w:rsidR="00DF13A7">
        <w:t>pyruvate ratio</w:t>
      </w:r>
      <w:r w:rsidR="008B1123">
        <w:t xml:space="preserve"> </w:t>
      </w:r>
      <w:r w:rsidR="00280286">
        <w:t xml:space="preserve">and </w:t>
      </w:r>
      <w:r w:rsidR="00DF13A7">
        <w:t xml:space="preserve">the </w:t>
      </w:r>
      <w:r w:rsidR="00280286">
        <w:t>lactate time-to-peak may adequately represent the reaction and may be more suitable for widespread clinical use</w:t>
      </w:r>
      <w:r w:rsidR="008B1123">
        <w:t>.</w:t>
      </w:r>
      <w:r w:rsidR="008B1123">
        <w:fldChar w:fldCharType="begin" w:fldLock="1"/>
      </w:r>
      <w:r w:rsidR="00481147">
        <w:instrText>ADDIN CSL_CITATION { "citationItems" : [ { "id" : "ITEM-1", "itemData" : { "DOI" : "10.1016/j.addr.2016.08.011", "ISSN" : "18728294", "abstract" : "Until recently, molecular imaging using magnetic resonance (MR) has been limited by the modality's low sensitivity, especially with non-proton nuclei. The advent of hyperpolarized (HP) MR overcomes this limitation by substantially enhancing the signal of certain biologically important probes through a process known as external nuclear polarization, enabling real-time assessment of tissue function and metabolism. The metabolic information obtained by HP MR imaging holds significant promise in the clinic, where it could play a critical role in disease diagnosis and therapeutic monitoring. This review will provide a comprehensive overview of the developments made in the field of hyperpolarized MR, including advancements in polarization techniques and delivery, probe development, pulse sequence optimization, characterization of healthy and diseased tissues, and the steps made towards clinical translation.", "author" : [ { "dropping-particle" : "", "family" : "Siddiqui", "given" : "Sarmad", "non-dropping-particle" : "", "parse-names" : false, "suffix" : "" }, { "dropping-particle" : "", "family" : "Kadlecek", "given" : "Stephen", "non-dropping-particle" : "", "parse-names" : false, "suffix" : "" }, { "dropping-particle" : "", "family" : "Pourfathi", "given" : "Mehrdad", "non-dropping-particle" : "", "parse-names" : false, "suffix" : "" }, { "dropping-particle" : "", "family" : "Xin", "given" : "Yi", "non-dropping-particle" : "", "parse-names" : false, "suffix" : "" }, { "dropping-particle" : "", "family" : "Mannherz", "given" : "William", "non-dropping-particle" : "", "parse-names" : false, "suffix" : "" }, { "dropping-particle" : "", "family" : "Hamedani", "given" : "Hooman", "non-dropping-particle" : "", "parse-names" : false, "suffix" : "" }, { "dropping-particle" : "", "family" : "Drachman", "given" : "Nicholas", "non-dropping-particle" : "", "parse-names" : false, "suffix" : "" }, { "dropping-particle" : "", "family" : "Ruppert", "given" : "Kai", "non-dropping-particle" : "", "parse-names" : false, "suffix" : "" }, { "dropping-particle" : "", "family" : "Clapp", "given" : "Justin", "non-dropping-particle" : "", "parse-names" : false, "suffix" : "" }, { "dropping-particle" : "", "family" : "Rizi", "given" : "Rahim", "non-dropping-particle" : "", "parse-names" : false, "suffix" : "" } ], "container-title" : "Advanced Drug Delivery Reviews", "id" : "ITEM-1", "issued" : { "date-parts" : [ [ "2016" ] ] }, "publisher" : "Elsevier B.V.", "title" : "The use of hyperpolarized carbon-13 magnetic resonance for molecular imaging", "type" : "article-journal" }, "uris" : [ "http://www.mendeley.com/documents/?uuid=b1ac56df-4950-4d94-9f69-7f211886ce49" ] }, { "id" : "ITEM-2", "itemData" : { "DOI" : "10.1002/nbm.3468", "ISBN" : "1099-1492", "ISSN" : "10991492", "PMID" : "27414749", "abstract" : "Dissolution dynamic nuclear polarization (DNP) enables the metabolism of hyperpolarized (13)C-labelled molecules, such as the conversion of [1-(13)C]pyruvate to [1-(13)C]lactate, to be dynamically and non-invasively imaged in tissue. Imaging of this exchange reaction in animal models has been shown to detect early treatment response and correlate with tumour grade. The first human DNP study has recently been completed, and, for widespread clinical translation, simple and reliable methods are necessary to accurately probe the reaction in patients. However, there is currently no consensus on the most appropriate method to quantify this exchange reaction. In this study, an in vitro system was used to compare several kinetic models, as well as simple model-free methods. Experiments were performed using a clinical hyperpolarizer, a human 3 T MR system, and spectroscopic imaging sequences. The quantitative methods were compared in vivo by using subcutaneous breast tumours in rats to examine the effect of pyruvate inflow. The two-way kinetic model was the most accurate method for characterizing the exchange reaction in vitro, and the incorporation of a Heaviside step inflow profile was best able to describe the in vivo data. The lactate time-to-peak and the lactate-to-pyruvate area under the curve ratio were simple model-free approaches that accurately represented the full reaction, with the time-to-peak method performing indistinguishably from the best kinetic model. Finally, extracting data from a single pixel was a robust and reliable surrogate of the whole region of interest. This work has identified appropriate quantitative methods for future work in the analysis of human hyperpolarized (13)C data.", "author" : [ { "dropping-particle" : "", "family" : "Daniels", "given" : "Charlie J.", "non-dropping-particle" : "", "parse-names" : false, "suffix" : "" }, { "dropping-particle" : "", "family" : "Mclean", "given" : "Mary A.", "non-dropping-particle" : "", "parse-names" : false, "suffix" : "" }, { "dropping-particle" : "", "family" : "Schulte", "given" : "Rolf F.", "non-dropping-particle" : "", "parse-names" : false, "suffix" : "" }, { "dropping-particle" : "", "family" : "Robb", "given" : "Fraser J.", "non-dropping-particle" : "", "parse-names" : false, "suffix" : "" }, { "dropping-particle" : "", "family" : "Gill", "given" : "Andrew B.", "non-dropping-particle" : "", "parse-names" : false, "suffix" : "" }, { "dropping-particle" : "", "family" : "Mcglashan", "given" : "Nicholas", "non-dropping-particle" : "", "parse-names" : false, "suffix" : "" }, { "dropping-particle" : "", "family" : "Graves", "given" : "Martin J.", "non-dropping-particle" : "", "parse-names" : false, "suffix" : "" }, { "dropping-particle" : "", "family" : "Schwaiger", "given" : "Markus", "non-dropping-particle" : "", "parse-names" : false, "suffix" : "" }, { "dropping-particle" : "", "family" : "Lomas", "given" : "David J.", "non-dropping-particle" : "", "parse-names" : false, "suffix" : "" }, { "dropping-particle" : "", "family" : "Brindle", "given" : "Kevin M.", "non-dropping-particle" : "", "parse-names" : false, "suffix" : "" }, { "dropping-particle" : "", "family" : "Gallagher", "given" : "Ferdia A.", "non-dropping-particle" : "", "parse-names" : false, "suffix" : "" } ], "container-title" : "NMR in Biomedicine", "id" : "ITEM-2", "issue" : "4", "issued" : { "date-parts" : [ [ "2016" ] ] }, "page" : "387-399", "title" : "A comparison of quantitative methods for clinical imaging with hyperpolarized 13C-pyruvate", "type" : "article-journal", "volume" : "29" }, "uris" : [ "http://www.mendeley.com/documents/?uuid=30f3e13b-7469-4f06-a0de-389dcc3805ec" ] }, { "id" : "ITEM-3", "itemData" : { "DOI" : "10.1038/nm1650", "ISBN" : "1078-8956", "ISSN" : "1078-8956", "PMID" : "17965722", "abstract" : "Measurements of early tumor responses to therapy have been shown, in some cases, to predict treatment outcome. We show in lymphoma-bearing mice injected intravenously with hyperpolarized [1-(13)C]pyruvate that the lactate dehydrogenase-catalyzed flux of (13)C label between the carboxyl groups of pyruvate and lactate in the tumor can be measured using (13)C magnetic resonance spectroscopy and spectroscopic imaging, and that this flux is inhibited within 24 h of chemotherapy. The reduction in the measured flux after drug treatment and the induction of tumor cell death can be explained by loss of the coenzyme NAD(H) and decreases in concentrations of lactate and enzyme in the tumors. The technique could provide a new way to assess tumor responses to treatment in the clinic.", "author" : [ { "dropping-particle" : "", "family" : "Day", "given" : "Sam E", "non-dropping-particle" : "", "parse-names" : false, "suffix" : "" }, { "dropping-particle" : "", "family" : "Kettunen", "given" : "Mikko I", "non-dropping-particle" : "", "parse-names" : false, "suffix" : "" }, { "dropping-particle" : "", "family" : "Gallagher", "given" : "Ferdia A", "non-dropping-particle" : "", "parse-names" : false, "suffix" : "" }, { "dropping-particle" : "", "family" : "Hu", "given" : "De-En", "non-dropping-particle" : "", "parse-names" : false, "suffix" : "" }, { "dropping-particle" : "", "family" : "Lerche", "given" : "Mathilde", "non-dropping-particle" : "", "parse-names" : false, "suffix" : "" }, { "dropping-particle" : "", "family" : "Wolber", "given" : "Jan", "non-dropping-particle" : "", "parse-names" : false, "suffix" : "" }, { "dropping-particle" : "", "family" : "Golman", "given" : "Klaes", "non-dropping-particle" : "", "parse-names" : false, "suffix" : "" }, { "dropping-particle" : "", "family" : "Ardenkjaer-Larsen", "given" : "Jan Henrik", "non-dropping-particle" : "", "parse-names" : false, "suffix" : "" }, { "dropping-particle" : "", "family" : "Brindle", "given" : "Kevin M", "non-dropping-particle" : "", "parse-names" : false, "suffix" : "" } ], "container-title" : "Nature medicine", "id" : "ITEM-3", "issue" : "11", "issued" : { "date-parts" : [ [ "2007" ] ] }, "page" : "1382-1387", "title" : "Detecting tumor response to treatment using hyperpolarized 13C magnetic resonance imaging and spectroscopy.", "type" : "article-journal", "volume" : "13" }, "uris" : [ "http://www.mendeley.com/documents/?uuid=43856305-8d92-4b3b-ae59-117b0116aff4" ] } ], "mendeley" : { "formattedCitation" : "&lt;sup&gt;34,63,64&lt;/sup&gt;", "plainTextFormattedCitation" : "34,63,64", "previouslyFormattedCitation" : "&lt;sup&gt;34,63,64&lt;/sup&gt;" }, "properties" : {  }, "schema" : "https://github.com/citation-style-language/schema/raw/master/csl-citation.json" }</w:instrText>
      </w:r>
      <w:r w:rsidR="008B1123">
        <w:fldChar w:fldCharType="separate"/>
      </w:r>
      <w:r w:rsidR="00481147" w:rsidRPr="00481147">
        <w:rPr>
          <w:noProof/>
          <w:vertAlign w:val="superscript"/>
        </w:rPr>
        <w:t>34,63,64</w:t>
      </w:r>
      <w:r w:rsidR="008B1123">
        <w:fldChar w:fldCharType="end"/>
      </w:r>
      <w:r w:rsidR="00816D36">
        <w:t xml:space="preserve"> </w:t>
      </w:r>
      <w:r w:rsidR="00B9295E">
        <w:t xml:space="preserve">Further challenges of the technique include the segmentation of tumour from normal tissue which is compounded by the low resolution and SNR of the data. However, by </w:t>
      </w:r>
      <w:r w:rsidR="0071714D">
        <w:t xml:space="preserve">fully </w:t>
      </w:r>
      <w:r w:rsidR="00B9295E">
        <w:t xml:space="preserve">utilising the 5-dimensional nature of HP </w:t>
      </w:r>
      <w:r w:rsidR="00B9295E" w:rsidRPr="003B30EB">
        <w:rPr>
          <w:vertAlign w:val="superscript"/>
        </w:rPr>
        <w:t>13</w:t>
      </w:r>
      <w:r w:rsidR="00B9295E">
        <w:t xml:space="preserve">C MRSI – including spatial, temporal and spectral information – </w:t>
      </w:r>
      <w:r w:rsidR="0071714D">
        <w:t xml:space="preserve">segmenting areas of high metabolic exchange from low exchange can be greatly facilitated and these approaches could be used for automated </w:t>
      </w:r>
      <w:r w:rsidR="00094005">
        <w:t>and reproducib</w:t>
      </w:r>
      <w:r w:rsidR="0071714D">
        <w:t>le delineation of</w:t>
      </w:r>
      <w:r w:rsidR="001B4A77">
        <w:t xml:space="preserve"> </w:t>
      </w:r>
      <w:r w:rsidR="002878F2">
        <w:t xml:space="preserve">tumour regions </w:t>
      </w:r>
      <w:r w:rsidR="0071714D">
        <w:t>in the future</w:t>
      </w:r>
      <w:r w:rsidR="007B11DA">
        <w:fldChar w:fldCharType="begin" w:fldLock="1"/>
      </w:r>
      <w:r w:rsidR="00481147">
        <w:instrText>ADDIN CSL_CITATION { "citationItems" : [ { "id" : "ITEM-1", "itemData" : { "DOI" : "10.1109/TMI.2017.2737232", "ISSN" : "1558254X", "author" : [ { "dropping-particle" : "", "family" : "Gallagher", "given" : "Ferdia A.", "non-dropping-particle" : "", "parse-names" : false, "suffix" : "" }, { "dropping-particle" : "", "family" : "Daniels", "given" : "Charlie J.", "non-dropping-particle" : "", "parse-names" : false, "suffix" : "" } ], "container-title" : "IEEE Transactions on Medical Imaging", "id" : "ITEM-1", "issue" : "1", "issued" : { "date-parts" : [ [ "2017" ] ] }, "page" : "1-11", "title" : "Unsupervised Segmentation of 5D Hyperpolarized Carbon-13 MRI Data Using a Fuzzy Markov Random Field Model", "type" : "article-journal", "volume" : "0062" }, "uris" : [ "http://www.mendeley.com/documents/?uuid=78e6eb79-dcf2-4307-a240-f16364debf2e", "http://www.mendeley.com/documents/?uuid=554fd8c8-1f44-4013-a993-de90a0ffa06e" ] } ], "mendeley" : { "formattedCitation" : "&lt;sup&gt;65&lt;/sup&gt;", "plainTextFormattedCitation" : "65", "previouslyFormattedCitation" : "&lt;sup&gt;65&lt;/sup&gt;" }, "properties" : {  }, "schema" : "https://github.com/citation-style-language/schema/raw/master/csl-citation.json" }</w:instrText>
      </w:r>
      <w:r w:rsidR="007B11DA">
        <w:fldChar w:fldCharType="separate"/>
      </w:r>
      <w:r w:rsidR="00481147" w:rsidRPr="00481147">
        <w:rPr>
          <w:noProof/>
          <w:vertAlign w:val="superscript"/>
        </w:rPr>
        <w:t>65</w:t>
      </w:r>
      <w:r w:rsidR="007B11DA">
        <w:fldChar w:fldCharType="end"/>
      </w:r>
      <w:r w:rsidR="0071714D">
        <w:t xml:space="preserve">. </w:t>
      </w:r>
    </w:p>
    <w:p w14:paraId="1B8534E8" w14:textId="77777777" w:rsidR="002820AF" w:rsidRDefault="002820AF" w:rsidP="001B4024">
      <w:pPr>
        <w:spacing w:line="360" w:lineRule="auto"/>
        <w:jc w:val="both"/>
      </w:pPr>
    </w:p>
    <w:p w14:paraId="152FB158" w14:textId="39BECD41" w:rsidR="00464AE6" w:rsidRPr="000D72AC" w:rsidRDefault="005B5958" w:rsidP="001B4024">
      <w:pPr>
        <w:spacing w:line="360" w:lineRule="auto"/>
        <w:jc w:val="both"/>
        <w:rPr>
          <w:i/>
        </w:rPr>
      </w:pPr>
      <w:r>
        <w:rPr>
          <w:i/>
        </w:rPr>
        <w:t>H</w:t>
      </w:r>
      <w:r w:rsidR="004C4D8B" w:rsidRPr="000D72AC">
        <w:rPr>
          <w:i/>
        </w:rPr>
        <w:t>yperpolari</w:t>
      </w:r>
      <w:r w:rsidR="007546D5">
        <w:rPr>
          <w:i/>
        </w:rPr>
        <w:t>z</w:t>
      </w:r>
      <w:r w:rsidR="004C4D8B" w:rsidRPr="000D72AC">
        <w:rPr>
          <w:i/>
        </w:rPr>
        <w:t xml:space="preserve">ed </w:t>
      </w:r>
      <w:r w:rsidR="004C4D8B" w:rsidRPr="000D72AC">
        <w:rPr>
          <w:i/>
          <w:vertAlign w:val="superscript"/>
        </w:rPr>
        <w:t>13</w:t>
      </w:r>
      <w:r w:rsidR="004C4D8B" w:rsidRPr="000D72AC">
        <w:rPr>
          <w:i/>
        </w:rPr>
        <w:t>C</w:t>
      </w:r>
      <w:r w:rsidR="00E866BD">
        <w:rPr>
          <w:i/>
        </w:rPr>
        <w:t>-</w:t>
      </w:r>
      <w:r w:rsidR="004C4D8B" w:rsidRPr="000D72AC">
        <w:rPr>
          <w:i/>
        </w:rPr>
        <w:t>MRSI</w:t>
      </w:r>
      <w:r w:rsidRPr="005B5958">
        <w:rPr>
          <w:i/>
        </w:rPr>
        <w:t xml:space="preserve"> </w:t>
      </w:r>
      <w:r>
        <w:rPr>
          <w:i/>
        </w:rPr>
        <w:t xml:space="preserve">with PET/MRI </w:t>
      </w:r>
    </w:p>
    <w:p w14:paraId="1F41CAA2" w14:textId="49014692" w:rsidR="00BB66C3" w:rsidRPr="000D72AC" w:rsidRDefault="002E5BE0" w:rsidP="0033768A">
      <w:pPr>
        <w:spacing w:line="360" w:lineRule="auto"/>
        <w:jc w:val="both"/>
      </w:pPr>
      <w:r w:rsidRPr="000D72AC">
        <w:t xml:space="preserve">Since its introduction in clinical practice, PET/CT has </w:t>
      </w:r>
      <w:r w:rsidR="00280286">
        <w:t>found many clinical applications</w:t>
      </w:r>
      <w:r w:rsidRPr="000D72AC">
        <w:t xml:space="preserve"> </w:t>
      </w:r>
      <w:r w:rsidR="00280286">
        <w:t>due</w:t>
      </w:r>
      <w:r w:rsidR="00280286" w:rsidRPr="000D72AC">
        <w:t xml:space="preserve"> </w:t>
      </w:r>
      <w:r w:rsidRPr="000D72AC">
        <w:t xml:space="preserve">to the combination of </w:t>
      </w:r>
      <w:r w:rsidR="00E35319" w:rsidRPr="000D72AC">
        <w:t>metabolic</w:t>
      </w:r>
      <w:r w:rsidRPr="000D72AC">
        <w:t xml:space="preserve"> (PET) and anatomical (CT) information</w:t>
      </w:r>
      <w:r w:rsidR="00E664AD" w:rsidRPr="000D72AC">
        <w:t>.</w:t>
      </w:r>
      <w:r w:rsidR="005227B6" w:rsidRPr="000D72AC">
        <w:fldChar w:fldCharType="begin" w:fldLock="1"/>
      </w:r>
      <w:r w:rsidR="00481147">
        <w:instrText>ADDIN CSL_CITATION { "citationItems" : [ { "id" : "ITEM-1", "itemData" : { "DOI" : "10.1016/j.crad.2016.03.013", "ISBN" : "0009-9260", "ISSN" : "1365229X", "PMID" : "27108800", "abstract" : "Integrated positron-emission tomography and computed tomography (PET/CT) is one of the most important imaging techniques to have emerged in oncological practice in the last decade. Hybrid imaging, in general, remains a rapidly growing field, not only in developing countries, but also in western industrialised healthcare systems. A great deal of technological development and research is focused on improving hybrid imaging technology further and introducing new techniques, e.g., integrated PET and magnetic resonance imaging (PET/MRI). Additionally, there are several new PET tracers on the horizon, which have the potential to broaden clinical applications in hybrid imaging for diagnosis as well as therapy. This article aims to highlight some of the major technical and clinical advances that are currently taking place in PET/CT and PET/MRI that will potentially maintain the position of hybrid techniques at the forefront of medical imaging technologies.", "author" : [ { "dropping-particle" : "", "family" : "Galiza Barbosa", "given" : "F.", "non-dropping-particle" : "De", "parse-names" : false, "suffix" : "" }, { "dropping-particle" : "", "family" : "Delso", "given" : "G.", "non-dropping-particle" : "", "parse-names" : false, "suffix" : "" }, { "dropping-particle" : "", "family" : "Voert", "given" : "E. E G W", "non-dropping-particle" : "Ter", "parse-names" : false, "suffix" : "" }, { "dropping-particle" : "", "family" : "Huellner", "given" : "M. W.", "non-dropping-particle" : "", "parse-names" : false, "suffix" : "" }, { "dropping-particle" : "", "family" : "Herrmann", "given" : "K.", "non-dropping-particle" : "", "parse-names" : false, "suffix" : "" }, { "dropping-particle" : "", "family" : "Veit-Haibach", "given" : "P.", "non-dropping-particle" : "", "parse-names" : false, "suffix" : "" } ], "container-title" : "Clinical Radiology", "id" : "ITEM-1", "issue" : "7", "issued" : { "date-parts" : [ [ "2016" ] ] }, "page" : "660-672", "publisher" : "The Royal College of Radiologists", "title" : "Multi-technique hybrid imaging in PET/CT and PET/MR: What does the future hold?", "type" : "article-journal", "volume" : "71" }, "uris" : [ "http://www.mendeley.com/documents/?uuid=b34083a5-0509-43b8-8a48-29eeed0348dd" ] } ], "mendeley" : { "formattedCitation" : "&lt;sup&gt;66&lt;/sup&gt;", "plainTextFormattedCitation" : "66", "previouslyFormattedCitation" : "&lt;sup&gt;66&lt;/sup&gt;" }, "properties" : {  }, "schema" : "https://github.com/citation-style-language/schema/raw/master/csl-citation.json" }</w:instrText>
      </w:r>
      <w:r w:rsidR="005227B6" w:rsidRPr="000D72AC">
        <w:fldChar w:fldCharType="separate"/>
      </w:r>
      <w:r w:rsidR="00481147" w:rsidRPr="00481147">
        <w:rPr>
          <w:noProof/>
          <w:vertAlign w:val="superscript"/>
        </w:rPr>
        <w:t>66</w:t>
      </w:r>
      <w:r w:rsidR="005227B6" w:rsidRPr="000D72AC">
        <w:fldChar w:fldCharType="end"/>
      </w:r>
      <w:r w:rsidR="00E35319" w:rsidRPr="000D72AC">
        <w:t xml:space="preserve"> </w:t>
      </w:r>
      <w:r w:rsidR="00280286" w:rsidRPr="00FC29C0">
        <w:rPr>
          <w:vertAlign w:val="superscript"/>
        </w:rPr>
        <w:t>18</w:t>
      </w:r>
      <w:r w:rsidR="00280286">
        <w:t>F-FDG PET/CT</w:t>
      </w:r>
      <w:r w:rsidR="00C15436">
        <w:t xml:space="preserve"> is a powerful tool for staging and treatment response monitoring in a wide range of cancers such as lung cancer and lymphoma</w:t>
      </w:r>
      <w:r w:rsidR="00E664AD" w:rsidRPr="000D72AC">
        <w:t>.</w:t>
      </w:r>
      <w:r w:rsidR="00D83957" w:rsidRPr="000D72AC">
        <w:fldChar w:fldCharType="begin" w:fldLock="1"/>
      </w:r>
      <w:r w:rsidR="00481147">
        <w:instrText>ADDIN CSL_CITATION { "citationItems" : [ { "id" : "ITEM-1", "itemData" : { "DOI" : "10.1007/s40134-013-0016-x", "ISSN" : "2167-4825", "author" : [ { "dropping-particle" : "", "family" : "Czernin", "given" : "Johannes", "non-dropping-particle" : "", "parse-names" : false, "suffix" : "" }, { "dropping-particle" : "", "family" : "Allen-Auerbach", "given" : "Martin", "non-dropping-particle" : "", "parse-names" : false, "suffix" : "" }, { "dropping-particle" : "", "family" : "Nathanson", "given" : "David", "non-dropping-particle" : "", "parse-names" : false, "suffix" : "" }, { "dropping-particle" : "", "family" : "Herrmann", "given" : "Ken", "non-dropping-particle" : "", "parse-names" : false, "suffix" : "" } ], "container-title" : "Current Radiology Reports", "id" : "ITEM-1", "issue" : "3", "issued" : { "date-parts" : [ [ "2013" ] ] }, "page" : "177-190", "title" : "PET/CT in Oncology: Current Status and Perspectives", "type" : "article-journal", "volume" : "1" }, "uris" : [ "http://www.mendeley.com/documents/?uuid=6de79d09-31a3-44a4-8041-6261e92370d2" ] }, { "id" : "ITEM-2", "itemData" : { "DOI" : "10.1118/1.4935869", "ISSN" : "00942405", "PMID" : "26632070", "abstract" : "Positron emission tomography (PET) is increasingly considered as an effective imaging method to support several stages of radiation therapy. The combined usage of functional and morphological imaging in state-of-the-art PET/CT scanners is rapidly emerging to support the treatment planning process in terms of improved tumor delineation, and to assess the tumor response in follow-up investigations after or even during the course of fractionated therapy. Moreover, active research is being pursued on new tracers capable of providing different insights into tumor function, in order to identify areas of the planning volume which may require additional dosage for improved probability of tumor control. In this respect, major progresses in the next years will likely concern the development and clinical investigation of novel tracers and image processing techniques for reliable thresholding and segmentation, of treatment planning and beam delivery approaches integrating the PET imaging information, as well as improved multimodal clinical instrumentation such as PET/MR. But especially in the rapidly emerging case of ion beam therapy, the usage of PET is not only limited to the imaging of external tracers injected to the patient. In fact, a minor amount of positron emitters is formed in nuclear fragmentation reactions between the impinging ions and the tissue, bearing useful information for confirmation of the delivered treatment during or after therapeutic irradiation. Different implementations of unconventional PET imaging for therapy monitoring are currently being investigated clinically, and major ongoing research aims at new dedicated detector technologies and at challenging applications such as real-time imaging and time-resolved in vivo verification of motion compensated beam delivery. This paper provides an overview of the different areas of application of PET in radiation oncology and discusses the most promising perspectives in the years to come for radiation therapy planning, delivery, and monitoring.", "author" : [ { "dropping-particle" : "", "family" : "Parodi", "given" : "Katia", "non-dropping-particle" : "", "parse-names" : false, "suffix" : "" } ], "container-title" : "Medical Physics", "id" : "ITEM-2", "issue" : "12", "issued" : { "date-parts" : [ [ "2015" ] ] }, "page" : "7153-7168", "title" : "Vision 20/20: Positron emission tomography in radiation therapy planning, delivery, and monitoring", "type" : "article-journal", "volume" : "42" }, "uris" : [ "http://www.mendeley.com/documents/?uuid=34ee450b-6abb-419a-8577-89b74254c6c3" ] } ], "mendeley" : { "formattedCitation" : "&lt;sup&gt;8,67&lt;/sup&gt;", "plainTextFormattedCitation" : "8,67", "previouslyFormattedCitation" : "&lt;sup&gt;8,67&lt;/sup&gt;" }, "properties" : {  }, "schema" : "https://github.com/citation-style-language/schema/raw/master/csl-citation.json" }</w:instrText>
      </w:r>
      <w:r w:rsidR="00D83957" w:rsidRPr="000D72AC">
        <w:fldChar w:fldCharType="separate"/>
      </w:r>
      <w:r w:rsidR="00481147" w:rsidRPr="00481147">
        <w:rPr>
          <w:noProof/>
          <w:vertAlign w:val="superscript"/>
        </w:rPr>
        <w:t>8,67</w:t>
      </w:r>
      <w:r w:rsidR="00D83957" w:rsidRPr="000D72AC">
        <w:fldChar w:fldCharType="end"/>
      </w:r>
      <w:r w:rsidR="00C15436">
        <w:t xml:space="preserve"> </w:t>
      </w:r>
      <w:r w:rsidR="00BA46DE" w:rsidRPr="000D72AC">
        <w:t xml:space="preserve">The </w:t>
      </w:r>
      <w:r w:rsidR="00C15436">
        <w:t xml:space="preserve">recent </w:t>
      </w:r>
      <w:r w:rsidR="00BA46DE" w:rsidRPr="000D72AC">
        <w:t xml:space="preserve">creation of hybrid systems combining PET and MRI have </w:t>
      </w:r>
      <w:r w:rsidR="00140F2D">
        <w:t>capitalized</w:t>
      </w:r>
      <w:r w:rsidR="00F05D69" w:rsidRPr="000D72AC">
        <w:t xml:space="preserve"> on the inherent advantages of MRI</w:t>
      </w:r>
      <w:r w:rsidR="00182916" w:rsidRPr="000D72AC">
        <w:t xml:space="preserve"> over CT</w:t>
      </w:r>
      <w:r w:rsidR="00BB66C3" w:rsidRPr="000D72AC">
        <w:t xml:space="preserve"> such as the lack of ionizing radiation, functional imaging capabilities, spectroscopy and improved soft-tissue contrast</w:t>
      </w:r>
      <w:r w:rsidR="00A75C07" w:rsidRPr="000D72AC">
        <w:t>.</w:t>
      </w:r>
      <w:r w:rsidR="00BB66C3" w:rsidRPr="000D72AC">
        <w:fldChar w:fldCharType="begin" w:fldLock="1"/>
      </w:r>
      <w:r w:rsidR="00481147">
        <w:instrText>ADDIN CSL_CITATION { "citationItems" : [ { "id" : "ITEM-1", "itemData" : { "DOI" : "10.1002/jmri.25161", "ISBN" : "1053-1807", "ISSN" : "15222586", "PMID" : "14698788", "abstract" : "Hybrid imaging with integrated positron emission tomography (PET) and magnetic resonance imaging (MRI) combines the advantages of the high-resolution anatomic data from MRI and functional imaging data from PET, and has the potential to improve the diagnostic evaluation of various types of cancers. The clinical oncologic applications of this newest hybrid imaging technology are evolving and substantial efforts are underway to define the role of PET/MRI in routine clinical use. The current published literature suggests that PET/MRI may play an important role in the evaluation of patients with certain types of malignancies, involving anatomic locations such as the pelvis and the liver. The purpose of this article is to review the current published PET/MRI literature in specific body oncologic applications. In addition, PET/MRI protocols and some of the technical issues of this hybrid imaging will be briefly discussed. J. Magn. Reson. Imaging 2016;44:265-276., (C) 2016 John Wiley &amp; Sons, Ltd", "author" : [ { "dropping-particle" : "", "family" : "Sotoudeh", "given" : "Houman", "non-dropping-particle" : "", "parse-names" : false, "suffix" : "" }, { "dropping-particle" : "", "family" : "Sharma", "given" : "Akash", "non-dropping-particle" : "", "parse-names" : false, "suffix" : "" }, { "dropping-particle" : "", "family" : "Fowler", "given" : "Kathryn J.", "non-dropping-particle" : "", "parse-names" : false, "suffix" : "" }, { "dropping-particle" : "", "family" : "McConathy", "given" : "Jonathan", "non-dropping-particle" : "", "parse-names" : false, "suffix" : "" }, { "dropping-particle" : "", "family" : "Dehdashti", "given" : "Farrokh", "non-dropping-particle" : "", "parse-names" : false, "suffix" : "" } ], "container-title" : "Journal of Magnetic Resonance Imaging", "id" : "ITEM-1", "issue" : "2", "issued" : { "date-parts" : [ [ "2016" ] ] }, "page" : "265-276", "title" : "Clinical application of PET/MRI in oncology", "type" : "article-journal", "volume" : "44" }, "uris" : [ "http://www.mendeley.com/documents/?uuid=a72bb0dc-0ed6-4fd3-b431-86bc7efee009" ] }, { "id" : "ITEM-2", "itemData" : { "DOI" : "10.1002/jmri.25711", "ISSN" : "15222586", "PMID" : "28370695", "abstract" : "Simultaneous positron emission tomography and MRI (PET/MRI) is a technology that combines the anatomic and quantitative strengths of MR imaging with physiologic information obtained from PET. PET and computed tomography (PET/CT) performed in a single scanning session is an established technology already in widespread and accepted use worldwide. Given the higher cost and complexity of operating and interpreting the studies obtained on a PET/MRI system, there has been question as to which patients would benefit most from imaging with PET/MRI versus PET/CT. In this article, we compare PET/MRI with PET/CT, detail the applications for which PET/MRI has shown promise and discuss impediments to future adoption. It is our hope that future work will prove the benefit of PET/MRI to specific groups of patients, initially those in which PET/CT and MRI are already performed, leveraging simultaneity and allowing for greater degrees of multiparametric evaluation. LEVEL OF EVIDENCE 5 J. Magn. Reson. Imaging 2017.", "author" : [ { "dropping-particle" : "", "family" : "Ehman", "given" : "Eric C.", "non-dropping-particle" : "", "parse-names" : false, "suffix" : "" }, { "dropping-particle" : "", "family" : "Johnson", "given" : "Geoffrey B.", "non-dropping-particle" : "", "parse-names" : false, "suffix" : "" }, { "dropping-particle" : "", "family" : "Villanueva-Meyer", "given" : "Javier E.", "non-dropping-particle" : "", "parse-names" : false, "suffix" : "" }, { "dropping-particle" : "", "family" : "Cha", "given" : "Soonmee", "non-dropping-particle" : "", "parse-names" : false, "suffix" : "" }, { "dropping-particle" : "", "family" : "Leynes", "given" : "Andrew Palmera", "non-dropping-particle" : "", "parse-names" : false, "suffix" : "" }, { "dropping-particle" : "", "family" : "Larson", "given" : "Peder Eric Zufall", "non-dropping-particle" : "", "parse-names" : false, "suffix" : "" }, { "dropping-particle" : "", "family" : "Hope", "given" : "Thomas A.", "non-dropping-particle" : "", "parse-names" : false, "suffix" : "" } ], "container-title" : "Journal of Magnetic Resonance Imaging", "id" : "ITEM-2", "issued" : { "date-parts" : [ [ "2017" ] ] }, "page" : "1-16", "title" : "PET/MRI: Where might it replace PET/CT?", "type" : "article-journal" }, "uris" : [ "http://www.mendeley.com/documents/?uuid=b4c4e612-5e78-4779-8b37-52f046c5ab20" ] } ], "mendeley" : { "formattedCitation" : "&lt;sup&gt;11,68&lt;/sup&gt;", "plainTextFormattedCitation" : "11,68", "previouslyFormattedCitation" : "&lt;sup&gt;11,68&lt;/sup&gt;" }, "properties" : {  }, "schema" : "https://github.com/citation-style-language/schema/raw/master/csl-citation.json" }</w:instrText>
      </w:r>
      <w:r w:rsidR="00BB66C3" w:rsidRPr="000D72AC">
        <w:fldChar w:fldCharType="separate"/>
      </w:r>
      <w:r w:rsidR="00481147" w:rsidRPr="00481147">
        <w:rPr>
          <w:noProof/>
          <w:vertAlign w:val="superscript"/>
        </w:rPr>
        <w:t>11,68</w:t>
      </w:r>
      <w:r w:rsidR="00BB66C3" w:rsidRPr="000D72AC">
        <w:fldChar w:fldCharType="end"/>
      </w:r>
      <w:r w:rsidR="00FA1F8E" w:rsidRPr="000D72AC">
        <w:t xml:space="preserve"> </w:t>
      </w:r>
      <w:r w:rsidR="00140F2D">
        <w:t>S</w:t>
      </w:r>
      <w:r w:rsidR="00FA1F8E" w:rsidRPr="000D72AC">
        <w:t xml:space="preserve">everal </w:t>
      </w:r>
      <w:r w:rsidR="00503065">
        <w:t xml:space="preserve">clinical </w:t>
      </w:r>
      <w:r w:rsidR="00FA1F8E" w:rsidRPr="000D72AC">
        <w:t>applications have been proposed for PET/MRI</w:t>
      </w:r>
      <w:r w:rsidR="008939B8" w:rsidRPr="000D72AC">
        <w:fldChar w:fldCharType="begin" w:fldLock="1"/>
      </w:r>
      <w:r w:rsidR="00481147">
        <w:instrText>ADDIN CSL_CITATION { "citationItems" : [ { "id" : "ITEM-1", "itemData" : { "DOI" : "10.1016/j.acra.2015.09.008", "ISSN" : "10766332", "abstract" : "Positron emission tomography (PET), commonly performed in conjunction with computed tomography (CT), has revolutionized oncologic imaging. PET/CT has become the standard of care for the initial staging and assessment of treatment response for many different malignancies. Despite this success, PET/CT is often supplemented by magnetic resonance imaging (MRI), which offers superior soft-tissue contrast and a means of assessing cellular density with diffusion-weighted imaging. Consequently, PET/MRI, the newest clinical hybrid imaging modality, has the potential to provide added value over PET/CT or MRI alone. The purpose of this article is to provide a comprehensive review of the current body of literature pertaining to the clinical performance of PET/MRI, with the aim of summarizing current evidence and identifying gaps in knowledge to direct clinical expansion and future research. Multiple example cases are also provided to illustrate the central findings of these publications.", "author" : [ { "dropping-particle" : "", "family" : "Fraum", "given" : "Tyler J.", "non-dropping-particle" : "", "parse-names" : false, "suffix" : "" }, { "dropping-particle" : "", "family" : "Fowler", "given" : "Kathryn J.", "non-dropping-particle" : "", "parse-names" : false, "suffix" : "" }, { "dropping-particle" : "", "family" : "McConathy", "given" : "Jonathan", "non-dropping-particle" : "", "parse-names" : false, "suffix" : "" } ], "container-title" : "Academic Radiology", "id" : "ITEM-1", "issue" : "2", "issued" : { "date-parts" : [ [ "2016" ] ] }, "page" : "220-236", "title" : "PET/MRI: emerging clinical applications in oncology", "type" : "article-journal", "volume" : "23" }, "uris" : [ "http://www.mendeley.com/documents/?uuid=d24488bb-3c46-3d5a-94a4-117030ba15d6" ] }, { "id" : "ITEM-2", "itemData" : { "DOI" : "10.5152/dir.2014.14008", "ISBN" : "1305-3612 (Electronic)\\r1305-3825 (Linking)", "ISSN" : "13053612", "PMID" : "25010371", "abstract" : "MOLECULAR IMAGING REVIEW ABSTRACT Fully integrated positron emission tomography (PET)/mag-netic resonance imaging (MRI) scanners have been available for a few years. Since then, the number of scanner installa-tions and published studies have been growing. While feasi-bility of integrated PET/MRI has been demonstrated for many clinical and preclinical imaging applications, now those appli-cations where PET/MRI provides a clear benefit in compari-son to the established reference standards need to be identi-fied. The current data show that those particular applications demanding multiparametric imaging capabilities, high soft tissue contrast and/or lower radiation dose seem to benefit from this novel hybrid modality. Promising results have been obtained in whole-body cancer staging in non-small cell lung cancer and multiparametric tumor imaging. Furthermore, integrated PET/MRI appears to have added value in onco-logic applications requiring high soft tissue contrast such as assessment of liver metastases of neuroendocrine tumors or prostate cancer imaging. Potential benefit of integrated PET/ MRI has also been demonstrated for cardiac (i.e., myocardial viability, cardiac sarcoidosis) and brain (i.e., glioma grading, Alzheimer's disease) imaging, where MRI is the predominant modality. The lower radiation dose compared to PET/com-puted tomography will be particularly valuable in the imag-ing of young patients with potentially curable diseases. However, further clinical studies and technical innovation on scanner hard-and software are needed. Also, agreements on adequate refunding of PET/MRI examinations need to be reached. Finally, the translation of new PET tracers from pre-clinical evaluation into clinical applications is expected to fos-ter the entire field of hybrid PET imaging, including PET/MRI. B oth positron emission tomography (PET) and magnetic resonance imaging (MRI) are well-established imaging modalities that have been clinically available for more than 30 years. However, the combination of PET and computed tomography (CT) into PET/CT has heralded a new era of hybrid imaging driven by the rapid ascend of PET/CT and the decline of stand-alone PET. The integration of PET and CT into a hybrid system provided added value that exceeds the sum of its parts, in particular fast and accurate attenuation correction and the combination of anatomical and molecular information. Inspired by the vast success of PET/CT, the combination of PET and MRI was an obv\u2026", "author" : [ { "dropping-particle" : "", "family" : "Nensa", "given" : "Felix", "non-dropping-particle" : "", "parse-names" : false, "suffix" : "" }, { "dropping-particle" : "", "family" : "Beiderwellen", "given" : "Karsten", "non-dropping-particle" : "", "parse-names" : false, "suffix" : "" }, { "dropping-particle" : "", "family" : "Heusch", "given" : "Philipp", "non-dropping-particle" : "", "parse-names" : false, "suffix" : "" }, { "dropping-particle" : "", "family" : "Wetter", "given" : "Axel", "non-dropping-particle" : "", "parse-names" : false, "suffix" : "" } ], "container-title" : "Diagnostic and Interventional Radiology", "id" : "ITEM-2", "issue" : "5", "issued" : { "date-parts" : [ [ "2014" ] ] }, "page" : "438-447", "title" : "Clinical applications of PET/MRI: Current status and future perspectives", "type" : "article-journal", "volume" : "20" }, "uris" : [ "http://www.mendeley.com/documents/?uuid=dc2d7907-df41-41cf-aa9b-5dfeee91321d" ] } ], "mendeley" : { "formattedCitation" : "&lt;sup&gt;69,70&lt;/sup&gt;", "plainTextFormattedCitation" : "69,70", "previouslyFormattedCitation" : "&lt;sup&gt;69,70&lt;/sup&gt;" }, "properties" : {  }, "schema" : "https://github.com/citation-style-language/schema/raw/master/csl-citation.json" }</w:instrText>
      </w:r>
      <w:r w:rsidR="008939B8" w:rsidRPr="000D72AC">
        <w:fldChar w:fldCharType="separate"/>
      </w:r>
      <w:r w:rsidR="00481147" w:rsidRPr="00481147">
        <w:rPr>
          <w:noProof/>
          <w:vertAlign w:val="superscript"/>
        </w:rPr>
        <w:t>69,70</w:t>
      </w:r>
      <w:r w:rsidR="008939B8" w:rsidRPr="000D72AC">
        <w:fldChar w:fldCharType="end"/>
      </w:r>
      <w:r w:rsidR="007B066E">
        <w:t>:</w:t>
      </w:r>
      <w:r w:rsidR="00A75C07" w:rsidRPr="000D72AC">
        <w:t xml:space="preserve"> </w:t>
      </w:r>
      <w:r w:rsidR="007B066E">
        <w:t>i</w:t>
      </w:r>
      <w:r w:rsidR="00503065">
        <w:t xml:space="preserve">n oncology, examples include </w:t>
      </w:r>
      <w:r w:rsidR="00830DAF" w:rsidRPr="000D72AC">
        <w:t>head and neck cancers</w:t>
      </w:r>
      <w:r w:rsidR="0005127E" w:rsidRPr="000D72AC">
        <w:t xml:space="preserve">, liver tumours </w:t>
      </w:r>
      <w:r w:rsidR="006938DA" w:rsidRPr="000D72AC">
        <w:t xml:space="preserve">and pelvic malignancies </w:t>
      </w:r>
      <w:r w:rsidR="00503065">
        <w:t xml:space="preserve">which </w:t>
      </w:r>
      <w:r w:rsidR="006938DA" w:rsidRPr="000D72AC">
        <w:t xml:space="preserve">may significantly benefit from the hybrid </w:t>
      </w:r>
      <w:r w:rsidR="00503065">
        <w:t xml:space="preserve">approach due to </w:t>
      </w:r>
      <w:r w:rsidR="00DC72B8">
        <w:t>improvements</w:t>
      </w:r>
      <w:r w:rsidR="00503065">
        <w:t xml:space="preserve"> in co-registration and reduction in movement artefact</w:t>
      </w:r>
      <w:r w:rsidR="006938DA" w:rsidRPr="000D72AC">
        <w:t>.</w:t>
      </w:r>
      <w:r w:rsidR="0005127E" w:rsidRPr="000D72AC">
        <w:fldChar w:fldCharType="begin" w:fldLock="1"/>
      </w:r>
      <w:r w:rsidR="00481147">
        <w:instrText>ADDIN CSL_CITATION { "citationItems" : [ { "id" : "ITEM-1", "itemData" : { "DOI" : "10.1007/s13139-013-0252-2", "ISSN" : "18693482", "PMID" : "24900149", "abstract" : "PURPOSE: The new modality of an integrated positron emission tomography/magnetic resonance imaging (PET/MRI) has recently been introduced but not validated. Our objective was to evaluate clinical performance of (18)F-fluoro-2-deoxyglucose ((18)F-FDG) PET/MRI in patients with head and neck cancer.\\n\\nMETHODS: This retrospective study was conducted between January 2013 and February 2013. Ten patients (eight men, two women; mean age, 61.4\u2009\u00b1\u200913.4\u00a0years) with histologically proven head and neck tumors were enrolled. Whole-body PET/MRI and regional positron emission tomography (PET) with dedicated MRI were sequentially obtained. Maximum standardized uptake value (SUVmax), SUVmean, metabolic tumor volume, total lesion glycolysis and contrast enhancement were analyzed. A total of ten whole-body positron emission tomography (PET), ten regional positron emission tomography (PET), ten dedicated MRI and ten regional PET/gadolinium-enhanced T1-weighted (Gd)-MRI images were analyzed for initial staging. Two nuclear medicine physicians analyzed positron emission tomography (PET) and PET/MRI with a consensus. One radiologist analyzed dedicated MRI. The primary lesions and number of metastatic lymph nodes analyzed from each image were compared.\\n\\nRESULTS: Eight patients were diagnosed with head and neck cancer (one tongue cancer, four tonsillar cancers, one nasopharyngeal cancer and two hypopharyngeal cancers) by histological diagnosis. Two benign tumors (pleomorphic adenoma and Warthin tumor) were diagnosed with surgical operation. Whole-body positron emission tomography (PET) and regional positron emission tomography (PET) attenuated by MRI showed good image quality for the lesion detection. Whole-body positron emission tomography (PET) and regional positron emission tomography (PET) detected ten primary sites and compensated for a missed lesion on dedicated MRI. A discordant number of suspicious lymph node metastases was noted according to the different images; 22, 16, 39 and 40 in the whole-body positron emission tomography (PET) only, dedicated MR, regional positron emission tomography (PET) only and regional PET/Gd-MRI, respectively. There was no distant metastasis based on analysis of whole-body positron emission tomography (PET) and whole-body PET/Dixon-volume interpolated breathhold examination (VIBE) MRI. Regional PET/Gd-MRI combined with whole-body PET/MRI modified staging in three patients. Lesions of primary tumor and suspicious metastasis were well detect\u2026", "author" : [ { "dropping-particle" : "", "family" : "Lee", "given" : "Soo Jin", "non-dropping-particle" : "", "parse-names" : false, "suffix" : "" }, { "dropping-particle" : "", "family" : "Seo", "given" : "Hyo Jung", "non-dropping-particle" : "", "parse-names" : false, "suffix" : "" }, { "dropping-particle" : "", "family" : "Cheon", "given" : "Gi Jeong", "non-dropping-particle" : "", "parse-names" : false, "suffix" : "" }, { "dropping-particle" : "", "family" : "Kim", "given" : "Ji Hoon", "non-dropping-particle" : "", "parse-names" : false, "suffix" : "" }, { "dropping-particle" : "", "family" : "Kim", "given" : "E. Edmund", "non-dropping-particle" : "", "parse-names" : false, "suffix" : "" }, { "dropping-particle" : "", "family" : "Kang", "given" : "Keon Wook", "non-dropping-particle" : "", "parse-names" : false, "suffix" : "" }, { "dropping-particle" : "", "family" : "Paeng", "given" : "Jin Chul", "non-dropping-particle" : "", "parse-names" : false, "suffix" : "" }, { "dropping-particle" : "", "family" : "Chung", "given" : "June Key", "non-dropping-particle" : "", "parse-names" : false, "suffix" : "" }, { "dropping-particle" : "", "family" : "Lee", "given" : "Dong Soo", "non-dropping-particle" : "", "parse-names" : false, "suffix" : "" } ], "container-title" : "Nuclear Medicine and Molecular Imaging", "id" : "ITEM-1", "issue" : "2", "issued" : { "date-parts" : [ [ "2014" ] ] }, "page" : "98-105", "title" : "Usefulness of Integrated PET/MRI in Head and Neck Cancer: A Preliminary Study", "type" : "article-journal", "volume" : "48" }, "uris" : [ "http://www.mendeley.com/documents/?uuid=021f88a7-37bd-41e4-b02d-8916e68e080a" ] }, { "id" : "ITEM-2", "itemData" : { "DOI" : "10.1007/s00259-015-3145-z", "ISBN" : "1619-7089 (Electronic) 1619-7070 (Linking)", "ISSN" : "16197089", "PMID" : "26243264", "abstract" : "PURPOSE: To evaluate the accuracy of integrated (18)F-FDG PET/MR imaging for locoregional tumour evaluation compared to (18)F-FDG PET/CT and MR imaging in initial tumour and recurrence diagnosis in histopathologically confirmed head and neck squamous cell carcinoma (HNSCC).\\n\\nMETHODS: (18)F-FDG PET/CT and integrated (18)F-FDG PET/MR imaging were performed for initial tumour staging or recurrence diagnosis in 25 patients with HNSCC. MR, fused (18)F-FDG PET/CT and fused (18)F-FDG PET/MR images were analysed by two independent readers in separate sessions in random order. In initial tumour staging, T and N staging was performed while individual lesions were analysed in patients with suspected cancer recurrence. In T and N staging, histopathological results after tumour resection served as the reference standard while histopathological sampling as well as cross-sectional and clinical follow-up were accepted in cancer recurrence diagnosis. The diagnostic accuracy of each modality was calculated separately for T and N staging as well as for tumour recurrence, and compared using McNemar's test. Values of p &lt;0.017 were considered statistically significant after Bonferroni correction.\\n\\nRESULTS: In 12 patients undergoing (18)F-FDG PET/CT and (18)F-FDG PET/MR for initial tumour staging, T staging was accurate in 50\u00a0% with MRI, in 59\u00a0% with PET/CT and in 75\u00a0% with PET/MR while N staging was accurate in 75\u00a0% with MRI, in 77\u00a0% with PET/CT and in 71\u00a0% with PET/MR in relation to the reference standard. No significant differences were observed in T and N staging among the three modalities (p\u2009&gt;\u20090.017). In 13 patients undergoing hybrid imaging for cancer recurrence diagnosis, diagnostic accuracy was 57\u00a0% with MRI and in 72\u00a0% with (18)F-FDG PET/CT and (18)F-FDG PET/MR, respectively. Again, no significant differences were found among the three modalities (p\u2009&gt;\u20090.017).\\n\\nCONCLUSION: In this initial study, no significant differences were found among (18)F-FDG PET/MR, (18)F-FDG PET/CT and MRI in local tumour staging and cancer recurrence diagnosis.", "author" : [ { "dropping-particle" : "", "family" : "Schaarschmidt", "given" : "Benedikt Michael", "non-dropping-particle" : "", "parse-names" : false, "suffix" : "" }, { "dropping-particle" : "", "family" : "Heusch", "given" : "Philipp", "non-dropping-particle" : "", "parse-names" : false, "suffix" : "" }, { "dropping-particle" : "", "family" : "Buchbender", "given" : "Christian", "non-dropping-particle" : "", "parse-names" : false, "suffix" : "" }, { "dropping-particle" : "", "family" : "Ruhlmann", "given" : "Marcus", "non-dropping-particle" : "", "parse-names" : false, "suffix" : "" }, { "dropping-particle" : "", "family" : "Bergmann", "given" : "Christoph", "non-dropping-particle" : "", "parse-names" : false, "suffix" : "" }, { "dropping-particle" : "", "family" : "Ruhlmann", "given" : "Verena", "non-dropping-particle" : "", "parse-names" : false, "suffix" : "" }, { "dropping-particle" : "", "family" : "Schlamann", "given" : "Marc", "non-dropping-particle" : "", "parse-names" : false, "suffix" : "" }, { "dropping-particle" : "", "family" : "Antoch", "given" : "Gerald", "non-dropping-particle" : "", "parse-names" : false, "suffix" : "" }, { "dropping-particle" : "", "family" : "Forsting", "given" : "Michael", "non-dropping-particle" : "", "parse-names" : false, "suffix" : "" }, { "dropping-particle" : "", "family" : "Wetter", "given" : "Axel", "non-dropping-particle" : "", "parse-names" : false, "suffix" : "" } ], "container-title" : "European Journal of Nuclear Medicine and Molecular Imaging", "id" : "ITEM-2", "issue" : "1", "issued" : { "date-parts" : [ [ "2016" ] ] }, "page" : "92-102", "title" : "Locoregional tumour evaluation of squamous cell carcinoma in the head and neck area: a comparison between MRI, PET/CT and integrated PET/MRI", "type" : "article-journal", "volume" : "43" }, "uris" : [ "http://www.mendeley.com/documents/?uuid=8f4fa0c1-46eb-4abd-86ca-6081e8290b7c" ] }, { "id" : "ITEM-3", "itemData" : { "DOI" : "10.2214/AJR.14.13818", "ISSN" : "15463141", "PMID" : "26700358", "abstract" : "OBJECTIVE: The purpose of this study was to evaluate the added clinical value of PET/MRI compared with conventional contrast-enhanced MDCT (CECT) alone in the evaluation of patients with colorectal cancer. MATERIALS AND METHODS: The study population comprised 51 patients with colorectal cancer who underwent (18)F-FDG PET/MRI and CECT within a 90-day interval between October 2012 and August 2013. Two reviewers in consensus evaluated whether PET/MRI added value to CECT for lesion detection and characterization and assessed whether changes in treatment strategies were made. The malignancy probability of each lesion was assessed on a 5-point scale. ROC analyses were performed with histopathologic findings, imaging, and clinical follow-up as the reference standards. Two reviewers evaluated the presence or absence of pulmonary metastatic nodules on PET/MR images that had been detected on chest CT scans. RESULTS: PET/MRI added value to CECT for 14 of 51 patients (27.5%) in terms of better characterization (12/51 [23.5%]) and additional detection (2/51 [3.9%]) of extracolonic lesions. The additional information from PET/MRI led to a change in treatment strategy for 11 of 51 (21.6%) patients. ROC analyses showed that PET/MRI was significantly superior to CT in depicting colorectal cancer (p &lt; 0.05). The rate of detection of pulmonary metastatic nodules with PET/MRI was 52.9% (9/17). CONCLUSION: Integrated whole-body PET/MRI added value to CECT in the detection of metastatic lesions and characterization of indeterminate lesions, albeit with limited performance for small pulmonary metastatic nodules. The results suggest that PET/MRI may aid in the selection of more appropriate treatment strategies for patients with colorectal cancer.", "author" : [ { "dropping-particle" : "", "family" : "Kang", "given" : "Beomsik", "non-dropping-particle" : "", "parse-names" : false, "suffix" : "" }, { "dropping-particle" : "", "family" : "Lee", "given" : "Jeong Min", "non-dropping-particle" : "", "parse-names" : false, "suffix" : "" }, { "dropping-particle" : "", "family" : "Song", "given" : "Yong Sub", "non-dropping-particle" : "", "parse-names" : false, "suffix" : "" }, { "dropping-particle" : "", "family" : "Woo", "given" : "Sungmin", "non-dropping-particle" : "", "parse-names" : false, "suffix" : "" }, { "dropping-particle" : "", "family" : "Hur", "given" : "Bo Yun", "non-dropping-particle" : "", "parse-names" : false, "suffix" : "" }, { "dropping-particle" : "", "family" : "Jeon", "given" : "Ju Hyeon", "non-dropping-particle" : "", "parse-names" : false, "suffix" : "" }, { "dropping-particle" : "", "family" : "Paeng", "given" : "Jin Chul", "non-dropping-particle" : "", "parse-names" : false, "suffix" : "" } ], "container-title" : "American Journal of Roentgenology", "id" : "ITEM-3", "issue" : "1", "issued" : { "date-parts" : [ [ "2016" ] ] }, "page" : "W10-W20", "title" : "Added value of integrated whole-body PET/MRI for evaluation of colorectal cancer: Comparison with contrast-enhanced MDCT", "type" : "article-journal", "volume" : "206" }, "uris" : [ "http://www.mendeley.com/documents/?uuid=df6f5584-b7f3-4ef1-b60d-6e459dde7432" ] }, { "id" : "ITEM-4", "itemData" : { "DOI" : "10.2967/jnumed.112.107516", "ISBN" : "1535-5667 (Electronic)\\n0161-5505 (Linking)", "ISSN" : "0161-5505", "PMID" : "23321459", "abstract" : "UNLABELLED: The success of liver transplantation (LT) for hepatocellular carcinoma (HCC) is enhanced by careful patient selection on the basis of the Milan criteria. The criteria are traditionally assessed by contrast CT, which is known to be affected by structural or architectural changes in cirrhotic livers. We aimed to compare dual-tracer ((11)C-acetate and (18)F-FDG) PET/CT with contrast CT for patient selection on the basis of the Milan criteria.\\n\\nMETHODS: Patients who had HCC and had undergone both preoperative dual-tracer PET/CT and contrast CT within a 1-mo interval were retrospectively studied. They then underwent either LT (n = 22) or partial hepatectomy (PH) (n = 21; HCC of \u2264 8 cm). Imaging data were compared with data from postoperative pathologic analysis for accuracy in assessment of parameters specified by the Milan criteria (tumor size and extent, vascular invasion, and metastasis), TNM staging, and patient selection for LT.\\n\\nRESULTS: Dual-tracer PET/CT performed equally well in both LT and PH groups for HCC detection (94.1% vs. 95.8%) and TNM staging (90.9% vs. 90.5%). Contrast CT performed reasonably well in the LT group but not in the PH group for HCC detection (67.6% vs. 37.5%) and TNM staging (54.5% vs. 28.6%). In the LT group, the sensitivity and specificity of contrast CT for patient selection on the basis of the Milan criteria were 43.8% and 66.7%, respectively (comparable to values in the literature); the sensitivity and specificity of dual-tracer PET/CT were 93.8% and 100%, respectively (both Ps &lt; 0.05). From the surgeon's perspective, we tended to perform transplantation for patients with higher diagnostic certainty (stricter CT criteria) because of a shortage of donor grafts. Patients who were not transplant candidates usually underwent up-front hepatectomy without the benefit of reassessment contrast CT, resulting in lower accuracies for the PH group. The overall sensitivity (96.8%) and specificity (91.7%) of dual-tracer PET/CT for patient selection for LT were significantly higher than those of contrast CT (41.9% and 33.0%, respectively) (both Ps &lt; 0.05). Sources of error for contrast CT were related to cirrhosis or previous treatment and included difficulty in differentiating cirrhotic nodules from HCC (39%) and estimation of tumor size (14%). Overstaging of vascular invasion (4.6%) and extrahepatic metastases (4.6%) was infrequent. The rate of false-negative results of dual-tracer PET/CT was 4.7%.\\n\\nCONCLUSION: Dual-\u2026", "author" : [ { "dropping-particle" : "", "family" : "Cheung", "given" : "T. T.", "non-dropping-particle" : "", "parse-names" : false, "suffix" : "" }, { "dropping-particle" : "", "family" : "Ho", "given" : "C. L.", "non-dropping-particle" : "", "parse-names" : false, "suffix" : "" }, { "dropping-particle" : "", "family" : "Lo", "given" : "C. M.", "non-dropping-particle" : "", "parse-names" : false, "suffix" : "" }, { "dropping-particle" : "", "family" : "Chen", "given" : "S.", "non-dropping-particle" : "", "parse-names" : false, "suffix" : "" }, { "dropping-particle" : "", "family" : "Chan", "given" : "S. C.", "non-dropping-particle" : "", "parse-names" : false, "suffix" : "" }, { "dropping-particle" : "", "family" : "Chok", "given" : "K. S. H.", "non-dropping-particle" : "", "parse-names" : false, "suffix" : "" }, { "dropping-particle" : "", "family" : "Fung", "given" : "J. Y.", "non-dropping-particle" : "", "parse-names" : false, "suffix" : "" }, { "dropping-particle" : "", "family" : "Yan Chan", "given" : "A. C.", "non-dropping-particle" : "", "parse-names" : false, "suffix" : "" }, { "dropping-particle" : "", "family" : "Sharr", "given" : "W.", "non-dropping-particle" : "", "parse-names" : false, "suffix" : "" }, { "dropping-particle" : "", "family" : "Yau", "given" : "T.", "non-dropping-particle" : "", "parse-names" : false, "suffix" : "" }, { "dropping-particle" : "", "family" : "Poon", "given" : "R. T. P.", "non-dropping-particle" : "", "parse-names" : false, "suffix" : "" }, { "dropping-particle" : "", "family" : "Fan", "given" : "S. T.", "non-dropping-particle" : "", "parse-names" : false, "suffix" : "" } ], "container-title" : "Journal of Nuclear Medicine", "id" : "ITEM-4", "issue" : "2", "issued" : { "date-parts" : [ [ "2013" ] ] }, "page" : "192-200", "title" : "11C-Acetate and 18F-FDG PET/CT for clinical staging and selection of patients with hepatocellular carcinoma for liver transplantation on the basis of Milan criteria: surgeon's perspective", "type" : "article-journal", "volume" : "54" }, "uris" : [ "http://www.mendeley.com/documents/?uuid=223a3c71-a19a-419c-b525-2c0c5bbff448" ] }, { "id" : "ITEM-5", "itemData" : { "DOI" : "10.1038/nrgastro.2011.131", "ISBN" : "1759-5053 (Electronic)\\r1759-5045 (Linking)", "ISSN" : "1759-5045", "PMID" : "21808282", "abstract" : "Cholangiocarcinoma is the most frequent biliary malignancy. It is difficult to diagnose owing to its anatomic location, growth patterns and lack of definite diagnostic criteria. Currently, cholangiocarcinoma is classified into the following types according to its anatomic location along the biliary tree: intrahepatic, perihilar or distal extrahepatic cholangiocarcinoma. These cholangiocarcinoma types differ in their biological behavior and management. The appropriate stratification of patients with regard to the anatomic location and stage of cholangiocarcinoma is a key determinate in their management. Staging systems can guide this stratification and provide prognostic information. In addition, staging systems are essential in order to compare and contrast the outcomes of different therapeutic approaches. A number of staging systems exist for cholangiocarcinoma-several early ones have been updated, and new ones are being developed. We discuss the emerging diagnostic criteria as well as the different staging systems for cholangiocarcinoma, and provide a critical appraisal regarding these advances in biliary tract malignancies.", "author" : [ { "dropping-particle" : "", "family" : "Blechacz", "given" : "Boris", "non-dropping-particle" : "", "parse-names" : false, "suffix" : "" }, { "dropping-particle" : "", "family" : "Komuta", "given" : "Mina", "non-dropping-particle" : "", "parse-names" : false, "suffix" : "" }, { "dropping-particle" : "", "family" : "Roskams", "given" : "Tania", "non-dropping-particle" : "", "parse-names" : false, "suffix" : "" }, { "dropping-particle" : "", "family" : "Gores", "given" : "Gregory J.", "non-dropping-particle" : "", "parse-names" : false, "suffix" : "" } ], "container-title" : "Nature Reviews Gastroenterology &amp; Hepatology", "id" : "ITEM-5", "issue" : "9", "issued" : { "date-parts" : [ [ "2011" ] ] }, "page" : "512-522", "publisher" : "Nature Publishing Group", "title" : "Clinical diagnosis and staging of cholangiocarcinoma", "type" : "article-journal", "volume" : "8" }, "uris" : [ "http://www.mendeley.com/documents/?uuid=be9496ca-9fd1-42c7-a864-eebb73cb2680" ] } ], "mendeley" : { "formattedCitation" : "&lt;sup&gt;71\u201375&lt;/sup&gt;", "plainTextFormattedCitation" : "71\u201375", "previouslyFormattedCitation" : "&lt;sup&gt;71\u201375&lt;/sup&gt;" }, "properties" : {  }, "schema" : "https://github.com/citation-style-language/schema/raw/master/csl-citation.json" }</w:instrText>
      </w:r>
      <w:r w:rsidR="0005127E" w:rsidRPr="000D72AC">
        <w:fldChar w:fldCharType="separate"/>
      </w:r>
      <w:r w:rsidR="00481147" w:rsidRPr="00481147">
        <w:rPr>
          <w:noProof/>
          <w:vertAlign w:val="superscript"/>
        </w:rPr>
        <w:t>71–75</w:t>
      </w:r>
      <w:r w:rsidR="0005127E" w:rsidRPr="000D72AC">
        <w:fldChar w:fldCharType="end"/>
      </w:r>
      <w:r w:rsidR="006938DA" w:rsidRPr="000D72AC">
        <w:t xml:space="preserve"> </w:t>
      </w:r>
      <w:r w:rsidR="00BB66C3" w:rsidRPr="000D72AC">
        <w:t xml:space="preserve">PET/MRI has also </w:t>
      </w:r>
      <w:r w:rsidR="00503065">
        <w:t xml:space="preserve">demonstrated potential </w:t>
      </w:r>
      <w:r w:rsidR="00BB66C3" w:rsidRPr="000D72AC">
        <w:t>in organs such as the lung</w:t>
      </w:r>
      <w:r w:rsidR="00503065">
        <w:t xml:space="preserve"> where traditionally MRI has only had a limited role</w:t>
      </w:r>
      <w:r w:rsidR="00D804E4" w:rsidRPr="000D72AC">
        <w:t>,</w:t>
      </w:r>
      <w:r w:rsidR="00BB66C3" w:rsidRPr="000D72AC">
        <w:t xml:space="preserve"> </w:t>
      </w:r>
      <w:r w:rsidR="00D804E4" w:rsidRPr="000D72AC">
        <w:t>highlighting</w:t>
      </w:r>
      <w:r w:rsidR="00BB66C3" w:rsidRPr="000D72AC">
        <w:t xml:space="preserve"> the potential of the combination of those two techniques</w:t>
      </w:r>
      <w:r w:rsidR="00017905" w:rsidRPr="000D72AC">
        <w:t>.</w:t>
      </w:r>
      <w:r w:rsidR="00017905" w:rsidRPr="000D72AC">
        <w:fldChar w:fldCharType="begin" w:fldLock="1"/>
      </w:r>
      <w:r w:rsidR="00481147">
        <w:instrText>ADDIN CSL_CITATION { "citationItems" : [ { "id" : "ITEM-1", "itemData" : { "DOI" : "10.1007/s00330-016-4397-0", "ISBN" : "0938-7994", "ISSN" : "14321084", "PMID" : "27180186", "abstract" : "OBJECTIVE To investigate whether differences in thoracic tumour staging between (18)F-FDG PET/CT and PET/MR imaging lead to different therapeutic decisions in Non-Small Cell Lung Cancer (NSCLC). MATERIAL AND METHODS Seventy-seven NSCLC patients that underwent whole-body (18)F-FDG PET/CT from the base of skull to the upper thighs and thoracic PET/MR were enrolled in this retrospective study. Thoracic PET/CT and PET/MR images were staged according to the 7th edition of the AJCC staging manual. Staging results of both modalities were discussed separately in a simulated interdisciplinary tumour board and therapeutic decisions based on both imaging modalities were recorded. Descriptive statistics were used to compare the results and reasons for changes in the therapeutic decision were investigated. RESULTS Staging results differed in 35 % of patients (27 patients) between thoracic PET/CT and PET/MR. Differences were detected when assessing the T-stage in 18 % (n = 14), the N-stage in 23 % (n = 18), and the M-stage in 1 % (n = 1). However, patient therapy management was changed in only six patients (8 %). CONCLUSION Despite the variability of thoracic (18)F-FDG PET/CT and PET/MR in TNM-staging, both modalities lead to comparable therapeutic decisions in patients suffering from NSCLC. Hence, (18)F-FDG PET/MR can be considered an possible alternative to (18)F-FDG PET/CT for clinical NSCLC staging. KEY POINTS \u2022 PET/CT and PET/MR provide comparable results in early stages in NSCLC \u2022 Clinical impact of different staging results has not been investigated \u2022 PET/CT and PET/MR lead to comparable therapeutic decisions \u2022 PET/MR can be considered an alternative to PET/CT for NSCLC staging.", "author" : [ { "dropping-particle" : "", "family" : "Schaarschmidt", "given" : "Benedikt M.", "non-dropping-particle" : "", "parse-names" : false, "suffix" : "" }, { "dropping-particle" : "", "family" : "Grueneisen", "given" : "Johannes", "non-dropping-particle" : "", "parse-names" : false, "suffix" : "" }, { "dropping-particle" : "", "family" : "Metzenmacher", "given" : "Martin", "non-dropping-particle" : "", "parse-names" : false, "suffix" : "" }, { "dropping-particle" : "", "family" : "Gomez", "given" : "Benedikt", "non-dropping-particle" : "", "parse-names" : false, "suffix" : "" }, { "dropping-particle" : "", "family" : "Gauler", "given" : "Thomas", "non-dropping-particle" : "", "parse-names" : false, "suffix" : "" }, { "dropping-particle" : "", "family" : "Roesel", "given" : "Christian", "non-dropping-particle" : "", "parse-names" : false, "suffix" : "" }, { "dropping-particle" : "", "family" : "Heusch", "given" : "Philipp", "non-dropping-particle" : "", "parse-names" : false, "suffix" : "" }, { "dropping-particle" : "", "family" : "Ruhlmann", "given" : "Verena", "non-dropping-particle" : "", "parse-names" : false, "suffix" : "" }, { "dropping-particle" : "", "family" : "Umutlu", "given" : "Lale", "non-dropping-particle" : "", "parse-names" : false, "suffix" : "" }, { "dropping-particle" : "", "family" : "Antoch", "given" : "Gerald", "non-dropping-particle" : "", "parse-names" : false, "suffix" : "" }, { "dropping-particle" : "", "family" : "Buchbender", "given" : "Christian", "non-dropping-particle" : "", "parse-names" : false, "suffix" : "" } ], "container-title" : "European Radiology", "id" : "ITEM-1", "issue" : "2", "issued" : { "date-parts" : [ [ "2017" ] ] }, "page" : "681-688", "publisher" : "European Radiology", "title" : "Thoracic staging with 18F-FDG PET/MR in non-small cell lung cancer - does it change therapeutic decisions in comparison to 18F-FDG PET/CT?", "type" : "article-journal", "volume" : "27" }, "uris" : [ "http://www.mendeley.com/documents/?uuid=15854e5e-a890-41de-9085-d51b5d2e4f06" ] }, { "id" : "ITEM-2", "itemData" : { "DOI" : "10.1097/RLI.0b013e31828d56a1", "ISSN" : "0020-9996", "PMID" : "23519008", "abstract" : "OBJECTIVE Hybrid whole-body magnetic resonance/positron emission tomography (MR/PET) systems are a new diagnostic tool enabling the simultaneous acquisition of morphologic and multiple functional data and thus allowing for a diversified characterization of oncological diseases.The aim of this study was to investigate the image and alignment quality of MR/PET in patients with pulmonary lesions and to compare the congruency of the 2 functional measurements of diffusion-weighted imaging (DWI) in MR imaging and 2-deoxy-[18F] fluoro-2-D-glucose (FDG) uptake in PET. MATERIALS AND METHODS A total of 15 patients were examined with a routine positron emission tomography/computer tomography (PET/CT) protocol and, subsequently, in a whole-body MR/PET scanner allowing for simultaneous PET and MR data acquisition. The PET and MR image quality was assessed visually using a 4-point score (1, insufficient; 4, excellent). The alignment quality of the rigidly registered PET/CT and MR/PET data sets was investigated on the basis of multiple anatomic landmarks of the lung using a scoring system from 1 (no alignment) to 4 (very good alignment). In addition, the alignment quality of the tumor lesions in PET/CT and MR/PET as well as for retrospective fusion of PET from PET/CT and MR images was assessed quantitatively and was compared between lesions strongly or less influenced by respiratory motion. The correlation of the simultaneously acquired DWI and FDG uptake in the pulmonary masses was analyzed using the minimum and mean apparent diffusion coefficient (ADC min and ADC mean) as well as the maximum and mean standardized uptake value (SUV max and SUV mean), respectively. In addition, the correlation of SUV max from PET/CT data was investigated as well. On lesions 3 cm or greater, a voxelwise analysis of ADC and SUV was performed. RESULTS The visual evaluation revealed excellent image quality of the PET images (mean [SD] score, 3.6 [0.5]) and overall good image quality of DWI (mean [SD] score of 2.5 [0.5] for ADC maps and 2.7 [0.5] for diffusion-weighted images, respectively). The alignment quality of the data sets was very good in both MR/PET and PET/CT without significant differences (overall mean [SD] score of MR/PET, 3.8 [0.4]; PET/CT 3.6 [0.5]). Also, the alignment quality of the tumor lesions showed no significant differences between PET/CT and MR/PET (mean cumulative misalignment of MR/PET, 7.7 mm; PET/CT, 7.0 mm; P = 0.705) but between both modalities and a retrospec\u2026", "author" : [ { "dropping-particle" : "", "family" : "Schmidt", "given" : "Holger", "non-dropping-particle" : "", "parse-names" : false, "suffix" : "" }, { "dropping-particle" : "", "family" : "Brendle", "given" : "Cornelia", "non-dropping-particle" : "", "parse-names" : false, "suffix" : "" }, { "dropping-particle" : "", "family" : "Schraml", "given" : "Christina", "non-dropping-particle" : "", "parse-names" : false, "suffix" : "" }, { "dropping-particle" : "", "family" : "Martirosian", "given" : "Petros", "non-dropping-particle" : "", "parse-names" : false, "suffix" : "" }, { "dropping-particle" : "", "family" : "Bezrukov", "given" : "Ilja", "non-dropping-particle" : "", "parse-names" : false, "suffix" : "" }, { "dropping-particle" : "", "family" : "Hetzel", "given" : "J\u00fcrgen", "non-dropping-particle" : "", "parse-names" : false, "suffix" : "" }, { "dropping-particle" : "", "family" : "M\u00fcller", "given" : "Mark", "non-dropping-particle" : "", "parse-names" : false, "suffix" : "" }, { "dropping-particle" : "", "family" : "Sauter", "given" : "Alexander", "non-dropping-particle" : "", "parse-names" : false, "suffix" : "" }, { "dropping-particle" : "", "family" : "Claussen", "given" : "Claus D.", "non-dropping-particle" : "", "parse-names" : false, "suffix" : "" }, { "dropping-particle" : "", "family" : "Pfannenberg", "given" : "Christina", "non-dropping-particle" : "", "parse-names" : false, "suffix" : "" }, { "dropping-particle" : "", "family" : "Schwenzer", "given" : "Nina F.", "non-dropping-particle" : "", "parse-names" : false, "suffix" : "" } ], "container-title" : "Investigative Radiology", "id" : "ITEM-2", "issue" : "5", "issued" : { "date-parts" : [ [ "2013", "5" ] ] }, "page" : "247-255", "title" : "Correlation of Simultaneously Acquired Diffusion-Weighted Imaging and 2-Deoxy-[18F] fluoro-2-D-glucose Positron Emission Tomography of Pulmonary Lesions in a Dedicated Whole-Body Magnetic Resonance/Positron Emission Tomography System", "type" : "article-journal", "volume" : "48" }, "uris" : [ "http://www.mendeley.com/documents/?uuid=7348f312-3c46-302b-a33c-116d5dd03c6f" ] }, { "id" : "ITEM-3", "itemData" : { "DOI" : "10.1007/s00259-014-2873-9", "ISBN" : "0025901428739", "ISSN" : "1619-7070", "author" : [ { "dropping-particle" : "", "family" : "Fraioli", "given" : "Francesco", "non-dropping-particle" : "", "parse-names" : false, "suffix" : "" }, { "dropping-particle" : "", "family" : "Screaton", "given" : "Nicholas J.", "non-dropping-particle" : "", "parse-names" : false, "suffix" : "" }, { "dropping-particle" : "", "family" : "Janes", "given" : "Samuel M.", "non-dropping-particle" : "", "parse-names" : false, "suffix" : "" }, { "dropping-particle" : "", "family" : "Win", "given" : "Thida", "non-dropping-particle" : "", "parse-names" : false, "suffix" : "" }, { "dropping-particle" : "", "family" : "Menezes", "given" : "Leon", "non-dropping-particle" : "", "parse-names" : false, "suffix" : "" }, { "dropping-particle" : "", "family" : "Kayani", "given" : "Irfan", "non-dropping-particle" : "", "parse-names" : false, "suffix" : "" }, { "dropping-particle" : "", "family" : "Syed", "given" : "Rizwan", "non-dropping-particle" : "", "parse-names" : false, "suffix" : "" }, { "dropping-particle" : "", "family" : "Zaccagna", "given" : "Fulvio", "non-dropping-particle" : "", "parse-names" : false, "suffix" : "" }, { "dropping-particle" : "", "family" : "O\u2019Meara", "given" : "Celia", "non-dropping-particle" : "", "parse-names" : false, "suffix" : "" }, { "dropping-particle" : "", "family" : "Barnes", "given" : "Anna", "non-dropping-particle" : "", "parse-names" : false, "suffix" : "" }, { "dropping-particle" : "", "family" : "Bomanji", "given" : "Jamshed B.", "non-dropping-particle" : "", "parse-names" : false, "suffix" : "" }, { "dropping-particle" : "", "family" : "Punwani", "given" : "Shonit", "non-dropping-particle" : "", "parse-names" : false, "suffix" : "" }, { "dropping-particle" : "", "family" : "Groves", "given" : "Ashley M.", "non-dropping-particle" : "", "parse-names" : false, "suffix" : "" } ], "container-title" : "European Journal of Nuclear Medicine and Molecular Imaging", "id" : "ITEM-3", "issued" : { "date-parts" : [ [ "2014" ] ] }, "page" : "49-55", "title" : "Non-small-cell lung cancer resectability: diagnostic value of PET/MR", "type" : "article-journal", "volume" : "42" }, "uris" : [ "http://www.mendeley.com/documents/?uuid=a1ae26cd-91a3-44b9-b1a1-a05dd8421851" ] } ], "mendeley" : { "formattedCitation" : "&lt;sup&gt;76\u201378&lt;/sup&gt;", "plainTextFormattedCitation" : "76\u201378", "previouslyFormattedCitation" : "&lt;sup&gt;76\u201378&lt;/sup&gt;" }, "properties" : {  }, "schema" : "https://github.com/citation-style-language/schema/raw/master/csl-citation.json" }</w:instrText>
      </w:r>
      <w:r w:rsidR="00017905" w:rsidRPr="000D72AC">
        <w:fldChar w:fldCharType="separate"/>
      </w:r>
      <w:r w:rsidR="00481147" w:rsidRPr="00481147">
        <w:rPr>
          <w:noProof/>
          <w:vertAlign w:val="superscript"/>
        </w:rPr>
        <w:t>76–78</w:t>
      </w:r>
      <w:r w:rsidR="00017905" w:rsidRPr="000D72AC">
        <w:fldChar w:fldCharType="end"/>
      </w:r>
      <w:r w:rsidR="00017905" w:rsidRPr="000D72AC">
        <w:t xml:space="preserve"> </w:t>
      </w:r>
    </w:p>
    <w:p w14:paraId="7BBAF2C4" w14:textId="77777777" w:rsidR="005B1264" w:rsidRDefault="005B1264" w:rsidP="0033768A">
      <w:pPr>
        <w:spacing w:line="360" w:lineRule="auto"/>
        <w:jc w:val="both"/>
      </w:pPr>
    </w:p>
    <w:p w14:paraId="2C0F88A0" w14:textId="7BB22347" w:rsidR="00FA1F8E" w:rsidRDefault="003F17FA" w:rsidP="0033768A">
      <w:pPr>
        <w:spacing w:line="360" w:lineRule="auto"/>
        <w:jc w:val="both"/>
      </w:pPr>
      <w:r w:rsidRPr="000D72AC">
        <w:t xml:space="preserve">PET/MRI </w:t>
      </w:r>
      <w:r w:rsidR="00503065">
        <w:t>could provide</w:t>
      </w:r>
      <w:r w:rsidR="00503065" w:rsidRPr="000D72AC">
        <w:t xml:space="preserve"> </w:t>
      </w:r>
      <w:r w:rsidRPr="000D72AC">
        <w:t>a powerful tool for imaging tumour metabolism</w:t>
      </w:r>
      <w:r w:rsidR="00503065">
        <w:t xml:space="preserve">. While </w:t>
      </w:r>
      <w:r w:rsidR="00503065" w:rsidRPr="00FC29C0">
        <w:rPr>
          <w:vertAlign w:val="superscript"/>
        </w:rPr>
        <w:t>18</w:t>
      </w:r>
      <w:r w:rsidR="00503065">
        <w:t xml:space="preserve">F-FDG is a highly sensitive measure of metabolism and has many applications, it </w:t>
      </w:r>
      <w:r w:rsidR="007B066E">
        <w:t xml:space="preserve">simply </w:t>
      </w:r>
      <w:r w:rsidR="00503065">
        <w:t>measures glucose uptake and phosphorylation and therefore provides</w:t>
      </w:r>
      <w:r w:rsidR="00DF13A7">
        <w:t xml:space="preserve"> only</w:t>
      </w:r>
      <w:r w:rsidR="00503065">
        <w:t xml:space="preserve"> </w:t>
      </w:r>
      <w:r w:rsidR="00525D11" w:rsidRPr="000D72AC">
        <w:t xml:space="preserve">an indirect measure of the Warburg </w:t>
      </w:r>
      <w:r w:rsidR="007B066E">
        <w:t>e</w:t>
      </w:r>
      <w:r w:rsidR="00525D11" w:rsidRPr="000D72AC">
        <w:t>ffect.</w:t>
      </w:r>
      <w:r w:rsidR="00241E3E" w:rsidRPr="000D72AC">
        <w:fldChar w:fldCharType="begin" w:fldLock="1"/>
      </w:r>
      <w:r w:rsidR="00481147">
        <w:instrText>ADDIN CSL_CITATION { "citationItems" : [ { "id" : "ITEM-1", "itemData" : { "DOI" : "10.1158/1078-0432.CCR-09-1759", "ISSN" : "10780432", "author" : [ { "dropping-particle" : "", "family" : "Binderup", "given" : "Tina", "non-dropping-particle" : "", "parse-names" : false, "suffix" : "" }, { "dropping-particle" : "", "family" : "Knigge", "given" : "Ulrich", "non-dropping-particle" : "", "parse-names" : false, "suffix" : "" }, { "dropping-particle" : "", "family" : "Loft", "given" : "Annika", "non-dropping-particle" : "", "parse-names" : false, "suffix" : "" }, { "dropping-particle" : "", "family" : "Federspiel", "given" : "Birgitte", "non-dropping-particle" : "", "parse-names" : false, "suffix" : "" }, { "dropping-particle" : "", "family" : "Kjaer", "given" : "Andreas", "non-dropping-particle" : "", "parse-names" : false, "suffix" : "" } ], "container-title" : "Clinical Cancer Research", "id" : "ITEM-1", "issue" : "3", "issued" : { "date-parts" : [ [ "2010" ] ] }, "page" : "978-985", "title" : "18F-fluorodeoxyglucose positron emission tomography predicts survival of patients with neuroendocrine tumors", "type" : "article-journal", "volume" : "16" }, "uris" : [ "http://www.mendeley.com/documents/?uuid=9fe1c3d4-18e6-4c0a-a1d5-332b9ee1a7df", "http://www.mendeley.com/documents/?uuid=8a2945cb-3f4f-41a5-81ea-278d1d5ead9a" ] }, { "id" : "ITEM-2", "itemData" : { "DOI" : "10.1007/s10555-007-9055-1", "ISBN" : "1055500790", "ISSN" : "01677659", "PMID" : "17440684", "abstract" : "Hypoxia, a characteristic feature of locally advanced solid tumors, has emerged as a pivotal factor of the tumor (patho-)physiome since it can promote tumor progression and resistance to therapy. Hypoxia represents a \"Janus face\" in tumor biology because (a) it is associated with restrained proliferation, differentiation, necrosis or apoptosis, and (b) it can also lead to the development of an aggressive phenotype. Independent of standard prognostic factors, such as tumor stage and nodal status, hypoxia has been suggested as an adverse prognostic factor for patient outcome. Studies of tumor hypoxia involving the direct assessment of the oxygenation status have suggested worse disease-free survival for patients with hypoxic cervical cancers or soft tissue sarcomas. In head &amp; neck cancers the studies suggest that hypoxia is prognostic for survival and local control. Technical limitations of the direct O(2) sensing technique have prompted the use of surrogate markers for tumor hypoxia, such as hypoxia-related endogenous proteins (e.g., HIF-1alpha, GLUT-1, CA IX) or exogenous bioreductive drugs. In many - albeit not in all - studies endogenous markers showed prognostic significance for patient outcome. The prognostic relevance of exogenous markers, however, appears to be limited. Noninvasive assessment of hypoxia using imaging techniques can be achieved with PET or SPECT detection of radiolabeled tracers or with MRI techniques (e.g., BOLD). Clinical experience with these methods regarding patient prognosis is so far only limited. In the clinical studies performed up until now, the lack of standardized treatment protocols, inconsistencies of the endpoints characterizing the oxygenation status and methodological differences (e.g., different immunohistochemical staining procedures) may compromise the power of the prognostic parameter used.", "author" : [ { "dropping-particle" : "", "family" : "Vaupel", "given" : "Peter", "non-dropping-particle" : "", "parse-names" : false, "suffix" : "" }, { "dropping-particle" : "", "family" : "Mayer", "given" : "Arnulf", "non-dropping-particle" : "", "parse-names" : false, "suffix" : "" } ], "container-title" : "Cancer and Metastasis Reviews", "id" : "ITEM-2", "issue" : "2", "issued" : { "date-parts" : [ [ "2007" ] ] }, "page" : "225-239", "title" : "Hypoxia in cancer: Significance and impact on clinical outcome", "type" : "article-journal", "volume" : "26" }, "uris" : [ "http://www.mendeley.com/documents/?uuid=88d02eb7-66bf-4b80-885c-240901c065d1", "http://www.mendeley.com/documents/?uuid=1d336226-6905-4405-bef7-1bd0e764a120" ] }, { "id" : "ITEM-3", "itemData" : { "DOI" : "10.1038/nrc882", "ISBN" : "1474-175X", "ISSN" : "1474175X", "PMID" : "12209157", "abstract" : "The imaging of specific molecular targets that are associated with cancer should allow earlier diagnosis and better management of oncology patients. Positron emission tomography (PET) is a highly sensitive non-invasive technology that is ideally suited for pre-clinical and clinical imaging of cancer biology, in contrast to anatomical approaches. By using radiolabelled tracers, which are injected in non-pharmacological doses, three-dimensional images can be reconstructed by a computer to show the concentration and location(s) of the tracer of interest. PET should become increasingly important in cancer imaging in the next decade.", "author" : [ { "dropping-particle" : "", "family" : "Gambhir", "given" : "Sanjiv Sam", "non-dropping-particle" : "", "parse-names" : false, "suffix" : "" } ], "container-title" : "Nature Reviews Cancer", "id" : "ITEM-3", "issue" : "9", "issued" : { "date-parts" : [ [ "2002" ] ] }, "page" : "683-693", "title" : "Molecular imaging of cancer with positron emission tomography", "type" : "article-journal", "volume" : "2" }, "uris" : [ "http://www.mendeley.com/documents/?uuid=78acb904-bb99-4585-b868-8d00c91614b4", "http://www.mendeley.com/documents/?uuid=47e3efb6-dadc-455a-925d-556632c6325a" ] } ], "mendeley" : { "formattedCitation" : "&lt;sup&gt;79\u201381&lt;/sup&gt;", "plainTextFormattedCitation" : "79\u201381", "previouslyFormattedCitation" : "&lt;sup&gt;79\u201381&lt;/sup&gt;" }, "properties" : {  }, "schema" : "https://github.com/citation-style-language/schema/raw/master/csl-citation.json" }</w:instrText>
      </w:r>
      <w:r w:rsidR="00241E3E" w:rsidRPr="000D72AC">
        <w:fldChar w:fldCharType="separate"/>
      </w:r>
      <w:r w:rsidR="00481147" w:rsidRPr="00481147">
        <w:rPr>
          <w:noProof/>
          <w:vertAlign w:val="superscript"/>
        </w:rPr>
        <w:t>79–81</w:t>
      </w:r>
      <w:r w:rsidR="00241E3E" w:rsidRPr="000D72AC">
        <w:fldChar w:fldCharType="end"/>
      </w:r>
      <w:r w:rsidR="00525D11" w:rsidRPr="000D72AC">
        <w:t xml:space="preserve"> </w:t>
      </w:r>
      <w:r w:rsidR="00503065">
        <w:t xml:space="preserve">In contrast, </w:t>
      </w:r>
      <w:r w:rsidR="00C66DBB" w:rsidRPr="000D72AC">
        <w:t>hyperpolari</w:t>
      </w:r>
      <w:r w:rsidR="007546D5">
        <w:t>z</w:t>
      </w:r>
      <w:r w:rsidR="00C66DBB" w:rsidRPr="000D72AC">
        <w:t xml:space="preserve">ed </w:t>
      </w:r>
      <w:r w:rsidR="00C66DBB" w:rsidRPr="00FC29C0">
        <w:rPr>
          <w:vertAlign w:val="superscript"/>
        </w:rPr>
        <w:t>13</w:t>
      </w:r>
      <w:r w:rsidR="00C66DBB" w:rsidRPr="000D72AC">
        <w:t xml:space="preserve">C-MRSI is capable of monitoring the uptake of </w:t>
      </w:r>
      <w:r w:rsidR="00C66DBB" w:rsidRPr="00FC29C0">
        <w:rPr>
          <w:vertAlign w:val="superscript"/>
        </w:rPr>
        <w:t>13</w:t>
      </w:r>
      <w:r w:rsidR="00C66DBB" w:rsidRPr="000D72AC">
        <w:t>C</w:t>
      </w:r>
      <w:r w:rsidR="00503065">
        <w:t>-</w:t>
      </w:r>
      <w:r w:rsidR="00C66DBB" w:rsidRPr="000D72AC">
        <w:t xml:space="preserve">pyruvate </w:t>
      </w:r>
      <w:r w:rsidR="00EB33A9" w:rsidRPr="000D72AC">
        <w:t xml:space="preserve">and its conversion </w:t>
      </w:r>
      <w:r w:rsidR="00503065">
        <w:t>in</w:t>
      </w:r>
      <w:r w:rsidR="00EB33A9" w:rsidRPr="000D72AC">
        <w:t xml:space="preserve">to </w:t>
      </w:r>
      <w:r w:rsidR="00503065" w:rsidRPr="005174BA">
        <w:rPr>
          <w:vertAlign w:val="superscript"/>
        </w:rPr>
        <w:t>13</w:t>
      </w:r>
      <w:r w:rsidR="00503065" w:rsidRPr="000D72AC">
        <w:t>C</w:t>
      </w:r>
      <w:r w:rsidR="00503065">
        <w:t>-</w:t>
      </w:r>
      <w:r w:rsidR="00EB33A9" w:rsidRPr="000D72AC">
        <w:t>lactate</w:t>
      </w:r>
      <w:r w:rsidR="00416351" w:rsidRPr="000D72AC">
        <w:t xml:space="preserve"> </w:t>
      </w:r>
      <w:r w:rsidR="00503065">
        <w:t>(</w:t>
      </w:r>
      <w:r w:rsidR="00416351" w:rsidRPr="000D72AC">
        <w:t xml:space="preserve">or </w:t>
      </w:r>
      <w:r w:rsidR="00503065" w:rsidRPr="005174BA">
        <w:rPr>
          <w:vertAlign w:val="superscript"/>
        </w:rPr>
        <w:t>13</w:t>
      </w:r>
      <w:r w:rsidR="00503065" w:rsidRPr="000D72AC">
        <w:t>C</w:t>
      </w:r>
      <w:r w:rsidR="00503065">
        <w:t>-</w:t>
      </w:r>
      <w:r w:rsidR="00416351" w:rsidRPr="000D72AC">
        <w:t>alanine</w:t>
      </w:r>
      <w:r w:rsidR="001A2693" w:rsidRPr="000D72AC">
        <w:t xml:space="preserve"> </w:t>
      </w:r>
      <w:r w:rsidR="00503065">
        <w:t xml:space="preserve">and </w:t>
      </w:r>
      <w:r w:rsidR="00503065" w:rsidRPr="005174BA">
        <w:rPr>
          <w:vertAlign w:val="superscript"/>
        </w:rPr>
        <w:t>13</w:t>
      </w:r>
      <w:r w:rsidR="00503065" w:rsidRPr="000D72AC">
        <w:t>C</w:t>
      </w:r>
      <w:r w:rsidR="00503065">
        <w:t>-bicarbonate)</w:t>
      </w:r>
      <w:r w:rsidR="001A2693" w:rsidRPr="000D72AC">
        <w:t xml:space="preserve"> enabling real-time </w:t>
      </w:r>
      <w:r w:rsidR="001A2693" w:rsidRPr="000D72AC">
        <w:rPr>
          <w:i/>
        </w:rPr>
        <w:t>in vivo</w:t>
      </w:r>
      <w:r w:rsidR="001A2693" w:rsidRPr="000D72AC">
        <w:t xml:space="preserve"> imaging of metabolism and </w:t>
      </w:r>
      <w:r w:rsidR="00C77011">
        <w:t xml:space="preserve">a more </w:t>
      </w:r>
      <w:r w:rsidR="001A2693" w:rsidRPr="000D72AC">
        <w:t xml:space="preserve">direct </w:t>
      </w:r>
      <w:r w:rsidR="001A31C8">
        <w:t>measure</w:t>
      </w:r>
      <w:r w:rsidR="001A31C8" w:rsidRPr="000D72AC">
        <w:t xml:space="preserve"> </w:t>
      </w:r>
      <w:r w:rsidR="001A2693" w:rsidRPr="000D72AC">
        <w:t>of the Warburg effect</w:t>
      </w:r>
      <w:r w:rsidR="00416351" w:rsidRPr="000D72AC">
        <w:t>.</w:t>
      </w:r>
      <w:r w:rsidR="001A2693" w:rsidRPr="000D72AC">
        <w:fldChar w:fldCharType="begin" w:fldLock="1"/>
      </w:r>
      <w:r w:rsidR="00481147">
        <w:instrText>ADDIN CSL_CITATION { "citationItems" : [ { "id" : "ITEM-1", "itemData" : { "DOI" : "10.2967/jnumed.107.045112", "ISSN" : "0161-5505", "author" : [ { "dropping-particle" : "", "family" : "Kurhanewicz", "given" : "J.", "non-dropping-particle" : "", "parse-names" : false, "suffix" : "" }, { "dropping-particle" : "", "family" : "Bok", "given" : "R.", "non-dropping-particle" : "", "parse-names" : false, "suffix" : "" }, { "dropping-particle" : "", "family" : "Nelson", "given" : "S. J.", "non-dropping-particle" : "", "parse-names" : false, "suffix" : "" }, { "dropping-particle" : "", "family" : "Vigneron", "given" : "D. B.", "non-dropping-particle" : "", "parse-names" : false, "suffix" : "" } ], "container-title" : "Journal of Nuclear Medicine", "id" : "ITEM-1", "issue" : "3", "issued" : { "date-parts" : [ [ "2008" ] ] }, "page" : "341-344", "title" : "Current and Potential Applications of Clinical 13C MR Spectroscopy", "type" : "article-journal", "volume" : "49" }, "uris" : [ "http://www.mendeley.com/documents/?uuid=73c86e38-c3b9-410d-afa9-9d60284daabe" ] }, { "id" : "ITEM-2", "itemData" : { "DOI" : "10.1016/j.pnmrs.2009.06.001", "ISBN" : "0079-6565", "ISSN" : "00796565", "abstract" : "The new era of Molecular Imaging can be defined as the visual representation, characterization and quantification of biological processes at the cellular and sub-cellular levels within intact living organisms. The biodistribution of molecular imaging probes should be more accurate and specific in diagnosing and assessing disease than the morphological information acquired using conventional imaging methods. The ability to hyperpolarize 13C-labelled molecules using dynamic nuclear polarization (DNP) in the solid-state and maintain polarization following dissolution into the liquid-state has created interest in the potential biomedical applications of this technology. The large increase in signal-to-noise ratio (SNR) has made it possible to image the spatial distribution of labeled molecules following their intravenous injection. The spatial distribution of a substrate, and the metabolic products formed from it, can be imaged in real-time providing spatial information on enzyme kinetics.", "author" : [ { "dropping-particle" : "", "family" : "Gallagher", "given" : "F. A.", "non-dropping-particle" : "", "parse-names" : false, "suffix" : "" }, { "dropping-particle" : "", "family" : "Kettunen", "given" : "M. I.", "non-dropping-particle" : "", "parse-names" : false, "suffix" : "" }, { "dropping-particle" : "", "family" : "Brindle", "given" : "K. M.", "non-dropping-particle" : "", "parse-names" : false, "suffix" : "" } ], "container-title" : "Progress in Nuclear Magnetic Resonance Spectroscopy", "id" : "ITEM-2", "issue" : "4", "issued" : { "date-parts" : [ [ "2009" ] ] }, "page" : "285-295", "publisher" : "Elsevier B.V.", "title" : "Biomedical applications of hyperpolarized 13C magnetic resonance imaging", "type" : "article-journal", "volume" : "55" }, "uris" : [ "http://www.mendeley.com/documents/?uuid=240e944e-fc54-479f-84bf-a0644408b1cf" ] }, { "id" : "ITEM-3", "itemData" : { "DOI" : "10.1158/0008-5472.CAN-06-2564", "ISSN" : "0008-5472", "PMID" : "17108122", "abstract" : "The \"Warburg effect,\" an elevation in aerobic glycolysis, may be a fundamental property of cancer cells. For cancer diagnosis and treatment, it would be valuable if elevated glycolytic metabolism could be quantified in an image in animals and humans. The pyruvate molecule is at the metabolic crossroad for energy delivery inside the cell, and with a noninvasive measurement of the relative transformation of pyruvate into lactate and alanine within a biologically relevant time frame (seconds), it may be possible to quantify the glycolytic status of the cells. We have examined the metabolism after i.v. injection of hyperpolarized (13)C-pyruvate in rats with implanted P22 tumors. The strongly enhanced nuclear magnetic resonance signal generated by the hyperpolarization techniques allows mapping of pyruvate, lactate, and alanine in a 5 x 5 x 10 mm(3) imaging voxel using a 1.5 T magnetic resonance scanner. The magnetic resonance scanning (chemical shift imaging) was initiated 24 seconds after the pyruvate injection and had a duration of 14 seconds. All implanted tumors showed significantly higher lactate content than the normal tissue. The results indicate that noninvasive quantification of localized Warburg effect may be possible.", "author" : [ { "dropping-particle" : "", "family" : "Golman", "given" : "Klaes", "non-dropping-particle" : "", "parse-names" : false, "suffix" : "" }, { "dropping-particle" : "", "family" : "Zandt", "given" : "Ren\u00e9 In't", "non-dropping-particle" : "", "parse-names" : false, "suffix" : "" }, { "dropping-particle" : "", "family" : "Lerche", "given" : "Mathilde", "non-dropping-particle" : "", "parse-names" : false, "suffix" : "" }, { "dropping-particle" : "", "family" : "Pehrson", "given" : "Rikard", "non-dropping-particle" : "", "parse-names" : false, "suffix" : "" }, { "dropping-particle" : "", "family" : "Ardenkjaer-Larsen", "given" : "Jan Henrik", "non-dropping-particle" : "", "parse-names" : false, "suffix" : "" } ], "container-title" : "Cancer research", "id" : "ITEM-3", "issue" : "22", "issued" : { "date-parts" : [ [ "2006" ] ] }, "page" : "10855-10860", "title" : "Metabolic imaging by hyperpolarized 13C magnetic resonance imaging for in vivo tumor diagnosis.", "type" : "article-journal", "volume" : "66" }, "uris" : [ "http://www.mendeley.com/documents/?uuid=f11932ce-f2c0-4422-9d93-ddfb9ff0904c" ] } ], "mendeley" : { "formattedCitation" : "&lt;sup&gt;82\u201384&lt;/sup&gt;", "plainTextFormattedCitation" : "82\u201384", "previouslyFormattedCitation" : "&lt;sup&gt;82\u201384&lt;/sup&gt;" }, "properties" : {  }, "schema" : "https://github.com/citation-style-language/schema/raw/master/csl-citation.json" }</w:instrText>
      </w:r>
      <w:r w:rsidR="001A2693" w:rsidRPr="000D72AC">
        <w:fldChar w:fldCharType="separate"/>
      </w:r>
      <w:r w:rsidR="00481147" w:rsidRPr="00481147">
        <w:rPr>
          <w:noProof/>
          <w:vertAlign w:val="superscript"/>
        </w:rPr>
        <w:t>82–84</w:t>
      </w:r>
      <w:r w:rsidR="001A2693" w:rsidRPr="000D72AC">
        <w:fldChar w:fldCharType="end"/>
      </w:r>
      <w:r w:rsidR="001A2693" w:rsidRPr="000D72AC">
        <w:t xml:space="preserve"> </w:t>
      </w:r>
      <w:r w:rsidR="000E5F9D" w:rsidRPr="000D72AC">
        <w:t xml:space="preserve">Combining PET/MRI with </w:t>
      </w:r>
      <w:r w:rsidR="000E5F9D" w:rsidRPr="00FC29C0">
        <w:rPr>
          <w:vertAlign w:val="superscript"/>
        </w:rPr>
        <w:t>13</w:t>
      </w:r>
      <w:r w:rsidR="000E5F9D" w:rsidRPr="000D72AC">
        <w:t>C-MRSI provides</w:t>
      </w:r>
      <w:r w:rsidR="00C77011">
        <w:t xml:space="preserve"> </w:t>
      </w:r>
      <w:r w:rsidR="000E5F9D" w:rsidRPr="000D72AC">
        <w:t xml:space="preserve">the opportunity to </w:t>
      </w:r>
      <w:r w:rsidR="001A31C8">
        <w:t>study</w:t>
      </w:r>
      <w:r w:rsidR="001A31C8" w:rsidRPr="000D72AC">
        <w:t xml:space="preserve"> </w:t>
      </w:r>
      <w:r w:rsidR="000E5F9D" w:rsidRPr="000D72AC">
        <w:t>cancer metabolism</w:t>
      </w:r>
      <w:r w:rsidR="001A31C8">
        <w:t xml:space="preserve"> in conjunction with other MR measures of tumour structure, function</w:t>
      </w:r>
      <w:r w:rsidR="009E45C2">
        <w:t xml:space="preserve"> and heterogeneity</w:t>
      </w:r>
      <w:r w:rsidR="000E5F9D" w:rsidRPr="000D72AC">
        <w:t>.</w:t>
      </w:r>
      <w:r w:rsidR="00C114D1" w:rsidRPr="000D72AC">
        <w:fldChar w:fldCharType="begin" w:fldLock="1"/>
      </w:r>
      <w:r w:rsidR="00481147">
        <w:instrText>ADDIN CSL_CITATION { "citationItems" : [ { "id" : "ITEM-1", "itemData" : { "ISBN" : "2160-8407 (Electronic)", "ISSN" : "2160-8407", "PMID" : "25625025", "abstract" : "In this paper we demonstrate, for the first time, the feasibility of a new imaging concept - combined hyperpolarized (13)C-pyruvate magnetic resonance spectroscopic imaging (MRSI) and (18)F-FDG-PET imaging. This procedure was performed in a clinical PET/MRI scanner with a canine cancer patient. We have named this concept hyper PET. Intravenous injection of the hyperpolarized (13)C-pyruvate results in an increase of (13)C-lactate, (13)C-alanine and (13)C-CO2 ((13)C-HCO3) resonance peaks relative to the tissue, disease and the metabolic state probed. Accordingly, with dynamic nuclear polarization (DNP) and use of (13)C-pyruvate it is now possible to directly study the Warburg Effect through the rate of conversion of (13)C-pyruvate to (13)C-lactate. In this study, we combined it with (18)F-FDG-PET that studies uptake of glucose in the cells. A canine cancer patient with a histology verified local recurrence of a liposarcoma on the right forepaw was imaged using a combined PET/MR clinical scanner. PET was performed as a single-bed, 10 min acquisition, 107 min post injection of 310 MBq (18)F-FDG. (13)C-chemical shift imaging (CSI) was performed just after FDG-PET and 30 s post injection of 23 mL hyperpolarized (13)C-pyruvate. Peak heights of (13)C-pyruvate and (13)C-lactate were quantified using a general linear model. Anatomic (1)H-MRI included axial and coronal T1 vibe, coronal T2-tse and axial T1-tse with fat saturation following gadolinium injection. In the tumor we found clearly increased (13)C-lactate production, which also corresponded to high (18)F-FDG uptake on PET. This is in agreement with the fact that glycolysis and production of lactate are increased in tumor cells compared to normal cells. Yet, most interestingly, also in the muscle of the forepaw of the dog high (18)F-FDG uptake was observed. This was due to activity in these muscles prior to anesthesia, which was not accompanied by a similarly high (13)C-lactate production. Accordingly, this clearly demonstrates how the Warburg Effect directly can be demonstrated by hyperpolarized (13)C-pyruvate MRSI. This was not possible with (18)F-FDG-PET imaging due to inability to discriminate between causes of increased glucose uptake. We propose that this new concept of simultaneous hyperpolarized (13)C-pyruvate MRSI and PET may be highly valuable for image-based non-invasive phenotyping of tumors. This methods may be useful for treatment planning and therapy monitoring.", "author" : [ { "dropping-particle" : "", "family" : "Gutte", "given" : "Henrik", "non-dropping-particle" : "", "parse-names" : false, "suffix" : "" }, { "dropping-particle" : "", "family" : "Hansen", "given" : "Adam E", "non-dropping-particle" : "", "parse-names" : false, "suffix" : "" }, { "dropping-particle" : "", "family" : "Henriksen", "given" : "Sarah T", "non-dropping-particle" : "", "parse-names" : false, "suffix" : "" }, { "dropping-particle" : "", "family" : "Johannesen", "given" : "Helle H", "non-dropping-particle" : "", "parse-names" : false, "suffix" : "" }, { "dropping-particle" : "", "family" : "Ardenkjaer-Larsen", "given" : "Jan", "non-dropping-particle" : "", "parse-names" : false, "suffix" : "" }, { "dropping-particle" : "", "family" : "Vignaud", "given" : "Alexandre", "non-dropping-particle" : "", "parse-names" : false, "suffix" : "" }, { "dropping-particle" : "", "family" : "Hansen", "given" : "Anders E", "non-dropping-particle" : "", "parse-names" : false, "suffix" : "" }, { "dropping-particle" : "", "family" : "B\u00f8rresen", "given" : "Betina", "non-dropping-particle" : "", "parse-names" : false, "suffix" : "" }, { "dropping-particle" : "", "family" : "Klausen", "given" : "Thomas L", "non-dropping-particle" : "", "parse-names" : false, "suffix" : "" }, { "dropping-particle" : "", "family" : "Wittekind", "given" : "Anne-Mette N", "non-dropping-particle" : "", "parse-names" : false, "suffix" : "" }, { "dropping-particle" : "", "family" : "Gillings", "given" : "Nic", "non-dropping-particle" : "", "parse-names" : false, "suffix" : "" }, { "dropping-particle" : "", "family" : "Kristensen", "given" : "Annemarie T", "non-dropping-particle" : "", "parse-names" : false, "suffix" : "" }, { "dropping-particle" : "", "family" : "Clemmensen", "given" : "Andreas", "non-dropping-particle" : "", "parse-names" : false, "suffix" : "" }, { "dropping-particle" : "", "family" : "H\u00f8jgaard", "given" : "Liselotte", "non-dropping-particle" : "", "parse-names" : false, "suffix" : "" }, { "dropping-particle" : "", "family" : "Kj\u00e6r", "given" : "Andreas", "non-dropping-particle" : "", "parse-names" : false, "suffix" : "" } ], "container-title" : "American journal of nuclear medicine and molecular imaging", "id" : "ITEM-1", "issue" : "1", "issued" : { "date-parts" : [ [ "2015" ] ] }, "page" : "38-45", "title" : "Simultaneous hyperpolarized (13)C-pyruvate MRI and (18)F-FDG-PET in cancer (hyperPET): feasibility of a new imaging concept using a clinical PET/MRI scanner.", "type" : "article-journal", "volume" : "5" }, "uris" : [ "http://www.mendeley.com/documents/?uuid=304f57c8-9855-4249-a504-3c861be8df89" ] } ], "mendeley" : { "formattedCitation" : "&lt;sup&gt;85&lt;/sup&gt;", "plainTextFormattedCitation" : "85", "previouslyFormattedCitation" : "&lt;sup&gt;85&lt;/sup&gt;" }, "properties" : {  }, "schema" : "https://github.com/citation-style-language/schema/raw/master/csl-citation.json" }</w:instrText>
      </w:r>
      <w:r w:rsidR="00C114D1" w:rsidRPr="000D72AC">
        <w:fldChar w:fldCharType="separate"/>
      </w:r>
      <w:r w:rsidR="00481147" w:rsidRPr="00481147">
        <w:rPr>
          <w:noProof/>
          <w:vertAlign w:val="superscript"/>
        </w:rPr>
        <w:t>85</w:t>
      </w:r>
      <w:r w:rsidR="00C114D1" w:rsidRPr="000D72AC">
        <w:fldChar w:fldCharType="end"/>
      </w:r>
      <w:r w:rsidR="002621DE" w:rsidRPr="000D72AC">
        <w:t xml:space="preserve"> A recent study reported the simultaneous acquisition of </w:t>
      </w:r>
      <w:r w:rsidR="009E45C2" w:rsidRPr="00FC29C0">
        <w:rPr>
          <w:vertAlign w:val="superscript"/>
        </w:rPr>
        <w:t>18</w:t>
      </w:r>
      <w:r w:rsidR="009E45C2">
        <w:t>F-</w:t>
      </w:r>
      <w:r w:rsidR="002621DE" w:rsidRPr="000D72AC">
        <w:t xml:space="preserve">FDG PET and </w:t>
      </w:r>
      <w:r w:rsidR="002621DE" w:rsidRPr="00FC29C0">
        <w:rPr>
          <w:vertAlign w:val="superscript"/>
        </w:rPr>
        <w:t>13</w:t>
      </w:r>
      <w:r w:rsidR="002621DE" w:rsidRPr="000D72AC">
        <w:t>C-</w:t>
      </w:r>
      <w:r w:rsidR="002621DE" w:rsidRPr="000D72AC">
        <w:lastRenderedPageBreak/>
        <w:t>MRS</w:t>
      </w:r>
      <w:r w:rsidR="009E45C2">
        <w:t>I</w:t>
      </w:r>
      <w:r w:rsidR="002621DE" w:rsidRPr="000D72AC">
        <w:t xml:space="preserve"> using a PET/MRI system in 10 dogs.</w:t>
      </w:r>
      <w:r w:rsidR="002621DE" w:rsidRPr="000D72AC">
        <w:fldChar w:fldCharType="begin" w:fldLock="1"/>
      </w:r>
      <w:r w:rsidR="00481147">
        <w:instrText>ADDIN CSL_CITATION { "citationItems" : [ { "id" : "ITEM-1", "itemData" : { "DOI" : "10.2967/jnumed.115.156364", "ISSN" : "0161-5505", "PMID" : "26338899", "abstract" : "With the introduction of combined PET/MR spectroscopic (MRS) imaging, it is now possible to directly and indirectly image the Warburg effect with hyperpolarized 13C-pyruvate and 18F-FDG PET imaging, respectively, via a technique we have named hyperPET. The main purpose of this present study was to establish a practical workflow for performing 18F-FDG PET and hyperpolarized 13C-pyruvate MRS imaging simultaneously for tumor tissue characterization and on a larger scale test its feasibility. In addition, we evaluated the correlation between 18F-FDG uptake and 13C-lactate production. Methods: Ten dogs with biopsy-verified spontaneous malignant tumors were included for imaging. All dogs underwent a protocol of simultaneous 18F-FDG PET, anatomic MR, and hyperpolarized dynamic nuclear polarization with 13C-pyruvate imaging. The data were acquired using a combined clinical PET/MR imaging scanner. Results: We found that combined 18F-FDG PET and 13C-pyruvate MRS imaging was possible in a single session of approximately 2 h. A continuous workflow was obtained with the injection of 18F-FDG when the dogs was placed in the PET/MR scanner. 13C-MRS dynamic acquisition demonstrated in an axial slab increased 13C-lactate production in 9 of 10 dogs. For the 9 dogs, the 13C-lactate was detected after a mean of 25 s (range, 17\u201333 s), with a mean to peak of 13C-lactate at 49 s (range, 40\u201362 s). 13C-pyruvate could be detected on average after 13 s (range, 5\u201326 s) and peaked on average after 25 s (range, 13\u201342 s). We noticed concordance of 18F-FDG uptake and production of 13C-lactate in most, but not all, axial slices. Conclusion: In this study, we have shown in a series of dogs with cancer that hyperPET can easily be performed within 2 h. We showed mostly correspondence between 13C-lactate production and 18F-FDG uptake and expect the combined modalities to reveal additional metabolic information to improve prognostic value and improve response monitoring.", "author" : [ { "dropping-particle" : "", "family" : "Gutte", "given" : "H.", "non-dropping-particle" : "", "parse-names" : false, "suffix" : "" }, { "dropping-particle" : "", "family" : "Hansen", "given" : "A. E.", "non-dropping-particle" : "", "parse-names" : false, "suffix" : "" }, { "dropping-particle" : "", "family" : "Larsen", "given" : "M. M. E.", "non-dropping-particle" : "", "parse-names" : false, "suffix" : "" }, { "dropping-particle" : "", "family" : "Rahbek", "given" : "S.", "non-dropping-particle" : "", "parse-names" : false, "suffix" : "" }, { "dropping-particle" : "", "family" : "Henriksen", "given" : "S. T.", "non-dropping-particle" : "", "parse-names" : false, "suffix" : "" }, { "dropping-particle" : "", "family" : "Johannesen", "given" : "H. H.", "non-dropping-particle" : "", "parse-names" : false, "suffix" : "" }, { "dropping-particle" : "", "family" : "Ardenkjaer-Larsen", "given" : "J.", "non-dropping-particle" : "", "parse-names" : false, "suffix" : "" }, { "dropping-particle" : "", "family" : "Kristensen", "given" : "A. T.", "non-dropping-particle" : "", "parse-names" : false, "suffix" : "" }, { "dropping-particle" : "", "family" : "Hojgaard", "given" : "L.", "non-dropping-particle" : "", "parse-names" : false, "suffix" : "" }, { "dropping-particle" : "", "family" : "Kjaer", "given" : "A.", "non-dropping-particle" : "", "parse-names" : false, "suffix" : "" } ], "container-title" : "Journal of Nuclear Medicine", "id" : "ITEM-1", "issue" : "11", "issued" : { "date-parts" : [ [ "2015" ] ] }, "page" : "1786-1792", "title" : "Simultaneous hyperpolarized 13C-pyruvate MRI and 18F-FDG PET (HyperPET) in 10 dogs with cancer", "type" : "article-journal", "volume" : "56" }, "uris" : [ "http://www.mendeley.com/documents/?uuid=8a5ebb0c-7047-4799-bd09-bff42af3986e" ] } ], "mendeley" : { "formattedCitation" : "&lt;sup&gt;86&lt;/sup&gt;", "plainTextFormattedCitation" : "86", "previouslyFormattedCitation" : "&lt;sup&gt;86&lt;/sup&gt;" }, "properties" : {  }, "schema" : "https://github.com/citation-style-language/schema/raw/master/csl-citation.json" }</w:instrText>
      </w:r>
      <w:r w:rsidR="002621DE" w:rsidRPr="000D72AC">
        <w:fldChar w:fldCharType="separate"/>
      </w:r>
      <w:r w:rsidR="00481147" w:rsidRPr="00481147">
        <w:rPr>
          <w:noProof/>
          <w:vertAlign w:val="superscript"/>
        </w:rPr>
        <w:t>86</w:t>
      </w:r>
      <w:r w:rsidR="002621DE" w:rsidRPr="000D72AC">
        <w:fldChar w:fldCharType="end"/>
      </w:r>
      <w:r w:rsidR="000E5F9D" w:rsidRPr="000D72AC">
        <w:t xml:space="preserve"> </w:t>
      </w:r>
      <w:r w:rsidR="002621DE" w:rsidRPr="000D72AC">
        <w:t>Th</w:t>
      </w:r>
      <w:r w:rsidR="009E45C2">
        <w:t xml:space="preserve">is </w:t>
      </w:r>
      <w:r w:rsidR="002621DE" w:rsidRPr="000D72AC">
        <w:t>demonstrated that, although there is a strong correlation between uptake of FDG and pyruvate conversion to lactate, there are areas of mismatch between the two techniques confirming the potential added value of combining</w:t>
      </w:r>
      <w:r w:rsidR="009E45C2">
        <w:t xml:space="preserve"> the two techniques</w:t>
      </w:r>
      <w:r w:rsidR="002621DE" w:rsidRPr="000D72AC">
        <w:t>.</w:t>
      </w:r>
      <w:r w:rsidR="002621DE" w:rsidRPr="000D72AC">
        <w:fldChar w:fldCharType="begin" w:fldLock="1"/>
      </w:r>
      <w:r w:rsidR="00481147">
        <w:instrText>ADDIN CSL_CITATION { "citationItems" : [ { "id" : "ITEM-1", "itemData" : { "DOI" : "10.2967/jnumed.115.156364", "ISSN" : "0161-5505", "PMID" : "26338899", "abstract" : "With the introduction of combined PET/MR spectroscopic (MRS) imaging, it is now possible to directly and indirectly image the Warburg effect with hyperpolarized 13C-pyruvate and 18F-FDG PET imaging, respectively, via a technique we have named hyperPET. The main purpose of this present study was to establish a practical workflow for performing 18F-FDG PET and hyperpolarized 13C-pyruvate MRS imaging simultaneously for tumor tissue characterization and on a larger scale test its feasibility. In addition, we evaluated the correlation between 18F-FDG uptake and 13C-lactate production. Methods: Ten dogs with biopsy-verified spontaneous malignant tumors were included for imaging. All dogs underwent a protocol of simultaneous 18F-FDG PET, anatomic MR, and hyperpolarized dynamic nuclear polarization with 13C-pyruvate imaging. The data were acquired using a combined clinical PET/MR imaging scanner. Results: We found that combined 18F-FDG PET and 13C-pyruvate MRS imaging was possible in a single session of approximately 2 h. A continuous workflow was obtained with the injection of 18F-FDG when the dogs was placed in the PET/MR scanner. 13C-MRS dynamic acquisition demonstrated in an axial slab increased 13C-lactate production in 9 of 10 dogs. For the 9 dogs, the 13C-lactate was detected after a mean of 25 s (range, 17\u201333 s), with a mean to peak of 13C-lactate at 49 s (range, 40\u201362 s). 13C-pyruvate could be detected on average after 13 s (range, 5\u201326 s) and peaked on average after 25 s (range, 13\u201342 s). We noticed concordance of 18F-FDG uptake and production of 13C-lactate in most, but not all, axial slices. Conclusion: In this study, we have shown in a series of dogs with cancer that hyperPET can easily be performed within 2 h. We showed mostly correspondence between 13C-lactate production and 18F-FDG uptake and expect the combined modalities to reveal additional metabolic information to improve prognostic value and improve response monitoring.", "author" : [ { "dropping-particle" : "", "family" : "Gutte", "given" : "H.", "non-dropping-particle" : "", "parse-names" : false, "suffix" : "" }, { "dropping-particle" : "", "family" : "Hansen", "given" : "A. E.", "non-dropping-particle" : "", "parse-names" : false, "suffix" : "" }, { "dropping-particle" : "", "family" : "Larsen", "given" : "M. M. E.", "non-dropping-particle" : "", "parse-names" : false, "suffix" : "" }, { "dropping-particle" : "", "family" : "Rahbek", "given" : "S.", "non-dropping-particle" : "", "parse-names" : false, "suffix" : "" }, { "dropping-particle" : "", "family" : "Henriksen", "given" : "S. T.", "non-dropping-particle" : "", "parse-names" : false, "suffix" : "" }, { "dropping-particle" : "", "family" : "Johannesen", "given" : "H. H.", "non-dropping-particle" : "", "parse-names" : false, "suffix" : "" }, { "dropping-particle" : "", "family" : "Ardenkjaer-Larsen", "given" : "J.", "non-dropping-particle" : "", "parse-names" : false, "suffix" : "" }, { "dropping-particle" : "", "family" : "Kristensen", "given" : "A. T.", "non-dropping-particle" : "", "parse-names" : false, "suffix" : "" }, { "dropping-particle" : "", "family" : "Hojgaard", "given" : "L.", "non-dropping-particle" : "", "parse-names" : false, "suffix" : "" }, { "dropping-particle" : "", "family" : "Kjaer", "given" : "A.", "non-dropping-particle" : "", "parse-names" : false, "suffix" : "" } ], "container-title" : "Journal of Nuclear Medicine", "id" : "ITEM-1", "issue" : "11", "issued" : { "date-parts" : [ [ "2015" ] ] }, "page" : "1786-1792", "title" : "Simultaneous hyperpolarized 13C-pyruvate MRI and 18F-FDG PET (HyperPET) in 10 dogs with cancer", "type" : "article-journal", "volume" : "56" }, "uris" : [ "http://www.mendeley.com/documents/?uuid=8a5ebb0c-7047-4799-bd09-bff42af3986e" ] }, { "id" : "ITEM-2", "itemData" : { "DOI" : "10.3390/diagnostics5030287", "ISSN" : "2075-4418", "PMID" : "26854154", "abstract" : "In this communication the mismatch between simultaneous 18F-FDG-PET and a 13C-lactate imaging (hyperPET) in a biopsy verified squamous cell carcinoma in the right tonsil of a canine cancer patient is shown. The results demonstrate that 18F-FDG-PET may not always reflect the Warburg effect in all tumors.", "author" : [ { "dropping-particle" : "", "family" : "Gutte", "given" : "Henrik", "non-dropping-particle" : "", "parse-names" : false, "suffix" : "" }, { "dropping-particle" : "", "family" : "Hansen", "given" : "Adam", "non-dropping-particle" : "", "parse-names" : false, "suffix" : "" }, { "dropping-particle" : "", "family" : "Larsen", "given" : "Majbrit", "non-dropping-particle" : "", "parse-names" : false, "suffix" : "" }, { "dropping-particle" : "", "family" : "Rahbek", "given" : "Sofie", "non-dropping-particle" : "", "parse-names" : false, "suffix" : "" }, { "dropping-particle" : "", "family" : "Johannesen", "given" : "Helle", "non-dropping-particle" : "", "parse-names" : false, "suffix" : "" }, { "dropping-particle" : "", "family" : "Ardenkjaer-Larsen", "given" : "Jan", "non-dropping-particle" : "", "parse-names" : false, "suffix" : "" }, { "dropping-particle" : "", "family" : "Kristensen", "given" : "Annemarie", "non-dropping-particle" : "", "parse-names" : false, "suffix" : "" }, { "dropping-particle" : "", "family" : "H\u00f8jgaard", "given" : "Liselotte", "non-dropping-particle" : "", "parse-names" : false, "suffix" : "" }, { "dropping-particle" : "", "family" : "Kjaer", "given" : "Andreas", "non-dropping-particle" : "", "parse-names" : false, "suffix" : "" } ], "container-title" : "Diagnostics", "id" : "ITEM-2", "issue" : "3", "issued" : { "date-parts" : [ [ "2015" ] ] }, "page" : "287-289", "title" : "In vivo phenotyping of tumor metabolism in a canine cancer patient with simultaneous 18F-FDG-PET and hyperpolarized 13C-pyruvate Magnetic Resonance Spectroscopic Imaging (hyperPET): mismatch demonstrates that FDG may not always reflect the Warburg effect", "type" : "article-journal", "volume" : "5" }, "uris" : [ "http://www.mendeley.com/documents/?uuid=8d4baafc-62b5-4453-a534-1d77f7dd6bb8" ] } ], "mendeley" : { "formattedCitation" : "&lt;sup&gt;86,87&lt;/sup&gt;", "plainTextFormattedCitation" : "86,87", "previouslyFormattedCitation" : "&lt;sup&gt;86,87&lt;/sup&gt;" }, "properties" : {  }, "schema" : "https://github.com/citation-style-language/schema/raw/master/csl-citation.json" }</w:instrText>
      </w:r>
      <w:r w:rsidR="002621DE" w:rsidRPr="000D72AC">
        <w:fldChar w:fldCharType="separate"/>
      </w:r>
      <w:r w:rsidR="00481147" w:rsidRPr="00481147">
        <w:rPr>
          <w:noProof/>
          <w:vertAlign w:val="superscript"/>
        </w:rPr>
        <w:t>86,87</w:t>
      </w:r>
      <w:r w:rsidR="002621DE" w:rsidRPr="000D72AC">
        <w:fldChar w:fldCharType="end"/>
      </w:r>
      <w:r w:rsidR="002621DE" w:rsidRPr="000D72AC">
        <w:t xml:space="preserve"> </w:t>
      </w:r>
      <w:r w:rsidR="00330422">
        <w:t xml:space="preserve">A wide range of tracers in addition to </w:t>
      </w:r>
      <w:r w:rsidR="00330422" w:rsidRPr="005174BA">
        <w:rPr>
          <w:vertAlign w:val="superscript"/>
        </w:rPr>
        <w:t>18</w:t>
      </w:r>
      <w:r w:rsidR="00330422">
        <w:t>F-</w:t>
      </w:r>
      <w:r w:rsidR="00330422" w:rsidRPr="000D72AC">
        <w:t xml:space="preserve">FDG </w:t>
      </w:r>
      <w:r w:rsidR="00330422">
        <w:t>could be used with this combined hyperpolari</w:t>
      </w:r>
      <w:r w:rsidR="007546D5">
        <w:t>z</w:t>
      </w:r>
      <w:r w:rsidR="00330422">
        <w:t xml:space="preserve">ed </w:t>
      </w:r>
      <w:r w:rsidR="00330422" w:rsidRPr="005174BA">
        <w:rPr>
          <w:vertAlign w:val="superscript"/>
        </w:rPr>
        <w:t>13</w:t>
      </w:r>
      <w:r w:rsidR="00330422">
        <w:t xml:space="preserve">C-MRSI/PET approach such as the </w:t>
      </w:r>
      <w:r w:rsidR="008974D7" w:rsidRPr="000D72AC">
        <w:t>amino</w:t>
      </w:r>
      <w:r w:rsidR="00A23B49">
        <w:t xml:space="preserve"> </w:t>
      </w:r>
      <w:r w:rsidR="008974D7" w:rsidRPr="000D72AC">
        <w:t xml:space="preserve">acid </w:t>
      </w:r>
      <w:r w:rsidR="00330422">
        <w:t>analogues</w:t>
      </w:r>
      <w:r w:rsidR="008974D7" w:rsidRPr="000D72AC">
        <w:t xml:space="preserve"> </w:t>
      </w:r>
      <w:r w:rsidR="008974D7" w:rsidRPr="000D72AC">
        <w:rPr>
          <w:vertAlign w:val="superscript"/>
        </w:rPr>
        <w:t>11</w:t>
      </w:r>
      <w:r w:rsidR="008974D7" w:rsidRPr="000D72AC">
        <w:t>C-methyl-L-methionine (MET)</w:t>
      </w:r>
      <w:r w:rsidR="00330422">
        <w:t xml:space="preserve"> and</w:t>
      </w:r>
      <w:r w:rsidR="008974D7" w:rsidRPr="000D72AC">
        <w:t xml:space="preserve"> O-(2-[</w:t>
      </w:r>
      <w:r w:rsidR="008974D7" w:rsidRPr="000D72AC">
        <w:rPr>
          <w:vertAlign w:val="superscript"/>
        </w:rPr>
        <w:t>18</w:t>
      </w:r>
      <w:r w:rsidR="008974D7" w:rsidRPr="000D72AC">
        <w:t>F]</w:t>
      </w:r>
      <w:proofErr w:type="spellStart"/>
      <w:r w:rsidR="008974D7" w:rsidRPr="000D72AC">
        <w:t>fluoroethyl</w:t>
      </w:r>
      <w:proofErr w:type="spellEnd"/>
      <w:r w:rsidR="008974D7" w:rsidRPr="000D72AC">
        <w:t xml:space="preserve">)-L-tyrosine (FET) </w:t>
      </w:r>
      <w:r w:rsidR="00330422">
        <w:t xml:space="preserve">in brain tumours </w:t>
      </w:r>
      <w:r w:rsidR="008974D7" w:rsidRPr="000D72AC">
        <w:t xml:space="preserve">for </w:t>
      </w:r>
      <w:r w:rsidR="0018498B" w:rsidRPr="000D72AC">
        <w:t>diagnosis</w:t>
      </w:r>
      <w:r w:rsidR="008974D7" w:rsidRPr="000D72AC">
        <w:t xml:space="preserve"> and therapy assessment.</w:t>
      </w:r>
      <w:r w:rsidR="008974D7" w:rsidRPr="000D72AC">
        <w:fldChar w:fldCharType="begin" w:fldLock="1"/>
      </w:r>
      <w:r w:rsidR="00481147">
        <w:instrText>ADDIN CSL_CITATION { "citationItems" : [ { "id" : "ITEM-1", "itemData" : { "DOI" : "10.1016/j.nicl.2016.12.020", "ISSN" : "22131582", "PMID" : "28116231", "abstract" : "Routine diagnostics and treatment monitoring of brain tumors is usually based on contrast-enhanced MRI. However, the capacity of conventional MRI to differentiate tumor tissue from posttherapeutic effects following neurosurgical resection, chemoradiation, alkylating chemotherapy, radiosurgery, and/or immunotherapy may be limited. Metabolic imaging using PET can provide relevant additional information on tumor metabolism, which allows for more accurate diagnostics especially in clinically equivocal situations. This review article focuses predominantly on the amino acid PET tracers 11C-methyl-L-methionine (MET), O-(2-[18F]fluoroethyl)-L-tyrosine (FET) and 3,4-dihydroxy-6-[18F]-fluoro-L-phenylalanine (FDOPA) and summarizes investigations regarding monitoring of brain tumor therapy.", "author" : [ { "dropping-particle" : "", "family" : "Galldiks", "given" : "Norbert", "non-dropping-particle" : "", "parse-names" : false, "suffix" : "" }, { "dropping-particle" : "", "family" : "Law", "given" : "Ian", "non-dropping-particle" : "", "parse-names" : false, "suffix" : "" }, { "dropping-particle" : "", "family" : "Pope", "given" : "Whitney B.", "non-dropping-particle" : "", "parse-names" : false, "suffix" : "" }, { "dropping-particle" : "", "family" : "Arbizu", "given" : "Javier", "non-dropping-particle" : "", "parse-names" : false, "suffix" : "" }, { "dropping-particle" : "", "family" : "Langen", "given" : "Karl Josef", "non-dropping-particle" : "", "parse-names" : false, "suffix" : "" } ], "container-title" : "NeuroImage: Clinical", "id" : "ITEM-1", "issued" : { "date-parts" : [ [ "2017" ] ] }, "page" : "386-394", "publisher" : "The Authors", "title" : "The use of amino acid PET and conventional MRI for monitoring of brain tumor therapy", "type" : "article-journal", "volume" : "13" }, "uris" : [ "http://www.mendeley.com/documents/?uuid=230a8ab8-976c-4512-bf11-1f61a24db1c5" ] } ], "mendeley" : { "formattedCitation" : "&lt;sup&gt;88&lt;/sup&gt;", "plainTextFormattedCitation" : "88", "previouslyFormattedCitation" : "&lt;sup&gt;88&lt;/sup&gt;" }, "properties" : {  }, "schema" : "https://github.com/citation-style-language/schema/raw/master/csl-citation.json" }</w:instrText>
      </w:r>
      <w:r w:rsidR="008974D7" w:rsidRPr="000D72AC">
        <w:fldChar w:fldCharType="separate"/>
      </w:r>
      <w:r w:rsidR="00481147" w:rsidRPr="00481147">
        <w:rPr>
          <w:noProof/>
          <w:vertAlign w:val="superscript"/>
        </w:rPr>
        <w:t>88</w:t>
      </w:r>
      <w:r w:rsidR="008974D7" w:rsidRPr="000D72AC">
        <w:fldChar w:fldCharType="end"/>
      </w:r>
      <w:r w:rsidR="00330422" w:rsidRPr="00330422">
        <w:t xml:space="preserve"> </w:t>
      </w:r>
      <w:r w:rsidR="00330422" w:rsidRPr="000D72AC">
        <w:t xml:space="preserve">This combination could </w:t>
      </w:r>
      <w:r w:rsidR="00330422">
        <w:t xml:space="preserve">be important in the </w:t>
      </w:r>
      <w:r w:rsidR="00330422" w:rsidRPr="000D72AC">
        <w:t>management</w:t>
      </w:r>
      <w:r w:rsidR="00330422">
        <w:t xml:space="preserve"> of some cancers</w:t>
      </w:r>
      <w:r w:rsidR="00330422" w:rsidRPr="000D72AC">
        <w:t>,</w:t>
      </w:r>
      <w:r w:rsidR="00330422">
        <w:t xml:space="preserve"> and certain population groups where longitudinal monitoring is required or where dose reduction is important such as children or women of reproduc</w:t>
      </w:r>
      <w:r w:rsidR="00DF13A7">
        <w:t>tive</w:t>
      </w:r>
      <w:r w:rsidR="00330422">
        <w:t xml:space="preserve"> age</w:t>
      </w:r>
      <w:r w:rsidR="00330422" w:rsidRPr="000D72AC">
        <w:t>.</w:t>
      </w:r>
      <w:r w:rsidR="00330422" w:rsidRPr="000D72AC">
        <w:fldChar w:fldCharType="begin" w:fldLock="1"/>
      </w:r>
      <w:r w:rsidR="00481147">
        <w:instrText>ADDIN CSL_CITATION { "citationItems" : [ { "id" : "ITEM-1", "itemData" : { "DOI" : "10.2967/jnumed.115.156364", "ISSN" : "0161-5505", "PMID" : "26338899", "abstract" : "With the introduction of combined PET/MR spectroscopic (MRS) imaging, it is now possible to directly and indirectly image the Warburg effect with hyperpolarized 13C-pyruvate and 18F-FDG PET imaging, respectively, via a technique we have named hyperPET. The main purpose of this present study was to establish a practical workflow for performing 18F-FDG PET and hyperpolarized 13C-pyruvate MRS imaging simultaneously for tumor tissue characterization and on a larger scale test its feasibility. In addition, we evaluated the correlation between 18F-FDG uptake and 13C-lactate production. Methods: Ten dogs with biopsy-verified spontaneous malignant tumors were included for imaging. All dogs underwent a protocol of simultaneous 18F-FDG PET, anatomic MR, and hyperpolarized dynamic nuclear polarization with 13C-pyruvate imaging. The data were acquired using a combined clinical PET/MR imaging scanner. Results: We found that combined 18F-FDG PET and 13C-pyruvate MRS imaging was possible in a single session of approximately 2 h. A continuous workflow was obtained with the injection of 18F-FDG when the dogs was placed in the PET/MR scanner. 13C-MRS dynamic acquisition demonstrated in an axial slab increased 13C-lactate production in 9 of 10 dogs. For the 9 dogs, the 13C-lactate was detected after a mean of 25 s (range, 17\u201333 s), with a mean to peak of 13C-lactate at 49 s (range, 40\u201362 s). 13C-pyruvate could be detected on average after 13 s (range, 5\u201326 s) and peaked on average after 25 s (range, 13\u201342 s). We noticed concordance of 18F-FDG uptake and production of 13C-lactate in most, but not all, axial slices. Conclusion: In this study, we have shown in a series of dogs with cancer that hyperPET can easily be performed within 2 h. We showed mostly correspondence between 13C-lactate production and 18F-FDG uptake and expect the combined modalities to reveal additional metabolic information to improve prognostic value and improve response monitoring.", "author" : [ { "dropping-particle" : "", "family" : "Gutte", "given" : "H.", "non-dropping-particle" : "", "parse-names" : false, "suffix" : "" }, { "dropping-particle" : "", "family" : "Hansen", "given" : "A. E.", "non-dropping-particle" : "", "parse-names" : false, "suffix" : "" }, { "dropping-particle" : "", "family" : "Larsen", "given" : "M. M. E.", "non-dropping-particle" : "", "parse-names" : false, "suffix" : "" }, { "dropping-particle" : "", "family" : "Rahbek", "given" : "S.", "non-dropping-particle" : "", "parse-names" : false, "suffix" : "" }, { "dropping-particle" : "", "family" : "Henriksen", "given" : "S. T.", "non-dropping-particle" : "", "parse-names" : false, "suffix" : "" }, { "dropping-particle" : "", "family" : "Johannesen", "given" : "H. H.", "non-dropping-particle" : "", "parse-names" : false, "suffix" : "" }, { "dropping-particle" : "", "family" : "Ardenkjaer-Larsen", "given" : "J.", "non-dropping-particle" : "", "parse-names" : false, "suffix" : "" }, { "dropping-particle" : "", "family" : "Kristensen", "given" : "A. T.", "non-dropping-particle" : "", "parse-names" : false, "suffix" : "" }, { "dropping-particle" : "", "family" : "Hojgaard", "given" : "L.", "non-dropping-particle" : "", "parse-names" : false, "suffix" : "" }, { "dropping-particle" : "", "family" : "Kjaer", "given" : "A.", "non-dropping-particle" : "", "parse-names" : false, "suffix" : "" } ], "container-title" : "Journal of Nuclear Medicine", "id" : "ITEM-1", "issue" : "11", "issued" : { "date-parts" : [ [ "2015" ] ] }, "page" : "1786-1792", "title" : "Simultaneous hyperpolarized 13C-pyruvate MRI and 18F-FDG PET (HyperPET) in 10 dogs with cancer", "type" : "article-journal", "volume" : "56" }, "uris" : [ "http://www.mendeley.com/documents/?uuid=8a5ebb0c-7047-4799-bd09-bff42af3986e" ] } ], "mendeley" : { "formattedCitation" : "&lt;sup&gt;86&lt;/sup&gt;", "plainTextFormattedCitation" : "86", "previouslyFormattedCitation" : "&lt;sup&gt;86&lt;/sup&gt;" }, "properties" : {  }, "schema" : "https://github.com/citation-style-language/schema/raw/master/csl-citation.json" }</w:instrText>
      </w:r>
      <w:r w:rsidR="00330422" w:rsidRPr="000D72AC">
        <w:fldChar w:fldCharType="separate"/>
      </w:r>
      <w:r w:rsidR="00481147" w:rsidRPr="00481147">
        <w:rPr>
          <w:noProof/>
          <w:vertAlign w:val="superscript"/>
        </w:rPr>
        <w:t>86</w:t>
      </w:r>
      <w:r w:rsidR="00330422" w:rsidRPr="000D72AC">
        <w:fldChar w:fldCharType="end"/>
      </w:r>
      <w:r w:rsidR="00330422">
        <w:t xml:space="preserve"> The technique will be translated into humans shortly</w:t>
      </w:r>
      <w:r w:rsidR="00330422" w:rsidRPr="000D72AC">
        <w:t>.</w:t>
      </w:r>
    </w:p>
    <w:p w14:paraId="523D4B87" w14:textId="77777777" w:rsidR="0033605F" w:rsidRDefault="0033605F" w:rsidP="0033768A">
      <w:pPr>
        <w:spacing w:line="360" w:lineRule="auto"/>
        <w:jc w:val="both"/>
      </w:pPr>
    </w:p>
    <w:p w14:paraId="249EE0B9" w14:textId="6EFFA019" w:rsidR="00A60428" w:rsidRPr="00E65733" w:rsidRDefault="00A60428" w:rsidP="00A60428">
      <w:pPr>
        <w:spacing w:line="360" w:lineRule="auto"/>
        <w:jc w:val="both"/>
      </w:pPr>
      <w:r>
        <w:t xml:space="preserve">As HP </w:t>
      </w:r>
      <w:r w:rsidRPr="00E65733">
        <w:rPr>
          <w:vertAlign w:val="superscript"/>
        </w:rPr>
        <w:t>13</w:t>
      </w:r>
      <w:r>
        <w:t xml:space="preserve">C-MRSI is in its infancy and rapidly evolving, the projected long-term costs of the technology are difficult to accurately evaluate. Hardware costs will reduce in time if there is increased demand for hyperpolarisation approaches. The authors believe that in the future the costs for undertaking such studies could be </w:t>
      </w:r>
      <w:proofErr w:type="gramStart"/>
      <w:r>
        <w:t>similar to</w:t>
      </w:r>
      <w:proofErr w:type="gramEnd"/>
      <w:r>
        <w:t xml:space="preserve"> those currently for PET imaging. These</w:t>
      </w:r>
      <w:r w:rsidRPr="0040103F">
        <w:t xml:space="preserve"> costs could be defrayed by the clinical benefits and </w:t>
      </w:r>
      <w:r>
        <w:t xml:space="preserve">treatment </w:t>
      </w:r>
      <w:r w:rsidRPr="0040103F">
        <w:t>cost savings if the technique is shown to have unique applications</w:t>
      </w:r>
      <w:r>
        <w:t>, particularly if ineffective but expensive therapies can be discontinued.</w:t>
      </w:r>
      <w:r w:rsidRPr="0040103F">
        <w:t xml:space="preserve"> </w:t>
      </w:r>
      <w:r>
        <w:t xml:space="preserve">Given that MRI is more widely available than PET in most hospitals, HP </w:t>
      </w:r>
      <w:r w:rsidRPr="00E65733">
        <w:rPr>
          <w:vertAlign w:val="superscript"/>
        </w:rPr>
        <w:t>13</w:t>
      </w:r>
      <w:r>
        <w:t>C-MRSI could become an important addition</w:t>
      </w:r>
      <w:r w:rsidR="008A7E86">
        <w:t>al</w:t>
      </w:r>
      <w:r>
        <w:t xml:space="preserve"> clinical tool if unique applications are revealed. </w:t>
      </w:r>
    </w:p>
    <w:p w14:paraId="25B447D4" w14:textId="77777777" w:rsidR="00FD2016" w:rsidRPr="000D72AC" w:rsidRDefault="00FD2016" w:rsidP="0033768A">
      <w:pPr>
        <w:spacing w:line="360" w:lineRule="auto"/>
        <w:jc w:val="both"/>
      </w:pPr>
    </w:p>
    <w:p w14:paraId="7509D7B1" w14:textId="77777777" w:rsidR="005B5958" w:rsidRPr="000D72AC" w:rsidRDefault="005B5958" w:rsidP="001B4024">
      <w:pPr>
        <w:spacing w:line="360" w:lineRule="auto"/>
        <w:jc w:val="both"/>
      </w:pPr>
    </w:p>
    <w:p w14:paraId="2D005D72" w14:textId="5E7D6C64" w:rsidR="00E42071" w:rsidRDefault="00E42071" w:rsidP="001B4024">
      <w:pPr>
        <w:spacing w:line="360" w:lineRule="auto"/>
        <w:jc w:val="both"/>
        <w:rPr>
          <w:b/>
        </w:rPr>
      </w:pPr>
      <w:r w:rsidRPr="00DD6A35">
        <w:rPr>
          <w:b/>
        </w:rPr>
        <w:t>Conclusion</w:t>
      </w:r>
    </w:p>
    <w:p w14:paraId="5A391E69" w14:textId="062FEFB8" w:rsidR="000B21E4" w:rsidRDefault="00D338F6" w:rsidP="007E0F51">
      <w:pPr>
        <w:spacing w:line="360" w:lineRule="auto"/>
        <w:jc w:val="both"/>
      </w:pPr>
      <w:r>
        <w:t xml:space="preserve">HP </w:t>
      </w:r>
      <w:r w:rsidRPr="000B21E4">
        <w:rPr>
          <w:vertAlign w:val="superscript"/>
        </w:rPr>
        <w:t>13</w:t>
      </w:r>
      <w:r>
        <w:t>C</w:t>
      </w:r>
      <w:r w:rsidR="00EA2B1E">
        <w:t>-</w:t>
      </w:r>
      <w:r>
        <w:t xml:space="preserve">MRSI </w:t>
      </w:r>
      <w:r w:rsidR="00A9455C">
        <w:t>can be used to probe tissue metabolism non-invasively</w:t>
      </w:r>
      <w:r w:rsidR="00167FBE">
        <w:t xml:space="preserve"> </w:t>
      </w:r>
      <w:r w:rsidR="00167FBE" w:rsidRPr="00D338F6">
        <w:rPr>
          <w:i/>
        </w:rPr>
        <w:t>in</w:t>
      </w:r>
      <w:r w:rsidR="00EA2B1E">
        <w:rPr>
          <w:i/>
        </w:rPr>
        <w:t xml:space="preserve"> </w:t>
      </w:r>
      <w:r w:rsidR="00167FBE" w:rsidRPr="00D338F6">
        <w:rPr>
          <w:i/>
        </w:rPr>
        <w:t>vivo</w:t>
      </w:r>
      <w:r w:rsidR="00A9455C">
        <w:rPr>
          <w:i/>
        </w:rPr>
        <w:t>.</w:t>
      </w:r>
      <w:r w:rsidR="00A9455C">
        <w:t xml:space="preserve"> This may have important implications for the</w:t>
      </w:r>
      <w:r w:rsidR="00167FBE">
        <w:t xml:space="preserve"> management of cancer patients in the</w:t>
      </w:r>
      <w:r w:rsidR="007E0F51">
        <w:t xml:space="preserve"> future</w:t>
      </w:r>
      <w:r w:rsidR="00167FBE">
        <w:t xml:space="preserve">. </w:t>
      </w:r>
      <w:r w:rsidR="00866E80">
        <w:t>Combined with conve</w:t>
      </w:r>
      <w:r w:rsidR="007D5914">
        <w:t>n</w:t>
      </w:r>
      <w:r w:rsidR="00866E80">
        <w:t>tional imaging tools, it may increase the accuracy of cancer staging</w:t>
      </w:r>
      <w:r w:rsidR="00A9455C">
        <w:t xml:space="preserve">, be used to target biopsies, help to </w:t>
      </w:r>
      <w:r w:rsidR="007D5914">
        <w:t xml:space="preserve">distinguish </w:t>
      </w:r>
      <w:r w:rsidR="00AD4071">
        <w:t>highly aggressive from less aggressive</w:t>
      </w:r>
      <w:r w:rsidR="00AD4071" w:rsidDel="00AD4071">
        <w:t xml:space="preserve"> </w:t>
      </w:r>
      <w:r w:rsidR="00A9455C">
        <w:t>disease and to demonstrate tumour heterogeneity</w:t>
      </w:r>
      <w:r w:rsidR="00866E80">
        <w:t>.</w:t>
      </w:r>
      <w:r w:rsidR="00A9455C">
        <w:t xml:space="preserve"> An important application for</w:t>
      </w:r>
      <w:r w:rsidR="00866E80">
        <w:t xml:space="preserve"> HP </w:t>
      </w:r>
      <w:r w:rsidR="00866E80" w:rsidRPr="000B21E4">
        <w:rPr>
          <w:vertAlign w:val="superscript"/>
        </w:rPr>
        <w:t>13</w:t>
      </w:r>
      <w:r w:rsidR="00866E80">
        <w:t>C</w:t>
      </w:r>
      <w:r w:rsidR="00EA2B1E">
        <w:t>-</w:t>
      </w:r>
      <w:r w:rsidR="00866E80">
        <w:t xml:space="preserve">MRSI </w:t>
      </w:r>
      <w:r w:rsidR="00A9455C">
        <w:t xml:space="preserve">is the </w:t>
      </w:r>
      <w:r w:rsidR="00866E80">
        <w:t>detect</w:t>
      </w:r>
      <w:r w:rsidR="00A9455C">
        <w:t>ion of</w:t>
      </w:r>
      <w:r w:rsidR="00866E80">
        <w:t xml:space="preserve"> early changes in metabolic activity allowing for </w:t>
      </w:r>
      <w:r w:rsidR="00A9455C">
        <w:t>a rapid</w:t>
      </w:r>
      <w:r w:rsidR="00866E80">
        <w:t xml:space="preserve"> assessment of the therapeutic response to specific drugs </w:t>
      </w:r>
      <w:r w:rsidR="007D5914">
        <w:t xml:space="preserve">and </w:t>
      </w:r>
      <w:r w:rsidR="00866E80">
        <w:t>informing the clinical management in a faster and individualised fashion.</w:t>
      </w:r>
      <w:r w:rsidR="00A9455C">
        <w:t xml:space="preserve"> </w:t>
      </w:r>
      <w:r w:rsidR="00276305">
        <w:t xml:space="preserve">While it is likely to remain a research tool for the foreseeable future, </w:t>
      </w:r>
      <w:r w:rsidR="00276305">
        <w:lastRenderedPageBreak/>
        <w:t>s</w:t>
      </w:r>
      <w:r w:rsidR="00A9455C">
        <w:t>uch an approach</w:t>
      </w:r>
      <w:r w:rsidR="007E0F51">
        <w:t xml:space="preserve"> could have important implications for the personalised management of cancer in the future. </w:t>
      </w:r>
    </w:p>
    <w:p w14:paraId="0E301945" w14:textId="77777777" w:rsidR="00035AC3" w:rsidRDefault="00035AC3" w:rsidP="001B4024">
      <w:pPr>
        <w:spacing w:line="360" w:lineRule="auto"/>
        <w:jc w:val="both"/>
        <w:rPr>
          <w:b/>
        </w:rPr>
        <w:sectPr w:rsidR="00035AC3" w:rsidSect="004F4AC5">
          <w:pgSz w:w="11900" w:h="16840"/>
          <w:pgMar w:top="1440" w:right="1440" w:bottom="1440" w:left="1440" w:header="708" w:footer="708" w:gutter="0"/>
          <w:cols w:space="708"/>
          <w:docGrid w:linePitch="360"/>
        </w:sectPr>
      </w:pPr>
    </w:p>
    <w:p w14:paraId="32D3EA5E" w14:textId="0F501486" w:rsidR="00727B0F" w:rsidRPr="000D72AC" w:rsidRDefault="00727B0F" w:rsidP="001B4024">
      <w:pPr>
        <w:spacing w:line="360" w:lineRule="auto"/>
        <w:jc w:val="both"/>
        <w:rPr>
          <w:b/>
        </w:rPr>
      </w:pPr>
      <w:r w:rsidRPr="000D72AC">
        <w:rPr>
          <w:b/>
        </w:rPr>
        <w:lastRenderedPageBreak/>
        <w:t>References</w:t>
      </w:r>
    </w:p>
    <w:p w14:paraId="519758FF" w14:textId="68500916" w:rsidR="00481147" w:rsidRPr="00481147" w:rsidRDefault="00727B0F" w:rsidP="00481147">
      <w:pPr>
        <w:widowControl w:val="0"/>
        <w:autoSpaceDE w:val="0"/>
        <w:autoSpaceDN w:val="0"/>
        <w:adjustRightInd w:val="0"/>
        <w:spacing w:line="360" w:lineRule="auto"/>
        <w:ind w:left="640" w:hanging="640"/>
        <w:rPr>
          <w:rFonts w:ascii="Calibri" w:eastAsia="Times New Roman" w:hAnsi="Calibri" w:cs="Times New Roman"/>
          <w:noProof/>
        </w:rPr>
      </w:pPr>
      <w:r w:rsidRPr="000D72AC">
        <w:fldChar w:fldCharType="begin" w:fldLock="1"/>
      </w:r>
      <w:r w:rsidRPr="000D72AC">
        <w:instrText xml:space="preserve">ADDIN Mendeley Bibliography CSL_BIBLIOGRAPHY </w:instrText>
      </w:r>
      <w:r w:rsidRPr="000D72AC">
        <w:fldChar w:fldCharType="separate"/>
      </w:r>
      <w:r w:rsidR="00481147" w:rsidRPr="00481147">
        <w:rPr>
          <w:rFonts w:ascii="Calibri" w:eastAsia="Times New Roman" w:hAnsi="Calibri" w:cs="Times New Roman"/>
          <w:noProof/>
        </w:rPr>
        <w:t xml:space="preserve">1. </w:t>
      </w:r>
      <w:r w:rsidR="00481147" w:rsidRPr="00481147">
        <w:rPr>
          <w:rFonts w:ascii="Calibri" w:eastAsia="Times New Roman" w:hAnsi="Calibri" w:cs="Times New Roman"/>
          <w:noProof/>
        </w:rPr>
        <w:tab/>
        <w:t xml:space="preserve">Warburg O. On the </w:t>
      </w:r>
      <w:r w:rsidR="006A2A43">
        <w:rPr>
          <w:rFonts w:ascii="Calibri" w:eastAsia="Times New Roman" w:hAnsi="Calibri" w:cs="Times New Roman"/>
          <w:noProof/>
        </w:rPr>
        <w:t>o</w:t>
      </w:r>
      <w:r w:rsidR="00481147" w:rsidRPr="00481147">
        <w:rPr>
          <w:rFonts w:ascii="Calibri" w:eastAsia="Times New Roman" w:hAnsi="Calibri" w:cs="Times New Roman"/>
          <w:noProof/>
        </w:rPr>
        <w:t xml:space="preserve">rigin of </w:t>
      </w:r>
      <w:r w:rsidR="006A2A43">
        <w:rPr>
          <w:rFonts w:ascii="Calibri" w:eastAsia="Times New Roman" w:hAnsi="Calibri" w:cs="Times New Roman"/>
          <w:noProof/>
        </w:rPr>
        <w:t>c</w:t>
      </w:r>
      <w:r w:rsidR="00481147" w:rsidRPr="00481147">
        <w:rPr>
          <w:rFonts w:ascii="Calibri" w:eastAsia="Times New Roman" w:hAnsi="Calibri" w:cs="Times New Roman"/>
          <w:noProof/>
        </w:rPr>
        <w:t xml:space="preserve">ancer </w:t>
      </w:r>
      <w:r w:rsidR="006A2A43">
        <w:rPr>
          <w:rFonts w:ascii="Calibri" w:eastAsia="Times New Roman" w:hAnsi="Calibri" w:cs="Times New Roman"/>
          <w:noProof/>
        </w:rPr>
        <w:t>c</w:t>
      </w:r>
      <w:r w:rsidR="00481147" w:rsidRPr="00481147">
        <w:rPr>
          <w:rFonts w:ascii="Calibri" w:eastAsia="Times New Roman" w:hAnsi="Calibri" w:cs="Times New Roman"/>
          <w:noProof/>
        </w:rPr>
        <w:t xml:space="preserve">ells. Science (80- ). 1956;123(3191):309–14. </w:t>
      </w:r>
    </w:p>
    <w:p w14:paraId="363E1C2F" w14:textId="47B49F0A"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2. </w:t>
      </w:r>
      <w:r w:rsidRPr="00481147">
        <w:rPr>
          <w:rFonts w:ascii="Calibri" w:eastAsia="Times New Roman" w:hAnsi="Calibri" w:cs="Times New Roman"/>
          <w:noProof/>
        </w:rPr>
        <w:tab/>
        <w:t xml:space="preserve">Kuhajda FP. Fatty Acid </w:t>
      </w:r>
      <w:r w:rsidR="00B52C5F">
        <w:rPr>
          <w:rFonts w:ascii="Calibri" w:eastAsia="Times New Roman" w:hAnsi="Calibri" w:cs="Times New Roman"/>
          <w:noProof/>
        </w:rPr>
        <w:t>s</w:t>
      </w:r>
      <w:r w:rsidRPr="00481147">
        <w:rPr>
          <w:rFonts w:ascii="Calibri" w:eastAsia="Times New Roman" w:hAnsi="Calibri" w:cs="Times New Roman"/>
          <w:noProof/>
        </w:rPr>
        <w:t xml:space="preserve">ynthase and </w:t>
      </w:r>
      <w:r w:rsidR="00B52C5F">
        <w:rPr>
          <w:rFonts w:ascii="Calibri" w:eastAsia="Times New Roman" w:hAnsi="Calibri" w:cs="Times New Roman"/>
          <w:noProof/>
        </w:rPr>
        <w:t>c</w:t>
      </w:r>
      <w:r w:rsidRPr="00481147">
        <w:rPr>
          <w:rFonts w:ascii="Calibri" w:eastAsia="Times New Roman" w:hAnsi="Calibri" w:cs="Times New Roman"/>
          <w:noProof/>
        </w:rPr>
        <w:t xml:space="preserve">ancer: </w:t>
      </w:r>
      <w:r w:rsidR="00B52C5F">
        <w:rPr>
          <w:rFonts w:ascii="Calibri" w:eastAsia="Times New Roman" w:hAnsi="Calibri" w:cs="Times New Roman"/>
          <w:noProof/>
        </w:rPr>
        <w:t>n</w:t>
      </w:r>
      <w:r w:rsidRPr="00481147">
        <w:rPr>
          <w:rFonts w:ascii="Calibri" w:eastAsia="Times New Roman" w:hAnsi="Calibri" w:cs="Times New Roman"/>
          <w:noProof/>
        </w:rPr>
        <w:t xml:space="preserve">ew </w:t>
      </w:r>
      <w:r w:rsidR="00B52C5F">
        <w:rPr>
          <w:rFonts w:ascii="Calibri" w:eastAsia="Times New Roman" w:hAnsi="Calibri" w:cs="Times New Roman"/>
          <w:noProof/>
        </w:rPr>
        <w:t>a</w:t>
      </w:r>
      <w:r w:rsidRPr="00481147">
        <w:rPr>
          <w:rFonts w:ascii="Calibri" w:eastAsia="Times New Roman" w:hAnsi="Calibri" w:cs="Times New Roman"/>
          <w:noProof/>
        </w:rPr>
        <w:t xml:space="preserve">pplication of an </w:t>
      </w:r>
      <w:r w:rsidR="00B52C5F">
        <w:rPr>
          <w:rFonts w:ascii="Calibri" w:eastAsia="Times New Roman" w:hAnsi="Calibri" w:cs="Times New Roman"/>
          <w:noProof/>
        </w:rPr>
        <w:t>o</w:t>
      </w:r>
      <w:r w:rsidRPr="00481147">
        <w:rPr>
          <w:rFonts w:ascii="Calibri" w:eastAsia="Times New Roman" w:hAnsi="Calibri" w:cs="Times New Roman"/>
          <w:noProof/>
        </w:rPr>
        <w:t xml:space="preserve">ld </w:t>
      </w:r>
      <w:r w:rsidR="00B52C5F">
        <w:rPr>
          <w:rFonts w:ascii="Calibri" w:eastAsia="Times New Roman" w:hAnsi="Calibri" w:cs="Times New Roman"/>
          <w:noProof/>
        </w:rPr>
        <w:t>p</w:t>
      </w:r>
      <w:r w:rsidRPr="00481147">
        <w:rPr>
          <w:rFonts w:ascii="Calibri" w:eastAsia="Times New Roman" w:hAnsi="Calibri" w:cs="Times New Roman"/>
          <w:noProof/>
        </w:rPr>
        <w:t xml:space="preserve">athway. Cancer Res. 2006 Jun 15;66(12):5977–80. </w:t>
      </w:r>
    </w:p>
    <w:p w14:paraId="07CBFFFC" w14:textId="77462011"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3. </w:t>
      </w:r>
      <w:r w:rsidRPr="00481147">
        <w:rPr>
          <w:rFonts w:ascii="Calibri" w:eastAsia="Times New Roman" w:hAnsi="Calibri" w:cs="Times New Roman"/>
          <w:noProof/>
        </w:rPr>
        <w:tab/>
        <w:t xml:space="preserve">Yoshimoto M, Waki A, Yonekura Y, Sadato N, Murata T, Omata N, et al. Characterization of acetate metabolism in tumor cells in relation to cell proliferation: </w:t>
      </w:r>
      <w:r w:rsidR="002A2B13">
        <w:rPr>
          <w:rFonts w:ascii="Calibri" w:eastAsia="Times New Roman" w:hAnsi="Calibri" w:cs="Times New Roman"/>
          <w:noProof/>
        </w:rPr>
        <w:t>a</w:t>
      </w:r>
      <w:r w:rsidRPr="00481147">
        <w:rPr>
          <w:rFonts w:ascii="Calibri" w:eastAsia="Times New Roman" w:hAnsi="Calibri" w:cs="Times New Roman"/>
          <w:noProof/>
        </w:rPr>
        <w:t xml:space="preserve">cetate metabolism in tumor cells. Nucl Med Biol. 2001;28(2):117–22. </w:t>
      </w:r>
    </w:p>
    <w:p w14:paraId="38280FE8"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4. </w:t>
      </w:r>
      <w:r w:rsidRPr="00481147">
        <w:rPr>
          <w:rFonts w:ascii="Calibri" w:eastAsia="Times New Roman" w:hAnsi="Calibri" w:cs="Times New Roman"/>
          <w:noProof/>
        </w:rPr>
        <w:tab/>
        <w:t xml:space="preserve">Menendez JA, Lupu R. Fatty acid synthase and the lipogenic phenotype in cancer pathogenesis. Nat Rev Cancer. 2007 Oct;7(10):763–77. </w:t>
      </w:r>
    </w:p>
    <w:p w14:paraId="73F71B4F"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5. </w:t>
      </w:r>
      <w:r w:rsidRPr="00481147">
        <w:rPr>
          <w:rFonts w:ascii="Calibri" w:eastAsia="Times New Roman" w:hAnsi="Calibri" w:cs="Times New Roman"/>
          <w:noProof/>
        </w:rPr>
        <w:tab/>
        <w:t xml:space="preserve">Weissleder R, Mahmood U. Molecular Imaging. Radiology. 2001;219(2):316–33. </w:t>
      </w:r>
    </w:p>
    <w:p w14:paraId="69DF9258"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6. </w:t>
      </w:r>
      <w:r w:rsidRPr="00481147">
        <w:rPr>
          <w:rFonts w:ascii="Calibri" w:eastAsia="Times New Roman" w:hAnsi="Calibri" w:cs="Times New Roman"/>
          <w:noProof/>
        </w:rPr>
        <w:tab/>
        <w:t xml:space="preserve">Culver J, Akers W, Achilefu S. Multimodality molecular imaging with combined optical and SPECT/PET modalities. J Nucl Med. 2008;49(2):169–72. </w:t>
      </w:r>
    </w:p>
    <w:p w14:paraId="40FE227E"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7. </w:t>
      </w:r>
      <w:r w:rsidRPr="00481147">
        <w:rPr>
          <w:rFonts w:ascii="Calibri" w:eastAsia="Times New Roman" w:hAnsi="Calibri" w:cs="Times New Roman"/>
          <w:noProof/>
        </w:rPr>
        <w:tab/>
        <w:t xml:space="preserve">Kurhanewicz J, Vigneron DB, Brindle K, Chekmenev EY, Comment A, Cunningham CH, et al. Analysis of cancer metabolism by imaging hyperpolarized nuclei: prospects for translation to clinical research. Neoplasia. 2011;13(2):81–97. </w:t>
      </w:r>
    </w:p>
    <w:p w14:paraId="707E2485" w14:textId="32DA1B70"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8. </w:t>
      </w:r>
      <w:r w:rsidRPr="00481147">
        <w:rPr>
          <w:rFonts w:ascii="Calibri" w:eastAsia="Times New Roman" w:hAnsi="Calibri" w:cs="Times New Roman"/>
          <w:noProof/>
        </w:rPr>
        <w:tab/>
        <w:t xml:space="preserve">Czernin J, Allen-Auerbach M, Nathanson D, Herrmann K. PET/CT in Oncology: </w:t>
      </w:r>
      <w:r w:rsidR="00C4260B">
        <w:rPr>
          <w:rFonts w:ascii="Calibri" w:eastAsia="Times New Roman" w:hAnsi="Calibri" w:cs="Times New Roman"/>
          <w:noProof/>
        </w:rPr>
        <w:t>c</w:t>
      </w:r>
      <w:r w:rsidRPr="00481147">
        <w:rPr>
          <w:rFonts w:ascii="Calibri" w:eastAsia="Times New Roman" w:hAnsi="Calibri" w:cs="Times New Roman"/>
          <w:noProof/>
        </w:rPr>
        <w:t xml:space="preserve">urrent </w:t>
      </w:r>
      <w:r w:rsidR="00C4260B">
        <w:rPr>
          <w:rFonts w:ascii="Calibri" w:eastAsia="Times New Roman" w:hAnsi="Calibri" w:cs="Times New Roman"/>
          <w:noProof/>
        </w:rPr>
        <w:t>s</w:t>
      </w:r>
      <w:r w:rsidRPr="00481147">
        <w:rPr>
          <w:rFonts w:ascii="Calibri" w:eastAsia="Times New Roman" w:hAnsi="Calibri" w:cs="Times New Roman"/>
          <w:noProof/>
        </w:rPr>
        <w:t>tatus and</w:t>
      </w:r>
      <w:r w:rsidR="00C4260B">
        <w:rPr>
          <w:rFonts w:ascii="Calibri" w:eastAsia="Times New Roman" w:hAnsi="Calibri" w:cs="Times New Roman"/>
          <w:noProof/>
        </w:rPr>
        <w:t>p</w:t>
      </w:r>
      <w:r w:rsidRPr="00481147">
        <w:rPr>
          <w:rFonts w:ascii="Calibri" w:eastAsia="Times New Roman" w:hAnsi="Calibri" w:cs="Times New Roman"/>
          <w:noProof/>
        </w:rPr>
        <w:t xml:space="preserve">Perspectives. Curr Radiol Rep. 2013;1(3):177–90. </w:t>
      </w:r>
    </w:p>
    <w:p w14:paraId="324BFFF9"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9. </w:t>
      </w:r>
      <w:r w:rsidRPr="00481147">
        <w:rPr>
          <w:rFonts w:ascii="Calibri" w:eastAsia="Times New Roman" w:hAnsi="Calibri" w:cs="Times New Roman"/>
          <w:noProof/>
        </w:rPr>
        <w:tab/>
        <w:t xml:space="preserve">Hicks RJ. Should positron emission tomography/computed tomography be the first rather than the last test performed in the assessment of cancer? Cancer Imaging. 2012;12:315–23. </w:t>
      </w:r>
    </w:p>
    <w:p w14:paraId="28A7BE76" w14:textId="06B6CC88"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10. </w:t>
      </w:r>
      <w:r w:rsidRPr="00481147">
        <w:rPr>
          <w:rFonts w:ascii="Calibri" w:eastAsia="Times New Roman" w:hAnsi="Calibri" w:cs="Times New Roman"/>
          <w:noProof/>
        </w:rPr>
        <w:tab/>
        <w:t xml:space="preserve">Gallagher FA, Bohndiek SE, Kettunen MI, Lewis DY, Soloviev D, Brindle KM.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MRI and PET: </w:t>
      </w:r>
      <w:r w:rsidR="00C4260B">
        <w:rPr>
          <w:rFonts w:ascii="Calibri" w:eastAsia="Times New Roman" w:hAnsi="Calibri" w:cs="Times New Roman"/>
          <w:noProof/>
        </w:rPr>
        <w:t>i</w:t>
      </w:r>
      <w:r w:rsidRPr="00481147">
        <w:rPr>
          <w:rFonts w:ascii="Calibri" w:eastAsia="Times New Roman" w:hAnsi="Calibri" w:cs="Times New Roman"/>
          <w:noProof/>
        </w:rPr>
        <w:t xml:space="preserve">n </w:t>
      </w:r>
      <w:r w:rsidR="00C4260B">
        <w:rPr>
          <w:rFonts w:ascii="Calibri" w:eastAsia="Times New Roman" w:hAnsi="Calibri" w:cs="Times New Roman"/>
          <w:noProof/>
        </w:rPr>
        <w:t>v</w:t>
      </w:r>
      <w:r w:rsidRPr="00481147">
        <w:rPr>
          <w:rFonts w:ascii="Calibri" w:eastAsia="Times New Roman" w:hAnsi="Calibri" w:cs="Times New Roman"/>
          <w:noProof/>
        </w:rPr>
        <w:t xml:space="preserve">ivo </w:t>
      </w:r>
      <w:r w:rsidR="00C4260B">
        <w:rPr>
          <w:rFonts w:ascii="Calibri" w:eastAsia="Times New Roman" w:hAnsi="Calibri" w:cs="Times New Roman"/>
          <w:noProof/>
        </w:rPr>
        <w:t>t</w:t>
      </w:r>
      <w:r w:rsidRPr="00481147">
        <w:rPr>
          <w:rFonts w:ascii="Calibri" w:eastAsia="Times New Roman" w:hAnsi="Calibri" w:cs="Times New Roman"/>
          <w:noProof/>
        </w:rPr>
        <w:t xml:space="preserve">umor </w:t>
      </w:r>
      <w:r w:rsidR="00C4260B">
        <w:rPr>
          <w:rFonts w:ascii="Calibri" w:eastAsia="Times New Roman" w:hAnsi="Calibri" w:cs="Times New Roman"/>
          <w:noProof/>
        </w:rPr>
        <w:t>b</w:t>
      </w:r>
      <w:r w:rsidRPr="00481147">
        <w:rPr>
          <w:rFonts w:ascii="Calibri" w:eastAsia="Times New Roman" w:hAnsi="Calibri" w:cs="Times New Roman"/>
          <w:noProof/>
        </w:rPr>
        <w:t xml:space="preserve">iochemistry. J Nucl Med. 2011;52:1333–6. </w:t>
      </w:r>
    </w:p>
    <w:p w14:paraId="464287E3" w14:textId="2DD13B00"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lang w:val="it-IT"/>
        </w:rPr>
      </w:pPr>
      <w:r w:rsidRPr="00481147">
        <w:rPr>
          <w:rFonts w:ascii="Calibri" w:eastAsia="Times New Roman" w:hAnsi="Calibri" w:cs="Times New Roman"/>
          <w:noProof/>
        </w:rPr>
        <w:t xml:space="preserve">11. </w:t>
      </w:r>
      <w:r w:rsidRPr="00481147">
        <w:rPr>
          <w:rFonts w:ascii="Calibri" w:eastAsia="Times New Roman" w:hAnsi="Calibri" w:cs="Times New Roman"/>
          <w:noProof/>
        </w:rPr>
        <w:tab/>
        <w:t xml:space="preserve">Ehman EC, Johnson GB, Villanueva-Meyer JE, Cha S, Leynes AP, Larson PEZ, et al. PET/MRI: </w:t>
      </w:r>
      <w:r w:rsidR="00C92093">
        <w:rPr>
          <w:rFonts w:ascii="Calibri" w:eastAsia="Times New Roman" w:hAnsi="Calibri" w:cs="Times New Roman"/>
          <w:noProof/>
        </w:rPr>
        <w:t>w</w:t>
      </w:r>
      <w:r w:rsidRPr="00481147">
        <w:rPr>
          <w:rFonts w:ascii="Calibri" w:eastAsia="Times New Roman" w:hAnsi="Calibri" w:cs="Times New Roman"/>
          <w:noProof/>
        </w:rPr>
        <w:t xml:space="preserve">here might it replace PET/CT? J Magn Reson Imaging. </w:t>
      </w:r>
      <w:r w:rsidRPr="00481147">
        <w:rPr>
          <w:rFonts w:ascii="Calibri" w:eastAsia="Times New Roman" w:hAnsi="Calibri" w:cs="Times New Roman"/>
          <w:noProof/>
          <w:lang w:val="it-IT"/>
        </w:rPr>
        <w:t xml:space="preserve">2017;1–16. </w:t>
      </w:r>
    </w:p>
    <w:p w14:paraId="0163F333" w14:textId="4ED12E50"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lang w:val="it-IT"/>
        </w:rPr>
        <w:t xml:space="preserve">12. </w:t>
      </w:r>
      <w:r w:rsidRPr="00481147">
        <w:rPr>
          <w:rFonts w:ascii="Calibri" w:eastAsia="Times New Roman" w:hAnsi="Calibri" w:cs="Times New Roman"/>
          <w:noProof/>
          <w:lang w:val="it-IT"/>
        </w:rPr>
        <w:tab/>
        <w:t xml:space="preserve">García-Figueiras R, Baleato-González S, Padhani AR, Oleaga L, Vilanova JC, Luna A, et al. </w:t>
      </w:r>
      <w:r w:rsidRPr="00481147">
        <w:rPr>
          <w:rFonts w:ascii="Calibri" w:eastAsia="Times New Roman" w:hAnsi="Calibri" w:cs="Times New Roman"/>
          <w:noProof/>
        </w:rPr>
        <w:t xml:space="preserve">Proton magnetic resonance spectroscopy in oncology: </w:t>
      </w:r>
      <w:r w:rsidR="00C92093">
        <w:rPr>
          <w:rFonts w:ascii="Calibri" w:eastAsia="Times New Roman" w:hAnsi="Calibri" w:cs="Times New Roman"/>
          <w:noProof/>
        </w:rPr>
        <w:t>t</w:t>
      </w:r>
      <w:r w:rsidRPr="00481147">
        <w:rPr>
          <w:rFonts w:ascii="Calibri" w:eastAsia="Times New Roman" w:hAnsi="Calibri" w:cs="Times New Roman"/>
          <w:noProof/>
        </w:rPr>
        <w:t xml:space="preserve">he fingerprints of cancer? Diagnostic Interv Radiol. 2016;22(1):75–89. </w:t>
      </w:r>
    </w:p>
    <w:p w14:paraId="727595EF"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13. </w:t>
      </w:r>
      <w:r w:rsidRPr="00481147">
        <w:rPr>
          <w:rFonts w:ascii="Calibri" w:eastAsia="Times New Roman" w:hAnsi="Calibri" w:cs="Times New Roman"/>
          <w:noProof/>
        </w:rPr>
        <w:tab/>
        <w:t xml:space="preserve">Kwock L, Smith JK, Castillo M, Ewend MG, Collichio F, Morris DE, et al. Clinical role of proton magnetic resonance spectroscopy in oncology: brain, breast, and prostate cancer. Lancet Oncol. 2006;7(10):859–68. </w:t>
      </w:r>
    </w:p>
    <w:p w14:paraId="2405EAB0" w14:textId="49EA9F8F"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14. </w:t>
      </w:r>
      <w:r w:rsidRPr="00481147">
        <w:rPr>
          <w:rFonts w:ascii="Calibri" w:eastAsia="Times New Roman" w:hAnsi="Calibri" w:cs="Times New Roman"/>
          <w:noProof/>
        </w:rPr>
        <w:tab/>
        <w:t xml:space="preserve">Kurhanewicz J, Vigneron DB. Advances in MR Spectroscopy of the </w:t>
      </w:r>
      <w:r w:rsidR="00785D98">
        <w:rPr>
          <w:rFonts w:ascii="Calibri" w:eastAsia="Times New Roman" w:hAnsi="Calibri" w:cs="Times New Roman"/>
          <w:noProof/>
        </w:rPr>
        <w:t>p</w:t>
      </w:r>
      <w:r w:rsidRPr="00481147">
        <w:rPr>
          <w:rFonts w:ascii="Calibri" w:eastAsia="Times New Roman" w:hAnsi="Calibri" w:cs="Times New Roman"/>
          <w:noProof/>
        </w:rPr>
        <w:t xml:space="preserve">rostate. Magn </w:t>
      </w:r>
      <w:r w:rsidRPr="00481147">
        <w:rPr>
          <w:rFonts w:ascii="Calibri" w:eastAsia="Times New Roman" w:hAnsi="Calibri" w:cs="Times New Roman"/>
          <w:noProof/>
        </w:rPr>
        <w:lastRenderedPageBreak/>
        <w:t xml:space="preserve">Reson Imaging Clin N Am. 2008;16(4):697–710. </w:t>
      </w:r>
    </w:p>
    <w:p w14:paraId="12092081" w14:textId="48F80B63"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15. </w:t>
      </w:r>
      <w:r w:rsidRPr="00481147">
        <w:rPr>
          <w:rFonts w:ascii="Calibri" w:eastAsia="Times New Roman" w:hAnsi="Calibri" w:cs="Times New Roman"/>
          <w:noProof/>
        </w:rPr>
        <w:tab/>
        <w:t xml:space="preserve">Van Der Graaf M. In vivo magnetic resonance spectroscopy: </w:t>
      </w:r>
      <w:r w:rsidR="00B75564">
        <w:rPr>
          <w:rFonts w:ascii="Calibri" w:eastAsia="Times New Roman" w:hAnsi="Calibri" w:cs="Times New Roman"/>
          <w:noProof/>
        </w:rPr>
        <w:t>b</w:t>
      </w:r>
      <w:r w:rsidRPr="00481147">
        <w:rPr>
          <w:rFonts w:ascii="Calibri" w:eastAsia="Times New Roman" w:hAnsi="Calibri" w:cs="Times New Roman"/>
          <w:noProof/>
        </w:rPr>
        <w:t xml:space="preserve">asic methodology and clinical applications. Eur Biophys J. 2010;39(4):527–40. </w:t>
      </w:r>
    </w:p>
    <w:p w14:paraId="0330C20B"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16. </w:t>
      </w:r>
      <w:r w:rsidRPr="00481147">
        <w:rPr>
          <w:rFonts w:ascii="Calibri" w:eastAsia="Times New Roman" w:hAnsi="Calibri" w:cs="Times New Roman"/>
          <w:noProof/>
        </w:rPr>
        <w:tab/>
        <w:t xml:space="preserve">Overhauser AW. Polarization of nuclei in metals. Phys Rev. 1953;92(2):411–5. </w:t>
      </w:r>
    </w:p>
    <w:p w14:paraId="0090D6EC"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17. </w:t>
      </w:r>
      <w:r w:rsidRPr="00481147">
        <w:rPr>
          <w:rFonts w:ascii="Calibri" w:eastAsia="Times New Roman" w:hAnsi="Calibri" w:cs="Times New Roman"/>
          <w:noProof/>
        </w:rPr>
        <w:tab/>
        <w:t xml:space="preserve">Ardenkjaer-Larsen JH, Fridlund B, Gram A, Hansson G, Hansson L, Lerche MH, et al. Increase in signal-to-noise ratio of &gt; 10,000 times in liquid-state NMR. Proc Natl Acad Sci U S A. 2003;100(18):10158–63. </w:t>
      </w:r>
    </w:p>
    <w:p w14:paraId="4F91D4AE" w14:textId="0CB5F4F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18. </w:t>
      </w:r>
      <w:r w:rsidRPr="00481147">
        <w:rPr>
          <w:rFonts w:ascii="Calibri" w:eastAsia="Times New Roman" w:hAnsi="Calibri" w:cs="Times New Roman"/>
          <w:noProof/>
        </w:rPr>
        <w:tab/>
        <w:t xml:space="preserve">Nelson SJ, Kurhanewicz J, Vigneron DB, Larson PEZ, Harzstark AL, Ferrone M, et al. Metabolic </w:t>
      </w:r>
      <w:r w:rsidR="00AA4735">
        <w:rPr>
          <w:rFonts w:ascii="Calibri" w:eastAsia="Times New Roman" w:hAnsi="Calibri" w:cs="Times New Roman"/>
          <w:noProof/>
        </w:rPr>
        <w:t>i</w:t>
      </w:r>
      <w:r w:rsidRPr="00481147">
        <w:rPr>
          <w:rFonts w:ascii="Calibri" w:eastAsia="Times New Roman" w:hAnsi="Calibri" w:cs="Times New Roman"/>
          <w:noProof/>
        </w:rPr>
        <w:t xml:space="preserve">maging of </w:t>
      </w:r>
      <w:r w:rsidR="00AA4735">
        <w:rPr>
          <w:rFonts w:ascii="Calibri" w:eastAsia="Times New Roman" w:hAnsi="Calibri" w:cs="Times New Roman"/>
          <w:noProof/>
        </w:rPr>
        <w:t>p</w:t>
      </w:r>
      <w:r w:rsidRPr="00481147">
        <w:rPr>
          <w:rFonts w:ascii="Calibri" w:eastAsia="Times New Roman" w:hAnsi="Calibri" w:cs="Times New Roman"/>
          <w:noProof/>
        </w:rPr>
        <w:t xml:space="preserve">atients with </w:t>
      </w:r>
      <w:r w:rsidR="00AA4735">
        <w:rPr>
          <w:rFonts w:ascii="Calibri" w:eastAsia="Times New Roman" w:hAnsi="Calibri" w:cs="Times New Roman"/>
          <w:noProof/>
        </w:rPr>
        <w:t>p</w:t>
      </w:r>
      <w:r w:rsidRPr="00481147">
        <w:rPr>
          <w:rFonts w:ascii="Calibri" w:eastAsia="Times New Roman" w:hAnsi="Calibri" w:cs="Times New Roman"/>
          <w:noProof/>
        </w:rPr>
        <w:t xml:space="preserve">rostate </w:t>
      </w:r>
      <w:r w:rsidR="00AA4735">
        <w:rPr>
          <w:rFonts w:ascii="Calibri" w:eastAsia="Times New Roman" w:hAnsi="Calibri" w:cs="Times New Roman"/>
          <w:noProof/>
        </w:rPr>
        <w:t>c</w:t>
      </w:r>
      <w:r w:rsidRPr="00481147">
        <w:rPr>
          <w:rFonts w:ascii="Calibri" w:eastAsia="Times New Roman" w:hAnsi="Calibri" w:cs="Times New Roman"/>
          <w:noProof/>
        </w:rPr>
        <w:t xml:space="preserve">ancer </w:t>
      </w:r>
      <w:r w:rsidR="00AA4735">
        <w:rPr>
          <w:rFonts w:ascii="Calibri" w:eastAsia="Times New Roman" w:hAnsi="Calibri" w:cs="Times New Roman"/>
          <w:noProof/>
        </w:rPr>
        <w:t>u</w:t>
      </w:r>
      <w:r w:rsidRPr="00481147">
        <w:rPr>
          <w:rFonts w:ascii="Calibri" w:eastAsia="Times New Roman" w:hAnsi="Calibri" w:cs="Times New Roman"/>
          <w:noProof/>
        </w:rPr>
        <w:t xml:space="preserve">sing </w:t>
      </w:r>
      <w:r w:rsidR="00AA4735">
        <w:rPr>
          <w:rFonts w:ascii="Calibri" w:eastAsia="Times New Roman" w:hAnsi="Calibri" w:cs="Times New Roman"/>
          <w:noProof/>
        </w:rPr>
        <w:t>h</w:t>
      </w:r>
      <w:r w:rsidRPr="00481147">
        <w:rPr>
          <w:rFonts w:ascii="Calibri" w:eastAsia="Times New Roman" w:hAnsi="Calibri" w:cs="Times New Roman"/>
          <w:noProof/>
        </w:rPr>
        <w:t>yperpolarized [1-</w:t>
      </w:r>
      <w:r w:rsidRPr="00EB537B">
        <w:rPr>
          <w:rFonts w:ascii="Calibri" w:eastAsia="Times New Roman" w:hAnsi="Calibri" w:cs="Times New Roman"/>
          <w:noProof/>
          <w:vertAlign w:val="superscript"/>
        </w:rPr>
        <w:t>13</w:t>
      </w:r>
      <w:r w:rsidRPr="00481147">
        <w:rPr>
          <w:rFonts w:ascii="Calibri" w:eastAsia="Times New Roman" w:hAnsi="Calibri" w:cs="Times New Roman"/>
          <w:noProof/>
        </w:rPr>
        <w:t xml:space="preserve">C] </w:t>
      </w:r>
      <w:r w:rsidR="00AA4735">
        <w:rPr>
          <w:rFonts w:ascii="Calibri" w:eastAsia="Times New Roman" w:hAnsi="Calibri" w:cs="Times New Roman"/>
          <w:noProof/>
        </w:rPr>
        <w:t>p</w:t>
      </w:r>
      <w:r w:rsidRPr="00481147">
        <w:rPr>
          <w:rFonts w:ascii="Calibri" w:eastAsia="Times New Roman" w:hAnsi="Calibri" w:cs="Times New Roman"/>
          <w:noProof/>
        </w:rPr>
        <w:t xml:space="preserve">yruvate. Sci Transl Med. 2013;5(198). </w:t>
      </w:r>
    </w:p>
    <w:p w14:paraId="289909D9"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19. </w:t>
      </w:r>
      <w:r w:rsidRPr="00481147">
        <w:rPr>
          <w:rFonts w:ascii="Calibri" w:eastAsia="Times New Roman" w:hAnsi="Calibri" w:cs="Times New Roman"/>
          <w:noProof/>
        </w:rPr>
        <w:tab/>
        <w:t xml:space="preserve">Sahraian MA, Eshaghi A. Role of MRI in diagnosis and treatment of multiple sclerosis. Clin Neurol Neurosurg. 2010;112(7):609–15. </w:t>
      </w:r>
    </w:p>
    <w:p w14:paraId="121B8D1F"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20. </w:t>
      </w:r>
      <w:r w:rsidRPr="00481147">
        <w:rPr>
          <w:rFonts w:ascii="Calibri" w:eastAsia="Times New Roman" w:hAnsi="Calibri" w:cs="Times New Roman"/>
          <w:noProof/>
        </w:rPr>
        <w:tab/>
        <w:t xml:space="preserve">Radbruch A, Bendszus M. Advanced MR Imaging in Neuro-oncology. Clin Neuroradiol. 2015;25:143–9. </w:t>
      </w:r>
    </w:p>
    <w:p w14:paraId="46019615"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21. </w:t>
      </w:r>
      <w:r w:rsidRPr="00481147">
        <w:rPr>
          <w:rFonts w:ascii="Calibri" w:eastAsia="Times New Roman" w:hAnsi="Calibri" w:cs="Times New Roman"/>
          <w:noProof/>
        </w:rPr>
        <w:tab/>
        <w:t xml:space="preserve">Constantine G, Shan K, Flamm SD, Sivananthan MU. Role of MRI in clinical cardiology. Lancet. 2004;363(9427):2162–71. </w:t>
      </w:r>
    </w:p>
    <w:p w14:paraId="45E789D5"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22. </w:t>
      </w:r>
      <w:r w:rsidRPr="00481147">
        <w:rPr>
          <w:rFonts w:ascii="Calibri" w:eastAsia="Times New Roman" w:hAnsi="Calibri" w:cs="Times New Roman"/>
          <w:noProof/>
        </w:rPr>
        <w:tab/>
        <w:t xml:space="preserve">Morris P, Bachelard H. Reflections on the application of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C-MRS to research on brain metabolism. NMR Biomed. 2003;16(6–7):303–12. </w:t>
      </w:r>
    </w:p>
    <w:p w14:paraId="5E9F80ED"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23. </w:t>
      </w:r>
      <w:r w:rsidRPr="00481147">
        <w:rPr>
          <w:rFonts w:ascii="Calibri" w:eastAsia="Times New Roman" w:hAnsi="Calibri" w:cs="Times New Roman"/>
          <w:noProof/>
        </w:rPr>
        <w:tab/>
        <w:t xml:space="preserve">Neeman M, Eldar H, Rushkin E, Degani H. Chemotherapy-induced changes in the energetics of human breast cancer cells; </w:t>
      </w:r>
      <w:r w:rsidRPr="001C7013">
        <w:rPr>
          <w:rFonts w:ascii="Calibri" w:eastAsia="Times New Roman" w:hAnsi="Calibri" w:cs="Times New Roman"/>
          <w:noProof/>
          <w:vertAlign w:val="superscript"/>
        </w:rPr>
        <w:t>31</w:t>
      </w:r>
      <w:r w:rsidRPr="00481147">
        <w:rPr>
          <w:rFonts w:ascii="Calibri" w:eastAsia="Times New Roman" w:hAnsi="Calibri" w:cs="Times New Roman"/>
          <w:noProof/>
        </w:rPr>
        <w:t xml:space="preserve">P- and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C-NMR studies. BBA - Mol Cell Res. 1990;1052(2):255–63. </w:t>
      </w:r>
    </w:p>
    <w:p w14:paraId="2821E80E" w14:textId="3175769A"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24. </w:t>
      </w:r>
      <w:r w:rsidRPr="00481147">
        <w:rPr>
          <w:rFonts w:ascii="Calibri" w:eastAsia="Times New Roman" w:hAnsi="Calibri" w:cs="Times New Roman"/>
          <w:noProof/>
        </w:rPr>
        <w:tab/>
        <w:t xml:space="preserve">Abrantes AM, Tavares LC, Pires S, Casalta-Lopes J, Mendes C, Simões M, et al. Metabolic effects of hypoxia in colorectal cancer by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NMR isotopomer analysis. Biomed Res Int. 2014;2014:759791. </w:t>
      </w:r>
    </w:p>
    <w:p w14:paraId="37D02067"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25. </w:t>
      </w:r>
      <w:r w:rsidRPr="00481147">
        <w:rPr>
          <w:rFonts w:ascii="Calibri" w:eastAsia="Times New Roman" w:hAnsi="Calibri" w:cs="Times New Roman"/>
          <w:noProof/>
        </w:rPr>
        <w:tab/>
        <w:t xml:space="preserve">Hurd RE, Yen Y-F, Chen A, Ardenkjaer-Larsen JH.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metabolic imaging using dissolution dynamic nuclear polarization. J Magn Reson Imaging. 2012;36(6):1314–28. </w:t>
      </w:r>
    </w:p>
    <w:p w14:paraId="4677D58D"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26. </w:t>
      </w:r>
      <w:r w:rsidRPr="00481147">
        <w:rPr>
          <w:rFonts w:ascii="Calibri" w:eastAsia="Times New Roman" w:hAnsi="Calibri" w:cs="Times New Roman"/>
          <w:noProof/>
        </w:rPr>
        <w:tab/>
        <w:t xml:space="preserve">Kruger SJ, Nagle SK, Couch MJ, Ohno Y, Albert M, Fain SB. Functional imaging of the lungs with gas agents. J Magn Reson Imaging. 2016;43(2):295–315. </w:t>
      </w:r>
    </w:p>
    <w:p w14:paraId="7E485CA8"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27. </w:t>
      </w:r>
      <w:r w:rsidRPr="00481147">
        <w:rPr>
          <w:rFonts w:ascii="Calibri" w:eastAsia="Times New Roman" w:hAnsi="Calibri" w:cs="Times New Roman"/>
          <w:noProof/>
        </w:rPr>
        <w:tab/>
        <w:t xml:space="preserve">Ebner L, Kammerman J, Driehuys B, Schiebler ML, Cadman R V., Fain SB. The role of hyperpolarized </w:t>
      </w:r>
      <w:r w:rsidRPr="001C7013">
        <w:rPr>
          <w:rFonts w:ascii="Calibri" w:eastAsia="Times New Roman" w:hAnsi="Calibri" w:cs="Times New Roman"/>
          <w:noProof/>
          <w:vertAlign w:val="superscript"/>
        </w:rPr>
        <w:t>129</w:t>
      </w:r>
      <w:r w:rsidRPr="00481147">
        <w:rPr>
          <w:rFonts w:ascii="Calibri" w:eastAsia="Times New Roman" w:hAnsi="Calibri" w:cs="Times New Roman"/>
          <w:noProof/>
        </w:rPr>
        <w:t xml:space="preserve">xenon in MR imaging of pulmonary function. Eur J Radiol. 2017;86:343–52. </w:t>
      </w:r>
    </w:p>
    <w:p w14:paraId="3917A273" w14:textId="43B49E6A"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lastRenderedPageBreak/>
        <w:t xml:space="preserve">28. </w:t>
      </w:r>
      <w:r w:rsidRPr="00481147">
        <w:rPr>
          <w:rFonts w:ascii="Calibri" w:eastAsia="Times New Roman" w:hAnsi="Calibri" w:cs="Times New Roman"/>
          <w:noProof/>
        </w:rPr>
        <w:tab/>
        <w:t xml:space="preserve">Couch MJ, Blasiak B, Tomanek B, Ouriadov A V., Fox MS, Dowhos KM, et al. Hyperpolarized and </w:t>
      </w:r>
      <w:r w:rsidR="00B75564">
        <w:rPr>
          <w:rFonts w:ascii="Calibri" w:eastAsia="Times New Roman" w:hAnsi="Calibri" w:cs="Times New Roman"/>
          <w:noProof/>
        </w:rPr>
        <w:t>i</w:t>
      </w:r>
      <w:r w:rsidRPr="00481147">
        <w:rPr>
          <w:rFonts w:ascii="Calibri" w:eastAsia="Times New Roman" w:hAnsi="Calibri" w:cs="Times New Roman"/>
          <w:noProof/>
        </w:rPr>
        <w:t xml:space="preserve">nert </w:t>
      </w:r>
      <w:r w:rsidR="00B75564">
        <w:rPr>
          <w:rFonts w:ascii="Calibri" w:eastAsia="Times New Roman" w:hAnsi="Calibri" w:cs="Times New Roman"/>
          <w:noProof/>
        </w:rPr>
        <w:t>g</w:t>
      </w:r>
      <w:r w:rsidRPr="00481147">
        <w:rPr>
          <w:rFonts w:ascii="Calibri" w:eastAsia="Times New Roman" w:hAnsi="Calibri" w:cs="Times New Roman"/>
          <w:noProof/>
        </w:rPr>
        <w:t xml:space="preserve">as MRI: </w:t>
      </w:r>
      <w:r w:rsidR="00B75564">
        <w:rPr>
          <w:rFonts w:ascii="Calibri" w:eastAsia="Times New Roman" w:hAnsi="Calibri" w:cs="Times New Roman"/>
          <w:noProof/>
        </w:rPr>
        <w:t>t</w:t>
      </w:r>
      <w:r w:rsidRPr="00481147">
        <w:rPr>
          <w:rFonts w:ascii="Calibri" w:eastAsia="Times New Roman" w:hAnsi="Calibri" w:cs="Times New Roman"/>
          <w:noProof/>
        </w:rPr>
        <w:t xml:space="preserve">he </w:t>
      </w:r>
      <w:r w:rsidR="00B75564">
        <w:rPr>
          <w:rFonts w:ascii="Calibri" w:eastAsia="Times New Roman" w:hAnsi="Calibri" w:cs="Times New Roman"/>
          <w:noProof/>
        </w:rPr>
        <w:t>f</w:t>
      </w:r>
      <w:r w:rsidRPr="00481147">
        <w:rPr>
          <w:rFonts w:ascii="Calibri" w:eastAsia="Times New Roman" w:hAnsi="Calibri" w:cs="Times New Roman"/>
          <w:noProof/>
        </w:rPr>
        <w:t xml:space="preserve">uture. Mol Imaging Biol. 2015;17(2):149–62. </w:t>
      </w:r>
    </w:p>
    <w:p w14:paraId="5ABFF4B6"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29. </w:t>
      </w:r>
      <w:r w:rsidRPr="00481147">
        <w:rPr>
          <w:rFonts w:ascii="Calibri" w:eastAsia="Times New Roman" w:hAnsi="Calibri" w:cs="Times New Roman"/>
          <w:noProof/>
        </w:rPr>
        <w:tab/>
        <w:t xml:space="preserve">Ardenkjaer-Larsen JH, Leach AM, Clarke N, Urbahn J, Anderson D, Skloss TW. Dynamic nuclear polarization polarizer for sterile use intent. NMR Biomed. 2011;24(8):927–32. </w:t>
      </w:r>
    </w:p>
    <w:p w14:paraId="111BC948"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30. </w:t>
      </w:r>
      <w:r w:rsidRPr="00481147">
        <w:rPr>
          <w:rFonts w:ascii="Calibri" w:eastAsia="Times New Roman" w:hAnsi="Calibri" w:cs="Times New Roman"/>
          <w:noProof/>
        </w:rPr>
        <w:tab/>
        <w:t xml:space="preserve">Jähnig F, Kwiatkowski G, Ernst M. Conceptual and instrumental progress in dissolution DNP. J Magn Reson. 2016;264:22–9. </w:t>
      </w:r>
    </w:p>
    <w:p w14:paraId="7205767E"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31. </w:t>
      </w:r>
      <w:r w:rsidRPr="00481147">
        <w:rPr>
          <w:rFonts w:ascii="Calibri" w:eastAsia="Times New Roman" w:hAnsi="Calibri" w:cs="Times New Roman"/>
          <w:noProof/>
        </w:rPr>
        <w:tab/>
        <w:t xml:space="preserve">Nielsen PM, Eldirdiri A, Bertelsen LB, Jørgensen HS, Ardenkjaer-Larsen JH, Laustsen C. Fumarase activity: an in vivo and in vitro biomarker for acute kidney injury. Sci Rep. 2017;7(December 2016):40812. </w:t>
      </w:r>
    </w:p>
    <w:p w14:paraId="569FA779"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32. </w:t>
      </w:r>
      <w:r w:rsidRPr="00481147">
        <w:rPr>
          <w:rFonts w:ascii="Calibri" w:eastAsia="Times New Roman" w:hAnsi="Calibri" w:cs="Times New Roman"/>
          <w:noProof/>
        </w:rPr>
        <w:tab/>
        <w:t xml:space="preserve">Lerche MH, Meier S, Jensen PR, Baumann H, Petersen BO, Karlsson M, et al. Study of molecular interactions with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DNP-NMR. J Magn Reson. 2010;203(1):52–6. </w:t>
      </w:r>
    </w:p>
    <w:p w14:paraId="45E8B5C8"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33. </w:t>
      </w:r>
      <w:r w:rsidRPr="00481147">
        <w:rPr>
          <w:rFonts w:ascii="Calibri" w:eastAsia="Times New Roman" w:hAnsi="Calibri" w:cs="Times New Roman"/>
          <w:noProof/>
        </w:rPr>
        <w:tab/>
        <w:t xml:space="preserve">Merritt ME, Harrison C, Storey C, Jeffrey FM, Sherry AD, Malloy CR.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allows a direct measure of flux through a single enzyme-catalyzed step by NMR. Proc Natl Acad Sci U S A. 2007;104(50):19773–7. </w:t>
      </w:r>
    </w:p>
    <w:p w14:paraId="0B9297EB"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34. </w:t>
      </w:r>
      <w:r w:rsidRPr="00481147">
        <w:rPr>
          <w:rFonts w:ascii="Calibri" w:eastAsia="Times New Roman" w:hAnsi="Calibri" w:cs="Times New Roman"/>
          <w:noProof/>
        </w:rPr>
        <w:tab/>
        <w:t xml:space="preserve">Day SE, Kettunen MI, Gallagher FA, Hu D-E, Lerche M, Wolber J, et al. Detecting tumor response to treatment using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magnetic resonance imaging and spectroscopy. Nat Med. 2007;13(11):1382–7. </w:t>
      </w:r>
    </w:p>
    <w:p w14:paraId="11DAD92E"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35. </w:t>
      </w:r>
      <w:r w:rsidRPr="00481147">
        <w:rPr>
          <w:rFonts w:ascii="Calibri" w:eastAsia="Times New Roman" w:hAnsi="Calibri" w:cs="Times New Roman"/>
          <w:noProof/>
        </w:rPr>
        <w:tab/>
        <w:t xml:space="preserve">Brindle KM, Bohndiek SE, Gallagher FA, Kettunen MI. Tumor imaging using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magnetic resonance spectroscopy. Magn Reson Med. 2011;66:505–19. </w:t>
      </w:r>
    </w:p>
    <w:p w14:paraId="13CA8624" w14:textId="032E1D08"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36. </w:t>
      </w:r>
      <w:r w:rsidRPr="00481147">
        <w:rPr>
          <w:rFonts w:ascii="Calibri" w:eastAsia="Times New Roman" w:hAnsi="Calibri" w:cs="Times New Roman"/>
          <w:noProof/>
        </w:rPr>
        <w:tab/>
        <w:t xml:space="preserve">Lumata L, Yang C, Ragavan M, Carpenter N, DeBerardinis RJ, Merritt ME.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C Magnetic Resonance and its use in metabolic assessment of cultured cells and perfused organs</w:t>
      </w:r>
      <w:r w:rsidR="00831FB1">
        <w:rPr>
          <w:rFonts w:ascii="Calibri" w:eastAsia="Times New Roman" w:hAnsi="Calibri" w:cs="Times New Roman"/>
          <w:noProof/>
        </w:rPr>
        <w:t>.</w:t>
      </w:r>
      <w:r w:rsidRPr="00481147">
        <w:rPr>
          <w:rFonts w:ascii="Calibri" w:eastAsia="Times New Roman" w:hAnsi="Calibri" w:cs="Times New Roman"/>
          <w:noProof/>
        </w:rPr>
        <w:t xml:space="preserve"> 1st ed. Vol. 561, Methods in Enzymology. Elsevier Inc.; 2015. 73-106 p. </w:t>
      </w:r>
    </w:p>
    <w:p w14:paraId="5B88D10B"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37. </w:t>
      </w:r>
      <w:r w:rsidRPr="00481147">
        <w:rPr>
          <w:rFonts w:ascii="Calibri" w:eastAsia="Times New Roman" w:hAnsi="Calibri" w:cs="Times New Roman"/>
          <w:noProof/>
        </w:rPr>
        <w:tab/>
        <w:t xml:space="preserve">Albers MJ, Bok R, Chen AP, Cunningham CH, Zierhut ML, Zhang VY, et al.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lactate, pyruvate, and alanine: noninvasive biomarkers for prostate cancer detection and grading. Cancer Res. 2008;68(20):8607–15. </w:t>
      </w:r>
    </w:p>
    <w:p w14:paraId="2AC87527"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38. </w:t>
      </w:r>
      <w:r w:rsidRPr="00481147">
        <w:rPr>
          <w:rFonts w:ascii="Calibri" w:eastAsia="Times New Roman" w:hAnsi="Calibri" w:cs="Times New Roman"/>
          <w:noProof/>
        </w:rPr>
        <w:tab/>
        <w:t>Witney TH, Kettunen MI, Hu D, Gallagher FA, Bohndiek SE, Napolitano R, et al. Detecting treatment response in a model of human breast adenocarcinoma using hyperpolarised [1-</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C]pyruvate and [1,4-</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C</w:t>
      </w:r>
      <w:r w:rsidRPr="001C7013">
        <w:rPr>
          <w:rFonts w:ascii="Calibri" w:eastAsia="Times New Roman" w:hAnsi="Calibri" w:cs="Times New Roman"/>
          <w:noProof/>
          <w:vertAlign w:val="subscript"/>
        </w:rPr>
        <w:t>2</w:t>
      </w:r>
      <w:r w:rsidRPr="00481147">
        <w:rPr>
          <w:rFonts w:ascii="Calibri" w:eastAsia="Times New Roman" w:hAnsi="Calibri" w:cs="Times New Roman"/>
          <w:noProof/>
        </w:rPr>
        <w:t xml:space="preserve">]fumarate. Br J Cancer. 2010;103:1400–6. </w:t>
      </w:r>
    </w:p>
    <w:p w14:paraId="6743310F" w14:textId="021A47F3"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39. </w:t>
      </w:r>
      <w:r w:rsidRPr="00481147">
        <w:rPr>
          <w:rFonts w:ascii="Calibri" w:eastAsia="Times New Roman" w:hAnsi="Calibri" w:cs="Times New Roman"/>
          <w:noProof/>
        </w:rPr>
        <w:tab/>
        <w:t xml:space="preserve">Witney TH, Kettunen MI, Day SE, Hu D, Neves AA, Gallagher FA, et al. A comparison between radiolabeled fluorodeoxyglucose uptake and hyperpolarized </w:t>
      </w:r>
      <w:r w:rsidRPr="001C7013">
        <w:rPr>
          <w:rFonts w:ascii="Calibri" w:eastAsia="Times New Roman" w:hAnsi="Calibri" w:cs="Times New Roman"/>
          <w:noProof/>
          <w:vertAlign w:val="superscript"/>
        </w:rPr>
        <w:t>1</w:t>
      </w:r>
      <w:r w:rsidR="00831FB1" w:rsidRPr="001C7013">
        <w:rPr>
          <w:rFonts w:ascii="Calibri" w:eastAsia="Times New Roman" w:hAnsi="Calibri" w:cs="Times New Roman"/>
          <w:noProof/>
          <w:vertAlign w:val="superscript"/>
        </w:rPr>
        <w:t>3</w:t>
      </w:r>
      <w:r w:rsidRPr="00481147">
        <w:rPr>
          <w:rFonts w:ascii="Calibri" w:eastAsia="Times New Roman" w:hAnsi="Calibri" w:cs="Times New Roman"/>
          <w:noProof/>
        </w:rPr>
        <w:t xml:space="preserve">C-labeled </w:t>
      </w:r>
      <w:r w:rsidRPr="00481147">
        <w:rPr>
          <w:rFonts w:ascii="Calibri" w:eastAsia="Times New Roman" w:hAnsi="Calibri" w:cs="Times New Roman"/>
          <w:noProof/>
        </w:rPr>
        <w:lastRenderedPageBreak/>
        <w:t xml:space="preserve">pyruvate utilization as methods for detecting tumor response to treatment. Neoplasia. 2009;11(6):574–82. </w:t>
      </w:r>
    </w:p>
    <w:p w14:paraId="17BDE8C3"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40. </w:t>
      </w:r>
      <w:r w:rsidRPr="00481147">
        <w:rPr>
          <w:rFonts w:ascii="Calibri" w:eastAsia="Times New Roman" w:hAnsi="Calibri" w:cs="Times New Roman"/>
          <w:noProof/>
        </w:rPr>
        <w:tab/>
        <w:t xml:space="preserve">Ward CS, Venkatesh HS, Chaumeil MM, Brandes AH, VanCriekinge M, Dafni H, et al. Noninvasive detection of target modulation following phosphatidylinositol 3-kinase inhibition using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magnetic resonance spectroscopy. Cancer Res. 2010;70(4):1296–305. </w:t>
      </w:r>
    </w:p>
    <w:p w14:paraId="6B975249"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41. </w:t>
      </w:r>
      <w:r w:rsidRPr="00481147">
        <w:rPr>
          <w:rFonts w:ascii="Calibri" w:eastAsia="Times New Roman" w:hAnsi="Calibri" w:cs="Times New Roman"/>
          <w:noProof/>
        </w:rPr>
        <w:tab/>
        <w:t xml:space="preserve">Bohndiek SE, Kettunen MI, Hu DE, Brindle KM.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spectroscopy detects early changes in tumor vasculature and metabolism after VEGF neutralization. Cancer Res. 2012;72(4):854–64. </w:t>
      </w:r>
    </w:p>
    <w:p w14:paraId="273CA55E"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42. </w:t>
      </w:r>
      <w:r w:rsidRPr="00481147">
        <w:rPr>
          <w:rFonts w:ascii="Calibri" w:eastAsia="Times New Roman" w:hAnsi="Calibri" w:cs="Times New Roman"/>
          <w:noProof/>
        </w:rPr>
        <w:tab/>
        <w:t>Day SE, Kettunen MI, Cherukuri MK, Mitchell JB, Lizak MJ, Morris HD, et al. Detecting response of rat C6 glioma tumors to radiotherapy using hyperpolarized [1-</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C]pyruvate and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magnetic resonance spectroscopic imaging. Magn Reson Med. 2011;65(2):557–63. </w:t>
      </w:r>
    </w:p>
    <w:p w14:paraId="5CA0E1E3" w14:textId="4546E575"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43. </w:t>
      </w:r>
      <w:r w:rsidRPr="00481147">
        <w:rPr>
          <w:rFonts w:ascii="Calibri" w:eastAsia="Times New Roman" w:hAnsi="Calibri" w:cs="Times New Roman"/>
          <w:noProof/>
        </w:rPr>
        <w:tab/>
        <w:t xml:space="preserve">Serrao EM, Kettunen MI, Rodrigues TB, Dzien P, Wright AJ, Gopinathan A, et al. MRI with hyperpolarised [1- </w:t>
      </w:r>
      <w:r w:rsidRPr="00481147">
        <w:rPr>
          <w:rFonts w:ascii="Calibri" w:eastAsia="Times New Roman" w:hAnsi="Calibri" w:cs="Times New Roman"/>
          <w:noProof/>
          <w:vertAlign w:val="superscript"/>
        </w:rPr>
        <w:t>13</w:t>
      </w:r>
      <w:r w:rsidRPr="00481147">
        <w:rPr>
          <w:rFonts w:ascii="Calibri" w:eastAsia="Times New Roman" w:hAnsi="Calibri" w:cs="Times New Roman"/>
          <w:noProof/>
        </w:rPr>
        <w:t xml:space="preserve">C]pyruvate detects advanced pancreatic preneoplasia prior to invasive disease in a mouse model. Gut. 2016;65(3):465–75. </w:t>
      </w:r>
    </w:p>
    <w:p w14:paraId="23069A08" w14:textId="4AA0C279"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44. </w:t>
      </w:r>
      <w:r w:rsidRPr="00481147">
        <w:rPr>
          <w:rFonts w:ascii="Calibri" w:eastAsia="Times New Roman" w:hAnsi="Calibri" w:cs="Times New Roman"/>
          <w:noProof/>
        </w:rPr>
        <w:tab/>
        <w:t>Aggarwal R, Vigneron DB, Kurhanewicz J. Hyperpolarized 1-[</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C]</w:t>
      </w:r>
      <w:r w:rsidR="002A5615">
        <w:rPr>
          <w:rFonts w:ascii="Calibri" w:eastAsia="Times New Roman" w:hAnsi="Calibri" w:cs="Times New Roman"/>
          <w:noProof/>
        </w:rPr>
        <w:t>p</w:t>
      </w:r>
      <w:r w:rsidRPr="00481147">
        <w:rPr>
          <w:rFonts w:ascii="Calibri" w:eastAsia="Times New Roman" w:hAnsi="Calibri" w:cs="Times New Roman"/>
          <w:noProof/>
        </w:rPr>
        <w:t xml:space="preserve">yruvate Magnetic Resonance Imaging </w:t>
      </w:r>
      <w:r w:rsidR="002A5615">
        <w:rPr>
          <w:rFonts w:ascii="Calibri" w:eastAsia="Times New Roman" w:hAnsi="Calibri" w:cs="Times New Roman"/>
          <w:noProof/>
        </w:rPr>
        <w:t>d</w:t>
      </w:r>
      <w:r w:rsidRPr="00481147">
        <w:rPr>
          <w:rFonts w:ascii="Calibri" w:eastAsia="Times New Roman" w:hAnsi="Calibri" w:cs="Times New Roman"/>
          <w:noProof/>
        </w:rPr>
        <w:t xml:space="preserve">etects an </w:t>
      </w:r>
      <w:r w:rsidR="002A5615">
        <w:rPr>
          <w:rFonts w:ascii="Calibri" w:eastAsia="Times New Roman" w:hAnsi="Calibri" w:cs="Times New Roman"/>
          <w:noProof/>
        </w:rPr>
        <w:t>e</w:t>
      </w:r>
      <w:r w:rsidRPr="00481147">
        <w:rPr>
          <w:rFonts w:ascii="Calibri" w:eastAsia="Times New Roman" w:hAnsi="Calibri" w:cs="Times New Roman"/>
          <w:noProof/>
        </w:rPr>
        <w:t xml:space="preserve">arly </w:t>
      </w:r>
      <w:r w:rsidR="002A5615">
        <w:rPr>
          <w:rFonts w:ascii="Calibri" w:eastAsia="Times New Roman" w:hAnsi="Calibri" w:cs="Times New Roman"/>
          <w:noProof/>
        </w:rPr>
        <w:t>m</w:t>
      </w:r>
      <w:r w:rsidRPr="00481147">
        <w:rPr>
          <w:rFonts w:ascii="Calibri" w:eastAsia="Times New Roman" w:hAnsi="Calibri" w:cs="Times New Roman"/>
          <w:noProof/>
        </w:rPr>
        <w:t xml:space="preserve">etabolic </w:t>
      </w:r>
      <w:r w:rsidR="002A5615">
        <w:rPr>
          <w:rFonts w:ascii="Calibri" w:eastAsia="Times New Roman" w:hAnsi="Calibri" w:cs="Times New Roman"/>
          <w:noProof/>
        </w:rPr>
        <w:t>r</w:t>
      </w:r>
      <w:r w:rsidRPr="00481147">
        <w:rPr>
          <w:rFonts w:ascii="Calibri" w:eastAsia="Times New Roman" w:hAnsi="Calibri" w:cs="Times New Roman"/>
          <w:noProof/>
        </w:rPr>
        <w:t xml:space="preserve">esponse to </w:t>
      </w:r>
      <w:r w:rsidR="002A5615">
        <w:rPr>
          <w:rFonts w:ascii="Calibri" w:eastAsia="Times New Roman" w:hAnsi="Calibri" w:cs="Times New Roman"/>
          <w:noProof/>
        </w:rPr>
        <w:t>a</w:t>
      </w:r>
      <w:r w:rsidRPr="00481147">
        <w:rPr>
          <w:rFonts w:ascii="Calibri" w:eastAsia="Times New Roman" w:hAnsi="Calibri" w:cs="Times New Roman"/>
          <w:noProof/>
        </w:rPr>
        <w:t xml:space="preserve">ndrogen </w:t>
      </w:r>
      <w:r w:rsidR="002A5615">
        <w:rPr>
          <w:rFonts w:ascii="Calibri" w:eastAsia="Times New Roman" w:hAnsi="Calibri" w:cs="Times New Roman"/>
          <w:noProof/>
        </w:rPr>
        <w:t>a</w:t>
      </w:r>
      <w:r w:rsidRPr="00481147">
        <w:rPr>
          <w:rFonts w:ascii="Calibri" w:eastAsia="Times New Roman" w:hAnsi="Calibri" w:cs="Times New Roman"/>
          <w:noProof/>
        </w:rPr>
        <w:t xml:space="preserve">blation </w:t>
      </w:r>
      <w:r w:rsidR="002A5615">
        <w:rPr>
          <w:rFonts w:ascii="Calibri" w:eastAsia="Times New Roman" w:hAnsi="Calibri" w:cs="Times New Roman"/>
          <w:noProof/>
        </w:rPr>
        <w:t>t</w:t>
      </w:r>
      <w:r w:rsidRPr="00481147">
        <w:rPr>
          <w:rFonts w:ascii="Calibri" w:eastAsia="Times New Roman" w:hAnsi="Calibri" w:cs="Times New Roman"/>
          <w:noProof/>
        </w:rPr>
        <w:t xml:space="preserve">herapy in </w:t>
      </w:r>
      <w:r w:rsidR="002A5615">
        <w:rPr>
          <w:rFonts w:ascii="Calibri" w:eastAsia="Times New Roman" w:hAnsi="Calibri" w:cs="Times New Roman"/>
          <w:noProof/>
        </w:rPr>
        <w:t>p</w:t>
      </w:r>
      <w:r w:rsidRPr="00481147">
        <w:rPr>
          <w:rFonts w:ascii="Calibri" w:eastAsia="Times New Roman" w:hAnsi="Calibri" w:cs="Times New Roman"/>
          <w:noProof/>
        </w:rPr>
        <w:t xml:space="preserve">rostate </w:t>
      </w:r>
      <w:r w:rsidR="002A5615">
        <w:rPr>
          <w:rFonts w:ascii="Calibri" w:eastAsia="Times New Roman" w:hAnsi="Calibri" w:cs="Times New Roman"/>
          <w:noProof/>
        </w:rPr>
        <w:t>c</w:t>
      </w:r>
      <w:r w:rsidRPr="00481147">
        <w:rPr>
          <w:rFonts w:ascii="Calibri" w:eastAsia="Times New Roman" w:hAnsi="Calibri" w:cs="Times New Roman"/>
          <w:noProof/>
        </w:rPr>
        <w:t xml:space="preserve">ancer. Eur Urol. 2017;72(6):1028–9. </w:t>
      </w:r>
    </w:p>
    <w:p w14:paraId="4F4FF335" w14:textId="6948CAB6"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45. </w:t>
      </w:r>
      <w:r w:rsidRPr="00481147">
        <w:rPr>
          <w:rFonts w:ascii="Calibri" w:eastAsia="Times New Roman" w:hAnsi="Calibri" w:cs="Times New Roman"/>
          <w:noProof/>
        </w:rPr>
        <w:tab/>
        <w:t xml:space="preserve">Bettegowda C, Sausen M, Leary RJ, Kinde I, Wang Y, Agrawal N, et al. Detection of </w:t>
      </w:r>
      <w:r w:rsidR="002A5615">
        <w:rPr>
          <w:rFonts w:ascii="Calibri" w:eastAsia="Times New Roman" w:hAnsi="Calibri" w:cs="Times New Roman"/>
          <w:noProof/>
        </w:rPr>
        <w:t>c</w:t>
      </w:r>
      <w:r w:rsidRPr="00481147">
        <w:rPr>
          <w:rFonts w:ascii="Calibri" w:eastAsia="Times New Roman" w:hAnsi="Calibri" w:cs="Times New Roman"/>
          <w:noProof/>
        </w:rPr>
        <w:t xml:space="preserve">irculating </w:t>
      </w:r>
      <w:r w:rsidR="002A5615">
        <w:rPr>
          <w:rFonts w:ascii="Calibri" w:eastAsia="Times New Roman" w:hAnsi="Calibri" w:cs="Times New Roman"/>
          <w:noProof/>
        </w:rPr>
        <w:t>t</w:t>
      </w:r>
      <w:r w:rsidRPr="00481147">
        <w:rPr>
          <w:rFonts w:ascii="Calibri" w:eastAsia="Times New Roman" w:hAnsi="Calibri" w:cs="Times New Roman"/>
          <w:noProof/>
        </w:rPr>
        <w:t xml:space="preserve">umor DNA in </w:t>
      </w:r>
      <w:r w:rsidR="002A5615">
        <w:rPr>
          <w:rFonts w:ascii="Calibri" w:eastAsia="Times New Roman" w:hAnsi="Calibri" w:cs="Times New Roman"/>
          <w:noProof/>
        </w:rPr>
        <w:t>e</w:t>
      </w:r>
      <w:r w:rsidRPr="00481147">
        <w:rPr>
          <w:rFonts w:ascii="Calibri" w:eastAsia="Times New Roman" w:hAnsi="Calibri" w:cs="Times New Roman"/>
          <w:noProof/>
        </w:rPr>
        <w:t xml:space="preserve">arly- and </w:t>
      </w:r>
      <w:r w:rsidR="002A5615">
        <w:rPr>
          <w:rFonts w:ascii="Calibri" w:eastAsia="Times New Roman" w:hAnsi="Calibri" w:cs="Times New Roman"/>
          <w:noProof/>
        </w:rPr>
        <w:t>l</w:t>
      </w:r>
      <w:r w:rsidRPr="00481147">
        <w:rPr>
          <w:rFonts w:ascii="Calibri" w:eastAsia="Times New Roman" w:hAnsi="Calibri" w:cs="Times New Roman"/>
          <w:noProof/>
        </w:rPr>
        <w:t>ate-</w:t>
      </w:r>
      <w:r w:rsidR="002A5615">
        <w:rPr>
          <w:rFonts w:ascii="Calibri" w:eastAsia="Times New Roman" w:hAnsi="Calibri" w:cs="Times New Roman"/>
          <w:noProof/>
        </w:rPr>
        <w:t>s</w:t>
      </w:r>
      <w:r w:rsidRPr="00481147">
        <w:rPr>
          <w:rFonts w:ascii="Calibri" w:eastAsia="Times New Roman" w:hAnsi="Calibri" w:cs="Times New Roman"/>
          <w:noProof/>
        </w:rPr>
        <w:t xml:space="preserve">tage </w:t>
      </w:r>
      <w:r w:rsidR="002A5615">
        <w:rPr>
          <w:rFonts w:ascii="Calibri" w:eastAsia="Times New Roman" w:hAnsi="Calibri" w:cs="Times New Roman"/>
          <w:noProof/>
        </w:rPr>
        <w:t>h</w:t>
      </w:r>
      <w:r w:rsidRPr="00481147">
        <w:rPr>
          <w:rFonts w:ascii="Calibri" w:eastAsia="Times New Roman" w:hAnsi="Calibri" w:cs="Times New Roman"/>
          <w:noProof/>
        </w:rPr>
        <w:t xml:space="preserve">uman </w:t>
      </w:r>
      <w:r w:rsidR="002A5615">
        <w:rPr>
          <w:rFonts w:ascii="Calibri" w:eastAsia="Times New Roman" w:hAnsi="Calibri" w:cs="Times New Roman"/>
          <w:noProof/>
        </w:rPr>
        <w:t>m</w:t>
      </w:r>
      <w:r w:rsidRPr="00481147">
        <w:rPr>
          <w:rFonts w:ascii="Calibri" w:eastAsia="Times New Roman" w:hAnsi="Calibri" w:cs="Times New Roman"/>
          <w:noProof/>
        </w:rPr>
        <w:t xml:space="preserve">alignancies. Sci Transl Med. 2014;6(224):224ra24. </w:t>
      </w:r>
    </w:p>
    <w:p w14:paraId="49320AF9" w14:textId="144184D2"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46. </w:t>
      </w:r>
      <w:r w:rsidRPr="00481147">
        <w:rPr>
          <w:rFonts w:ascii="Calibri" w:eastAsia="Times New Roman" w:hAnsi="Calibri" w:cs="Times New Roman"/>
          <w:noProof/>
        </w:rPr>
        <w:tab/>
        <w:t xml:space="preserve">Dawson S-J, Tsui DWY, Murtaza M, Biggs H, Rueda OM, Chin S-F, et al. Analysis of </w:t>
      </w:r>
      <w:r w:rsidR="000D7F41">
        <w:rPr>
          <w:rFonts w:ascii="Calibri" w:eastAsia="Times New Roman" w:hAnsi="Calibri" w:cs="Times New Roman"/>
          <w:noProof/>
        </w:rPr>
        <w:t>c</w:t>
      </w:r>
      <w:r w:rsidRPr="00481147">
        <w:rPr>
          <w:rFonts w:ascii="Calibri" w:eastAsia="Times New Roman" w:hAnsi="Calibri" w:cs="Times New Roman"/>
          <w:noProof/>
        </w:rPr>
        <w:t xml:space="preserve">irculating </w:t>
      </w:r>
      <w:r w:rsidR="000D7F41">
        <w:rPr>
          <w:rFonts w:ascii="Calibri" w:eastAsia="Times New Roman" w:hAnsi="Calibri" w:cs="Times New Roman"/>
          <w:noProof/>
        </w:rPr>
        <w:t>t</w:t>
      </w:r>
      <w:r w:rsidRPr="00481147">
        <w:rPr>
          <w:rFonts w:ascii="Calibri" w:eastAsia="Times New Roman" w:hAnsi="Calibri" w:cs="Times New Roman"/>
          <w:noProof/>
        </w:rPr>
        <w:t xml:space="preserve">umor DNA to </w:t>
      </w:r>
      <w:r w:rsidR="000D7F41">
        <w:rPr>
          <w:rFonts w:ascii="Calibri" w:eastAsia="Times New Roman" w:hAnsi="Calibri" w:cs="Times New Roman"/>
          <w:noProof/>
        </w:rPr>
        <w:t>m</w:t>
      </w:r>
      <w:r w:rsidRPr="00481147">
        <w:rPr>
          <w:rFonts w:ascii="Calibri" w:eastAsia="Times New Roman" w:hAnsi="Calibri" w:cs="Times New Roman"/>
          <w:noProof/>
        </w:rPr>
        <w:t xml:space="preserve">onitor </w:t>
      </w:r>
      <w:r w:rsidR="000D7F41">
        <w:rPr>
          <w:rFonts w:ascii="Calibri" w:eastAsia="Times New Roman" w:hAnsi="Calibri" w:cs="Times New Roman"/>
          <w:noProof/>
        </w:rPr>
        <w:t>m</w:t>
      </w:r>
      <w:r w:rsidRPr="00481147">
        <w:rPr>
          <w:rFonts w:ascii="Calibri" w:eastAsia="Times New Roman" w:hAnsi="Calibri" w:cs="Times New Roman"/>
          <w:noProof/>
        </w:rPr>
        <w:t xml:space="preserve">etastatic </w:t>
      </w:r>
      <w:r w:rsidR="000D7F41">
        <w:rPr>
          <w:rFonts w:ascii="Calibri" w:eastAsia="Times New Roman" w:hAnsi="Calibri" w:cs="Times New Roman"/>
          <w:noProof/>
        </w:rPr>
        <w:t>b</w:t>
      </w:r>
      <w:r w:rsidRPr="00481147">
        <w:rPr>
          <w:rFonts w:ascii="Calibri" w:eastAsia="Times New Roman" w:hAnsi="Calibri" w:cs="Times New Roman"/>
          <w:noProof/>
        </w:rPr>
        <w:t xml:space="preserve">reast </w:t>
      </w:r>
      <w:r w:rsidR="000D7F41">
        <w:rPr>
          <w:rFonts w:ascii="Calibri" w:eastAsia="Times New Roman" w:hAnsi="Calibri" w:cs="Times New Roman"/>
          <w:noProof/>
        </w:rPr>
        <w:t>c</w:t>
      </w:r>
      <w:r w:rsidRPr="00481147">
        <w:rPr>
          <w:rFonts w:ascii="Calibri" w:eastAsia="Times New Roman" w:hAnsi="Calibri" w:cs="Times New Roman"/>
          <w:noProof/>
        </w:rPr>
        <w:t xml:space="preserve">ancer. N Engl J Med. 2013;368(1):1199–209. </w:t>
      </w:r>
    </w:p>
    <w:p w14:paraId="1FDBE0AE" w14:textId="30911EA4"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47. </w:t>
      </w:r>
      <w:r w:rsidRPr="00481147">
        <w:rPr>
          <w:rFonts w:ascii="Calibri" w:eastAsia="Times New Roman" w:hAnsi="Calibri" w:cs="Times New Roman"/>
          <w:noProof/>
        </w:rPr>
        <w:tab/>
        <w:t>Tropp J, Lupo JM, Chen A, Calderon P, McCune D, Grafendorfer T, et al. Multi-channel metabolic imaging, with SENSE reconstruction, of hyperpolarized [1-</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C] pyruvate in a live rat at 3.0</w:t>
      </w:r>
      <w:r w:rsidR="00900550">
        <w:rPr>
          <w:rFonts w:ascii="Calibri" w:eastAsia="Times New Roman" w:hAnsi="Calibri" w:cs="Times New Roman"/>
          <w:noProof/>
        </w:rPr>
        <w:t xml:space="preserve"> </w:t>
      </w:r>
      <w:r w:rsidRPr="00481147">
        <w:rPr>
          <w:rFonts w:ascii="Calibri" w:eastAsia="Times New Roman" w:hAnsi="Calibri" w:cs="Times New Roman"/>
          <w:noProof/>
        </w:rPr>
        <w:t xml:space="preserve">tesla on a clinical MR scanner. J Magn Reson. 2011 Jan;208(1):171–7. </w:t>
      </w:r>
    </w:p>
    <w:p w14:paraId="51472E1B" w14:textId="4A5155D1"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48. </w:t>
      </w:r>
      <w:r w:rsidRPr="00481147">
        <w:rPr>
          <w:rFonts w:ascii="Calibri" w:eastAsia="Times New Roman" w:hAnsi="Calibri" w:cs="Times New Roman"/>
          <w:noProof/>
        </w:rPr>
        <w:tab/>
        <w:t xml:space="preserve">Feng Y, Gordon JW, Shin PJ, von Morze C, Lustig M, Larson PEZ, et al. Development and testing of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MR calibrationless parallel imaging. J Magn Reson. 2016 Jan;262:1–7. </w:t>
      </w:r>
    </w:p>
    <w:p w14:paraId="32C092CF" w14:textId="2D55FD68"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49. </w:t>
      </w:r>
      <w:r w:rsidRPr="00481147">
        <w:rPr>
          <w:rFonts w:ascii="Calibri" w:eastAsia="Times New Roman" w:hAnsi="Calibri" w:cs="Times New Roman"/>
          <w:noProof/>
        </w:rPr>
        <w:tab/>
        <w:t xml:space="preserve">Schmidt R, Laustsen C, Jean-Nicolas D, Kettunen MI, Serrao EM, Marco-Rius I, et al. In </w:t>
      </w:r>
      <w:r w:rsidRPr="00481147">
        <w:rPr>
          <w:rFonts w:ascii="Calibri" w:eastAsia="Times New Roman" w:hAnsi="Calibri" w:cs="Times New Roman"/>
          <w:noProof/>
        </w:rPr>
        <w:lastRenderedPageBreak/>
        <w:t xml:space="preserve">vivo single-shot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spectroscopic imaging of hyperpolarized metabolites by spatiotemporal encoding. J Magn Reson. 2008;3(2):89–96. </w:t>
      </w:r>
    </w:p>
    <w:p w14:paraId="20CCD03D"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50. </w:t>
      </w:r>
      <w:r w:rsidRPr="00481147">
        <w:rPr>
          <w:rFonts w:ascii="Calibri" w:eastAsia="Times New Roman" w:hAnsi="Calibri" w:cs="Times New Roman"/>
          <w:noProof/>
        </w:rPr>
        <w:tab/>
        <w:t xml:space="preserve">Durst M, Koellisch U, Frank A, Rancan G, Gringeri C V., Karas V, et al. Comparison of acquisition schemes for hyperpolarised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imaging. NMR Biomed. 2015;28(6):715–25. </w:t>
      </w:r>
    </w:p>
    <w:p w14:paraId="6C5D811C"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51. </w:t>
      </w:r>
      <w:r w:rsidRPr="00481147">
        <w:rPr>
          <w:rFonts w:ascii="Calibri" w:eastAsia="Times New Roman" w:hAnsi="Calibri" w:cs="Times New Roman"/>
          <w:noProof/>
        </w:rPr>
        <w:tab/>
        <w:t xml:space="preserve">Gordon JW, Vigneron DB, Larson PEZ. Development of a symmetric echo planar imaging framework for clinical translation of rapid dynamic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imaging. Magn Reson Med. 2017;77(2):826–32. </w:t>
      </w:r>
    </w:p>
    <w:p w14:paraId="5A2EFDEA"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52. </w:t>
      </w:r>
      <w:r w:rsidRPr="00481147">
        <w:rPr>
          <w:rFonts w:ascii="Calibri" w:eastAsia="Times New Roman" w:hAnsi="Calibri" w:cs="Times New Roman"/>
          <w:noProof/>
        </w:rPr>
        <w:tab/>
        <w:t>Chen AP, Kurhanewicz J, Bok R, Xu D, Joun D, Zhang V, et al. Feasibility of using hyperpolarized [1-</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C]lactate as a substrate for in vivo metabolic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MRSI studies. Magn Reson Imaging. 2008;26(6):721–6. </w:t>
      </w:r>
    </w:p>
    <w:p w14:paraId="57CFE5D4"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53. </w:t>
      </w:r>
      <w:r w:rsidRPr="00481147">
        <w:rPr>
          <w:rFonts w:ascii="Calibri" w:eastAsia="Times New Roman" w:hAnsi="Calibri" w:cs="Times New Roman"/>
          <w:noProof/>
        </w:rPr>
        <w:tab/>
        <w:t xml:space="preserve">Schroeder MA, Lau AZ, Chen AP, Gu Y, Nagendran J, Barry J, et al.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magnetic resonance reveals early- and late-onset changes to in vivo pyruvate metabolism in the failing heart. Eur J Heart Fail. 2013;15(2):130–40. </w:t>
      </w:r>
    </w:p>
    <w:p w14:paraId="5DB0DE77"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54. </w:t>
      </w:r>
      <w:r w:rsidRPr="00481147">
        <w:rPr>
          <w:rFonts w:ascii="Calibri" w:eastAsia="Times New Roman" w:hAnsi="Calibri" w:cs="Times New Roman"/>
          <w:noProof/>
        </w:rPr>
        <w:tab/>
        <w:t xml:space="preserve">Schroeder MA, Atherton HJ, Ball DR, Cole MA, Heather LC, Griffin JL, et al. Real-time assessment of Krebs cycle metabolism using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magnetic resonance spectroscopy. FASEB J. 2009;23(8):2529–38. </w:t>
      </w:r>
    </w:p>
    <w:p w14:paraId="65535D03" w14:textId="044461DD"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55. </w:t>
      </w:r>
      <w:r w:rsidRPr="00481147">
        <w:rPr>
          <w:rFonts w:ascii="Calibri" w:eastAsia="Times New Roman" w:hAnsi="Calibri" w:cs="Times New Roman"/>
          <w:noProof/>
        </w:rPr>
        <w:tab/>
        <w:t>Svensson J. Contrast-enhanced magnetic resonance angiography. Development and optimization of techniques for paramagnetic and hyperpolarized contrast media</w:t>
      </w:r>
      <w:r w:rsidR="00524A8E">
        <w:rPr>
          <w:rFonts w:ascii="Calibri" w:eastAsia="Times New Roman" w:hAnsi="Calibri" w:cs="Times New Roman"/>
          <w:noProof/>
        </w:rPr>
        <w:t>.</w:t>
      </w:r>
      <w:r w:rsidRPr="00481147">
        <w:rPr>
          <w:rFonts w:ascii="Calibri" w:eastAsia="Times New Roman" w:hAnsi="Calibri" w:cs="Times New Roman"/>
          <w:noProof/>
        </w:rPr>
        <w:t xml:space="preserve"> Vol. 44, Acta Radiologica. 2003.1-30. </w:t>
      </w:r>
    </w:p>
    <w:p w14:paraId="4A241781"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56. </w:t>
      </w:r>
      <w:r w:rsidRPr="00481147">
        <w:rPr>
          <w:rFonts w:ascii="Calibri" w:eastAsia="Times New Roman" w:hAnsi="Calibri" w:cs="Times New Roman"/>
          <w:noProof/>
        </w:rPr>
        <w:tab/>
        <w:t xml:space="preserve">Svensson J, Månsson S, Johansson E, Petersson JS, Olsson LE.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MR angiography using trueFISP. Magn Reson Med. 2003;50(2):256–62. </w:t>
      </w:r>
    </w:p>
    <w:p w14:paraId="65A67A6A"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57. </w:t>
      </w:r>
      <w:r w:rsidRPr="00481147">
        <w:rPr>
          <w:rFonts w:ascii="Calibri" w:eastAsia="Times New Roman" w:hAnsi="Calibri" w:cs="Times New Roman"/>
          <w:noProof/>
        </w:rPr>
        <w:tab/>
        <w:t xml:space="preserve">McDonald RJ, McDonald JS, Kallmes DF, Jentoft ME, Murray DL, Thielen KR, et al. Intracranial gadolinium deposition after contrast-enhanced MR Imaging. Radiology. 2015;275(3):772–82. </w:t>
      </w:r>
    </w:p>
    <w:p w14:paraId="3EB32A72"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58. </w:t>
      </w:r>
      <w:r w:rsidRPr="00481147">
        <w:rPr>
          <w:rFonts w:ascii="Calibri" w:eastAsia="Times New Roman" w:hAnsi="Calibri" w:cs="Times New Roman"/>
          <w:noProof/>
        </w:rPr>
        <w:tab/>
        <w:t xml:space="preserve">Kanda T, Fukusato T, Matsuda M, Toyoda K, Oba H, Kotoku J, et al. Gadolinium-based contrast agent accumulates in the brain even in subjects without severe renal dysfunction: evaluation of autopsy brain specimens with inductively coupled plasma mass spectroscopy. Radiology. 2015;276(1):228–32. </w:t>
      </w:r>
    </w:p>
    <w:p w14:paraId="7A702D81" w14:textId="4E6B2012"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59. </w:t>
      </w:r>
      <w:r w:rsidRPr="00481147">
        <w:rPr>
          <w:rFonts w:ascii="Calibri" w:eastAsia="Times New Roman" w:hAnsi="Calibri" w:cs="Times New Roman"/>
          <w:noProof/>
        </w:rPr>
        <w:tab/>
        <w:t xml:space="preserve">Reed GD, Von Morze C, Bok R, Koelsch BL, Van Criekinge M, Smith KJ, et al. High resolution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MRI with hyperpolarized urea: In vivo T2 mapping and </w:t>
      </w:r>
      <w:r w:rsidRPr="001C7013">
        <w:rPr>
          <w:rFonts w:ascii="Calibri" w:eastAsia="Times New Roman" w:hAnsi="Calibri" w:cs="Times New Roman"/>
          <w:noProof/>
          <w:vertAlign w:val="superscript"/>
        </w:rPr>
        <w:t>15</w:t>
      </w:r>
      <w:r w:rsidRPr="00481147">
        <w:rPr>
          <w:rFonts w:ascii="Calibri" w:eastAsia="Times New Roman" w:hAnsi="Calibri" w:cs="Times New Roman"/>
          <w:noProof/>
        </w:rPr>
        <w:t xml:space="preserve">N labeling effects. IEEE Trans Med Imaging. 2014;33(2):362–71. </w:t>
      </w:r>
    </w:p>
    <w:p w14:paraId="3C8EA2C0"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lastRenderedPageBreak/>
        <w:t xml:space="preserve">60. </w:t>
      </w:r>
      <w:r w:rsidRPr="00481147">
        <w:rPr>
          <w:rFonts w:ascii="Calibri" w:eastAsia="Times New Roman" w:hAnsi="Calibri" w:cs="Times New Roman"/>
          <w:noProof/>
        </w:rPr>
        <w:tab/>
        <w:t xml:space="preserve">Laustsen C, Stokholm Nørlinger T, Christoffer Hansen D, Qi H, Mose Nielsen P, Bonde Bertelsen L, et al.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urea relaxation mechanism reveals renal changes in diabetic nephropathy. Magn Reson Med. 2016;75(2):515–8. </w:t>
      </w:r>
    </w:p>
    <w:p w14:paraId="47068760"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61. </w:t>
      </w:r>
      <w:r w:rsidRPr="00481147">
        <w:rPr>
          <w:rFonts w:ascii="Calibri" w:eastAsia="Times New Roman" w:hAnsi="Calibri" w:cs="Times New Roman"/>
          <w:noProof/>
        </w:rPr>
        <w:tab/>
        <w:t>Gallagher FA, Kettunen MI, Hu D-E, Jensen PR, Zandt R In ’t, Karlsson M, et al. Production of hyperpolarized [1,4-</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C</w:t>
      </w:r>
      <w:r w:rsidRPr="001C7013">
        <w:rPr>
          <w:rFonts w:ascii="Calibri" w:eastAsia="Times New Roman" w:hAnsi="Calibri" w:cs="Times New Roman"/>
          <w:noProof/>
          <w:vertAlign w:val="subscript"/>
        </w:rPr>
        <w:t>2</w:t>
      </w:r>
      <w:r w:rsidRPr="00481147">
        <w:rPr>
          <w:rFonts w:ascii="Calibri" w:eastAsia="Times New Roman" w:hAnsi="Calibri" w:cs="Times New Roman"/>
          <w:noProof/>
        </w:rPr>
        <w:t>]malate from [1,4-</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C</w:t>
      </w:r>
      <w:r w:rsidRPr="001C7013">
        <w:rPr>
          <w:rFonts w:ascii="Calibri" w:eastAsia="Times New Roman" w:hAnsi="Calibri" w:cs="Times New Roman"/>
          <w:noProof/>
          <w:vertAlign w:val="subscript"/>
        </w:rPr>
        <w:t>2</w:t>
      </w:r>
      <w:r w:rsidRPr="00481147">
        <w:rPr>
          <w:rFonts w:ascii="Calibri" w:eastAsia="Times New Roman" w:hAnsi="Calibri" w:cs="Times New Roman"/>
          <w:noProof/>
        </w:rPr>
        <w:t xml:space="preserve">]fumarate is a marker of cell necrosis and treatment response in tumors. Proc Natl Acad Sci. 2009;106(47):19801–6. </w:t>
      </w:r>
    </w:p>
    <w:p w14:paraId="60844FBB" w14:textId="04382A40"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62. </w:t>
      </w:r>
      <w:r w:rsidRPr="00481147">
        <w:rPr>
          <w:rFonts w:ascii="Calibri" w:eastAsia="Times New Roman" w:hAnsi="Calibri" w:cs="Times New Roman"/>
          <w:noProof/>
        </w:rPr>
        <w:tab/>
        <w:t xml:space="preserve">Ho C -l., Chen S, Yeung DWC, Cheng TKC. Dual-Tracer PET/CT </w:t>
      </w:r>
      <w:r w:rsidR="007F4044">
        <w:rPr>
          <w:rFonts w:ascii="Calibri" w:eastAsia="Times New Roman" w:hAnsi="Calibri" w:cs="Times New Roman"/>
          <w:noProof/>
        </w:rPr>
        <w:t>i</w:t>
      </w:r>
      <w:r w:rsidRPr="00481147">
        <w:rPr>
          <w:rFonts w:ascii="Calibri" w:eastAsia="Times New Roman" w:hAnsi="Calibri" w:cs="Times New Roman"/>
          <w:noProof/>
        </w:rPr>
        <w:t xml:space="preserve">maging in </w:t>
      </w:r>
      <w:r w:rsidR="007F4044">
        <w:rPr>
          <w:rFonts w:ascii="Calibri" w:eastAsia="Times New Roman" w:hAnsi="Calibri" w:cs="Times New Roman"/>
          <w:noProof/>
        </w:rPr>
        <w:t>e</w:t>
      </w:r>
      <w:r w:rsidRPr="00481147">
        <w:rPr>
          <w:rFonts w:ascii="Calibri" w:eastAsia="Times New Roman" w:hAnsi="Calibri" w:cs="Times New Roman"/>
          <w:noProof/>
        </w:rPr>
        <w:t xml:space="preserve">valuation of </w:t>
      </w:r>
      <w:r w:rsidR="007F4044">
        <w:rPr>
          <w:rFonts w:ascii="Calibri" w:eastAsia="Times New Roman" w:hAnsi="Calibri" w:cs="Times New Roman"/>
          <w:noProof/>
        </w:rPr>
        <w:t>m</w:t>
      </w:r>
      <w:r w:rsidRPr="00481147">
        <w:rPr>
          <w:rFonts w:ascii="Calibri" w:eastAsia="Times New Roman" w:hAnsi="Calibri" w:cs="Times New Roman"/>
          <w:noProof/>
        </w:rPr>
        <w:t xml:space="preserve">etastatic </w:t>
      </w:r>
      <w:r w:rsidR="007F4044">
        <w:rPr>
          <w:rFonts w:ascii="Calibri" w:eastAsia="Times New Roman" w:hAnsi="Calibri" w:cs="Times New Roman"/>
          <w:noProof/>
        </w:rPr>
        <w:t>h</w:t>
      </w:r>
      <w:r w:rsidRPr="00481147">
        <w:rPr>
          <w:rFonts w:ascii="Calibri" w:eastAsia="Times New Roman" w:hAnsi="Calibri" w:cs="Times New Roman"/>
          <w:noProof/>
        </w:rPr>
        <w:t xml:space="preserve">epatocellular </w:t>
      </w:r>
      <w:r w:rsidR="007F4044">
        <w:rPr>
          <w:rFonts w:ascii="Calibri" w:eastAsia="Times New Roman" w:hAnsi="Calibri" w:cs="Times New Roman"/>
          <w:noProof/>
        </w:rPr>
        <w:t>c</w:t>
      </w:r>
      <w:r w:rsidRPr="00481147">
        <w:rPr>
          <w:rFonts w:ascii="Calibri" w:eastAsia="Times New Roman" w:hAnsi="Calibri" w:cs="Times New Roman"/>
          <w:noProof/>
        </w:rPr>
        <w:t xml:space="preserve">arcinoma. J Nucl Med. 2007;48(6):902–9. </w:t>
      </w:r>
    </w:p>
    <w:p w14:paraId="4EF39B50"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63. </w:t>
      </w:r>
      <w:r w:rsidRPr="00481147">
        <w:rPr>
          <w:rFonts w:ascii="Calibri" w:eastAsia="Times New Roman" w:hAnsi="Calibri" w:cs="Times New Roman"/>
          <w:noProof/>
        </w:rPr>
        <w:tab/>
        <w:t xml:space="preserve">Siddiqui S, Kadlecek S, Pourfathi M, Xin Y, Mannherz W, Hamedani H, et al. The use of hyperpolarized carbon-13 magnetic resonance for molecular imaging. Adv Drug Deliv Rev. 2016; </w:t>
      </w:r>
    </w:p>
    <w:p w14:paraId="729A38DB"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64. </w:t>
      </w:r>
      <w:r w:rsidRPr="00481147">
        <w:rPr>
          <w:rFonts w:ascii="Calibri" w:eastAsia="Times New Roman" w:hAnsi="Calibri" w:cs="Times New Roman"/>
          <w:noProof/>
        </w:rPr>
        <w:tab/>
        <w:t xml:space="preserve">Daniels CJ, Mclean MA, Schulte RF, Robb FJ, Gill AB, Mcglashan N, et al. A comparison of quantitative methods for clinical imaging with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C-pyruvate. NMR Biomed. 2016;29(4):387–99. </w:t>
      </w:r>
    </w:p>
    <w:p w14:paraId="21841FDF" w14:textId="7AA33990"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65. </w:t>
      </w:r>
      <w:r w:rsidRPr="00481147">
        <w:rPr>
          <w:rFonts w:ascii="Calibri" w:eastAsia="Times New Roman" w:hAnsi="Calibri" w:cs="Times New Roman"/>
          <w:noProof/>
        </w:rPr>
        <w:tab/>
        <w:t xml:space="preserve">Gallagher FA, Daniels CJ. Unsupervised </w:t>
      </w:r>
      <w:r w:rsidR="00735BE4">
        <w:rPr>
          <w:rFonts w:ascii="Calibri" w:eastAsia="Times New Roman" w:hAnsi="Calibri" w:cs="Times New Roman"/>
          <w:noProof/>
        </w:rPr>
        <w:t>s</w:t>
      </w:r>
      <w:r w:rsidRPr="00481147">
        <w:rPr>
          <w:rFonts w:ascii="Calibri" w:eastAsia="Times New Roman" w:hAnsi="Calibri" w:cs="Times New Roman"/>
          <w:noProof/>
        </w:rPr>
        <w:t xml:space="preserve">egmentation of 5D </w:t>
      </w:r>
      <w:r w:rsidR="00735BE4">
        <w:rPr>
          <w:rFonts w:ascii="Calibri" w:eastAsia="Times New Roman" w:hAnsi="Calibri" w:cs="Times New Roman"/>
          <w:noProof/>
        </w:rPr>
        <w:t>h</w:t>
      </w:r>
      <w:r w:rsidRPr="00481147">
        <w:rPr>
          <w:rFonts w:ascii="Calibri" w:eastAsia="Times New Roman" w:hAnsi="Calibri" w:cs="Times New Roman"/>
          <w:noProof/>
        </w:rPr>
        <w:t xml:space="preserve">yperpolarized Carbon-13 MRI </w:t>
      </w:r>
      <w:r w:rsidR="00735BE4">
        <w:rPr>
          <w:rFonts w:ascii="Calibri" w:eastAsia="Times New Roman" w:hAnsi="Calibri" w:cs="Times New Roman"/>
          <w:noProof/>
        </w:rPr>
        <w:t>d</w:t>
      </w:r>
      <w:r w:rsidRPr="00481147">
        <w:rPr>
          <w:rFonts w:ascii="Calibri" w:eastAsia="Times New Roman" w:hAnsi="Calibri" w:cs="Times New Roman"/>
          <w:noProof/>
        </w:rPr>
        <w:t xml:space="preserve">ata </w:t>
      </w:r>
      <w:r w:rsidR="00735BE4">
        <w:rPr>
          <w:rFonts w:ascii="Calibri" w:eastAsia="Times New Roman" w:hAnsi="Calibri" w:cs="Times New Roman"/>
          <w:noProof/>
        </w:rPr>
        <w:t>u</w:t>
      </w:r>
      <w:r w:rsidRPr="00481147">
        <w:rPr>
          <w:rFonts w:ascii="Calibri" w:eastAsia="Times New Roman" w:hAnsi="Calibri" w:cs="Times New Roman"/>
          <w:noProof/>
        </w:rPr>
        <w:t xml:space="preserve">sing a </w:t>
      </w:r>
      <w:r w:rsidR="00735BE4">
        <w:rPr>
          <w:rFonts w:ascii="Calibri" w:eastAsia="Times New Roman" w:hAnsi="Calibri" w:cs="Times New Roman"/>
          <w:noProof/>
        </w:rPr>
        <w:t>f</w:t>
      </w:r>
      <w:r w:rsidRPr="00481147">
        <w:rPr>
          <w:rFonts w:ascii="Calibri" w:eastAsia="Times New Roman" w:hAnsi="Calibri" w:cs="Times New Roman"/>
          <w:noProof/>
        </w:rPr>
        <w:t xml:space="preserve">uzzy Markov </w:t>
      </w:r>
      <w:r w:rsidR="00735BE4">
        <w:rPr>
          <w:rFonts w:ascii="Calibri" w:eastAsia="Times New Roman" w:hAnsi="Calibri" w:cs="Times New Roman"/>
          <w:noProof/>
        </w:rPr>
        <w:t>r</w:t>
      </w:r>
      <w:r w:rsidRPr="00481147">
        <w:rPr>
          <w:rFonts w:ascii="Calibri" w:eastAsia="Times New Roman" w:hAnsi="Calibri" w:cs="Times New Roman"/>
          <w:noProof/>
        </w:rPr>
        <w:t xml:space="preserve">andom </w:t>
      </w:r>
      <w:r w:rsidR="00735BE4">
        <w:rPr>
          <w:rFonts w:ascii="Calibri" w:eastAsia="Times New Roman" w:hAnsi="Calibri" w:cs="Times New Roman"/>
          <w:noProof/>
        </w:rPr>
        <w:t>f</w:t>
      </w:r>
      <w:r w:rsidRPr="00481147">
        <w:rPr>
          <w:rFonts w:ascii="Calibri" w:eastAsia="Times New Roman" w:hAnsi="Calibri" w:cs="Times New Roman"/>
          <w:noProof/>
        </w:rPr>
        <w:t xml:space="preserve">ield </w:t>
      </w:r>
      <w:r w:rsidR="00735BE4">
        <w:rPr>
          <w:rFonts w:ascii="Calibri" w:eastAsia="Times New Roman" w:hAnsi="Calibri" w:cs="Times New Roman"/>
          <w:noProof/>
        </w:rPr>
        <w:t>m</w:t>
      </w:r>
      <w:r w:rsidRPr="00481147">
        <w:rPr>
          <w:rFonts w:ascii="Calibri" w:eastAsia="Times New Roman" w:hAnsi="Calibri" w:cs="Times New Roman"/>
          <w:noProof/>
        </w:rPr>
        <w:t xml:space="preserve">odel. IEEE Trans Med Imaging. 2017;62(1):1–11. </w:t>
      </w:r>
    </w:p>
    <w:p w14:paraId="64C780A8" w14:textId="62E441B8"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66. </w:t>
      </w:r>
      <w:r w:rsidRPr="00481147">
        <w:rPr>
          <w:rFonts w:ascii="Calibri" w:eastAsia="Times New Roman" w:hAnsi="Calibri" w:cs="Times New Roman"/>
          <w:noProof/>
        </w:rPr>
        <w:tab/>
        <w:t xml:space="preserve">De Galiza Barbosa F, Delso G, Ter Voert EEGW, Huellner MW, Herrmann K, Veit-Haibach P. Multi-technique hybrid imaging in PET/CT and PET/MR: </w:t>
      </w:r>
      <w:r w:rsidR="00A11389">
        <w:rPr>
          <w:rFonts w:ascii="Calibri" w:eastAsia="Times New Roman" w:hAnsi="Calibri" w:cs="Times New Roman"/>
          <w:noProof/>
        </w:rPr>
        <w:t>w</w:t>
      </w:r>
      <w:r w:rsidRPr="00481147">
        <w:rPr>
          <w:rFonts w:ascii="Calibri" w:eastAsia="Times New Roman" w:hAnsi="Calibri" w:cs="Times New Roman"/>
          <w:noProof/>
        </w:rPr>
        <w:t xml:space="preserve">hat does the future hold? Clin Radiol. 2016;71(7):660–72. </w:t>
      </w:r>
    </w:p>
    <w:p w14:paraId="549F9448"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67. </w:t>
      </w:r>
      <w:r w:rsidRPr="00481147">
        <w:rPr>
          <w:rFonts w:ascii="Calibri" w:eastAsia="Times New Roman" w:hAnsi="Calibri" w:cs="Times New Roman"/>
          <w:noProof/>
        </w:rPr>
        <w:tab/>
        <w:t xml:space="preserve">Parodi K. Vision 20/20: Positron emission tomography in radiation therapy planning, delivery, and monitoring. Med Phys. 2015;42(12):7153–68. </w:t>
      </w:r>
    </w:p>
    <w:p w14:paraId="0908738A"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68. </w:t>
      </w:r>
      <w:r w:rsidRPr="00481147">
        <w:rPr>
          <w:rFonts w:ascii="Calibri" w:eastAsia="Times New Roman" w:hAnsi="Calibri" w:cs="Times New Roman"/>
          <w:noProof/>
        </w:rPr>
        <w:tab/>
        <w:t xml:space="preserve">Sotoudeh H, Sharma A, Fowler KJ, McConathy J, Dehdashti F. Clinical application of PET/MRI in oncology. J Magn Reson Imaging. 2016;44(2):265–76. </w:t>
      </w:r>
    </w:p>
    <w:p w14:paraId="24451F65" w14:textId="003A6920"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69. </w:t>
      </w:r>
      <w:r w:rsidRPr="00481147">
        <w:rPr>
          <w:rFonts w:ascii="Calibri" w:eastAsia="Times New Roman" w:hAnsi="Calibri" w:cs="Times New Roman"/>
          <w:noProof/>
        </w:rPr>
        <w:tab/>
        <w:t>Fraum TJ, Fowler KJ, McConathy J. PET/MRI: emerging clinical applications in oncology. Acad Radiol. 2016</w:t>
      </w:r>
      <w:r w:rsidR="00547521">
        <w:rPr>
          <w:rFonts w:ascii="Calibri" w:eastAsia="Times New Roman" w:hAnsi="Calibri" w:cs="Times New Roman"/>
          <w:noProof/>
        </w:rPr>
        <w:t>;</w:t>
      </w:r>
      <w:r w:rsidRPr="00481147">
        <w:rPr>
          <w:rFonts w:ascii="Calibri" w:eastAsia="Times New Roman" w:hAnsi="Calibri" w:cs="Times New Roman"/>
          <w:noProof/>
        </w:rPr>
        <w:t xml:space="preserve">23(2):220–36. </w:t>
      </w:r>
    </w:p>
    <w:p w14:paraId="0AD22A41" w14:textId="69BA2C26"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70. </w:t>
      </w:r>
      <w:r w:rsidRPr="00481147">
        <w:rPr>
          <w:rFonts w:ascii="Calibri" w:eastAsia="Times New Roman" w:hAnsi="Calibri" w:cs="Times New Roman"/>
          <w:noProof/>
        </w:rPr>
        <w:tab/>
        <w:t xml:space="preserve">Nensa F, Beiderwellen K, Heusch P, Wetter A. Clinical applications of PET/MRI: </w:t>
      </w:r>
      <w:r w:rsidR="00A11389">
        <w:rPr>
          <w:rFonts w:ascii="Calibri" w:eastAsia="Times New Roman" w:hAnsi="Calibri" w:cs="Times New Roman"/>
          <w:noProof/>
        </w:rPr>
        <w:t>c</w:t>
      </w:r>
      <w:r w:rsidRPr="00481147">
        <w:rPr>
          <w:rFonts w:ascii="Calibri" w:eastAsia="Times New Roman" w:hAnsi="Calibri" w:cs="Times New Roman"/>
          <w:noProof/>
        </w:rPr>
        <w:t xml:space="preserve">urrent status and future perspectives. Diagnostic Interv Radiol. 2014;20(5):438–47. </w:t>
      </w:r>
    </w:p>
    <w:p w14:paraId="3BABBACF" w14:textId="2DDAB2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71. </w:t>
      </w:r>
      <w:r w:rsidRPr="00481147">
        <w:rPr>
          <w:rFonts w:ascii="Calibri" w:eastAsia="Times New Roman" w:hAnsi="Calibri" w:cs="Times New Roman"/>
          <w:noProof/>
        </w:rPr>
        <w:tab/>
        <w:t xml:space="preserve">Lee SJ, Seo HJ, Cheon GJ, Kim JH, Kim EE, Kang KW, et al. Usefulness of </w:t>
      </w:r>
      <w:r w:rsidR="00547521">
        <w:rPr>
          <w:rFonts w:ascii="Calibri" w:eastAsia="Times New Roman" w:hAnsi="Calibri" w:cs="Times New Roman"/>
          <w:noProof/>
        </w:rPr>
        <w:t>i</w:t>
      </w:r>
      <w:r w:rsidRPr="00481147">
        <w:rPr>
          <w:rFonts w:ascii="Calibri" w:eastAsia="Times New Roman" w:hAnsi="Calibri" w:cs="Times New Roman"/>
          <w:noProof/>
        </w:rPr>
        <w:t xml:space="preserve">ntegrated PET/MRI in </w:t>
      </w:r>
      <w:r w:rsidR="00547521">
        <w:rPr>
          <w:rFonts w:ascii="Calibri" w:eastAsia="Times New Roman" w:hAnsi="Calibri" w:cs="Times New Roman"/>
          <w:noProof/>
        </w:rPr>
        <w:t>h</w:t>
      </w:r>
      <w:r w:rsidRPr="00481147">
        <w:rPr>
          <w:rFonts w:ascii="Calibri" w:eastAsia="Times New Roman" w:hAnsi="Calibri" w:cs="Times New Roman"/>
          <w:noProof/>
        </w:rPr>
        <w:t xml:space="preserve">ead and </w:t>
      </w:r>
      <w:r w:rsidR="00547521">
        <w:rPr>
          <w:rFonts w:ascii="Calibri" w:eastAsia="Times New Roman" w:hAnsi="Calibri" w:cs="Times New Roman"/>
          <w:noProof/>
        </w:rPr>
        <w:t>n</w:t>
      </w:r>
      <w:r w:rsidRPr="00481147">
        <w:rPr>
          <w:rFonts w:ascii="Calibri" w:eastAsia="Times New Roman" w:hAnsi="Calibri" w:cs="Times New Roman"/>
          <w:noProof/>
        </w:rPr>
        <w:t xml:space="preserve">eck </w:t>
      </w:r>
      <w:r w:rsidR="00547521">
        <w:rPr>
          <w:rFonts w:ascii="Calibri" w:eastAsia="Times New Roman" w:hAnsi="Calibri" w:cs="Times New Roman"/>
          <w:noProof/>
        </w:rPr>
        <w:t>c</w:t>
      </w:r>
      <w:r w:rsidRPr="00481147">
        <w:rPr>
          <w:rFonts w:ascii="Calibri" w:eastAsia="Times New Roman" w:hAnsi="Calibri" w:cs="Times New Roman"/>
          <w:noProof/>
        </w:rPr>
        <w:t xml:space="preserve">ancer: </w:t>
      </w:r>
      <w:r w:rsidR="00547521">
        <w:rPr>
          <w:rFonts w:ascii="Calibri" w:eastAsia="Times New Roman" w:hAnsi="Calibri" w:cs="Times New Roman"/>
          <w:noProof/>
        </w:rPr>
        <w:t>a</w:t>
      </w:r>
      <w:r w:rsidRPr="00481147">
        <w:rPr>
          <w:rFonts w:ascii="Calibri" w:eastAsia="Times New Roman" w:hAnsi="Calibri" w:cs="Times New Roman"/>
          <w:noProof/>
        </w:rPr>
        <w:t xml:space="preserve"> </w:t>
      </w:r>
      <w:r w:rsidR="00547521">
        <w:rPr>
          <w:rFonts w:ascii="Calibri" w:eastAsia="Times New Roman" w:hAnsi="Calibri" w:cs="Times New Roman"/>
          <w:noProof/>
        </w:rPr>
        <w:t>p</w:t>
      </w:r>
      <w:r w:rsidRPr="00481147">
        <w:rPr>
          <w:rFonts w:ascii="Calibri" w:eastAsia="Times New Roman" w:hAnsi="Calibri" w:cs="Times New Roman"/>
          <w:noProof/>
        </w:rPr>
        <w:t xml:space="preserve">reliminary </w:t>
      </w:r>
      <w:r w:rsidR="00547521">
        <w:rPr>
          <w:rFonts w:ascii="Calibri" w:eastAsia="Times New Roman" w:hAnsi="Calibri" w:cs="Times New Roman"/>
          <w:noProof/>
        </w:rPr>
        <w:t>s</w:t>
      </w:r>
      <w:r w:rsidRPr="00481147">
        <w:rPr>
          <w:rFonts w:ascii="Calibri" w:eastAsia="Times New Roman" w:hAnsi="Calibri" w:cs="Times New Roman"/>
          <w:noProof/>
        </w:rPr>
        <w:t xml:space="preserve">tudy. Nucl Med Mol Imaging (2010). 2014;48(2):98–105. </w:t>
      </w:r>
    </w:p>
    <w:p w14:paraId="462A5DB5"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lastRenderedPageBreak/>
        <w:t xml:space="preserve">72. </w:t>
      </w:r>
      <w:r w:rsidRPr="00481147">
        <w:rPr>
          <w:rFonts w:ascii="Calibri" w:eastAsia="Times New Roman" w:hAnsi="Calibri" w:cs="Times New Roman"/>
          <w:noProof/>
        </w:rPr>
        <w:tab/>
        <w:t xml:space="preserve">Schaarschmidt BM, Heusch P, Buchbender C, Ruhlmann M, Bergmann C, Ruhlmann V, et al. Locoregional tumour evaluation of squamous cell carcinoma in the head and neck area: a comparison between MRI, PET/CT and integrated PET/MRI. Eur J Nucl Med Mol Imaging. 2016;43(1):92–102. </w:t>
      </w:r>
    </w:p>
    <w:p w14:paraId="6259BFAB" w14:textId="39FD4E5B"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73. </w:t>
      </w:r>
      <w:r w:rsidRPr="00481147">
        <w:rPr>
          <w:rFonts w:ascii="Calibri" w:eastAsia="Times New Roman" w:hAnsi="Calibri" w:cs="Times New Roman"/>
          <w:noProof/>
        </w:rPr>
        <w:tab/>
        <w:t xml:space="preserve">Kang B, Lee JM, Song YS, Woo S, Hur BY, Jeon JH, et al. Added value of integrated whole-body PET/MRI for evaluation of colorectal cancer: </w:t>
      </w:r>
      <w:r w:rsidR="00E1264A">
        <w:rPr>
          <w:rFonts w:ascii="Calibri" w:eastAsia="Times New Roman" w:hAnsi="Calibri" w:cs="Times New Roman"/>
          <w:noProof/>
        </w:rPr>
        <w:t>c</w:t>
      </w:r>
      <w:r w:rsidRPr="00481147">
        <w:rPr>
          <w:rFonts w:ascii="Calibri" w:eastAsia="Times New Roman" w:hAnsi="Calibri" w:cs="Times New Roman"/>
          <w:noProof/>
        </w:rPr>
        <w:t xml:space="preserve">omparison with contrast-enhanced MDCT. Am J Roentgenol. 2016;206(1):W10–20. </w:t>
      </w:r>
    </w:p>
    <w:p w14:paraId="281AF7F0"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74. </w:t>
      </w:r>
      <w:r w:rsidRPr="00481147">
        <w:rPr>
          <w:rFonts w:ascii="Calibri" w:eastAsia="Times New Roman" w:hAnsi="Calibri" w:cs="Times New Roman"/>
          <w:noProof/>
        </w:rPr>
        <w:tab/>
        <w:t xml:space="preserve">Cheung TT, Ho CL, Lo CM, Chen S, Chan SC, Chok KSH, et al. </w:t>
      </w:r>
      <w:r w:rsidRPr="001C7013">
        <w:rPr>
          <w:rFonts w:ascii="Calibri" w:eastAsia="Times New Roman" w:hAnsi="Calibri" w:cs="Times New Roman"/>
          <w:noProof/>
          <w:vertAlign w:val="superscript"/>
        </w:rPr>
        <w:t>11</w:t>
      </w:r>
      <w:r w:rsidRPr="00481147">
        <w:rPr>
          <w:rFonts w:ascii="Calibri" w:eastAsia="Times New Roman" w:hAnsi="Calibri" w:cs="Times New Roman"/>
          <w:noProof/>
        </w:rPr>
        <w:t xml:space="preserve">C-Acetate and </w:t>
      </w:r>
      <w:r w:rsidRPr="001C7013">
        <w:rPr>
          <w:rFonts w:ascii="Calibri" w:eastAsia="Times New Roman" w:hAnsi="Calibri" w:cs="Times New Roman"/>
          <w:noProof/>
          <w:vertAlign w:val="superscript"/>
        </w:rPr>
        <w:t>18</w:t>
      </w:r>
      <w:r w:rsidRPr="00481147">
        <w:rPr>
          <w:rFonts w:ascii="Calibri" w:eastAsia="Times New Roman" w:hAnsi="Calibri" w:cs="Times New Roman"/>
          <w:noProof/>
        </w:rPr>
        <w:t xml:space="preserve">F-FDG PET/CT for clinical staging and selection of patients with hepatocellular carcinoma for liver transplantation on the basis of Milan criteria: surgeon’s perspective. J Nucl Med. 2013;54(2):192–200. </w:t>
      </w:r>
    </w:p>
    <w:p w14:paraId="2DA66C7C"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75. </w:t>
      </w:r>
      <w:r w:rsidRPr="00481147">
        <w:rPr>
          <w:rFonts w:ascii="Calibri" w:eastAsia="Times New Roman" w:hAnsi="Calibri" w:cs="Times New Roman"/>
          <w:noProof/>
        </w:rPr>
        <w:tab/>
        <w:t xml:space="preserve">Blechacz B, Komuta M, Roskams T, Gores GJ. Clinical diagnosis and staging of cholangiocarcinoma. Nat Rev Gastroenterol Hepatol. 2011;8(9):512–22. </w:t>
      </w:r>
    </w:p>
    <w:p w14:paraId="649C90A9"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76. </w:t>
      </w:r>
      <w:r w:rsidRPr="00481147">
        <w:rPr>
          <w:rFonts w:ascii="Calibri" w:eastAsia="Times New Roman" w:hAnsi="Calibri" w:cs="Times New Roman"/>
          <w:noProof/>
        </w:rPr>
        <w:tab/>
        <w:t xml:space="preserve">Schaarschmidt BM, Grueneisen J, Metzenmacher M, Gomez B, Gauler T, Roesel C, et al. Thoracic staging with </w:t>
      </w:r>
      <w:r w:rsidRPr="001C7013">
        <w:rPr>
          <w:rFonts w:ascii="Calibri" w:eastAsia="Times New Roman" w:hAnsi="Calibri" w:cs="Times New Roman"/>
          <w:noProof/>
          <w:vertAlign w:val="superscript"/>
        </w:rPr>
        <w:t>18</w:t>
      </w:r>
      <w:r w:rsidRPr="00481147">
        <w:rPr>
          <w:rFonts w:ascii="Calibri" w:eastAsia="Times New Roman" w:hAnsi="Calibri" w:cs="Times New Roman"/>
          <w:noProof/>
        </w:rPr>
        <w:t xml:space="preserve">F-FDG PET/MR in non-small cell lung cancer - does it change therapeutic decisions in comparison to </w:t>
      </w:r>
      <w:r w:rsidRPr="001C7013">
        <w:rPr>
          <w:rFonts w:ascii="Calibri" w:eastAsia="Times New Roman" w:hAnsi="Calibri" w:cs="Times New Roman"/>
          <w:noProof/>
          <w:vertAlign w:val="superscript"/>
        </w:rPr>
        <w:t>18</w:t>
      </w:r>
      <w:r w:rsidRPr="00481147">
        <w:rPr>
          <w:rFonts w:ascii="Calibri" w:eastAsia="Times New Roman" w:hAnsi="Calibri" w:cs="Times New Roman"/>
          <w:noProof/>
        </w:rPr>
        <w:t xml:space="preserve">F-FDG PET/CT? Eur Radiol. 2017;27(2):681–8. </w:t>
      </w:r>
    </w:p>
    <w:p w14:paraId="65668566" w14:textId="07344A7C"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77. </w:t>
      </w:r>
      <w:r w:rsidRPr="00481147">
        <w:rPr>
          <w:rFonts w:ascii="Calibri" w:eastAsia="Times New Roman" w:hAnsi="Calibri" w:cs="Times New Roman"/>
          <w:noProof/>
        </w:rPr>
        <w:tab/>
        <w:t xml:space="preserve">Schmidt H, Brendle C, Schraml C, Martirosian P, Bezrukov I, Hetzel J, et al. Correlation of </w:t>
      </w:r>
      <w:r w:rsidR="00A11389">
        <w:rPr>
          <w:rFonts w:ascii="Calibri" w:eastAsia="Times New Roman" w:hAnsi="Calibri" w:cs="Times New Roman"/>
          <w:noProof/>
        </w:rPr>
        <w:t>s</w:t>
      </w:r>
      <w:r w:rsidRPr="00481147">
        <w:rPr>
          <w:rFonts w:ascii="Calibri" w:eastAsia="Times New Roman" w:hAnsi="Calibri" w:cs="Times New Roman"/>
          <w:noProof/>
        </w:rPr>
        <w:t xml:space="preserve">imultaneously </w:t>
      </w:r>
      <w:r w:rsidR="00A11389">
        <w:rPr>
          <w:rFonts w:ascii="Calibri" w:eastAsia="Times New Roman" w:hAnsi="Calibri" w:cs="Times New Roman"/>
          <w:noProof/>
        </w:rPr>
        <w:t>a</w:t>
      </w:r>
      <w:r w:rsidRPr="00481147">
        <w:rPr>
          <w:rFonts w:ascii="Calibri" w:eastAsia="Times New Roman" w:hAnsi="Calibri" w:cs="Times New Roman"/>
          <w:noProof/>
        </w:rPr>
        <w:t xml:space="preserve">cquired </w:t>
      </w:r>
      <w:r w:rsidR="00A11389">
        <w:rPr>
          <w:rFonts w:ascii="Calibri" w:eastAsia="Times New Roman" w:hAnsi="Calibri" w:cs="Times New Roman"/>
          <w:noProof/>
        </w:rPr>
        <w:t>D</w:t>
      </w:r>
      <w:r w:rsidRPr="00481147">
        <w:rPr>
          <w:rFonts w:ascii="Calibri" w:eastAsia="Times New Roman" w:hAnsi="Calibri" w:cs="Times New Roman"/>
          <w:noProof/>
        </w:rPr>
        <w:t>iffusion-Weighted Imaging and 2-Deoxy-[</w:t>
      </w:r>
      <w:r w:rsidRPr="001C7013">
        <w:rPr>
          <w:rFonts w:ascii="Calibri" w:eastAsia="Times New Roman" w:hAnsi="Calibri" w:cs="Times New Roman"/>
          <w:noProof/>
          <w:vertAlign w:val="superscript"/>
        </w:rPr>
        <w:t>18</w:t>
      </w:r>
      <w:r w:rsidRPr="00481147">
        <w:rPr>
          <w:rFonts w:ascii="Calibri" w:eastAsia="Times New Roman" w:hAnsi="Calibri" w:cs="Times New Roman"/>
          <w:noProof/>
        </w:rPr>
        <w:t xml:space="preserve">F] fluoro-2-D-glucose Positron Emission Tomography of </w:t>
      </w:r>
      <w:r w:rsidR="00A11389">
        <w:rPr>
          <w:rFonts w:ascii="Calibri" w:eastAsia="Times New Roman" w:hAnsi="Calibri" w:cs="Times New Roman"/>
          <w:noProof/>
        </w:rPr>
        <w:t>p</w:t>
      </w:r>
      <w:r w:rsidRPr="00481147">
        <w:rPr>
          <w:rFonts w:ascii="Calibri" w:eastAsia="Times New Roman" w:hAnsi="Calibri" w:cs="Times New Roman"/>
          <w:noProof/>
        </w:rPr>
        <w:t xml:space="preserve">ulmonary </w:t>
      </w:r>
      <w:r w:rsidR="00A11389">
        <w:rPr>
          <w:rFonts w:ascii="Calibri" w:eastAsia="Times New Roman" w:hAnsi="Calibri" w:cs="Times New Roman"/>
          <w:noProof/>
        </w:rPr>
        <w:t>l</w:t>
      </w:r>
      <w:r w:rsidRPr="00481147">
        <w:rPr>
          <w:rFonts w:ascii="Calibri" w:eastAsia="Times New Roman" w:hAnsi="Calibri" w:cs="Times New Roman"/>
          <w:noProof/>
        </w:rPr>
        <w:t xml:space="preserve">esions in a </w:t>
      </w:r>
      <w:r w:rsidR="00A11389">
        <w:rPr>
          <w:rFonts w:ascii="Calibri" w:eastAsia="Times New Roman" w:hAnsi="Calibri" w:cs="Times New Roman"/>
          <w:noProof/>
        </w:rPr>
        <w:t>d</w:t>
      </w:r>
      <w:r w:rsidRPr="00481147">
        <w:rPr>
          <w:rFonts w:ascii="Calibri" w:eastAsia="Times New Roman" w:hAnsi="Calibri" w:cs="Times New Roman"/>
          <w:noProof/>
        </w:rPr>
        <w:t xml:space="preserve">edicated </w:t>
      </w:r>
      <w:r w:rsidR="00A11389">
        <w:rPr>
          <w:rFonts w:ascii="Calibri" w:eastAsia="Times New Roman" w:hAnsi="Calibri" w:cs="Times New Roman"/>
          <w:noProof/>
        </w:rPr>
        <w:t>w</w:t>
      </w:r>
      <w:r w:rsidRPr="00481147">
        <w:rPr>
          <w:rFonts w:ascii="Calibri" w:eastAsia="Times New Roman" w:hAnsi="Calibri" w:cs="Times New Roman"/>
          <w:noProof/>
        </w:rPr>
        <w:t>hole-</w:t>
      </w:r>
      <w:r w:rsidR="00A11389">
        <w:rPr>
          <w:rFonts w:ascii="Calibri" w:eastAsia="Times New Roman" w:hAnsi="Calibri" w:cs="Times New Roman"/>
          <w:noProof/>
        </w:rPr>
        <w:t>b</w:t>
      </w:r>
      <w:r w:rsidRPr="00481147">
        <w:rPr>
          <w:rFonts w:ascii="Calibri" w:eastAsia="Times New Roman" w:hAnsi="Calibri" w:cs="Times New Roman"/>
          <w:noProof/>
        </w:rPr>
        <w:t xml:space="preserve">ody Magnetic Resonance/Positron Emission Tomography </w:t>
      </w:r>
      <w:r w:rsidR="00A11389">
        <w:rPr>
          <w:rFonts w:ascii="Calibri" w:eastAsia="Times New Roman" w:hAnsi="Calibri" w:cs="Times New Roman"/>
          <w:noProof/>
        </w:rPr>
        <w:t>s</w:t>
      </w:r>
      <w:r w:rsidRPr="00481147">
        <w:rPr>
          <w:rFonts w:ascii="Calibri" w:eastAsia="Times New Roman" w:hAnsi="Calibri" w:cs="Times New Roman"/>
          <w:noProof/>
        </w:rPr>
        <w:t xml:space="preserve">ystem. Invest Radiol. 2013 May;48(5):247–55. </w:t>
      </w:r>
    </w:p>
    <w:p w14:paraId="29188A60"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78. </w:t>
      </w:r>
      <w:r w:rsidRPr="00481147">
        <w:rPr>
          <w:rFonts w:ascii="Calibri" w:eastAsia="Times New Roman" w:hAnsi="Calibri" w:cs="Times New Roman"/>
          <w:noProof/>
        </w:rPr>
        <w:tab/>
        <w:t xml:space="preserve">Fraioli F, Screaton NJ, Janes SM, Win T, Menezes L, Kayani I, et al. Non-small-cell lung cancer resectability: diagnostic value of PET/MR. Eur J Nucl Med Mol Imaging. 2014;42:49–55. </w:t>
      </w:r>
    </w:p>
    <w:p w14:paraId="2D814311"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79. </w:t>
      </w:r>
      <w:r w:rsidRPr="00481147">
        <w:rPr>
          <w:rFonts w:ascii="Calibri" w:eastAsia="Times New Roman" w:hAnsi="Calibri" w:cs="Times New Roman"/>
          <w:noProof/>
        </w:rPr>
        <w:tab/>
        <w:t xml:space="preserve">Binderup T, Knigge U, Loft A, Federspiel B, Kjaer A. </w:t>
      </w:r>
      <w:r w:rsidRPr="001C7013">
        <w:rPr>
          <w:rFonts w:ascii="Calibri" w:eastAsia="Times New Roman" w:hAnsi="Calibri" w:cs="Times New Roman"/>
          <w:noProof/>
          <w:vertAlign w:val="superscript"/>
        </w:rPr>
        <w:t>18</w:t>
      </w:r>
      <w:r w:rsidRPr="00481147">
        <w:rPr>
          <w:rFonts w:ascii="Calibri" w:eastAsia="Times New Roman" w:hAnsi="Calibri" w:cs="Times New Roman"/>
          <w:noProof/>
        </w:rPr>
        <w:t xml:space="preserve">F-fluorodeoxyglucose positron emission tomography predicts survival of patients with neuroendocrine tumors. Clin Cancer Res. 2010;16(3):978–85. </w:t>
      </w:r>
    </w:p>
    <w:p w14:paraId="52F6B3DF"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80. </w:t>
      </w:r>
      <w:r w:rsidRPr="00481147">
        <w:rPr>
          <w:rFonts w:ascii="Calibri" w:eastAsia="Times New Roman" w:hAnsi="Calibri" w:cs="Times New Roman"/>
          <w:noProof/>
        </w:rPr>
        <w:tab/>
        <w:t xml:space="preserve">Vaupel P, Mayer A. Hypoxia in cancer: Significance and impact on clinical outcome. Cancer Metastasis Rev. 2007;26(2):225–39. </w:t>
      </w:r>
    </w:p>
    <w:p w14:paraId="5D5F63E7"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81. </w:t>
      </w:r>
      <w:r w:rsidRPr="00481147">
        <w:rPr>
          <w:rFonts w:ascii="Calibri" w:eastAsia="Times New Roman" w:hAnsi="Calibri" w:cs="Times New Roman"/>
          <w:noProof/>
        </w:rPr>
        <w:tab/>
        <w:t xml:space="preserve">Gambhir SS. Molecular imaging of cancer with positron emission tomography. Nat Rev Cancer. 2002;2(9):683–93. </w:t>
      </w:r>
    </w:p>
    <w:p w14:paraId="2F88725B" w14:textId="22C68236"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lastRenderedPageBreak/>
        <w:t xml:space="preserve">82. </w:t>
      </w:r>
      <w:r w:rsidRPr="00481147">
        <w:rPr>
          <w:rFonts w:ascii="Calibri" w:eastAsia="Times New Roman" w:hAnsi="Calibri" w:cs="Times New Roman"/>
          <w:noProof/>
        </w:rPr>
        <w:tab/>
        <w:t xml:space="preserve">Kurhanewicz J, Bok R, Nelson SJ, Vigneron DB. Current and </w:t>
      </w:r>
      <w:r w:rsidR="00E1264A">
        <w:rPr>
          <w:rFonts w:ascii="Calibri" w:eastAsia="Times New Roman" w:hAnsi="Calibri" w:cs="Times New Roman"/>
          <w:noProof/>
        </w:rPr>
        <w:t>p</w:t>
      </w:r>
      <w:r w:rsidRPr="00481147">
        <w:rPr>
          <w:rFonts w:ascii="Calibri" w:eastAsia="Times New Roman" w:hAnsi="Calibri" w:cs="Times New Roman"/>
          <w:noProof/>
        </w:rPr>
        <w:t xml:space="preserve">otential </w:t>
      </w:r>
      <w:r w:rsidR="00E1264A">
        <w:rPr>
          <w:rFonts w:ascii="Calibri" w:eastAsia="Times New Roman" w:hAnsi="Calibri" w:cs="Times New Roman"/>
          <w:noProof/>
        </w:rPr>
        <w:t>a</w:t>
      </w:r>
      <w:r w:rsidRPr="00481147">
        <w:rPr>
          <w:rFonts w:ascii="Calibri" w:eastAsia="Times New Roman" w:hAnsi="Calibri" w:cs="Times New Roman"/>
          <w:noProof/>
        </w:rPr>
        <w:t xml:space="preserve">pplications of </w:t>
      </w:r>
      <w:r w:rsidR="00E1264A">
        <w:rPr>
          <w:rFonts w:ascii="Calibri" w:eastAsia="Times New Roman" w:hAnsi="Calibri" w:cs="Times New Roman"/>
          <w:noProof/>
        </w:rPr>
        <w:t>c</w:t>
      </w:r>
      <w:r w:rsidRPr="00481147">
        <w:rPr>
          <w:rFonts w:ascii="Calibri" w:eastAsia="Times New Roman" w:hAnsi="Calibri" w:cs="Times New Roman"/>
          <w:noProof/>
        </w:rPr>
        <w:t xml:space="preserve">linical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MR Spectroscopy. J Nucl Med. 2008;49(3):341–4. </w:t>
      </w:r>
    </w:p>
    <w:p w14:paraId="2097D3F1"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83. </w:t>
      </w:r>
      <w:r w:rsidRPr="00481147">
        <w:rPr>
          <w:rFonts w:ascii="Calibri" w:eastAsia="Times New Roman" w:hAnsi="Calibri" w:cs="Times New Roman"/>
          <w:noProof/>
        </w:rPr>
        <w:tab/>
        <w:t xml:space="preserve">Gallagher FA, Kettunen MI, Brindle KM. Biomedical applications of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magnetic resonance imaging. Prog Nucl Magn Reson Spectrosc. 2009;55(4):285–95. </w:t>
      </w:r>
    </w:p>
    <w:p w14:paraId="7BAA97F1"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84. </w:t>
      </w:r>
      <w:r w:rsidRPr="00481147">
        <w:rPr>
          <w:rFonts w:ascii="Calibri" w:eastAsia="Times New Roman" w:hAnsi="Calibri" w:cs="Times New Roman"/>
          <w:noProof/>
        </w:rPr>
        <w:tab/>
        <w:t xml:space="preserve">Golman K, Zandt RI, Lerche M, Pehrson R, Ardenkjaer-Larsen JH. Metabolic imaging by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 magnetic resonance imaging for in vivo tumor diagnosis. Cancer Res. 2006;66(22):10855–60. </w:t>
      </w:r>
    </w:p>
    <w:p w14:paraId="5A93FF1F"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85. </w:t>
      </w:r>
      <w:r w:rsidRPr="00481147">
        <w:rPr>
          <w:rFonts w:ascii="Calibri" w:eastAsia="Times New Roman" w:hAnsi="Calibri" w:cs="Times New Roman"/>
          <w:noProof/>
        </w:rPr>
        <w:tab/>
        <w:t>Gutte H, Hansen AE, Henriksen ST, Johannesen HH, Ardenkjaer-Larsen J, Vignaud A, et al. Simultaneous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)C-pyruvate MRI and (</w:t>
      </w:r>
      <w:r w:rsidRPr="001C7013">
        <w:rPr>
          <w:rFonts w:ascii="Calibri" w:eastAsia="Times New Roman" w:hAnsi="Calibri" w:cs="Times New Roman"/>
          <w:noProof/>
          <w:vertAlign w:val="superscript"/>
        </w:rPr>
        <w:t>18</w:t>
      </w:r>
      <w:r w:rsidRPr="00481147">
        <w:rPr>
          <w:rFonts w:ascii="Calibri" w:eastAsia="Times New Roman" w:hAnsi="Calibri" w:cs="Times New Roman"/>
          <w:noProof/>
        </w:rPr>
        <w:t xml:space="preserve">)F-FDG-PET in cancer (hyperPET): feasibility of a new imaging concept using a clinical PET/MRI scanner. Am J Nucl Med Mol Imaging. 2015;5(1):38–45. </w:t>
      </w:r>
    </w:p>
    <w:p w14:paraId="7AAF2ACA"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86. </w:t>
      </w:r>
      <w:r w:rsidRPr="00481147">
        <w:rPr>
          <w:rFonts w:ascii="Calibri" w:eastAsia="Times New Roman" w:hAnsi="Calibri" w:cs="Times New Roman"/>
          <w:noProof/>
        </w:rPr>
        <w:tab/>
        <w:t xml:space="preserve">Gutte H, Hansen AE, Larsen MME, Rahbek S, Henriksen ST, Johannesen HH, et al. Simultaneous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C-pyruvate MRI and </w:t>
      </w:r>
      <w:r w:rsidRPr="001C7013">
        <w:rPr>
          <w:rFonts w:ascii="Calibri" w:eastAsia="Times New Roman" w:hAnsi="Calibri" w:cs="Times New Roman"/>
          <w:noProof/>
          <w:vertAlign w:val="superscript"/>
        </w:rPr>
        <w:t>18</w:t>
      </w:r>
      <w:r w:rsidRPr="00481147">
        <w:rPr>
          <w:rFonts w:ascii="Calibri" w:eastAsia="Times New Roman" w:hAnsi="Calibri" w:cs="Times New Roman"/>
          <w:noProof/>
        </w:rPr>
        <w:t xml:space="preserve">F-FDG PET (HyperPET) in 10 dogs with cancer. J Nucl Med. 2015;56(11):1786–92. </w:t>
      </w:r>
    </w:p>
    <w:p w14:paraId="2D09821E" w14:textId="77777777" w:rsidR="00481147" w:rsidRPr="00481147" w:rsidRDefault="00481147" w:rsidP="00481147">
      <w:pPr>
        <w:widowControl w:val="0"/>
        <w:autoSpaceDE w:val="0"/>
        <w:autoSpaceDN w:val="0"/>
        <w:adjustRightInd w:val="0"/>
        <w:spacing w:line="360" w:lineRule="auto"/>
        <w:ind w:left="640" w:hanging="640"/>
        <w:rPr>
          <w:rFonts w:ascii="Calibri" w:eastAsia="Times New Roman" w:hAnsi="Calibri" w:cs="Times New Roman"/>
          <w:noProof/>
        </w:rPr>
      </w:pPr>
      <w:r w:rsidRPr="00481147">
        <w:rPr>
          <w:rFonts w:ascii="Calibri" w:eastAsia="Times New Roman" w:hAnsi="Calibri" w:cs="Times New Roman"/>
          <w:noProof/>
        </w:rPr>
        <w:t xml:space="preserve">87. </w:t>
      </w:r>
      <w:r w:rsidRPr="00481147">
        <w:rPr>
          <w:rFonts w:ascii="Calibri" w:eastAsia="Times New Roman" w:hAnsi="Calibri" w:cs="Times New Roman"/>
          <w:noProof/>
        </w:rPr>
        <w:tab/>
        <w:t xml:space="preserve">Gutte H, Hansen A, Larsen M, Rahbek S, Johannesen H, Ardenkjaer-Larsen J, et al. In vivo phenotyping of tumor metabolism in a canine cancer patient with simultaneous </w:t>
      </w:r>
      <w:r w:rsidRPr="001C7013">
        <w:rPr>
          <w:rFonts w:ascii="Calibri" w:eastAsia="Times New Roman" w:hAnsi="Calibri" w:cs="Times New Roman"/>
          <w:noProof/>
          <w:vertAlign w:val="superscript"/>
        </w:rPr>
        <w:t>18</w:t>
      </w:r>
      <w:r w:rsidRPr="00481147">
        <w:rPr>
          <w:rFonts w:ascii="Calibri" w:eastAsia="Times New Roman" w:hAnsi="Calibri" w:cs="Times New Roman"/>
          <w:noProof/>
        </w:rPr>
        <w:t xml:space="preserve">F-FDG-PET and hyperpolarized </w:t>
      </w:r>
      <w:r w:rsidRPr="001C7013">
        <w:rPr>
          <w:rFonts w:ascii="Calibri" w:eastAsia="Times New Roman" w:hAnsi="Calibri" w:cs="Times New Roman"/>
          <w:noProof/>
          <w:vertAlign w:val="superscript"/>
        </w:rPr>
        <w:t>13</w:t>
      </w:r>
      <w:r w:rsidRPr="00481147">
        <w:rPr>
          <w:rFonts w:ascii="Calibri" w:eastAsia="Times New Roman" w:hAnsi="Calibri" w:cs="Times New Roman"/>
          <w:noProof/>
        </w:rPr>
        <w:t xml:space="preserve">C-pyruvate Magnetic Resonance Spectroscopic Imaging (hyperPET): mismatch demonstrates that FDG may not always reflect the Warburg effect. Diagnostics. 2015;5(3):287–9. </w:t>
      </w:r>
    </w:p>
    <w:p w14:paraId="60D180C1" w14:textId="77777777" w:rsidR="00481147" w:rsidRPr="00481147" w:rsidRDefault="00481147" w:rsidP="00481147">
      <w:pPr>
        <w:widowControl w:val="0"/>
        <w:autoSpaceDE w:val="0"/>
        <w:autoSpaceDN w:val="0"/>
        <w:adjustRightInd w:val="0"/>
        <w:spacing w:line="360" w:lineRule="auto"/>
        <w:ind w:left="640" w:hanging="640"/>
        <w:rPr>
          <w:rFonts w:ascii="Calibri" w:hAnsi="Calibri"/>
          <w:noProof/>
        </w:rPr>
      </w:pPr>
      <w:r w:rsidRPr="00481147">
        <w:rPr>
          <w:rFonts w:ascii="Calibri" w:eastAsia="Times New Roman" w:hAnsi="Calibri" w:cs="Times New Roman"/>
          <w:noProof/>
        </w:rPr>
        <w:t xml:space="preserve">88. </w:t>
      </w:r>
      <w:r w:rsidRPr="00481147">
        <w:rPr>
          <w:rFonts w:ascii="Calibri" w:eastAsia="Times New Roman" w:hAnsi="Calibri" w:cs="Times New Roman"/>
          <w:noProof/>
        </w:rPr>
        <w:tab/>
        <w:t xml:space="preserve">Galldiks N, Law I, Pope WB, Arbizu J, Langen KJ. The use of amino acid PET and conventional MRI for monitoring of brain tumor therapy. NeuroImage Clin. 2017;13:386–94. </w:t>
      </w:r>
    </w:p>
    <w:p w14:paraId="67DD85F2" w14:textId="7C0066A5" w:rsidR="00727B0F" w:rsidRPr="000D72AC" w:rsidRDefault="00727B0F" w:rsidP="00481147">
      <w:pPr>
        <w:widowControl w:val="0"/>
        <w:autoSpaceDE w:val="0"/>
        <w:autoSpaceDN w:val="0"/>
        <w:adjustRightInd w:val="0"/>
        <w:spacing w:line="360" w:lineRule="auto"/>
        <w:ind w:left="640" w:hanging="640"/>
      </w:pPr>
      <w:r w:rsidRPr="000D72AC">
        <w:fldChar w:fldCharType="end"/>
      </w:r>
    </w:p>
    <w:p w14:paraId="08D14636" w14:textId="77777777" w:rsidR="00CE0B0F" w:rsidRPr="000D72AC" w:rsidRDefault="00CE0B0F" w:rsidP="001B4024">
      <w:pPr>
        <w:spacing w:line="360" w:lineRule="auto"/>
        <w:jc w:val="both"/>
        <w:sectPr w:rsidR="00CE0B0F" w:rsidRPr="000D72AC" w:rsidSect="004F4AC5">
          <w:pgSz w:w="11900" w:h="16840"/>
          <w:pgMar w:top="1440" w:right="1440" w:bottom="1440" w:left="1440" w:header="708" w:footer="708" w:gutter="0"/>
          <w:cols w:space="708"/>
          <w:docGrid w:linePitch="360"/>
        </w:sectPr>
      </w:pPr>
    </w:p>
    <w:p w14:paraId="2A705AB2" w14:textId="7AD80DAB" w:rsidR="00DD609A" w:rsidRDefault="00DD609A" w:rsidP="001B4024">
      <w:pPr>
        <w:spacing w:line="360" w:lineRule="auto"/>
        <w:jc w:val="both"/>
        <w:rPr>
          <w:b/>
        </w:rPr>
      </w:pPr>
      <w:r>
        <w:rPr>
          <w:b/>
        </w:rPr>
        <w:lastRenderedPageBreak/>
        <w:t>Tables</w:t>
      </w:r>
    </w:p>
    <w:tbl>
      <w:tblPr>
        <w:tblW w:w="9360" w:type="dxa"/>
        <w:tblCellMar>
          <w:top w:w="15" w:type="dxa"/>
          <w:left w:w="15" w:type="dxa"/>
          <w:bottom w:w="15" w:type="dxa"/>
          <w:right w:w="15" w:type="dxa"/>
        </w:tblCellMar>
        <w:tblLook w:val="04A0" w:firstRow="1" w:lastRow="0" w:firstColumn="1" w:lastColumn="0" w:noHBand="0" w:noVBand="1"/>
      </w:tblPr>
      <w:tblGrid>
        <w:gridCol w:w="4243"/>
        <w:gridCol w:w="5117"/>
      </w:tblGrid>
      <w:tr w:rsidR="00DD609A" w:rsidRPr="000D72AC" w14:paraId="1F231DB3" w14:textId="77777777" w:rsidTr="00830E7C">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146945" w14:textId="77777777" w:rsidR="00DD609A" w:rsidRPr="000D72AC" w:rsidRDefault="00DD609A" w:rsidP="00830E7C">
            <w:pPr>
              <w:jc w:val="both"/>
              <w:rPr>
                <w:rFonts w:ascii="Arial" w:hAnsi="Arial" w:cs="Arial"/>
                <w:lang w:eastAsia="en-GB"/>
              </w:rPr>
            </w:pPr>
            <w:r w:rsidRPr="000D72AC">
              <w:rPr>
                <w:rFonts w:ascii="Arial" w:eastAsia="Calibri" w:hAnsi="Arial" w:cs="Arial"/>
                <w:b/>
                <w:bCs/>
                <w:color w:val="000000"/>
                <w:sz w:val="22"/>
                <w:szCs w:val="22"/>
                <w:u w:val="single"/>
                <w:lang w:eastAsia="en-GB"/>
              </w:rPr>
              <w:t>Tracer</w:t>
            </w:r>
            <w:r w:rsidRPr="000D72AC">
              <w:rPr>
                <w:rFonts w:ascii="Arial" w:hAnsi="Arial" w:cs="Arial"/>
                <w:b/>
                <w:bCs/>
                <w:color w:val="000000"/>
                <w:sz w:val="22"/>
                <w:szCs w:val="22"/>
                <w:u w:val="single"/>
                <w:lang w:eastAsia="en-GB"/>
              </w:rPr>
              <w:t xml:space="preserve"> </w:t>
            </w:r>
            <w:r w:rsidRPr="000D72AC">
              <w:rPr>
                <w:rFonts w:ascii="Arial" w:eastAsia="Calibri" w:hAnsi="Arial" w:cs="Arial"/>
                <w:b/>
                <w:bCs/>
                <w:color w:val="000000"/>
                <w:sz w:val="22"/>
                <w:szCs w:val="22"/>
                <w:u w:val="single"/>
                <w:lang w:eastAsia="en-GB"/>
              </w:rPr>
              <w:t>Name</w:t>
            </w:r>
          </w:p>
        </w:tc>
        <w:tc>
          <w:tcPr>
            <w:tcW w:w="51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172CEC" w14:textId="77777777" w:rsidR="00DD609A" w:rsidRPr="000D72AC" w:rsidRDefault="00DD609A" w:rsidP="00830E7C">
            <w:pPr>
              <w:jc w:val="both"/>
              <w:rPr>
                <w:rFonts w:ascii="Arial" w:hAnsi="Arial" w:cs="Arial"/>
                <w:lang w:eastAsia="en-GB"/>
              </w:rPr>
            </w:pPr>
            <w:r w:rsidRPr="000D72AC">
              <w:rPr>
                <w:rFonts w:ascii="Arial" w:eastAsia="Calibri" w:hAnsi="Arial" w:cs="Arial"/>
                <w:b/>
                <w:bCs/>
                <w:color w:val="000000"/>
                <w:sz w:val="22"/>
                <w:szCs w:val="22"/>
                <w:u w:val="single"/>
                <w:lang w:eastAsia="en-GB"/>
              </w:rPr>
              <w:t>Biological</w:t>
            </w:r>
            <w:r w:rsidRPr="000D72AC">
              <w:rPr>
                <w:rFonts w:ascii="Arial" w:hAnsi="Arial" w:cs="Arial"/>
                <w:b/>
                <w:bCs/>
                <w:color w:val="000000"/>
                <w:sz w:val="22"/>
                <w:szCs w:val="22"/>
                <w:u w:val="single"/>
                <w:lang w:eastAsia="en-GB"/>
              </w:rPr>
              <w:t xml:space="preserve"> </w:t>
            </w:r>
            <w:r w:rsidRPr="000D72AC">
              <w:rPr>
                <w:rFonts w:ascii="Arial" w:eastAsia="Calibri" w:hAnsi="Arial" w:cs="Arial"/>
                <w:b/>
                <w:bCs/>
                <w:color w:val="000000"/>
                <w:sz w:val="22"/>
                <w:szCs w:val="22"/>
                <w:u w:val="single"/>
                <w:lang w:eastAsia="en-GB"/>
              </w:rPr>
              <w:t>Relevance</w:t>
            </w:r>
          </w:p>
        </w:tc>
      </w:tr>
      <w:tr w:rsidR="00DD609A" w:rsidRPr="000D72AC" w14:paraId="347E187B" w14:textId="77777777" w:rsidTr="00830E7C">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371157" w14:textId="692D2516" w:rsidR="00DD609A" w:rsidRPr="000D72AC" w:rsidRDefault="00DD609A" w:rsidP="00830E7C">
            <w:pPr>
              <w:jc w:val="both"/>
              <w:rPr>
                <w:rFonts w:ascii="Arial" w:hAnsi="Arial" w:cs="Arial"/>
                <w:lang w:eastAsia="en-GB"/>
              </w:rPr>
            </w:pPr>
            <w:r w:rsidRPr="000D72AC">
              <w:rPr>
                <w:rFonts w:ascii="Arial" w:hAnsi="Arial" w:cs="Arial"/>
                <w:color w:val="000000"/>
                <w:sz w:val="22"/>
                <w:szCs w:val="22"/>
                <w:lang w:eastAsia="en-GB"/>
              </w:rPr>
              <w:t>[1-</w:t>
            </w:r>
            <w:r w:rsidRPr="000D72AC">
              <w:rPr>
                <w:rFonts w:ascii="Arial" w:hAnsi="Arial" w:cs="Arial"/>
                <w:color w:val="000000"/>
                <w:sz w:val="22"/>
                <w:szCs w:val="22"/>
                <w:vertAlign w:val="superscript"/>
                <w:lang w:eastAsia="en-GB"/>
              </w:rPr>
              <w:t>13</w:t>
            </w:r>
            <w:proofErr w:type="gramStart"/>
            <w:r w:rsidRPr="000D72AC">
              <w:rPr>
                <w:rFonts w:ascii="Arial" w:eastAsia="Calibri" w:hAnsi="Arial" w:cs="Arial"/>
                <w:color w:val="000000"/>
                <w:sz w:val="22"/>
                <w:szCs w:val="22"/>
                <w:lang w:eastAsia="en-GB"/>
              </w:rPr>
              <w:t>C</w:t>
            </w:r>
            <w:r w:rsidRPr="000D72AC">
              <w:rPr>
                <w:rFonts w:ascii="Arial" w:hAnsi="Arial" w:cs="Arial"/>
                <w:color w:val="000000"/>
                <w:sz w:val="22"/>
                <w:szCs w:val="22"/>
                <w:lang w:eastAsia="en-GB"/>
              </w:rPr>
              <w:t>]</w:t>
            </w:r>
            <w:r w:rsidRPr="000D72AC">
              <w:rPr>
                <w:rFonts w:ascii="Arial" w:eastAsia="Calibri" w:hAnsi="Arial" w:cs="Arial"/>
                <w:color w:val="000000"/>
                <w:sz w:val="22"/>
                <w:szCs w:val="22"/>
                <w:lang w:eastAsia="en-GB"/>
              </w:rPr>
              <w:t>Pyruvate</w:t>
            </w:r>
            <w:proofErr w:type="gramEnd"/>
          </w:p>
        </w:tc>
        <w:tc>
          <w:tcPr>
            <w:tcW w:w="51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A1065E" w14:textId="77777777" w:rsidR="00DD609A" w:rsidRPr="000D72AC" w:rsidRDefault="00DD609A" w:rsidP="00830E7C">
            <w:pPr>
              <w:jc w:val="both"/>
              <w:rPr>
                <w:rFonts w:ascii="Arial" w:hAnsi="Arial" w:cs="Arial"/>
                <w:lang w:eastAsia="en-GB"/>
              </w:rPr>
            </w:pPr>
            <w:r w:rsidRPr="000D72AC">
              <w:rPr>
                <w:rFonts w:ascii="Arial" w:eastAsia="Calibri" w:hAnsi="Arial" w:cs="Arial"/>
                <w:color w:val="000000"/>
                <w:sz w:val="22"/>
                <w:szCs w:val="22"/>
                <w:lang w:eastAsia="en-GB"/>
              </w:rPr>
              <w:t>LDH</w:t>
            </w:r>
            <w:r w:rsidRPr="000D72AC">
              <w:rPr>
                <w:rFonts w:ascii="Arial" w:hAnsi="Arial" w:cs="Arial"/>
                <w:color w:val="000000"/>
                <w:sz w:val="22"/>
                <w:szCs w:val="22"/>
                <w:lang w:eastAsia="en-GB"/>
              </w:rPr>
              <w:t xml:space="preserve"> </w:t>
            </w:r>
            <w:r w:rsidRPr="000D72AC">
              <w:rPr>
                <w:rFonts w:ascii="Arial" w:eastAsia="Calibri" w:hAnsi="Arial" w:cs="Arial"/>
                <w:color w:val="000000"/>
                <w:sz w:val="22"/>
                <w:szCs w:val="22"/>
                <w:lang w:eastAsia="en-GB"/>
              </w:rPr>
              <w:t>and</w:t>
            </w:r>
            <w:r w:rsidRPr="000D72AC">
              <w:rPr>
                <w:rFonts w:ascii="Arial" w:hAnsi="Arial" w:cs="Arial"/>
                <w:color w:val="000000"/>
                <w:sz w:val="22"/>
                <w:szCs w:val="22"/>
                <w:lang w:eastAsia="en-GB"/>
              </w:rPr>
              <w:t xml:space="preserve"> </w:t>
            </w:r>
            <w:r w:rsidRPr="000D72AC">
              <w:rPr>
                <w:rFonts w:ascii="Arial" w:eastAsia="Calibri" w:hAnsi="Arial" w:cs="Arial"/>
                <w:color w:val="000000"/>
                <w:sz w:val="22"/>
                <w:szCs w:val="22"/>
                <w:lang w:eastAsia="en-GB"/>
              </w:rPr>
              <w:t>PDH</w:t>
            </w:r>
            <w:r w:rsidRPr="000D72AC">
              <w:rPr>
                <w:rFonts w:ascii="Arial" w:hAnsi="Arial" w:cs="Arial"/>
                <w:color w:val="000000"/>
                <w:sz w:val="22"/>
                <w:szCs w:val="22"/>
                <w:lang w:eastAsia="en-GB"/>
              </w:rPr>
              <w:t xml:space="preserve"> </w:t>
            </w:r>
            <w:r w:rsidRPr="000D72AC">
              <w:rPr>
                <w:rFonts w:ascii="Arial" w:eastAsia="Calibri" w:hAnsi="Arial" w:cs="Arial"/>
                <w:color w:val="000000"/>
                <w:sz w:val="22"/>
                <w:szCs w:val="22"/>
                <w:lang w:eastAsia="en-GB"/>
              </w:rPr>
              <w:t>activity</w:t>
            </w:r>
          </w:p>
        </w:tc>
      </w:tr>
      <w:tr w:rsidR="00DD609A" w:rsidRPr="000D72AC" w14:paraId="0E0C3DB2" w14:textId="77777777" w:rsidTr="00830E7C">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7DFE0C" w14:textId="03F4BCE6" w:rsidR="00DD609A" w:rsidRPr="000D72AC" w:rsidRDefault="00DD609A" w:rsidP="00830E7C">
            <w:pPr>
              <w:jc w:val="both"/>
              <w:rPr>
                <w:rFonts w:ascii="Arial" w:hAnsi="Arial" w:cs="Arial"/>
                <w:lang w:eastAsia="en-GB"/>
              </w:rPr>
            </w:pPr>
            <w:r w:rsidRPr="000D72AC">
              <w:rPr>
                <w:rFonts w:ascii="Arial" w:hAnsi="Arial" w:cs="Arial"/>
                <w:color w:val="000000"/>
                <w:sz w:val="22"/>
                <w:szCs w:val="22"/>
                <w:lang w:eastAsia="en-GB"/>
              </w:rPr>
              <w:t>[2-</w:t>
            </w:r>
            <w:r w:rsidRPr="000D72AC">
              <w:rPr>
                <w:rFonts w:ascii="Arial" w:hAnsi="Arial" w:cs="Arial"/>
                <w:color w:val="000000"/>
                <w:sz w:val="22"/>
                <w:szCs w:val="22"/>
                <w:vertAlign w:val="superscript"/>
                <w:lang w:eastAsia="en-GB"/>
              </w:rPr>
              <w:t>13</w:t>
            </w:r>
            <w:proofErr w:type="gramStart"/>
            <w:r w:rsidRPr="000D72AC">
              <w:rPr>
                <w:rFonts w:ascii="Arial" w:eastAsia="Calibri" w:hAnsi="Arial" w:cs="Arial"/>
                <w:color w:val="000000"/>
                <w:sz w:val="22"/>
                <w:szCs w:val="22"/>
                <w:lang w:eastAsia="en-GB"/>
              </w:rPr>
              <w:t>C</w:t>
            </w:r>
            <w:r w:rsidRPr="000D72AC">
              <w:rPr>
                <w:rFonts w:ascii="Arial" w:hAnsi="Arial" w:cs="Arial"/>
                <w:color w:val="000000"/>
                <w:sz w:val="22"/>
                <w:szCs w:val="22"/>
                <w:lang w:eastAsia="en-GB"/>
              </w:rPr>
              <w:t>]</w:t>
            </w:r>
            <w:r w:rsidRPr="000D72AC">
              <w:rPr>
                <w:rFonts w:ascii="Arial" w:eastAsia="Calibri" w:hAnsi="Arial" w:cs="Arial"/>
                <w:color w:val="000000"/>
                <w:sz w:val="22"/>
                <w:szCs w:val="22"/>
                <w:lang w:eastAsia="en-GB"/>
              </w:rPr>
              <w:t>Pyruvate</w:t>
            </w:r>
            <w:proofErr w:type="gramEnd"/>
          </w:p>
        </w:tc>
        <w:tc>
          <w:tcPr>
            <w:tcW w:w="51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880A9E" w14:textId="2592FFA2" w:rsidR="00DD609A" w:rsidRPr="000D72AC" w:rsidRDefault="007E0F51" w:rsidP="00830E7C">
            <w:pPr>
              <w:jc w:val="both"/>
              <w:rPr>
                <w:rFonts w:ascii="Arial" w:hAnsi="Arial" w:cs="Arial"/>
                <w:lang w:eastAsia="en-GB"/>
              </w:rPr>
            </w:pPr>
            <w:r>
              <w:rPr>
                <w:rFonts w:ascii="Arial" w:eastAsia="Calibri" w:hAnsi="Arial" w:cs="Arial"/>
                <w:color w:val="000000"/>
                <w:sz w:val="22"/>
                <w:szCs w:val="22"/>
                <w:lang w:eastAsia="en-GB"/>
              </w:rPr>
              <w:t xml:space="preserve">LDH, PDH, </w:t>
            </w:r>
            <w:r w:rsidR="00DD609A" w:rsidRPr="000D72AC">
              <w:rPr>
                <w:rFonts w:ascii="Arial" w:eastAsia="Calibri" w:hAnsi="Arial" w:cs="Arial"/>
                <w:color w:val="000000"/>
                <w:sz w:val="22"/>
                <w:szCs w:val="22"/>
                <w:lang w:eastAsia="en-GB"/>
              </w:rPr>
              <w:t>TCA</w:t>
            </w:r>
            <w:r w:rsidR="00DD609A" w:rsidRPr="000D72AC">
              <w:rPr>
                <w:rFonts w:ascii="Arial" w:hAnsi="Arial" w:cs="Arial"/>
                <w:color w:val="000000"/>
                <w:sz w:val="22"/>
                <w:szCs w:val="22"/>
                <w:lang w:eastAsia="en-GB"/>
              </w:rPr>
              <w:t xml:space="preserve"> </w:t>
            </w:r>
            <w:r w:rsidR="00DD609A" w:rsidRPr="000D72AC">
              <w:rPr>
                <w:rFonts w:ascii="Arial" w:eastAsia="Calibri" w:hAnsi="Arial" w:cs="Arial"/>
                <w:color w:val="000000"/>
                <w:sz w:val="22"/>
                <w:szCs w:val="22"/>
                <w:lang w:eastAsia="en-GB"/>
              </w:rPr>
              <w:t>activity</w:t>
            </w:r>
          </w:p>
        </w:tc>
      </w:tr>
      <w:tr w:rsidR="007E0F51" w:rsidRPr="000D72AC" w14:paraId="55CDBDA1" w14:textId="77777777" w:rsidTr="00830E7C">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373969" w14:textId="5FA7FAAC" w:rsidR="007E0F51" w:rsidRPr="009246AE" w:rsidRDefault="007E0F51" w:rsidP="00830E7C">
            <w:pPr>
              <w:jc w:val="both"/>
              <w:rPr>
                <w:rFonts w:ascii="Arial" w:hAnsi="Arial" w:cs="Arial"/>
                <w:color w:val="000000"/>
                <w:sz w:val="22"/>
                <w:szCs w:val="22"/>
                <w:lang w:eastAsia="en-GB"/>
              </w:rPr>
            </w:pPr>
            <w:r w:rsidRPr="000D72AC">
              <w:rPr>
                <w:rFonts w:ascii="Arial" w:hAnsi="Arial" w:cs="Arial"/>
                <w:color w:val="000000"/>
                <w:sz w:val="22"/>
                <w:szCs w:val="22"/>
                <w:lang w:eastAsia="en-GB"/>
              </w:rPr>
              <w:t>[1-</w:t>
            </w:r>
            <w:r w:rsidRPr="000D72AC">
              <w:rPr>
                <w:rFonts w:ascii="Arial" w:hAnsi="Arial" w:cs="Arial"/>
                <w:color w:val="000000"/>
                <w:sz w:val="22"/>
                <w:szCs w:val="22"/>
                <w:vertAlign w:val="superscript"/>
                <w:lang w:eastAsia="en-GB"/>
              </w:rPr>
              <w:t>13</w:t>
            </w:r>
            <w:proofErr w:type="gramStart"/>
            <w:r w:rsidRPr="000D72AC">
              <w:rPr>
                <w:rFonts w:ascii="Arial" w:eastAsia="Calibri" w:hAnsi="Arial" w:cs="Arial"/>
                <w:color w:val="000000"/>
                <w:sz w:val="22"/>
                <w:szCs w:val="22"/>
                <w:lang w:eastAsia="en-GB"/>
              </w:rPr>
              <w:t>C</w:t>
            </w:r>
            <w:r w:rsidRPr="000D72AC">
              <w:rPr>
                <w:rFonts w:ascii="Arial" w:hAnsi="Arial" w:cs="Arial"/>
                <w:color w:val="000000"/>
                <w:sz w:val="22"/>
                <w:szCs w:val="22"/>
                <w:lang w:eastAsia="en-GB"/>
              </w:rPr>
              <w:t>]</w:t>
            </w:r>
            <w:r>
              <w:rPr>
                <w:rFonts w:ascii="Arial" w:eastAsia="Calibri" w:hAnsi="Arial" w:cs="Arial"/>
                <w:color w:val="000000"/>
                <w:sz w:val="22"/>
                <w:szCs w:val="22"/>
                <w:lang w:eastAsia="en-GB"/>
              </w:rPr>
              <w:t>Lact</w:t>
            </w:r>
            <w:r w:rsidRPr="000D72AC">
              <w:rPr>
                <w:rFonts w:ascii="Arial" w:eastAsia="Calibri" w:hAnsi="Arial" w:cs="Arial"/>
                <w:color w:val="000000"/>
                <w:sz w:val="22"/>
                <w:szCs w:val="22"/>
                <w:lang w:eastAsia="en-GB"/>
              </w:rPr>
              <w:t>ate</w:t>
            </w:r>
            <w:proofErr w:type="gramEnd"/>
          </w:p>
        </w:tc>
        <w:tc>
          <w:tcPr>
            <w:tcW w:w="51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A234BA" w14:textId="4A489251" w:rsidR="007E0F51" w:rsidRDefault="007E0F51" w:rsidP="00830E7C">
            <w:pPr>
              <w:jc w:val="both"/>
              <w:rPr>
                <w:rFonts w:ascii="Arial" w:eastAsia="Calibri" w:hAnsi="Arial" w:cs="Arial"/>
                <w:color w:val="000000"/>
                <w:sz w:val="22"/>
                <w:szCs w:val="22"/>
                <w:lang w:eastAsia="en-GB"/>
              </w:rPr>
            </w:pPr>
            <w:r>
              <w:rPr>
                <w:rFonts w:ascii="Arial" w:eastAsia="Calibri" w:hAnsi="Arial" w:cs="Arial"/>
                <w:color w:val="000000"/>
                <w:sz w:val="22"/>
                <w:szCs w:val="22"/>
                <w:lang w:eastAsia="en-GB"/>
              </w:rPr>
              <w:t>LDH activity</w:t>
            </w:r>
          </w:p>
        </w:tc>
      </w:tr>
      <w:tr w:rsidR="00DD609A" w:rsidRPr="000D72AC" w14:paraId="7A4A3925" w14:textId="77777777" w:rsidTr="00830E7C">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A79788" w14:textId="5EFF795A" w:rsidR="00DD609A" w:rsidRPr="000D72AC" w:rsidRDefault="00DD609A" w:rsidP="00830E7C">
            <w:pPr>
              <w:jc w:val="both"/>
              <w:rPr>
                <w:rFonts w:ascii="Arial" w:hAnsi="Arial" w:cs="Arial"/>
                <w:color w:val="000000"/>
                <w:sz w:val="22"/>
                <w:szCs w:val="22"/>
                <w:lang w:eastAsia="en-GB"/>
              </w:rPr>
            </w:pPr>
            <w:r w:rsidRPr="009246AE">
              <w:rPr>
                <w:rFonts w:ascii="Arial" w:hAnsi="Arial" w:cs="Arial"/>
                <w:color w:val="000000"/>
                <w:sz w:val="22"/>
                <w:szCs w:val="22"/>
                <w:lang w:eastAsia="en-GB"/>
              </w:rPr>
              <w:t>[1-</w:t>
            </w:r>
            <w:r w:rsidRPr="009246AE">
              <w:rPr>
                <w:rFonts w:ascii="Arial" w:hAnsi="Arial" w:cs="Arial"/>
                <w:color w:val="000000"/>
                <w:sz w:val="22"/>
                <w:szCs w:val="22"/>
                <w:vertAlign w:val="superscript"/>
                <w:lang w:eastAsia="en-GB"/>
              </w:rPr>
              <w:t>13</w:t>
            </w:r>
            <w:proofErr w:type="gramStart"/>
            <w:r w:rsidRPr="009246AE">
              <w:rPr>
                <w:rFonts w:ascii="Arial" w:hAnsi="Arial" w:cs="Arial"/>
                <w:color w:val="000000"/>
                <w:sz w:val="22"/>
                <w:szCs w:val="22"/>
                <w:lang w:eastAsia="en-GB"/>
              </w:rPr>
              <w:t>C]</w:t>
            </w:r>
            <w:r>
              <w:rPr>
                <w:rFonts w:ascii="Arial" w:hAnsi="Arial" w:cs="Arial"/>
                <w:color w:val="000000"/>
                <w:sz w:val="22"/>
                <w:szCs w:val="22"/>
                <w:lang w:eastAsia="en-GB"/>
              </w:rPr>
              <w:t>A</w:t>
            </w:r>
            <w:r w:rsidRPr="009246AE">
              <w:rPr>
                <w:rFonts w:ascii="Arial" w:hAnsi="Arial" w:cs="Arial"/>
                <w:color w:val="000000"/>
                <w:sz w:val="22"/>
                <w:szCs w:val="22"/>
                <w:lang w:eastAsia="en-GB"/>
              </w:rPr>
              <w:t>cetate</w:t>
            </w:r>
            <w:proofErr w:type="gramEnd"/>
          </w:p>
        </w:tc>
        <w:tc>
          <w:tcPr>
            <w:tcW w:w="51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6CE2EB" w14:textId="2ECB124C" w:rsidR="00DD609A" w:rsidRPr="000D72AC" w:rsidRDefault="00DD609A" w:rsidP="00830E7C">
            <w:pPr>
              <w:jc w:val="both"/>
              <w:rPr>
                <w:rFonts w:ascii="Arial" w:eastAsia="Calibri" w:hAnsi="Arial" w:cs="Arial"/>
                <w:color w:val="000000"/>
                <w:sz w:val="22"/>
                <w:szCs w:val="22"/>
                <w:lang w:eastAsia="en-GB"/>
              </w:rPr>
            </w:pPr>
            <w:r>
              <w:rPr>
                <w:rFonts w:ascii="Arial" w:eastAsia="Calibri" w:hAnsi="Arial" w:cs="Arial"/>
                <w:color w:val="000000"/>
                <w:sz w:val="22"/>
                <w:szCs w:val="22"/>
                <w:lang w:eastAsia="en-GB"/>
              </w:rPr>
              <w:t>TCA activity and fatty acid oxidation</w:t>
            </w:r>
          </w:p>
        </w:tc>
      </w:tr>
      <w:tr w:rsidR="00DD609A" w:rsidRPr="000D72AC" w14:paraId="3656895F" w14:textId="77777777" w:rsidTr="00830E7C">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7F303D" w14:textId="09DF5B93" w:rsidR="00DD609A" w:rsidRPr="009246AE" w:rsidRDefault="00DD609A" w:rsidP="00830E7C">
            <w:pPr>
              <w:jc w:val="both"/>
              <w:rPr>
                <w:rFonts w:ascii="Arial" w:hAnsi="Arial" w:cs="Arial"/>
                <w:color w:val="000000"/>
                <w:sz w:val="22"/>
                <w:szCs w:val="22"/>
                <w:lang w:eastAsia="en-GB"/>
              </w:rPr>
            </w:pPr>
            <w:r w:rsidRPr="00766484">
              <w:rPr>
                <w:rFonts w:ascii="Arial" w:hAnsi="Arial" w:cs="Arial"/>
                <w:color w:val="000000"/>
                <w:sz w:val="22"/>
                <w:szCs w:val="22"/>
                <w:lang w:eastAsia="en-GB"/>
              </w:rPr>
              <w:t>[1-</w:t>
            </w:r>
            <w:r w:rsidRPr="00766484">
              <w:rPr>
                <w:rFonts w:ascii="Arial" w:hAnsi="Arial" w:cs="Arial"/>
                <w:color w:val="000000"/>
                <w:sz w:val="22"/>
                <w:szCs w:val="22"/>
                <w:vertAlign w:val="superscript"/>
                <w:lang w:eastAsia="en-GB"/>
              </w:rPr>
              <w:t>13</w:t>
            </w:r>
            <w:proofErr w:type="gramStart"/>
            <w:r w:rsidRPr="00766484">
              <w:rPr>
                <w:rFonts w:ascii="Arial" w:hAnsi="Arial" w:cs="Arial"/>
                <w:color w:val="000000"/>
                <w:sz w:val="22"/>
                <w:szCs w:val="22"/>
                <w:lang w:eastAsia="en-GB"/>
              </w:rPr>
              <w:t>C]</w:t>
            </w:r>
            <w:r>
              <w:rPr>
                <w:rFonts w:ascii="Arial" w:hAnsi="Arial" w:cs="Arial"/>
                <w:color w:val="000000"/>
                <w:sz w:val="22"/>
                <w:szCs w:val="22"/>
                <w:lang w:eastAsia="en-GB"/>
              </w:rPr>
              <w:t>G</w:t>
            </w:r>
            <w:r w:rsidRPr="00766484">
              <w:rPr>
                <w:rFonts w:ascii="Arial" w:hAnsi="Arial" w:cs="Arial"/>
                <w:color w:val="000000"/>
                <w:sz w:val="22"/>
                <w:szCs w:val="22"/>
                <w:lang w:eastAsia="en-GB"/>
              </w:rPr>
              <w:t>lutamine</w:t>
            </w:r>
            <w:proofErr w:type="gramEnd"/>
          </w:p>
        </w:tc>
        <w:tc>
          <w:tcPr>
            <w:tcW w:w="51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6A47F0" w14:textId="27FE850B" w:rsidR="00DD609A" w:rsidRDefault="00DD609A" w:rsidP="00176E67">
            <w:pPr>
              <w:jc w:val="both"/>
              <w:rPr>
                <w:rFonts w:ascii="Arial" w:eastAsia="Calibri" w:hAnsi="Arial" w:cs="Arial"/>
                <w:color w:val="000000"/>
                <w:sz w:val="22"/>
                <w:szCs w:val="22"/>
                <w:lang w:eastAsia="en-GB"/>
              </w:rPr>
            </w:pPr>
            <w:proofErr w:type="spellStart"/>
            <w:r>
              <w:rPr>
                <w:rFonts w:ascii="Arial" w:eastAsia="Calibri" w:hAnsi="Arial" w:cs="Arial"/>
                <w:color w:val="000000"/>
                <w:sz w:val="22"/>
                <w:szCs w:val="22"/>
                <w:lang w:eastAsia="en-GB"/>
              </w:rPr>
              <w:t>G</w:t>
            </w:r>
            <w:r w:rsidRPr="005D0DB5">
              <w:rPr>
                <w:rFonts w:ascii="Arial" w:eastAsia="Calibri" w:hAnsi="Arial" w:cs="Arial"/>
                <w:color w:val="000000"/>
                <w:sz w:val="22"/>
                <w:szCs w:val="22"/>
                <w:lang w:eastAsia="en-GB"/>
              </w:rPr>
              <w:t>lutaminolysis</w:t>
            </w:r>
            <w:proofErr w:type="spellEnd"/>
          </w:p>
        </w:tc>
      </w:tr>
      <w:tr w:rsidR="00DD609A" w:rsidRPr="000D72AC" w14:paraId="484EBD3F" w14:textId="77777777" w:rsidTr="00830E7C">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E0CA6B" w14:textId="6A42C8AA" w:rsidR="00DD609A" w:rsidRPr="000D72AC" w:rsidRDefault="00DD609A" w:rsidP="00830E7C">
            <w:pPr>
              <w:jc w:val="both"/>
              <w:rPr>
                <w:rFonts w:ascii="Arial" w:hAnsi="Arial" w:cs="Arial"/>
                <w:lang w:eastAsia="en-GB"/>
              </w:rPr>
            </w:pPr>
            <w:r w:rsidRPr="009246AE">
              <w:rPr>
                <w:rFonts w:ascii="Arial" w:hAnsi="Arial" w:cs="Arial"/>
                <w:color w:val="000000"/>
                <w:sz w:val="22"/>
                <w:szCs w:val="22"/>
                <w:lang w:eastAsia="en-GB"/>
              </w:rPr>
              <w:t>[</w:t>
            </w:r>
            <w:r w:rsidRPr="000D72AC">
              <w:rPr>
                <w:rFonts w:ascii="Arial" w:hAnsi="Arial" w:cs="Arial"/>
                <w:color w:val="000000"/>
                <w:sz w:val="22"/>
                <w:szCs w:val="22"/>
                <w:vertAlign w:val="superscript"/>
                <w:lang w:eastAsia="en-GB"/>
              </w:rPr>
              <w:t>13</w:t>
            </w:r>
            <w:proofErr w:type="gramStart"/>
            <w:r w:rsidRPr="000D72AC">
              <w:rPr>
                <w:rFonts w:ascii="Arial" w:eastAsia="Calibri" w:hAnsi="Arial" w:cs="Arial"/>
                <w:color w:val="000000"/>
                <w:sz w:val="22"/>
                <w:szCs w:val="22"/>
                <w:lang w:eastAsia="en-GB"/>
              </w:rPr>
              <w:t>C</w:t>
            </w:r>
            <w:r>
              <w:rPr>
                <w:rFonts w:ascii="Arial" w:eastAsia="Calibri" w:hAnsi="Arial" w:cs="Arial"/>
                <w:color w:val="000000"/>
                <w:sz w:val="22"/>
                <w:szCs w:val="22"/>
                <w:lang w:eastAsia="en-GB"/>
              </w:rPr>
              <w:t>]</w:t>
            </w:r>
            <w:r w:rsidRPr="000D72AC">
              <w:rPr>
                <w:rFonts w:ascii="Arial" w:eastAsia="Calibri" w:hAnsi="Arial" w:cs="Arial"/>
                <w:color w:val="000000"/>
                <w:sz w:val="22"/>
                <w:szCs w:val="22"/>
                <w:lang w:eastAsia="en-GB"/>
              </w:rPr>
              <w:t>Urea</w:t>
            </w:r>
            <w:proofErr w:type="gramEnd"/>
          </w:p>
        </w:tc>
        <w:tc>
          <w:tcPr>
            <w:tcW w:w="51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C23A98" w14:textId="77777777" w:rsidR="00DD609A" w:rsidRPr="000D72AC" w:rsidRDefault="00DD609A" w:rsidP="00830E7C">
            <w:pPr>
              <w:jc w:val="both"/>
              <w:rPr>
                <w:rFonts w:ascii="Arial" w:hAnsi="Arial" w:cs="Arial"/>
                <w:lang w:eastAsia="en-GB"/>
              </w:rPr>
            </w:pPr>
            <w:r w:rsidRPr="000D72AC">
              <w:rPr>
                <w:rFonts w:ascii="Arial" w:eastAsia="Calibri" w:hAnsi="Arial" w:cs="Arial"/>
                <w:color w:val="000000"/>
                <w:sz w:val="22"/>
                <w:szCs w:val="22"/>
                <w:lang w:eastAsia="en-GB"/>
              </w:rPr>
              <w:t>Tissue</w:t>
            </w:r>
            <w:r w:rsidRPr="000D72AC">
              <w:rPr>
                <w:rFonts w:ascii="Arial" w:hAnsi="Arial" w:cs="Arial"/>
                <w:color w:val="000000"/>
                <w:sz w:val="22"/>
                <w:szCs w:val="22"/>
                <w:lang w:eastAsia="en-GB"/>
              </w:rPr>
              <w:t xml:space="preserve"> </w:t>
            </w:r>
            <w:r w:rsidRPr="000D72AC">
              <w:rPr>
                <w:rFonts w:ascii="Arial" w:eastAsia="Calibri" w:hAnsi="Arial" w:cs="Arial"/>
                <w:color w:val="000000"/>
                <w:sz w:val="22"/>
                <w:szCs w:val="22"/>
                <w:lang w:eastAsia="en-GB"/>
              </w:rPr>
              <w:t>perfusion</w:t>
            </w:r>
          </w:p>
        </w:tc>
      </w:tr>
      <w:tr w:rsidR="00DD609A" w:rsidRPr="000D72AC" w14:paraId="2971F121" w14:textId="77777777" w:rsidTr="00830E7C">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6A77C8" w14:textId="755F7C4E" w:rsidR="00DD609A" w:rsidRPr="000D72AC" w:rsidRDefault="00DD609A" w:rsidP="00830E7C">
            <w:pPr>
              <w:jc w:val="both"/>
              <w:rPr>
                <w:rFonts w:ascii="Arial" w:hAnsi="Arial" w:cs="Arial"/>
                <w:lang w:eastAsia="en-GB"/>
              </w:rPr>
            </w:pPr>
            <w:r w:rsidRPr="000D72AC">
              <w:rPr>
                <w:rFonts w:ascii="Arial" w:hAnsi="Arial" w:cs="Arial"/>
                <w:color w:val="000000"/>
                <w:sz w:val="22"/>
                <w:szCs w:val="22"/>
                <w:lang w:eastAsia="en-GB"/>
              </w:rPr>
              <w:t>[1</w:t>
            </w:r>
            <w:r>
              <w:rPr>
                <w:rFonts w:ascii="Arial" w:hAnsi="Arial" w:cs="Arial"/>
                <w:color w:val="000000"/>
                <w:sz w:val="22"/>
                <w:szCs w:val="22"/>
                <w:lang w:eastAsia="en-GB"/>
              </w:rPr>
              <w:t>,4</w:t>
            </w:r>
            <w:r w:rsidRPr="000D72AC">
              <w:rPr>
                <w:rFonts w:ascii="Arial" w:hAnsi="Arial" w:cs="Arial"/>
                <w:color w:val="000000"/>
                <w:sz w:val="22"/>
                <w:szCs w:val="22"/>
                <w:lang w:eastAsia="en-GB"/>
              </w:rPr>
              <w:t>-</w:t>
            </w:r>
            <w:r w:rsidRPr="000D72AC">
              <w:rPr>
                <w:rFonts w:ascii="Arial" w:hAnsi="Arial" w:cs="Arial"/>
                <w:color w:val="000000"/>
                <w:sz w:val="22"/>
                <w:szCs w:val="22"/>
                <w:vertAlign w:val="superscript"/>
                <w:lang w:eastAsia="en-GB"/>
              </w:rPr>
              <w:t>13</w:t>
            </w:r>
            <w:r w:rsidRPr="000D72AC">
              <w:rPr>
                <w:rFonts w:ascii="Arial" w:eastAsia="Calibri" w:hAnsi="Arial" w:cs="Arial"/>
                <w:color w:val="000000"/>
                <w:sz w:val="22"/>
                <w:szCs w:val="22"/>
                <w:lang w:eastAsia="en-GB"/>
              </w:rPr>
              <w:t>C</w:t>
            </w:r>
            <w:proofErr w:type="gramStart"/>
            <w:r w:rsidRPr="0033768A">
              <w:rPr>
                <w:rFonts w:ascii="Arial" w:eastAsia="Calibri" w:hAnsi="Arial" w:cs="Arial"/>
                <w:color w:val="000000"/>
                <w:sz w:val="22"/>
                <w:szCs w:val="22"/>
                <w:vertAlign w:val="subscript"/>
                <w:lang w:eastAsia="en-GB"/>
              </w:rPr>
              <w:t>2</w:t>
            </w:r>
            <w:r w:rsidRPr="000D72AC">
              <w:rPr>
                <w:rFonts w:ascii="Arial" w:hAnsi="Arial" w:cs="Arial"/>
                <w:color w:val="000000"/>
                <w:sz w:val="22"/>
                <w:szCs w:val="22"/>
                <w:lang w:eastAsia="en-GB"/>
              </w:rPr>
              <w:t>]</w:t>
            </w:r>
            <w:r w:rsidRPr="000D72AC">
              <w:rPr>
                <w:rFonts w:ascii="Arial" w:eastAsia="Calibri" w:hAnsi="Arial" w:cs="Arial"/>
                <w:color w:val="000000"/>
                <w:sz w:val="22"/>
                <w:szCs w:val="22"/>
                <w:lang w:eastAsia="en-GB"/>
              </w:rPr>
              <w:t>Fumarate</w:t>
            </w:r>
            <w:proofErr w:type="gramEnd"/>
          </w:p>
        </w:tc>
        <w:tc>
          <w:tcPr>
            <w:tcW w:w="51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820E78" w14:textId="77777777" w:rsidR="00DD609A" w:rsidRPr="000D72AC" w:rsidRDefault="00DD609A" w:rsidP="00830E7C">
            <w:pPr>
              <w:jc w:val="both"/>
              <w:rPr>
                <w:rFonts w:ascii="Arial" w:hAnsi="Arial" w:cs="Arial"/>
                <w:lang w:eastAsia="en-GB"/>
              </w:rPr>
            </w:pPr>
            <w:r>
              <w:rPr>
                <w:rFonts w:ascii="Arial" w:eastAsia="Calibri" w:hAnsi="Arial" w:cs="Arial"/>
                <w:color w:val="000000"/>
                <w:sz w:val="22"/>
                <w:szCs w:val="22"/>
                <w:lang w:eastAsia="en-GB"/>
              </w:rPr>
              <w:t>C</w:t>
            </w:r>
            <w:r w:rsidRPr="000D72AC">
              <w:rPr>
                <w:rFonts w:ascii="Arial" w:eastAsia="Calibri" w:hAnsi="Arial" w:cs="Arial"/>
                <w:color w:val="000000"/>
                <w:sz w:val="22"/>
                <w:szCs w:val="22"/>
                <w:lang w:eastAsia="en-GB"/>
              </w:rPr>
              <w:t>ellular</w:t>
            </w:r>
            <w:r w:rsidRPr="000D72AC">
              <w:rPr>
                <w:rFonts w:ascii="Arial" w:hAnsi="Arial" w:cs="Arial"/>
                <w:color w:val="000000"/>
                <w:sz w:val="22"/>
                <w:szCs w:val="22"/>
                <w:lang w:eastAsia="en-GB"/>
              </w:rPr>
              <w:t xml:space="preserve"> </w:t>
            </w:r>
            <w:r w:rsidRPr="000D72AC">
              <w:rPr>
                <w:rFonts w:ascii="Arial" w:eastAsia="Calibri" w:hAnsi="Arial" w:cs="Arial"/>
                <w:color w:val="000000"/>
                <w:sz w:val="22"/>
                <w:szCs w:val="22"/>
                <w:lang w:eastAsia="en-GB"/>
              </w:rPr>
              <w:t>necrosis</w:t>
            </w:r>
          </w:p>
        </w:tc>
      </w:tr>
    </w:tbl>
    <w:p w14:paraId="161141D4" w14:textId="77777777" w:rsidR="00DD609A" w:rsidRDefault="00DD609A" w:rsidP="001B4024">
      <w:pPr>
        <w:spacing w:line="360" w:lineRule="auto"/>
        <w:jc w:val="both"/>
      </w:pPr>
    </w:p>
    <w:p w14:paraId="7111C58F" w14:textId="4FC67AE0" w:rsidR="00AA0048" w:rsidRPr="00DD609A" w:rsidRDefault="00AA0048" w:rsidP="00AA0048">
      <w:pPr>
        <w:spacing w:line="360" w:lineRule="auto"/>
        <w:jc w:val="both"/>
        <w:sectPr w:rsidR="00AA0048" w:rsidRPr="00DD609A" w:rsidSect="004F4AC5">
          <w:pgSz w:w="11900" w:h="16840"/>
          <w:pgMar w:top="1440" w:right="1440" w:bottom="1440" w:left="1440" w:header="708" w:footer="708" w:gutter="0"/>
          <w:cols w:space="708"/>
          <w:docGrid w:linePitch="360"/>
        </w:sectPr>
      </w:pPr>
      <w:r>
        <w:t xml:space="preserve">Table 1: </w:t>
      </w:r>
      <w:r w:rsidR="007B066E">
        <w:t>S</w:t>
      </w:r>
      <w:r>
        <w:t xml:space="preserve">ome of the </w:t>
      </w:r>
      <w:r w:rsidR="003D4727">
        <w:t xml:space="preserve">hyperpolarised </w:t>
      </w:r>
      <w:r>
        <w:t xml:space="preserve">tracers </w:t>
      </w:r>
      <w:r w:rsidR="003D4727">
        <w:t xml:space="preserve">with clinical potential which are </w:t>
      </w:r>
      <w:r>
        <w:t>currently being investigated and their biological relevance.</w:t>
      </w:r>
    </w:p>
    <w:p w14:paraId="58D76910" w14:textId="77777777" w:rsidR="00807551" w:rsidRPr="000D72AC" w:rsidRDefault="00807551" w:rsidP="00807551">
      <w:pPr>
        <w:spacing w:line="360" w:lineRule="auto"/>
        <w:jc w:val="both"/>
        <w:rPr>
          <w:b/>
        </w:rPr>
      </w:pPr>
      <w:r w:rsidRPr="000D72AC">
        <w:rPr>
          <w:b/>
        </w:rPr>
        <w:lastRenderedPageBreak/>
        <w:t>Figures</w:t>
      </w:r>
    </w:p>
    <w:p w14:paraId="5AE67955" w14:textId="1D55C447" w:rsidR="00807551" w:rsidRDefault="000B2327" w:rsidP="00807551">
      <w:pPr>
        <w:spacing w:after="100" w:line="360" w:lineRule="auto"/>
        <w:jc w:val="both"/>
      </w:pPr>
      <w:r>
        <w:rPr>
          <w:noProof/>
          <w:lang w:eastAsia="en-GB"/>
        </w:rPr>
        <w:drawing>
          <wp:inline distT="0" distB="0" distL="0" distR="0" wp14:anchorId="5583361C" wp14:editId="7250B5A7">
            <wp:extent cx="5720080" cy="5953760"/>
            <wp:effectExtent l="0" t="0" r="0" b="0"/>
            <wp:docPr id="2" name="Picture 2" descr="../../../../../../../Desktop/Figur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igure%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0080" cy="5953760"/>
                    </a:xfrm>
                    <a:prstGeom prst="rect">
                      <a:avLst/>
                    </a:prstGeom>
                    <a:noFill/>
                    <a:ln>
                      <a:noFill/>
                    </a:ln>
                  </pic:spPr>
                </pic:pic>
              </a:graphicData>
            </a:graphic>
          </wp:inline>
        </w:drawing>
      </w:r>
      <w:r w:rsidR="00807551">
        <w:t xml:space="preserve">Figure 1: Diagram showing the metabolic fate of glucose and pyruvate. </w:t>
      </w:r>
      <w:r w:rsidR="00807551" w:rsidRPr="00B73AE6">
        <w:rPr>
          <w:lang w:val="en-US"/>
        </w:rPr>
        <w:t>Abbreviations: LDH - lactate dehydrogenase</w:t>
      </w:r>
      <w:r w:rsidR="00807551">
        <w:rPr>
          <w:lang w:val="en-US"/>
        </w:rPr>
        <w:t xml:space="preserve">, </w:t>
      </w:r>
      <w:r w:rsidR="00807551" w:rsidRPr="00B73AE6">
        <w:rPr>
          <w:lang w:val="en-US"/>
        </w:rPr>
        <w:t>ALT - alanine transaminase</w:t>
      </w:r>
      <w:r w:rsidR="00807551">
        <w:rPr>
          <w:lang w:val="en-US"/>
        </w:rPr>
        <w:t xml:space="preserve">, </w:t>
      </w:r>
      <w:r w:rsidR="00807551" w:rsidRPr="00B73AE6">
        <w:rPr>
          <w:lang w:val="en-US"/>
        </w:rPr>
        <w:t>PDH - pyruvate dehydrogenase</w:t>
      </w:r>
      <w:r w:rsidR="00807551">
        <w:rPr>
          <w:lang w:val="en-US"/>
        </w:rPr>
        <w:t xml:space="preserve">, </w:t>
      </w:r>
      <w:r w:rsidR="00807551" w:rsidRPr="00B73AE6">
        <w:rPr>
          <w:lang w:val="en-US"/>
        </w:rPr>
        <w:t>CA - carbonic anhydrase</w:t>
      </w:r>
      <w:r w:rsidR="00807551">
        <w:rPr>
          <w:lang w:val="en-US"/>
        </w:rPr>
        <w:t xml:space="preserve">, </w:t>
      </w:r>
      <w:r w:rsidR="00807551" w:rsidRPr="00B73AE6">
        <w:rPr>
          <w:lang w:val="en-US"/>
        </w:rPr>
        <w:t>PC - pyruvate carboxylase</w:t>
      </w:r>
      <w:r w:rsidR="00807551">
        <w:rPr>
          <w:lang w:val="en-US"/>
        </w:rPr>
        <w:t xml:space="preserve">, </w:t>
      </w:r>
      <w:r w:rsidR="00807551" w:rsidRPr="00B73AE6">
        <w:rPr>
          <w:lang w:val="en-US"/>
        </w:rPr>
        <w:t>CAT - carnitine acyltransferase</w:t>
      </w:r>
      <w:r w:rsidR="00807551">
        <w:rPr>
          <w:lang w:val="en-US"/>
        </w:rPr>
        <w:t xml:space="preserve">, </w:t>
      </w:r>
      <w:r w:rsidR="00807551" w:rsidRPr="00B73AE6">
        <w:t>CS - citrate synthase</w:t>
      </w:r>
      <w:r w:rsidR="00807551">
        <w:t xml:space="preserve">, </w:t>
      </w:r>
      <w:r w:rsidR="00807551" w:rsidRPr="00B73AE6">
        <w:t>IDH - isocitrate dehydrogenase</w:t>
      </w:r>
      <w:r w:rsidR="00807551">
        <w:t xml:space="preserve">, </w:t>
      </w:r>
      <w:r w:rsidR="00807551" w:rsidRPr="00B73AE6">
        <w:t>GLDH - glutamate dehydrogenase</w:t>
      </w:r>
      <w:r w:rsidR="00807551">
        <w:t xml:space="preserve">, </w:t>
      </w:r>
      <w:r w:rsidR="00807551" w:rsidRPr="00B73AE6">
        <w:t xml:space="preserve">OGDC </w:t>
      </w:r>
      <w:r w:rsidR="00807551">
        <w:t>–</w:t>
      </w:r>
      <w:r w:rsidR="00807551" w:rsidRPr="00B73AE6">
        <w:t xml:space="preserve"> </w:t>
      </w:r>
      <w:proofErr w:type="spellStart"/>
      <w:r w:rsidR="00807551" w:rsidRPr="00B73AE6">
        <w:t>oxoglutarate</w:t>
      </w:r>
      <w:proofErr w:type="spellEnd"/>
      <w:r w:rsidR="00807551">
        <w:t xml:space="preserve"> (</w:t>
      </w:r>
      <w:r w:rsidR="00807551">
        <w:sym w:font="Symbol" w:char="F061"/>
      </w:r>
      <w:r w:rsidR="00807551">
        <w:t>-ketoglutarate)</w:t>
      </w:r>
      <w:r w:rsidR="00807551" w:rsidRPr="00B73AE6">
        <w:t xml:space="preserve"> dehydrogenase complex, SCS - </w:t>
      </w:r>
      <w:proofErr w:type="spellStart"/>
      <w:r w:rsidR="00807551" w:rsidRPr="00B73AE6">
        <w:t>succinyl</w:t>
      </w:r>
      <w:proofErr w:type="spellEnd"/>
      <w:r w:rsidR="00807551" w:rsidRPr="00B73AE6">
        <w:t xml:space="preserve"> coenzyme A </w:t>
      </w:r>
      <w:proofErr w:type="spellStart"/>
      <w:r w:rsidR="00807551" w:rsidRPr="00B73AE6">
        <w:t>synthetase</w:t>
      </w:r>
      <w:proofErr w:type="spellEnd"/>
      <w:r w:rsidR="00807551">
        <w:t>, SDH – succinate dehydrogenase</w:t>
      </w:r>
      <w:r w:rsidR="00E302EA">
        <w:t xml:space="preserve"> (part of </w:t>
      </w:r>
      <w:r w:rsidR="003A3AA7">
        <w:t>succinate-co</w:t>
      </w:r>
      <w:r w:rsidR="003A3AA7" w:rsidRPr="003A3AA7">
        <w:t>enzyme Q reductase</w:t>
      </w:r>
      <w:r w:rsidR="003A3AA7">
        <w:t>)</w:t>
      </w:r>
      <w:r w:rsidR="00807551">
        <w:t xml:space="preserve">, </w:t>
      </w:r>
      <w:r w:rsidR="00807551" w:rsidRPr="00B73AE6">
        <w:t>FH - fumarate hydratase, MDH - malate dehydrogenase</w:t>
      </w:r>
      <w:r w:rsidR="00807551">
        <w:t xml:space="preserve">, </w:t>
      </w:r>
      <w:r w:rsidR="00807551" w:rsidRPr="00B73AE6">
        <w:t>AST - aspartate transaminase</w:t>
      </w:r>
      <w:r w:rsidR="00807551">
        <w:t>.</w:t>
      </w:r>
      <w:r w:rsidR="000A5763">
        <w:t xml:space="preserve"> Pyruvate, lactate and fumarate has been highlighted </w:t>
      </w:r>
      <w:r w:rsidR="00EB43E0">
        <w:t>in bold.</w:t>
      </w:r>
      <w:r w:rsidR="000A5763">
        <w:t xml:space="preserve"> </w:t>
      </w:r>
    </w:p>
    <w:p w14:paraId="56C988A5" w14:textId="77777777" w:rsidR="00807551" w:rsidRPr="00B73AE6" w:rsidRDefault="00807551" w:rsidP="00807551">
      <w:pPr>
        <w:spacing w:after="100" w:line="360" w:lineRule="auto"/>
        <w:jc w:val="both"/>
      </w:pPr>
    </w:p>
    <w:p w14:paraId="64130B3F" w14:textId="45C0555B" w:rsidR="009152F6" w:rsidRDefault="0049410C" w:rsidP="006A4CD9">
      <w:pPr>
        <w:spacing w:line="360" w:lineRule="auto"/>
        <w:jc w:val="both"/>
      </w:pPr>
      <w:r>
        <w:rPr>
          <w:noProof/>
          <w:lang w:eastAsia="en-GB"/>
        </w:rPr>
        <w:lastRenderedPageBreak/>
        <w:drawing>
          <wp:inline distT="0" distB="0" distL="0" distR="0" wp14:anchorId="731F8019" wp14:editId="09C78184">
            <wp:extent cx="5720080" cy="1595120"/>
            <wp:effectExtent l="0" t="0" r="0" b="5080"/>
            <wp:docPr id="12" name="Picture 12" descr="Images%20low%20res/figure%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20low%20res/figure%20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0080" cy="1595120"/>
                    </a:xfrm>
                    <a:prstGeom prst="rect">
                      <a:avLst/>
                    </a:prstGeom>
                    <a:noFill/>
                    <a:ln>
                      <a:noFill/>
                    </a:ln>
                  </pic:spPr>
                </pic:pic>
              </a:graphicData>
            </a:graphic>
          </wp:inline>
        </w:drawing>
      </w:r>
    </w:p>
    <w:p w14:paraId="38DCFF2D" w14:textId="77777777" w:rsidR="00165E48" w:rsidRDefault="00807551" w:rsidP="006A4CD9">
      <w:pPr>
        <w:spacing w:line="360" w:lineRule="auto"/>
        <w:jc w:val="both"/>
        <w:sectPr w:rsidR="00165E48" w:rsidSect="004F4AC5">
          <w:pgSz w:w="11900" w:h="16840"/>
          <w:pgMar w:top="1440" w:right="1440" w:bottom="1440" w:left="1440" w:header="708" w:footer="708" w:gutter="0"/>
          <w:cols w:space="708"/>
          <w:docGrid w:linePitch="360"/>
        </w:sectPr>
      </w:pPr>
      <w:r>
        <w:t>Figure 2: Hyperpolarized pyruvate metabolism in human prostate cancer. Images from a patient with bilateral biopsy-proven Gleason grade 3+3 prostate cancer. (</w:t>
      </w:r>
      <w:proofErr w:type="spellStart"/>
      <w:r>
        <w:t>a</w:t>
      </w:r>
      <w:proofErr w:type="spellEnd"/>
      <w:r>
        <w:t>) Axial T</w:t>
      </w:r>
      <w:r w:rsidRPr="00765913">
        <w:rPr>
          <w:vertAlign w:val="subscript"/>
        </w:rPr>
        <w:t>2</w:t>
      </w:r>
      <w:r>
        <w:t xml:space="preserve"> weighted image and (b) apparent diffusion coefficient map showing a peripheral zone tumour (red arrows). (c) False colour metabolic map superimposed over the proton image showing voxels with an elevated ratio of hyperpolarized [1-</w:t>
      </w:r>
      <w:r w:rsidRPr="00765913">
        <w:rPr>
          <w:vertAlign w:val="superscript"/>
        </w:rPr>
        <w:t>13</w:t>
      </w:r>
      <w:proofErr w:type="gramStart"/>
      <w:r>
        <w:t>C]lactate</w:t>
      </w:r>
      <w:proofErr w:type="gramEnd"/>
      <w:r>
        <w:t>/[1-</w:t>
      </w:r>
      <w:r w:rsidRPr="00765913">
        <w:rPr>
          <w:vertAlign w:val="superscript"/>
        </w:rPr>
        <w:t>13</w:t>
      </w:r>
      <w:r>
        <w:t xml:space="preserve">C]pyruvate bilaterally in the prostate and highlighted in pink, obtained after administration of </w:t>
      </w:r>
      <w:r w:rsidRPr="00765913">
        <w:t>hyperpolarized [1-</w:t>
      </w:r>
      <w:r w:rsidRPr="00765913">
        <w:rPr>
          <w:vertAlign w:val="superscript"/>
        </w:rPr>
        <w:t>13</w:t>
      </w:r>
      <w:r w:rsidRPr="00765913">
        <w:t>C]pyruvate</w:t>
      </w:r>
      <w:r>
        <w:t>.</w:t>
      </w:r>
      <w:r w:rsidR="0095603C">
        <w:t xml:space="preserve"> </w:t>
      </w:r>
      <w:r>
        <w:t>Adapted</w:t>
      </w:r>
      <w:r w:rsidRPr="002538C6">
        <w:t xml:space="preserve"> from </w:t>
      </w:r>
      <w:r>
        <w:t>Nelson</w:t>
      </w:r>
      <w:r w:rsidRPr="002538C6">
        <w:t xml:space="preserve"> et al</w:t>
      </w:r>
      <w:r>
        <w:fldChar w:fldCharType="begin" w:fldLock="1"/>
      </w:r>
      <w:r w:rsidR="00481147">
        <w:instrText>ADDIN CSL_CITATION { "citationItems" : [ { "id" : "ITEM-1", "itemData" : { "DOI" : "10.1126/scitranslmed.3006070", "author" : [ { "dropping-particle" : "", "family" : "Nelson", "given" : "Sarah J", "non-dropping-particle" : "", "parse-names" : false, "suffix" : "" }, { "dropping-particle" : "", "family" : "Kurhanewicz", "given" : "John", "non-dropping-particle" : "", "parse-names" : false, "suffix" : "" }, { "dropping-particle" : "", "family" : "Vigneron", "given" : "Daniel B", "non-dropping-particle" : "", "parse-names" : false, "suffix" : "" }, { "dropping-particle" : "", "family" : "Larson", "given" : "Peder E Z", "non-dropping-particle" : "", "parse-names" : false, "suffix" : "" }, { "dropping-particle" : "", "family" : "Harzstark", "given" : "Andrea L", "non-dropping-particle" : "", "parse-names" : false, "suffix" : "" }, { "dropping-particle" : "", "family" : "Ferrone", "given" : "Marcus", "non-dropping-particle" : "", "parse-names" : false, "suffix" : "" }, { "dropping-particle" : "Van", "family" : "Criekinge", "given" : "Mark", "non-dropping-particle" : "", "parse-names" : false, "suffix" : "" }, { "dropping-particle" : "", "family" : "Chang", "given" : "Jose W", "non-dropping-particle" : "", "parse-names" : false, "suffix" : "" }, { "dropping-particle" : "", "family" : "Bok", "given" : "Robert", "non-dropping-particle" : "", "parse-names" : false, "suffix" : "" }, { "dropping-particle" : "", "family" : "Park", "given" : "Ilwoo", "non-dropping-particle" : "", "parse-names" : false, "suffix" : "" }, { "dropping-particle" : "", "family" : "Reed", "given" : "Galen", "non-dropping-particle" : "", "parse-names" : false, "suffix" : "" }, { "dropping-particle" : "", "family" : "Carvajal", "given" : "Lucas", "non-dropping-particle" : "", "parse-names" : false, "suffix" : "" }, { "dropping-particle" : "", "family" : "Small", "given" : "Eric J", "non-dropping-particle" : "", "parse-names" : false, "suffix" : "" }, { "dropping-particle" : "", "family" : "Munster", "given" : "Pamela", "non-dropping-particle" : "", "parse-names" : false, "suffix" : "" }, { "dropping-particle" : "", "family" : "Weinberg", "given" : "Vivian K", "non-dropping-particle" : "", "parse-names" : false, "suffix" : "" }, { "dropping-particle" : "", "family" : "Ardenkjaer-larsen", "given" : "Jan Henrik", "non-dropping-particle" : "", "parse-names" : false, "suffix" : "" }, { "dropping-particle" : "", "family" : "Chen", "given" : "Albert P", "non-dropping-particle" : "", "parse-names" : false, "suffix" : "" }, { "dropping-particle" : "", "family" : "Hurd", "given" : "Ralph E", "non-dropping-particle" : "", "parse-names" : false, "suffix" : "" }, { "dropping-particle" : "", "family" : "Odegardstuen", "given" : "Liv-ingrid", "non-dropping-particle" : "", "parse-names" : false, "suffix" : "" }, { "dropping-particle" : "", "family" : "Robb", "given" : "Fraser J", "non-dropping-particle" : "", "parse-names" : false, "suffix" : "" }, { "dropping-particle" : "", "family" : "Tropp", "given" : "James", "non-dropping-particle" : "", "parse-names" : false, "suffix" : "" }, { "dropping-particle" : "", "family" : "Murray", "given" : "Jonathan a", "non-dropping-particle" : "", "parse-names" : false, "suffix" : "" } ], "container-title" : "Science Translational Medicine", "id" : "ITEM-1", "issue" : "198", "issued" : { "date-parts" : [ [ "2013" ] ] }, "title" : "Metabolic Imaging of Patients with Prostate Cancer Using Hyperpolarized [1-13C] Pyruvate", "type" : "article-journal", "volume" : "5" }, "uris" : [ "http://www.mendeley.com/documents/?uuid=b007ec5f-d467-4343-a43c-e691dfc465f0" ] } ], "mendeley" : { "formattedCitation" : "&lt;sup&gt;18&lt;/sup&gt;", "plainTextFormattedCitation" : "18", "previouslyFormattedCitation" : "&lt;sup&gt;18&lt;/sup&gt;" }, "properties" : {  }, "schema" : "https://github.com/citation-style-language/schema/raw/master/csl-citation.json" }</w:instrText>
      </w:r>
      <w:r>
        <w:fldChar w:fldCharType="separate"/>
      </w:r>
      <w:r w:rsidRPr="00765913">
        <w:rPr>
          <w:noProof/>
          <w:vertAlign w:val="superscript"/>
        </w:rPr>
        <w:t>18</w:t>
      </w:r>
      <w:r>
        <w:fldChar w:fldCharType="end"/>
      </w:r>
      <w:r w:rsidRPr="002538C6">
        <w:t xml:space="preserve"> with permission.</w:t>
      </w:r>
    </w:p>
    <w:p w14:paraId="733B22D3" w14:textId="793672BF" w:rsidR="00807551" w:rsidRDefault="00807551" w:rsidP="006A4CD9">
      <w:pPr>
        <w:spacing w:line="360" w:lineRule="auto"/>
        <w:jc w:val="both"/>
      </w:pPr>
    </w:p>
    <w:p w14:paraId="3EB3DDE2" w14:textId="44772DD2" w:rsidR="00807551" w:rsidRDefault="00165E48" w:rsidP="00807551">
      <w:pPr>
        <w:spacing w:after="100" w:line="360" w:lineRule="auto"/>
        <w:jc w:val="both"/>
      </w:pPr>
      <w:r>
        <w:rPr>
          <w:noProof/>
          <w:lang w:eastAsia="en-GB"/>
        </w:rPr>
        <w:drawing>
          <wp:inline distT="0" distB="0" distL="0" distR="0" wp14:anchorId="4F4C6136" wp14:editId="2B25A5F6">
            <wp:extent cx="5720080" cy="4805680"/>
            <wp:effectExtent l="0" t="0" r="0" b="0"/>
            <wp:docPr id="13" name="Picture 13" descr="Images%20low%20res/Figure%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20low%20res/Figure%2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0080" cy="4805680"/>
                    </a:xfrm>
                    <a:prstGeom prst="rect">
                      <a:avLst/>
                    </a:prstGeom>
                    <a:noFill/>
                    <a:ln>
                      <a:noFill/>
                    </a:ln>
                  </pic:spPr>
                </pic:pic>
              </a:graphicData>
            </a:graphic>
          </wp:inline>
        </w:drawing>
      </w:r>
    </w:p>
    <w:p w14:paraId="1553E9DE" w14:textId="77777777" w:rsidR="00807551" w:rsidRDefault="00807551" w:rsidP="00807551">
      <w:pPr>
        <w:spacing w:after="100" w:line="360" w:lineRule="auto"/>
        <w:jc w:val="both"/>
      </w:pPr>
      <w:r>
        <w:t xml:space="preserve">Figure 3: Pharmacy kit for clinical polarisation. The kit contains pyruvate sealed within a closed sterile environment. The kit includes: a sample vial, the concentric tube assembly, the multi-position inlet/outlet valve, a syringe for dissolution medium, a filter and a receiver unit. </w:t>
      </w:r>
    </w:p>
    <w:p w14:paraId="4F3F970E" w14:textId="7F0B5EFB" w:rsidR="00807551" w:rsidRPr="006D35A0" w:rsidRDefault="00165E48" w:rsidP="00807551">
      <w:pPr>
        <w:spacing w:after="100" w:line="360" w:lineRule="auto"/>
        <w:jc w:val="both"/>
      </w:pPr>
      <w:r>
        <w:rPr>
          <w:noProof/>
          <w:lang w:eastAsia="en-GB"/>
        </w:rPr>
        <w:lastRenderedPageBreak/>
        <w:drawing>
          <wp:inline distT="0" distB="0" distL="0" distR="0" wp14:anchorId="1F63BC55" wp14:editId="458E4C21">
            <wp:extent cx="5709920" cy="3322320"/>
            <wp:effectExtent l="0" t="0" r="5080" b="5080"/>
            <wp:docPr id="15" name="Picture 15" descr="Images%20low%20res/figure%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s%20low%20res/figure%2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09920" cy="3322320"/>
                    </a:xfrm>
                    <a:prstGeom prst="rect">
                      <a:avLst/>
                    </a:prstGeom>
                    <a:noFill/>
                    <a:ln>
                      <a:noFill/>
                    </a:ln>
                  </pic:spPr>
                </pic:pic>
              </a:graphicData>
            </a:graphic>
          </wp:inline>
        </w:drawing>
      </w:r>
    </w:p>
    <w:p w14:paraId="5592D0C5" w14:textId="5CC92873" w:rsidR="00807551" w:rsidRDefault="00807551" w:rsidP="00807551">
      <w:pPr>
        <w:spacing w:before="240" w:after="100" w:line="360" w:lineRule="auto"/>
        <w:jc w:val="both"/>
      </w:pPr>
      <w:r>
        <w:t xml:space="preserve">Figure 4: (a) </w:t>
      </w:r>
      <w:r w:rsidRPr="002538C6">
        <w:t>Schematic of cryostat, magnet and sorption pump.</w:t>
      </w:r>
      <w:r>
        <w:t xml:space="preserve"> The 3.35 T magnet is located within a helium-filled cryostat and suspended within an external vacuum vessel.</w:t>
      </w:r>
      <w:r w:rsidRPr="002538C6">
        <w:t xml:space="preserve"> Reproduced from </w:t>
      </w:r>
      <w:proofErr w:type="spellStart"/>
      <w:r w:rsidRPr="002538C6">
        <w:t>Ardenkjaer</w:t>
      </w:r>
      <w:proofErr w:type="spellEnd"/>
      <w:r w:rsidRPr="002538C6">
        <w:t>-Larsen et al</w:t>
      </w:r>
      <w:r>
        <w:fldChar w:fldCharType="begin" w:fldLock="1"/>
      </w:r>
      <w:r w:rsidR="006D4D5D">
        <w:instrText>ADDIN CSL_CITATION { "citationItems" : [ { "id" : "ITEM-1", "itemData" : { "DOI" : "10.1002/nbm.1682", "ISBN" : "1099-1492", "ISSN" : "09523480", "PMID" : "21416540", "abstract" : "A novel polarizer based on the dissolution-dynamic nuclear polarization (DNP) method has been designed, built and tested. The polarizer differs from those previously described by being designed with sterile use intent and being compatible with clinical use. The main features are: (1) an integral, disposable fluid path containing all pharmaceuticals constituting a sterile barrier, (2) a closed-cycle cryogenic system designed to eliminate consumption of liquid cryogens and (3) multi-sample polarization to increase throughput. The fluid path consists of a vial with the agent to be polarized, a pair of concentric inlet and outlet tubes connected to a syringe with dissolution medium and a receiver, respectively. The fluid path can operate at up to 400 K and 2.0 MPa and generates volumes as high as 100 mL. An inline filter removes the amount of electron paramagnetic agent in the final product by more than 100-fold in the case of [1-(13)C]pyruvate. The system uses a sorption pump in conjunction with a conventional cryocooler. The system operates through cycles of pumping to low temperature and regeneration of the sorption pump. The magnet accommodates four samples at the same time. A temperature of less than 1 K was achieved for 68 h (no sample heat loads) with a liquid helium volume of 2.4 L. The regeneration of the liquid helium could be achieved in less than 10 h, and the transition to cold (&lt; 1.2 K) was achieved in less than 90 min. A solid state polarization of 36 \u00b1 4% for [1-(13)C]pyruvic acid was obtained with only 10 mW of microwave power. The loading of a sample adds less than 50 J of heat to the helium bath by introducing the sample over 15 min. The heat load imposed on the helium bath during dissolution was less than 70 J. The measured liquid state polarization was 18 \u00b1 2%.", "author" : [ { "dropping-particle" : "", "family" : "Ardenkjaer-Larsen", "given" : "Jan H.", "non-dropping-particle" : "", "parse-names" : false, "suffix" : "" }, { "dropping-particle" : "", "family" : "Leach", "given" : "Andrew M.", "non-dropping-particle" : "", "parse-names" : false, "suffix" : "" }, { "dropping-particle" : "", "family" : "Clarke", "given" : "Neil", "non-dropping-particle" : "", "parse-names" : false, "suffix" : "" }, { "dropping-particle" : "", "family" : "Urbahn", "given" : "John", "non-dropping-particle" : "", "parse-names" : false, "suffix" : "" }, { "dropping-particle" : "", "family" : "Anderson", "given" : "Denise", "non-dropping-particle" : "", "parse-names" : false, "suffix" : "" }, { "dropping-particle" : "", "family" : "Skloss", "given" : "Timothy W.", "non-dropping-particle" : "", "parse-names" : false, "suffix" : "" } ], "container-title" : "NMR in Biomedicine", "id" : "ITEM-1", "issue" : "8", "issued" : { "date-parts" : [ [ "2011" ] ] }, "page" : "927-932", "title" : "Dynamic nuclear polarization polarizer for sterile use intent", "type" : "article-journal", "volume" : "24" }, "uris" : [ "http://www.mendeley.com/documents/?uuid=b09d55c2-ebe1-4138-a79d-be0ce7ed82f9" ] } ], "mendeley" : { "formattedCitation" : "&lt;sup&gt;29&lt;/sup&gt;", "plainTextFormattedCitation" : "29", "previouslyFormattedCitation" : "&lt;sup&gt;29&lt;/sup&gt;" }, "properties" : {  }, "schema" : "https://github.com/citation-style-language/schema/raw/master/csl-citation.json" }</w:instrText>
      </w:r>
      <w:r>
        <w:fldChar w:fldCharType="separate"/>
      </w:r>
      <w:r w:rsidR="00CE79A4" w:rsidRPr="00CE79A4">
        <w:rPr>
          <w:noProof/>
          <w:vertAlign w:val="superscript"/>
        </w:rPr>
        <w:t>29</w:t>
      </w:r>
      <w:r>
        <w:fldChar w:fldCharType="end"/>
      </w:r>
      <w:r w:rsidRPr="002538C6">
        <w:t xml:space="preserve"> with permission.</w:t>
      </w:r>
      <w:r>
        <w:t xml:space="preserve"> (b) Photograph of the </w:t>
      </w:r>
      <w:proofErr w:type="spellStart"/>
      <w:r w:rsidRPr="006D35A0">
        <w:t>SPINlab</w:t>
      </w:r>
      <w:proofErr w:type="spellEnd"/>
      <w:r w:rsidRPr="006D35A0">
        <w:t xml:space="preserve"> Diamond Polariser for clinical use</w:t>
      </w:r>
      <w:r>
        <w:t xml:space="preserve"> in Cambridge (</w:t>
      </w:r>
      <w:r w:rsidRPr="006D35A0">
        <w:t xml:space="preserve">GE </w:t>
      </w:r>
      <w:proofErr w:type="gramStart"/>
      <w:r w:rsidRPr="006D35A0">
        <w:t>Healthcare</w:t>
      </w:r>
      <w:r>
        <w:t>)</w:t>
      </w:r>
      <w:r>
        <w:softHyphen/>
      </w:r>
      <w:proofErr w:type="gramEnd"/>
      <w:r w:rsidRPr="006D35A0">
        <w:t xml:space="preserve">. </w:t>
      </w:r>
      <w:r>
        <w:t xml:space="preserve">This clinical </w:t>
      </w:r>
      <w:proofErr w:type="spellStart"/>
      <w:r>
        <w:t>SPINlab</w:t>
      </w:r>
      <w:proofErr w:type="spellEnd"/>
      <w:r>
        <w:t xml:space="preserve"> uses a 5</w:t>
      </w:r>
      <w:r w:rsidRPr="006D35A0">
        <w:t>T magnet.</w:t>
      </w:r>
    </w:p>
    <w:p w14:paraId="7C6009DA" w14:textId="4827C73B" w:rsidR="00807551" w:rsidRDefault="00165E48" w:rsidP="00807551">
      <w:pPr>
        <w:spacing w:after="100" w:line="360" w:lineRule="auto"/>
        <w:jc w:val="both"/>
      </w:pPr>
      <w:r>
        <w:rPr>
          <w:noProof/>
          <w:lang w:eastAsia="en-GB"/>
        </w:rPr>
        <w:lastRenderedPageBreak/>
        <w:drawing>
          <wp:inline distT="0" distB="0" distL="0" distR="0" wp14:anchorId="3912EAE4" wp14:editId="1651403E">
            <wp:extent cx="5727700" cy="5216525"/>
            <wp:effectExtent l="0" t="0" r="1270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5.tiff"/>
                    <pic:cNvPicPr/>
                  </pic:nvPicPr>
                  <pic:blipFill>
                    <a:blip r:embed="rId14">
                      <a:extLst>
                        <a:ext uri="{28A0092B-C50C-407E-A947-70E740481C1C}">
                          <a14:useLocalDpi xmlns:a14="http://schemas.microsoft.com/office/drawing/2010/main" val="0"/>
                        </a:ext>
                      </a:extLst>
                    </a:blip>
                    <a:stretch>
                      <a:fillRect/>
                    </a:stretch>
                  </pic:blipFill>
                  <pic:spPr>
                    <a:xfrm>
                      <a:off x="0" y="0"/>
                      <a:ext cx="5727700" cy="5216525"/>
                    </a:xfrm>
                    <a:prstGeom prst="rect">
                      <a:avLst/>
                    </a:prstGeom>
                  </pic:spPr>
                </pic:pic>
              </a:graphicData>
            </a:graphic>
          </wp:inline>
        </w:drawing>
      </w:r>
    </w:p>
    <w:p w14:paraId="65E310A1" w14:textId="77777777" w:rsidR="00165E48" w:rsidRDefault="00807551" w:rsidP="006A4CD9">
      <w:pPr>
        <w:spacing w:line="360" w:lineRule="auto"/>
        <w:jc w:val="both"/>
        <w:sectPr w:rsidR="00165E48" w:rsidSect="004F4AC5">
          <w:pgSz w:w="11900" w:h="16840"/>
          <w:pgMar w:top="1440" w:right="1440" w:bottom="1440" w:left="1440" w:header="708" w:footer="708" w:gutter="0"/>
          <w:cols w:space="708"/>
          <w:docGrid w:linePitch="360"/>
        </w:sectPr>
      </w:pPr>
      <w:r>
        <w:t xml:space="preserve">Figure 5: </w:t>
      </w:r>
      <w:r w:rsidRPr="001E4E66">
        <w:rPr>
          <w:vertAlign w:val="superscript"/>
        </w:rPr>
        <w:t>13</w:t>
      </w:r>
      <w:r w:rsidRPr="001E4E66">
        <w:t xml:space="preserve">C spectroscopic imaging of </w:t>
      </w:r>
      <w:r>
        <w:t>a murine lymphoma</w:t>
      </w:r>
      <w:r w:rsidRPr="001E4E66">
        <w:t xml:space="preserve"> tumour before and after drug treatment. </w:t>
      </w:r>
      <w:r w:rsidRPr="00E81E60">
        <w:t>Colour maps representing [1-</w:t>
      </w:r>
      <w:r w:rsidRPr="001E4E66">
        <w:rPr>
          <w:vertAlign w:val="superscript"/>
        </w:rPr>
        <w:t>13</w:t>
      </w:r>
      <w:proofErr w:type="gramStart"/>
      <w:r w:rsidRPr="00E81E60">
        <w:t>C]lactate</w:t>
      </w:r>
      <w:proofErr w:type="gramEnd"/>
      <w:r w:rsidRPr="00E81E60">
        <w:t xml:space="preserve"> and [1-</w:t>
      </w:r>
      <w:r w:rsidRPr="001E4E66">
        <w:rPr>
          <w:vertAlign w:val="superscript"/>
        </w:rPr>
        <w:t>13</w:t>
      </w:r>
      <w:r w:rsidRPr="00E81E60">
        <w:t>C]pyruvate peak intensities</w:t>
      </w:r>
      <w:r>
        <w:t xml:space="preserve"> </w:t>
      </w:r>
      <w:r w:rsidRPr="00E81E60">
        <w:t>obtained from </w:t>
      </w:r>
      <w:r w:rsidRPr="001E4E66">
        <w:rPr>
          <w:vertAlign w:val="superscript"/>
        </w:rPr>
        <w:t>13</w:t>
      </w:r>
      <w:r w:rsidRPr="00E81E60">
        <w:t>C chemical-shift imag</w:t>
      </w:r>
      <w:r>
        <w:t>ing</w:t>
      </w:r>
      <w:r w:rsidRPr="00E81E60">
        <w:t xml:space="preserve"> in the same mouse before and after treatment with </w:t>
      </w:r>
      <w:r>
        <w:t xml:space="preserve">the chemotherapeutic agent </w:t>
      </w:r>
      <w:r w:rsidRPr="00E81E60">
        <w:t>etoposide. The </w:t>
      </w:r>
      <w:r>
        <w:t>proton grayscale</w:t>
      </w:r>
      <w:r w:rsidRPr="00E81E60">
        <w:t xml:space="preserve"> images</w:t>
      </w:r>
      <w:r>
        <w:t xml:space="preserve"> d</w:t>
      </w:r>
      <w:r w:rsidRPr="00E81E60">
        <w:t xml:space="preserve">efine the tumour margins (indicated </w:t>
      </w:r>
      <w:r>
        <w:t>in</w:t>
      </w:r>
      <w:r w:rsidRPr="00E81E60">
        <w:t xml:space="preserve"> white).</w:t>
      </w:r>
      <w:r w:rsidR="0095603C">
        <w:t xml:space="preserve"> </w:t>
      </w:r>
      <w:r w:rsidRPr="00E81E60">
        <w:t>Reproduced from Day et al</w:t>
      </w:r>
      <w:r>
        <w:fldChar w:fldCharType="begin" w:fldLock="1"/>
      </w:r>
      <w:r w:rsidR="00481147">
        <w:instrText>ADDIN CSL_CITATION { "citationItems" : [ { "id" : "ITEM-1", "itemData" : { "DOI" : "10.1038/nm1650", "ISBN" : "1078-8956", "ISSN" : "1078-8956", "PMID" : "17965722", "abstract" : "Measurements of early tumor responses to therapy have been shown, in some cases, to predict treatment outcome. We show in lymphoma-bearing mice injected intravenously with hyperpolarized [1-(13)C]pyruvate that the lactate dehydrogenase-catalyzed flux of (13)C label between the carboxyl groups of pyruvate and lactate in the tumor can be measured using (13)C magnetic resonance spectroscopy and spectroscopic imaging, and that this flux is inhibited within 24 h of chemotherapy. The reduction in the measured flux after drug treatment and the induction of tumor cell death can be explained by loss of the coenzyme NAD(H) and decreases in concentrations of lactate and enzyme in the tumors. The technique could provide a new way to assess tumor responses to treatment in the clinic.", "author" : [ { "dropping-particle" : "", "family" : "Day", "given" : "Sam E", "non-dropping-particle" : "", "parse-names" : false, "suffix" : "" }, { "dropping-particle" : "", "family" : "Kettunen", "given" : "Mikko I", "non-dropping-particle" : "", "parse-names" : false, "suffix" : "" }, { "dropping-particle" : "", "family" : "Gallagher", "given" : "Ferdia A", "non-dropping-particle" : "", "parse-names" : false, "suffix" : "" }, { "dropping-particle" : "", "family" : "Hu", "given" : "De-En", "non-dropping-particle" : "", "parse-names" : false, "suffix" : "" }, { "dropping-particle" : "", "family" : "Lerche", "given" : "Mathilde", "non-dropping-particle" : "", "parse-names" : false, "suffix" : "" }, { "dropping-particle" : "", "family" : "Wolber", "given" : "Jan", "non-dropping-particle" : "", "parse-names" : false, "suffix" : "" }, { "dropping-particle" : "", "family" : "Golman", "given" : "Klaes", "non-dropping-particle" : "", "parse-names" : false, "suffix" : "" }, { "dropping-particle" : "", "family" : "Ardenkjaer-Larsen", "given" : "Jan Henrik", "non-dropping-particle" : "", "parse-names" : false, "suffix" : "" }, { "dropping-particle" : "", "family" : "Brindle", "given" : "Kevin M", "non-dropping-particle" : "", "parse-names" : false, "suffix" : "" } ], "container-title" : "Nature medicine", "id" : "ITEM-1", "issue" : "11", "issued" : { "date-parts" : [ [ "2007" ] ] }, "page" : "1382-1387", "title" : "Detecting tumor response to treatment using hyperpolarized 13C magnetic resonance imaging and spectroscopy.", "type" : "article-journal", "volume" : "13" }, "uris" : [ "http://www.mendeley.com/documents/?uuid=43856305-8d92-4b3b-ae59-117b0116aff4" ] } ], "mendeley" : { "formattedCitation" : "&lt;sup&gt;34&lt;/sup&gt;", "plainTextFormattedCitation" : "34", "previouslyFormattedCitation" : "&lt;sup&gt;34&lt;/sup&gt;" }, "properties" : {  }, "schema" : "https://github.com/citation-style-language/schema/raw/master/csl-citation.json" }</w:instrText>
      </w:r>
      <w:r>
        <w:fldChar w:fldCharType="separate"/>
      </w:r>
      <w:r w:rsidR="00CE79A4" w:rsidRPr="00CE79A4">
        <w:rPr>
          <w:noProof/>
          <w:vertAlign w:val="superscript"/>
        </w:rPr>
        <w:t>34</w:t>
      </w:r>
      <w:r>
        <w:fldChar w:fldCharType="end"/>
      </w:r>
      <w:r w:rsidRPr="00E81E60">
        <w:t xml:space="preserve"> with permission.</w:t>
      </w:r>
    </w:p>
    <w:p w14:paraId="06975103" w14:textId="38D92FDB" w:rsidR="00807551" w:rsidRDefault="00165E48" w:rsidP="006A4CD9">
      <w:pPr>
        <w:spacing w:line="360" w:lineRule="auto"/>
        <w:jc w:val="both"/>
      </w:pPr>
      <w:r>
        <w:rPr>
          <w:noProof/>
          <w:lang w:eastAsia="en-GB"/>
        </w:rPr>
        <w:lastRenderedPageBreak/>
        <w:drawing>
          <wp:inline distT="0" distB="0" distL="0" distR="0" wp14:anchorId="498F29BA" wp14:editId="4EF8C638">
            <wp:extent cx="5720080" cy="3291840"/>
            <wp:effectExtent l="0" t="0" r="0" b="10160"/>
            <wp:docPr id="28" name="Picture 28" descr="../../../../../../../Deskto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0080" cy="3291840"/>
                    </a:xfrm>
                    <a:prstGeom prst="rect">
                      <a:avLst/>
                    </a:prstGeom>
                    <a:noFill/>
                    <a:ln>
                      <a:noFill/>
                    </a:ln>
                  </pic:spPr>
                </pic:pic>
              </a:graphicData>
            </a:graphic>
          </wp:inline>
        </w:drawing>
      </w:r>
      <w:bookmarkStart w:id="0" w:name="_GoBack"/>
      <w:bookmarkEnd w:id="0"/>
    </w:p>
    <w:p w14:paraId="760BA013" w14:textId="77777777" w:rsidR="00807551" w:rsidRDefault="00807551" w:rsidP="00807551">
      <w:pPr>
        <w:spacing w:after="100" w:line="360" w:lineRule="auto"/>
        <w:jc w:val="both"/>
      </w:pPr>
    </w:p>
    <w:p w14:paraId="6EFB8A89" w14:textId="79DA3197" w:rsidR="00807551" w:rsidRDefault="00807551" w:rsidP="006A4CD9">
      <w:pPr>
        <w:spacing w:line="360" w:lineRule="auto"/>
        <w:jc w:val="both"/>
      </w:pPr>
      <w:r>
        <w:t>Figure 6: T</w:t>
      </w:r>
      <w:r w:rsidRPr="006F6933">
        <w:t xml:space="preserve">ransverse images from </w:t>
      </w:r>
      <w:r>
        <w:t xml:space="preserve">(a) </w:t>
      </w:r>
      <w:r w:rsidRPr="006F6933">
        <w:t xml:space="preserve">untreated </w:t>
      </w:r>
      <w:r>
        <w:t xml:space="preserve">and </w:t>
      </w:r>
      <w:r w:rsidRPr="006F6933">
        <w:t>(</w:t>
      </w:r>
      <w:r>
        <w:t>b</w:t>
      </w:r>
      <w:r w:rsidRPr="006F6933">
        <w:t xml:space="preserve">) etoposide-treated </w:t>
      </w:r>
      <w:r>
        <w:t xml:space="preserve">mice with </w:t>
      </w:r>
      <w:r w:rsidRPr="006F6933">
        <w:t>implanted lymphoma tumo</w:t>
      </w:r>
      <w:r>
        <w:t>u</w:t>
      </w:r>
      <w:r w:rsidRPr="006F6933">
        <w:t xml:space="preserve">rs. The </w:t>
      </w:r>
      <w:r w:rsidRPr="007D3266">
        <w:rPr>
          <w:vertAlign w:val="superscript"/>
        </w:rPr>
        <w:t>1</w:t>
      </w:r>
      <w:r w:rsidRPr="006F6933">
        <w:t xml:space="preserve">H image shows the anatomical location of the tumour, outlined in white. </w:t>
      </w:r>
      <w:r>
        <w:t>The</w:t>
      </w:r>
      <w:r w:rsidRPr="006F6933">
        <w:t xml:space="preserve"> false-colour </w:t>
      </w:r>
      <w:r>
        <w:t xml:space="preserve">maps </w:t>
      </w:r>
      <w:r w:rsidRPr="006F6933">
        <w:t xml:space="preserve">superimposed on the </w:t>
      </w:r>
      <w:r>
        <w:t xml:space="preserve">proton images </w:t>
      </w:r>
      <w:r w:rsidRPr="006F6933">
        <w:t xml:space="preserve">demonstrate the spatial distribution of the total hyperpolarized </w:t>
      </w:r>
      <w:r w:rsidRPr="007D3266">
        <w:rPr>
          <w:vertAlign w:val="superscript"/>
        </w:rPr>
        <w:t>13</w:t>
      </w:r>
      <w:r w:rsidRPr="006F6933">
        <w:t xml:space="preserve">C malate and </w:t>
      </w:r>
      <w:r w:rsidRPr="007D3266">
        <w:rPr>
          <w:vertAlign w:val="superscript"/>
        </w:rPr>
        <w:t>13</w:t>
      </w:r>
      <w:r w:rsidRPr="006F6933">
        <w:t>C fumarate signals. The colour scale indicates the relative signal intensity compared with the maximum intensity in each image. R</w:t>
      </w:r>
      <w:r>
        <w:t>eproduced from Gallagher et al</w:t>
      </w:r>
      <w:r>
        <w:fldChar w:fldCharType="begin" w:fldLock="1"/>
      </w:r>
      <w:r w:rsidR="00481147">
        <w:instrText>ADDIN CSL_CITATION { "citationItems" : [ { "id" : "ITEM-1", "itemData" : { "DOI" : "10.1073/pnas.0911447106", "ISBN" : "0027-8424\\r1091-6490", "ISSN" : "1091-6490", "PMID" : "19903889", "abstract" : "Dynamic nuclear polarization of (13)C-labeled cell substrates has been shown to massively increase their sensitivity to detection in NMR experiments. The sensitivity gain is sufficiently large that if these polarized molecules are injected intravenously, their spatial distribution and subsequent conversion into other cell metabolites can be imaged. We have used this method to image the conversion of fumarate to malate in a murine lymphoma tumor in vivo after i.v. injection of hyperpolarized [1,4-(13)C(2)]fumarate. In isolated lymphoma cells, the rate of labeled malate production was unaffected by coadministration of succinate, which competes with fumarate for transport into the cell. There was, however, a correlation with the percentage of cells that had lost plasma membrane integrity, suggesting that the production of labeled malate from fumarate is a sensitive marker of cellular necrosis. Twenty-four hours after treating implanted lymphoma tumors with etoposide, at which point there were significant levels of tumor cell necrosis, there was a 2.4-fold increase in hyperpolarized [1,4-(13)C(2)]malate production compared with the untreated tumors. Therefore, the formation of hyperpolarized (13)C-labeled malate from [1,4-(13)C(2)]fumarate appears to be a sensitive marker of tumor cell death in vivo and could be used to detect the early response of tumors to treatment. Given that fumarate is an endogenous molecule, this technique has the potential to be used clinically.", "author" : [ { "dropping-particle" : "", "family" : "Gallagher", "given" : "Ferdia A", "non-dropping-particle" : "", "parse-names" : false, "suffix" : "" }, { "dropping-particle" : "", "family" : "Kettunen", "given" : "Mikko I", "non-dropping-particle" : "", "parse-names" : false, "suffix" : "" }, { "dropping-particle" : "", "family" : "Hu", "given" : "De-En", "non-dropping-particle" : "", "parse-names" : false, "suffix" : "" }, { "dropping-particle" : "", "family" : "Jensen", "given" : "Pernille R", "non-dropping-particle" : "", "parse-names" : false, "suffix" : "" }, { "dropping-particle" : "In 't", "family" : "Zandt", "given" : "Ren\u00e9", "non-dropping-particle" : "", "parse-names" : false, "suffix" : "" }, { "dropping-particle" : "", "family" : "Karlsson", "given" : "Magnus", "non-dropping-particle" : "", "parse-names" : false, "suffix" : "" }, { "dropping-particle" : "", "family" : "Gisselsson", "given" : "Anna", "non-dropping-particle" : "", "parse-names" : false, "suffix" : "" }, { "dropping-particle" : "", "family" : "Nelson", "given" : "Sarah K", "non-dropping-particle" : "", "parse-names" : false, "suffix" : "" }, { "dropping-particle" : "", "family" : "Witney", "given" : "Timothy H", "non-dropping-particle" : "", "parse-names" : false, "suffix" : "" }, { "dropping-particle" : "", "family" : "Bohndiek", "given" : "Sarah E", "non-dropping-particle" : "", "parse-names" : false, "suffix" : "" }, { "dropping-particle" : "", "family" : "Hansson", "given" : "Georg", "non-dropping-particle" : "", "parse-names" : false, "suffix" : "" }, { "dropping-particle" : "", "family" : "Peitersen", "given" : "Torben", "non-dropping-particle" : "", "parse-names" : false, "suffix" : "" }, { "dropping-particle" : "", "family" : "Lerche", "given" : "Mathilde H", "non-dropping-particle" : "", "parse-names" : false, "suffix" : "" }, { "dropping-particle" : "", "family" : "Brindle", "given" : "Kevin M", "non-dropping-particle" : "", "parse-names" : false, "suffix" : "" } ], "container-title" : "Proc Natl Acad Sci", "id" : "ITEM-1", "issue" : "47", "issued" : { "date-parts" : [ [ "2009" ] ] }, "page" : "19801-19806", "title" : "Production of hyperpolarized [1,4-13C2]malate from [1,4-13C2]fumarate is a marker of cell necrosis and treatment response in tumors.", "type" : "article-journal", "volume" : "106" }, "uris" : [ "http://www.mendeley.com/documents/?uuid=84a998c7-c81c-4d3c-9534-1597b5c5c8f5" ] } ], "mendeley" : { "formattedCitation" : "&lt;sup&gt;61&lt;/sup&gt;", "plainTextFormattedCitation" : "61", "previouslyFormattedCitation" : "&lt;sup&gt;61&lt;/sup&gt;" }, "properties" : {  }, "schema" : "https://github.com/citation-style-language/schema/raw/master/csl-citation.json" }</w:instrText>
      </w:r>
      <w:r>
        <w:fldChar w:fldCharType="separate"/>
      </w:r>
      <w:r w:rsidR="00481147" w:rsidRPr="00481147">
        <w:rPr>
          <w:noProof/>
          <w:vertAlign w:val="superscript"/>
        </w:rPr>
        <w:t>61</w:t>
      </w:r>
      <w:r>
        <w:fldChar w:fldCharType="end"/>
      </w:r>
      <w:r w:rsidRPr="006F6933">
        <w:t xml:space="preserve"> with permission.</w:t>
      </w:r>
    </w:p>
    <w:p w14:paraId="5414D178" w14:textId="3EAB9DF4" w:rsidR="009E3A27" w:rsidRPr="000D72AC" w:rsidRDefault="009E3A27" w:rsidP="00807551">
      <w:pPr>
        <w:spacing w:line="360" w:lineRule="auto"/>
        <w:jc w:val="both"/>
      </w:pPr>
    </w:p>
    <w:sectPr w:rsidR="009E3A27" w:rsidRPr="000D72AC" w:rsidSect="004F4AC5">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DB5048" w14:textId="77777777" w:rsidR="00EA1224" w:rsidRDefault="00EA1224" w:rsidP="00F53BD7">
      <w:r>
        <w:separator/>
      </w:r>
    </w:p>
  </w:endnote>
  <w:endnote w:type="continuationSeparator" w:id="0">
    <w:p w14:paraId="0B7F57D9" w14:textId="77777777" w:rsidR="00EA1224" w:rsidRDefault="00EA1224" w:rsidP="00F53B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Times">
    <w:panose1 w:val="02000500000000000000"/>
    <w:charset w:val="4D"/>
    <w:family w:val="roman"/>
    <w:notTrueType/>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DFB07E" w14:textId="77777777" w:rsidR="00B75564" w:rsidRDefault="00B75564" w:rsidP="00830E7C">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EA1FFD0" w14:textId="77777777" w:rsidR="00B75564" w:rsidRDefault="00B75564" w:rsidP="00F53BD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32D383" w14:textId="5F4BFEF7" w:rsidR="00B75564" w:rsidRDefault="00B75564" w:rsidP="00830E7C">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65E48">
      <w:rPr>
        <w:rStyle w:val="PageNumber"/>
        <w:noProof/>
      </w:rPr>
      <w:t>28</w:t>
    </w:r>
    <w:r>
      <w:rPr>
        <w:rStyle w:val="PageNumber"/>
      </w:rPr>
      <w:fldChar w:fldCharType="end"/>
    </w:r>
  </w:p>
  <w:p w14:paraId="31517CF0" w14:textId="77777777" w:rsidR="00B75564" w:rsidRDefault="00B75564" w:rsidP="00F53BD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D2B7E4" w14:textId="77777777" w:rsidR="00EA1224" w:rsidRDefault="00EA1224" w:rsidP="00F53BD7">
      <w:r>
        <w:separator/>
      </w:r>
    </w:p>
  </w:footnote>
  <w:footnote w:type="continuationSeparator" w:id="0">
    <w:p w14:paraId="3E826A43" w14:textId="77777777" w:rsidR="00EA1224" w:rsidRDefault="00EA1224" w:rsidP="00F53BD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CE75ED"/>
    <w:multiLevelType w:val="hybridMultilevel"/>
    <w:tmpl w:val="99CCC63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56041A4E"/>
    <w:multiLevelType w:val="hybridMultilevel"/>
    <w:tmpl w:val="30D840E2"/>
    <w:lvl w:ilvl="0" w:tplc="879CFE8A">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58FC10D2"/>
    <w:multiLevelType w:val="hybridMultilevel"/>
    <w:tmpl w:val="B8B81DBC"/>
    <w:lvl w:ilvl="0" w:tplc="DF9CEEB8">
      <w:start w:val="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68FA049A"/>
    <w:multiLevelType w:val="hybridMultilevel"/>
    <w:tmpl w:val="943AF8A8"/>
    <w:lvl w:ilvl="0" w:tplc="879CFE8A">
      <w:start w:val="2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69F529C2"/>
    <w:multiLevelType w:val="hybridMultilevel"/>
    <w:tmpl w:val="F55EB44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
  </w:num>
  <w:num w:numId="2">
    <w:abstractNumId w:val="4"/>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3B25"/>
    <w:rsid w:val="00001F75"/>
    <w:rsid w:val="0001326A"/>
    <w:rsid w:val="00017905"/>
    <w:rsid w:val="0002250B"/>
    <w:rsid w:val="00024C3E"/>
    <w:rsid w:val="000252C4"/>
    <w:rsid w:val="00027AE0"/>
    <w:rsid w:val="00030E78"/>
    <w:rsid w:val="00032736"/>
    <w:rsid w:val="00035AC3"/>
    <w:rsid w:val="000405FA"/>
    <w:rsid w:val="00042544"/>
    <w:rsid w:val="00046DD6"/>
    <w:rsid w:val="00047C50"/>
    <w:rsid w:val="0005127E"/>
    <w:rsid w:val="00052CCA"/>
    <w:rsid w:val="00055D8E"/>
    <w:rsid w:val="00057320"/>
    <w:rsid w:val="00060F3F"/>
    <w:rsid w:val="0006226E"/>
    <w:rsid w:val="0006312F"/>
    <w:rsid w:val="0006523B"/>
    <w:rsid w:val="00065536"/>
    <w:rsid w:val="000679BB"/>
    <w:rsid w:val="00073CAF"/>
    <w:rsid w:val="00075E7A"/>
    <w:rsid w:val="000760CF"/>
    <w:rsid w:val="000760F4"/>
    <w:rsid w:val="00081DA5"/>
    <w:rsid w:val="00083B25"/>
    <w:rsid w:val="000850C8"/>
    <w:rsid w:val="00085C5B"/>
    <w:rsid w:val="0008667C"/>
    <w:rsid w:val="00087929"/>
    <w:rsid w:val="000904BB"/>
    <w:rsid w:val="00094005"/>
    <w:rsid w:val="00097B8A"/>
    <w:rsid w:val="000A5763"/>
    <w:rsid w:val="000B21E4"/>
    <w:rsid w:val="000B2327"/>
    <w:rsid w:val="000B4D2B"/>
    <w:rsid w:val="000B763E"/>
    <w:rsid w:val="000C02ED"/>
    <w:rsid w:val="000C181A"/>
    <w:rsid w:val="000C43F0"/>
    <w:rsid w:val="000C6634"/>
    <w:rsid w:val="000D1D10"/>
    <w:rsid w:val="000D72AC"/>
    <w:rsid w:val="000D7F41"/>
    <w:rsid w:val="000E5F9D"/>
    <w:rsid w:val="000F06F8"/>
    <w:rsid w:val="000F1E22"/>
    <w:rsid w:val="000F2A83"/>
    <w:rsid w:val="000F41D8"/>
    <w:rsid w:val="000F4CB3"/>
    <w:rsid w:val="000F777D"/>
    <w:rsid w:val="001027D8"/>
    <w:rsid w:val="0010389B"/>
    <w:rsid w:val="00103F22"/>
    <w:rsid w:val="0010772C"/>
    <w:rsid w:val="00110B55"/>
    <w:rsid w:val="001121CF"/>
    <w:rsid w:val="00113E8B"/>
    <w:rsid w:val="001141F3"/>
    <w:rsid w:val="0011562B"/>
    <w:rsid w:val="00116D56"/>
    <w:rsid w:val="0012108C"/>
    <w:rsid w:val="0012515E"/>
    <w:rsid w:val="00125EDB"/>
    <w:rsid w:val="00140313"/>
    <w:rsid w:val="00140F2D"/>
    <w:rsid w:val="00141836"/>
    <w:rsid w:val="00141A77"/>
    <w:rsid w:val="00143830"/>
    <w:rsid w:val="00151D33"/>
    <w:rsid w:val="001549BC"/>
    <w:rsid w:val="00155631"/>
    <w:rsid w:val="001601DB"/>
    <w:rsid w:val="00162220"/>
    <w:rsid w:val="00163312"/>
    <w:rsid w:val="00165E48"/>
    <w:rsid w:val="00167826"/>
    <w:rsid w:val="00167FBE"/>
    <w:rsid w:val="001738EC"/>
    <w:rsid w:val="0017621C"/>
    <w:rsid w:val="00176E67"/>
    <w:rsid w:val="00182916"/>
    <w:rsid w:val="00184965"/>
    <w:rsid w:val="0018498B"/>
    <w:rsid w:val="00185DF4"/>
    <w:rsid w:val="00186466"/>
    <w:rsid w:val="00186ABA"/>
    <w:rsid w:val="00191BD8"/>
    <w:rsid w:val="00195504"/>
    <w:rsid w:val="001A1A10"/>
    <w:rsid w:val="001A2693"/>
    <w:rsid w:val="001A31C8"/>
    <w:rsid w:val="001B160D"/>
    <w:rsid w:val="001B4024"/>
    <w:rsid w:val="001B41C5"/>
    <w:rsid w:val="001B4A77"/>
    <w:rsid w:val="001B5BBD"/>
    <w:rsid w:val="001C64F9"/>
    <w:rsid w:val="001C7013"/>
    <w:rsid w:val="001C7B16"/>
    <w:rsid w:val="001D7382"/>
    <w:rsid w:val="001D769C"/>
    <w:rsid w:val="001E0D7D"/>
    <w:rsid w:val="001E3E29"/>
    <w:rsid w:val="001E3F5F"/>
    <w:rsid w:val="001F200C"/>
    <w:rsid w:val="001F2421"/>
    <w:rsid w:val="001F4B4E"/>
    <w:rsid w:val="001F5035"/>
    <w:rsid w:val="001F5AF9"/>
    <w:rsid w:val="002017FB"/>
    <w:rsid w:val="00203D38"/>
    <w:rsid w:val="00216C6C"/>
    <w:rsid w:val="00216E1C"/>
    <w:rsid w:val="00220B00"/>
    <w:rsid w:val="00221380"/>
    <w:rsid w:val="0022144D"/>
    <w:rsid w:val="002317C2"/>
    <w:rsid w:val="0023287C"/>
    <w:rsid w:val="00235EB6"/>
    <w:rsid w:val="00241E3E"/>
    <w:rsid w:val="00245D51"/>
    <w:rsid w:val="00245DF1"/>
    <w:rsid w:val="00247548"/>
    <w:rsid w:val="002606C4"/>
    <w:rsid w:val="00261D93"/>
    <w:rsid w:val="002621DE"/>
    <w:rsid w:val="00265A85"/>
    <w:rsid w:val="00265D59"/>
    <w:rsid w:val="00266409"/>
    <w:rsid w:val="002664D2"/>
    <w:rsid w:val="002678D9"/>
    <w:rsid w:val="002724D0"/>
    <w:rsid w:val="002737C6"/>
    <w:rsid w:val="002739E5"/>
    <w:rsid w:val="00276305"/>
    <w:rsid w:val="002772AA"/>
    <w:rsid w:val="00280286"/>
    <w:rsid w:val="00280B67"/>
    <w:rsid w:val="002820AF"/>
    <w:rsid w:val="002823A2"/>
    <w:rsid w:val="0028493B"/>
    <w:rsid w:val="0028783F"/>
    <w:rsid w:val="002878F2"/>
    <w:rsid w:val="00287C85"/>
    <w:rsid w:val="00290716"/>
    <w:rsid w:val="00291BF6"/>
    <w:rsid w:val="00292C81"/>
    <w:rsid w:val="0029614D"/>
    <w:rsid w:val="0029770E"/>
    <w:rsid w:val="002A0364"/>
    <w:rsid w:val="002A2B13"/>
    <w:rsid w:val="002A5615"/>
    <w:rsid w:val="002A61FC"/>
    <w:rsid w:val="002A7002"/>
    <w:rsid w:val="002B1EF3"/>
    <w:rsid w:val="002C063B"/>
    <w:rsid w:val="002C579A"/>
    <w:rsid w:val="002D24BB"/>
    <w:rsid w:val="002D3510"/>
    <w:rsid w:val="002D3F42"/>
    <w:rsid w:val="002D4918"/>
    <w:rsid w:val="002D7EB9"/>
    <w:rsid w:val="002E1EA3"/>
    <w:rsid w:val="002E2A5F"/>
    <w:rsid w:val="002E3BAB"/>
    <w:rsid w:val="002E44AB"/>
    <w:rsid w:val="002E5BE0"/>
    <w:rsid w:val="002E7549"/>
    <w:rsid w:val="002E7993"/>
    <w:rsid w:val="002F02AB"/>
    <w:rsid w:val="002F5570"/>
    <w:rsid w:val="002F561A"/>
    <w:rsid w:val="00304718"/>
    <w:rsid w:val="00304BBD"/>
    <w:rsid w:val="00305221"/>
    <w:rsid w:val="00306A65"/>
    <w:rsid w:val="003078F2"/>
    <w:rsid w:val="00312532"/>
    <w:rsid w:val="0031464C"/>
    <w:rsid w:val="00321B72"/>
    <w:rsid w:val="00326C32"/>
    <w:rsid w:val="00327B06"/>
    <w:rsid w:val="00330422"/>
    <w:rsid w:val="0033192D"/>
    <w:rsid w:val="0033466E"/>
    <w:rsid w:val="0033605F"/>
    <w:rsid w:val="0033768A"/>
    <w:rsid w:val="00346211"/>
    <w:rsid w:val="00347736"/>
    <w:rsid w:val="00350050"/>
    <w:rsid w:val="0035082B"/>
    <w:rsid w:val="00353878"/>
    <w:rsid w:val="00354D01"/>
    <w:rsid w:val="00355435"/>
    <w:rsid w:val="00356CEB"/>
    <w:rsid w:val="00357EC3"/>
    <w:rsid w:val="003655A1"/>
    <w:rsid w:val="00366D68"/>
    <w:rsid w:val="003728E6"/>
    <w:rsid w:val="0037305D"/>
    <w:rsid w:val="00373C3C"/>
    <w:rsid w:val="00373C92"/>
    <w:rsid w:val="00374D05"/>
    <w:rsid w:val="003760A9"/>
    <w:rsid w:val="003761F8"/>
    <w:rsid w:val="00381B99"/>
    <w:rsid w:val="003868C6"/>
    <w:rsid w:val="00387C80"/>
    <w:rsid w:val="00390DDB"/>
    <w:rsid w:val="00392FA1"/>
    <w:rsid w:val="003A2FA9"/>
    <w:rsid w:val="003A3AA7"/>
    <w:rsid w:val="003A4C4F"/>
    <w:rsid w:val="003A5524"/>
    <w:rsid w:val="003A6312"/>
    <w:rsid w:val="003B30EB"/>
    <w:rsid w:val="003B4890"/>
    <w:rsid w:val="003B48E8"/>
    <w:rsid w:val="003B5743"/>
    <w:rsid w:val="003C0943"/>
    <w:rsid w:val="003D0714"/>
    <w:rsid w:val="003D0719"/>
    <w:rsid w:val="003D2711"/>
    <w:rsid w:val="003D333F"/>
    <w:rsid w:val="003D42CA"/>
    <w:rsid w:val="003D4727"/>
    <w:rsid w:val="003D52E9"/>
    <w:rsid w:val="003E0A30"/>
    <w:rsid w:val="003E1C04"/>
    <w:rsid w:val="003E61B5"/>
    <w:rsid w:val="003E7730"/>
    <w:rsid w:val="003F139F"/>
    <w:rsid w:val="003F143D"/>
    <w:rsid w:val="003F17FA"/>
    <w:rsid w:val="003F7627"/>
    <w:rsid w:val="0040103F"/>
    <w:rsid w:val="004013F6"/>
    <w:rsid w:val="00402143"/>
    <w:rsid w:val="00406AC8"/>
    <w:rsid w:val="004076E8"/>
    <w:rsid w:val="004108C9"/>
    <w:rsid w:val="0041159E"/>
    <w:rsid w:val="0041457D"/>
    <w:rsid w:val="00414E53"/>
    <w:rsid w:val="004155FF"/>
    <w:rsid w:val="0041598A"/>
    <w:rsid w:val="00416351"/>
    <w:rsid w:val="004165F7"/>
    <w:rsid w:val="00421367"/>
    <w:rsid w:val="0042167A"/>
    <w:rsid w:val="004250B5"/>
    <w:rsid w:val="0042638B"/>
    <w:rsid w:val="0043414E"/>
    <w:rsid w:val="00446401"/>
    <w:rsid w:val="004520B0"/>
    <w:rsid w:val="00453130"/>
    <w:rsid w:val="00454B7A"/>
    <w:rsid w:val="00454EDE"/>
    <w:rsid w:val="00456722"/>
    <w:rsid w:val="00462ACC"/>
    <w:rsid w:val="00463F90"/>
    <w:rsid w:val="004644DB"/>
    <w:rsid w:val="00464AE6"/>
    <w:rsid w:val="00470D37"/>
    <w:rsid w:val="004736E4"/>
    <w:rsid w:val="00476A8B"/>
    <w:rsid w:val="00480255"/>
    <w:rsid w:val="00480AE5"/>
    <w:rsid w:val="00481147"/>
    <w:rsid w:val="004822E9"/>
    <w:rsid w:val="00486F75"/>
    <w:rsid w:val="0049410C"/>
    <w:rsid w:val="00494637"/>
    <w:rsid w:val="004966B4"/>
    <w:rsid w:val="004A558A"/>
    <w:rsid w:val="004A6094"/>
    <w:rsid w:val="004B0982"/>
    <w:rsid w:val="004B2F14"/>
    <w:rsid w:val="004B4154"/>
    <w:rsid w:val="004C0E94"/>
    <w:rsid w:val="004C3468"/>
    <w:rsid w:val="004C4D8B"/>
    <w:rsid w:val="004D09F9"/>
    <w:rsid w:val="004D5D4B"/>
    <w:rsid w:val="004D6B0B"/>
    <w:rsid w:val="004E25E2"/>
    <w:rsid w:val="004E3BCC"/>
    <w:rsid w:val="004E427A"/>
    <w:rsid w:val="004E66EC"/>
    <w:rsid w:val="004F14DE"/>
    <w:rsid w:val="004F2698"/>
    <w:rsid w:val="004F4AC5"/>
    <w:rsid w:val="004F7395"/>
    <w:rsid w:val="004F77BA"/>
    <w:rsid w:val="004F7857"/>
    <w:rsid w:val="00500B73"/>
    <w:rsid w:val="00503065"/>
    <w:rsid w:val="005051B2"/>
    <w:rsid w:val="00505FB2"/>
    <w:rsid w:val="0050647F"/>
    <w:rsid w:val="00507985"/>
    <w:rsid w:val="005119BE"/>
    <w:rsid w:val="00515F75"/>
    <w:rsid w:val="005172A9"/>
    <w:rsid w:val="00521486"/>
    <w:rsid w:val="005227B6"/>
    <w:rsid w:val="00522AEC"/>
    <w:rsid w:val="00523F79"/>
    <w:rsid w:val="00524A8E"/>
    <w:rsid w:val="00525D11"/>
    <w:rsid w:val="0053203C"/>
    <w:rsid w:val="005361FE"/>
    <w:rsid w:val="00543B5B"/>
    <w:rsid w:val="00547521"/>
    <w:rsid w:val="00552270"/>
    <w:rsid w:val="00553440"/>
    <w:rsid w:val="005547F6"/>
    <w:rsid w:val="0055549E"/>
    <w:rsid w:val="005576E0"/>
    <w:rsid w:val="0055783A"/>
    <w:rsid w:val="005615E8"/>
    <w:rsid w:val="00561C2E"/>
    <w:rsid w:val="00564C91"/>
    <w:rsid w:val="005707D0"/>
    <w:rsid w:val="005711EE"/>
    <w:rsid w:val="00576F33"/>
    <w:rsid w:val="00577CEE"/>
    <w:rsid w:val="00581772"/>
    <w:rsid w:val="005817ED"/>
    <w:rsid w:val="0058215C"/>
    <w:rsid w:val="00583A1E"/>
    <w:rsid w:val="00587028"/>
    <w:rsid w:val="00592A0D"/>
    <w:rsid w:val="00594DA5"/>
    <w:rsid w:val="00595360"/>
    <w:rsid w:val="005A3D8F"/>
    <w:rsid w:val="005A75BD"/>
    <w:rsid w:val="005A7902"/>
    <w:rsid w:val="005B1264"/>
    <w:rsid w:val="005B30B2"/>
    <w:rsid w:val="005B5958"/>
    <w:rsid w:val="005C0D35"/>
    <w:rsid w:val="005C1CF0"/>
    <w:rsid w:val="005C7604"/>
    <w:rsid w:val="005D0DB5"/>
    <w:rsid w:val="005D29BC"/>
    <w:rsid w:val="005D2FA0"/>
    <w:rsid w:val="005D7047"/>
    <w:rsid w:val="005F164D"/>
    <w:rsid w:val="005F3A36"/>
    <w:rsid w:val="005F5AC5"/>
    <w:rsid w:val="005F6992"/>
    <w:rsid w:val="005F70A8"/>
    <w:rsid w:val="005F7928"/>
    <w:rsid w:val="00601602"/>
    <w:rsid w:val="006028E5"/>
    <w:rsid w:val="0060501F"/>
    <w:rsid w:val="006051EA"/>
    <w:rsid w:val="00607E3E"/>
    <w:rsid w:val="006128AD"/>
    <w:rsid w:val="006150B1"/>
    <w:rsid w:val="00617533"/>
    <w:rsid w:val="006219FA"/>
    <w:rsid w:val="00624BA9"/>
    <w:rsid w:val="00625759"/>
    <w:rsid w:val="006302D8"/>
    <w:rsid w:val="0063117A"/>
    <w:rsid w:val="00635542"/>
    <w:rsid w:val="00643F47"/>
    <w:rsid w:val="006451AB"/>
    <w:rsid w:val="0064669F"/>
    <w:rsid w:val="006469F1"/>
    <w:rsid w:val="006471CA"/>
    <w:rsid w:val="0065792D"/>
    <w:rsid w:val="0066157F"/>
    <w:rsid w:val="00663C47"/>
    <w:rsid w:val="00665422"/>
    <w:rsid w:val="00681E9D"/>
    <w:rsid w:val="00682CF9"/>
    <w:rsid w:val="006839B5"/>
    <w:rsid w:val="0068466D"/>
    <w:rsid w:val="00691E80"/>
    <w:rsid w:val="006938DA"/>
    <w:rsid w:val="00693FE6"/>
    <w:rsid w:val="00697A07"/>
    <w:rsid w:val="006A2A43"/>
    <w:rsid w:val="006A4829"/>
    <w:rsid w:val="006A4CD9"/>
    <w:rsid w:val="006B13FE"/>
    <w:rsid w:val="006B7380"/>
    <w:rsid w:val="006B7534"/>
    <w:rsid w:val="006D15A4"/>
    <w:rsid w:val="006D3FF1"/>
    <w:rsid w:val="006D4D5D"/>
    <w:rsid w:val="006E3123"/>
    <w:rsid w:val="006E3943"/>
    <w:rsid w:val="006E5C27"/>
    <w:rsid w:val="006E7396"/>
    <w:rsid w:val="006E7480"/>
    <w:rsid w:val="006F02B0"/>
    <w:rsid w:val="006F28FC"/>
    <w:rsid w:val="007026F2"/>
    <w:rsid w:val="00710D55"/>
    <w:rsid w:val="007125DA"/>
    <w:rsid w:val="00713DC3"/>
    <w:rsid w:val="0071714D"/>
    <w:rsid w:val="00720E50"/>
    <w:rsid w:val="00721116"/>
    <w:rsid w:val="0072120A"/>
    <w:rsid w:val="00722FD5"/>
    <w:rsid w:val="00723875"/>
    <w:rsid w:val="00723F08"/>
    <w:rsid w:val="00726718"/>
    <w:rsid w:val="00727B0F"/>
    <w:rsid w:val="00733B22"/>
    <w:rsid w:val="00735BE4"/>
    <w:rsid w:val="007362EF"/>
    <w:rsid w:val="007370A1"/>
    <w:rsid w:val="0074082C"/>
    <w:rsid w:val="00740B57"/>
    <w:rsid w:val="00746945"/>
    <w:rsid w:val="00750B2E"/>
    <w:rsid w:val="00752424"/>
    <w:rsid w:val="007546D5"/>
    <w:rsid w:val="00754F92"/>
    <w:rsid w:val="00755471"/>
    <w:rsid w:val="00755961"/>
    <w:rsid w:val="00761977"/>
    <w:rsid w:val="007631FC"/>
    <w:rsid w:val="007642D8"/>
    <w:rsid w:val="0076466C"/>
    <w:rsid w:val="00766484"/>
    <w:rsid w:val="007675F8"/>
    <w:rsid w:val="00773906"/>
    <w:rsid w:val="00773A40"/>
    <w:rsid w:val="00785D98"/>
    <w:rsid w:val="00787EEA"/>
    <w:rsid w:val="00791A17"/>
    <w:rsid w:val="0079717C"/>
    <w:rsid w:val="00797370"/>
    <w:rsid w:val="007A271F"/>
    <w:rsid w:val="007A29F9"/>
    <w:rsid w:val="007A53BB"/>
    <w:rsid w:val="007B066E"/>
    <w:rsid w:val="007B11DA"/>
    <w:rsid w:val="007B23E4"/>
    <w:rsid w:val="007B7A56"/>
    <w:rsid w:val="007C00A1"/>
    <w:rsid w:val="007C02BD"/>
    <w:rsid w:val="007C4DD8"/>
    <w:rsid w:val="007D3173"/>
    <w:rsid w:val="007D3703"/>
    <w:rsid w:val="007D5914"/>
    <w:rsid w:val="007D64C6"/>
    <w:rsid w:val="007D69C7"/>
    <w:rsid w:val="007E0F51"/>
    <w:rsid w:val="007E22EA"/>
    <w:rsid w:val="007E6682"/>
    <w:rsid w:val="007F3701"/>
    <w:rsid w:val="007F4044"/>
    <w:rsid w:val="007F4488"/>
    <w:rsid w:val="007F4CB0"/>
    <w:rsid w:val="007F5474"/>
    <w:rsid w:val="007F77E1"/>
    <w:rsid w:val="00802264"/>
    <w:rsid w:val="00803194"/>
    <w:rsid w:val="00803CF0"/>
    <w:rsid w:val="0080505D"/>
    <w:rsid w:val="008060DF"/>
    <w:rsid w:val="0080739B"/>
    <w:rsid w:val="00807551"/>
    <w:rsid w:val="0081141E"/>
    <w:rsid w:val="00813899"/>
    <w:rsid w:val="008161B7"/>
    <w:rsid w:val="00816D36"/>
    <w:rsid w:val="008226CE"/>
    <w:rsid w:val="00823838"/>
    <w:rsid w:val="00823DD8"/>
    <w:rsid w:val="00826C87"/>
    <w:rsid w:val="00827852"/>
    <w:rsid w:val="00830DAF"/>
    <w:rsid w:val="00830E7C"/>
    <w:rsid w:val="00831400"/>
    <w:rsid w:val="00831FB1"/>
    <w:rsid w:val="008330BE"/>
    <w:rsid w:val="00833F36"/>
    <w:rsid w:val="008363A9"/>
    <w:rsid w:val="00837D4B"/>
    <w:rsid w:val="00847704"/>
    <w:rsid w:val="008572DD"/>
    <w:rsid w:val="0086470F"/>
    <w:rsid w:val="00865AA4"/>
    <w:rsid w:val="00866174"/>
    <w:rsid w:val="00866E80"/>
    <w:rsid w:val="008732D4"/>
    <w:rsid w:val="008811FD"/>
    <w:rsid w:val="008838A7"/>
    <w:rsid w:val="00885834"/>
    <w:rsid w:val="00887AE9"/>
    <w:rsid w:val="00890FEF"/>
    <w:rsid w:val="008939B8"/>
    <w:rsid w:val="00893CCD"/>
    <w:rsid w:val="008972A1"/>
    <w:rsid w:val="008974BA"/>
    <w:rsid w:val="008974D7"/>
    <w:rsid w:val="008A1600"/>
    <w:rsid w:val="008A430B"/>
    <w:rsid w:val="008A7E86"/>
    <w:rsid w:val="008B02D9"/>
    <w:rsid w:val="008B1123"/>
    <w:rsid w:val="008B33DF"/>
    <w:rsid w:val="008B4609"/>
    <w:rsid w:val="008B6356"/>
    <w:rsid w:val="008C67F3"/>
    <w:rsid w:val="008C771F"/>
    <w:rsid w:val="008D467D"/>
    <w:rsid w:val="008D6FF2"/>
    <w:rsid w:val="008E1D9E"/>
    <w:rsid w:val="008E44F9"/>
    <w:rsid w:val="008E4D83"/>
    <w:rsid w:val="008E5E95"/>
    <w:rsid w:val="008F2F9C"/>
    <w:rsid w:val="008F3AF9"/>
    <w:rsid w:val="008F5143"/>
    <w:rsid w:val="008F6916"/>
    <w:rsid w:val="008F716F"/>
    <w:rsid w:val="00900544"/>
    <w:rsid w:val="00900550"/>
    <w:rsid w:val="00900E2C"/>
    <w:rsid w:val="009029E2"/>
    <w:rsid w:val="009034E4"/>
    <w:rsid w:val="00904799"/>
    <w:rsid w:val="009066FF"/>
    <w:rsid w:val="00911968"/>
    <w:rsid w:val="00912380"/>
    <w:rsid w:val="0091279F"/>
    <w:rsid w:val="009152F6"/>
    <w:rsid w:val="00915D18"/>
    <w:rsid w:val="00922584"/>
    <w:rsid w:val="009244C3"/>
    <w:rsid w:val="009246AE"/>
    <w:rsid w:val="00931B63"/>
    <w:rsid w:val="009322C0"/>
    <w:rsid w:val="00935623"/>
    <w:rsid w:val="009416C9"/>
    <w:rsid w:val="00943C24"/>
    <w:rsid w:val="00945576"/>
    <w:rsid w:val="009459DD"/>
    <w:rsid w:val="00952C8C"/>
    <w:rsid w:val="009535AF"/>
    <w:rsid w:val="00954345"/>
    <w:rsid w:val="0095603C"/>
    <w:rsid w:val="00956C0E"/>
    <w:rsid w:val="009606DC"/>
    <w:rsid w:val="009607B2"/>
    <w:rsid w:val="00961D6C"/>
    <w:rsid w:val="009643D1"/>
    <w:rsid w:val="00964845"/>
    <w:rsid w:val="00966FA0"/>
    <w:rsid w:val="00973BCC"/>
    <w:rsid w:val="0097515D"/>
    <w:rsid w:val="00977CD9"/>
    <w:rsid w:val="0098017C"/>
    <w:rsid w:val="0098453C"/>
    <w:rsid w:val="00984845"/>
    <w:rsid w:val="00987137"/>
    <w:rsid w:val="00990529"/>
    <w:rsid w:val="009A7E1E"/>
    <w:rsid w:val="009A7EA3"/>
    <w:rsid w:val="009B14AF"/>
    <w:rsid w:val="009B6521"/>
    <w:rsid w:val="009C13B5"/>
    <w:rsid w:val="009C3FB6"/>
    <w:rsid w:val="009C5F6A"/>
    <w:rsid w:val="009C757E"/>
    <w:rsid w:val="009C7689"/>
    <w:rsid w:val="009C7C20"/>
    <w:rsid w:val="009D2C7B"/>
    <w:rsid w:val="009D6A80"/>
    <w:rsid w:val="009E3A27"/>
    <w:rsid w:val="009E45C2"/>
    <w:rsid w:val="009F493A"/>
    <w:rsid w:val="009F5680"/>
    <w:rsid w:val="009F633E"/>
    <w:rsid w:val="00A01EBE"/>
    <w:rsid w:val="00A02E3D"/>
    <w:rsid w:val="00A03C4C"/>
    <w:rsid w:val="00A05EC2"/>
    <w:rsid w:val="00A07C61"/>
    <w:rsid w:val="00A11389"/>
    <w:rsid w:val="00A12145"/>
    <w:rsid w:val="00A13E82"/>
    <w:rsid w:val="00A14AC4"/>
    <w:rsid w:val="00A15536"/>
    <w:rsid w:val="00A159A5"/>
    <w:rsid w:val="00A168AD"/>
    <w:rsid w:val="00A16A57"/>
    <w:rsid w:val="00A2378C"/>
    <w:rsid w:val="00A23B49"/>
    <w:rsid w:val="00A2557E"/>
    <w:rsid w:val="00A259D4"/>
    <w:rsid w:val="00A260EB"/>
    <w:rsid w:val="00A30B63"/>
    <w:rsid w:val="00A321A4"/>
    <w:rsid w:val="00A33464"/>
    <w:rsid w:val="00A35FAB"/>
    <w:rsid w:val="00A405CB"/>
    <w:rsid w:val="00A42DD5"/>
    <w:rsid w:val="00A43E20"/>
    <w:rsid w:val="00A44D40"/>
    <w:rsid w:val="00A45BF0"/>
    <w:rsid w:val="00A4618F"/>
    <w:rsid w:val="00A502F7"/>
    <w:rsid w:val="00A56092"/>
    <w:rsid w:val="00A60428"/>
    <w:rsid w:val="00A631F7"/>
    <w:rsid w:val="00A637C2"/>
    <w:rsid w:val="00A637C6"/>
    <w:rsid w:val="00A64CFF"/>
    <w:rsid w:val="00A71D47"/>
    <w:rsid w:val="00A737BC"/>
    <w:rsid w:val="00A746E9"/>
    <w:rsid w:val="00A75C07"/>
    <w:rsid w:val="00A83A8C"/>
    <w:rsid w:val="00A9158F"/>
    <w:rsid w:val="00A9455C"/>
    <w:rsid w:val="00A95B86"/>
    <w:rsid w:val="00AA0048"/>
    <w:rsid w:val="00AA22A2"/>
    <w:rsid w:val="00AA4735"/>
    <w:rsid w:val="00AA5E0D"/>
    <w:rsid w:val="00AA7E2E"/>
    <w:rsid w:val="00AB1147"/>
    <w:rsid w:val="00AC47CA"/>
    <w:rsid w:val="00AC77CB"/>
    <w:rsid w:val="00AD072C"/>
    <w:rsid w:val="00AD128F"/>
    <w:rsid w:val="00AD1367"/>
    <w:rsid w:val="00AD24F4"/>
    <w:rsid w:val="00AD4071"/>
    <w:rsid w:val="00AD5139"/>
    <w:rsid w:val="00AD6A9C"/>
    <w:rsid w:val="00AD7A76"/>
    <w:rsid w:val="00AE6CAC"/>
    <w:rsid w:val="00AE7890"/>
    <w:rsid w:val="00AF3D7E"/>
    <w:rsid w:val="00AF72CC"/>
    <w:rsid w:val="00AF7903"/>
    <w:rsid w:val="00B03C51"/>
    <w:rsid w:val="00B07280"/>
    <w:rsid w:val="00B273A2"/>
    <w:rsid w:val="00B2757B"/>
    <w:rsid w:val="00B27723"/>
    <w:rsid w:val="00B27C7C"/>
    <w:rsid w:val="00B325DB"/>
    <w:rsid w:val="00B32C7B"/>
    <w:rsid w:val="00B37295"/>
    <w:rsid w:val="00B421D3"/>
    <w:rsid w:val="00B52C5F"/>
    <w:rsid w:val="00B5400A"/>
    <w:rsid w:val="00B569CC"/>
    <w:rsid w:val="00B601A2"/>
    <w:rsid w:val="00B62691"/>
    <w:rsid w:val="00B67617"/>
    <w:rsid w:val="00B7418C"/>
    <w:rsid w:val="00B74266"/>
    <w:rsid w:val="00B75564"/>
    <w:rsid w:val="00B76C3B"/>
    <w:rsid w:val="00B81DDF"/>
    <w:rsid w:val="00B83ECA"/>
    <w:rsid w:val="00B85FA2"/>
    <w:rsid w:val="00B90894"/>
    <w:rsid w:val="00B9295E"/>
    <w:rsid w:val="00B9648E"/>
    <w:rsid w:val="00BA3F47"/>
    <w:rsid w:val="00BA46DE"/>
    <w:rsid w:val="00BA6DFB"/>
    <w:rsid w:val="00BA7AB4"/>
    <w:rsid w:val="00BB1387"/>
    <w:rsid w:val="00BB3B44"/>
    <w:rsid w:val="00BB4314"/>
    <w:rsid w:val="00BB66C3"/>
    <w:rsid w:val="00BB701D"/>
    <w:rsid w:val="00BB7219"/>
    <w:rsid w:val="00BB7CD2"/>
    <w:rsid w:val="00BB7F1F"/>
    <w:rsid w:val="00BC3AD9"/>
    <w:rsid w:val="00BC5AB7"/>
    <w:rsid w:val="00BD0A67"/>
    <w:rsid w:val="00BD66EB"/>
    <w:rsid w:val="00BE2FFB"/>
    <w:rsid w:val="00BE3308"/>
    <w:rsid w:val="00BE38CD"/>
    <w:rsid w:val="00BE40C9"/>
    <w:rsid w:val="00BE6E6B"/>
    <w:rsid w:val="00BF083B"/>
    <w:rsid w:val="00BF0FD8"/>
    <w:rsid w:val="00BF2381"/>
    <w:rsid w:val="00BF4245"/>
    <w:rsid w:val="00BF6972"/>
    <w:rsid w:val="00BF76BC"/>
    <w:rsid w:val="00C00AFC"/>
    <w:rsid w:val="00C05744"/>
    <w:rsid w:val="00C114D1"/>
    <w:rsid w:val="00C15436"/>
    <w:rsid w:val="00C15EDF"/>
    <w:rsid w:val="00C2092D"/>
    <w:rsid w:val="00C22C98"/>
    <w:rsid w:val="00C24A3B"/>
    <w:rsid w:val="00C25680"/>
    <w:rsid w:val="00C25F70"/>
    <w:rsid w:val="00C27090"/>
    <w:rsid w:val="00C30472"/>
    <w:rsid w:val="00C35A7C"/>
    <w:rsid w:val="00C4260B"/>
    <w:rsid w:val="00C433D0"/>
    <w:rsid w:val="00C501EB"/>
    <w:rsid w:val="00C5280F"/>
    <w:rsid w:val="00C52CD5"/>
    <w:rsid w:val="00C647E6"/>
    <w:rsid w:val="00C65D6C"/>
    <w:rsid w:val="00C66DBB"/>
    <w:rsid w:val="00C675A2"/>
    <w:rsid w:val="00C67C89"/>
    <w:rsid w:val="00C75824"/>
    <w:rsid w:val="00C77011"/>
    <w:rsid w:val="00C77C9E"/>
    <w:rsid w:val="00C82703"/>
    <w:rsid w:val="00C833C9"/>
    <w:rsid w:val="00C855E9"/>
    <w:rsid w:val="00C866F8"/>
    <w:rsid w:val="00C92093"/>
    <w:rsid w:val="00C933E5"/>
    <w:rsid w:val="00CA3281"/>
    <w:rsid w:val="00CA5A28"/>
    <w:rsid w:val="00CA67F7"/>
    <w:rsid w:val="00CB29F0"/>
    <w:rsid w:val="00CB3E42"/>
    <w:rsid w:val="00CB507B"/>
    <w:rsid w:val="00CB52B5"/>
    <w:rsid w:val="00CB5E8C"/>
    <w:rsid w:val="00CB6E10"/>
    <w:rsid w:val="00CC1B5F"/>
    <w:rsid w:val="00CC47BA"/>
    <w:rsid w:val="00CC5367"/>
    <w:rsid w:val="00CD1C7D"/>
    <w:rsid w:val="00CD43AD"/>
    <w:rsid w:val="00CD706E"/>
    <w:rsid w:val="00CD7A0A"/>
    <w:rsid w:val="00CE06D4"/>
    <w:rsid w:val="00CE0B0F"/>
    <w:rsid w:val="00CE4E48"/>
    <w:rsid w:val="00CE678F"/>
    <w:rsid w:val="00CE79A4"/>
    <w:rsid w:val="00CF23DF"/>
    <w:rsid w:val="00CF3F3F"/>
    <w:rsid w:val="00CF53A9"/>
    <w:rsid w:val="00CF573C"/>
    <w:rsid w:val="00CF60F4"/>
    <w:rsid w:val="00CF635C"/>
    <w:rsid w:val="00D002D5"/>
    <w:rsid w:val="00D041E5"/>
    <w:rsid w:val="00D11215"/>
    <w:rsid w:val="00D1208A"/>
    <w:rsid w:val="00D143C7"/>
    <w:rsid w:val="00D15264"/>
    <w:rsid w:val="00D15FA0"/>
    <w:rsid w:val="00D175B4"/>
    <w:rsid w:val="00D179C1"/>
    <w:rsid w:val="00D17E26"/>
    <w:rsid w:val="00D20D20"/>
    <w:rsid w:val="00D21199"/>
    <w:rsid w:val="00D27740"/>
    <w:rsid w:val="00D3036D"/>
    <w:rsid w:val="00D30A35"/>
    <w:rsid w:val="00D32BC3"/>
    <w:rsid w:val="00D338F6"/>
    <w:rsid w:val="00D43EDA"/>
    <w:rsid w:val="00D450FD"/>
    <w:rsid w:val="00D45669"/>
    <w:rsid w:val="00D45A56"/>
    <w:rsid w:val="00D5013D"/>
    <w:rsid w:val="00D50B14"/>
    <w:rsid w:val="00D50D0C"/>
    <w:rsid w:val="00D57B5F"/>
    <w:rsid w:val="00D627B5"/>
    <w:rsid w:val="00D63396"/>
    <w:rsid w:val="00D655E4"/>
    <w:rsid w:val="00D71893"/>
    <w:rsid w:val="00D731DE"/>
    <w:rsid w:val="00D759C6"/>
    <w:rsid w:val="00D804E4"/>
    <w:rsid w:val="00D83957"/>
    <w:rsid w:val="00D83D5B"/>
    <w:rsid w:val="00D84419"/>
    <w:rsid w:val="00D8522C"/>
    <w:rsid w:val="00D948CD"/>
    <w:rsid w:val="00D962C0"/>
    <w:rsid w:val="00DA1246"/>
    <w:rsid w:val="00DA33FB"/>
    <w:rsid w:val="00DA36DC"/>
    <w:rsid w:val="00DA7502"/>
    <w:rsid w:val="00DB0281"/>
    <w:rsid w:val="00DB3DAE"/>
    <w:rsid w:val="00DB5CE2"/>
    <w:rsid w:val="00DB6C5B"/>
    <w:rsid w:val="00DC163C"/>
    <w:rsid w:val="00DC72B8"/>
    <w:rsid w:val="00DD2678"/>
    <w:rsid w:val="00DD3B19"/>
    <w:rsid w:val="00DD5432"/>
    <w:rsid w:val="00DD5642"/>
    <w:rsid w:val="00DD609A"/>
    <w:rsid w:val="00DD649D"/>
    <w:rsid w:val="00DD67F6"/>
    <w:rsid w:val="00DD6A35"/>
    <w:rsid w:val="00DD6B39"/>
    <w:rsid w:val="00DE07CD"/>
    <w:rsid w:val="00DE2EE1"/>
    <w:rsid w:val="00DE398B"/>
    <w:rsid w:val="00DE4F01"/>
    <w:rsid w:val="00DE56D0"/>
    <w:rsid w:val="00DE5CE6"/>
    <w:rsid w:val="00DF13A7"/>
    <w:rsid w:val="00DF3581"/>
    <w:rsid w:val="00DF3DFE"/>
    <w:rsid w:val="00E023C1"/>
    <w:rsid w:val="00E038D9"/>
    <w:rsid w:val="00E05206"/>
    <w:rsid w:val="00E10B7C"/>
    <w:rsid w:val="00E11243"/>
    <w:rsid w:val="00E1264A"/>
    <w:rsid w:val="00E14A3D"/>
    <w:rsid w:val="00E20F63"/>
    <w:rsid w:val="00E24CC2"/>
    <w:rsid w:val="00E25E1F"/>
    <w:rsid w:val="00E302EA"/>
    <w:rsid w:val="00E302F6"/>
    <w:rsid w:val="00E32813"/>
    <w:rsid w:val="00E33496"/>
    <w:rsid w:val="00E34E0A"/>
    <w:rsid w:val="00E35319"/>
    <w:rsid w:val="00E42071"/>
    <w:rsid w:val="00E42A69"/>
    <w:rsid w:val="00E43E61"/>
    <w:rsid w:val="00E456BE"/>
    <w:rsid w:val="00E4729E"/>
    <w:rsid w:val="00E47BD2"/>
    <w:rsid w:val="00E47FD9"/>
    <w:rsid w:val="00E550A4"/>
    <w:rsid w:val="00E568BA"/>
    <w:rsid w:val="00E56C65"/>
    <w:rsid w:val="00E610B5"/>
    <w:rsid w:val="00E61412"/>
    <w:rsid w:val="00E664AD"/>
    <w:rsid w:val="00E66F2B"/>
    <w:rsid w:val="00E7199C"/>
    <w:rsid w:val="00E7275C"/>
    <w:rsid w:val="00E73DDA"/>
    <w:rsid w:val="00E74A96"/>
    <w:rsid w:val="00E7735A"/>
    <w:rsid w:val="00E77AC6"/>
    <w:rsid w:val="00E80021"/>
    <w:rsid w:val="00E82F1A"/>
    <w:rsid w:val="00E846AB"/>
    <w:rsid w:val="00E866BD"/>
    <w:rsid w:val="00E87D17"/>
    <w:rsid w:val="00E926F9"/>
    <w:rsid w:val="00E94C22"/>
    <w:rsid w:val="00E94D47"/>
    <w:rsid w:val="00E96910"/>
    <w:rsid w:val="00EA1224"/>
    <w:rsid w:val="00EA268F"/>
    <w:rsid w:val="00EA2B1E"/>
    <w:rsid w:val="00EA5169"/>
    <w:rsid w:val="00EA5807"/>
    <w:rsid w:val="00EB033C"/>
    <w:rsid w:val="00EB2724"/>
    <w:rsid w:val="00EB33A9"/>
    <w:rsid w:val="00EB35CA"/>
    <w:rsid w:val="00EB43E0"/>
    <w:rsid w:val="00EB44FE"/>
    <w:rsid w:val="00EB469E"/>
    <w:rsid w:val="00EB537B"/>
    <w:rsid w:val="00EB7A13"/>
    <w:rsid w:val="00EC0A34"/>
    <w:rsid w:val="00EC6C22"/>
    <w:rsid w:val="00ED3485"/>
    <w:rsid w:val="00ED6F94"/>
    <w:rsid w:val="00EE00D7"/>
    <w:rsid w:val="00EE2855"/>
    <w:rsid w:val="00EE353D"/>
    <w:rsid w:val="00EE75C7"/>
    <w:rsid w:val="00EF769E"/>
    <w:rsid w:val="00F0335B"/>
    <w:rsid w:val="00F05D69"/>
    <w:rsid w:val="00F079ED"/>
    <w:rsid w:val="00F10338"/>
    <w:rsid w:val="00F26714"/>
    <w:rsid w:val="00F27883"/>
    <w:rsid w:val="00F3095C"/>
    <w:rsid w:val="00F32C74"/>
    <w:rsid w:val="00F35458"/>
    <w:rsid w:val="00F35C3C"/>
    <w:rsid w:val="00F36665"/>
    <w:rsid w:val="00F3700E"/>
    <w:rsid w:val="00F411A3"/>
    <w:rsid w:val="00F42213"/>
    <w:rsid w:val="00F430E2"/>
    <w:rsid w:val="00F50E9D"/>
    <w:rsid w:val="00F53BD7"/>
    <w:rsid w:val="00F5572D"/>
    <w:rsid w:val="00F60E81"/>
    <w:rsid w:val="00F65E7A"/>
    <w:rsid w:val="00F6642A"/>
    <w:rsid w:val="00F66EFD"/>
    <w:rsid w:val="00F709F3"/>
    <w:rsid w:val="00F71DCA"/>
    <w:rsid w:val="00F72684"/>
    <w:rsid w:val="00F7362A"/>
    <w:rsid w:val="00F74335"/>
    <w:rsid w:val="00F77C5F"/>
    <w:rsid w:val="00F8055C"/>
    <w:rsid w:val="00F853DB"/>
    <w:rsid w:val="00F857FD"/>
    <w:rsid w:val="00F94708"/>
    <w:rsid w:val="00F97BF8"/>
    <w:rsid w:val="00FA1F8E"/>
    <w:rsid w:val="00FA37EF"/>
    <w:rsid w:val="00FA3BE7"/>
    <w:rsid w:val="00FA60C7"/>
    <w:rsid w:val="00FA7E26"/>
    <w:rsid w:val="00FB1347"/>
    <w:rsid w:val="00FB16C7"/>
    <w:rsid w:val="00FB1FCE"/>
    <w:rsid w:val="00FB2A0B"/>
    <w:rsid w:val="00FB4E45"/>
    <w:rsid w:val="00FC29C0"/>
    <w:rsid w:val="00FD2016"/>
    <w:rsid w:val="00FD2CCF"/>
    <w:rsid w:val="00FD3D71"/>
    <w:rsid w:val="00FD4318"/>
    <w:rsid w:val="00FD4614"/>
    <w:rsid w:val="00FD53FE"/>
    <w:rsid w:val="00FE0784"/>
    <w:rsid w:val="00FE2247"/>
    <w:rsid w:val="00FF3F0F"/>
    <w:rsid w:val="00FF523C"/>
    <w:rsid w:val="00FF759E"/>
    <w:rsid w:val="00FF76A3"/>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52A253"/>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1141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1141E"/>
    <w:rPr>
      <w:rFonts w:ascii="Times New Roman" w:hAnsi="Times New Roman" w:cs="Times New Roman"/>
      <w:sz w:val="18"/>
      <w:szCs w:val="18"/>
    </w:rPr>
  </w:style>
  <w:style w:type="paragraph" w:styleId="ListParagraph">
    <w:name w:val="List Paragraph"/>
    <w:basedOn w:val="Normal"/>
    <w:uiPriority w:val="34"/>
    <w:qFormat/>
    <w:rsid w:val="009066FF"/>
    <w:pPr>
      <w:ind w:left="720"/>
      <w:contextualSpacing/>
    </w:pPr>
  </w:style>
  <w:style w:type="character" w:styleId="CommentReference">
    <w:name w:val="annotation reference"/>
    <w:basedOn w:val="DefaultParagraphFont"/>
    <w:uiPriority w:val="99"/>
    <w:semiHidden/>
    <w:unhideWhenUsed/>
    <w:rsid w:val="00CA5A28"/>
    <w:rPr>
      <w:sz w:val="18"/>
      <w:szCs w:val="18"/>
    </w:rPr>
  </w:style>
  <w:style w:type="paragraph" w:styleId="CommentText">
    <w:name w:val="annotation text"/>
    <w:basedOn w:val="Normal"/>
    <w:link w:val="CommentTextChar"/>
    <w:uiPriority w:val="99"/>
    <w:unhideWhenUsed/>
    <w:rsid w:val="00CA5A28"/>
  </w:style>
  <w:style w:type="character" w:customStyle="1" w:styleId="CommentTextChar">
    <w:name w:val="Comment Text Char"/>
    <w:basedOn w:val="DefaultParagraphFont"/>
    <w:link w:val="CommentText"/>
    <w:uiPriority w:val="99"/>
    <w:rsid w:val="00CA5A28"/>
  </w:style>
  <w:style w:type="paragraph" w:styleId="CommentSubject">
    <w:name w:val="annotation subject"/>
    <w:basedOn w:val="CommentText"/>
    <w:next w:val="CommentText"/>
    <w:link w:val="CommentSubjectChar"/>
    <w:uiPriority w:val="99"/>
    <w:semiHidden/>
    <w:unhideWhenUsed/>
    <w:rsid w:val="00CA5A28"/>
    <w:rPr>
      <w:b/>
      <w:bCs/>
      <w:sz w:val="20"/>
      <w:szCs w:val="20"/>
    </w:rPr>
  </w:style>
  <w:style w:type="character" w:customStyle="1" w:styleId="CommentSubjectChar">
    <w:name w:val="Comment Subject Char"/>
    <w:basedOn w:val="CommentTextChar"/>
    <w:link w:val="CommentSubject"/>
    <w:uiPriority w:val="99"/>
    <w:semiHidden/>
    <w:rsid w:val="00CA5A28"/>
    <w:rPr>
      <w:b/>
      <w:bCs/>
      <w:sz w:val="20"/>
      <w:szCs w:val="20"/>
    </w:rPr>
  </w:style>
  <w:style w:type="paragraph" w:styleId="Revision">
    <w:name w:val="Revision"/>
    <w:hidden/>
    <w:uiPriority w:val="99"/>
    <w:semiHidden/>
    <w:rsid w:val="00D43EDA"/>
  </w:style>
  <w:style w:type="paragraph" w:styleId="Footer">
    <w:name w:val="footer"/>
    <w:basedOn w:val="Normal"/>
    <w:link w:val="FooterChar"/>
    <w:uiPriority w:val="99"/>
    <w:unhideWhenUsed/>
    <w:rsid w:val="00F53BD7"/>
    <w:pPr>
      <w:tabs>
        <w:tab w:val="center" w:pos="4513"/>
        <w:tab w:val="right" w:pos="9026"/>
      </w:tabs>
    </w:pPr>
  </w:style>
  <w:style w:type="character" w:customStyle="1" w:styleId="FooterChar">
    <w:name w:val="Footer Char"/>
    <w:basedOn w:val="DefaultParagraphFont"/>
    <w:link w:val="Footer"/>
    <w:uiPriority w:val="99"/>
    <w:rsid w:val="00F53BD7"/>
  </w:style>
  <w:style w:type="character" w:styleId="PageNumber">
    <w:name w:val="page number"/>
    <w:basedOn w:val="DefaultParagraphFont"/>
    <w:uiPriority w:val="99"/>
    <w:semiHidden/>
    <w:unhideWhenUsed/>
    <w:rsid w:val="00F53BD7"/>
  </w:style>
  <w:style w:type="character" w:styleId="Hyperlink">
    <w:name w:val="Hyperlink"/>
    <w:basedOn w:val="DefaultParagraphFont"/>
    <w:uiPriority w:val="99"/>
    <w:unhideWhenUsed/>
    <w:rsid w:val="00C65D6C"/>
    <w:rPr>
      <w:color w:val="0563C1" w:themeColor="hyperlink"/>
      <w:u w:val="single"/>
    </w:rPr>
  </w:style>
  <w:style w:type="character" w:styleId="PlaceholderText">
    <w:name w:val="Placeholder Text"/>
    <w:basedOn w:val="DefaultParagraphFont"/>
    <w:uiPriority w:val="99"/>
    <w:semiHidden/>
    <w:rsid w:val="009246AE"/>
    <w:rPr>
      <w:color w:val="808080"/>
    </w:rPr>
  </w:style>
  <w:style w:type="paragraph" w:styleId="Title">
    <w:name w:val="Title"/>
    <w:aliases w:val="title"/>
    <w:basedOn w:val="Normal"/>
    <w:link w:val="TitleChar"/>
    <w:uiPriority w:val="10"/>
    <w:qFormat/>
    <w:rsid w:val="00DC163C"/>
    <w:pPr>
      <w:spacing w:before="100" w:beforeAutospacing="1" w:after="100" w:afterAutospacing="1"/>
    </w:pPr>
    <w:rPr>
      <w:rFonts w:ascii="Times New Roman" w:hAnsi="Times New Roman" w:cs="Times New Roman"/>
      <w:lang w:val="en-US"/>
    </w:rPr>
  </w:style>
  <w:style w:type="character" w:customStyle="1" w:styleId="TitleChar">
    <w:name w:val="Title Char"/>
    <w:aliases w:val="title Char"/>
    <w:basedOn w:val="DefaultParagraphFont"/>
    <w:link w:val="Title"/>
    <w:uiPriority w:val="10"/>
    <w:rsid w:val="00DC163C"/>
    <w:rPr>
      <w:rFonts w:ascii="Times New Roman" w:hAnsi="Times New Roman" w:cs="Times New Roman"/>
      <w:lang w:val="en-US"/>
    </w:rPr>
  </w:style>
  <w:style w:type="character" w:customStyle="1" w:styleId="apple-converted-space">
    <w:name w:val="apple-converted-space"/>
    <w:basedOn w:val="DefaultParagraphFont"/>
    <w:rsid w:val="00DC163C"/>
  </w:style>
  <w:style w:type="paragraph" w:customStyle="1" w:styleId="desc">
    <w:name w:val="desc"/>
    <w:basedOn w:val="Normal"/>
    <w:rsid w:val="00DC163C"/>
    <w:pPr>
      <w:spacing w:before="100" w:beforeAutospacing="1" w:after="100" w:afterAutospacing="1"/>
    </w:pPr>
    <w:rPr>
      <w:rFonts w:ascii="Times New Roman" w:hAnsi="Times New Roman" w:cs="Times New Roman"/>
      <w:lang w:val="en-US"/>
    </w:rPr>
  </w:style>
  <w:style w:type="paragraph" w:customStyle="1" w:styleId="details">
    <w:name w:val="details"/>
    <w:basedOn w:val="Normal"/>
    <w:rsid w:val="00DC163C"/>
    <w:pPr>
      <w:spacing w:before="100" w:beforeAutospacing="1" w:after="100" w:afterAutospacing="1"/>
    </w:pPr>
    <w:rPr>
      <w:rFonts w:ascii="Times New Roman" w:hAnsi="Times New Roman" w:cs="Times New Roman"/>
      <w:lang w:val="en-US"/>
    </w:rPr>
  </w:style>
  <w:style w:type="character" w:customStyle="1" w:styleId="jrnl">
    <w:name w:val="jrnl"/>
    <w:basedOn w:val="DefaultParagraphFont"/>
    <w:rsid w:val="00DC163C"/>
  </w:style>
  <w:style w:type="paragraph" w:customStyle="1" w:styleId="p1">
    <w:name w:val="p1"/>
    <w:basedOn w:val="Normal"/>
    <w:rsid w:val="002737C6"/>
    <w:rPr>
      <w:rFonts w:ascii="Times" w:hAnsi="Times" w:cs="Times New Roman"/>
      <w:sz w:val="15"/>
      <w:szCs w:val="15"/>
      <w:lang w:val="en-US"/>
    </w:rPr>
  </w:style>
  <w:style w:type="character" w:styleId="FollowedHyperlink">
    <w:name w:val="FollowedHyperlink"/>
    <w:basedOn w:val="DefaultParagraphFont"/>
    <w:uiPriority w:val="99"/>
    <w:semiHidden/>
    <w:unhideWhenUsed/>
    <w:rsid w:val="00F94708"/>
    <w:rPr>
      <w:color w:val="954F72" w:themeColor="followedHyperlink"/>
      <w:u w:val="single"/>
    </w:rPr>
  </w:style>
  <w:style w:type="paragraph" w:styleId="NormalWeb">
    <w:name w:val="Normal (Web)"/>
    <w:basedOn w:val="Normal"/>
    <w:uiPriority w:val="99"/>
    <w:semiHidden/>
    <w:unhideWhenUsed/>
    <w:rsid w:val="00165E48"/>
    <w:pPr>
      <w:spacing w:before="100" w:beforeAutospacing="1" w:after="100" w:afterAutospacing="1"/>
    </w:pPr>
    <w:rPr>
      <w:rFonts w:ascii="Times New Roman" w:eastAsiaTheme="minorEastAsia"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21145">
      <w:bodyDiv w:val="1"/>
      <w:marLeft w:val="0"/>
      <w:marRight w:val="0"/>
      <w:marTop w:val="0"/>
      <w:marBottom w:val="0"/>
      <w:divBdr>
        <w:top w:val="none" w:sz="0" w:space="0" w:color="auto"/>
        <w:left w:val="none" w:sz="0" w:space="0" w:color="auto"/>
        <w:bottom w:val="none" w:sz="0" w:space="0" w:color="auto"/>
        <w:right w:val="none" w:sz="0" w:space="0" w:color="auto"/>
      </w:divBdr>
    </w:div>
    <w:div w:id="134492830">
      <w:bodyDiv w:val="1"/>
      <w:marLeft w:val="0"/>
      <w:marRight w:val="0"/>
      <w:marTop w:val="0"/>
      <w:marBottom w:val="0"/>
      <w:divBdr>
        <w:top w:val="none" w:sz="0" w:space="0" w:color="auto"/>
        <w:left w:val="none" w:sz="0" w:space="0" w:color="auto"/>
        <w:bottom w:val="none" w:sz="0" w:space="0" w:color="auto"/>
        <w:right w:val="none" w:sz="0" w:space="0" w:color="auto"/>
      </w:divBdr>
    </w:div>
    <w:div w:id="549878922">
      <w:bodyDiv w:val="1"/>
      <w:marLeft w:val="0"/>
      <w:marRight w:val="0"/>
      <w:marTop w:val="0"/>
      <w:marBottom w:val="0"/>
      <w:divBdr>
        <w:top w:val="none" w:sz="0" w:space="0" w:color="auto"/>
        <w:left w:val="none" w:sz="0" w:space="0" w:color="auto"/>
        <w:bottom w:val="none" w:sz="0" w:space="0" w:color="auto"/>
        <w:right w:val="none" w:sz="0" w:space="0" w:color="auto"/>
      </w:divBdr>
    </w:div>
    <w:div w:id="639655502">
      <w:bodyDiv w:val="1"/>
      <w:marLeft w:val="0"/>
      <w:marRight w:val="0"/>
      <w:marTop w:val="0"/>
      <w:marBottom w:val="0"/>
      <w:divBdr>
        <w:top w:val="none" w:sz="0" w:space="0" w:color="auto"/>
        <w:left w:val="none" w:sz="0" w:space="0" w:color="auto"/>
        <w:bottom w:val="none" w:sz="0" w:space="0" w:color="auto"/>
        <w:right w:val="none" w:sz="0" w:space="0" w:color="auto"/>
      </w:divBdr>
    </w:div>
    <w:div w:id="741101834">
      <w:bodyDiv w:val="1"/>
      <w:marLeft w:val="0"/>
      <w:marRight w:val="0"/>
      <w:marTop w:val="0"/>
      <w:marBottom w:val="0"/>
      <w:divBdr>
        <w:top w:val="none" w:sz="0" w:space="0" w:color="auto"/>
        <w:left w:val="none" w:sz="0" w:space="0" w:color="auto"/>
        <w:bottom w:val="none" w:sz="0" w:space="0" w:color="auto"/>
        <w:right w:val="none" w:sz="0" w:space="0" w:color="auto"/>
      </w:divBdr>
    </w:div>
    <w:div w:id="745417374">
      <w:bodyDiv w:val="1"/>
      <w:marLeft w:val="0"/>
      <w:marRight w:val="0"/>
      <w:marTop w:val="0"/>
      <w:marBottom w:val="0"/>
      <w:divBdr>
        <w:top w:val="none" w:sz="0" w:space="0" w:color="auto"/>
        <w:left w:val="none" w:sz="0" w:space="0" w:color="auto"/>
        <w:bottom w:val="none" w:sz="0" w:space="0" w:color="auto"/>
        <w:right w:val="none" w:sz="0" w:space="0" w:color="auto"/>
      </w:divBdr>
      <w:divsChild>
        <w:div w:id="555706897">
          <w:marLeft w:val="0"/>
          <w:marRight w:val="0"/>
          <w:marTop w:val="34"/>
          <w:marBottom w:val="34"/>
          <w:divBdr>
            <w:top w:val="none" w:sz="0" w:space="0" w:color="auto"/>
            <w:left w:val="none" w:sz="0" w:space="0" w:color="auto"/>
            <w:bottom w:val="none" w:sz="0" w:space="0" w:color="auto"/>
            <w:right w:val="none" w:sz="0" w:space="0" w:color="auto"/>
          </w:divBdr>
        </w:div>
      </w:divsChild>
    </w:div>
    <w:div w:id="758529195">
      <w:bodyDiv w:val="1"/>
      <w:marLeft w:val="0"/>
      <w:marRight w:val="0"/>
      <w:marTop w:val="0"/>
      <w:marBottom w:val="0"/>
      <w:divBdr>
        <w:top w:val="none" w:sz="0" w:space="0" w:color="auto"/>
        <w:left w:val="none" w:sz="0" w:space="0" w:color="auto"/>
        <w:bottom w:val="none" w:sz="0" w:space="0" w:color="auto"/>
        <w:right w:val="none" w:sz="0" w:space="0" w:color="auto"/>
      </w:divBdr>
    </w:div>
    <w:div w:id="917205560">
      <w:bodyDiv w:val="1"/>
      <w:marLeft w:val="0"/>
      <w:marRight w:val="0"/>
      <w:marTop w:val="0"/>
      <w:marBottom w:val="0"/>
      <w:divBdr>
        <w:top w:val="none" w:sz="0" w:space="0" w:color="auto"/>
        <w:left w:val="none" w:sz="0" w:space="0" w:color="auto"/>
        <w:bottom w:val="none" w:sz="0" w:space="0" w:color="auto"/>
        <w:right w:val="none" w:sz="0" w:space="0" w:color="auto"/>
      </w:divBdr>
    </w:div>
    <w:div w:id="1205017775">
      <w:bodyDiv w:val="1"/>
      <w:marLeft w:val="0"/>
      <w:marRight w:val="0"/>
      <w:marTop w:val="0"/>
      <w:marBottom w:val="0"/>
      <w:divBdr>
        <w:top w:val="none" w:sz="0" w:space="0" w:color="auto"/>
        <w:left w:val="none" w:sz="0" w:space="0" w:color="auto"/>
        <w:bottom w:val="none" w:sz="0" w:space="0" w:color="auto"/>
        <w:right w:val="none" w:sz="0" w:space="0" w:color="auto"/>
      </w:divBdr>
    </w:div>
    <w:div w:id="1319966249">
      <w:bodyDiv w:val="1"/>
      <w:marLeft w:val="0"/>
      <w:marRight w:val="0"/>
      <w:marTop w:val="0"/>
      <w:marBottom w:val="0"/>
      <w:divBdr>
        <w:top w:val="none" w:sz="0" w:space="0" w:color="auto"/>
        <w:left w:val="none" w:sz="0" w:space="0" w:color="auto"/>
        <w:bottom w:val="none" w:sz="0" w:space="0" w:color="auto"/>
        <w:right w:val="none" w:sz="0" w:space="0" w:color="auto"/>
      </w:divBdr>
      <w:divsChild>
        <w:div w:id="134839974">
          <w:marLeft w:val="0"/>
          <w:marRight w:val="0"/>
          <w:marTop w:val="34"/>
          <w:marBottom w:val="34"/>
          <w:divBdr>
            <w:top w:val="none" w:sz="0" w:space="0" w:color="auto"/>
            <w:left w:val="none" w:sz="0" w:space="0" w:color="auto"/>
            <w:bottom w:val="none" w:sz="0" w:space="0" w:color="auto"/>
            <w:right w:val="none" w:sz="0" w:space="0" w:color="auto"/>
          </w:divBdr>
        </w:div>
      </w:divsChild>
    </w:div>
    <w:div w:id="1650019855">
      <w:bodyDiv w:val="1"/>
      <w:marLeft w:val="0"/>
      <w:marRight w:val="0"/>
      <w:marTop w:val="0"/>
      <w:marBottom w:val="0"/>
      <w:divBdr>
        <w:top w:val="none" w:sz="0" w:space="0" w:color="auto"/>
        <w:left w:val="none" w:sz="0" w:space="0" w:color="auto"/>
        <w:bottom w:val="none" w:sz="0" w:space="0" w:color="auto"/>
        <w:right w:val="none" w:sz="0" w:space="0" w:color="auto"/>
      </w:divBdr>
    </w:div>
    <w:div w:id="2095274928">
      <w:bodyDiv w:val="1"/>
      <w:marLeft w:val="0"/>
      <w:marRight w:val="0"/>
      <w:marTop w:val="0"/>
      <w:marBottom w:val="0"/>
      <w:divBdr>
        <w:top w:val="none" w:sz="0" w:space="0" w:color="auto"/>
        <w:left w:val="none" w:sz="0" w:space="0" w:color="auto"/>
        <w:bottom w:val="none" w:sz="0" w:space="0" w:color="auto"/>
        <w:right w:val="none" w:sz="0" w:space="0" w:color="auto"/>
      </w:divBdr>
    </w:div>
    <w:div w:id="21066103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tiff"/><Relationship Id="rId15" Type="http://schemas.openxmlformats.org/officeDocument/2006/relationships/image" Target="media/image6.jpeg"/><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B316ACE-B6E3-A648-9396-341BA6F1C1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28</Pages>
  <Words>59840</Words>
  <Characters>341089</Characters>
  <Application>Microsoft Macintosh Word</Application>
  <DocSecurity>0</DocSecurity>
  <Lines>2842</Lines>
  <Paragraphs>800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400129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 Zaccagna</dc:creator>
  <cp:keywords/>
  <dc:description/>
  <cp:lastModifiedBy>F. Zaccagna</cp:lastModifiedBy>
  <cp:revision>37</cp:revision>
  <dcterms:created xsi:type="dcterms:W3CDTF">2017-12-12T05:56:00Z</dcterms:created>
  <dcterms:modified xsi:type="dcterms:W3CDTF">2018-01-08T00:41:00Z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6081994e-2b60-31a6-a227-ed66e98f664b</vt:lpwstr>
  </property>
  <property fmtid="{D5CDD505-2E9C-101B-9397-08002B2CF9AE}" pid="4" name="Mendeley Citation Style_1">
    <vt:lpwstr>http://csl.mendeley.com/styles/128948521/vancouver-superscript-2</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16th edition (author-date)</vt:lpwstr>
  </property>
  <property fmtid="{D5CDD505-2E9C-101B-9397-08002B2CF9AE}" pid="13" name="Mendeley Recent Style Id 4_1">
    <vt:lpwstr>http://www.zotero.org/styles/harvard1</vt:lpwstr>
  </property>
  <property fmtid="{D5CDD505-2E9C-101B-9397-08002B2CF9AE}" pid="14" name="Mendeley Recent Style Name 4_1">
    <vt:lpwstr>Harvard reference format 1 (deprecated)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7th edition</vt:lpwstr>
  </property>
  <property fmtid="{D5CDD505-2E9C-101B-9397-08002B2CF9AE}" pid="21" name="Mendeley Recent Style Id 8_1">
    <vt:lpwstr>http://www.zotero.org/styles/vancouver-superscript</vt:lpwstr>
  </property>
  <property fmtid="{D5CDD505-2E9C-101B-9397-08002B2CF9AE}" pid="22" name="Mendeley Recent Style Name 8_1">
    <vt:lpwstr>Vancouver (superscript)</vt:lpwstr>
  </property>
  <property fmtid="{D5CDD505-2E9C-101B-9397-08002B2CF9AE}" pid="23" name="Mendeley Recent Style Id 9_1">
    <vt:lpwstr>http://csl.mendeley.com/styles/128948521/vancouver-superscript-2</vt:lpwstr>
  </property>
  <property fmtid="{D5CDD505-2E9C-101B-9397-08002B2CF9AE}" pid="24" name="Mendeley Recent Style Name 9_1">
    <vt:lpwstr>Vancouver (superscript) - Fulvio Zaccagna</vt:lpwstr>
  </property>
</Properties>
</file>