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AE4BA" w14:textId="1B6883FD" w:rsidR="00296BF4" w:rsidRPr="00925C52" w:rsidRDefault="00607795" w:rsidP="00607795">
      <w:pPr>
        <w:pStyle w:val="Heading2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925C52">
        <w:rPr>
          <w:rFonts w:asciiTheme="minorHAnsi" w:hAnsiTheme="minorHAnsi" w:cstheme="minorHAnsi"/>
          <w:color w:val="auto"/>
        </w:rPr>
        <w:t>Methods</w:t>
      </w:r>
    </w:p>
    <w:p w14:paraId="147579A2" w14:textId="77777777" w:rsidR="00607795" w:rsidRPr="00925C52" w:rsidRDefault="00607795" w:rsidP="00607795">
      <w:pPr>
        <w:pStyle w:val="Heading3"/>
        <w:rPr>
          <w:rFonts w:asciiTheme="minorHAnsi" w:hAnsiTheme="minorHAnsi" w:cstheme="minorHAnsi"/>
          <w:color w:val="auto"/>
        </w:rPr>
      </w:pPr>
      <w:r w:rsidRPr="00925C52">
        <w:rPr>
          <w:rFonts w:asciiTheme="minorHAnsi" w:hAnsiTheme="minorHAnsi" w:cstheme="minorHAnsi"/>
          <w:color w:val="auto"/>
        </w:rPr>
        <w:t>Population stratification</w:t>
      </w:r>
    </w:p>
    <w:p w14:paraId="447D5B17" w14:textId="56F587A1" w:rsidR="008A6116" w:rsidRDefault="00724E5D" w:rsidP="00607795">
      <w:r>
        <w:t xml:space="preserve">Ancestry can be a significant confounder in genetic association studies and </w:t>
      </w:r>
      <w:r w:rsidR="00296BF4">
        <w:t>is important to</w:t>
      </w:r>
      <w:r>
        <w:t xml:space="preserve"> </w:t>
      </w:r>
      <w:r w:rsidR="00B10324">
        <w:t>assess</w:t>
      </w:r>
      <w:r w:rsidR="008B14F6">
        <w:t>.</w:t>
      </w:r>
      <w:r w:rsidR="002165C5">
        <w:t xml:space="preserve"> While self</w:t>
      </w:r>
      <w:r w:rsidR="00296BF4">
        <w:t xml:space="preserve">–reported ethnicity is often used as a surrogate for genetic ancestry, it is not </w:t>
      </w:r>
      <w:r w:rsidR="002165C5">
        <w:t>always available</w:t>
      </w:r>
      <w:r w:rsidR="001E2252">
        <w:t xml:space="preserve"> and may not always reflect genetic ancestry in admixed populations</w:t>
      </w:r>
      <w:r w:rsidR="002165C5">
        <w:t>.</w:t>
      </w:r>
      <w:r w:rsidR="000550F8">
        <w:t xml:space="preserve"> </w:t>
      </w:r>
      <w:r w:rsidR="00296BF4">
        <w:t>In our study, m</w:t>
      </w:r>
      <w:r w:rsidR="000550F8">
        <w:t xml:space="preserve">aternal reported ethnicity was available for 67% of cases, with no information of paternal ethnicity. Due to the lack of complete information and the desire to assess fetal (placental) genetic ancestry rather than </w:t>
      </w:r>
      <w:r w:rsidR="00C74EEE">
        <w:t xml:space="preserve">that </w:t>
      </w:r>
      <w:r w:rsidR="000550F8">
        <w:t xml:space="preserve">of the mother, we chose to utilize a panel </w:t>
      </w:r>
      <w:r w:rsidR="00607795">
        <w:t>of 57 ancestry informative marker SNPs (</w:t>
      </w:r>
      <w:proofErr w:type="spellStart"/>
      <w:r w:rsidR="00607795">
        <w:t>AIMs</w:t>
      </w:r>
      <w:proofErr w:type="spellEnd"/>
      <w:proofErr w:type="gramStart"/>
      <w:r w:rsidR="00607795">
        <w:t>)</w:t>
      </w:r>
      <w:proofErr w:type="gramEnd"/>
      <w:r w:rsidR="00607795">
        <w:fldChar w:fldCharType="begin"/>
      </w:r>
      <w:r w:rsidR="004469D7">
        <w:instrText>ADDIN RW.CITE{{16 Phillips,C. 2007; 15 Fondevila,M. 2013; 17 Phillips,C. 2013}}</w:instrText>
      </w:r>
      <w:r w:rsidR="00607795">
        <w:fldChar w:fldCharType="separate"/>
      </w:r>
      <w:r w:rsidR="00D14439" w:rsidRPr="00D14439">
        <w:rPr>
          <w:rFonts w:ascii="Calibri" w:hAnsi="Calibri" w:cs="Calibri"/>
        </w:rPr>
        <w:t>[1-3]</w:t>
      </w:r>
      <w:r w:rsidR="00607795">
        <w:fldChar w:fldCharType="end"/>
      </w:r>
      <w:r w:rsidR="000550F8">
        <w:t xml:space="preserve"> to assess population stratification in our study. This panel was designed </w:t>
      </w:r>
      <w:r w:rsidR="00C44A13">
        <w:t>by Phillips et al.</w:t>
      </w:r>
      <w:r w:rsidR="00C44A13">
        <w:fldChar w:fldCharType="begin"/>
      </w:r>
      <w:r w:rsidR="00C44A13">
        <w:instrText>ADDIN RW.CITE{{16 Phillips,C. 2007; 15 Fondevila,M. 2013; 17 Phillips,C. 2013}}</w:instrText>
      </w:r>
      <w:r w:rsidR="00C44A13">
        <w:fldChar w:fldCharType="separate"/>
      </w:r>
      <w:proofErr w:type="gramStart"/>
      <w:r w:rsidR="00D14439" w:rsidRPr="00D14439">
        <w:rPr>
          <w:rFonts w:ascii="Calibri" w:hAnsi="Calibri" w:cs="Calibri"/>
        </w:rPr>
        <w:t>[1-3]</w:t>
      </w:r>
      <w:r w:rsidR="00C44A13">
        <w:fldChar w:fldCharType="end"/>
      </w:r>
      <w:r w:rsidR="00C44A13">
        <w:t xml:space="preserve"> </w:t>
      </w:r>
      <w:r w:rsidR="000550F8">
        <w:t>to differentiate between European, South Asian, East Asian, and African ancestry.</w:t>
      </w:r>
      <w:proofErr w:type="gramEnd"/>
      <w:r w:rsidR="000550F8">
        <w:t xml:space="preserve"> Rather than use these SNPs to categorize samples into discrete ancestry groups, we </w:t>
      </w:r>
      <w:r w:rsidR="00C74EEE">
        <w:t>developed</w:t>
      </w:r>
      <w:r w:rsidR="000550F8">
        <w:t xml:space="preserve"> a method </w:t>
      </w:r>
      <w:r w:rsidR="00C74EEE">
        <w:t xml:space="preserve">in which </w:t>
      </w:r>
      <w:r w:rsidR="000550F8">
        <w:t xml:space="preserve">ancestry </w:t>
      </w:r>
      <w:r w:rsidR="00C74EEE">
        <w:t xml:space="preserve">could be described </w:t>
      </w:r>
      <w:r w:rsidR="000550F8">
        <w:t xml:space="preserve">as a continuous variable, which may better reflect </w:t>
      </w:r>
      <w:r w:rsidR="00A0030B">
        <w:t xml:space="preserve">admixture in </w:t>
      </w:r>
      <w:r w:rsidR="00D14439">
        <w:t>our</w:t>
      </w:r>
      <w:r w:rsidR="00A0030B">
        <w:t xml:space="preserve"> population</w:t>
      </w:r>
      <w:r w:rsidR="00D14439">
        <w:t xml:space="preserve"> from </w:t>
      </w:r>
      <w:proofErr w:type="spellStart"/>
      <w:r w:rsidR="00D14439">
        <w:t>Vancovuer</w:t>
      </w:r>
      <w:proofErr w:type="spellEnd"/>
      <w:r w:rsidR="00D14439">
        <w:t>, Canada</w:t>
      </w:r>
      <w:r w:rsidR="000550F8">
        <w:t xml:space="preserve">. </w:t>
      </w:r>
    </w:p>
    <w:p w14:paraId="661B5E98" w14:textId="5E2F14C3" w:rsidR="00C104CA" w:rsidRDefault="00607795" w:rsidP="00607795">
      <w:r>
        <w:t>N=</w:t>
      </w:r>
      <w:r w:rsidR="006B4A08">
        <w:t>287</w:t>
      </w:r>
      <w:r w:rsidR="002D63B4">
        <w:t xml:space="preserve"> placental vill</w:t>
      </w:r>
      <w:r>
        <w:t xml:space="preserve">us </w:t>
      </w:r>
      <w:r w:rsidR="007E426D">
        <w:t>DNA samples were genotyped at 55</w:t>
      </w:r>
      <w:r>
        <w:t xml:space="preserve"> </w:t>
      </w:r>
      <w:r w:rsidR="008A6116">
        <w:t>AIM</w:t>
      </w:r>
      <w:r>
        <w:t xml:space="preserve"> SNPs (</w:t>
      </w:r>
      <w:proofErr w:type="gramStart"/>
      <w:r w:rsidR="007E426D">
        <w:t>2</w:t>
      </w:r>
      <w:proofErr w:type="gramEnd"/>
      <w:r>
        <w:t xml:space="preserve"> assay</w:t>
      </w:r>
      <w:r w:rsidR="007E426D">
        <w:t>s were</w:t>
      </w:r>
      <w:r>
        <w:t xml:space="preserve"> not designable) using the </w:t>
      </w:r>
      <w:proofErr w:type="spellStart"/>
      <w:r>
        <w:t>Sequenom</w:t>
      </w:r>
      <w:proofErr w:type="spellEnd"/>
      <w:r>
        <w:t xml:space="preserve"> </w:t>
      </w:r>
      <w:proofErr w:type="spellStart"/>
      <w:r>
        <w:t>iPlex</w:t>
      </w:r>
      <w:proofErr w:type="spellEnd"/>
      <w:r>
        <w:t xml:space="preserve"> Gold platform by the </w:t>
      </w:r>
      <w:proofErr w:type="spellStart"/>
      <w:r>
        <w:t>Génome</w:t>
      </w:r>
      <w:proofErr w:type="spellEnd"/>
      <w:r>
        <w:t xml:space="preserve"> Québec Innovation Centre at McGill University, Montreal, Canada. S</w:t>
      </w:r>
      <w:r w:rsidR="00A94FF9">
        <w:t xml:space="preserve">amples with a call rate of &lt;0.9 were excluded, </w:t>
      </w:r>
      <w:r>
        <w:t xml:space="preserve">and </w:t>
      </w:r>
      <w:r w:rsidR="00A2622F">
        <w:t xml:space="preserve">subsequent </w:t>
      </w:r>
      <w:r w:rsidR="00A94FF9">
        <w:t>SNPs</w:t>
      </w:r>
      <w:r>
        <w:t xml:space="preserve"> with a call rate of &lt;0.9 were also excluded. This left 53 SN</w:t>
      </w:r>
      <w:r w:rsidR="007E426D">
        <w:t xml:space="preserve">Ps </w:t>
      </w:r>
      <w:r w:rsidR="00A94FF9">
        <w:t xml:space="preserve">and </w:t>
      </w:r>
      <w:r w:rsidR="00BC6381">
        <w:t>277</w:t>
      </w:r>
      <w:r w:rsidR="007E426D">
        <w:t xml:space="preserve"> </w:t>
      </w:r>
      <w:r w:rsidR="00A94FF9">
        <w:t>samples for</w:t>
      </w:r>
      <w:r w:rsidR="00BC6381">
        <w:t xml:space="preserve"> ancestry assessment</w:t>
      </w:r>
      <w:r w:rsidR="007E426D">
        <w:t>.</w:t>
      </w:r>
      <w:r w:rsidR="008A6116">
        <w:t xml:space="preserve"> </w:t>
      </w:r>
      <w:r w:rsidR="00C74EEE">
        <w:t>In addition to our study samples</w:t>
      </w:r>
      <w:r w:rsidR="00BC6381">
        <w:t>,</w:t>
      </w:r>
      <w:r w:rsidR="00C74EEE">
        <w:t xml:space="preserve"> </w:t>
      </w:r>
      <w:r w:rsidR="005930E2">
        <w:t>2</w:t>
      </w:r>
      <w:r w:rsidR="008A6116">
        <w:t>157</w:t>
      </w:r>
      <w:r>
        <w:t xml:space="preserve"> individuals from </w:t>
      </w:r>
      <w:r w:rsidR="008A6116">
        <w:t>African (N=661), East Asian (N=504), European (N=503), and South Asian (N=489) populations</w:t>
      </w:r>
      <w:r>
        <w:t xml:space="preserve"> from the 1000 Genomes Project</w:t>
      </w:r>
      <w:r w:rsidR="00025CA9">
        <w:t xml:space="preserve"> (</w:t>
      </w:r>
      <w:proofErr w:type="spellStart"/>
      <w:r w:rsidR="00025CA9">
        <w:t>1kGP</w:t>
      </w:r>
      <w:proofErr w:type="spellEnd"/>
      <w:r w:rsidR="00025CA9">
        <w:t>)</w:t>
      </w:r>
      <w:r w:rsidR="004469D7">
        <w:t xml:space="preserve"> Phase </w:t>
      </w:r>
      <w:proofErr w:type="gramStart"/>
      <w:r w:rsidR="004469D7">
        <w:t>III</w:t>
      </w:r>
      <w:proofErr w:type="gramEnd"/>
      <w:r>
        <w:fldChar w:fldCharType="begin"/>
      </w:r>
      <w:r w:rsidR="004469D7">
        <w:instrText>ADDIN RW.CITE{{18 1000GenomesProjectConsortium 2015}}</w:instrText>
      </w:r>
      <w:r>
        <w:fldChar w:fldCharType="separate"/>
      </w:r>
      <w:r w:rsidR="00D14439" w:rsidRPr="00D14439">
        <w:rPr>
          <w:rFonts w:ascii="Calibri" w:hAnsi="Calibri" w:cs="Calibri"/>
        </w:rPr>
        <w:t>[4]</w:t>
      </w:r>
      <w:r>
        <w:fldChar w:fldCharType="end"/>
      </w:r>
      <w:r>
        <w:t xml:space="preserve"> </w:t>
      </w:r>
      <w:r w:rsidR="00C74EEE">
        <w:t xml:space="preserve">were added </w:t>
      </w:r>
      <w:r>
        <w:t>as a</w:t>
      </w:r>
      <w:r w:rsidR="008A6116">
        <w:t>ncestry</w:t>
      </w:r>
      <w:r>
        <w:t xml:space="preserve"> reference population</w:t>
      </w:r>
      <w:r w:rsidR="008A6116">
        <w:t>s</w:t>
      </w:r>
      <w:r>
        <w:t xml:space="preserve">. </w:t>
      </w:r>
      <w:r w:rsidR="00C74EEE">
        <w:t>We were able to download g</w:t>
      </w:r>
      <w:r w:rsidR="008A6116">
        <w:t>enotypes for 50/53 SNPs from the 1000 Genomes Browser (</w:t>
      </w:r>
      <w:proofErr w:type="spellStart"/>
      <w:r w:rsidR="008A6116">
        <w:t>NCBI</w:t>
      </w:r>
      <w:proofErr w:type="spellEnd"/>
      <w:r w:rsidR="00BC6381">
        <w:t>)</w:t>
      </w:r>
      <w:r>
        <w:t xml:space="preserve">. </w:t>
      </w:r>
      <w:r w:rsidR="00D84AED">
        <w:t>In both datasets, g</w:t>
      </w:r>
      <w:r w:rsidR="00237F4A">
        <w:t xml:space="preserve">enotypes </w:t>
      </w:r>
      <w:r w:rsidR="0030328C">
        <w:t>at</w:t>
      </w:r>
      <w:r w:rsidR="00237F4A">
        <w:t xml:space="preserve"> the</w:t>
      </w:r>
      <w:r w:rsidR="0030328C">
        <w:t xml:space="preserve"> 50 AIM SNPs</w:t>
      </w:r>
      <w:r w:rsidR="00342813">
        <w:t xml:space="preserve"> </w:t>
      </w:r>
      <w:r w:rsidR="00237F4A">
        <w:t>were re-coded</w:t>
      </w:r>
      <w:r w:rsidR="0030328C">
        <w:t xml:space="preserve"> </w:t>
      </w:r>
      <w:r w:rsidR="00D84AED">
        <w:t>as</w:t>
      </w:r>
      <w:r w:rsidR="0030328C">
        <w:t xml:space="preserve"> 0, 1,</w:t>
      </w:r>
      <w:r w:rsidR="005838EA">
        <w:t xml:space="preserve"> or</w:t>
      </w:r>
      <w:r w:rsidR="0030328C">
        <w:t xml:space="preserve"> 2 based o</w:t>
      </w:r>
      <w:r w:rsidR="00342813">
        <w:t xml:space="preserve">n the minor allele in our </w:t>
      </w:r>
      <w:r w:rsidR="003521EE">
        <w:t>genotyped placentas</w:t>
      </w:r>
      <w:r w:rsidR="00BC6381">
        <w:t>,</w:t>
      </w:r>
      <w:r w:rsidR="00C104CA">
        <w:t xml:space="preserve"> where 0 represents homozygous reference, 1 heterozygous and 2 homozygous alternative genotypes</w:t>
      </w:r>
      <w:r w:rsidR="00342813">
        <w:t>.</w:t>
      </w:r>
      <w:r w:rsidR="0030328C">
        <w:t xml:space="preserve"> </w:t>
      </w:r>
      <w:r w:rsidR="00237F4A">
        <w:t xml:space="preserve">A pairwise Euclidean distance matrix was calculated using these genotypes in the combined placental and </w:t>
      </w:r>
      <w:proofErr w:type="spellStart"/>
      <w:r w:rsidR="00237F4A">
        <w:t>1kGP</w:t>
      </w:r>
      <w:proofErr w:type="spellEnd"/>
      <w:r w:rsidR="00237F4A">
        <w:t xml:space="preserve"> </w:t>
      </w:r>
      <w:r w:rsidR="00C104CA">
        <w:t>dataset</w:t>
      </w:r>
      <w:r w:rsidR="00237F4A">
        <w:t>. Classical multidimensional scaling (MDS) was applied to this distanc</w:t>
      </w:r>
      <w:r w:rsidR="00681478">
        <w:t xml:space="preserve">e matrix to represent it </w:t>
      </w:r>
      <w:r w:rsidR="00237F4A">
        <w:t xml:space="preserve">in </w:t>
      </w:r>
      <w:r w:rsidR="00237F4A" w:rsidRPr="00A2622F">
        <w:rPr>
          <w:i/>
        </w:rPr>
        <w:t>k</w:t>
      </w:r>
      <w:r w:rsidR="00CF5C38">
        <w:t>=</w:t>
      </w:r>
      <w:proofErr w:type="gramStart"/>
      <w:r w:rsidR="00CF5C38">
        <w:t>3</w:t>
      </w:r>
      <w:proofErr w:type="gramEnd"/>
      <w:r w:rsidR="00CF5C38">
        <w:t xml:space="preserve"> dimensions, as these three dimensions clustered the </w:t>
      </w:r>
      <w:proofErr w:type="spellStart"/>
      <w:r w:rsidR="00CF5C38">
        <w:t>1kGP</w:t>
      </w:r>
      <w:proofErr w:type="spellEnd"/>
      <w:r w:rsidR="00CF5C38">
        <w:t xml:space="preserve"> populations by ancestry and were significantly different between these 4 </w:t>
      </w:r>
      <w:proofErr w:type="spellStart"/>
      <w:r w:rsidR="00CF5C38">
        <w:t>1kGP</w:t>
      </w:r>
      <w:proofErr w:type="spellEnd"/>
      <w:r w:rsidR="00CF5C38">
        <w:t xml:space="preserve"> ancestry populations (</w:t>
      </w:r>
      <w:r w:rsidR="006B4A08">
        <w:rPr>
          <w:b/>
        </w:rPr>
        <w:t xml:space="preserve">Additional File 4: </w:t>
      </w:r>
      <w:r w:rsidR="00BC6381">
        <w:rPr>
          <w:b/>
        </w:rPr>
        <w:t>F</w:t>
      </w:r>
      <w:r w:rsidR="00CF5C38" w:rsidRPr="00CF5C38">
        <w:rPr>
          <w:b/>
        </w:rPr>
        <w:t xml:space="preserve">igure </w:t>
      </w:r>
      <w:proofErr w:type="spellStart"/>
      <w:r w:rsidR="006B4A08">
        <w:rPr>
          <w:b/>
        </w:rPr>
        <w:t>S</w:t>
      </w:r>
      <w:r w:rsidR="00CF5C38" w:rsidRPr="00CF5C38">
        <w:rPr>
          <w:b/>
        </w:rPr>
        <w:t>1</w:t>
      </w:r>
      <w:proofErr w:type="spellEnd"/>
      <w:r w:rsidR="00CF5C38">
        <w:t>)</w:t>
      </w:r>
      <w:r w:rsidR="00C05B3E">
        <w:t xml:space="preserve">. </w:t>
      </w:r>
      <w:r>
        <w:t xml:space="preserve">We extracted the values from the first </w:t>
      </w:r>
      <w:proofErr w:type="gramStart"/>
      <w:r>
        <w:t>3</w:t>
      </w:r>
      <w:proofErr w:type="gramEnd"/>
      <w:r>
        <w:t xml:space="preserve"> coordinates</w:t>
      </w:r>
      <w:r w:rsidR="00054CDA">
        <w:t xml:space="preserve"> </w:t>
      </w:r>
      <w:r w:rsidR="00BC6381">
        <w:t>from the MDS for the 277</w:t>
      </w:r>
      <w:r w:rsidR="008B14F6">
        <w:t xml:space="preserve"> study </w:t>
      </w:r>
      <w:r>
        <w:t>samples</w:t>
      </w:r>
      <w:r w:rsidR="00724E5D">
        <w:t xml:space="preserve"> and utilized them to describe ancestry as a continuous measure</w:t>
      </w:r>
      <w:r w:rsidR="00CF5C38">
        <w:t xml:space="preserve"> to assess population stratification in </w:t>
      </w:r>
      <w:r w:rsidR="009E3F27">
        <w:t>the genetic association study in</w:t>
      </w:r>
      <w:r w:rsidR="00CF5C38">
        <w:t xml:space="preserve"> this article (</w:t>
      </w:r>
      <w:r w:rsidR="00CF5C38">
        <w:rPr>
          <w:b/>
        </w:rPr>
        <w:t>Figure 1</w:t>
      </w:r>
      <w:r w:rsidR="00CF5C38">
        <w:t>).</w:t>
      </w:r>
      <w:r w:rsidR="008B14F6">
        <w:t xml:space="preserve"> </w:t>
      </w:r>
    </w:p>
    <w:p w14:paraId="66903CB7" w14:textId="183878F5" w:rsidR="00D14439" w:rsidRPr="00925C52" w:rsidRDefault="005F0D77" w:rsidP="001208E0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925C52">
        <w:rPr>
          <w:rFonts w:asciiTheme="minorHAnsi" w:hAnsiTheme="minorHAnsi" w:cstheme="minorHAnsi"/>
          <w:color w:val="auto"/>
        </w:rPr>
        <w:t>References</w:t>
      </w:r>
      <w:r w:rsidR="00607795" w:rsidRPr="00ED43CF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="00D14439" w:rsidRPr="00925C52">
        <w:rPr>
          <w:rFonts w:asciiTheme="minorHAnsi" w:hAnsiTheme="minorHAnsi" w:cstheme="minorHAnsi"/>
          <w:color w:val="auto"/>
          <w:sz w:val="22"/>
          <w:szCs w:val="22"/>
        </w:rPr>
        <w:instrText>ADDIN RW.BIB{{&lt;?xml version="1.0"?&gt;&lt;RWBibSettings&gt;&lt;Option name="LINE_SPACING" value="1" /&gt;&lt;/RWBibSettings&gt;}}</w:instrText>
      </w:r>
      <w:r w:rsidR="00607795" w:rsidRPr="00ED43CF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</w:p>
    <w:p w14:paraId="467624E7" w14:textId="77777777" w:rsidR="00D14439" w:rsidRPr="00ED43CF" w:rsidRDefault="00D14439" w:rsidP="00D1443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D43CF">
        <w:rPr>
          <w:rFonts w:asciiTheme="minorHAnsi" w:hAnsiTheme="minorHAnsi" w:cstheme="minorHAnsi"/>
          <w:sz w:val="22"/>
          <w:szCs w:val="22"/>
        </w:rPr>
        <w:t xml:space="preserve">1. Phillips C, Salas A, Sanchez JJ, Fondevila M, Gomez-Tato A, Alvarez-Dios J, Calaza M, de Cal MC, Ballard D, Lareu MV, Carracedo A, SNPforID Consortium: </w:t>
      </w:r>
      <w:r w:rsidRPr="00ED43CF">
        <w:rPr>
          <w:rFonts w:asciiTheme="minorHAnsi" w:hAnsiTheme="minorHAnsi" w:cstheme="minorHAnsi"/>
          <w:b/>
          <w:bCs/>
          <w:sz w:val="22"/>
          <w:szCs w:val="22"/>
        </w:rPr>
        <w:t xml:space="preserve">Inferring ancestral origin using a single multiplex assay of ancestry-informative marker SNPs. </w:t>
      </w:r>
      <w:r w:rsidRPr="00ED43CF">
        <w:rPr>
          <w:rFonts w:asciiTheme="minorHAnsi" w:hAnsiTheme="minorHAnsi" w:cstheme="minorHAnsi"/>
          <w:sz w:val="22"/>
          <w:szCs w:val="22"/>
        </w:rPr>
        <w:t xml:space="preserve">Forensic Sci Int Genet 2007, </w:t>
      </w:r>
      <w:r w:rsidRPr="00ED43C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D43CF">
        <w:rPr>
          <w:rFonts w:asciiTheme="minorHAnsi" w:hAnsiTheme="minorHAnsi" w:cstheme="minorHAnsi"/>
          <w:sz w:val="22"/>
          <w:szCs w:val="22"/>
        </w:rPr>
        <w:t>(3-4):273-280.</w:t>
      </w:r>
    </w:p>
    <w:p w14:paraId="3D728563" w14:textId="77777777" w:rsidR="00D14439" w:rsidRPr="00ED43CF" w:rsidRDefault="00D14439" w:rsidP="00D1443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D43CF">
        <w:rPr>
          <w:rFonts w:asciiTheme="minorHAnsi" w:hAnsiTheme="minorHAnsi" w:cstheme="minorHAnsi"/>
          <w:sz w:val="22"/>
          <w:szCs w:val="22"/>
        </w:rPr>
        <w:t xml:space="preserve">2. Fondevila M, Phillips C, Santos C, Freire Aradas A, Vallone PM, Butler JM, Lareu MV, Carracedo A: </w:t>
      </w:r>
      <w:r w:rsidRPr="00ED43CF">
        <w:rPr>
          <w:rFonts w:asciiTheme="minorHAnsi" w:hAnsiTheme="minorHAnsi" w:cstheme="minorHAnsi"/>
          <w:b/>
          <w:bCs/>
          <w:sz w:val="22"/>
          <w:szCs w:val="22"/>
        </w:rPr>
        <w:t xml:space="preserve">Revision of the SNPforID 34-plex forensic ancestry test: Assay enhancements, standard reference sample genotypes and extended population studies. </w:t>
      </w:r>
      <w:r w:rsidRPr="00ED43CF">
        <w:rPr>
          <w:rFonts w:asciiTheme="minorHAnsi" w:hAnsiTheme="minorHAnsi" w:cstheme="minorHAnsi"/>
          <w:sz w:val="22"/>
          <w:szCs w:val="22"/>
        </w:rPr>
        <w:t xml:space="preserve">Forensic Sci Int Genet 2013, </w:t>
      </w:r>
      <w:r w:rsidRPr="00ED43C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ED43CF">
        <w:rPr>
          <w:rFonts w:asciiTheme="minorHAnsi" w:hAnsiTheme="minorHAnsi" w:cstheme="minorHAnsi"/>
          <w:sz w:val="22"/>
          <w:szCs w:val="22"/>
        </w:rPr>
        <w:t>(1):63-74.</w:t>
      </w:r>
    </w:p>
    <w:p w14:paraId="6D740E23" w14:textId="77777777" w:rsidR="00D14439" w:rsidRPr="00ED43CF" w:rsidRDefault="00D14439" w:rsidP="00D1443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D43CF">
        <w:rPr>
          <w:rFonts w:asciiTheme="minorHAnsi" w:hAnsiTheme="minorHAnsi" w:cstheme="minorHAnsi"/>
          <w:sz w:val="22"/>
          <w:szCs w:val="22"/>
        </w:rPr>
        <w:t xml:space="preserve">3. Phillips C, Freire Aradas A, Kriegel AK, Fondevila M, Bulbul O, Santos C, Serrulla Rech F, Perez Carceles MD, Carracedo A, Schneider PM, Lareu MV: </w:t>
      </w:r>
      <w:r w:rsidRPr="00ED43CF">
        <w:rPr>
          <w:rFonts w:asciiTheme="minorHAnsi" w:hAnsiTheme="minorHAnsi" w:cstheme="minorHAnsi"/>
          <w:b/>
          <w:bCs/>
          <w:sz w:val="22"/>
          <w:szCs w:val="22"/>
        </w:rPr>
        <w:t xml:space="preserve">Eurasiaplex: a forensic SNP assay for differentiating European and South Asian ancestries. </w:t>
      </w:r>
      <w:r w:rsidRPr="00ED43CF">
        <w:rPr>
          <w:rFonts w:asciiTheme="minorHAnsi" w:hAnsiTheme="minorHAnsi" w:cstheme="minorHAnsi"/>
          <w:sz w:val="22"/>
          <w:szCs w:val="22"/>
        </w:rPr>
        <w:t xml:space="preserve">Forensic Sci Int Genet 2013, </w:t>
      </w:r>
      <w:r w:rsidRPr="00ED43C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ED43CF">
        <w:rPr>
          <w:rFonts w:asciiTheme="minorHAnsi" w:hAnsiTheme="minorHAnsi" w:cstheme="minorHAnsi"/>
          <w:sz w:val="22"/>
          <w:szCs w:val="22"/>
        </w:rPr>
        <w:t>(3):359-366.</w:t>
      </w:r>
    </w:p>
    <w:p w14:paraId="184F597E" w14:textId="77777777" w:rsidR="00D14439" w:rsidRPr="00ED43CF" w:rsidRDefault="00D14439" w:rsidP="00D1443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D43CF">
        <w:rPr>
          <w:rFonts w:asciiTheme="minorHAnsi" w:hAnsiTheme="minorHAnsi" w:cstheme="minorHAnsi"/>
          <w:sz w:val="22"/>
          <w:szCs w:val="22"/>
        </w:rPr>
        <w:t xml:space="preserve">4. 1000 Genomes Project Consortium, Auton A, Brooks LD, Durbin RM, Garrison EP, Kang HM, Korbel JO, Marchini JL, McCarthy S, McVean GA, Abecasis GR: </w:t>
      </w:r>
      <w:r w:rsidRPr="00ED43CF">
        <w:rPr>
          <w:rFonts w:asciiTheme="minorHAnsi" w:hAnsiTheme="minorHAnsi" w:cstheme="minorHAnsi"/>
          <w:b/>
          <w:bCs/>
          <w:sz w:val="22"/>
          <w:szCs w:val="22"/>
        </w:rPr>
        <w:t xml:space="preserve">A global reference for human genetic variation. </w:t>
      </w:r>
      <w:r w:rsidRPr="00ED43CF">
        <w:rPr>
          <w:rFonts w:asciiTheme="minorHAnsi" w:hAnsiTheme="minorHAnsi" w:cstheme="minorHAnsi"/>
          <w:sz w:val="22"/>
          <w:szCs w:val="22"/>
        </w:rPr>
        <w:t xml:space="preserve">Nature 2015, </w:t>
      </w:r>
      <w:r w:rsidRPr="00ED43CF">
        <w:rPr>
          <w:rFonts w:asciiTheme="minorHAnsi" w:hAnsiTheme="minorHAnsi" w:cstheme="minorHAnsi"/>
          <w:b/>
          <w:bCs/>
          <w:sz w:val="22"/>
          <w:szCs w:val="22"/>
        </w:rPr>
        <w:t>526</w:t>
      </w:r>
      <w:r w:rsidRPr="00ED43CF">
        <w:rPr>
          <w:rFonts w:asciiTheme="minorHAnsi" w:hAnsiTheme="minorHAnsi" w:cstheme="minorHAnsi"/>
          <w:sz w:val="22"/>
          <w:szCs w:val="22"/>
        </w:rPr>
        <w:t>(7571):68-74.</w:t>
      </w:r>
    </w:p>
    <w:p w14:paraId="4278F8EC" w14:textId="798C222C" w:rsidR="00E13182" w:rsidRPr="00ED43CF" w:rsidRDefault="00D14439" w:rsidP="00E44E13">
      <w:pPr>
        <w:rPr>
          <w:rFonts w:cstheme="minorHAnsi"/>
        </w:rPr>
      </w:pPr>
      <w:r w:rsidRPr="00ED43CF">
        <w:rPr>
          <w:rFonts w:eastAsia="Times New Roman" w:cstheme="minorHAnsi"/>
        </w:rPr>
        <w:t> </w:t>
      </w:r>
      <w:r w:rsidR="00607795" w:rsidRPr="00ED43CF">
        <w:rPr>
          <w:rFonts w:cstheme="minorHAnsi"/>
        </w:rPr>
        <w:fldChar w:fldCharType="end"/>
      </w:r>
    </w:p>
    <w:sectPr w:rsidR="00E13182" w:rsidRPr="00ED43CF" w:rsidSect="004D1E2B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FA990D" w16cid:durableId="1D400737"/>
  <w16cid:commentId w16cid:paraId="74D83DE8" w16cid:durableId="1D400764"/>
  <w16cid:commentId w16cid:paraId="09B7DEFA" w16cid:durableId="1D40082D"/>
  <w16cid:commentId w16cid:paraId="417FA8CD" w16cid:durableId="1D40089A"/>
  <w16cid:commentId w16cid:paraId="6F8C7935" w16cid:durableId="1D40097D"/>
  <w16cid:commentId w16cid:paraId="769046A1" w16cid:durableId="1D400A0A"/>
  <w16cid:commentId w16cid:paraId="0CD65C6D" w16cid:durableId="1D400A16"/>
  <w16cid:commentId w16cid:paraId="33EB3E5C" w16cid:durableId="1D400A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7"/>
  </w:docVars>
  <w:rsids>
    <w:rsidRoot w:val="00E95FB8"/>
    <w:rsid w:val="000130FA"/>
    <w:rsid w:val="00025CA9"/>
    <w:rsid w:val="00044F4C"/>
    <w:rsid w:val="00054CDA"/>
    <w:rsid w:val="000550F8"/>
    <w:rsid w:val="0007095E"/>
    <w:rsid w:val="0007350C"/>
    <w:rsid w:val="00074E57"/>
    <w:rsid w:val="000856B6"/>
    <w:rsid w:val="000D1660"/>
    <w:rsid w:val="000D77D7"/>
    <w:rsid w:val="000E7385"/>
    <w:rsid w:val="000F6EC5"/>
    <w:rsid w:val="001208E0"/>
    <w:rsid w:val="00162704"/>
    <w:rsid w:val="0018281F"/>
    <w:rsid w:val="001B7BB5"/>
    <w:rsid w:val="001E2252"/>
    <w:rsid w:val="001F6D7B"/>
    <w:rsid w:val="002133FD"/>
    <w:rsid w:val="002165C5"/>
    <w:rsid w:val="00225775"/>
    <w:rsid w:val="00233AED"/>
    <w:rsid w:val="00237F4A"/>
    <w:rsid w:val="00266F0F"/>
    <w:rsid w:val="002719CB"/>
    <w:rsid w:val="00296BF4"/>
    <w:rsid w:val="002A794E"/>
    <w:rsid w:val="002D63B4"/>
    <w:rsid w:val="002F4E7F"/>
    <w:rsid w:val="0030328C"/>
    <w:rsid w:val="00331995"/>
    <w:rsid w:val="00342813"/>
    <w:rsid w:val="00345EBC"/>
    <w:rsid w:val="003521EE"/>
    <w:rsid w:val="00362202"/>
    <w:rsid w:val="003764E1"/>
    <w:rsid w:val="004067F1"/>
    <w:rsid w:val="0042518F"/>
    <w:rsid w:val="00427AF6"/>
    <w:rsid w:val="00431F6F"/>
    <w:rsid w:val="00436129"/>
    <w:rsid w:val="004469D7"/>
    <w:rsid w:val="004B5009"/>
    <w:rsid w:val="004C1482"/>
    <w:rsid w:val="004D1E2B"/>
    <w:rsid w:val="004E55DA"/>
    <w:rsid w:val="005042EE"/>
    <w:rsid w:val="00515F7F"/>
    <w:rsid w:val="00565E32"/>
    <w:rsid w:val="0056678B"/>
    <w:rsid w:val="005710F1"/>
    <w:rsid w:val="005838EA"/>
    <w:rsid w:val="00591105"/>
    <w:rsid w:val="005930E2"/>
    <w:rsid w:val="005A6B82"/>
    <w:rsid w:val="005F0D77"/>
    <w:rsid w:val="00607795"/>
    <w:rsid w:val="00634C84"/>
    <w:rsid w:val="00654E75"/>
    <w:rsid w:val="00660EAB"/>
    <w:rsid w:val="00681478"/>
    <w:rsid w:val="0068226D"/>
    <w:rsid w:val="006A2B21"/>
    <w:rsid w:val="006B4A08"/>
    <w:rsid w:val="006C1E69"/>
    <w:rsid w:val="006D64E6"/>
    <w:rsid w:val="00706BE2"/>
    <w:rsid w:val="0071504B"/>
    <w:rsid w:val="0072444B"/>
    <w:rsid w:val="00724E5D"/>
    <w:rsid w:val="00735CFA"/>
    <w:rsid w:val="007E426D"/>
    <w:rsid w:val="007F32DF"/>
    <w:rsid w:val="00826A76"/>
    <w:rsid w:val="00844614"/>
    <w:rsid w:val="008632BA"/>
    <w:rsid w:val="008A4657"/>
    <w:rsid w:val="008A6116"/>
    <w:rsid w:val="008B14F6"/>
    <w:rsid w:val="008B44A3"/>
    <w:rsid w:val="008E6CA6"/>
    <w:rsid w:val="009010C5"/>
    <w:rsid w:val="00925C52"/>
    <w:rsid w:val="00931718"/>
    <w:rsid w:val="00937160"/>
    <w:rsid w:val="00937AED"/>
    <w:rsid w:val="00942D21"/>
    <w:rsid w:val="0094431A"/>
    <w:rsid w:val="0095586A"/>
    <w:rsid w:val="009D18CC"/>
    <w:rsid w:val="009E3F27"/>
    <w:rsid w:val="00A0030B"/>
    <w:rsid w:val="00A2622F"/>
    <w:rsid w:val="00A71C1A"/>
    <w:rsid w:val="00A94FF9"/>
    <w:rsid w:val="00AA0264"/>
    <w:rsid w:val="00AD3756"/>
    <w:rsid w:val="00B10324"/>
    <w:rsid w:val="00B32B14"/>
    <w:rsid w:val="00B753EF"/>
    <w:rsid w:val="00B86B22"/>
    <w:rsid w:val="00B9528B"/>
    <w:rsid w:val="00BA3B5A"/>
    <w:rsid w:val="00BC5945"/>
    <w:rsid w:val="00BC6381"/>
    <w:rsid w:val="00C05B3E"/>
    <w:rsid w:val="00C104CA"/>
    <w:rsid w:val="00C10E8B"/>
    <w:rsid w:val="00C236FD"/>
    <w:rsid w:val="00C314CD"/>
    <w:rsid w:val="00C41A23"/>
    <w:rsid w:val="00C44A13"/>
    <w:rsid w:val="00C74EEE"/>
    <w:rsid w:val="00C753E9"/>
    <w:rsid w:val="00C86F72"/>
    <w:rsid w:val="00C9398C"/>
    <w:rsid w:val="00CF4FD6"/>
    <w:rsid w:val="00CF5C38"/>
    <w:rsid w:val="00D14439"/>
    <w:rsid w:val="00D2565C"/>
    <w:rsid w:val="00D325FB"/>
    <w:rsid w:val="00D36AD6"/>
    <w:rsid w:val="00D84AED"/>
    <w:rsid w:val="00D8573E"/>
    <w:rsid w:val="00D94A6A"/>
    <w:rsid w:val="00DC38A5"/>
    <w:rsid w:val="00DE7F1D"/>
    <w:rsid w:val="00E13182"/>
    <w:rsid w:val="00E44E13"/>
    <w:rsid w:val="00E47D67"/>
    <w:rsid w:val="00E55B3A"/>
    <w:rsid w:val="00E718A8"/>
    <w:rsid w:val="00E95FB8"/>
    <w:rsid w:val="00EA5D74"/>
    <w:rsid w:val="00ED43CF"/>
    <w:rsid w:val="00EF4B9B"/>
    <w:rsid w:val="00F37A1A"/>
    <w:rsid w:val="00F71AAF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DB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7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7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77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5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3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7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7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77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5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3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598</Words>
  <Characters>3502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Giulia Del Gobbo</dc:creator>
  <cp:keywords/>
  <dc:description/>
  <cp:lastModifiedBy>MSARDAN</cp:lastModifiedBy>
  <cp:revision>23</cp:revision>
  <dcterms:created xsi:type="dcterms:W3CDTF">2017-08-17T23:12:00Z</dcterms:created>
  <dcterms:modified xsi:type="dcterms:W3CDTF">2018-03-03T07:24:00Z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46261</vt:lpwstr>
  </property>
  <property fmtid="{D5CDD505-2E9C-101B-9397-08002B2CF9AE}" pid="3" name="WnCSubscriberId">
    <vt:lpwstr>2705</vt:lpwstr>
  </property>
  <property fmtid="{D5CDD505-2E9C-101B-9397-08002B2CF9AE}" pid="4" name="WnCOutputStyleId">
    <vt:lpwstr>1240</vt:lpwstr>
  </property>
  <property fmtid="{D5CDD505-2E9C-101B-9397-08002B2CF9AE}" pid="5" name="RWProductId">
    <vt:lpwstr>WnC</vt:lpwstr>
  </property>
  <property fmtid="{D5CDD505-2E9C-101B-9397-08002B2CF9AE}" pid="6" name="WnC4Folder">
    <vt:lpwstr>Documents///Additional File 2</vt:lpwstr>
  </property>
</Properties>
</file>