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F15A0" w14:textId="77777777" w:rsidR="00761C92" w:rsidRDefault="00761C92" w:rsidP="008C32E2">
      <w:pPr>
        <w:tabs>
          <w:tab w:val="left" w:pos="4111"/>
        </w:tabs>
        <w:spacing w:after="0" w:line="240" w:lineRule="auto"/>
        <w:jc w:val="center"/>
        <w:rPr>
          <w:b/>
          <w:sz w:val="28"/>
          <w:szCs w:val="28"/>
        </w:rPr>
      </w:pPr>
    </w:p>
    <w:p w14:paraId="2EBDF32C" w14:textId="28EE4CD0" w:rsidR="00BB5254" w:rsidRPr="00952EA2" w:rsidRDefault="00CB5E05" w:rsidP="00BB5254">
      <w:pPr>
        <w:spacing w:after="0" w:line="240" w:lineRule="auto"/>
        <w:jc w:val="center"/>
        <w:rPr>
          <w:b/>
          <w:sz w:val="28"/>
          <w:szCs w:val="28"/>
        </w:rPr>
      </w:pPr>
      <w:r>
        <w:rPr>
          <w:b/>
          <w:sz w:val="28"/>
          <w:szCs w:val="28"/>
        </w:rPr>
        <w:t>A</w:t>
      </w:r>
      <w:r w:rsidR="00BB5254" w:rsidRPr="00952EA2">
        <w:rPr>
          <w:b/>
          <w:sz w:val="28"/>
          <w:szCs w:val="28"/>
        </w:rPr>
        <w:t>ssociations</w:t>
      </w:r>
      <w:r w:rsidR="003C7FB2">
        <w:rPr>
          <w:b/>
          <w:sz w:val="28"/>
          <w:szCs w:val="28"/>
        </w:rPr>
        <w:t xml:space="preserve"> </w:t>
      </w:r>
      <w:r w:rsidR="00F079A0" w:rsidRPr="00952EA2">
        <w:rPr>
          <w:b/>
          <w:sz w:val="28"/>
          <w:szCs w:val="28"/>
        </w:rPr>
        <w:t>of</w:t>
      </w:r>
      <w:r w:rsidR="003C7FB2">
        <w:rPr>
          <w:b/>
          <w:sz w:val="28"/>
          <w:szCs w:val="28"/>
        </w:rPr>
        <w:t xml:space="preserve"> </w:t>
      </w:r>
      <w:r w:rsidR="00BB5254" w:rsidRPr="00952EA2">
        <w:rPr>
          <w:b/>
          <w:sz w:val="28"/>
          <w:szCs w:val="28"/>
        </w:rPr>
        <w:t>active</w:t>
      </w:r>
      <w:r w:rsidR="003C7FB2">
        <w:rPr>
          <w:b/>
          <w:sz w:val="28"/>
          <w:szCs w:val="28"/>
        </w:rPr>
        <w:t xml:space="preserve"> </w:t>
      </w:r>
      <w:r w:rsidR="00BB5254" w:rsidRPr="00952EA2">
        <w:rPr>
          <w:b/>
          <w:sz w:val="28"/>
          <w:szCs w:val="28"/>
        </w:rPr>
        <w:t>commuting</w:t>
      </w:r>
      <w:r w:rsidR="003C7FB2">
        <w:rPr>
          <w:b/>
          <w:sz w:val="28"/>
          <w:szCs w:val="28"/>
        </w:rPr>
        <w:t xml:space="preserve"> </w:t>
      </w:r>
      <w:r w:rsidR="00F079A0" w:rsidRPr="00952EA2">
        <w:rPr>
          <w:b/>
          <w:sz w:val="28"/>
          <w:szCs w:val="28"/>
        </w:rPr>
        <w:t>with</w:t>
      </w:r>
      <w:r w:rsidR="003C7FB2">
        <w:rPr>
          <w:b/>
          <w:sz w:val="28"/>
          <w:szCs w:val="28"/>
        </w:rPr>
        <w:t xml:space="preserve"> </w:t>
      </w:r>
      <w:r w:rsidR="00F079A0" w:rsidRPr="00952EA2">
        <w:rPr>
          <w:b/>
          <w:sz w:val="28"/>
          <w:szCs w:val="28"/>
        </w:rPr>
        <w:t>body</w:t>
      </w:r>
      <w:r w:rsidR="003C7FB2">
        <w:rPr>
          <w:b/>
          <w:sz w:val="28"/>
          <w:szCs w:val="28"/>
        </w:rPr>
        <w:t xml:space="preserve"> </w:t>
      </w:r>
      <w:r w:rsidR="00F079A0" w:rsidRPr="00952EA2">
        <w:rPr>
          <w:b/>
          <w:sz w:val="28"/>
          <w:szCs w:val="28"/>
        </w:rPr>
        <w:t>fat</w:t>
      </w:r>
      <w:r w:rsidR="003C7FB2">
        <w:rPr>
          <w:b/>
          <w:sz w:val="28"/>
          <w:szCs w:val="28"/>
        </w:rPr>
        <w:t xml:space="preserve"> </w:t>
      </w:r>
      <w:r w:rsidR="00BB5254" w:rsidRPr="00952EA2">
        <w:rPr>
          <w:b/>
          <w:sz w:val="28"/>
          <w:szCs w:val="28"/>
        </w:rPr>
        <w:t>and</w:t>
      </w:r>
      <w:r w:rsidR="003C7FB2">
        <w:rPr>
          <w:b/>
          <w:sz w:val="28"/>
          <w:szCs w:val="28"/>
        </w:rPr>
        <w:t xml:space="preserve"> </w:t>
      </w:r>
      <w:r w:rsidR="00F079A0" w:rsidRPr="00952EA2">
        <w:rPr>
          <w:b/>
          <w:sz w:val="28"/>
          <w:szCs w:val="28"/>
        </w:rPr>
        <w:t>visceral</w:t>
      </w:r>
      <w:r w:rsidR="003C7FB2">
        <w:rPr>
          <w:b/>
          <w:sz w:val="28"/>
          <w:szCs w:val="28"/>
        </w:rPr>
        <w:t xml:space="preserve"> </w:t>
      </w:r>
      <w:r w:rsidR="00F079A0" w:rsidRPr="00952EA2">
        <w:rPr>
          <w:b/>
          <w:sz w:val="28"/>
          <w:szCs w:val="28"/>
        </w:rPr>
        <w:t>adipose</w:t>
      </w:r>
      <w:r w:rsidR="003C7FB2">
        <w:rPr>
          <w:b/>
          <w:sz w:val="28"/>
          <w:szCs w:val="28"/>
        </w:rPr>
        <w:t xml:space="preserve"> </w:t>
      </w:r>
      <w:r w:rsidR="00F079A0" w:rsidRPr="00952EA2">
        <w:rPr>
          <w:b/>
          <w:sz w:val="28"/>
          <w:szCs w:val="28"/>
        </w:rPr>
        <w:t>tissue</w:t>
      </w:r>
      <w:r>
        <w:rPr>
          <w:b/>
          <w:sz w:val="28"/>
          <w:szCs w:val="28"/>
        </w:rPr>
        <w:t>:</w:t>
      </w:r>
      <w:r w:rsidR="003C7FB2">
        <w:rPr>
          <w:b/>
          <w:sz w:val="28"/>
          <w:szCs w:val="28"/>
        </w:rPr>
        <w:t xml:space="preserve"> </w:t>
      </w:r>
      <w:r>
        <w:rPr>
          <w:b/>
          <w:sz w:val="28"/>
          <w:szCs w:val="28"/>
        </w:rPr>
        <w:t>a</w:t>
      </w:r>
      <w:r w:rsidR="003C7FB2">
        <w:rPr>
          <w:b/>
          <w:sz w:val="28"/>
          <w:szCs w:val="28"/>
        </w:rPr>
        <w:t xml:space="preserve"> </w:t>
      </w:r>
      <w:r>
        <w:rPr>
          <w:b/>
          <w:sz w:val="28"/>
          <w:szCs w:val="28"/>
        </w:rPr>
        <w:t>cross-sectional</w:t>
      </w:r>
      <w:r w:rsidR="003C7FB2">
        <w:rPr>
          <w:b/>
          <w:sz w:val="28"/>
          <w:szCs w:val="28"/>
        </w:rPr>
        <w:t xml:space="preserve"> </w:t>
      </w:r>
      <w:r>
        <w:rPr>
          <w:b/>
          <w:sz w:val="28"/>
          <w:szCs w:val="28"/>
        </w:rPr>
        <w:t>population</w:t>
      </w:r>
      <w:r w:rsidR="003C7FB2">
        <w:rPr>
          <w:b/>
          <w:sz w:val="28"/>
          <w:szCs w:val="28"/>
        </w:rPr>
        <w:t xml:space="preserve"> </w:t>
      </w:r>
      <w:r>
        <w:rPr>
          <w:b/>
          <w:sz w:val="28"/>
          <w:szCs w:val="28"/>
        </w:rPr>
        <w:t>based</w:t>
      </w:r>
      <w:r w:rsidR="003C7FB2">
        <w:rPr>
          <w:b/>
          <w:sz w:val="28"/>
          <w:szCs w:val="28"/>
        </w:rPr>
        <w:t xml:space="preserve"> </w:t>
      </w:r>
      <w:r>
        <w:rPr>
          <w:b/>
          <w:sz w:val="28"/>
          <w:szCs w:val="28"/>
        </w:rPr>
        <w:t>study</w:t>
      </w:r>
      <w:r w:rsidR="003C7FB2">
        <w:rPr>
          <w:b/>
          <w:sz w:val="28"/>
          <w:szCs w:val="28"/>
        </w:rPr>
        <w:t xml:space="preserve"> </w:t>
      </w:r>
      <w:r>
        <w:rPr>
          <w:b/>
          <w:sz w:val="28"/>
          <w:szCs w:val="28"/>
        </w:rPr>
        <w:t>in</w:t>
      </w:r>
      <w:r w:rsidR="003C7FB2">
        <w:rPr>
          <w:b/>
          <w:sz w:val="28"/>
          <w:szCs w:val="28"/>
        </w:rPr>
        <w:t xml:space="preserve"> </w:t>
      </w:r>
      <w:r>
        <w:rPr>
          <w:b/>
          <w:sz w:val="28"/>
          <w:szCs w:val="28"/>
        </w:rPr>
        <w:t>the</w:t>
      </w:r>
      <w:r w:rsidR="003C7FB2">
        <w:rPr>
          <w:b/>
          <w:sz w:val="28"/>
          <w:szCs w:val="28"/>
        </w:rPr>
        <w:t xml:space="preserve"> </w:t>
      </w:r>
      <w:r>
        <w:rPr>
          <w:b/>
          <w:sz w:val="28"/>
          <w:szCs w:val="28"/>
        </w:rPr>
        <w:t>UK</w:t>
      </w:r>
      <w:r w:rsidR="003C7FB2">
        <w:rPr>
          <w:b/>
          <w:sz w:val="28"/>
          <w:szCs w:val="28"/>
        </w:rPr>
        <w:t xml:space="preserve"> </w:t>
      </w:r>
    </w:p>
    <w:p w14:paraId="4826B0BB" w14:textId="77777777" w:rsidR="00BB5254" w:rsidRDefault="00BB5254" w:rsidP="00BB5254">
      <w:pPr>
        <w:spacing w:after="0" w:line="240" w:lineRule="auto"/>
        <w:jc w:val="center"/>
        <w:rPr>
          <w:b/>
          <w:u w:val="single"/>
        </w:rPr>
      </w:pPr>
    </w:p>
    <w:p w14:paraId="15FE8726" w14:textId="77777777" w:rsidR="00AE6767" w:rsidRDefault="00AE6767" w:rsidP="00F079A0">
      <w:pPr>
        <w:spacing w:after="0" w:line="240" w:lineRule="auto"/>
        <w:rPr>
          <w:b/>
          <w:u w:val="single"/>
        </w:rPr>
      </w:pPr>
    </w:p>
    <w:p w14:paraId="1167C55A" w14:textId="48212972" w:rsidR="00F079A0" w:rsidRDefault="00F079A0" w:rsidP="00F079A0">
      <w:pPr>
        <w:spacing w:after="0" w:line="240" w:lineRule="auto"/>
      </w:pPr>
      <w:r>
        <w:rPr>
          <w:b/>
          <w:u w:val="single"/>
        </w:rPr>
        <w:t>Authors</w:t>
      </w:r>
      <w:r w:rsidR="00AA7E91">
        <w:rPr>
          <w:b/>
          <w:u w:val="single"/>
        </w:rPr>
        <w:t>:</w:t>
      </w:r>
      <w:r w:rsidR="003C7FB2">
        <w:t xml:space="preserve"> </w:t>
      </w:r>
      <w:r w:rsidRPr="00F079A0">
        <w:t>Oliver</w:t>
      </w:r>
      <w:r w:rsidR="003C7FB2">
        <w:t xml:space="preserve"> </w:t>
      </w:r>
      <w:r w:rsidRPr="00F079A0">
        <w:t>T</w:t>
      </w:r>
      <w:r w:rsidR="003C7FB2">
        <w:t xml:space="preserve"> </w:t>
      </w:r>
      <w:r w:rsidRPr="00F079A0">
        <w:t>Mytton</w:t>
      </w:r>
      <w:r w:rsidR="003C7FB2">
        <w:t xml:space="preserve"> </w:t>
      </w:r>
      <w:r w:rsidR="00AE6767">
        <w:t>MPH</w:t>
      </w:r>
      <w:r w:rsidRPr="00F079A0">
        <w:rPr>
          <w:vertAlign w:val="superscript"/>
        </w:rPr>
        <w:t>1</w:t>
      </w:r>
      <w:r w:rsidRPr="00F079A0">
        <w:t>,</w:t>
      </w:r>
      <w:r w:rsidR="003C7FB2">
        <w:t xml:space="preserve"> </w:t>
      </w:r>
      <w:r w:rsidR="00F1612B" w:rsidRPr="00F079A0">
        <w:t>David</w:t>
      </w:r>
      <w:r w:rsidR="003C7FB2">
        <w:t xml:space="preserve"> </w:t>
      </w:r>
      <w:r w:rsidR="00F1612B" w:rsidRPr="00F079A0">
        <w:t>Ogilvie</w:t>
      </w:r>
      <w:r w:rsidR="003C7FB2">
        <w:t xml:space="preserve"> </w:t>
      </w:r>
      <w:r w:rsidR="00F1612B">
        <w:t>PhD</w:t>
      </w:r>
      <w:r w:rsidR="00F1612B" w:rsidRPr="00F079A0">
        <w:rPr>
          <w:vertAlign w:val="superscript"/>
        </w:rPr>
        <w:t>1</w:t>
      </w:r>
      <w:r w:rsidRPr="00F079A0">
        <w:t>,</w:t>
      </w:r>
      <w:r w:rsidR="003C7FB2">
        <w:t xml:space="preserve"> </w:t>
      </w:r>
      <w:r w:rsidR="008B78AF">
        <w:t>Simon</w:t>
      </w:r>
      <w:r w:rsidR="003C7FB2">
        <w:t xml:space="preserve"> </w:t>
      </w:r>
      <w:r w:rsidR="008B78AF">
        <w:t>Griffi</w:t>
      </w:r>
      <w:r w:rsidR="008B78AF" w:rsidRPr="00F079A0">
        <w:t>n</w:t>
      </w:r>
      <w:r w:rsidR="003C7FB2">
        <w:t xml:space="preserve"> </w:t>
      </w:r>
      <w:r w:rsidR="00AE6767">
        <w:t>PhD</w:t>
      </w:r>
      <w:r w:rsidR="008B78AF" w:rsidRPr="00F079A0">
        <w:rPr>
          <w:vertAlign w:val="superscript"/>
        </w:rPr>
        <w:t>1</w:t>
      </w:r>
      <w:r w:rsidR="008B78AF">
        <w:rPr>
          <w:vertAlign w:val="superscript"/>
        </w:rPr>
        <w:t>,2</w:t>
      </w:r>
      <w:r w:rsidR="008B78AF">
        <w:t>,</w:t>
      </w:r>
      <w:r w:rsidR="003C7FB2">
        <w:t xml:space="preserve"> </w:t>
      </w:r>
      <w:r w:rsidR="008B78AF">
        <w:t>S</w:t>
      </w:r>
      <w:r w:rsidRPr="00F079A0">
        <w:t>oren</w:t>
      </w:r>
      <w:r w:rsidR="003C7FB2">
        <w:t xml:space="preserve"> </w:t>
      </w:r>
      <w:r w:rsidRPr="00F079A0">
        <w:t>Brage</w:t>
      </w:r>
      <w:r w:rsidR="003C7FB2">
        <w:t xml:space="preserve"> </w:t>
      </w:r>
      <w:r w:rsidR="00AE6767">
        <w:t>PhD</w:t>
      </w:r>
      <w:r w:rsidRPr="00F079A0">
        <w:rPr>
          <w:vertAlign w:val="superscript"/>
        </w:rPr>
        <w:t>1</w:t>
      </w:r>
      <w:r w:rsidRPr="00F079A0">
        <w:t>,</w:t>
      </w:r>
      <w:r w:rsidR="003C7FB2">
        <w:t xml:space="preserve"> </w:t>
      </w:r>
      <w:r w:rsidRPr="00F079A0">
        <w:t>Nick</w:t>
      </w:r>
      <w:r w:rsidR="003C7FB2">
        <w:t xml:space="preserve"> </w:t>
      </w:r>
      <w:r w:rsidRPr="00F079A0">
        <w:t>Wareham</w:t>
      </w:r>
      <w:r w:rsidR="003C7FB2">
        <w:t xml:space="preserve"> </w:t>
      </w:r>
      <w:r w:rsidR="00AE6767">
        <w:t>PhD</w:t>
      </w:r>
      <w:r w:rsidRPr="00F079A0">
        <w:rPr>
          <w:vertAlign w:val="superscript"/>
        </w:rPr>
        <w:t>1</w:t>
      </w:r>
      <w:r w:rsidR="003C7FB2">
        <w:t xml:space="preserve"> </w:t>
      </w:r>
      <w:r w:rsidRPr="00F079A0">
        <w:t>and</w:t>
      </w:r>
      <w:r w:rsidR="003C7FB2">
        <w:t xml:space="preserve"> </w:t>
      </w:r>
      <w:r w:rsidR="00F1612B" w:rsidRPr="00F079A0">
        <w:t>Jenna</w:t>
      </w:r>
      <w:r w:rsidR="003C7FB2">
        <w:t xml:space="preserve"> </w:t>
      </w:r>
      <w:r w:rsidR="00F1612B" w:rsidRPr="00F079A0">
        <w:t>Panter</w:t>
      </w:r>
      <w:r w:rsidR="003C7FB2">
        <w:t xml:space="preserve"> </w:t>
      </w:r>
      <w:r w:rsidR="00F1612B">
        <w:t>PhD</w:t>
      </w:r>
      <w:r w:rsidR="00F1612B" w:rsidRPr="00F079A0">
        <w:rPr>
          <w:vertAlign w:val="superscript"/>
        </w:rPr>
        <w:t>1</w:t>
      </w:r>
    </w:p>
    <w:p w14:paraId="550AD9D2" w14:textId="77777777" w:rsidR="00F079A0" w:rsidRDefault="00F079A0" w:rsidP="00F079A0">
      <w:pPr>
        <w:spacing w:after="0" w:line="240" w:lineRule="auto"/>
      </w:pPr>
    </w:p>
    <w:p w14:paraId="1C533C1C" w14:textId="77777777" w:rsidR="00F079A0" w:rsidRPr="00F079A0" w:rsidRDefault="00F079A0" w:rsidP="00F079A0">
      <w:pPr>
        <w:spacing w:after="0" w:line="240" w:lineRule="auto"/>
        <w:rPr>
          <w:b/>
          <w:u w:val="single"/>
        </w:rPr>
      </w:pPr>
      <w:r w:rsidRPr="00F079A0">
        <w:rPr>
          <w:b/>
          <w:u w:val="single"/>
        </w:rPr>
        <w:t>Affiliations:</w:t>
      </w:r>
    </w:p>
    <w:p w14:paraId="4035CA73" w14:textId="77777777" w:rsidR="00F079A0" w:rsidRDefault="00F079A0" w:rsidP="00F079A0">
      <w:pPr>
        <w:spacing w:after="0" w:line="240" w:lineRule="auto"/>
      </w:pPr>
    </w:p>
    <w:p w14:paraId="6AA4742B" w14:textId="3696CB1A" w:rsidR="00F079A0" w:rsidRPr="00F079A0" w:rsidRDefault="00F079A0" w:rsidP="00F079A0">
      <w:pPr>
        <w:pStyle w:val="ListParagraph"/>
        <w:numPr>
          <w:ilvl w:val="0"/>
          <w:numId w:val="4"/>
        </w:numPr>
        <w:spacing w:after="0" w:line="240" w:lineRule="auto"/>
        <w:rPr>
          <w:b/>
          <w:u w:val="single"/>
        </w:rPr>
      </w:pPr>
      <w:r>
        <w:t>MRC</w:t>
      </w:r>
      <w:r w:rsidR="003C7FB2">
        <w:t xml:space="preserve"> </w:t>
      </w:r>
      <w:r>
        <w:t>Epidemiology</w:t>
      </w:r>
      <w:r w:rsidR="003C7FB2">
        <w:t xml:space="preserve"> </w:t>
      </w:r>
      <w:r>
        <w:t>Uni</w:t>
      </w:r>
      <w:r w:rsidR="00981ACC">
        <w:t>t</w:t>
      </w:r>
      <w:r w:rsidR="003C7FB2">
        <w:t xml:space="preserve"> </w:t>
      </w:r>
      <w:r w:rsidR="00981ACC">
        <w:t>and</w:t>
      </w:r>
      <w:r w:rsidR="003C7FB2">
        <w:t xml:space="preserve"> </w:t>
      </w:r>
      <w:r>
        <w:t>UKCRC</w:t>
      </w:r>
      <w:r w:rsidR="003C7FB2">
        <w:t xml:space="preserve"> </w:t>
      </w:r>
      <w:r>
        <w:t>Centre</w:t>
      </w:r>
      <w:r w:rsidR="003C7FB2">
        <w:t xml:space="preserve"> </w:t>
      </w:r>
      <w:r>
        <w:t>for</w:t>
      </w:r>
      <w:r w:rsidR="003C7FB2">
        <w:t xml:space="preserve"> </w:t>
      </w:r>
      <w:r>
        <w:t>Diet</w:t>
      </w:r>
      <w:r w:rsidR="003C7FB2">
        <w:t xml:space="preserve"> </w:t>
      </w:r>
      <w:r>
        <w:t>and</w:t>
      </w:r>
      <w:r w:rsidR="003C7FB2">
        <w:t xml:space="preserve"> </w:t>
      </w:r>
      <w:r>
        <w:t>Activity</w:t>
      </w:r>
      <w:r w:rsidR="003C7FB2">
        <w:t xml:space="preserve"> </w:t>
      </w:r>
      <w:r>
        <w:t>Research</w:t>
      </w:r>
      <w:r w:rsidR="003C7FB2">
        <w:t xml:space="preserve"> </w:t>
      </w:r>
      <w:r>
        <w:t>(CEDAR),</w:t>
      </w:r>
      <w:r w:rsidR="003C7FB2">
        <w:t xml:space="preserve"> </w:t>
      </w:r>
      <w:r>
        <w:t>University</w:t>
      </w:r>
      <w:r w:rsidR="003C7FB2">
        <w:t xml:space="preserve"> </w:t>
      </w:r>
      <w:r>
        <w:t>of</w:t>
      </w:r>
      <w:r w:rsidR="003C7FB2">
        <w:t xml:space="preserve"> </w:t>
      </w:r>
      <w:r>
        <w:t>Cambridge</w:t>
      </w:r>
      <w:r w:rsidR="003C7FB2">
        <w:t xml:space="preserve"> </w:t>
      </w:r>
      <w:r>
        <w:t>School</w:t>
      </w:r>
      <w:r w:rsidR="003C7FB2">
        <w:t xml:space="preserve"> </w:t>
      </w:r>
      <w:r>
        <w:t>of</w:t>
      </w:r>
      <w:r w:rsidR="003C7FB2">
        <w:t xml:space="preserve"> </w:t>
      </w:r>
      <w:r>
        <w:t>Clinical</w:t>
      </w:r>
      <w:r w:rsidR="003C7FB2">
        <w:t xml:space="preserve"> </w:t>
      </w:r>
      <w:r>
        <w:t>Medicine,</w:t>
      </w:r>
      <w:r w:rsidR="003C7FB2">
        <w:t xml:space="preserve"> </w:t>
      </w:r>
      <w:r>
        <w:t>Box</w:t>
      </w:r>
      <w:r w:rsidR="003C7FB2">
        <w:t xml:space="preserve"> </w:t>
      </w:r>
      <w:r>
        <w:t>285,</w:t>
      </w:r>
      <w:r w:rsidR="003C7FB2">
        <w:t xml:space="preserve"> </w:t>
      </w:r>
      <w:r>
        <w:t>Cambridge</w:t>
      </w:r>
      <w:r w:rsidR="003C7FB2">
        <w:t xml:space="preserve"> </w:t>
      </w:r>
      <w:r>
        <w:t>Biomedical</w:t>
      </w:r>
      <w:r w:rsidR="003C7FB2">
        <w:t xml:space="preserve"> </w:t>
      </w:r>
      <w:r>
        <w:t>Campus,</w:t>
      </w:r>
      <w:r w:rsidR="003C7FB2">
        <w:t xml:space="preserve"> </w:t>
      </w:r>
      <w:r>
        <w:t>Cambridge</w:t>
      </w:r>
      <w:r w:rsidR="003C7FB2">
        <w:t xml:space="preserve"> </w:t>
      </w:r>
      <w:r>
        <w:t>CB2</w:t>
      </w:r>
      <w:r w:rsidR="003C7FB2">
        <w:t xml:space="preserve"> </w:t>
      </w:r>
      <w:r>
        <w:t>0QQ,</w:t>
      </w:r>
      <w:r w:rsidR="003C7FB2">
        <w:t xml:space="preserve"> </w:t>
      </w:r>
      <w:r>
        <w:t>UK</w:t>
      </w:r>
    </w:p>
    <w:p w14:paraId="42098005" w14:textId="2A127E3F" w:rsidR="00F079A0" w:rsidRPr="00F079A0" w:rsidRDefault="00F079A0" w:rsidP="00F079A0">
      <w:pPr>
        <w:pStyle w:val="ListParagraph"/>
        <w:numPr>
          <w:ilvl w:val="0"/>
          <w:numId w:val="4"/>
        </w:numPr>
        <w:spacing w:after="0" w:line="240" w:lineRule="auto"/>
        <w:rPr>
          <w:b/>
          <w:u w:val="single"/>
        </w:rPr>
      </w:pPr>
      <w:r>
        <w:t>The</w:t>
      </w:r>
      <w:r w:rsidR="003C7FB2">
        <w:t xml:space="preserve"> </w:t>
      </w:r>
      <w:r>
        <w:t>Primary</w:t>
      </w:r>
      <w:r w:rsidR="003C7FB2">
        <w:t xml:space="preserve"> </w:t>
      </w:r>
      <w:r>
        <w:t>Care</w:t>
      </w:r>
      <w:r w:rsidR="003C7FB2">
        <w:t xml:space="preserve"> </w:t>
      </w:r>
      <w:r>
        <w:t>Unit,</w:t>
      </w:r>
      <w:r w:rsidR="003C7FB2">
        <w:t xml:space="preserve"> </w:t>
      </w:r>
      <w:r>
        <w:t>Institute</w:t>
      </w:r>
      <w:r w:rsidR="003C7FB2">
        <w:t xml:space="preserve"> </w:t>
      </w:r>
      <w:r>
        <w:t>of</w:t>
      </w:r>
      <w:r w:rsidR="003C7FB2">
        <w:t xml:space="preserve"> </w:t>
      </w:r>
      <w:r>
        <w:t>Public</w:t>
      </w:r>
      <w:r w:rsidR="003C7FB2">
        <w:t xml:space="preserve"> </w:t>
      </w:r>
      <w:r>
        <w:t>Health,</w:t>
      </w:r>
      <w:r w:rsidR="003C7FB2">
        <w:t xml:space="preserve"> </w:t>
      </w:r>
      <w:r>
        <w:t>University</w:t>
      </w:r>
      <w:r w:rsidR="003C7FB2">
        <w:t xml:space="preserve"> </w:t>
      </w:r>
      <w:r>
        <w:t>of</w:t>
      </w:r>
      <w:r w:rsidR="003C7FB2">
        <w:t xml:space="preserve"> </w:t>
      </w:r>
      <w:r>
        <w:t>Cambridge</w:t>
      </w:r>
      <w:r w:rsidR="003C7FB2">
        <w:t xml:space="preserve"> </w:t>
      </w:r>
      <w:r>
        <w:t>School</w:t>
      </w:r>
      <w:r w:rsidR="003C7FB2">
        <w:t xml:space="preserve"> </w:t>
      </w:r>
      <w:r>
        <w:t>of</w:t>
      </w:r>
      <w:r w:rsidR="003C7FB2">
        <w:t xml:space="preserve"> </w:t>
      </w:r>
      <w:r>
        <w:t>Clinical</w:t>
      </w:r>
      <w:r w:rsidR="003C7FB2">
        <w:t xml:space="preserve"> </w:t>
      </w:r>
      <w:r>
        <w:t>Medicine,</w:t>
      </w:r>
      <w:r w:rsidR="003C7FB2">
        <w:t xml:space="preserve"> </w:t>
      </w:r>
      <w:r>
        <w:t>Box</w:t>
      </w:r>
      <w:r w:rsidR="003C7FB2">
        <w:t xml:space="preserve"> </w:t>
      </w:r>
      <w:r>
        <w:t>113,</w:t>
      </w:r>
      <w:r w:rsidR="003C7FB2">
        <w:t xml:space="preserve"> </w:t>
      </w:r>
      <w:r>
        <w:t>Cambridge</w:t>
      </w:r>
      <w:r w:rsidR="003C7FB2">
        <w:t xml:space="preserve"> </w:t>
      </w:r>
      <w:r>
        <w:t>Biomedical</w:t>
      </w:r>
      <w:r w:rsidR="003C7FB2">
        <w:t xml:space="preserve"> </w:t>
      </w:r>
      <w:r>
        <w:t>Campus,</w:t>
      </w:r>
      <w:r w:rsidR="003C7FB2">
        <w:t xml:space="preserve"> </w:t>
      </w:r>
      <w:r>
        <w:t>Cambridge,</w:t>
      </w:r>
      <w:r w:rsidR="003C7FB2">
        <w:t xml:space="preserve"> </w:t>
      </w:r>
      <w:r>
        <w:t>CB2</w:t>
      </w:r>
      <w:r w:rsidR="003C7FB2">
        <w:t xml:space="preserve"> </w:t>
      </w:r>
      <w:r>
        <w:t>0SR,</w:t>
      </w:r>
      <w:r w:rsidR="003C7FB2">
        <w:t xml:space="preserve"> </w:t>
      </w:r>
      <w:r>
        <w:t>UK</w:t>
      </w:r>
    </w:p>
    <w:p w14:paraId="1F48755D" w14:textId="37E6FEBE" w:rsidR="00BF269D" w:rsidRDefault="00BF269D" w:rsidP="00F079A0">
      <w:pPr>
        <w:spacing w:after="0" w:line="240" w:lineRule="auto"/>
        <w:rPr>
          <w:b/>
          <w:u w:val="single"/>
        </w:rPr>
      </w:pPr>
    </w:p>
    <w:p w14:paraId="33C78010" w14:textId="6FD1A362" w:rsidR="00BF269D" w:rsidRDefault="00AA7E91" w:rsidP="00F079A0">
      <w:pPr>
        <w:spacing w:after="0" w:line="240" w:lineRule="auto"/>
        <w:rPr>
          <w:b/>
          <w:u w:val="single"/>
        </w:rPr>
      </w:pPr>
      <w:r>
        <w:rPr>
          <w:b/>
          <w:u w:val="single"/>
        </w:rPr>
        <w:t>Corresponding</w:t>
      </w:r>
      <w:r w:rsidR="003C7FB2">
        <w:rPr>
          <w:b/>
          <w:u w:val="single"/>
        </w:rPr>
        <w:t xml:space="preserve"> </w:t>
      </w:r>
      <w:r>
        <w:rPr>
          <w:b/>
          <w:u w:val="single"/>
        </w:rPr>
        <w:t>Author:</w:t>
      </w:r>
    </w:p>
    <w:p w14:paraId="320B834D" w14:textId="77777777" w:rsidR="00AA7E91" w:rsidRDefault="00AA7E91" w:rsidP="00F079A0">
      <w:pPr>
        <w:spacing w:after="0" w:line="240" w:lineRule="auto"/>
        <w:rPr>
          <w:b/>
          <w:u w:val="single"/>
        </w:rPr>
      </w:pPr>
    </w:p>
    <w:p w14:paraId="16A0B016" w14:textId="173B7656" w:rsidR="00AA7E91" w:rsidRPr="00AA7E91" w:rsidRDefault="00AA7E91" w:rsidP="00F079A0">
      <w:pPr>
        <w:spacing w:after="0" w:line="240" w:lineRule="auto"/>
      </w:pPr>
      <w:r w:rsidRPr="00AA7E91">
        <w:t>Dr</w:t>
      </w:r>
      <w:r w:rsidR="003C7FB2">
        <w:t xml:space="preserve"> </w:t>
      </w:r>
      <w:r w:rsidRPr="00AA7E91">
        <w:t>Oliver</w:t>
      </w:r>
      <w:r w:rsidR="003C7FB2">
        <w:t xml:space="preserve"> </w:t>
      </w:r>
      <w:r w:rsidRPr="00AA7E91">
        <w:t>T</w:t>
      </w:r>
      <w:r w:rsidR="003C7FB2">
        <w:t xml:space="preserve"> </w:t>
      </w:r>
      <w:r w:rsidRPr="00AA7E91">
        <w:t>Mytton</w:t>
      </w:r>
    </w:p>
    <w:p w14:paraId="30AD12C9" w14:textId="6F76D224" w:rsidR="00AA7E91" w:rsidRPr="00AA7E91" w:rsidRDefault="00AA7E91" w:rsidP="00F079A0">
      <w:pPr>
        <w:spacing w:after="0" w:line="240" w:lineRule="auto"/>
      </w:pPr>
      <w:r w:rsidRPr="00AA7E91">
        <w:t>Em</w:t>
      </w:r>
      <w:r w:rsidRPr="00AA7E91">
        <w:rPr>
          <w:color w:val="000000" w:themeColor="text1"/>
        </w:rPr>
        <w:t>ail:</w:t>
      </w:r>
      <w:r w:rsidR="003C7FB2">
        <w:rPr>
          <w:color w:val="000000" w:themeColor="text1"/>
        </w:rPr>
        <w:t xml:space="preserve"> </w:t>
      </w:r>
      <w:hyperlink r:id="rId8" w:history="1">
        <w:r w:rsidRPr="00AA7E91">
          <w:rPr>
            <w:rStyle w:val="Hyperlink"/>
            <w:color w:val="000000" w:themeColor="text1"/>
            <w:u w:val="none"/>
          </w:rPr>
          <w:t>otm21@medschl.cam.ac.uk</w:t>
        </w:r>
      </w:hyperlink>
    </w:p>
    <w:p w14:paraId="5A86F563" w14:textId="511D20F2" w:rsidR="00AA7E91" w:rsidRPr="00AA7E91" w:rsidRDefault="00AA7E91" w:rsidP="00AA7E91">
      <w:pPr>
        <w:spacing w:after="0" w:line="240" w:lineRule="auto"/>
      </w:pPr>
      <w:r w:rsidRPr="00AA7E91">
        <w:t>Phone:</w:t>
      </w:r>
      <w:r w:rsidR="003C7FB2">
        <w:t xml:space="preserve"> </w:t>
      </w:r>
      <w:r w:rsidRPr="00AA7E91">
        <w:t>+44</w:t>
      </w:r>
      <w:r w:rsidR="003C7FB2">
        <w:t xml:space="preserve"> </w:t>
      </w:r>
      <w:r w:rsidRPr="00AA7E91">
        <w:t>(0)</w:t>
      </w:r>
      <w:r w:rsidR="003C7FB2">
        <w:t xml:space="preserve"> </w:t>
      </w:r>
      <w:r w:rsidRPr="00AA7E91">
        <w:t>1223</w:t>
      </w:r>
      <w:r w:rsidR="003C7FB2">
        <w:t xml:space="preserve"> </w:t>
      </w:r>
      <w:r w:rsidRPr="00AA7E91">
        <w:t>769152</w:t>
      </w:r>
    </w:p>
    <w:p w14:paraId="45C146D5" w14:textId="155DFDFB" w:rsidR="00AA7E91" w:rsidRDefault="00AA7E91" w:rsidP="00AA7E91">
      <w:pPr>
        <w:spacing w:after="0" w:line="240" w:lineRule="auto"/>
      </w:pPr>
      <w:r w:rsidRPr="00AA7E91">
        <w:t>Postal</w:t>
      </w:r>
      <w:r w:rsidR="003C7FB2">
        <w:t xml:space="preserve"> </w:t>
      </w:r>
      <w:r w:rsidRPr="00AA7E91">
        <w:t>address:</w:t>
      </w:r>
      <w:r w:rsidR="003C7FB2">
        <w:t xml:space="preserve"> </w:t>
      </w:r>
      <w:r w:rsidRPr="00AA7E91">
        <w:t>MRC</w:t>
      </w:r>
      <w:r w:rsidR="003C7FB2">
        <w:t xml:space="preserve"> </w:t>
      </w:r>
      <w:r w:rsidRPr="00AA7E91">
        <w:t>Epidemiology</w:t>
      </w:r>
      <w:r w:rsidR="003C7FB2">
        <w:t xml:space="preserve"> </w:t>
      </w:r>
      <w:r w:rsidRPr="00AA7E91">
        <w:t>Unit</w:t>
      </w:r>
      <w:r w:rsidR="003C7FB2">
        <w:t xml:space="preserve"> </w:t>
      </w:r>
      <w:r w:rsidRPr="00AA7E91">
        <w:t>and</w:t>
      </w:r>
      <w:r w:rsidR="003C7FB2">
        <w:t xml:space="preserve"> </w:t>
      </w:r>
      <w:r w:rsidRPr="00AA7E91">
        <w:t>UKCRC</w:t>
      </w:r>
      <w:r w:rsidR="003C7FB2">
        <w:t xml:space="preserve"> </w:t>
      </w:r>
      <w:r w:rsidRPr="00AA7E91">
        <w:t>Centre</w:t>
      </w:r>
      <w:r w:rsidR="003C7FB2">
        <w:t xml:space="preserve"> </w:t>
      </w:r>
      <w:r w:rsidRPr="00AA7E91">
        <w:t>for</w:t>
      </w:r>
      <w:r w:rsidR="003C7FB2">
        <w:t xml:space="preserve"> </w:t>
      </w:r>
      <w:r w:rsidRPr="00AA7E91">
        <w:t>Diet</w:t>
      </w:r>
      <w:r w:rsidR="003C7FB2">
        <w:t xml:space="preserve"> </w:t>
      </w:r>
      <w:r w:rsidRPr="00AA7E91">
        <w:t>and</w:t>
      </w:r>
      <w:r w:rsidR="003C7FB2">
        <w:t xml:space="preserve"> </w:t>
      </w:r>
      <w:r w:rsidRPr="00AA7E91">
        <w:t>Activity</w:t>
      </w:r>
      <w:r w:rsidR="003C7FB2">
        <w:t xml:space="preserve"> </w:t>
      </w:r>
      <w:r w:rsidRPr="00AA7E91">
        <w:t>Research</w:t>
      </w:r>
      <w:r w:rsidR="003C7FB2">
        <w:t xml:space="preserve"> </w:t>
      </w:r>
      <w:r w:rsidRPr="00AA7E91">
        <w:t>(CEDAR),</w:t>
      </w:r>
      <w:r w:rsidR="003C7FB2">
        <w:t xml:space="preserve"> </w:t>
      </w:r>
      <w:r w:rsidRPr="00AA7E91">
        <w:t>University</w:t>
      </w:r>
      <w:r w:rsidR="003C7FB2">
        <w:t xml:space="preserve"> </w:t>
      </w:r>
      <w:r w:rsidRPr="00AA7E91">
        <w:t>of</w:t>
      </w:r>
      <w:r w:rsidR="003C7FB2">
        <w:t xml:space="preserve"> </w:t>
      </w:r>
      <w:r w:rsidRPr="00AA7E91">
        <w:t>Cambridge</w:t>
      </w:r>
      <w:r w:rsidR="003C7FB2">
        <w:t xml:space="preserve"> </w:t>
      </w:r>
      <w:r w:rsidRPr="00AA7E91">
        <w:t>School</w:t>
      </w:r>
      <w:r w:rsidR="003C7FB2">
        <w:t xml:space="preserve"> </w:t>
      </w:r>
      <w:r w:rsidRPr="00AA7E91">
        <w:t>of</w:t>
      </w:r>
      <w:r w:rsidR="003C7FB2">
        <w:t xml:space="preserve"> </w:t>
      </w:r>
      <w:r w:rsidRPr="00AA7E91">
        <w:t>Clinical</w:t>
      </w:r>
      <w:r w:rsidR="003C7FB2">
        <w:t xml:space="preserve"> </w:t>
      </w:r>
      <w:r w:rsidRPr="00AA7E91">
        <w:t>Medicine,</w:t>
      </w:r>
      <w:r w:rsidR="003C7FB2">
        <w:t xml:space="preserve"> </w:t>
      </w:r>
      <w:r w:rsidRPr="00AA7E91">
        <w:t>Box</w:t>
      </w:r>
      <w:r w:rsidR="003C7FB2">
        <w:t xml:space="preserve"> </w:t>
      </w:r>
      <w:r w:rsidRPr="00AA7E91">
        <w:t>285,</w:t>
      </w:r>
      <w:r w:rsidR="003C7FB2">
        <w:t xml:space="preserve"> </w:t>
      </w:r>
      <w:r w:rsidRPr="00AA7E91">
        <w:t>Cambridge</w:t>
      </w:r>
      <w:r w:rsidR="003C7FB2">
        <w:t xml:space="preserve"> </w:t>
      </w:r>
      <w:r w:rsidRPr="00AA7E91">
        <w:t>Biomedical</w:t>
      </w:r>
      <w:r w:rsidR="003C7FB2">
        <w:t xml:space="preserve"> </w:t>
      </w:r>
      <w:r w:rsidRPr="00AA7E91">
        <w:t>Campus,</w:t>
      </w:r>
      <w:r w:rsidR="003C7FB2">
        <w:t xml:space="preserve"> </w:t>
      </w:r>
      <w:r w:rsidRPr="00AA7E91">
        <w:t>Cambridge</w:t>
      </w:r>
      <w:r w:rsidR="003C7FB2">
        <w:t xml:space="preserve"> </w:t>
      </w:r>
      <w:r w:rsidRPr="00AA7E91">
        <w:t>CB2</w:t>
      </w:r>
      <w:r w:rsidR="003C7FB2">
        <w:t xml:space="preserve"> </w:t>
      </w:r>
      <w:r w:rsidRPr="00AA7E91">
        <w:t>0QQ,</w:t>
      </w:r>
      <w:r w:rsidR="003C7FB2">
        <w:t xml:space="preserve"> </w:t>
      </w:r>
      <w:r w:rsidRPr="00AA7E91">
        <w:t>UK</w:t>
      </w:r>
    </w:p>
    <w:p w14:paraId="42B47BE3" w14:textId="77777777" w:rsidR="00790FF7" w:rsidRDefault="00790FF7" w:rsidP="00AA7E91">
      <w:pPr>
        <w:spacing w:after="0" w:line="240" w:lineRule="auto"/>
      </w:pPr>
    </w:p>
    <w:p w14:paraId="2474E72E" w14:textId="5A9001E4" w:rsidR="00790FF7" w:rsidRPr="00CB39E6" w:rsidRDefault="00790FF7" w:rsidP="00AA7E91">
      <w:pPr>
        <w:spacing w:after="0" w:line="240" w:lineRule="auto"/>
        <w:rPr>
          <w:color w:val="000000" w:themeColor="text1"/>
        </w:rPr>
      </w:pPr>
      <w:r w:rsidRPr="00CB39E6">
        <w:rPr>
          <w:color w:val="000000" w:themeColor="text1"/>
        </w:rPr>
        <w:t>ORCID</w:t>
      </w:r>
      <w:r w:rsidR="003C7FB2" w:rsidRPr="00CB39E6">
        <w:rPr>
          <w:color w:val="000000" w:themeColor="text1"/>
        </w:rPr>
        <w:t xml:space="preserve"> </w:t>
      </w:r>
      <w:r w:rsidRPr="00CB39E6">
        <w:rPr>
          <w:color w:val="000000" w:themeColor="text1"/>
        </w:rPr>
        <w:t>ID:</w:t>
      </w:r>
      <w:r w:rsidR="003C7FB2" w:rsidRPr="00CB39E6">
        <w:rPr>
          <w:color w:val="000000" w:themeColor="text1"/>
        </w:rPr>
        <w:t xml:space="preserve"> </w:t>
      </w:r>
      <w:r w:rsidRPr="00CB39E6">
        <w:rPr>
          <w:rFonts w:cs="Arial"/>
          <w:color w:val="000000" w:themeColor="text1"/>
          <w:shd w:val="clear" w:color="auto" w:fill="FFFFFF"/>
        </w:rPr>
        <w:t>0000-0003-3218-9912</w:t>
      </w:r>
    </w:p>
    <w:p w14:paraId="266F9ACB" w14:textId="77777777" w:rsidR="00AA7E91" w:rsidRPr="00AA7E91" w:rsidRDefault="00AA7E91" w:rsidP="00F079A0">
      <w:pPr>
        <w:spacing w:after="0" w:line="240" w:lineRule="auto"/>
        <w:rPr>
          <w:u w:val="single"/>
        </w:rPr>
      </w:pPr>
    </w:p>
    <w:p w14:paraId="0788B2C5" w14:textId="4D6177E1" w:rsidR="00BF269D" w:rsidRDefault="00BF269D" w:rsidP="00F079A0">
      <w:pPr>
        <w:spacing w:after="0" w:line="240" w:lineRule="auto"/>
      </w:pPr>
      <w:r>
        <w:rPr>
          <w:b/>
          <w:u w:val="single"/>
        </w:rPr>
        <w:t>Word</w:t>
      </w:r>
      <w:r w:rsidR="003C7FB2">
        <w:rPr>
          <w:b/>
          <w:u w:val="single"/>
        </w:rPr>
        <w:t xml:space="preserve"> </w:t>
      </w:r>
      <w:r>
        <w:rPr>
          <w:b/>
          <w:u w:val="single"/>
        </w:rPr>
        <w:t>Count</w:t>
      </w:r>
      <w:r w:rsidR="00AA7E91">
        <w:t>:</w:t>
      </w:r>
      <w:r w:rsidR="003C7FB2">
        <w:t xml:space="preserve"> </w:t>
      </w:r>
      <w:r w:rsidR="00D70F14">
        <w:t>3448</w:t>
      </w:r>
      <w:r w:rsidR="003C7FB2">
        <w:t xml:space="preserve"> </w:t>
      </w:r>
      <w:r w:rsidR="00AA7E91">
        <w:t>words</w:t>
      </w:r>
    </w:p>
    <w:p w14:paraId="245FCF5D" w14:textId="0E9FCC2E" w:rsidR="00D10C36" w:rsidRDefault="00D10C36" w:rsidP="00F079A0">
      <w:pPr>
        <w:spacing w:after="0" w:line="240" w:lineRule="auto"/>
      </w:pPr>
    </w:p>
    <w:p w14:paraId="2368BB62" w14:textId="5B974F79" w:rsidR="00D10C36" w:rsidRPr="00F079A0" w:rsidRDefault="00D10C36" w:rsidP="00F079A0">
      <w:pPr>
        <w:spacing w:after="0" w:line="240" w:lineRule="auto"/>
        <w:rPr>
          <w:b/>
          <w:u w:val="single"/>
        </w:rPr>
      </w:pPr>
      <w:r>
        <w:t>Abstract Word Count: 240 words</w:t>
      </w:r>
    </w:p>
    <w:p w14:paraId="17321F64" w14:textId="77777777" w:rsidR="009501B0" w:rsidRDefault="009501B0" w:rsidP="009501B0">
      <w:pPr>
        <w:spacing w:after="0" w:line="240" w:lineRule="auto"/>
        <w:rPr>
          <w:b/>
        </w:rPr>
      </w:pPr>
    </w:p>
    <w:p w14:paraId="40D22FEE" w14:textId="77777777" w:rsidR="009501B0" w:rsidRDefault="009501B0" w:rsidP="009501B0">
      <w:pPr>
        <w:spacing w:after="0" w:line="240" w:lineRule="auto"/>
        <w:rPr>
          <w:b/>
        </w:rPr>
      </w:pPr>
    </w:p>
    <w:p w14:paraId="2BDF6CEC" w14:textId="77777777" w:rsidR="009501B0" w:rsidRDefault="009501B0" w:rsidP="009501B0">
      <w:pPr>
        <w:spacing w:after="0" w:line="240" w:lineRule="auto"/>
        <w:rPr>
          <w:b/>
        </w:rPr>
      </w:pPr>
    </w:p>
    <w:p w14:paraId="62FB095A" w14:textId="146CC572" w:rsidR="009501B0" w:rsidRDefault="009501B0" w:rsidP="009501B0">
      <w:pPr>
        <w:spacing w:after="0" w:line="240" w:lineRule="auto"/>
        <w:rPr>
          <w:b/>
        </w:rPr>
      </w:pPr>
      <w:r w:rsidRPr="002761DF">
        <w:rPr>
          <w:b/>
        </w:rPr>
        <w:t>Acknowledgements</w:t>
      </w:r>
    </w:p>
    <w:p w14:paraId="53A2A9D8" w14:textId="07D77909" w:rsidR="009501B0" w:rsidRPr="002761DF" w:rsidRDefault="009501B0" w:rsidP="009501B0">
      <w:pPr>
        <w:pStyle w:val="NormalWeb"/>
        <w:rPr>
          <w:rFonts w:asciiTheme="minorHAnsi" w:hAnsiTheme="minorHAnsi"/>
          <w:sz w:val="22"/>
          <w:szCs w:val="22"/>
        </w:rPr>
      </w:pPr>
      <w:r w:rsidRPr="002761DF">
        <w:rPr>
          <w:rFonts w:asciiTheme="minorHAnsi" w:hAnsiTheme="minorHAnsi"/>
          <w:sz w:val="22"/>
          <w:szCs w:val="22"/>
        </w:rPr>
        <w:t>The</w:t>
      </w:r>
      <w:r w:rsidR="003C7FB2">
        <w:rPr>
          <w:rFonts w:asciiTheme="minorHAnsi" w:hAnsiTheme="minorHAnsi"/>
          <w:sz w:val="22"/>
          <w:szCs w:val="22"/>
        </w:rPr>
        <w:t xml:space="preserve"> </w:t>
      </w:r>
      <w:r w:rsidRPr="002761DF">
        <w:rPr>
          <w:rFonts w:asciiTheme="minorHAnsi" w:hAnsiTheme="minorHAnsi"/>
          <w:sz w:val="22"/>
          <w:szCs w:val="22"/>
        </w:rPr>
        <w:t>authors</w:t>
      </w:r>
      <w:r w:rsidR="003C7FB2">
        <w:rPr>
          <w:rFonts w:asciiTheme="minorHAnsi" w:hAnsiTheme="minorHAnsi"/>
          <w:sz w:val="22"/>
          <w:szCs w:val="22"/>
        </w:rPr>
        <w:t xml:space="preserve"> </w:t>
      </w:r>
      <w:r w:rsidRPr="002761DF">
        <w:rPr>
          <w:rFonts w:asciiTheme="minorHAnsi" w:hAnsiTheme="minorHAnsi"/>
          <w:sz w:val="22"/>
          <w:szCs w:val="22"/>
        </w:rPr>
        <w:t>are</w:t>
      </w:r>
      <w:r w:rsidR="003C7FB2">
        <w:rPr>
          <w:rFonts w:asciiTheme="minorHAnsi" w:hAnsiTheme="minorHAnsi"/>
          <w:sz w:val="22"/>
          <w:szCs w:val="22"/>
        </w:rPr>
        <w:t xml:space="preserve"> </w:t>
      </w:r>
      <w:r w:rsidRPr="002761DF">
        <w:rPr>
          <w:rFonts w:asciiTheme="minorHAnsi" w:hAnsiTheme="minorHAnsi"/>
          <w:sz w:val="22"/>
          <w:szCs w:val="22"/>
        </w:rPr>
        <w:t>grateful</w:t>
      </w:r>
      <w:r w:rsidR="003C7FB2">
        <w:rPr>
          <w:rFonts w:asciiTheme="minorHAnsi" w:hAnsiTheme="minorHAnsi"/>
          <w:sz w:val="22"/>
          <w:szCs w:val="22"/>
        </w:rPr>
        <w:t xml:space="preserve"> </w:t>
      </w:r>
      <w:r w:rsidRPr="002761DF">
        <w:rPr>
          <w:rFonts w:asciiTheme="minorHAnsi" w:hAnsiTheme="minorHAnsi"/>
          <w:sz w:val="22"/>
          <w:szCs w:val="22"/>
        </w:rPr>
        <w:t>to</w:t>
      </w:r>
      <w:r w:rsidR="003C7FB2">
        <w:rPr>
          <w:rFonts w:asciiTheme="minorHAnsi" w:hAnsiTheme="minorHAnsi"/>
          <w:sz w:val="22"/>
          <w:szCs w:val="22"/>
        </w:rPr>
        <w:t xml:space="preserve"> </w:t>
      </w:r>
      <w:r w:rsidRPr="002761DF">
        <w:rPr>
          <w:rFonts w:asciiTheme="minorHAnsi" w:hAnsiTheme="minorHAnsi"/>
          <w:sz w:val="22"/>
          <w:szCs w:val="22"/>
        </w:rPr>
        <w:t>all</w:t>
      </w:r>
      <w:r w:rsidR="003C7FB2">
        <w:rPr>
          <w:rFonts w:asciiTheme="minorHAnsi" w:hAnsiTheme="minorHAnsi"/>
          <w:sz w:val="22"/>
          <w:szCs w:val="22"/>
        </w:rPr>
        <w:t xml:space="preserve"> </w:t>
      </w:r>
      <w:r w:rsidRPr="002761DF">
        <w:rPr>
          <w:rFonts w:asciiTheme="minorHAnsi" w:hAnsiTheme="minorHAnsi"/>
          <w:sz w:val="22"/>
          <w:szCs w:val="22"/>
        </w:rPr>
        <w:t>the</w:t>
      </w:r>
      <w:r w:rsidR="003C7FB2">
        <w:rPr>
          <w:rFonts w:asciiTheme="minorHAnsi" w:hAnsiTheme="minorHAnsi"/>
          <w:sz w:val="22"/>
          <w:szCs w:val="22"/>
        </w:rPr>
        <w:t xml:space="preserve"> </w:t>
      </w:r>
      <w:r w:rsidRPr="002761DF">
        <w:rPr>
          <w:rFonts w:asciiTheme="minorHAnsi" w:hAnsiTheme="minorHAnsi"/>
          <w:sz w:val="22"/>
          <w:szCs w:val="22"/>
        </w:rPr>
        <w:t>Fenland</w:t>
      </w:r>
      <w:r w:rsidR="003C7FB2">
        <w:rPr>
          <w:rFonts w:asciiTheme="minorHAnsi" w:hAnsiTheme="minorHAnsi"/>
          <w:sz w:val="22"/>
          <w:szCs w:val="22"/>
        </w:rPr>
        <w:t xml:space="preserve"> </w:t>
      </w:r>
      <w:r w:rsidRPr="002761DF">
        <w:rPr>
          <w:rFonts w:asciiTheme="minorHAnsi" w:hAnsiTheme="minorHAnsi"/>
          <w:sz w:val="22"/>
          <w:szCs w:val="22"/>
        </w:rPr>
        <w:t>Study</w:t>
      </w:r>
      <w:r w:rsidR="003C7FB2">
        <w:rPr>
          <w:rFonts w:asciiTheme="minorHAnsi" w:hAnsiTheme="minorHAnsi"/>
          <w:sz w:val="22"/>
          <w:szCs w:val="22"/>
        </w:rPr>
        <w:t xml:space="preserve"> </w:t>
      </w:r>
      <w:r w:rsidRPr="002761DF">
        <w:rPr>
          <w:rFonts w:asciiTheme="minorHAnsi" w:hAnsiTheme="minorHAnsi"/>
          <w:sz w:val="22"/>
          <w:szCs w:val="22"/>
        </w:rPr>
        <w:t>volunteers</w:t>
      </w:r>
      <w:r w:rsidR="003C7FB2">
        <w:rPr>
          <w:rFonts w:asciiTheme="minorHAnsi" w:hAnsiTheme="minorHAnsi"/>
          <w:sz w:val="22"/>
          <w:szCs w:val="22"/>
        </w:rPr>
        <w:t xml:space="preserve"> </w:t>
      </w:r>
      <w:r w:rsidRPr="002761DF">
        <w:rPr>
          <w:rFonts w:asciiTheme="minorHAnsi" w:hAnsiTheme="minorHAnsi"/>
          <w:sz w:val="22"/>
          <w:szCs w:val="22"/>
        </w:rPr>
        <w:t>for</w:t>
      </w:r>
      <w:r w:rsidR="003C7FB2">
        <w:rPr>
          <w:rFonts w:asciiTheme="minorHAnsi" w:hAnsiTheme="minorHAnsi"/>
          <w:sz w:val="22"/>
          <w:szCs w:val="22"/>
        </w:rPr>
        <w:t xml:space="preserve"> </w:t>
      </w:r>
      <w:r w:rsidRPr="002761DF">
        <w:rPr>
          <w:rFonts w:asciiTheme="minorHAnsi" w:hAnsiTheme="minorHAnsi"/>
          <w:sz w:val="22"/>
          <w:szCs w:val="22"/>
        </w:rPr>
        <w:t>their</w:t>
      </w:r>
      <w:r w:rsidR="003C7FB2">
        <w:rPr>
          <w:rFonts w:asciiTheme="minorHAnsi" w:hAnsiTheme="minorHAnsi"/>
          <w:sz w:val="22"/>
          <w:szCs w:val="22"/>
        </w:rPr>
        <w:t xml:space="preserve"> </w:t>
      </w:r>
      <w:r w:rsidRPr="002761DF">
        <w:rPr>
          <w:rFonts w:asciiTheme="minorHAnsi" w:hAnsiTheme="minorHAnsi"/>
          <w:sz w:val="22"/>
          <w:szCs w:val="22"/>
        </w:rPr>
        <w:t>time</w:t>
      </w:r>
      <w:r w:rsidR="003C7FB2">
        <w:rPr>
          <w:rFonts w:asciiTheme="minorHAnsi" w:hAnsiTheme="minorHAnsi"/>
          <w:sz w:val="22"/>
          <w:szCs w:val="22"/>
        </w:rPr>
        <w:t xml:space="preserve"> </w:t>
      </w:r>
      <w:r w:rsidRPr="002761DF">
        <w:rPr>
          <w:rFonts w:asciiTheme="minorHAnsi" w:hAnsiTheme="minorHAnsi"/>
          <w:sz w:val="22"/>
          <w:szCs w:val="22"/>
        </w:rPr>
        <w:t>and</w:t>
      </w:r>
      <w:r w:rsidR="003C7FB2">
        <w:rPr>
          <w:rFonts w:asciiTheme="minorHAnsi" w:hAnsiTheme="minorHAnsi"/>
          <w:sz w:val="22"/>
          <w:szCs w:val="22"/>
        </w:rPr>
        <w:t xml:space="preserve"> </w:t>
      </w:r>
      <w:r w:rsidRPr="002761DF">
        <w:rPr>
          <w:rFonts w:asciiTheme="minorHAnsi" w:hAnsiTheme="minorHAnsi"/>
          <w:sz w:val="22"/>
          <w:szCs w:val="22"/>
        </w:rPr>
        <w:t>help</w:t>
      </w:r>
      <w:r w:rsidR="003C7FB2">
        <w:rPr>
          <w:rFonts w:asciiTheme="minorHAnsi" w:hAnsiTheme="minorHAnsi"/>
          <w:sz w:val="22"/>
          <w:szCs w:val="22"/>
        </w:rPr>
        <w:t xml:space="preserve"> </w:t>
      </w:r>
      <w:r w:rsidRPr="002761DF">
        <w:rPr>
          <w:rFonts w:asciiTheme="minorHAnsi" w:hAnsiTheme="minorHAnsi"/>
          <w:sz w:val="22"/>
          <w:szCs w:val="22"/>
        </w:rPr>
        <w:t>and</w:t>
      </w:r>
      <w:r w:rsidR="003C7FB2">
        <w:rPr>
          <w:rFonts w:asciiTheme="minorHAnsi" w:hAnsiTheme="minorHAnsi"/>
          <w:sz w:val="22"/>
          <w:szCs w:val="22"/>
        </w:rPr>
        <w:t xml:space="preserve"> </w:t>
      </w:r>
      <w:r w:rsidRPr="002761DF">
        <w:rPr>
          <w:rFonts w:asciiTheme="minorHAnsi" w:hAnsiTheme="minorHAnsi"/>
          <w:sz w:val="22"/>
          <w:szCs w:val="22"/>
        </w:rPr>
        <w:t>to</w:t>
      </w:r>
      <w:r w:rsidR="003C7FB2">
        <w:rPr>
          <w:rFonts w:asciiTheme="minorHAnsi" w:hAnsiTheme="minorHAnsi"/>
          <w:sz w:val="22"/>
          <w:szCs w:val="22"/>
        </w:rPr>
        <w:t xml:space="preserve"> </w:t>
      </w:r>
      <w:r w:rsidRPr="002761DF">
        <w:rPr>
          <w:rFonts w:asciiTheme="minorHAnsi" w:hAnsiTheme="minorHAnsi"/>
          <w:sz w:val="22"/>
          <w:szCs w:val="22"/>
        </w:rPr>
        <w:t>the</w:t>
      </w:r>
      <w:r w:rsidR="003C7FB2">
        <w:rPr>
          <w:rFonts w:asciiTheme="minorHAnsi" w:hAnsiTheme="minorHAnsi"/>
          <w:sz w:val="22"/>
          <w:szCs w:val="22"/>
        </w:rPr>
        <w:t xml:space="preserve"> </w:t>
      </w:r>
      <w:r w:rsidRPr="002761DF">
        <w:rPr>
          <w:rFonts w:asciiTheme="minorHAnsi" w:hAnsiTheme="minorHAnsi"/>
          <w:sz w:val="22"/>
          <w:szCs w:val="22"/>
        </w:rPr>
        <w:t>general</w:t>
      </w:r>
      <w:r w:rsidR="003C7FB2">
        <w:rPr>
          <w:rFonts w:asciiTheme="minorHAnsi" w:hAnsiTheme="minorHAnsi"/>
          <w:sz w:val="22"/>
          <w:szCs w:val="22"/>
        </w:rPr>
        <w:t xml:space="preserve"> </w:t>
      </w:r>
      <w:r w:rsidRPr="002761DF">
        <w:rPr>
          <w:rFonts w:asciiTheme="minorHAnsi" w:hAnsiTheme="minorHAnsi"/>
          <w:sz w:val="22"/>
          <w:szCs w:val="22"/>
        </w:rPr>
        <w:t>practitioners</w:t>
      </w:r>
      <w:r w:rsidR="003C7FB2">
        <w:rPr>
          <w:rFonts w:asciiTheme="minorHAnsi" w:hAnsiTheme="minorHAnsi"/>
          <w:sz w:val="22"/>
          <w:szCs w:val="22"/>
        </w:rPr>
        <w:t xml:space="preserve"> </w:t>
      </w:r>
      <w:r w:rsidRPr="002761DF">
        <w:rPr>
          <w:rFonts w:asciiTheme="minorHAnsi" w:hAnsiTheme="minorHAnsi"/>
          <w:sz w:val="22"/>
          <w:szCs w:val="22"/>
        </w:rPr>
        <w:t>and</w:t>
      </w:r>
      <w:r w:rsidR="003C7FB2">
        <w:rPr>
          <w:rFonts w:asciiTheme="minorHAnsi" w:hAnsiTheme="minorHAnsi"/>
          <w:sz w:val="22"/>
          <w:szCs w:val="22"/>
        </w:rPr>
        <w:t xml:space="preserve"> </w:t>
      </w:r>
      <w:r w:rsidRPr="002761DF">
        <w:rPr>
          <w:rFonts w:asciiTheme="minorHAnsi" w:hAnsiTheme="minorHAnsi"/>
          <w:sz w:val="22"/>
          <w:szCs w:val="22"/>
        </w:rPr>
        <w:t>practice</w:t>
      </w:r>
      <w:r w:rsidR="003C7FB2">
        <w:rPr>
          <w:rFonts w:asciiTheme="minorHAnsi" w:hAnsiTheme="minorHAnsi"/>
          <w:sz w:val="22"/>
          <w:szCs w:val="22"/>
        </w:rPr>
        <w:t xml:space="preserve"> </w:t>
      </w:r>
      <w:r w:rsidRPr="002761DF">
        <w:rPr>
          <w:rFonts w:asciiTheme="minorHAnsi" w:hAnsiTheme="minorHAnsi"/>
          <w:sz w:val="22"/>
          <w:szCs w:val="22"/>
        </w:rPr>
        <w:t>staff</w:t>
      </w:r>
      <w:r w:rsidR="003C7FB2">
        <w:rPr>
          <w:rFonts w:asciiTheme="minorHAnsi" w:hAnsiTheme="minorHAnsi"/>
          <w:sz w:val="22"/>
          <w:szCs w:val="22"/>
        </w:rPr>
        <w:t xml:space="preserve"> </w:t>
      </w:r>
      <w:r w:rsidRPr="002761DF">
        <w:rPr>
          <w:rFonts w:asciiTheme="minorHAnsi" w:hAnsiTheme="minorHAnsi"/>
          <w:sz w:val="22"/>
          <w:szCs w:val="22"/>
        </w:rPr>
        <w:t>for</w:t>
      </w:r>
      <w:r w:rsidR="003C7FB2">
        <w:rPr>
          <w:rFonts w:asciiTheme="minorHAnsi" w:hAnsiTheme="minorHAnsi"/>
          <w:sz w:val="22"/>
          <w:szCs w:val="22"/>
        </w:rPr>
        <w:t xml:space="preserve"> </w:t>
      </w:r>
      <w:r w:rsidRPr="002761DF">
        <w:rPr>
          <w:rFonts w:asciiTheme="minorHAnsi" w:hAnsiTheme="minorHAnsi"/>
          <w:sz w:val="22"/>
          <w:szCs w:val="22"/>
        </w:rPr>
        <w:t>help</w:t>
      </w:r>
      <w:r w:rsidR="003C7FB2">
        <w:rPr>
          <w:rFonts w:asciiTheme="minorHAnsi" w:hAnsiTheme="minorHAnsi"/>
          <w:sz w:val="22"/>
          <w:szCs w:val="22"/>
        </w:rPr>
        <w:t xml:space="preserve"> </w:t>
      </w:r>
      <w:r w:rsidRPr="002761DF">
        <w:rPr>
          <w:rFonts w:asciiTheme="minorHAnsi" w:hAnsiTheme="minorHAnsi"/>
          <w:sz w:val="22"/>
          <w:szCs w:val="22"/>
        </w:rPr>
        <w:t>with</w:t>
      </w:r>
      <w:r w:rsidR="003C7FB2">
        <w:rPr>
          <w:rFonts w:asciiTheme="minorHAnsi" w:hAnsiTheme="minorHAnsi"/>
          <w:sz w:val="22"/>
          <w:szCs w:val="22"/>
        </w:rPr>
        <w:t xml:space="preserve"> </w:t>
      </w:r>
      <w:r w:rsidRPr="002761DF">
        <w:rPr>
          <w:rFonts w:asciiTheme="minorHAnsi" w:hAnsiTheme="minorHAnsi"/>
          <w:sz w:val="22"/>
          <w:szCs w:val="22"/>
        </w:rPr>
        <w:t>recruitment.</w:t>
      </w:r>
      <w:r w:rsidR="003C7FB2">
        <w:rPr>
          <w:rFonts w:asciiTheme="minorHAnsi" w:hAnsiTheme="minorHAnsi"/>
          <w:sz w:val="22"/>
          <w:szCs w:val="22"/>
        </w:rPr>
        <w:t xml:space="preserve"> </w:t>
      </w:r>
      <w:r w:rsidRPr="002761DF">
        <w:rPr>
          <w:rFonts w:asciiTheme="minorHAnsi" w:hAnsiTheme="minorHAnsi"/>
          <w:sz w:val="22"/>
          <w:szCs w:val="22"/>
        </w:rPr>
        <w:t>The</w:t>
      </w:r>
      <w:r w:rsidR="003C7FB2">
        <w:rPr>
          <w:rFonts w:asciiTheme="minorHAnsi" w:hAnsiTheme="minorHAnsi"/>
          <w:sz w:val="22"/>
          <w:szCs w:val="22"/>
        </w:rPr>
        <w:t xml:space="preserve"> </w:t>
      </w:r>
      <w:r w:rsidRPr="002761DF">
        <w:rPr>
          <w:rFonts w:asciiTheme="minorHAnsi" w:hAnsiTheme="minorHAnsi"/>
          <w:sz w:val="22"/>
          <w:szCs w:val="22"/>
        </w:rPr>
        <w:t>authors</w:t>
      </w:r>
      <w:r w:rsidR="003C7FB2">
        <w:rPr>
          <w:rFonts w:asciiTheme="minorHAnsi" w:hAnsiTheme="minorHAnsi"/>
          <w:sz w:val="22"/>
          <w:szCs w:val="22"/>
        </w:rPr>
        <w:t xml:space="preserve"> </w:t>
      </w:r>
      <w:r w:rsidRPr="002761DF">
        <w:rPr>
          <w:rFonts w:asciiTheme="minorHAnsi" w:hAnsiTheme="minorHAnsi"/>
          <w:sz w:val="22"/>
          <w:szCs w:val="22"/>
        </w:rPr>
        <w:t>thank</w:t>
      </w:r>
      <w:r w:rsidR="003C7FB2">
        <w:rPr>
          <w:rFonts w:asciiTheme="minorHAnsi" w:hAnsiTheme="minorHAnsi"/>
          <w:sz w:val="22"/>
          <w:szCs w:val="22"/>
        </w:rPr>
        <w:t xml:space="preserve"> </w:t>
      </w:r>
      <w:r w:rsidRPr="002761DF">
        <w:rPr>
          <w:rFonts w:asciiTheme="minorHAnsi" w:hAnsiTheme="minorHAnsi"/>
          <w:sz w:val="22"/>
          <w:szCs w:val="22"/>
        </w:rPr>
        <w:t>the</w:t>
      </w:r>
      <w:r w:rsidR="003C7FB2">
        <w:rPr>
          <w:rFonts w:asciiTheme="minorHAnsi" w:hAnsiTheme="minorHAnsi"/>
          <w:sz w:val="22"/>
          <w:szCs w:val="22"/>
        </w:rPr>
        <w:t xml:space="preserve"> </w:t>
      </w:r>
      <w:r w:rsidRPr="002761DF">
        <w:rPr>
          <w:rFonts w:asciiTheme="minorHAnsi" w:hAnsiTheme="minorHAnsi"/>
          <w:sz w:val="22"/>
          <w:szCs w:val="22"/>
        </w:rPr>
        <w:t>Fenland</w:t>
      </w:r>
      <w:r w:rsidR="003C7FB2">
        <w:rPr>
          <w:rFonts w:asciiTheme="minorHAnsi" w:hAnsiTheme="minorHAnsi"/>
          <w:sz w:val="22"/>
          <w:szCs w:val="22"/>
        </w:rPr>
        <w:t xml:space="preserve"> </w:t>
      </w:r>
      <w:r w:rsidRPr="002761DF">
        <w:rPr>
          <w:rFonts w:asciiTheme="minorHAnsi" w:hAnsiTheme="minorHAnsi"/>
          <w:sz w:val="22"/>
          <w:szCs w:val="22"/>
        </w:rPr>
        <w:t>Study</w:t>
      </w:r>
      <w:r w:rsidR="003C7FB2">
        <w:rPr>
          <w:rFonts w:asciiTheme="minorHAnsi" w:hAnsiTheme="minorHAnsi"/>
          <w:sz w:val="22"/>
          <w:szCs w:val="22"/>
        </w:rPr>
        <w:t xml:space="preserve"> </w:t>
      </w:r>
      <w:r w:rsidRPr="002761DF">
        <w:rPr>
          <w:rFonts w:asciiTheme="minorHAnsi" w:hAnsiTheme="minorHAnsi"/>
          <w:sz w:val="22"/>
          <w:szCs w:val="22"/>
        </w:rPr>
        <w:t>Co-ordination</w:t>
      </w:r>
      <w:r w:rsidR="003C7FB2">
        <w:rPr>
          <w:rFonts w:asciiTheme="minorHAnsi" w:hAnsiTheme="minorHAnsi"/>
          <w:sz w:val="22"/>
          <w:szCs w:val="22"/>
        </w:rPr>
        <w:t xml:space="preserve"> </w:t>
      </w:r>
      <w:r w:rsidRPr="002761DF">
        <w:rPr>
          <w:rFonts w:asciiTheme="minorHAnsi" w:hAnsiTheme="minorHAnsi"/>
          <w:sz w:val="22"/>
          <w:szCs w:val="22"/>
        </w:rPr>
        <w:t>team,</w:t>
      </w:r>
      <w:r w:rsidR="003C7FB2">
        <w:rPr>
          <w:rFonts w:asciiTheme="minorHAnsi" w:hAnsiTheme="minorHAnsi"/>
          <w:sz w:val="22"/>
          <w:szCs w:val="22"/>
        </w:rPr>
        <w:t xml:space="preserve"> </w:t>
      </w:r>
      <w:r w:rsidRPr="002761DF">
        <w:rPr>
          <w:rFonts w:asciiTheme="minorHAnsi" w:hAnsiTheme="minorHAnsi"/>
          <w:sz w:val="22"/>
          <w:szCs w:val="22"/>
        </w:rPr>
        <w:t>the</w:t>
      </w:r>
      <w:r w:rsidR="003C7FB2">
        <w:rPr>
          <w:rFonts w:asciiTheme="minorHAnsi" w:hAnsiTheme="minorHAnsi"/>
          <w:sz w:val="22"/>
          <w:szCs w:val="22"/>
        </w:rPr>
        <w:t xml:space="preserve"> </w:t>
      </w:r>
      <w:r w:rsidRPr="002761DF">
        <w:rPr>
          <w:rFonts w:asciiTheme="minorHAnsi" w:hAnsiTheme="minorHAnsi"/>
          <w:sz w:val="22"/>
          <w:szCs w:val="22"/>
        </w:rPr>
        <w:t>Field</w:t>
      </w:r>
      <w:r w:rsidR="003C7FB2">
        <w:rPr>
          <w:rFonts w:asciiTheme="minorHAnsi" w:hAnsiTheme="minorHAnsi"/>
          <w:sz w:val="22"/>
          <w:szCs w:val="22"/>
        </w:rPr>
        <w:t xml:space="preserve"> </w:t>
      </w:r>
      <w:r w:rsidRPr="002761DF">
        <w:rPr>
          <w:rFonts w:asciiTheme="minorHAnsi" w:hAnsiTheme="minorHAnsi"/>
          <w:sz w:val="22"/>
          <w:szCs w:val="22"/>
        </w:rPr>
        <w:t>Epidemiology</w:t>
      </w:r>
      <w:r w:rsidR="003C7FB2">
        <w:rPr>
          <w:rFonts w:asciiTheme="minorHAnsi" w:hAnsiTheme="minorHAnsi"/>
          <w:sz w:val="22"/>
          <w:szCs w:val="22"/>
        </w:rPr>
        <w:t xml:space="preserve"> </w:t>
      </w:r>
      <w:r w:rsidRPr="002761DF">
        <w:rPr>
          <w:rFonts w:asciiTheme="minorHAnsi" w:hAnsiTheme="minorHAnsi"/>
          <w:sz w:val="22"/>
          <w:szCs w:val="22"/>
        </w:rPr>
        <w:t>team,</w:t>
      </w:r>
      <w:r w:rsidR="003C7FB2">
        <w:rPr>
          <w:rFonts w:asciiTheme="minorHAnsi" w:hAnsiTheme="minorHAnsi"/>
          <w:sz w:val="22"/>
          <w:szCs w:val="22"/>
        </w:rPr>
        <w:t xml:space="preserve"> </w:t>
      </w:r>
      <w:r w:rsidRPr="002761DF">
        <w:rPr>
          <w:rFonts w:asciiTheme="minorHAnsi" w:hAnsiTheme="minorHAnsi"/>
          <w:sz w:val="22"/>
          <w:szCs w:val="22"/>
        </w:rPr>
        <w:t>the</w:t>
      </w:r>
      <w:r w:rsidR="003C7FB2">
        <w:rPr>
          <w:rFonts w:asciiTheme="minorHAnsi" w:hAnsiTheme="minorHAnsi"/>
          <w:sz w:val="22"/>
          <w:szCs w:val="22"/>
        </w:rPr>
        <w:t xml:space="preserve"> </w:t>
      </w:r>
      <w:r w:rsidRPr="002761DF">
        <w:rPr>
          <w:rFonts w:asciiTheme="minorHAnsi" w:hAnsiTheme="minorHAnsi"/>
          <w:sz w:val="22"/>
          <w:szCs w:val="22"/>
        </w:rPr>
        <w:t>data</w:t>
      </w:r>
      <w:r w:rsidR="003C7FB2">
        <w:rPr>
          <w:rFonts w:asciiTheme="minorHAnsi" w:hAnsiTheme="minorHAnsi"/>
          <w:sz w:val="22"/>
          <w:szCs w:val="22"/>
        </w:rPr>
        <w:t xml:space="preserve"> </w:t>
      </w:r>
      <w:r w:rsidRPr="002761DF">
        <w:rPr>
          <w:rFonts w:asciiTheme="minorHAnsi" w:hAnsiTheme="minorHAnsi"/>
          <w:sz w:val="22"/>
          <w:szCs w:val="22"/>
        </w:rPr>
        <w:t>management</w:t>
      </w:r>
      <w:r w:rsidR="003C7FB2">
        <w:rPr>
          <w:rFonts w:asciiTheme="minorHAnsi" w:hAnsiTheme="minorHAnsi"/>
          <w:sz w:val="22"/>
          <w:szCs w:val="22"/>
        </w:rPr>
        <w:t xml:space="preserve"> </w:t>
      </w:r>
      <w:r w:rsidRPr="002761DF">
        <w:rPr>
          <w:rFonts w:asciiTheme="minorHAnsi" w:hAnsiTheme="minorHAnsi"/>
          <w:sz w:val="22"/>
          <w:szCs w:val="22"/>
        </w:rPr>
        <w:t>team</w:t>
      </w:r>
      <w:r w:rsidR="003C7FB2">
        <w:rPr>
          <w:rFonts w:asciiTheme="minorHAnsi" w:hAnsiTheme="minorHAnsi"/>
          <w:sz w:val="22"/>
          <w:szCs w:val="22"/>
        </w:rPr>
        <w:t xml:space="preserve"> </w:t>
      </w:r>
      <w:r w:rsidRPr="002761DF">
        <w:rPr>
          <w:rFonts w:asciiTheme="minorHAnsi" w:hAnsiTheme="minorHAnsi"/>
          <w:sz w:val="22"/>
          <w:szCs w:val="22"/>
        </w:rPr>
        <w:t>and</w:t>
      </w:r>
      <w:r w:rsidR="003C7FB2">
        <w:rPr>
          <w:rFonts w:asciiTheme="minorHAnsi" w:hAnsiTheme="minorHAnsi"/>
          <w:sz w:val="22"/>
          <w:szCs w:val="22"/>
        </w:rPr>
        <w:t xml:space="preserve"> </w:t>
      </w:r>
      <w:r w:rsidRPr="002761DF">
        <w:rPr>
          <w:rFonts w:asciiTheme="minorHAnsi" w:hAnsiTheme="minorHAnsi"/>
          <w:sz w:val="22"/>
          <w:szCs w:val="22"/>
        </w:rPr>
        <w:t>the</w:t>
      </w:r>
      <w:r w:rsidR="003C7FB2">
        <w:rPr>
          <w:rFonts w:asciiTheme="minorHAnsi" w:hAnsiTheme="minorHAnsi"/>
          <w:sz w:val="22"/>
          <w:szCs w:val="22"/>
        </w:rPr>
        <w:t xml:space="preserve"> </w:t>
      </w:r>
      <w:r w:rsidRPr="002761DF">
        <w:rPr>
          <w:rFonts w:asciiTheme="minorHAnsi" w:hAnsiTheme="minorHAnsi"/>
          <w:sz w:val="22"/>
          <w:szCs w:val="22"/>
        </w:rPr>
        <w:t>laboratory</w:t>
      </w:r>
      <w:r w:rsidR="003C7FB2">
        <w:rPr>
          <w:rFonts w:asciiTheme="minorHAnsi" w:hAnsiTheme="minorHAnsi"/>
          <w:sz w:val="22"/>
          <w:szCs w:val="22"/>
        </w:rPr>
        <w:t xml:space="preserve"> </w:t>
      </w:r>
      <w:r w:rsidRPr="002761DF">
        <w:rPr>
          <w:rFonts w:asciiTheme="minorHAnsi" w:hAnsiTheme="minorHAnsi"/>
          <w:sz w:val="22"/>
          <w:szCs w:val="22"/>
        </w:rPr>
        <w:t>team</w:t>
      </w:r>
      <w:r w:rsidR="003C7FB2">
        <w:rPr>
          <w:rFonts w:asciiTheme="minorHAnsi" w:hAnsiTheme="minorHAnsi"/>
          <w:sz w:val="22"/>
          <w:szCs w:val="22"/>
        </w:rPr>
        <w:t xml:space="preserve"> </w:t>
      </w:r>
      <w:r>
        <w:rPr>
          <w:rFonts w:asciiTheme="minorHAnsi" w:hAnsiTheme="minorHAnsi"/>
          <w:sz w:val="22"/>
          <w:szCs w:val="22"/>
        </w:rPr>
        <w:t>of</w:t>
      </w:r>
      <w:r w:rsidR="003C7FB2">
        <w:rPr>
          <w:rFonts w:asciiTheme="minorHAnsi" w:hAnsiTheme="minorHAnsi"/>
          <w:sz w:val="22"/>
          <w:szCs w:val="22"/>
        </w:rPr>
        <w:t xml:space="preserve"> </w:t>
      </w:r>
      <w:r>
        <w:rPr>
          <w:rFonts w:asciiTheme="minorHAnsi" w:hAnsiTheme="minorHAnsi"/>
          <w:sz w:val="22"/>
          <w:szCs w:val="22"/>
        </w:rPr>
        <w:t>the</w:t>
      </w:r>
      <w:r w:rsidR="003C7FB2">
        <w:rPr>
          <w:rFonts w:asciiTheme="minorHAnsi" w:hAnsiTheme="minorHAnsi"/>
          <w:sz w:val="22"/>
          <w:szCs w:val="22"/>
        </w:rPr>
        <w:t xml:space="preserve"> </w:t>
      </w:r>
      <w:r>
        <w:rPr>
          <w:rFonts w:asciiTheme="minorHAnsi" w:hAnsiTheme="minorHAnsi"/>
          <w:sz w:val="22"/>
          <w:szCs w:val="22"/>
        </w:rPr>
        <w:t>MRC</w:t>
      </w:r>
      <w:r w:rsidR="003C7FB2">
        <w:rPr>
          <w:rFonts w:asciiTheme="minorHAnsi" w:hAnsiTheme="minorHAnsi"/>
          <w:sz w:val="22"/>
          <w:szCs w:val="22"/>
        </w:rPr>
        <w:t xml:space="preserve"> </w:t>
      </w:r>
      <w:r>
        <w:rPr>
          <w:rFonts w:asciiTheme="minorHAnsi" w:hAnsiTheme="minorHAnsi"/>
          <w:sz w:val="22"/>
          <w:szCs w:val="22"/>
        </w:rPr>
        <w:t>Epidemiology</w:t>
      </w:r>
      <w:r w:rsidR="003C7FB2">
        <w:rPr>
          <w:rFonts w:asciiTheme="minorHAnsi" w:hAnsiTheme="minorHAnsi"/>
          <w:sz w:val="22"/>
          <w:szCs w:val="22"/>
        </w:rPr>
        <w:t xml:space="preserve"> </w:t>
      </w:r>
      <w:r>
        <w:rPr>
          <w:rFonts w:asciiTheme="minorHAnsi" w:hAnsiTheme="minorHAnsi"/>
          <w:sz w:val="22"/>
          <w:szCs w:val="22"/>
        </w:rPr>
        <w:t>Unit</w:t>
      </w:r>
      <w:r w:rsidRPr="002761DF">
        <w:rPr>
          <w:rFonts w:asciiTheme="minorHAnsi" w:hAnsiTheme="minorHAnsi"/>
          <w:sz w:val="22"/>
          <w:szCs w:val="22"/>
        </w:rPr>
        <w:t>.</w:t>
      </w:r>
      <w:r w:rsidR="003C7FB2">
        <w:rPr>
          <w:rFonts w:asciiTheme="minorHAnsi" w:hAnsiTheme="minorHAnsi"/>
          <w:sz w:val="22"/>
          <w:szCs w:val="22"/>
        </w:rPr>
        <w:t xml:space="preserve"> </w:t>
      </w:r>
      <w:r w:rsidRPr="002761DF">
        <w:rPr>
          <w:rFonts w:asciiTheme="minorHAnsi" w:hAnsiTheme="minorHAnsi"/>
          <w:sz w:val="22"/>
          <w:szCs w:val="22"/>
        </w:rPr>
        <w:t>The</w:t>
      </w:r>
      <w:r w:rsidR="003C7FB2">
        <w:rPr>
          <w:rFonts w:asciiTheme="minorHAnsi" w:hAnsiTheme="minorHAnsi"/>
          <w:sz w:val="22"/>
          <w:szCs w:val="22"/>
        </w:rPr>
        <w:t xml:space="preserve"> </w:t>
      </w:r>
      <w:r w:rsidRPr="002761DF">
        <w:rPr>
          <w:rFonts w:asciiTheme="minorHAnsi" w:hAnsiTheme="minorHAnsi"/>
          <w:sz w:val="22"/>
          <w:szCs w:val="22"/>
        </w:rPr>
        <w:t>authors</w:t>
      </w:r>
      <w:r w:rsidR="003C7FB2">
        <w:rPr>
          <w:rFonts w:asciiTheme="minorHAnsi" w:hAnsiTheme="minorHAnsi"/>
          <w:sz w:val="22"/>
          <w:szCs w:val="22"/>
        </w:rPr>
        <w:t xml:space="preserve"> </w:t>
      </w:r>
      <w:r w:rsidRPr="002761DF">
        <w:rPr>
          <w:rFonts w:asciiTheme="minorHAnsi" w:hAnsiTheme="minorHAnsi"/>
          <w:sz w:val="22"/>
          <w:szCs w:val="22"/>
        </w:rPr>
        <w:t>also</w:t>
      </w:r>
      <w:r w:rsidR="003C7FB2">
        <w:rPr>
          <w:rFonts w:asciiTheme="minorHAnsi" w:hAnsiTheme="minorHAnsi"/>
          <w:sz w:val="22"/>
          <w:szCs w:val="22"/>
        </w:rPr>
        <w:t xml:space="preserve"> </w:t>
      </w:r>
      <w:r w:rsidRPr="002761DF">
        <w:rPr>
          <w:rFonts w:asciiTheme="minorHAnsi" w:hAnsiTheme="minorHAnsi"/>
          <w:sz w:val="22"/>
          <w:szCs w:val="22"/>
        </w:rPr>
        <w:t>thank</w:t>
      </w:r>
      <w:r w:rsidR="003C7FB2">
        <w:rPr>
          <w:rFonts w:asciiTheme="minorHAnsi" w:hAnsiTheme="minorHAnsi"/>
          <w:sz w:val="22"/>
          <w:szCs w:val="22"/>
        </w:rPr>
        <w:t xml:space="preserve"> </w:t>
      </w:r>
      <w:r w:rsidRPr="002761DF">
        <w:rPr>
          <w:rFonts w:asciiTheme="minorHAnsi" w:hAnsiTheme="minorHAnsi"/>
          <w:sz w:val="22"/>
          <w:szCs w:val="22"/>
        </w:rPr>
        <w:t>Emanuella</w:t>
      </w:r>
      <w:r w:rsidR="003C7FB2">
        <w:rPr>
          <w:rFonts w:asciiTheme="minorHAnsi" w:hAnsiTheme="minorHAnsi"/>
          <w:sz w:val="22"/>
          <w:szCs w:val="22"/>
        </w:rPr>
        <w:t xml:space="preserve"> </w:t>
      </w:r>
      <w:r w:rsidRPr="002761DF">
        <w:rPr>
          <w:rFonts w:asciiTheme="minorHAnsi" w:hAnsiTheme="minorHAnsi"/>
          <w:sz w:val="22"/>
          <w:szCs w:val="22"/>
        </w:rPr>
        <w:t>De</w:t>
      </w:r>
      <w:r w:rsidR="003C7FB2">
        <w:rPr>
          <w:rFonts w:asciiTheme="minorHAnsi" w:hAnsiTheme="minorHAnsi"/>
          <w:sz w:val="22"/>
          <w:szCs w:val="22"/>
        </w:rPr>
        <w:t xml:space="preserve"> </w:t>
      </w:r>
      <w:r w:rsidRPr="002761DF">
        <w:rPr>
          <w:rFonts w:asciiTheme="minorHAnsi" w:hAnsiTheme="minorHAnsi"/>
          <w:sz w:val="22"/>
          <w:szCs w:val="22"/>
        </w:rPr>
        <w:t>Lucia</w:t>
      </w:r>
      <w:r w:rsidR="003C7FB2">
        <w:rPr>
          <w:rFonts w:asciiTheme="minorHAnsi" w:hAnsiTheme="minorHAnsi"/>
          <w:sz w:val="22"/>
          <w:szCs w:val="22"/>
        </w:rPr>
        <w:t xml:space="preserve"> </w:t>
      </w:r>
      <w:r w:rsidRPr="002761DF">
        <w:rPr>
          <w:rFonts w:asciiTheme="minorHAnsi" w:hAnsiTheme="minorHAnsi"/>
          <w:sz w:val="22"/>
          <w:szCs w:val="22"/>
        </w:rPr>
        <w:t>Rolfe</w:t>
      </w:r>
      <w:r w:rsidR="003C7FB2">
        <w:rPr>
          <w:rFonts w:asciiTheme="minorHAnsi" w:hAnsiTheme="minorHAnsi"/>
          <w:sz w:val="22"/>
          <w:szCs w:val="22"/>
        </w:rPr>
        <w:t xml:space="preserve"> </w:t>
      </w:r>
      <w:r w:rsidRPr="002761DF">
        <w:rPr>
          <w:rFonts w:asciiTheme="minorHAnsi" w:hAnsiTheme="minorHAnsi"/>
          <w:sz w:val="22"/>
          <w:szCs w:val="22"/>
        </w:rPr>
        <w:t>for</w:t>
      </w:r>
      <w:r w:rsidR="003C7FB2">
        <w:rPr>
          <w:rFonts w:asciiTheme="minorHAnsi" w:hAnsiTheme="minorHAnsi"/>
          <w:sz w:val="22"/>
          <w:szCs w:val="22"/>
        </w:rPr>
        <w:t xml:space="preserve"> </w:t>
      </w:r>
      <w:r w:rsidRPr="002761DF">
        <w:rPr>
          <w:rFonts w:asciiTheme="minorHAnsi" w:hAnsiTheme="minorHAnsi"/>
          <w:sz w:val="22"/>
          <w:szCs w:val="22"/>
        </w:rPr>
        <w:t>anthropometry,</w:t>
      </w:r>
      <w:r w:rsidR="003C7FB2">
        <w:rPr>
          <w:rFonts w:asciiTheme="minorHAnsi" w:hAnsiTheme="minorHAnsi"/>
          <w:sz w:val="22"/>
          <w:szCs w:val="22"/>
        </w:rPr>
        <w:t xml:space="preserve"> </w:t>
      </w:r>
      <w:r w:rsidRPr="002761DF">
        <w:rPr>
          <w:rFonts w:asciiTheme="minorHAnsi" w:hAnsiTheme="minorHAnsi"/>
          <w:sz w:val="22"/>
          <w:szCs w:val="22"/>
        </w:rPr>
        <w:t>DEXA</w:t>
      </w:r>
      <w:r w:rsidR="003C7FB2">
        <w:rPr>
          <w:rFonts w:asciiTheme="minorHAnsi" w:hAnsiTheme="minorHAnsi"/>
          <w:sz w:val="22"/>
          <w:szCs w:val="22"/>
        </w:rPr>
        <w:t xml:space="preserve"> </w:t>
      </w:r>
      <w:r w:rsidRPr="002761DF">
        <w:rPr>
          <w:rFonts w:asciiTheme="minorHAnsi" w:hAnsiTheme="minorHAnsi"/>
          <w:sz w:val="22"/>
          <w:szCs w:val="22"/>
        </w:rPr>
        <w:t>and</w:t>
      </w:r>
      <w:r w:rsidR="003C7FB2">
        <w:rPr>
          <w:rFonts w:asciiTheme="minorHAnsi" w:hAnsiTheme="minorHAnsi"/>
          <w:sz w:val="22"/>
          <w:szCs w:val="22"/>
        </w:rPr>
        <w:t xml:space="preserve"> </w:t>
      </w:r>
      <w:r w:rsidRPr="002761DF">
        <w:rPr>
          <w:rFonts w:asciiTheme="minorHAnsi" w:hAnsiTheme="minorHAnsi"/>
          <w:sz w:val="22"/>
          <w:szCs w:val="22"/>
        </w:rPr>
        <w:t>ultrasound</w:t>
      </w:r>
      <w:r w:rsidR="003C7FB2">
        <w:rPr>
          <w:rFonts w:asciiTheme="minorHAnsi" w:hAnsiTheme="minorHAnsi"/>
          <w:sz w:val="22"/>
          <w:szCs w:val="22"/>
        </w:rPr>
        <w:t xml:space="preserve"> </w:t>
      </w:r>
      <w:r w:rsidRPr="002761DF">
        <w:rPr>
          <w:rFonts w:asciiTheme="minorHAnsi" w:hAnsiTheme="minorHAnsi"/>
          <w:sz w:val="22"/>
          <w:szCs w:val="22"/>
        </w:rPr>
        <w:t>data,</w:t>
      </w:r>
      <w:r w:rsidR="003C7FB2">
        <w:rPr>
          <w:rFonts w:asciiTheme="minorHAnsi" w:hAnsiTheme="minorHAnsi"/>
          <w:sz w:val="22"/>
          <w:szCs w:val="22"/>
        </w:rPr>
        <w:t xml:space="preserve"> </w:t>
      </w:r>
      <w:r w:rsidRPr="002761DF">
        <w:rPr>
          <w:rFonts w:asciiTheme="minorHAnsi" w:hAnsiTheme="minorHAnsi"/>
          <w:sz w:val="22"/>
          <w:szCs w:val="22"/>
        </w:rPr>
        <w:t>and</w:t>
      </w:r>
      <w:r w:rsidR="003C7FB2">
        <w:rPr>
          <w:rFonts w:asciiTheme="minorHAnsi" w:hAnsiTheme="minorHAnsi"/>
          <w:sz w:val="22"/>
          <w:szCs w:val="22"/>
        </w:rPr>
        <w:t xml:space="preserve"> </w:t>
      </w:r>
      <w:r w:rsidRPr="002761DF">
        <w:rPr>
          <w:rFonts w:asciiTheme="minorHAnsi" w:hAnsiTheme="minorHAnsi"/>
          <w:sz w:val="22"/>
          <w:szCs w:val="22"/>
        </w:rPr>
        <w:t>Kate</w:t>
      </w:r>
      <w:r w:rsidR="003C7FB2">
        <w:rPr>
          <w:rFonts w:asciiTheme="minorHAnsi" w:hAnsiTheme="minorHAnsi"/>
          <w:sz w:val="22"/>
          <w:szCs w:val="22"/>
        </w:rPr>
        <w:t xml:space="preserve"> </w:t>
      </w:r>
      <w:r w:rsidRPr="002761DF">
        <w:rPr>
          <w:rFonts w:asciiTheme="minorHAnsi" w:hAnsiTheme="minorHAnsi"/>
          <w:sz w:val="22"/>
          <w:szCs w:val="22"/>
        </w:rPr>
        <w:t>Westgate</w:t>
      </w:r>
      <w:r w:rsidR="003C7FB2">
        <w:rPr>
          <w:rFonts w:asciiTheme="minorHAnsi" w:hAnsiTheme="minorHAnsi"/>
          <w:sz w:val="22"/>
          <w:szCs w:val="22"/>
        </w:rPr>
        <w:t xml:space="preserve"> </w:t>
      </w:r>
      <w:r w:rsidRPr="002761DF">
        <w:rPr>
          <w:rFonts w:asciiTheme="minorHAnsi" w:hAnsiTheme="minorHAnsi"/>
          <w:sz w:val="22"/>
          <w:szCs w:val="22"/>
        </w:rPr>
        <w:t>and</w:t>
      </w:r>
      <w:r w:rsidR="003C7FB2">
        <w:rPr>
          <w:rFonts w:asciiTheme="minorHAnsi" w:hAnsiTheme="minorHAnsi"/>
          <w:sz w:val="22"/>
          <w:szCs w:val="22"/>
        </w:rPr>
        <w:t xml:space="preserve"> </w:t>
      </w:r>
      <w:r w:rsidRPr="002761DF">
        <w:rPr>
          <w:rFonts w:asciiTheme="minorHAnsi" w:hAnsiTheme="minorHAnsi"/>
          <w:sz w:val="22"/>
          <w:szCs w:val="22"/>
        </w:rPr>
        <w:t>Stefanie</w:t>
      </w:r>
      <w:r w:rsidR="003C7FB2">
        <w:rPr>
          <w:rFonts w:asciiTheme="minorHAnsi" w:hAnsiTheme="minorHAnsi"/>
          <w:sz w:val="22"/>
          <w:szCs w:val="22"/>
        </w:rPr>
        <w:t xml:space="preserve"> </w:t>
      </w:r>
      <w:r w:rsidRPr="002761DF">
        <w:rPr>
          <w:rFonts w:asciiTheme="minorHAnsi" w:hAnsiTheme="minorHAnsi"/>
          <w:sz w:val="22"/>
          <w:szCs w:val="22"/>
        </w:rPr>
        <w:t>Mayle</w:t>
      </w:r>
      <w:r w:rsidR="003C7FB2">
        <w:rPr>
          <w:rFonts w:asciiTheme="minorHAnsi" w:hAnsiTheme="minorHAnsi"/>
          <w:sz w:val="22"/>
          <w:szCs w:val="22"/>
        </w:rPr>
        <w:t xml:space="preserve"> </w:t>
      </w:r>
      <w:r w:rsidRPr="002761DF">
        <w:rPr>
          <w:rFonts w:asciiTheme="minorHAnsi" w:hAnsiTheme="minorHAnsi"/>
          <w:sz w:val="22"/>
          <w:szCs w:val="22"/>
        </w:rPr>
        <w:t>for</w:t>
      </w:r>
      <w:r w:rsidR="003C7FB2">
        <w:rPr>
          <w:rFonts w:asciiTheme="minorHAnsi" w:hAnsiTheme="minorHAnsi"/>
          <w:sz w:val="22"/>
          <w:szCs w:val="22"/>
        </w:rPr>
        <w:t xml:space="preserve"> </w:t>
      </w:r>
      <w:r w:rsidRPr="002761DF">
        <w:rPr>
          <w:rFonts w:asciiTheme="minorHAnsi" w:hAnsiTheme="minorHAnsi"/>
          <w:sz w:val="22"/>
          <w:szCs w:val="22"/>
        </w:rPr>
        <w:t>assistance</w:t>
      </w:r>
      <w:r w:rsidR="003C7FB2">
        <w:rPr>
          <w:rFonts w:asciiTheme="minorHAnsi" w:hAnsiTheme="minorHAnsi"/>
          <w:sz w:val="22"/>
          <w:szCs w:val="22"/>
        </w:rPr>
        <w:t xml:space="preserve"> </w:t>
      </w:r>
      <w:r w:rsidRPr="002761DF">
        <w:rPr>
          <w:rFonts w:asciiTheme="minorHAnsi" w:hAnsiTheme="minorHAnsi"/>
          <w:sz w:val="22"/>
          <w:szCs w:val="22"/>
        </w:rPr>
        <w:t>with</w:t>
      </w:r>
      <w:r w:rsidR="003C7FB2">
        <w:rPr>
          <w:rFonts w:asciiTheme="minorHAnsi" w:hAnsiTheme="minorHAnsi"/>
          <w:sz w:val="22"/>
          <w:szCs w:val="22"/>
        </w:rPr>
        <w:t xml:space="preserve"> </w:t>
      </w:r>
      <w:r w:rsidRPr="002761DF">
        <w:rPr>
          <w:rFonts w:asciiTheme="minorHAnsi" w:hAnsiTheme="minorHAnsi"/>
          <w:sz w:val="22"/>
          <w:szCs w:val="22"/>
        </w:rPr>
        <w:t>physical</w:t>
      </w:r>
      <w:r w:rsidR="003C7FB2">
        <w:rPr>
          <w:rFonts w:asciiTheme="minorHAnsi" w:hAnsiTheme="minorHAnsi"/>
          <w:sz w:val="22"/>
          <w:szCs w:val="22"/>
        </w:rPr>
        <w:t xml:space="preserve"> </w:t>
      </w:r>
      <w:r w:rsidRPr="002761DF">
        <w:rPr>
          <w:rFonts w:asciiTheme="minorHAnsi" w:hAnsiTheme="minorHAnsi"/>
          <w:sz w:val="22"/>
          <w:szCs w:val="22"/>
        </w:rPr>
        <w:t>activity</w:t>
      </w:r>
      <w:r w:rsidR="003C7FB2">
        <w:rPr>
          <w:rFonts w:asciiTheme="minorHAnsi" w:hAnsiTheme="minorHAnsi"/>
          <w:sz w:val="22"/>
          <w:szCs w:val="22"/>
        </w:rPr>
        <w:t xml:space="preserve"> </w:t>
      </w:r>
      <w:r w:rsidRPr="002761DF">
        <w:rPr>
          <w:rFonts w:asciiTheme="minorHAnsi" w:hAnsiTheme="minorHAnsi"/>
          <w:sz w:val="22"/>
          <w:szCs w:val="22"/>
        </w:rPr>
        <w:t>data</w:t>
      </w:r>
      <w:r w:rsidR="003C7FB2">
        <w:rPr>
          <w:rFonts w:asciiTheme="minorHAnsi" w:hAnsiTheme="minorHAnsi"/>
          <w:sz w:val="22"/>
          <w:szCs w:val="22"/>
        </w:rPr>
        <w:t xml:space="preserve"> </w:t>
      </w:r>
      <w:r w:rsidRPr="002761DF">
        <w:rPr>
          <w:rFonts w:asciiTheme="minorHAnsi" w:hAnsiTheme="minorHAnsi"/>
          <w:sz w:val="22"/>
          <w:szCs w:val="22"/>
        </w:rPr>
        <w:t>processing.</w:t>
      </w:r>
      <w:r w:rsidR="003C7FB2">
        <w:rPr>
          <w:rFonts w:asciiTheme="minorHAnsi" w:hAnsiTheme="minorHAnsi"/>
          <w:sz w:val="22"/>
          <w:szCs w:val="22"/>
        </w:rPr>
        <w:t xml:space="preserve"> </w:t>
      </w:r>
    </w:p>
    <w:p w14:paraId="225AAFBE" w14:textId="60980C7F" w:rsidR="009501B0" w:rsidRDefault="009501B0" w:rsidP="009501B0">
      <w:pPr>
        <w:pStyle w:val="NormalWeb"/>
        <w:rPr>
          <w:rFonts w:asciiTheme="minorHAnsi" w:hAnsiTheme="minorHAnsi"/>
          <w:sz w:val="22"/>
          <w:szCs w:val="22"/>
        </w:rPr>
      </w:pPr>
      <w:r>
        <w:rPr>
          <w:rFonts w:asciiTheme="minorHAnsi" w:hAnsiTheme="minorHAnsi"/>
          <w:sz w:val="22"/>
          <w:szCs w:val="22"/>
        </w:rPr>
        <w:t>This</w:t>
      </w:r>
      <w:r w:rsidR="003C7FB2">
        <w:rPr>
          <w:rFonts w:asciiTheme="minorHAnsi" w:hAnsiTheme="minorHAnsi"/>
          <w:sz w:val="22"/>
          <w:szCs w:val="22"/>
        </w:rPr>
        <w:t xml:space="preserve"> </w:t>
      </w:r>
      <w:r>
        <w:rPr>
          <w:rFonts w:asciiTheme="minorHAnsi" w:hAnsiTheme="minorHAnsi"/>
          <w:sz w:val="22"/>
          <w:szCs w:val="22"/>
        </w:rPr>
        <w:t>work</w:t>
      </w:r>
      <w:r w:rsidR="003C7FB2">
        <w:rPr>
          <w:rFonts w:asciiTheme="minorHAnsi" w:hAnsiTheme="minorHAnsi"/>
          <w:sz w:val="22"/>
          <w:szCs w:val="22"/>
        </w:rPr>
        <w:t xml:space="preserve"> </w:t>
      </w:r>
      <w:r>
        <w:rPr>
          <w:rFonts w:asciiTheme="minorHAnsi" w:hAnsiTheme="minorHAnsi"/>
          <w:sz w:val="22"/>
          <w:szCs w:val="22"/>
        </w:rPr>
        <w:t>was</w:t>
      </w:r>
      <w:r w:rsidR="003C7FB2">
        <w:rPr>
          <w:rFonts w:asciiTheme="minorHAnsi" w:hAnsiTheme="minorHAnsi"/>
          <w:sz w:val="22"/>
          <w:szCs w:val="22"/>
        </w:rPr>
        <w:t xml:space="preserve"> </w:t>
      </w:r>
      <w:r>
        <w:rPr>
          <w:rFonts w:asciiTheme="minorHAnsi" w:hAnsiTheme="minorHAnsi"/>
          <w:sz w:val="22"/>
          <w:szCs w:val="22"/>
        </w:rPr>
        <w:t>supported</w:t>
      </w:r>
      <w:r w:rsidR="003C7FB2">
        <w:rPr>
          <w:rFonts w:asciiTheme="minorHAnsi" w:hAnsiTheme="minorHAnsi"/>
          <w:sz w:val="22"/>
          <w:szCs w:val="22"/>
        </w:rPr>
        <w:t xml:space="preserve"> </w:t>
      </w:r>
      <w:r>
        <w:rPr>
          <w:rFonts w:asciiTheme="minorHAnsi" w:hAnsiTheme="minorHAnsi"/>
          <w:sz w:val="22"/>
          <w:szCs w:val="22"/>
        </w:rPr>
        <w:t>by</w:t>
      </w:r>
      <w:r w:rsidR="003C7FB2">
        <w:rPr>
          <w:rFonts w:asciiTheme="minorHAnsi" w:hAnsiTheme="minorHAnsi"/>
          <w:sz w:val="22"/>
          <w:szCs w:val="22"/>
        </w:rPr>
        <w:t xml:space="preserve"> </w:t>
      </w:r>
      <w:r>
        <w:rPr>
          <w:rFonts w:asciiTheme="minorHAnsi" w:hAnsiTheme="minorHAnsi"/>
          <w:sz w:val="22"/>
          <w:szCs w:val="22"/>
        </w:rPr>
        <w:t>t</w:t>
      </w:r>
      <w:r w:rsidRPr="0070242A">
        <w:rPr>
          <w:rFonts w:asciiTheme="minorHAnsi" w:hAnsiTheme="minorHAnsi"/>
          <w:sz w:val="22"/>
          <w:szCs w:val="22"/>
        </w:rPr>
        <w:t>he</w:t>
      </w:r>
      <w:r w:rsidR="003C7FB2">
        <w:rPr>
          <w:rFonts w:asciiTheme="minorHAnsi" w:hAnsiTheme="minorHAnsi"/>
          <w:sz w:val="22"/>
          <w:szCs w:val="22"/>
        </w:rPr>
        <w:t xml:space="preserve"> </w:t>
      </w:r>
      <w:r w:rsidRPr="0070242A">
        <w:rPr>
          <w:rFonts w:asciiTheme="minorHAnsi" w:hAnsiTheme="minorHAnsi"/>
          <w:sz w:val="22"/>
          <w:szCs w:val="22"/>
        </w:rPr>
        <w:t>Medical</w:t>
      </w:r>
      <w:r w:rsidR="003C7FB2">
        <w:rPr>
          <w:rFonts w:asciiTheme="minorHAnsi" w:hAnsiTheme="minorHAnsi"/>
          <w:sz w:val="22"/>
          <w:szCs w:val="22"/>
        </w:rPr>
        <w:t xml:space="preserve"> </w:t>
      </w:r>
      <w:r w:rsidRPr="0070242A">
        <w:rPr>
          <w:rFonts w:asciiTheme="minorHAnsi" w:hAnsiTheme="minorHAnsi"/>
          <w:sz w:val="22"/>
          <w:szCs w:val="22"/>
        </w:rPr>
        <w:t>Research</w:t>
      </w:r>
      <w:r w:rsidR="003C7FB2">
        <w:rPr>
          <w:rFonts w:asciiTheme="minorHAnsi" w:hAnsiTheme="minorHAnsi"/>
          <w:sz w:val="22"/>
          <w:szCs w:val="22"/>
        </w:rPr>
        <w:t xml:space="preserve"> </w:t>
      </w:r>
      <w:r w:rsidRPr="0070242A">
        <w:rPr>
          <w:rFonts w:asciiTheme="minorHAnsi" w:hAnsiTheme="minorHAnsi"/>
          <w:sz w:val="22"/>
          <w:szCs w:val="22"/>
        </w:rPr>
        <w:t>Council</w:t>
      </w:r>
      <w:r w:rsidR="003C7FB2">
        <w:rPr>
          <w:rFonts w:asciiTheme="minorHAnsi" w:hAnsiTheme="minorHAnsi"/>
          <w:sz w:val="22"/>
          <w:szCs w:val="22"/>
        </w:rPr>
        <w:t xml:space="preserve"> </w:t>
      </w:r>
      <w:r>
        <w:rPr>
          <w:rFonts w:asciiTheme="minorHAnsi" w:hAnsiTheme="minorHAnsi"/>
          <w:sz w:val="22"/>
          <w:szCs w:val="22"/>
        </w:rPr>
        <w:t>(MC_UU_12015)</w:t>
      </w:r>
      <w:r w:rsidR="003C7FB2">
        <w:rPr>
          <w:rFonts w:asciiTheme="minorHAnsi" w:hAnsiTheme="minorHAnsi"/>
          <w:sz w:val="22"/>
          <w:szCs w:val="22"/>
        </w:rPr>
        <w:t xml:space="preserve"> </w:t>
      </w:r>
      <w:r>
        <w:rPr>
          <w:rFonts w:asciiTheme="minorHAnsi" w:hAnsiTheme="minorHAnsi"/>
          <w:sz w:val="22"/>
          <w:szCs w:val="22"/>
        </w:rPr>
        <w:t>and</w:t>
      </w:r>
      <w:r w:rsidR="003C7FB2">
        <w:rPr>
          <w:rFonts w:asciiTheme="minorHAnsi" w:hAnsiTheme="minorHAnsi"/>
          <w:sz w:val="22"/>
          <w:szCs w:val="22"/>
        </w:rPr>
        <w:t xml:space="preserve"> </w:t>
      </w:r>
      <w:r>
        <w:rPr>
          <w:rFonts w:asciiTheme="minorHAnsi" w:hAnsiTheme="minorHAnsi"/>
          <w:sz w:val="22"/>
          <w:szCs w:val="22"/>
        </w:rPr>
        <w:t>the</w:t>
      </w:r>
      <w:r w:rsidR="003C7FB2">
        <w:rPr>
          <w:rFonts w:asciiTheme="minorHAnsi" w:hAnsiTheme="minorHAnsi"/>
          <w:sz w:val="22"/>
          <w:szCs w:val="22"/>
        </w:rPr>
        <w:t xml:space="preserve"> </w:t>
      </w:r>
      <w:r>
        <w:rPr>
          <w:rFonts w:asciiTheme="minorHAnsi" w:hAnsiTheme="minorHAnsi"/>
          <w:sz w:val="22"/>
          <w:szCs w:val="22"/>
        </w:rPr>
        <w:t>Wellcome</w:t>
      </w:r>
      <w:r w:rsidR="003C7FB2">
        <w:rPr>
          <w:rFonts w:asciiTheme="minorHAnsi" w:hAnsiTheme="minorHAnsi"/>
          <w:sz w:val="22"/>
          <w:szCs w:val="22"/>
        </w:rPr>
        <w:t xml:space="preserve"> </w:t>
      </w:r>
      <w:r>
        <w:rPr>
          <w:rFonts w:asciiTheme="minorHAnsi" w:hAnsiTheme="minorHAnsi"/>
          <w:sz w:val="22"/>
          <w:szCs w:val="22"/>
        </w:rPr>
        <w:t>Trust</w:t>
      </w:r>
      <w:r w:rsidRPr="002761DF">
        <w:rPr>
          <w:rFonts w:asciiTheme="minorHAnsi" w:hAnsiTheme="minorHAnsi"/>
          <w:sz w:val="22"/>
          <w:szCs w:val="22"/>
        </w:rPr>
        <w:t>.</w:t>
      </w:r>
      <w:r w:rsidR="003C7FB2">
        <w:rPr>
          <w:rFonts w:asciiTheme="minorHAnsi" w:hAnsiTheme="minorHAnsi"/>
          <w:sz w:val="22"/>
          <w:szCs w:val="22"/>
        </w:rPr>
        <w:t xml:space="preserve"> </w:t>
      </w:r>
      <w:r>
        <w:rPr>
          <w:rFonts w:asciiTheme="minorHAnsi" w:hAnsiTheme="minorHAnsi"/>
          <w:sz w:val="22"/>
          <w:szCs w:val="22"/>
        </w:rPr>
        <w:t>The</w:t>
      </w:r>
      <w:r w:rsidR="003C7FB2">
        <w:rPr>
          <w:rFonts w:asciiTheme="minorHAnsi" w:hAnsiTheme="minorHAnsi"/>
          <w:sz w:val="22"/>
          <w:szCs w:val="22"/>
        </w:rPr>
        <w:t xml:space="preserve"> </w:t>
      </w:r>
      <w:r>
        <w:rPr>
          <w:rFonts w:asciiTheme="minorHAnsi" w:hAnsiTheme="minorHAnsi"/>
          <w:sz w:val="22"/>
          <w:szCs w:val="22"/>
        </w:rPr>
        <w:t>funders</w:t>
      </w:r>
      <w:r w:rsidR="003C7FB2">
        <w:rPr>
          <w:rFonts w:asciiTheme="minorHAnsi" w:hAnsiTheme="minorHAnsi"/>
          <w:sz w:val="22"/>
          <w:szCs w:val="22"/>
        </w:rPr>
        <w:t xml:space="preserve"> </w:t>
      </w:r>
      <w:r>
        <w:rPr>
          <w:rFonts w:asciiTheme="minorHAnsi" w:hAnsiTheme="minorHAnsi"/>
          <w:sz w:val="22"/>
          <w:szCs w:val="22"/>
        </w:rPr>
        <w:t>had</w:t>
      </w:r>
      <w:r w:rsidR="003C7FB2">
        <w:rPr>
          <w:rFonts w:asciiTheme="minorHAnsi" w:hAnsiTheme="minorHAnsi"/>
          <w:sz w:val="22"/>
          <w:szCs w:val="22"/>
        </w:rPr>
        <w:t xml:space="preserve"> </w:t>
      </w:r>
      <w:r>
        <w:rPr>
          <w:rFonts w:asciiTheme="minorHAnsi" w:hAnsiTheme="minorHAnsi"/>
          <w:sz w:val="22"/>
          <w:szCs w:val="22"/>
        </w:rPr>
        <w:t>no</w:t>
      </w:r>
      <w:r w:rsidR="003C7FB2">
        <w:rPr>
          <w:rFonts w:asciiTheme="minorHAnsi" w:hAnsiTheme="minorHAnsi"/>
          <w:sz w:val="22"/>
          <w:szCs w:val="22"/>
        </w:rPr>
        <w:t xml:space="preserve"> </w:t>
      </w:r>
      <w:r>
        <w:rPr>
          <w:rFonts w:asciiTheme="minorHAnsi" w:hAnsiTheme="minorHAnsi"/>
          <w:sz w:val="22"/>
          <w:szCs w:val="22"/>
        </w:rPr>
        <w:t>role</w:t>
      </w:r>
      <w:r w:rsidR="003C7FB2">
        <w:rPr>
          <w:rFonts w:asciiTheme="minorHAnsi" w:hAnsiTheme="minorHAnsi"/>
          <w:sz w:val="22"/>
          <w:szCs w:val="22"/>
        </w:rPr>
        <w:t xml:space="preserve"> </w:t>
      </w:r>
      <w:r>
        <w:rPr>
          <w:rFonts w:asciiTheme="minorHAnsi" w:hAnsiTheme="minorHAnsi"/>
          <w:sz w:val="22"/>
          <w:szCs w:val="22"/>
        </w:rPr>
        <w:t>in</w:t>
      </w:r>
      <w:r w:rsidR="003C7FB2">
        <w:rPr>
          <w:rFonts w:asciiTheme="minorHAnsi" w:hAnsiTheme="minorHAnsi"/>
          <w:sz w:val="22"/>
          <w:szCs w:val="22"/>
        </w:rPr>
        <w:t xml:space="preserve"> </w:t>
      </w:r>
      <w:r>
        <w:rPr>
          <w:rFonts w:asciiTheme="minorHAnsi" w:hAnsiTheme="minorHAnsi"/>
          <w:sz w:val="22"/>
          <w:szCs w:val="22"/>
        </w:rPr>
        <w:t>the</w:t>
      </w:r>
      <w:r w:rsidR="003C7FB2">
        <w:rPr>
          <w:rFonts w:asciiTheme="minorHAnsi" w:hAnsiTheme="minorHAnsi"/>
          <w:sz w:val="22"/>
          <w:szCs w:val="22"/>
        </w:rPr>
        <w:t xml:space="preserve"> </w:t>
      </w:r>
      <w:r>
        <w:rPr>
          <w:rFonts w:asciiTheme="minorHAnsi" w:hAnsiTheme="minorHAnsi"/>
          <w:sz w:val="22"/>
          <w:szCs w:val="22"/>
        </w:rPr>
        <w:t>study</w:t>
      </w:r>
      <w:r w:rsidR="003C7FB2">
        <w:rPr>
          <w:rFonts w:asciiTheme="minorHAnsi" w:hAnsiTheme="minorHAnsi"/>
          <w:sz w:val="22"/>
          <w:szCs w:val="22"/>
        </w:rPr>
        <w:t xml:space="preserve"> </w:t>
      </w:r>
      <w:r>
        <w:rPr>
          <w:rFonts w:asciiTheme="minorHAnsi" w:hAnsiTheme="minorHAnsi"/>
          <w:sz w:val="22"/>
          <w:szCs w:val="22"/>
        </w:rPr>
        <w:t>design,</w:t>
      </w:r>
      <w:r w:rsidR="003C7FB2">
        <w:rPr>
          <w:rFonts w:asciiTheme="minorHAnsi" w:hAnsiTheme="minorHAnsi"/>
          <w:sz w:val="22"/>
          <w:szCs w:val="22"/>
        </w:rPr>
        <w:t xml:space="preserve"> </w:t>
      </w:r>
      <w:r>
        <w:rPr>
          <w:rFonts w:asciiTheme="minorHAnsi" w:hAnsiTheme="minorHAnsi"/>
          <w:sz w:val="22"/>
          <w:szCs w:val="22"/>
        </w:rPr>
        <w:t>analysis</w:t>
      </w:r>
      <w:r w:rsidR="003C7FB2">
        <w:rPr>
          <w:rFonts w:asciiTheme="minorHAnsi" w:hAnsiTheme="minorHAnsi"/>
          <w:sz w:val="22"/>
          <w:szCs w:val="22"/>
        </w:rPr>
        <w:t xml:space="preserve"> </w:t>
      </w:r>
      <w:r>
        <w:rPr>
          <w:rFonts w:asciiTheme="minorHAnsi" w:hAnsiTheme="minorHAnsi"/>
          <w:sz w:val="22"/>
          <w:szCs w:val="22"/>
        </w:rPr>
        <w:t>or</w:t>
      </w:r>
      <w:r w:rsidR="003C7FB2">
        <w:rPr>
          <w:rFonts w:asciiTheme="minorHAnsi" w:hAnsiTheme="minorHAnsi"/>
          <w:sz w:val="22"/>
          <w:szCs w:val="22"/>
        </w:rPr>
        <w:t xml:space="preserve"> </w:t>
      </w:r>
      <w:r>
        <w:rPr>
          <w:rFonts w:asciiTheme="minorHAnsi" w:hAnsiTheme="minorHAnsi"/>
          <w:sz w:val="22"/>
          <w:szCs w:val="22"/>
        </w:rPr>
        <w:t>reporting.</w:t>
      </w:r>
    </w:p>
    <w:p w14:paraId="3E93D5B8" w14:textId="77777777" w:rsidR="006676BA" w:rsidRDefault="006676BA">
      <w:pPr>
        <w:rPr>
          <w:b/>
          <w:u w:val="single"/>
        </w:rPr>
      </w:pPr>
      <w:r>
        <w:rPr>
          <w:b/>
          <w:u w:val="single"/>
        </w:rPr>
        <w:br w:type="page"/>
      </w:r>
    </w:p>
    <w:p w14:paraId="74876075" w14:textId="12BB4C3E" w:rsidR="0004124B" w:rsidRDefault="0004124B">
      <w:pPr>
        <w:rPr>
          <w:b/>
          <w:u w:val="single"/>
        </w:rPr>
      </w:pPr>
      <w:r>
        <w:rPr>
          <w:b/>
          <w:u w:val="single"/>
        </w:rPr>
        <w:lastRenderedPageBreak/>
        <w:t>Abstract</w:t>
      </w:r>
    </w:p>
    <w:p w14:paraId="36EDC6D1" w14:textId="70E01871" w:rsidR="00B75D15" w:rsidRDefault="000C3FFD" w:rsidP="00130AB2">
      <w:r>
        <w:t>The</w:t>
      </w:r>
      <w:r w:rsidR="003C7FB2">
        <w:t xml:space="preserve"> </w:t>
      </w:r>
      <w:r>
        <w:t>promotion</w:t>
      </w:r>
      <w:r w:rsidR="003C7FB2">
        <w:t xml:space="preserve"> </w:t>
      </w:r>
      <w:r>
        <w:t>of</w:t>
      </w:r>
      <w:r w:rsidR="003C7FB2">
        <w:t xml:space="preserve"> </w:t>
      </w:r>
      <w:r>
        <w:t>active</w:t>
      </w:r>
      <w:r w:rsidR="003C7FB2">
        <w:t xml:space="preserve"> </w:t>
      </w:r>
      <w:r>
        <w:t>travel</w:t>
      </w:r>
      <w:r w:rsidR="003C7FB2">
        <w:t xml:space="preserve"> </w:t>
      </w:r>
      <w:r>
        <w:t>(walking</w:t>
      </w:r>
      <w:r w:rsidR="003C7FB2">
        <w:t xml:space="preserve"> </w:t>
      </w:r>
      <w:r>
        <w:t>and</w:t>
      </w:r>
      <w:r w:rsidR="003C7FB2">
        <w:t xml:space="preserve"> </w:t>
      </w:r>
      <w:r>
        <w:t>cycling)</w:t>
      </w:r>
      <w:r w:rsidR="003C7FB2">
        <w:t xml:space="preserve"> </w:t>
      </w:r>
      <w:r>
        <w:t>is</w:t>
      </w:r>
      <w:r w:rsidR="003C7FB2">
        <w:t xml:space="preserve"> </w:t>
      </w:r>
      <w:r>
        <w:t>one</w:t>
      </w:r>
      <w:r w:rsidR="003C7FB2">
        <w:t xml:space="preserve"> </w:t>
      </w:r>
      <w:r>
        <w:t>promising</w:t>
      </w:r>
      <w:r w:rsidR="003C7FB2">
        <w:t xml:space="preserve"> </w:t>
      </w:r>
      <w:r>
        <w:t>approach</w:t>
      </w:r>
      <w:r w:rsidR="003C7FB2">
        <w:t xml:space="preserve"> </w:t>
      </w:r>
      <w:r w:rsidR="0071243C">
        <w:t>to</w:t>
      </w:r>
      <w:r w:rsidR="003C7FB2">
        <w:t xml:space="preserve"> </w:t>
      </w:r>
      <w:r w:rsidR="0071243C">
        <w:t>prevent</w:t>
      </w:r>
      <w:r w:rsidR="003C7FB2">
        <w:t xml:space="preserve"> </w:t>
      </w:r>
      <w:r w:rsidR="0071243C">
        <w:t>the</w:t>
      </w:r>
      <w:r w:rsidR="003C7FB2">
        <w:t xml:space="preserve"> </w:t>
      </w:r>
      <w:r w:rsidR="0071243C">
        <w:t>development</w:t>
      </w:r>
      <w:r w:rsidR="003C7FB2">
        <w:t xml:space="preserve"> </w:t>
      </w:r>
      <w:r w:rsidR="0071243C">
        <w:t>of</w:t>
      </w:r>
      <w:r w:rsidR="003C7FB2">
        <w:t xml:space="preserve"> </w:t>
      </w:r>
      <w:r>
        <w:t>obesity</w:t>
      </w:r>
      <w:r w:rsidR="003C7FB2">
        <w:t xml:space="preserve"> </w:t>
      </w:r>
      <w:r>
        <w:t>and</w:t>
      </w:r>
      <w:r w:rsidR="003C7FB2">
        <w:t xml:space="preserve"> </w:t>
      </w:r>
      <w:r>
        <w:t>related</w:t>
      </w:r>
      <w:r w:rsidR="003C7FB2">
        <w:t xml:space="preserve"> </w:t>
      </w:r>
      <w:r>
        <w:t>cardio-metabolic</w:t>
      </w:r>
      <w:r w:rsidR="003C7FB2">
        <w:t xml:space="preserve"> </w:t>
      </w:r>
      <w:r>
        <w:t>disease.</w:t>
      </w:r>
      <w:r w:rsidR="003C7FB2">
        <w:t xml:space="preserve"> </w:t>
      </w:r>
      <w:r>
        <w:t>However</w:t>
      </w:r>
      <w:r w:rsidR="003C7FB2">
        <w:t xml:space="preserve"> </w:t>
      </w:r>
      <w:r>
        <w:t>the</w:t>
      </w:r>
      <w:r w:rsidR="003C7FB2">
        <w:t xml:space="preserve"> </w:t>
      </w:r>
      <w:r w:rsidR="0016242E">
        <w:t>association</w:t>
      </w:r>
      <w:r w:rsidR="0091395C">
        <w:t>s</w:t>
      </w:r>
      <w:r w:rsidR="003C7FB2">
        <w:t xml:space="preserve"> </w:t>
      </w:r>
      <w:r w:rsidR="0016242E">
        <w:t>between</w:t>
      </w:r>
      <w:r w:rsidR="003C7FB2">
        <w:t xml:space="preserve"> </w:t>
      </w:r>
      <w:r>
        <w:t>active</w:t>
      </w:r>
      <w:r w:rsidR="003C7FB2">
        <w:t xml:space="preserve"> </w:t>
      </w:r>
      <w:r>
        <w:t>travel</w:t>
      </w:r>
      <w:r w:rsidR="003C7FB2">
        <w:t xml:space="preserve"> </w:t>
      </w:r>
      <w:r w:rsidR="0016242E">
        <w:t>and</w:t>
      </w:r>
      <w:r w:rsidR="003C7FB2">
        <w:t xml:space="preserve"> </w:t>
      </w:r>
      <w:r w:rsidR="0016242E">
        <w:t>adiposity</w:t>
      </w:r>
      <w:r w:rsidR="003C7FB2">
        <w:t xml:space="preserve"> </w:t>
      </w:r>
      <w:r>
        <w:t>remain</w:t>
      </w:r>
      <w:r w:rsidR="003C7FB2">
        <w:t xml:space="preserve"> </w:t>
      </w:r>
      <w:r>
        <w:t>uncertain.</w:t>
      </w:r>
      <w:r w:rsidR="00951B6E">
        <w:t xml:space="preserve"> </w:t>
      </w:r>
      <w:r w:rsidR="0016242E">
        <w:t>We</w:t>
      </w:r>
      <w:r w:rsidR="003C7FB2">
        <w:t xml:space="preserve"> </w:t>
      </w:r>
      <w:r w:rsidR="0016242E">
        <w:t>used</w:t>
      </w:r>
      <w:r w:rsidR="003C7FB2">
        <w:t xml:space="preserve"> </w:t>
      </w:r>
      <w:r w:rsidR="0016242E">
        <w:t>the</w:t>
      </w:r>
      <w:r w:rsidR="003C7FB2">
        <w:t xml:space="preserve"> </w:t>
      </w:r>
      <w:r w:rsidR="0016242E">
        <w:t>Fenland</w:t>
      </w:r>
      <w:r w:rsidR="003C7FB2">
        <w:t xml:space="preserve"> </w:t>
      </w:r>
      <w:r w:rsidR="0016242E">
        <w:t>study</w:t>
      </w:r>
      <w:r w:rsidR="003C7FB2">
        <w:t xml:space="preserve"> </w:t>
      </w:r>
      <w:r w:rsidR="0016242E">
        <w:t>(a</w:t>
      </w:r>
      <w:r w:rsidR="003C7FB2">
        <w:t xml:space="preserve"> </w:t>
      </w:r>
      <w:r w:rsidR="0016242E">
        <w:t>population</w:t>
      </w:r>
      <w:r w:rsidR="003C7FB2">
        <w:t xml:space="preserve"> </w:t>
      </w:r>
      <w:r w:rsidR="0016242E">
        <w:t>based-cohort</w:t>
      </w:r>
      <w:r w:rsidR="003C7FB2">
        <w:t xml:space="preserve"> </w:t>
      </w:r>
      <w:r w:rsidR="0016242E">
        <w:t>study</w:t>
      </w:r>
      <w:r w:rsidR="00B71669">
        <w:t>; Cambridgeshire, UK, 2005-15</w:t>
      </w:r>
      <w:r w:rsidR="0016242E">
        <w:t>)</w:t>
      </w:r>
      <w:r w:rsidR="003C7FB2">
        <w:t xml:space="preserve"> </w:t>
      </w:r>
      <w:r w:rsidR="0016242E">
        <w:t>to</w:t>
      </w:r>
      <w:r w:rsidR="003C7FB2">
        <w:t xml:space="preserve"> </w:t>
      </w:r>
      <w:r w:rsidR="0016242E">
        <w:t>describe</w:t>
      </w:r>
      <w:r w:rsidR="003C7FB2">
        <w:t xml:space="preserve"> </w:t>
      </w:r>
      <w:r w:rsidR="0016242E">
        <w:t>the</w:t>
      </w:r>
      <w:r w:rsidR="003C7FB2">
        <w:t xml:space="preserve"> </w:t>
      </w:r>
      <w:r w:rsidR="0016242E">
        <w:t>association</w:t>
      </w:r>
      <w:r w:rsidR="003C7FB2">
        <w:t xml:space="preserve"> </w:t>
      </w:r>
      <w:r w:rsidR="0016242E">
        <w:t>of</w:t>
      </w:r>
      <w:r w:rsidR="003C7FB2">
        <w:t xml:space="preserve"> </w:t>
      </w:r>
      <w:r w:rsidR="0016242E">
        <w:t>commuting</w:t>
      </w:r>
      <w:r w:rsidR="003C7FB2">
        <w:t xml:space="preserve"> </w:t>
      </w:r>
      <w:r w:rsidR="0091395C">
        <w:t>means</w:t>
      </w:r>
      <w:r w:rsidR="003C7FB2">
        <w:t xml:space="preserve"> </w:t>
      </w:r>
      <w:r w:rsidR="0016242E">
        <w:t>with</w:t>
      </w:r>
      <w:r w:rsidR="003C7FB2">
        <w:t xml:space="preserve"> </w:t>
      </w:r>
      <w:r w:rsidR="0091395C">
        <w:t>DEXA</w:t>
      </w:r>
      <w:r w:rsidR="003C7FB2">
        <w:t xml:space="preserve"> </w:t>
      </w:r>
      <w:r w:rsidR="0016242E">
        <w:t>measured</w:t>
      </w:r>
      <w:r w:rsidR="003C7FB2">
        <w:t xml:space="preserve"> </w:t>
      </w:r>
      <w:r w:rsidR="0016242E">
        <w:t>body</w:t>
      </w:r>
      <w:r w:rsidR="003C7FB2">
        <w:t xml:space="preserve"> </w:t>
      </w:r>
      <w:r w:rsidR="0016242E">
        <w:t>fat</w:t>
      </w:r>
      <w:r w:rsidR="003C7FB2">
        <w:t xml:space="preserve"> </w:t>
      </w:r>
      <w:r w:rsidR="0016242E">
        <w:t>and</w:t>
      </w:r>
      <w:r w:rsidR="003C7FB2">
        <w:t xml:space="preserve"> </w:t>
      </w:r>
      <w:r w:rsidR="0016242E">
        <w:t>visceral</w:t>
      </w:r>
      <w:r w:rsidR="003C7FB2">
        <w:t xml:space="preserve"> </w:t>
      </w:r>
      <w:r w:rsidR="0016242E">
        <w:t>adipose</w:t>
      </w:r>
      <w:r w:rsidR="003C7FB2">
        <w:t xml:space="preserve"> </w:t>
      </w:r>
      <w:r w:rsidR="0016242E">
        <w:t>tissue</w:t>
      </w:r>
      <w:r w:rsidR="003C7FB2">
        <w:t xml:space="preserve"> </w:t>
      </w:r>
      <w:r w:rsidR="0016242E">
        <w:t>(VAT)</w:t>
      </w:r>
      <w:r w:rsidR="003C7FB2">
        <w:t xml:space="preserve"> </w:t>
      </w:r>
      <w:r w:rsidR="0016242E">
        <w:t>amongst</w:t>
      </w:r>
      <w:r w:rsidR="003C7FB2">
        <w:t xml:space="preserve"> </w:t>
      </w:r>
      <w:r w:rsidR="0016242E">
        <w:t>co</w:t>
      </w:r>
      <w:r w:rsidR="0016242E" w:rsidRPr="005A2280">
        <w:t>mmuters</w:t>
      </w:r>
      <w:r w:rsidR="003C7FB2">
        <w:t xml:space="preserve"> </w:t>
      </w:r>
      <w:r w:rsidR="0016242E" w:rsidRPr="005A2280">
        <w:t>(aged</w:t>
      </w:r>
      <w:r w:rsidR="003C7FB2">
        <w:t xml:space="preserve"> </w:t>
      </w:r>
      <w:r w:rsidR="0016242E" w:rsidRPr="005A2280">
        <w:t>29-65</w:t>
      </w:r>
      <w:r w:rsidR="003C7FB2">
        <w:t xml:space="preserve"> </w:t>
      </w:r>
      <w:r w:rsidR="0016242E" w:rsidRPr="005A2280">
        <w:t>years</w:t>
      </w:r>
      <w:r w:rsidR="0016242E">
        <w:t>;</w:t>
      </w:r>
      <w:r w:rsidR="003C7FB2">
        <w:t xml:space="preserve"> </w:t>
      </w:r>
      <w:r w:rsidR="0016242E">
        <w:t>n=7,680</w:t>
      </w:r>
      <w:r w:rsidR="0016242E" w:rsidRPr="005A2280">
        <w:t>)</w:t>
      </w:r>
      <w:r w:rsidR="0016242E">
        <w:t>.</w:t>
      </w:r>
      <w:r w:rsidR="003C7FB2">
        <w:t xml:space="preserve"> </w:t>
      </w:r>
      <w:bookmarkStart w:id="0" w:name="_Hlk490738344"/>
      <w:r w:rsidR="0091395C">
        <w:t>W</w:t>
      </w:r>
      <w:r w:rsidR="003E239B">
        <w:t>e</w:t>
      </w:r>
      <w:r w:rsidR="003C7FB2">
        <w:t xml:space="preserve"> </w:t>
      </w:r>
      <w:r w:rsidR="003E239B">
        <w:t>stratified</w:t>
      </w:r>
      <w:r w:rsidR="003C7FB2">
        <w:t xml:space="preserve"> </w:t>
      </w:r>
      <w:r w:rsidR="003E239B">
        <w:t>our</w:t>
      </w:r>
      <w:r w:rsidR="003C7FB2">
        <w:t xml:space="preserve"> </w:t>
      </w:r>
      <w:r w:rsidR="003E239B">
        <w:t>sample</w:t>
      </w:r>
      <w:r w:rsidR="003C7FB2">
        <w:t xml:space="preserve"> </w:t>
      </w:r>
      <w:r w:rsidR="003E239B">
        <w:t>into</w:t>
      </w:r>
      <w:r w:rsidR="003C7FB2">
        <w:t xml:space="preserve"> </w:t>
      </w:r>
      <w:r w:rsidR="003E239B">
        <w:t>those</w:t>
      </w:r>
      <w:r w:rsidR="003C7FB2">
        <w:t xml:space="preserve"> </w:t>
      </w:r>
      <w:r w:rsidR="003E239B">
        <w:t>living</w:t>
      </w:r>
      <w:r w:rsidR="003C7FB2">
        <w:t xml:space="preserve"> </w:t>
      </w:r>
      <w:r w:rsidR="003E239B">
        <w:t>near</w:t>
      </w:r>
      <w:r w:rsidR="003C7FB2">
        <w:t xml:space="preserve"> </w:t>
      </w:r>
      <w:r w:rsidR="003E239B">
        <w:t>(within</w:t>
      </w:r>
      <w:r w:rsidR="003C7FB2">
        <w:t xml:space="preserve"> </w:t>
      </w:r>
      <w:r w:rsidR="003E239B">
        <w:t>five</w:t>
      </w:r>
      <w:r w:rsidR="003C7FB2">
        <w:t xml:space="preserve"> </w:t>
      </w:r>
      <w:r w:rsidR="003E239B">
        <w:t>miles)</w:t>
      </w:r>
      <w:r w:rsidR="003C7FB2">
        <w:t xml:space="preserve"> </w:t>
      </w:r>
      <w:r w:rsidR="003E239B">
        <w:t>and</w:t>
      </w:r>
      <w:r w:rsidR="003C7FB2">
        <w:t xml:space="preserve"> </w:t>
      </w:r>
      <w:r w:rsidR="003E239B">
        <w:t>far</w:t>
      </w:r>
      <w:r w:rsidR="003C7FB2">
        <w:t xml:space="preserve"> </w:t>
      </w:r>
      <w:r w:rsidR="003E239B">
        <w:t>(five</w:t>
      </w:r>
      <w:r w:rsidR="003C7FB2">
        <w:t xml:space="preserve"> </w:t>
      </w:r>
      <w:r w:rsidR="003E239B">
        <w:t>miles</w:t>
      </w:r>
      <w:r w:rsidR="003C7FB2">
        <w:t xml:space="preserve"> </w:t>
      </w:r>
      <w:r w:rsidR="003E239B">
        <w:t>or</w:t>
      </w:r>
      <w:r w:rsidR="003C7FB2">
        <w:t xml:space="preserve"> </w:t>
      </w:r>
      <w:r w:rsidR="003E239B">
        <w:t>further)</w:t>
      </w:r>
      <w:r w:rsidR="003C7FB2">
        <w:t xml:space="preserve"> </w:t>
      </w:r>
      <w:r w:rsidR="003E239B">
        <w:t>from</w:t>
      </w:r>
      <w:r w:rsidR="003C7FB2">
        <w:t xml:space="preserve"> </w:t>
      </w:r>
      <w:r w:rsidR="003E239B">
        <w:t>work</w:t>
      </w:r>
      <w:r w:rsidR="00817D0D">
        <w:t>,</w:t>
      </w:r>
      <w:r w:rsidR="003C7FB2">
        <w:t xml:space="preserve"> </w:t>
      </w:r>
      <w:r w:rsidR="00FD6FD3">
        <w:t>and categorised commuting means differently for each group reflecting their different travel options</w:t>
      </w:r>
      <w:bookmarkEnd w:id="0"/>
      <w:r w:rsidR="0091395C">
        <w:t>.</w:t>
      </w:r>
      <w:r w:rsidR="003C7FB2">
        <w:t xml:space="preserve"> </w:t>
      </w:r>
      <w:r w:rsidR="0091395C">
        <w:t>Associations</w:t>
      </w:r>
      <w:r w:rsidR="003C7FB2">
        <w:t xml:space="preserve"> </w:t>
      </w:r>
      <w:r w:rsidR="0091395C">
        <w:t>were</w:t>
      </w:r>
      <w:r w:rsidR="003C7FB2">
        <w:t xml:space="preserve"> </w:t>
      </w:r>
      <w:r w:rsidR="0091395C">
        <w:t>adjusted</w:t>
      </w:r>
      <w:r w:rsidR="003C7FB2">
        <w:t xml:space="preserve"> </w:t>
      </w:r>
      <w:r w:rsidR="0091395C">
        <w:t>for</w:t>
      </w:r>
      <w:r w:rsidR="003C7FB2">
        <w:t xml:space="preserve"> </w:t>
      </w:r>
      <w:r w:rsidR="0091395C">
        <w:t>age,</w:t>
      </w:r>
      <w:r w:rsidR="003C7FB2">
        <w:t xml:space="preserve"> </w:t>
      </w:r>
      <w:r w:rsidR="0091395C">
        <w:t>education,</w:t>
      </w:r>
      <w:r w:rsidR="003C7FB2">
        <w:t xml:space="preserve"> </w:t>
      </w:r>
      <w:r w:rsidR="0091395C">
        <w:t>Mediterranean</w:t>
      </w:r>
      <w:r w:rsidR="003C7FB2">
        <w:t xml:space="preserve"> </w:t>
      </w:r>
      <w:r w:rsidR="0091395C">
        <w:t>diet</w:t>
      </w:r>
      <w:r w:rsidR="003C7FB2">
        <w:t xml:space="preserve"> </w:t>
      </w:r>
      <w:r w:rsidR="0091395C">
        <w:t>score,</w:t>
      </w:r>
      <w:r w:rsidR="003C7FB2">
        <w:t xml:space="preserve"> </w:t>
      </w:r>
      <w:r w:rsidR="0091395C">
        <w:t>smoking,</w:t>
      </w:r>
      <w:r w:rsidR="003C7FB2">
        <w:t xml:space="preserve"> </w:t>
      </w:r>
      <w:r w:rsidR="0091395C">
        <w:t>alcohol</w:t>
      </w:r>
      <w:r w:rsidR="003C7FB2">
        <w:t xml:space="preserve"> </w:t>
      </w:r>
      <w:r w:rsidR="0091395C">
        <w:t>consumption,</w:t>
      </w:r>
      <w:r w:rsidR="003C7FB2">
        <w:t xml:space="preserve"> </w:t>
      </w:r>
      <w:r w:rsidR="0091395C">
        <w:t>test</w:t>
      </w:r>
      <w:r w:rsidR="003C7FB2">
        <w:t xml:space="preserve"> </w:t>
      </w:r>
      <w:r w:rsidR="0091395C">
        <w:t>site</w:t>
      </w:r>
      <w:r w:rsidR="003C7FB2">
        <w:t xml:space="preserve"> </w:t>
      </w:r>
      <w:r w:rsidR="0091395C">
        <w:t>and</w:t>
      </w:r>
      <w:r w:rsidR="003C7FB2">
        <w:t xml:space="preserve"> </w:t>
      </w:r>
      <w:r w:rsidR="0091395C">
        <w:t>either</w:t>
      </w:r>
      <w:r w:rsidR="003C7FB2">
        <w:t xml:space="preserve"> </w:t>
      </w:r>
      <w:r w:rsidR="0091395C">
        <w:t>self-reported</w:t>
      </w:r>
      <w:r w:rsidR="003C7FB2">
        <w:t xml:space="preserve"> </w:t>
      </w:r>
      <w:r w:rsidR="0091395C">
        <w:t>physical</w:t>
      </w:r>
      <w:r w:rsidR="003C7FB2">
        <w:t xml:space="preserve"> </w:t>
      </w:r>
      <w:r w:rsidR="0091395C">
        <w:t>activity</w:t>
      </w:r>
      <w:r w:rsidR="003C7FB2">
        <w:t xml:space="preserve"> </w:t>
      </w:r>
      <w:r w:rsidR="0091395C">
        <w:t>or</w:t>
      </w:r>
      <w:r w:rsidR="003C7FB2">
        <w:t xml:space="preserve"> </w:t>
      </w:r>
      <w:r w:rsidR="0091395C">
        <w:t>objective</w:t>
      </w:r>
      <w:r w:rsidR="003C7FB2">
        <w:t xml:space="preserve"> </w:t>
      </w:r>
      <w:r w:rsidR="0091395C">
        <w:t>physical</w:t>
      </w:r>
      <w:r w:rsidR="003C7FB2">
        <w:t xml:space="preserve"> </w:t>
      </w:r>
      <w:r w:rsidR="0091395C">
        <w:t>activity.</w:t>
      </w:r>
      <w:r w:rsidR="00951B6E">
        <w:t xml:space="preserve"> </w:t>
      </w:r>
      <w:r w:rsidR="006E7EF4">
        <w:t>Among</w:t>
      </w:r>
      <w:r w:rsidR="003C7FB2">
        <w:t xml:space="preserve"> </w:t>
      </w:r>
      <w:r w:rsidR="006E7EF4">
        <w:t>those</w:t>
      </w:r>
      <w:r w:rsidR="003C7FB2">
        <w:t xml:space="preserve"> </w:t>
      </w:r>
      <w:r w:rsidR="006E7EF4">
        <w:t>living</w:t>
      </w:r>
      <w:r w:rsidR="003C7FB2">
        <w:t xml:space="preserve"> </w:t>
      </w:r>
      <w:r w:rsidR="006E7EF4">
        <w:t>near</w:t>
      </w:r>
      <w:r w:rsidR="003C7FB2">
        <w:t xml:space="preserve"> </w:t>
      </w:r>
      <w:r w:rsidR="006E7EF4">
        <w:t>to</w:t>
      </w:r>
      <w:r w:rsidR="003C7FB2">
        <w:t xml:space="preserve"> </w:t>
      </w:r>
      <w:r w:rsidR="006E7EF4">
        <w:t>work,</w:t>
      </w:r>
      <w:r w:rsidR="003C7FB2">
        <w:t xml:space="preserve"> </w:t>
      </w:r>
      <w:r w:rsidR="006E7EF4">
        <w:t>people</w:t>
      </w:r>
      <w:r w:rsidR="003C7FB2">
        <w:t xml:space="preserve"> </w:t>
      </w:r>
      <w:r w:rsidR="006E7EF4">
        <w:t>who</w:t>
      </w:r>
      <w:r w:rsidR="003C7FB2">
        <w:t xml:space="preserve"> </w:t>
      </w:r>
      <w:r w:rsidR="006E7EF4">
        <w:t>reported</w:t>
      </w:r>
      <w:r w:rsidR="003C7FB2">
        <w:t xml:space="preserve"> </w:t>
      </w:r>
      <w:r w:rsidR="006E7EF4">
        <w:t>regularly</w:t>
      </w:r>
      <w:r w:rsidR="003C7FB2">
        <w:t xml:space="preserve"> </w:t>
      </w:r>
      <w:r w:rsidR="006E7EF4">
        <w:t>cycling</w:t>
      </w:r>
      <w:r w:rsidR="003C7FB2">
        <w:t xml:space="preserve"> </w:t>
      </w:r>
      <w:r w:rsidR="006E7EF4">
        <w:t>to</w:t>
      </w:r>
      <w:r w:rsidR="003C7FB2">
        <w:t xml:space="preserve"> </w:t>
      </w:r>
      <w:r w:rsidR="006E7EF4">
        <w:t>work</w:t>
      </w:r>
      <w:r w:rsidR="003C7FB2">
        <w:t xml:space="preserve"> </w:t>
      </w:r>
      <w:r w:rsidR="006E7EF4">
        <w:t>had</w:t>
      </w:r>
      <w:r w:rsidR="003C7FB2">
        <w:t xml:space="preserve"> </w:t>
      </w:r>
      <w:r w:rsidR="006E7EF4">
        <w:t>lower</w:t>
      </w:r>
      <w:r w:rsidR="003C7FB2">
        <w:t xml:space="preserve"> </w:t>
      </w:r>
      <w:r w:rsidR="006E7EF4">
        <w:t>body</w:t>
      </w:r>
      <w:r w:rsidR="003C7FB2">
        <w:t xml:space="preserve"> </w:t>
      </w:r>
      <w:r w:rsidR="006E7EF4">
        <w:t>fat</w:t>
      </w:r>
      <w:r w:rsidR="003C7FB2">
        <w:t xml:space="preserve"> </w:t>
      </w:r>
      <w:r w:rsidR="009C56E4">
        <w:t>than</w:t>
      </w:r>
      <w:r w:rsidR="003C7FB2">
        <w:t xml:space="preserve"> </w:t>
      </w:r>
      <w:r w:rsidR="006E7EF4">
        <w:t>those</w:t>
      </w:r>
      <w:r w:rsidR="003C7FB2">
        <w:t xml:space="preserve"> </w:t>
      </w:r>
      <w:r w:rsidR="006E7EF4">
        <w:t>who</w:t>
      </w:r>
      <w:r w:rsidR="003C7FB2">
        <w:t xml:space="preserve"> </w:t>
      </w:r>
      <w:r w:rsidR="006E7EF4">
        <w:t>only</w:t>
      </w:r>
      <w:r w:rsidR="003C7FB2">
        <w:t xml:space="preserve"> </w:t>
      </w:r>
      <w:r w:rsidR="006E7EF4">
        <w:t>used</w:t>
      </w:r>
      <w:r w:rsidR="003C7FB2">
        <w:t xml:space="preserve"> </w:t>
      </w:r>
      <w:r w:rsidR="006E7EF4">
        <w:t>the</w:t>
      </w:r>
      <w:r w:rsidR="003C7FB2">
        <w:t xml:space="preserve"> </w:t>
      </w:r>
      <w:r w:rsidR="006E7EF4">
        <w:t>car</w:t>
      </w:r>
      <w:r w:rsidR="003C7FB2">
        <w:t xml:space="preserve"> </w:t>
      </w:r>
      <w:r w:rsidR="006E7EF4">
        <w:t>(</w:t>
      </w:r>
      <w:r w:rsidR="006060DA">
        <w:t>adjusting</w:t>
      </w:r>
      <w:r w:rsidR="003C7FB2">
        <w:t xml:space="preserve"> </w:t>
      </w:r>
      <w:r w:rsidR="006060DA">
        <w:t>for</w:t>
      </w:r>
      <w:r w:rsidR="003C7FB2">
        <w:t xml:space="preserve"> </w:t>
      </w:r>
      <w:r w:rsidR="006060DA">
        <w:t>self-reported</w:t>
      </w:r>
      <w:r w:rsidR="003C7FB2">
        <w:t xml:space="preserve"> </w:t>
      </w:r>
      <w:r w:rsidR="006060DA">
        <w:t>physical</w:t>
      </w:r>
      <w:r w:rsidR="003C7FB2">
        <w:t xml:space="preserve"> </w:t>
      </w:r>
      <w:r w:rsidR="006060DA">
        <w:t>activity</w:t>
      </w:r>
      <w:r w:rsidR="006E7EF4">
        <w:t>:</w:t>
      </w:r>
      <w:r w:rsidR="003C7FB2">
        <w:t xml:space="preserve"> </w:t>
      </w:r>
      <w:r w:rsidR="006E7EF4">
        <w:t>women,</w:t>
      </w:r>
      <w:r w:rsidR="003C7FB2">
        <w:t xml:space="preserve"> </w:t>
      </w:r>
      <w:r w:rsidR="00740E39">
        <w:t>-</w:t>
      </w:r>
      <w:r w:rsidR="006E7EF4">
        <w:t>1.74%,</w:t>
      </w:r>
      <w:r w:rsidR="003C7FB2">
        <w:t xml:space="preserve"> </w:t>
      </w:r>
      <w:r w:rsidR="006E7EF4">
        <w:t>95%</w:t>
      </w:r>
      <w:r w:rsidR="003C7FB2">
        <w:t xml:space="preserve"> </w:t>
      </w:r>
      <w:r w:rsidR="006E7EF4">
        <w:t>CI:</w:t>
      </w:r>
      <w:r w:rsidR="003C7FB2">
        <w:t xml:space="preserve"> </w:t>
      </w:r>
      <w:r w:rsidR="00740E39">
        <w:t>-2.27%</w:t>
      </w:r>
      <w:r w:rsidR="003C7FB2">
        <w:t xml:space="preserve"> </w:t>
      </w:r>
      <w:r w:rsidR="00740E39">
        <w:t>to</w:t>
      </w:r>
      <w:r w:rsidR="003C7FB2">
        <w:t xml:space="preserve"> </w:t>
      </w:r>
      <w:r w:rsidR="00740E39">
        <w:t>-</w:t>
      </w:r>
      <w:r w:rsidR="006E7EF4">
        <w:t>0.76%;</w:t>
      </w:r>
      <w:r w:rsidR="003C7FB2">
        <w:t xml:space="preserve"> </w:t>
      </w:r>
      <w:r w:rsidR="006E7EF4">
        <w:t>men</w:t>
      </w:r>
      <w:r w:rsidR="006E7EF4" w:rsidRPr="008208B4">
        <w:t>,</w:t>
      </w:r>
      <w:r w:rsidR="003C7FB2">
        <w:t xml:space="preserve"> </w:t>
      </w:r>
      <w:r w:rsidR="00740E39">
        <w:t>-</w:t>
      </w:r>
      <w:r w:rsidR="006E7EF4" w:rsidRPr="008208B4">
        <w:rPr>
          <w:color w:val="000000"/>
        </w:rPr>
        <w:t>1.30</w:t>
      </w:r>
      <w:r w:rsidR="006E7EF4">
        <w:rPr>
          <w:color w:val="000000"/>
        </w:rPr>
        <w:t>%,</w:t>
      </w:r>
      <w:r w:rsidR="003C7FB2">
        <w:rPr>
          <w:color w:val="000000"/>
        </w:rPr>
        <w:t xml:space="preserve"> </w:t>
      </w:r>
      <w:r w:rsidR="00740E39">
        <w:rPr>
          <w:color w:val="000000"/>
        </w:rPr>
        <w:t>-2.26</w:t>
      </w:r>
      <w:r w:rsidR="006E7EF4">
        <w:rPr>
          <w:color w:val="000000"/>
        </w:rPr>
        <w:t>%</w:t>
      </w:r>
      <w:r w:rsidR="003C7FB2">
        <w:rPr>
          <w:color w:val="000000"/>
        </w:rPr>
        <w:t xml:space="preserve"> </w:t>
      </w:r>
      <w:r w:rsidR="006E7EF4">
        <w:rPr>
          <w:color w:val="000000"/>
        </w:rPr>
        <w:t>to</w:t>
      </w:r>
      <w:r w:rsidR="003C7FB2">
        <w:rPr>
          <w:color w:val="000000"/>
        </w:rPr>
        <w:t xml:space="preserve"> </w:t>
      </w:r>
      <w:r w:rsidR="00740E39">
        <w:rPr>
          <w:color w:val="000000"/>
        </w:rPr>
        <w:t>-0.33</w:t>
      </w:r>
      <w:r w:rsidR="006E7EF4">
        <w:rPr>
          <w:color w:val="000000"/>
        </w:rPr>
        <w:t>%).</w:t>
      </w:r>
      <w:r w:rsidR="003C7FB2">
        <w:t xml:space="preserve"> </w:t>
      </w:r>
      <w:r w:rsidR="006E7EF4">
        <w:t>Among</w:t>
      </w:r>
      <w:r w:rsidR="003C7FB2">
        <w:t xml:space="preserve"> </w:t>
      </w:r>
      <w:r w:rsidR="006E7EF4">
        <w:t>those</w:t>
      </w:r>
      <w:r w:rsidR="003C7FB2">
        <w:t xml:space="preserve"> </w:t>
      </w:r>
      <w:r w:rsidR="006E7EF4">
        <w:t>who</w:t>
      </w:r>
      <w:r w:rsidR="003C7FB2">
        <w:t xml:space="preserve"> </w:t>
      </w:r>
      <w:r w:rsidR="006E7EF4">
        <w:t>lived</w:t>
      </w:r>
      <w:r w:rsidR="003C7FB2">
        <w:t xml:space="preserve"> </w:t>
      </w:r>
      <w:r w:rsidR="006E7EF4">
        <w:t>far</w:t>
      </w:r>
      <w:r w:rsidR="003C7FB2">
        <w:t xml:space="preserve"> </w:t>
      </w:r>
      <w:r w:rsidR="006E7EF4">
        <w:t>from</w:t>
      </w:r>
      <w:r w:rsidR="003C7FB2">
        <w:t xml:space="preserve"> </w:t>
      </w:r>
      <w:r w:rsidR="006E7EF4">
        <w:t>work,</w:t>
      </w:r>
      <w:r w:rsidR="003C7FB2">
        <w:t xml:space="preserve"> </w:t>
      </w:r>
      <w:r w:rsidR="006E7EF4">
        <w:t>people</w:t>
      </w:r>
      <w:r w:rsidR="003C7FB2">
        <w:t xml:space="preserve"> </w:t>
      </w:r>
      <w:r w:rsidR="006E7EF4">
        <w:t>who</w:t>
      </w:r>
      <w:r w:rsidR="003C7FB2">
        <w:t xml:space="preserve"> </w:t>
      </w:r>
      <w:r w:rsidR="006E7EF4">
        <w:t>reported</w:t>
      </w:r>
      <w:r w:rsidR="003C7FB2">
        <w:t xml:space="preserve"> </w:t>
      </w:r>
      <w:r w:rsidR="006E7EF4">
        <w:t>regular</w:t>
      </w:r>
      <w:r w:rsidR="003C7FB2">
        <w:t xml:space="preserve"> </w:t>
      </w:r>
      <w:r w:rsidR="006E7EF4">
        <w:t>car-use</w:t>
      </w:r>
      <w:r w:rsidR="003C7FB2">
        <w:t xml:space="preserve"> </w:t>
      </w:r>
      <w:r w:rsidR="006E7EF4">
        <w:t>with</w:t>
      </w:r>
      <w:r w:rsidR="003C7FB2">
        <w:t xml:space="preserve"> </w:t>
      </w:r>
      <w:r w:rsidR="006E7EF4">
        <w:t>active</w:t>
      </w:r>
      <w:r w:rsidR="003C7FB2">
        <w:t xml:space="preserve"> </w:t>
      </w:r>
      <w:r w:rsidR="006E7EF4">
        <w:t>travel</w:t>
      </w:r>
      <w:r w:rsidR="003C7FB2">
        <w:t xml:space="preserve"> </w:t>
      </w:r>
      <w:r w:rsidR="006E7EF4">
        <w:t>had</w:t>
      </w:r>
      <w:r w:rsidR="003C7FB2">
        <w:t xml:space="preserve"> </w:t>
      </w:r>
      <w:r w:rsidR="006E7EF4">
        <w:t>lower</w:t>
      </w:r>
      <w:r w:rsidR="003C7FB2">
        <w:t xml:space="preserve"> </w:t>
      </w:r>
      <w:r w:rsidR="006E7EF4">
        <w:t>body</w:t>
      </w:r>
      <w:r w:rsidR="003C7FB2">
        <w:t xml:space="preserve"> </w:t>
      </w:r>
      <w:r w:rsidR="006E7EF4">
        <w:t>fat</w:t>
      </w:r>
      <w:r w:rsidR="003C7FB2">
        <w:t xml:space="preserve"> </w:t>
      </w:r>
      <w:r w:rsidR="006E7EF4">
        <w:t>(women;</w:t>
      </w:r>
      <w:r w:rsidR="003C7FB2">
        <w:t xml:space="preserve"> </w:t>
      </w:r>
      <w:r w:rsidR="00740E39">
        <w:t>-</w:t>
      </w:r>
      <w:r w:rsidR="006E7EF4">
        <w:t>1.18%,</w:t>
      </w:r>
      <w:r w:rsidR="003C7FB2">
        <w:t xml:space="preserve"> </w:t>
      </w:r>
      <w:r w:rsidR="006E7EF4">
        <w:t>95%</w:t>
      </w:r>
      <w:r w:rsidR="003C7FB2">
        <w:t xml:space="preserve"> </w:t>
      </w:r>
      <w:r w:rsidR="006E7EF4">
        <w:t>CI:</w:t>
      </w:r>
      <w:r w:rsidR="003C7FB2">
        <w:t xml:space="preserve"> </w:t>
      </w:r>
      <w:r w:rsidR="00740E39">
        <w:t>-</w:t>
      </w:r>
      <w:r w:rsidR="006E7EF4">
        <w:t>2.23%</w:t>
      </w:r>
      <w:r w:rsidR="003C7FB2">
        <w:t xml:space="preserve"> </w:t>
      </w:r>
      <w:r w:rsidR="00740E39">
        <w:t>to</w:t>
      </w:r>
      <w:r w:rsidR="003C7FB2">
        <w:t xml:space="preserve"> </w:t>
      </w:r>
      <w:r w:rsidR="00740E39">
        <w:t>-0.13%</w:t>
      </w:r>
      <w:r w:rsidR="006E7EF4">
        <w:t>;</w:t>
      </w:r>
      <w:r w:rsidR="003C7FB2">
        <w:t xml:space="preserve"> </w:t>
      </w:r>
      <w:r w:rsidR="006E7EF4">
        <w:t>men</w:t>
      </w:r>
      <w:r w:rsidR="006E7EF4" w:rsidRPr="008208B4">
        <w:t>,</w:t>
      </w:r>
      <w:r w:rsidR="003C7FB2">
        <w:t xml:space="preserve"> </w:t>
      </w:r>
      <w:r w:rsidR="00740E39">
        <w:t>-</w:t>
      </w:r>
      <w:r w:rsidR="006E7EF4" w:rsidRPr="008208B4">
        <w:rPr>
          <w:color w:val="000000"/>
        </w:rPr>
        <w:t>1.</w:t>
      </w:r>
      <w:r w:rsidR="006E7EF4">
        <w:rPr>
          <w:color w:val="000000"/>
        </w:rPr>
        <w:t>19%,</w:t>
      </w:r>
      <w:r w:rsidR="003C7FB2">
        <w:rPr>
          <w:color w:val="000000"/>
        </w:rPr>
        <w:t xml:space="preserve"> </w:t>
      </w:r>
      <w:r w:rsidR="00740E39">
        <w:rPr>
          <w:color w:val="000000"/>
        </w:rPr>
        <w:t>-1.93%</w:t>
      </w:r>
      <w:r w:rsidR="003C7FB2">
        <w:rPr>
          <w:color w:val="000000"/>
        </w:rPr>
        <w:t xml:space="preserve"> </w:t>
      </w:r>
      <w:r w:rsidR="00740E39">
        <w:rPr>
          <w:color w:val="000000"/>
        </w:rPr>
        <w:t>to</w:t>
      </w:r>
      <w:r w:rsidR="003C7FB2">
        <w:rPr>
          <w:color w:val="000000"/>
        </w:rPr>
        <w:t xml:space="preserve"> </w:t>
      </w:r>
      <w:r w:rsidR="00740E39">
        <w:rPr>
          <w:color w:val="000000"/>
        </w:rPr>
        <w:t>-</w:t>
      </w:r>
      <w:r w:rsidR="006E7EF4">
        <w:rPr>
          <w:color w:val="000000"/>
        </w:rPr>
        <w:t>0.44%)</w:t>
      </w:r>
      <w:r w:rsidR="006E7EF4">
        <w:t>.</w:t>
      </w:r>
      <w:r w:rsidR="003C7FB2">
        <w:t xml:space="preserve"> </w:t>
      </w:r>
      <w:r w:rsidR="006060DA">
        <w:t>Findings</w:t>
      </w:r>
      <w:r w:rsidR="003C7FB2">
        <w:t xml:space="preserve"> </w:t>
      </w:r>
      <w:r w:rsidR="006060DA">
        <w:t>were</w:t>
      </w:r>
      <w:r w:rsidR="003C7FB2">
        <w:t xml:space="preserve"> </w:t>
      </w:r>
      <w:r w:rsidR="006060DA">
        <w:t>similar</w:t>
      </w:r>
      <w:r w:rsidR="003C7FB2">
        <w:t xml:space="preserve"> </w:t>
      </w:r>
      <w:r w:rsidR="006060DA">
        <w:t>for</w:t>
      </w:r>
      <w:r w:rsidR="003C7FB2">
        <w:t xml:space="preserve"> </w:t>
      </w:r>
      <w:r w:rsidR="00130AB2">
        <w:t>VAT</w:t>
      </w:r>
      <w:r w:rsidR="003C7FB2">
        <w:t xml:space="preserve"> </w:t>
      </w:r>
      <w:r w:rsidR="00A80B8B">
        <w:t>and</w:t>
      </w:r>
      <w:r w:rsidR="003C7FB2">
        <w:t xml:space="preserve"> </w:t>
      </w:r>
      <w:r w:rsidR="00A80B8B">
        <w:t>when</w:t>
      </w:r>
      <w:r w:rsidR="003C7FB2">
        <w:t xml:space="preserve"> </w:t>
      </w:r>
      <w:r w:rsidR="00A80B8B">
        <w:t>adjusting</w:t>
      </w:r>
      <w:r w:rsidR="003C7FB2">
        <w:t xml:space="preserve"> </w:t>
      </w:r>
      <w:r w:rsidR="00A80B8B">
        <w:t>for</w:t>
      </w:r>
      <w:r w:rsidR="003C7FB2">
        <w:t xml:space="preserve"> </w:t>
      </w:r>
      <w:r w:rsidR="00A80B8B">
        <w:t>objectively</w:t>
      </w:r>
      <w:r w:rsidR="003C7FB2">
        <w:t xml:space="preserve"> </w:t>
      </w:r>
      <w:r w:rsidR="00A80B8B">
        <w:t>measured</w:t>
      </w:r>
      <w:r w:rsidR="003C7FB2">
        <w:t xml:space="preserve"> </w:t>
      </w:r>
      <w:r w:rsidR="00A80B8B">
        <w:t>physical</w:t>
      </w:r>
      <w:r w:rsidR="003C7FB2">
        <w:t xml:space="preserve"> </w:t>
      </w:r>
      <w:r w:rsidR="00A80B8B">
        <w:t>activity</w:t>
      </w:r>
      <w:r w:rsidR="003C7FB2">
        <w:t xml:space="preserve"> </w:t>
      </w:r>
      <w:r w:rsidR="006060DA">
        <w:t>instead</w:t>
      </w:r>
      <w:r w:rsidR="003C7FB2">
        <w:t xml:space="preserve"> </w:t>
      </w:r>
      <w:r w:rsidR="006060DA">
        <w:t>of</w:t>
      </w:r>
      <w:r w:rsidR="003C7FB2">
        <w:t xml:space="preserve"> </w:t>
      </w:r>
      <w:r w:rsidR="006060DA">
        <w:t>self-reported</w:t>
      </w:r>
      <w:r w:rsidR="003C7FB2">
        <w:t xml:space="preserve"> </w:t>
      </w:r>
      <w:r w:rsidR="006060DA">
        <w:t>physical</w:t>
      </w:r>
      <w:r w:rsidR="003C7FB2">
        <w:t xml:space="preserve"> </w:t>
      </w:r>
      <w:r w:rsidR="006060DA">
        <w:t>activity.</w:t>
      </w:r>
      <w:r w:rsidR="00951B6E">
        <w:t xml:space="preserve"> In conclusion, a</w:t>
      </w:r>
      <w:r w:rsidR="006060DA" w:rsidRPr="00130AB2">
        <w:t>c</w:t>
      </w:r>
      <w:r w:rsidR="005E0D6A">
        <w:t>tive</w:t>
      </w:r>
      <w:r w:rsidR="003C7FB2">
        <w:t xml:space="preserve"> </w:t>
      </w:r>
      <w:r w:rsidR="005E0D6A">
        <w:t>commuting</w:t>
      </w:r>
      <w:r w:rsidR="003C7FB2">
        <w:t xml:space="preserve"> </w:t>
      </w:r>
      <w:r w:rsidR="006060DA">
        <w:t>may</w:t>
      </w:r>
      <w:r w:rsidR="003C7FB2">
        <w:t xml:space="preserve"> </w:t>
      </w:r>
      <w:r w:rsidR="006060DA">
        <w:t>reduc</w:t>
      </w:r>
      <w:r w:rsidR="00130AB2">
        <w:t>e</w:t>
      </w:r>
      <w:r w:rsidR="003C7FB2">
        <w:t xml:space="preserve"> </w:t>
      </w:r>
      <w:r w:rsidR="00130AB2">
        <w:t>adiposity</w:t>
      </w:r>
      <w:r w:rsidR="003C7FB2">
        <w:t xml:space="preserve"> </w:t>
      </w:r>
      <w:r w:rsidR="006060DA">
        <w:t>and</w:t>
      </w:r>
      <w:r w:rsidR="003C7FB2">
        <w:t xml:space="preserve"> </w:t>
      </w:r>
      <w:r w:rsidR="009C56E4">
        <w:t>help</w:t>
      </w:r>
      <w:r w:rsidR="003C7FB2">
        <w:t xml:space="preserve"> </w:t>
      </w:r>
      <w:r w:rsidR="00130AB2">
        <w:t>prevent</w:t>
      </w:r>
      <w:r w:rsidR="003C7FB2">
        <w:t xml:space="preserve"> </w:t>
      </w:r>
      <w:r w:rsidR="006060DA">
        <w:t>related</w:t>
      </w:r>
      <w:r w:rsidR="003C7FB2">
        <w:t xml:space="preserve"> </w:t>
      </w:r>
      <w:r w:rsidR="006060DA">
        <w:t>cardio-metabolic</w:t>
      </w:r>
      <w:r w:rsidR="003C7FB2">
        <w:t xml:space="preserve"> </w:t>
      </w:r>
      <w:r w:rsidR="006060DA">
        <w:t>disease.</w:t>
      </w:r>
      <w:r w:rsidR="003C7FB2">
        <w:t xml:space="preserve"> </w:t>
      </w:r>
      <w:r w:rsidR="00130AB2">
        <w:t>If</w:t>
      </w:r>
      <w:r w:rsidR="003C7FB2">
        <w:t xml:space="preserve"> </w:t>
      </w:r>
      <w:r w:rsidR="00130AB2">
        <w:t>people</w:t>
      </w:r>
      <w:r w:rsidR="003C7FB2">
        <w:t xml:space="preserve"> </w:t>
      </w:r>
      <w:r w:rsidR="006060DA">
        <w:t>live</w:t>
      </w:r>
      <w:r w:rsidR="003C7FB2">
        <w:t xml:space="preserve"> </w:t>
      </w:r>
      <w:r w:rsidR="006060DA">
        <w:t>too</w:t>
      </w:r>
      <w:r w:rsidR="003C7FB2">
        <w:t xml:space="preserve"> </w:t>
      </w:r>
      <w:r w:rsidR="006060DA">
        <w:t>far</w:t>
      </w:r>
      <w:r w:rsidR="003C7FB2">
        <w:t xml:space="preserve"> </w:t>
      </w:r>
      <w:r w:rsidR="006060DA">
        <w:t>from</w:t>
      </w:r>
      <w:r w:rsidR="003C7FB2">
        <w:t xml:space="preserve"> </w:t>
      </w:r>
      <w:r w:rsidR="006060DA">
        <w:t>work</w:t>
      </w:r>
      <w:r w:rsidR="003C7FB2">
        <w:t xml:space="preserve"> </w:t>
      </w:r>
      <w:r w:rsidR="006060DA">
        <w:t>to</w:t>
      </w:r>
      <w:r w:rsidR="003C7FB2">
        <w:t xml:space="preserve"> </w:t>
      </w:r>
      <w:r w:rsidR="006060DA">
        <w:t>walk</w:t>
      </w:r>
      <w:r w:rsidR="003C7FB2">
        <w:t xml:space="preserve"> </w:t>
      </w:r>
      <w:r w:rsidR="006060DA">
        <w:t>or</w:t>
      </w:r>
      <w:r w:rsidR="003C7FB2">
        <w:t xml:space="preserve"> </w:t>
      </w:r>
      <w:r w:rsidR="006060DA">
        <w:t>cycle</w:t>
      </w:r>
      <w:r w:rsidR="003C7FB2">
        <w:t xml:space="preserve"> </w:t>
      </w:r>
      <w:r w:rsidR="006060DA">
        <w:t>the</w:t>
      </w:r>
      <w:r w:rsidR="003C7FB2">
        <w:t xml:space="preserve"> </w:t>
      </w:r>
      <w:r w:rsidR="006060DA">
        <w:t>whole</w:t>
      </w:r>
      <w:r w:rsidR="003C7FB2">
        <w:t xml:space="preserve"> </w:t>
      </w:r>
      <w:r w:rsidR="006060DA">
        <w:t>journey,</w:t>
      </w:r>
      <w:r w:rsidR="003C7FB2">
        <w:t xml:space="preserve"> </w:t>
      </w:r>
      <w:r w:rsidR="006060DA">
        <w:t>incorporating</w:t>
      </w:r>
      <w:r w:rsidR="003C7FB2">
        <w:t xml:space="preserve"> </w:t>
      </w:r>
      <w:r w:rsidR="006060DA">
        <w:t>some</w:t>
      </w:r>
      <w:r w:rsidR="003C7FB2">
        <w:t xml:space="preserve"> </w:t>
      </w:r>
      <w:r w:rsidR="006060DA">
        <w:t>active</w:t>
      </w:r>
      <w:r w:rsidR="003C7FB2">
        <w:t xml:space="preserve"> </w:t>
      </w:r>
      <w:r w:rsidR="006060DA">
        <w:t>travel</w:t>
      </w:r>
      <w:r w:rsidR="003C7FB2">
        <w:t xml:space="preserve"> </w:t>
      </w:r>
      <w:r w:rsidR="006060DA">
        <w:t>within</w:t>
      </w:r>
      <w:r w:rsidR="003C7FB2">
        <w:t xml:space="preserve"> </w:t>
      </w:r>
      <w:r w:rsidR="006060DA">
        <w:t>the</w:t>
      </w:r>
      <w:r w:rsidR="003C7FB2">
        <w:t xml:space="preserve"> </w:t>
      </w:r>
      <w:r w:rsidR="006060DA">
        <w:t>commute</w:t>
      </w:r>
      <w:r w:rsidR="003C7FB2">
        <w:t xml:space="preserve"> </w:t>
      </w:r>
      <w:r w:rsidR="006060DA">
        <w:t>is</w:t>
      </w:r>
      <w:r w:rsidR="003C7FB2">
        <w:t xml:space="preserve"> </w:t>
      </w:r>
      <w:r w:rsidR="00F41DCB">
        <w:t>also</w:t>
      </w:r>
      <w:r w:rsidR="003C7FB2">
        <w:t xml:space="preserve"> </w:t>
      </w:r>
      <w:r w:rsidR="00130AB2">
        <w:t>beneficial</w:t>
      </w:r>
      <w:r w:rsidR="006060DA">
        <w:t>.</w:t>
      </w:r>
    </w:p>
    <w:p w14:paraId="496EA3C9" w14:textId="77777777" w:rsidR="00B75D15" w:rsidRDefault="00B75D15">
      <w:r>
        <w:br w:type="page"/>
      </w:r>
    </w:p>
    <w:p w14:paraId="79B9C763" w14:textId="56B699CC" w:rsidR="006060DA" w:rsidRPr="008C32E2" w:rsidRDefault="00B75D15" w:rsidP="00130AB2">
      <w:pPr>
        <w:rPr>
          <w:b/>
        </w:rPr>
      </w:pPr>
      <w:bookmarkStart w:id="1" w:name="_GoBack"/>
      <w:r w:rsidRPr="008C32E2">
        <w:rPr>
          <w:b/>
        </w:rPr>
        <w:t>Highlights</w:t>
      </w:r>
    </w:p>
    <w:bookmarkEnd w:id="1"/>
    <w:p w14:paraId="3637025F" w14:textId="6107E087" w:rsidR="00B75D15" w:rsidRDefault="00B75D15" w:rsidP="00130AB2"/>
    <w:p w14:paraId="73A951B9" w14:textId="40FEE3E5" w:rsidR="00B75D15" w:rsidRDefault="008F30A6" w:rsidP="008C32E2">
      <w:pPr>
        <w:pStyle w:val="ListParagraph"/>
        <w:numPr>
          <w:ilvl w:val="0"/>
          <w:numId w:val="10"/>
        </w:numPr>
        <w:spacing w:after="0" w:line="240" w:lineRule="auto"/>
      </w:pPr>
      <w:r>
        <w:t>C</w:t>
      </w:r>
      <w:r w:rsidR="00B75D15">
        <w:t xml:space="preserve">ycling to work </w:t>
      </w:r>
      <w:r w:rsidR="009A70C4">
        <w:t>was associated with</w:t>
      </w:r>
      <w:r w:rsidR="00B75D15">
        <w:t xml:space="preserve"> reduced adiposity </w:t>
      </w:r>
      <w:r w:rsidR="001A6824">
        <w:t>relative</w:t>
      </w:r>
      <w:r w:rsidR="00B75D15">
        <w:t xml:space="preserve"> to</w:t>
      </w:r>
      <w:r w:rsidR="001A6824">
        <w:t xml:space="preserve"> </w:t>
      </w:r>
      <w:r>
        <w:t xml:space="preserve">exclusive </w:t>
      </w:r>
      <w:r w:rsidR="001A6824">
        <w:t>car-use</w:t>
      </w:r>
    </w:p>
    <w:p w14:paraId="318628DE" w14:textId="0D27A67C" w:rsidR="00B75D15" w:rsidRDefault="00B75D15" w:rsidP="008C32E2">
      <w:pPr>
        <w:pStyle w:val="ListParagraph"/>
        <w:numPr>
          <w:ilvl w:val="0"/>
          <w:numId w:val="10"/>
        </w:numPr>
        <w:spacing w:after="0" w:line="240" w:lineRule="auto"/>
      </w:pPr>
      <w:r>
        <w:t>Many people live t</w:t>
      </w:r>
      <w:r w:rsidR="008F30A6">
        <w:t>oo far from work to cycle or wal</w:t>
      </w:r>
      <w:r>
        <w:t>k the whole journey to work</w:t>
      </w:r>
      <w:r w:rsidR="009A70C4">
        <w:t xml:space="preserve"> </w:t>
      </w:r>
    </w:p>
    <w:p w14:paraId="70AF6DDF" w14:textId="77777777" w:rsidR="008F30A6" w:rsidRDefault="008F30A6" w:rsidP="008C32E2">
      <w:pPr>
        <w:pStyle w:val="ListParagraph"/>
        <w:numPr>
          <w:ilvl w:val="0"/>
          <w:numId w:val="10"/>
        </w:numPr>
        <w:spacing w:after="0" w:line="240" w:lineRule="auto"/>
      </w:pPr>
      <w:r>
        <w:t>W</w:t>
      </w:r>
      <w:r w:rsidR="009A70C4">
        <w:t>alking or cycling part of the commute was associated with reduced adiposity</w:t>
      </w:r>
    </w:p>
    <w:p w14:paraId="446950C4" w14:textId="003CBB93" w:rsidR="00B75D15" w:rsidRDefault="008F30A6" w:rsidP="008C32E2">
      <w:pPr>
        <w:pStyle w:val="ListParagraph"/>
        <w:numPr>
          <w:ilvl w:val="0"/>
          <w:numId w:val="10"/>
        </w:numPr>
        <w:spacing w:after="0" w:line="240" w:lineRule="auto"/>
      </w:pPr>
      <w:r>
        <w:t>W</w:t>
      </w:r>
      <w:r w:rsidR="00B75D15">
        <w:t xml:space="preserve">alking or cycling </w:t>
      </w:r>
      <w:r w:rsidR="009A70C4">
        <w:t xml:space="preserve">for non-work </w:t>
      </w:r>
      <w:r w:rsidR="00B75D15">
        <w:t xml:space="preserve">travel </w:t>
      </w:r>
      <w:r w:rsidR="009A70C4">
        <w:t xml:space="preserve">was associated with </w:t>
      </w:r>
      <w:r>
        <w:t>reduced adiposity</w:t>
      </w:r>
      <w:r w:rsidR="00B75D15">
        <w:t xml:space="preserve"> </w:t>
      </w:r>
    </w:p>
    <w:p w14:paraId="063D86B8" w14:textId="77777777" w:rsidR="00B75D15" w:rsidRDefault="00B75D15" w:rsidP="00130AB2"/>
    <w:p w14:paraId="53389FDE" w14:textId="0F5F3AA9" w:rsidR="0035643F" w:rsidRDefault="0035643F" w:rsidP="00130AB2"/>
    <w:p w14:paraId="3848D54C" w14:textId="77777777" w:rsidR="00421211" w:rsidRPr="00CB0E7A" w:rsidRDefault="00421211">
      <w:r w:rsidRPr="00CB0E7A">
        <w:br w:type="page"/>
      </w:r>
    </w:p>
    <w:p w14:paraId="487AC00C" w14:textId="3295BA72" w:rsidR="006676BA" w:rsidRDefault="006676BA">
      <w:pPr>
        <w:rPr>
          <w:b/>
          <w:u w:val="single"/>
        </w:rPr>
      </w:pPr>
      <w:r>
        <w:rPr>
          <w:b/>
          <w:u w:val="single"/>
        </w:rPr>
        <w:t>Introduction</w:t>
      </w:r>
      <w:r w:rsidR="003C7FB2">
        <w:t xml:space="preserve"> </w:t>
      </w:r>
    </w:p>
    <w:p w14:paraId="29C1B592" w14:textId="087435D1" w:rsidR="00446F7C" w:rsidRDefault="000009E5" w:rsidP="004F4FF8">
      <w:r>
        <w:t>The</w:t>
      </w:r>
      <w:r w:rsidR="003C7FB2">
        <w:t xml:space="preserve"> </w:t>
      </w:r>
      <w:r>
        <w:t>global</w:t>
      </w:r>
      <w:r w:rsidR="003C7FB2">
        <w:t xml:space="preserve"> </w:t>
      </w:r>
      <w:r>
        <w:t>epidemic</w:t>
      </w:r>
      <w:r w:rsidR="003C7FB2">
        <w:t xml:space="preserve"> </w:t>
      </w:r>
      <w:r>
        <w:t>of</w:t>
      </w:r>
      <w:r w:rsidR="003C7FB2">
        <w:t xml:space="preserve"> </w:t>
      </w:r>
      <w:r>
        <w:t>obesity</w:t>
      </w:r>
      <w:r w:rsidR="003C7FB2">
        <w:t xml:space="preserve"> </w:t>
      </w:r>
      <w:r>
        <w:t>and</w:t>
      </w:r>
      <w:r w:rsidR="003C7FB2">
        <w:t xml:space="preserve"> </w:t>
      </w:r>
      <w:r w:rsidR="00740E39">
        <w:t>type</w:t>
      </w:r>
      <w:r w:rsidR="003C7FB2">
        <w:t xml:space="preserve"> </w:t>
      </w:r>
      <w:r w:rsidR="00740E39">
        <w:t>2</w:t>
      </w:r>
      <w:r w:rsidR="003C7FB2">
        <w:t xml:space="preserve"> </w:t>
      </w:r>
      <w:r w:rsidR="00740E39">
        <w:t>diabetes</w:t>
      </w:r>
      <w:r w:rsidR="003C7FB2">
        <w:t xml:space="preserve"> </w:t>
      </w:r>
      <w:r>
        <w:t>may</w:t>
      </w:r>
      <w:r w:rsidR="003C7FB2">
        <w:t xml:space="preserve"> </w:t>
      </w:r>
      <w:r>
        <w:t>in</w:t>
      </w:r>
      <w:r w:rsidR="003C7FB2">
        <w:t xml:space="preserve"> </w:t>
      </w:r>
      <w:r>
        <w:t>part</w:t>
      </w:r>
      <w:r w:rsidR="003C7FB2">
        <w:t xml:space="preserve"> </w:t>
      </w:r>
      <w:r>
        <w:t>be</w:t>
      </w:r>
      <w:r w:rsidR="003C7FB2">
        <w:t xml:space="preserve"> </w:t>
      </w:r>
      <w:r>
        <w:t>mitigated</w:t>
      </w:r>
      <w:r w:rsidR="003C7FB2">
        <w:t xml:space="preserve"> </w:t>
      </w:r>
      <w:r>
        <w:t>by</w:t>
      </w:r>
      <w:r w:rsidR="003C7FB2">
        <w:t xml:space="preserve"> </w:t>
      </w:r>
      <w:r w:rsidR="00823ACF">
        <w:t>the</w:t>
      </w:r>
      <w:r w:rsidR="003C7FB2">
        <w:t xml:space="preserve"> </w:t>
      </w:r>
      <w:r w:rsidR="00981ACC">
        <w:t>adoption</w:t>
      </w:r>
      <w:r w:rsidR="003C7FB2">
        <w:t xml:space="preserve"> </w:t>
      </w:r>
      <w:r w:rsidR="00981ACC">
        <w:t>of</w:t>
      </w:r>
      <w:r w:rsidR="003C7FB2">
        <w:t xml:space="preserve"> </w:t>
      </w:r>
      <w:r w:rsidR="00981ACC">
        <w:t>healthier</w:t>
      </w:r>
      <w:r w:rsidR="003C7FB2">
        <w:t xml:space="preserve"> </w:t>
      </w:r>
      <w:r>
        <w:t>lifestyles</w:t>
      </w:r>
      <w:r w:rsidR="00446F7C">
        <w:t>,</w:t>
      </w:r>
      <w:r w:rsidR="003C7FB2">
        <w:t xml:space="preserve"> </w:t>
      </w:r>
      <w:r w:rsidR="00446F7C">
        <w:t>including</w:t>
      </w:r>
      <w:r w:rsidR="003C7FB2">
        <w:t xml:space="preserve"> </w:t>
      </w:r>
      <w:r w:rsidR="00446F7C">
        <w:t>being</w:t>
      </w:r>
      <w:r w:rsidR="003C7FB2">
        <w:t xml:space="preserve"> </w:t>
      </w:r>
      <w:r w:rsidR="00446F7C">
        <w:t>more</w:t>
      </w:r>
      <w:r w:rsidR="003C7FB2">
        <w:t xml:space="preserve"> </w:t>
      </w:r>
      <w:r w:rsidR="00446F7C">
        <w:t>active</w:t>
      </w:r>
      <w:r>
        <w:t>.</w:t>
      </w:r>
      <w:r w:rsidR="00363B72">
        <w:fldChar w:fldCharType="begin" w:fldLock="1"/>
      </w:r>
      <w:r w:rsidR="000B07A6">
        <w:instrText>ADDIN CSL_CITATION { "citationItems" : [ { "id" : "ITEM-1", "itemData" : { "DOI" : "10.1016/S2213-8587(14)70074-9", "ISSN" : "2213-8595", "PMID" : "24731680", "author" : [ { "dropping-particle" : "", "family" : "Wareham", "given" : "Nicholas J", "non-dropping-particle" : "", "parse-names" : false, "suffix" : "" } ], "container-title" : "The Lancet Diabetes &amp; Endocrinology", "id" : "ITEM-1", "issue" : "6", "issued" : { "date-parts" : [ [ "2014", "6" ] ] }, "page" : "441-2", "publisher" : "Elsevier", "title" : "The long-term benefits of lifestyle interventions for prevention of diabetes.", "type" : "article-journal", "volume" : "2" }, "uris" : [ "http://www.mendeley.com/documents/?uuid=286c8687-b4b9-44e3-9dbd-976ce4655fd6" ] } ], "mendeley" : { "formattedCitation" : "(Wareham, 2014)", "plainTextFormattedCitation" : "(Wareham, 2014)", "previouslyFormattedCitation" : "(Wareham, 2014)" }, "properties" : { "noteIndex" : 0 }, "schema" : "https://github.com/citation-style-language/schema/raw/master/csl-citation.json" }</w:instrText>
      </w:r>
      <w:r w:rsidR="00363B72">
        <w:fldChar w:fldCharType="separate"/>
      </w:r>
      <w:r w:rsidR="00B71669" w:rsidRPr="00B71669">
        <w:rPr>
          <w:noProof/>
        </w:rPr>
        <w:t>(Wareham, 2014)</w:t>
      </w:r>
      <w:r w:rsidR="00363B72">
        <w:fldChar w:fldCharType="end"/>
      </w:r>
      <w:r w:rsidR="003C7FB2">
        <w:t xml:space="preserve"> </w:t>
      </w:r>
      <w:r w:rsidR="00286C4B">
        <w:t>P</w:t>
      </w:r>
      <w:r w:rsidR="00981ACC">
        <w:t>ublic</w:t>
      </w:r>
      <w:r w:rsidR="003C7FB2">
        <w:t xml:space="preserve"> </w:t>
      </w:r>
      <w:r w:rsidR="00981ACC">
        <w:t>health</w:t>
      </w:r>
      <w:r w:rsidR="003C7FB2">
        <w:t xml:space="preserve"> </w:t>
      </w:r>
      <w:r w:rsidR="005B0356">
        <w:t>s</w:t>
      </w:r>
      <w:r>
        <w:t>trategies</w:t>
      </w:r>
      <w:r w:rsidR="003C7FB2">
        <w:t xml:space="preserve"> </w:t>
      </w:r>
      <w:r>
        <w:t>to</w:t>
      </w:r>
      <w:r w:rsidR="003C7FB2">
        <w:t xml:space="preserve"> </w:t>
      </w:r>
      <w:r>
        <w:t>promote</w:t>
      </w:r>
      <w:r w:rsidR="003C7FB2">
        <w:t xml:space="preserve"> </w:t>
      </w:r>
      <w:r>
        <w:t>physical</w:t>
      </w:r>
      <w:r w:rsidR="003C7FB2">
        <w:t xml:space="preserve"> </w:t>
      </w:r>
      <w:r>
        <w:t>activity</w:t>
      </w:r>
      <w:r w:rsidR="003C7FB2">
        <w:t xml:space="preserve"> </w:t>
      </w:r>
      <w:r w:rsidR="00446F7C">
        <w:t>have</w:t>
      </w:r>
      <w:r w:rsidR="003C7FB2">
        <w:t xml:space="preserve"> </w:t>
      </w:r>
      <w:r w:rsidR="00446F7C">
        <w:t>had</w:t>
      </w:r>
      <w:r w:rsidR="003C7FB2">
        <w:t xml:space="preserve"> </w:t>
      </w:r>
      <w:r w:rsidR="00446F7C">
        <w:t>limited</w:t>
      </w:r>
      <w:r w:rsidR="003C7FB2">
        <w:t xml:space="preserve"> </w:t>
      </w:r>
      <w:r w:rsidR="00446F7C">
        <w:t>success</w:t>
      </w:r>
      <w:r w:rsidR="003C7FB2">
        <w:t xml:space="preserve"> </w:t>
      </w:r>
      <w:r w:rsidR="009973D8">
        <w:t>to</w:t>
      </w:r>
      <w:r w:rsidR="003C7FB2">
        <w:t xml:space="preserve"> </w:t>
      </w:r>
      <w:r w:rsidR="009973D8">
        <w:t>date</w:t>
      </w:r>
      <w:r>
        <w:t>.</w:t>
      </w:r>
      <w:r w:rsidR="00446F7C">
        <w:fldChar w:fldCharType="begin" w:fldLock="1"/>
      </w:r>
      <w:r w:rsidR="000B07A6">
        <w:instrText>ADDIN CSL_CITATION { "citationItems" : [ { "id" : "ITEM-1", "itemData" : { "DOI" : "10.1016/S0140-6736(12)61024-1", "ISBN" : "1474-547X (Electronic)\n0140-6736 (Linking)", "PMID" : "22818931", "author" : [ { "dropping-particle" : "", "family" : "Das", "given" : "P", "non-dropping-particle" : "", "parse-names" : false, "suffix" : "" }, { "dropping-particle" : "", "family" : "Horton", "given" : "R", "non-dropping-particle" : "", "parse-names" : false, "suffix" : "" } ], "container-title" : "Lancet", "edition" : "2012/07/24", "id" : "ITEM-1", "issue" : "9838", "issued" : { "date-parts" : [ [ "2012" ] ] }, "language" : "eng", "note" : "Das, Pamela\nHorton, Richard\nEngland\nLancet. 2012 Jul 21;380(9838):189-90.", "page" : "189-190", "title" : "Rethinking our approach to physical activity", "type" : "article-journal", "volume" : "380" }, "uris" : [ "http://www.mendeley.com/documents/?uuid=06a6c231-2447-47c4-94fc-583ccbdbe28c" ] } ], "mendeley" : { "formattedCitation" : "(Das and Horton, 2012)", "plainTextFormattedCitation" : "(Das and Horton, 2012)", "previouslyFormattedCitation" : "(Das and Horton, 2012)" }, "properties" : { "noteIndex" : 0 }, "schema" : "https://github.com/citation-style-language/schema/raw/master/csl-citation.json" }</w:instrText>
      </w:r>
      <w:r w:rsidR="00446F7C">
        <w:fldChar w:fldCharType="separate"/>
      </w:r>
      <w:r w:rsidR="00B71669" w:rsidRPr="00B71669">
        <w:rPr>
          <w:noProof/>
        </w:rPr>
        <w:t>(Das and Horton, 2012)</w:t>
      </w:r>
      <w:r w:rsidR="00446F7C">
        <w:fldChar w:fldCharType="end"/>
      </w:r>
      <w:r w:rsidR="003C7FB2">
        <w:t xml:space="preserve"> </w:t>
      </w:r>
      <w:r w:rsidR="00823ACF">
        <w:t>Shifting</w:t>
      </w:r>
      <w:r w:rsidR="003C7FB2">
        <w:t xml:space="preserve"> </w:t>
      </w:r>
      <w:r w:rsidR="00823ACF">
        <w:t>travel</w:t>
      </w:r>
      <w:r w:rsidR="003C7FB2">
        <w:t xml:space="preserve"> </w:t>
      </w:r>
      <w:r w:rsidR="00E96F2D">
        <w:t>patterns</w:t>
      </w:r>
      <w:r w:rsidR="003C7FB2">
        <w:t xml:space="preserve"> </w:t>
      </w:r>
      <w:r w:rsidR="00823ACF">
        <w:t>away</w:t>
      </w:r>
      <w:r w:rsidR="003C7FB2">
        <w:t xml:space="preserve"> </w:t>
      </w:r>
      <w:r w:rsidR="00823ACF">
        <w:t>from</w:t>
      </w:r>
      <w:r w:rsidR="003C7FB2">
        <w:t xml:space="preserve"> </w:t>
      </w:r>
      <w:r w:rsidR="00823ACF">
        <w:t>car-use</w:t>
      </w:r>
      <w:r w:rsidR="003C7FB2">
        <w:t xml:space="preserve"> </w:t>
      </w:r>
      <w:r w:rsidR="00E96F2D">
        <w:t>and</w:t>
      </w:r>
      <w:r w:rsidR="003C7FB2">
        <w:t xml:space="preserve"> </w:t>
      </w:r>
      <w:r w:rsidR="00823ACF">
        <w:t>towards</w:t>
      </w:r>
      <w:r w:rsidR="003C7FB2">
        <w:t xml:space="preserve"> </w:t>
      </w:r>
      <w:r w:rsidR="00A63F0C">
        <w:t>walking</w:t>
      </w:r>
      <w:r w:rsidR="003C7FB2">
        <w:t xml:space="preserve"> </w:t>
      </w:r>
      <w:r w:rsidR="00A63F0C">
        <w:t>or</w:t>
      </w:r>
      <w:r w:rsidR="003C7FB2">
        <w:t xml:space="preserve"> </w:t>
      </w:r>
      <w:r w:rsidR="00A63F0C">
        <w:t>cycling</w:t>
      </w:r>
      <w:r w:rsidR="003C7FB2">
        <w:t xml:space="preserve"> </w:t>
      </w:r>
      <w:r w:rsidR="00A63F0C">
        <w:t>has</w:t>
      </w:r>
      <w:r w:rsidR="003C7FB2">
        <w:t xml:space="preserve"> </w:t>
      </w:r>
      <w:r w:rsidR="00A63F0C">
        <w:t>been</w:t>
      </w:r>
      <w:r w:rsidR="003C7FB2">
        <w:t xml:space="preserve"> </w:t>
      </w:r>
      <w:r w:rsidR="00A63F0C">
        <w:t>proposed</w:t>
      </w:r>
      <w:r w:rsidR="003C7FB2">
        <w:t xml:space="preserve"> </w:t>
      </w:r>
      <w:r w:rsidR="00A63F0C">
        <w:t>as</w:t>
      </w:r>
      <w:r w:rsidR="003C7FB2">
        <w:t xml:space="preserve"> </w:t>
      </w:r>
      <w:r w:rsidR="00A63F0C">
        <w:t>one</w:t>
      </w:r>
      <w:r w:rsidR="003C7FB2">
        <w:t xml:space="preserve"> </w:t>
      </w:r>
      <w:r w:rsidR="00A63F0C">
        <w:t>means</w:t>
      </w:r>
      <w:r w:rsidR="003C7FB2">
        <w:t xml:space="preserve"> </w:t>
      </w:r>
      <w:r w:rsidR="00A63F0C">
        <w:t>to</w:t>
      </w:r>
      <w:r w:rsidR="003C7FB2">
        <w:t xml:space="preserve"> </w:t>
      </w:r>
      <w:r w:rsidR="00A63F0C">
        <w:t>enable</w:t>
      </w:r>
      <w:r w:rsidR="003C7FB2">
        <w:t xml:space="preserve"> </w:t>
      </w:r>
      <w:r w:rsidR="00A63F0C">
        <w:t>large</w:t>
      </w:r>
      <w:r w:rsidR="003C7FB2">
        <w:t xml:space="preserve"> </w:t>
      </w:r>
      <w:r w:rsidR="00A63F0C">
        <w:t>numbers</w:t>
      </w:r>
      <w:r w:rsidR="003C7FB2">
        <w:t xml:space="preserve"> </w:t>
      </w:r>
      <w:r w:rsidR="00A63F0C">
        <w:t>of</w:t>
      </w:r>
      <w:r w:rsidR="003C7FB2">
        <w:t xml:space="preserve"> </w:t>
      </w:r>
      <w:r w:rsidR="00A63F0C">
        <w:t>adults</w:t>
      </w:r>
      <w:r w:rsidR="003C7FB2">
        <w:t xml:space="preserve"> </w:t>
      </w:r>
      <w:r w:rsidR="00A63F0C">
        <w:t>to</w:t>
      </w:r>
      <w:r w:rsidR="003C7FB2">
        <w:t xml:space="preserve"> </w:t>
      </w:r>
      <w:r w:rsidR="00A63F0C">
        <w:t>be</w:t>
      </w:r>
      <w:r w:rsidR="003C7FB2">
        <w:t xml:space="preserve"> </w:t>
      </w:r>
      <w:r w:rsidR="00446F7C">
        <w:t>more</w:t>
      </w:r>
      <w:r w:rsidR="003C7FB2">
        <w:t xml:space="preserve"> </w:t>
      </w:r>
      <w:r w:rsidR="00A63F0C">
        <w:t>active.</w:t>
      </w:r>
      <w:r w:rsidR="00363B72">
        <w:fldChar w:fldCharType="begin" w:fldLock="1"/>
      </w:r>
      <w:r w:rsidR="000B07A6">
        <w:instrText>ADDIN CSL_CITATION { "citationItems" : [ { "id" : "ITEM-1", "itemData" : { "author" : [ { "dropping-particle" : "", "family" : "Centres for Disease Control and Prevention", "given" : "", "non-dropping-particle" : "", "parse-names" : false, "suffix" : "" } ], "id" : "ITEM-1", "issued" : { "date-parts" : [ [ "2010" ] ] }, "publisher-place" : "Atlanta", "title" : "CDC Recommendations for Improving Health through Transportation Policy", "type" : "report" }, "uris" : [ "http://www.mendeley.com/documents/?uuid=a7151cbf-0d07-4456-af07-31185e233beb" ] } ], "mendeley" : { "formattedCitation" : "(Centres for Disease Control and Prevention, 2010)", "plainTextFormattedCitation" : "(Centres for Disease Control and Prevention, 2010)", "previouslyFormattedCitation" : "(Centres for Disease Control and Prevention, 2010)" }, "properties" : { "noteIndex" : 0 }, "schema" : "https://github.com/citation-style-language/schema/raw/master/csl-citation.json" }</w:instrText>
      </w:r>
      <w:r w:rsidR="00363B72">
        <w:fldChar w:fldCharType="separate"/>
      </w:r>
      <w:r w:rsidR="00B71669" w:rsidRPr="00B71669">
        <w:rPr>
          <w:noProof/>
        </w:rPr>
        <w:t>(Centres for Disease Control and Prevention, 2010)</w:t>
      </w:r>
      <w:r w:rsidR="00363B72">
        <w:fldChar w:fldCharType="end"/>
      </w:r>
    </w:p>
    <w:p w14:paraId="4445D301" w14:textId="619CDB0D" w:rsidR="00670442" w:rsidRDefault="00E5002C" w:rsidP="00670442">
      <w:r>
        <w:t>Whilst</w:t>
      </w:r>
      <w:r w:rsidR="003C7FB2">
        <w:t xml:space="preserve"> </w:t>
      </w:r>
      <w:r>
        <w:t>wide</w:t>
      </w:r>
      <w:r w:rsidR="000F1248">
        <w:t>spread</w:t>
      </w:r>
      <w:r w:rsidR="003C7FB2">
        <w:t xml:space="preserve"> </w:t>
      </w:r>
      <w:r w:rsidR="000F1248">
        <w:t>adoption</w:t>
      </w:r>
      <w:r w:rsidR="003C7FB2">
        <w:t xml:space="preserve"> </w:t>
      </w:r>
      <w:r w:rsidR="000F1248">
        <w:t>of</w:t>
      </w:r>
      <w:r w:rsidR="003C7FB2">
        <w:t xml:space="preserve"> </w:t>
      </w:r>
      <w:r w:rsidR="000F1248">
        <w:t>active</w:t>
      </w:r>
      <w:r w:rsidR="003C7FB2">
        <w:t xml:space="preserve"> </w:t>
      </w:r>
      <w:r w:rsidR="000F1248">
        <w:t>travel,</w:t>
      </w:r>
      <w:r w:rsidR="003C7FB2">
        <w:t xml:space="preserve"> </w:t>
      </w:r>
      <w:r w:rsidR="000F1248">
        <w:t>and</w:t>
      </w:r>
      <w:r w:rsidR="003C7FB2">
        <w:t xml:space="preserve"> </w:t>
      </w:r>
      <w:r w:rsidR="000F1248">
        <w:t>particularly</w:t>
      </w:r>
      <w:r w:rsidR="003C7FB2">
        <w:t xml:space="preserve"> </w:t>
      </w:r>
      <w:r w:rsidR="000F1248">
        <w:t>active</w:t>
      </w:r>
      <w:r w:rsidR="003C7FB2">
        <w:t xml:space="preserve"> </w:t>
      </w:r>
      <w:r w:rsidR="000F1248">
        <w:t>commuting,</w:t>
      </w:r>
      <w:r w:rsidR="003C7FB2">
        <w:t xml:space="preserve"> </w:t>
      </w:r>
      <w:r>
        <w:t>may</w:t>
      </w:r>
      <w:r w:rsidR="003C7FB2">
        <w:t xml:space="preserve"> </w:t>
      </w:r>
      <w:r>
        <w:t>have</w:t>
      </w:r>
      <w:r w:rsidR="003C7FB2">
        <w:t xml:space="preserve"> </w:t>
      </w:r>
      <w:r>
        <w:t>considerable</w:t>
      </w:r>
      <w:r w:rsidR="003C7FB2">
        <w:t xml:space="preserve"> </w:t>
      </w:r>
      <w:r>
        <w:t>potential</w:t>
      </w:r>
      <w:r w:rsidR="003C7FB2">
        <w:t xml:space="preserve"> </w:t>
      </w:r>
      <w:r>
        <w:t>to</w:t>
      </w:r>
      <w:r w:rsidR="003C7FB2">
        <w:t xml:space="preserve"> </w:t>
      </w:r>
      <w:r>
        <w:t>reduce</w:t>
      </w:r>
      <w:r w:rsidR="003C7FB2">
        <w:t xml:space="preserve"> </w:t>
      </w:r>
      <w:r>
        <w:t>obesity</w:t>
      </w:r>
      <w:r w:rsidR="003C7FB2">
        <w:t xml:space="preserve"> </w:t>
      </w:r>
      <w:r w:rsidR="008B78AF">
        <w:t>and</w:t>
      </w:r>
      <w:r w:rsidR="003C7FB2">
        <w:t xml:space="preserve"> </w:t>
      </w:r>
      <w:r w:rsidR="00BC21F5">
        <w:t>the</w:t>
      </w:r>
      <w:r w:rsidR="003C7FB2">
        <w:t xml:space="preserve"> </w:t>
      </w:r>
      <w:r w:rsidR="009973D8">
        <w:t>incidence</w:t>
      </w:r>
      <w:r w:rsidR="003C7FB2">
        <w:t xml:space="preserve"> </w:t>
      </w:r>
      <w:r w:rsidR="009973D8">
        <w:t>of</w:t>
      </w:r>
      <w:r w:rsidR="003C7FB2">
        <w:t xml:space="preserve"> </w:t>
      </w:r>
      <w:r w:rsidR="008B78AF">
        <w:t>related</w:t>
      </w:r>
      <w:r w:rsidR="003C7FB2">
        <w:t xml:space="preserve"> </w:t>
      </w:r>
      <w:r w:rsidR="00740E39">
        <w:t>cardio-</w:t>
      </w:r>
      <w:r w:rsidR="008B78AF">
        <w:t>metabolic</w:t>
      </w:r>
      <w:r w:rsidR="003C7FB2">
        <w:t xml:space="preserve"> </w:t>
      </w:r>
      <w:r w:rsidR="008B78AF">
        <w:t>disorders,</w:t>
      </w:r>
      <w:r w:rsidR="008B78AF">
        <w:rPr>
          <w:rFonts w:cs="Arial"/>
          <w:color w:val="2E2E2E"/>
        </w:rPr>
        <w:fldChar w:fldCharType="begin" w:fldLock="1"/>
      </w:r>
      <w:r w:rsidR="000B07A6">
        <w:rPr>
          <w:rFonts w:cs="Arial"/>
          <w:color w:val="2E2E2E"/>
        </w:rPr>
        <w:instrText>ADDIN CSL_CITATION { "citationItems" : [ { "id" : "ITEM-1", "itemData" : { "ISSN" : "1543-3080", "PMID" : "19164816", "abstract" : "PURPOSE: This study was designed to examine the relationship between active transportation (defined as the percentage of trips taken by walking, bicycling, and public transit) and obesity rates (BMI &gt; or = 30 kg . m-2) in different countries.\n\nMETHODS: National surveys of travel behavior and health indicators in Europe, North America, and Australia were used in this study; the surveys were conducted in 1994 to 2006. In some cases raw data were obtained from national or federal agencies and then analyzed, and in other cases summary data were obtained from published reports.\n\nRESULTS: Countries with the highest levels of active transportation generally had the lowest obesity rates. Europeans walked more than United States residents (382 versus 140 km per person per year) and bicycled more (188 versus 40 km per person per year) in 2000.\n\nDISCUSSION: Walking and bicycling are far more common in European countries than in the United States, Australia, and Canada. Active transportation is inversely related to obesity in these countries. Although the results do not prove causality, they suggest that active transportation could be one of the factors that explain international differences in obesity rates.", "author" : [ { "dropping-particle" : "", "family" : "Bassett", "given" : "David R", "non-dropping-particle" : "", "parse-names" : false, "suffix" : "" }, { "dropping-particle" : "", "family" : "Pucher", "given" : "John", "non-dropping-particle" : "", "parse-names" : false, "suffix" : "" }, { "dropping-particle" : "", "family" : "Buehler", "given" : "Ralph", "non-dropping-particle" : "", "parse-names" : false, "suffix" : "" }, { "dropping-particle" : "", "family" : "Thompson", "given" : "Dixie L", "non-dropping-particle" : "", "parse-names" : false, "suffix" : "" }, { "dropping-particle" : "", "family" : "Crouter", "given" : "Scott E", "non-dropping-particle" : "", "parse-names" : false, "suffix" : "" } ], "container-title" : "Journal of physical activity &amp; health", "id" : "ITEM-1", "issue" : "6", "issued" : { "date-parts" : [ [ "2008", "12" ] ] }, "page" : "795-814", "title" : "Walking, cycling, and obesity rates in Europe, North America, and Australia.", "type" : "article-journal", "volume" : "5" }, "uris" : [ "http://www.mendeley.com/documents/?uuid=4d6e6a2f-d50e-441b-be46-74783f16c07e" ] } ], "mendeley" : { "formattedCitation" : "(Bassett et al., 2008)", "plainTextFormattedCitation" : "(Bassett et al., 2008)", "previouslyFormattedCitation" : "(Bassett et al., 2008)" }, "properties" : { "noteIndex" : 0 }, "schema" : "https://github.com/citation-style-language/schema/raw/master/csl-citation.json" }</w:instrText>
      </w:r>
      <w:r w:rsidR="008B78AF">
        <w:rPr>
          <w:rFonts w:cs="Arial"/>
          <w:color w:val="2E2E2E"/>
        </w:rPr>
        <w:fldChar w:fldCharType="separate"/>
      </w:r>
      <w:r w:rsidR="00B71669" w:rsidRPr="00B71669">
        <w:rPr>
          <w:rFonts w:cs="Arial"/>
          <w:noProof/>
          <w:color w:val="2E2E2E"/>
        </w:rPr>
        <w:t>(Bassett et al., 2008)</w:t>
      </w:r>
      <w:r w:rsidR="008B78AF">
        <w:rPr>
          <w:rFonts w:cs="Arial"/>
          <w:color w:val="2E2E2E"/>
        </w:rPr>
        <w:fldChar w:fldCharType="end"/>
      </w:r>
      <w:r w:rsidR="003C7FB2">
        <w:t xml:space="preserve"> </w:t>
      </w:r>
      <w:r w:rsidRPr="00E254D0">
        <w:t>there</w:t>
      </w:r>
      <w:r w:rsidR="003C7FB2">
        <w:t xml:space="preserve"> </w:t>
      </w:r>
      <w:r w:rsidRPr="00E254D0">
        <w:t>still</w:t>
      </w:r>
      <w:r w:rsidR="003C7FB2">
        <w:t xml:space="preserve"> </w:t>
      </w:r>
      <w:r w:rsidRPr="00E254D0">
        <w:t>remains</w:t>
      </w:r>
      <w:r w:rsidR="003C7FB2">
        <w:t xml:space="preserve"> </w:t>
      </w:r>
      <w:r w:rsidRPr="00E254D0">
        <w:t>cons</w:t>
      </w:r>
      <w:r w:rsidR="0099551E">
        <w:t>iderable</w:t>
      </w:r>
      <w:r w:rsidR="003C7FB2">
        <w:t xml:space="preserve"> </w:t>
      </w:r>
      <w:r w:rsidR="0099551E">
        <w:t>scientific</w:t>
      </w:r>
      <w:r w:rsidR="003C7FB2">
        <w:t xml:space="preserve"> </w:t>
      </w:r>
      <w:r w:rsidR="0099551E">
        <w:t>uncertainty</w:t>
      </w:r>
      <w:r w:rsidR="003C7FB2">
        <w:t xml:space="preserve"> </w:t>
      </w:r>
      <w:r w:rsidR="0099551E">
        <w:t>concerning</w:t>
      </w:r>
      <w:r w:rsidR="003C7FB2">
        <w:t xml:space="preserve"> </w:t>
      </w:r>
      <w:r w:rsidR="0099551E">
        <w:t>t</w:t>
      </w:r>
      <w:r w:rsidRPr="00E254D0">
        <w:t>he</w:t>
      </w:r>
      <w:r w:rsidR="003C7FB2">
        <w:t xml:space="preserve"> </w:t>
      </w:r>
      <w:r w:rsidRPr="00E254D0">
        <w:t>nature</w:t>
      </w:r>
      <w:r w:rsidR="003C7FB2">
        <w:t xml:space="preserve"> </w:t>
      </w:r>
      <w:r w:rsidRPr="00E254D0">
        <w:t>and</w:t>
      </w:r>
      <w:r w:rsidR="003C7FB2">
        <w:t xml:space="preserve"> </w:t>
      </w:r>
      <w:r w:rsidRPr="00E254D0">
        <w:t>strength</w:t>
      </w:r>
      <w:r w:rsidR="003C7FB2">
        <w:t xml:space="preserve"> </w:t>
      </w:r>
      <w:r w:rsidRPr="00E254D0">
        <w:t>of</w:t>
      </w:r>
      <w:r w:rsidR="003C7FB2">
        <w:t xml:space="preserve"> </w:t>
      </w:r>
      <w:r w:rsidRPr="00E254D0">
        <w:t>associations</w:t>
      </w:r>
      <w:r w:rsidR="003C7FB2">
        <w:t xml:space="preserve"> </w:t>
      </w:r>
      <w:r w:rsidRPr="00E254D0">
        <w:t>between</w:t>
      </w:r>
      <w:r w:rsidR="003C7FB2">
        <w:t xml:space="preserve"> </w:t>
      </w:r>
      <w:r w:rsidRPr="00E254D0">
        <w:t>different</w:t>
      </w:r>
      <w:r w:rsidR="003C7FB2">
        <w:t xml:space="preserve"> </w:t>
      </w:r>
      <w:r w:rsidRPr="00E254D0">
        <w:t>modes</w:t>
      </w:r>
      <w:r w:rsidR="003C7FB2">
        <w:t xml:space="preserve"> </w:t>
      </w:r>
      <w:r w:rsidRPr="00E254D0">
        <w:t>of</w:t>
      </w:r>
      <w:r w:rsidR="003C7FB2">
        <w:t xml:space="preserve"> </w:t>
      </w:r>
      <w:r w:rsidRPr="00E254D0">
        <w:t>travel</w:t>
      </w:r>
      <w:r w:rsidR="003C7FB2">
        <w:t xml:space="preserve"> </w:t>
      </w:r>
      <w:r w:rsidRPr="00E254D0">
        <w:t>and</w:t>
      </w:r>
      <w:r w:rsidR="003C7FB2">
        <w:t xml:space="preserve"> </w:t>
      </w:r>
      <w:r w:rsidRPr="00E254D0">
        <w:t>adiposity.</w:t>
      </w:r>
      <w:r w:rsidR="003C7FB2">
        <w:t xml:space="preserve"> </w:t>
      </w:r>
    </w:p>
    <w:p w14:paraId="38C25742" w14:textId="0EDE8EEF" w:rsidR="00670442" w:rsidRDefault="00670442" w:rsidP="00670442">
      <w:pPr>
        <w:rPr>
          <w:rFonts w:cs="Arial"/>
          <w:color w:val="2E2E2E"/>
        </w:rPr>
      </w:pPr>
      <w:r>
        <w:rPr>
          <w:rFonts w:cs="Arial"/>
          <w:color w:val="2E2E2E"/>
        </w:rPr>
        <w:t>Existing</w:t>
      </w:r>
      <w:r w:rsidR="003C7FB2">
        <w:rPr>
          <w:rFonts w:cs="Arial"/>
          <w:color w:val="2E2E2E"/>
        </w:rPr>
        <w:t xml:space="preserve"> </w:t>
      </w:r>
      <w:r>
        <w:rPr>
          <w:rFonts w:cs="Arial"/>
          <w:color w:val="2E2E2E"/>
        </w:rPr>
        <w:t>studies</w:t>
      </w:r>
      <w:r w:rsidR="003C7FB2">
        <w:rPr>
          <w:rFonts w:cs="Arial"/>
          <w:color w:val="2E2E2E"/>
        </w:rPr>
        <w:t xml:space="preserve"> </w:t>
      </w:r>
      <w:r>
        <w:rPr>
          <w:rFonts w:cs="Arial"/>
          <w:color w:val="2E2E2E"/>
        </w:rPr>
        <w:t>may</w:t>
      </w:r>
      <w:r w:rsidR="003C7FB2">
        <w:rPr>
          <w:rFonts w:cs="Arial"/>
          <w:color w:val="2E2E2E"/>
        </w:rPr>
        <w:t xml:space="preserve"> </w:t>
      </w:r>
      <w:r>
        <w:rPr>
          <w:rFonts w:cs="Arial"/>
          <w:color w:val="2E2E2E"/>
        </w:rPr>
        <w:t>not</w:t>
      </w:r>
      <w:r w:rsidR="003C7FB2">
        <w:rPr>
          <w:rFonts w:cs="Arial"/>
          <w:color w:val="2E2E2E"/>
        </w:rPr>
        <w:t xml:space="preserve"> </w:t>
      </w:r>
      <w:r>
        <w:rPr>
          <w:rFonts w:cs="Arial"/>
          <w:color w:val="2E2E2E"/>
        </w:rPr>
        <w:t>have</w:t>
      </w:r>
      <w:r w:rsidR="003C7FB2">
        <w:rPr>
          <w:rFonts w:cs="Arial"/>
          <w:color w:val="2E2E2E"/>
        </w:rPr>
        <w:t xml:space="preserve"> </w:t>
      </w:r>
      <w:r>
        <w:rPr>
          <w:rFonts w:cs="Arial"/>
          <w:color w:val="2E2E2E"/>
        </w:rPr>
        <w:t>adequately</w:t>
      </w:r>
      <w:r w:rsidR="003C7FB2">
        <w:rPr>
          <w:rFonts w:cs="Arial"/>
          <w:color w:val="2E2E2E"/>
        </w:rPr>
        <w:t xml:space="preserve"> </w:t>
      </w:r>
      <w:r w:rsidR="00286C4B">
        <w:rPr>
          <w:rFonts w:cs="Arial"/>
          <w:color w:val="2E2E2E"/>
        </w:rPr>
        <w:t>adjusted</w:t>
      </w:r>
      <w:r w:rsidR="003C7FB2">
        <w:rPr>
          <w:rFonts w:cs="Arial"/>
          <w:color w:val="2E2E2E"/>
        </w:rPr>
        <w:t xml:space="preserve"> </w:t>
      </w:r>
      <w:r w:rsidR="00286C4B">
        <w:rPr>
          <w:rFonts w:cs="Arial"/>
          <w:color w:val="2E2E2E"/>
        </w:rPr>
        <w:t>for</w:t>
      </w:r>
      <w:r w:rsidR="003C7FB2">
        <w:rPr>
          <w:rFonts w:cs="Arial"/>
          <w:color w:val="2E2E2E"/>
        </w:rPr>
        <w:t xml:space="preserve"> </w:t>
      </w:r>
      <w:r>
        <w:rPr>
          <w:rFonts w:cs="Arial"/>
          <w:color w:val="2E2E2E"/>
        </w:rPr>
        <w:t>dietary</w:t>
      </w:r>
      <w:r w:rsidR="003C7FB2">
        <w:rPr>
          <w:rFonts w:cs="Arial"/>
          <w:color w:val="2E2E2E"/>
        </w:rPr>
        <w:t xml:space="preserve"> </w:t>
      </w:r>
      <w:r>
        <w:rPr>
          <w:rFonts w:cs="Arial"/>
          <w:color w:val="2E2E2E"/>
        </w:rPr>
        <w:t>behaviou</w:t>
      </w:r>
      <w:r w:rsidR="00901B9A">
        <w:rPr>
          <w:rFonts w:cs="Arial"/>
          <w:color w:val="2E2E2E"/>
        </w:rPr>
        <w:t>r</w:t>
      </w:r>
      <w:r w:rsidR="003C7FB2">
        <w:rPr>
          <w:rFonts w:cs="Arial"/>
          <w:color w:val="2E2E2E"/>
        </w:rPr>
        <w:t xml:space="preserve"> </w:t>
      </w:r>
      <w:r w:rsidR="00901B9A">
        <w:rPr>
          <w:rFonts w:cs="Arial"/>
          <w:color w:val="2E2E2E"/>
        </w:rPr>
        <w:t>or</w:t>
      </w:r>
      <w:r w:rsidR="003C7FB2">
        <w:rPr>
          <w:rFonts w:cs="Arial"/>
          <w:color w:val="2E2E2E"/>
        </w:rPr>
        <w:t xml:space="preserve"> </w:t>
      </w:r>
      <w:r w:rsidR="00A90671">
        <w:rPr>
          <w:rFonts w:cs="Arial"/>
          <w:color w:val="2E2E2E"/>
        </w:rPr>
        <w:t>other</w:t>
      </w:r>
      <w:r w:rsidR="003C7FB2">
        <w:rPr>
          <w:rFonts w:cs="Arial"/>
          <w:color w:val="2E2E2E"/>
        </w:rPr>
        <w:t xml:space="preserve"> </w:t>
      </w:r>
      <w:r w:rsidR="00A90671">
        <w:rPr>
          <w:rFonts w:cs="Arial"/>
          <w:color w:val="2E2E2E"/>
        </w:rPr>
        <w:t>forms</w:t>
      </w:r>
      <w:r w:rsidR="003C7FB2">
        <w:rPr>
          <w:rFonts w:cs="Arial"/>
          <w:color w:val="2E2E2E"/>
        </w:rPr>
        <w:t xml:space="preserve"> </w:t>
      </w:r>
      <w:r w:rsidR="00A90671">
        <w:rPr>
          <w:rFonts w:cs="Arial"/>
          <w:color w:val="2E2E2E"/>
        </w:rPr>
        <w:t>of</w:t>
      </w:r>
      <w:r w:rsidR="003C7FB2">
        <w:rPr>
          <w:rFonts w:cs="Arial"/>
          <w:color w:val="2E2E2E"/>
        </w:rPr>
        <w:t xml:space="preserve"> </w:t>
      </w:r>
      <w:r w:rsidR="00901B9A">
        <w:rPr>
          <w:rFonts w:cs="Arial"/>
          <w:color w:val="2E2E2E"/>
        </w:rPr>
        <w:t>physical</w:t>
      </w:r>
      <w:r w:rsidR="003C7FB2">
        <w:rPr>
          <w:rFonts w:cs="Arial"/>
          <w:color w:val="2E2E2E"/>
        </w:rPr>
        <w:t xml:space="preserve"> </w:t>
      </w:r>
      <w:r w:rsidR="00901B9A">
        <w:rPr>
          <w:rFonts w:cs="Arial"/>
          <w:color w:val="2E2E2E"/>
        </w:rPr>
        <w:t>activity.</w:t>
      </w:r>
      <w:r w:rsidR="003C7FB2">
        <w:rPr>
          <w:rFonts w:cs="Arial"/>
          <w:color w:val="2E2E2E"/>
        </w:rPr>
        <w:t xml:space="preserve"> </w:t>
      </w:r>
      <w:r w:rsidR="00A90671">
        <w:rPr>
          <w:rFonts w:cs="Arial"/>
          <w:color w:val="2E2E2E"/>
        </w:rPr>
        <w:t>They</w:t>
      </w:r>
      <w:r w:rsidR="003C7FB2">
        <w:rPr>
          <w:rFonts w:cs="Arial"/>
          <w:color w:val="2E2E2E"/>
        </w:rPr>
        <w:t xml:space="preserve"> </w:t>
      </w:r>
      <w:r>
        <w:rPr>
          <w:rFonts w:cs="Arial"/>
          <w:color w:val="2E2E2E"/>
        </w:rPr>
        <w:t>have</w:t>
      </w:r>
      <w:r w:rsidR="003C7FB2">
        <w:rPr>
          <w:rFonts w:cs="Arial"/>
          <w:color w:val="2E2E2E"/>
        </w:rPr>
        <w:t xml:space="preserve"> </w:t>
      </w:r>
      <w:r w:rsidR="00A90671">
        <w:rPr>
          <w:rFonts w:cs="Arial"/>
          <w:color w:val="2E2E2E"/>
        </w:rPr>
        <w:t>variously</w:t>
      </w:r>
      <w:r w:rsidR="003C7FB2">
        <w:rPr>
          <w:rFonts w:cs="Arial"/>
          <w:color w:val="2E2E2E"/>
        </w:rPr>
        <w:t xml:space="preserve"> </w:t>
      </w:r>
      <w:r w:rsidR="00901B9A">
        <w:rPr>
          <w:rFonts w:cs="Arial"/>
          <w:color w:val="2E2E2E"/>
        </w:rPr>
        <w:t>not</w:t>
      </w:r>
      <w:r w:rsidR="003C7FB2">
        <w:rPr>
          <w:rFonts w:cs="Arial"/>
          <w:color w:val="2E2E2E"/>
        </w:rPr>
        <w:t xml:space="preserve"> </w:t>
      </w:r>
      <w:r>
        <w:rPr>
          <w:rFonts w:cs="Arial"/>
          <w:color w:val="2E2E2E"/>
        </w:rPr>
        <w:t>adjusted</w:t>
      </w:r>
      <w:r w:rsidR="003C7FB2">
        <w:rPr>
          <w:rFonts w:cs="Arial"/>
          <w:color w:val="2E2E2E"/>
        </w:rPr>
        <w:t xml:space="preserve"> </w:t>
      </w:r>
      <w:r>
        <w:rPr>
          <w:rFonts w:cs="Arial"/>
          <w:color w:val="2E2E2E"/>
        </w:rPr>
        <w:t>for</w:t>
      </w:r>
      <w:r w:rsidR="003C7FB2">
        <w:rPr>
          <w:rFonts w:cs="Arial"/>
          <w:color w:val="2E2E2E"/>
        </w:rPr>
        <w:t xml:space="preserve"> </w:t>
      </w:r>
      <w:r>
        <w:rPr>
          <w:rFonts w:cs="Arial"/>
          <w:color w:val="2E2E2E"/>
        </w:rPr>
        <w:t>diet</w:t>
      </w:r>
      <w:r w:rsidR="00901B9A">
        <w:rPr>
          <w:rFonts w:cs="Arial"/>
          <w:color w:val="2E2E2E"/>
        </w:rPr>
        <w:fldChar w:fldCharType="begin" w:fldLock="1"/>
      </w:r>
      <w:r w:rsidR="000B07A6">
        <w:rPr>
          <w:rFonts w:cs="Arial"/>
          <w:color w:val="2E2E2E"/>
        </w:rPr>
        <w:instrText>ADDIN CSL_CITATION { "citationItems" : [ { "id" : "ITEM-1", "itemData" : { "DOI" : "10.1016/j.ypmed.2016.06.014", "ISSN" : "00917435", "abstract" : "OBJECTIVE\nTo investigate the longitudinal associations between active commuting (walking and cycling to work) and body mass index (BMI). \n\nMETHOD\nWe used self-reported data on height, weight and active commuting from the Commuting and Health in Cambridge study (2009 to 2012; n=809). We used linear regression to test the associations between: a) maintenance of active commuting over one year and BMI at the end of that year; and b) change in weekly time spent in active commuting and change in BMI over one year. \n\nRESULTS\nAfter adjusting for sociodemographic variables, other physical activity, physical wellbeing and maintenance of walking, those who maintained cycle commuting reported a lower BMI on average at one year follow-up (1.14kg/m2, 95% CI: 0.30 to 1.98, n=579) than those who never cycled to work. No significant association remained after adjustment for baseline BMI. No significant associations were observed for maintenance of walking. An increase in walking was associated with a reduction in BMI (0.32kg/m2, 95% CI: 0.03 to 0.62, n=651, after adjustment for co-variates and baseline BMI) only when restricting the analysis to those who did not move. No other significant associations between changes in weekly time spent walking or cycling on the commute and changes in BMI were observed. \n\nCONCLUSIONS\nThis work provides further evidence of the contribution of active commuting, particularly cycling, to preventing weight gain or facilitating weight loss. The findings may be valuable for employees choosing how to commute and engaging employers in the promotion of active travel.", "author" : [ { "dropping-particle" : "", "family" : "Mytton", "given" : "Oliver Tristan", "non-dropping-particle" : "", "parse-names" : false, "suffix" : "" }, { "dropping-particle" : "", "family" : "Panter", "given" : "Jenna", "non-dropping-particle" : "", "parse-names" : false, "suffix" : "" }, { "dropping-particle" : "", "family" : "Ogilvie", "given" : "David", "non-dropping-particle" : "", "parse-names" : false, "suffix" : "" } ], "container-title" : "Preventive Medicine", "id" : "ITEM-1", "issued" : { "date-parts" : [ [ "2016" ] ] }, "page" : "1-7", "title" : "Longitudinal associations of active commuting with body mass index", "type" : "article-journal", "volume" : "90" }, "uris" : [ "http://www.mendeley.com/documents/?uuid=11c42899-4a63-4fdd-be71-93f3769567b7" ] }, { "id" : "ITEM-2", "itemData" : { "DOI" : "10.1136/jech-2014-205211", "ISSN" : "1470-2738", "PMID" : "25954024", "abstract" : "BACKGROUND: Active commuting is associated with various health benefits, but little is known about its causal relationship with body mass index (BMI).\n\nMETHODS: We used cohort data from three consecutive annual waves of the British Household Panel Survey, a longitudinal study of nationally representative households, in 2004/2005 (n=15\u2005791), 2005/2006 and 2006/2007. Participants selected for the analyses (n=4056) reported their usual main mode of travel to work at each time point. Self-reported height and weight were used to derive BMI at baseline and after 2\u2005years. Multivariable linear regression analyses were used to assess associations between switching to and from active modes of travel (over 1 and 2\u2005years) and change in BMI (over 2\u2005years) and to assess dose-response relationships.\n\nRESULTS: After adjustment for socioeconomic and health-related covariates, the first analysis (n=3269) showed that switching from private motor transport to active travel or public transport (n=179) was associated with a significant reduction in BMI compared with continued private motor vehicle use (n=3090; -0.32\u2005kg/m(2), 95% CI -0.60 to -0.05). Larger adjusted effect sizes were associated with switching to active travel (n=109; -0.45\u2005kg/m(2), -0.78 to -0.11), particularly among those who switched within the first year and those with the longest journeys. The second analysis (n=787) showed that switching from active travel or public transport to private motor transport was associated with a significant increase in BMI (0.34\u2005kg/m(2), 0.05 to 0.64).\n\nCONCLUSIONS: Interventions to enable commuters to switch from private motor transport to more active modes of travel could contribute to reducing population mean BMI.", "author" : [ { "dropping-particle" : "", "family" : "Martin", "given" : "Adam", "non-dropping-particle" : "", "parse-names" : false, "suffix" : "" }, { "dropping-particle" : "", "family" : "Panter", "given" : "Jenna", "non-dropping-particle" : "", "parse-names" : false, "suffix" : "" }, { "dropping-particle" : "", "family" : "Suhrcke", "given" : "Marc", "non-dropping-particle" : "", "parse-names" : false, "suffix" : "" }, { "dropping-particle" : "", "family" : "Ogilvie", "given" : "David", "non-dropping-particle" : "", "parse-names" : false, "suffix" : "" } ], "container-title" : "Journal of epidemiology and community health", "id" : "ITEM-2", "issue" : "8", "issued" : { "date-parts" : [ [ "2015", "5", "7" ] ] }, "page" : "753-61", "title" : "Impact of changes in mode of travel to work on changes in body mass index: evidence from the British Household Panel Survey.", "type" : "article-journal", "volume" : "69" }, "uris" : [ "http://www.mendeley.com/documents/?uuid=9729e467-b20c-4026-a548-9d0eb07535fc" ] }, { "id" : "ITEM-3", "itemData" : { "DOI" : "10.1016/j.ypmed.2007.07.012", "ISSN" : "0091-7435", "PMID" : "17706273", "abstract" : "OBJECTIVES: To investigate the association between means of transportation to work and overweight+obesity and obesity. METHODS: The 2004 public health survey in Sk\u00e5ne is a cross-sectional postal questionnaire study of the population aged 18-80 with a 59% response rate including 16,705 employed participants. RESULTS: Forty-six percent of men and 26.6% of women were overweight (BMI 25.0-29.9); 11.6% of men and 10.3% of women were obese (BMI 30.0-); 18.2% of men and 25.9% of women bicycled and/or walked to work and 10.4% and 16.2% used public transportation, respectively. In contrast, 68.3% of men and 55.8% of women went to work by car. The odds ratios of overweight+obesity among persons who walked or bicycled were significantly lower and remained 0.62 (95% CI 0.51-0.76) among men and 0.79 (95% CI 0.67-0.94) among women in the models including all confounders compared to the car driving reference category. The odds ratios of obesity were initially significantly lower among both men and women who walked or bicycled, but in the final models only among women. The odds ratios of overweight+obesity as well as obesity were also lower among men using public transportation. CONCLUSIONS: Walking and bicycling to work are significantly negatively associated with overweight+obesity and, to some extent, obesity. Public transportation is significantly negatively associated with overweight+obesity and obesity among men.", "author" : [ { "dropping-particle" : "", "family" : "Lindstr\u00f6m", "given" : "Martin", "non-dropping-particle" : "", "parse-names" : false, "suffix" : "" } ], "container-title" : "Preventive medicine", "id" : "ITEM-3", "issue" : "1", "issued" : { "date-parts" : [ [ "2008", "1" ] ] }, "note" : "w+c combined", "page" : "22-8", "title" : "Means of transportation to work and overweight and obesity: a population-based study in southern Sweden.", "type" : "article-journal", "volume" : "46" }, "uris" : [ "http://www.mendeley.com/documents/?uuid=3ff9ea2e-ab2a-46f6-a24b-f59ac38b989c" ] }, { "id" : "ITEM-4", "itemData" : { "DOI" : "10.1371/journal.pone.0130903", "ISSN" : "1932-6203", "author" : [ { "dropping-particle" : "", "family" : "Wojan", "given" : "Timothy R.", "non-dropping-particle" : "", "parse-names" : false, "suffix" : "" }, { "dropping-particle" : "", "family" : "Hamrick", "given" : "Karen S.", "non-dropping-particle" : "", "parse-names" : false, "suffix" : "" }, { "dropping-particle" : "", "family" : "Durand", "given" : "CP", "non-dropping-particle" : "", "parse-names" : false, "suffix" : "" } ], "container-title" : "PLOS ONE", "editor" : [ { "dropping-particle" : "", "family" : "Zhang", "given" : "Harry", "non-dropping-particle" : "", "parse-names" : false, "suffix" : "" } ], "id" : "ITEM-4", "issue" : "7", "issued" : { "date-parts" : [ [ "2015", "7", "8" ] ] }, "page" : "e0130903", "publisher" : "Public Library of Science", "title" : "Can Walking or Biking to Work Really Make a Difference? Compact Development, Observed Commuter Choice and Body Mass Index", "type" : "article-journal", "volume" : "10" }, "uris" : [ "http://www.mendeley.com/documents/?uuid=3b3127ff-01f7-347d-8ee5-a7e5866c3a37" ] }, { "id" : "ITEM-5", "itemData" : { "ISSN" : "1209-1367", "PMID" : "27096619", "abstract" : "BACKGROUND Active travel may be a means of integrating physical activity into an individual's routine. This analysis investigates the relationship between utilitarian walking and cycling and objectively measured physical activity and health-related outcomes in a nationally representative sample of Canadian adults. DATA AND METHODS Adults aged 20 to 79 who participated in the 2007-to-2011 Canadian Health Measures Surveys (N = 7,160) reported the weekly time spent in utilitarian walking and cycling and wore an Actical accelerometer for seven days. They underwent a series of tests to measure physical fitness, body composition, blood pressure, and biomarkers. Differences in physical activity and health-related outcomes across levels of utilitarian walking and cycling were assessed with ANCOVA analyses adjusted for age, sex, education, household income, self-reported usual daily physical activity, and the complex survey design. RESULTS Utilitarian walking and cycling were associated with moderate-to-vigorous physical activity in a graded manner. Compared with respondents who reported walking 1 to 5 hours a week, those who walked more than 5 hours a week had lower skinfold thickness. Respondents who reported cycling 1 or more hours a week had greater aerobic fitness and lower BMI, waist circumference, total cholesterol/HDL ratio, glycohemoglobin, C-reactive protein, and triglycerides than did those who did not cycle. They also had higher aerobic fitness and lower BMI and waist circumference than those who reported cycling less than an hour a week. INTERPRETATION Cycling at least an hour a week is associated with improved fitness and reduced cardiovascular disease risk factors. Both utilitarian walking and cycling may be means of increasing adults' moderate-to-vigorous physical activity.", "author" : [ { "dropping-particle" : "", "family" : "Larouche", "given" : "Richard", "non-dropping-particle" : "", "parse-names" : false, "suffix" : "" }, { "dropping-particle" : "", "family" : "Faulkner", "given" : "Guy", "non-dropping-particle" : "", "parse-names" : false, "suffix" : "" }, { "dropping-particle" : "", "family" : "Tremblay", "given" : "Mark S", "non-dropping-particle" : "", "parse-names" : false, "suffix" : "" } ], "container-title" : "Health reports", "id" : "ITEM-5", "issue" : "4", "issued" : { "date-parts" : [ [ "2016", "4" ] ] }, "page" : "10-8", "title" : "Active travel and adults' health: The 2007-to-2011 Canadian Health Measures Surveys.", "type" : "article-journal", "volume" : "27" }, "uris" : [ "http://www.mendeley.com/documents/?uuid=070418c1-8f41-3a48-b8e6-6c61300966c8" ] }, { "id" : "ITEM-6", "itemData" : { "DOI" : "10.3390/ijerph13050455", "ISSN" : "1660-4601", "abstract" : "Active traveling to a daily occupation means that an individual uses an active way of traveling between two destinations. Active travel to work or other daily occupations offers a convenient way to increase physical activity levels which is known to have positive effects on several health outcomes. Frequently used concepts in city planning and regional planning today are to create environments for active commuting and active living. Even then, little research has focused on traveling modes and subjective health outcomes such as self-rated health (SRH). This study aimed to explore and investigate associations between travel mode and health-related outcomes, such as self-rated health (SRH), body mass index (BMI) and overall physical activity, in an adult population in Sweden. A cross-sectional study was conducted in a randomly selected population-based sample (n = 1786, age 45\u201375 years); the respondents completed a questionnaire about their regular travel mode, demographics, lifestyle, BMI and SRH. Chi-square tests and logistic regressions found that inactive traveling was associated with poor SRH, a greater risk of obesity or being overweight and overall physical inactivity. In addition, lifestyle factors, such as choice of food and smoking habits, were associated with SRH, BMI and overall physical activity.", "author" : [ { "dropping-particle" : "", "family" : "Berglund", "given" : "Erik", "non-dropping-particle" : "", "parse-names" : false, "suffix" : "" }, { "dropping-particle" : "", "family" : "Lytsy", "given" : "Per", "non-dropping-particle" : "", "parse-names" : false, "suffix" : "" }, { "dropping-particle" : "", "family" : "Westerling", "given" : "Ragnar", "non-dropping-particle" : "", "parse-names" : false, "suffix" : "" } ], "container-title" : "International Journal of Environmental Research and Public Health", "id" : "ITEM-6", "issue" : "5", "issued" : { "date-parts" : [ [ "2016", "4", "28" ] ] }, "page" : "455", "publisher" : "Multidisciplinary Digital Publishing Institute", "title" : "Active Traveling and Its Associations with Self-Rated Health, BMI and Physical Activity: A Comparative Study in the Adult Swedish Population", "type" : "article-journal", "volume" : "13" }, "uris" : [ "http://www.mendeley.com/documents/?uuid=cb7ac5d2-9957-3c8f-97ec-ac03f0501cd7" ] }, { "id" : "ITEM-7", "itemData" : { "DOI" : "10.1016/j.amepre.2013.04.012", "ISSN" : "1873-2607", "PMID" : "23953354", "abstract" : "BACKGROUND: Increasing active travel (walking, cycling, public transport) is increasingly seen as integral to strategies to raise physical activity levels. PURPOSE: This study examined (1) sociodemographic correlates of active travel to work and (2) associations between active travel and cardiovascular risk factors in the United Kingdom (UK). METHODS: Data come from Understanding Society, a nationally representative survey of UK residents in 2009/2011, analyzed in 2012. Multinomial logistic regression assessed associations between sociodemographic factors and mode of transport to work. Linear and logistic regression was used to examine associations between mode of travel and overweight/obesity, and having hypertension or diabetes. RESULTS: A total of 69% of participants traveled to work using private transport, with public transport, walking, and cycling used by 16%, 12%, and 3%, respectively. Use of any active travel was more likely in participants living in London. Black participants were more likely to walk (AOR=1.41, 95% CI=1.08, 1.84) or take public transport (AOR=2.34, 95% CI=1.88, 2.90) to work than whites. Using public transport, walking, or cycling to work was associated with a lower likelihood of being overweight (AOR=0.80, 95% CI=0.54, 0.88 for walking). Walking or cycling was associated with a lower likelihood of having diabetes, and walking was associated with a lower likelihood of having hypertension than private transport (AOR=0.83, 95% CI=0.71, 0.97). CONCLUSIONS: There are wide variations in the mode of travel to work across regions and sociodemographic groups in the UK. The protective association between active travel and cardiovascular risk demonstrated in this nationally representative study adds to growing evidence that concerted policy focus in this area may benefit population health.", "author" : [ { "dropping-particle" : "", "family" : "Laverty", "given" : "Anthony A", "non-dropping-particle" : "", "parse-names" : false, "suffix" : "" }, { "dropping-particle" : "", "family" : "Mindell", "given" : "Jennifer S", "non-dropping-particle" : "", "parse-names" : false, "suffix" : "" }, { "dropping-particle" : "", "family" : "Webb", "given" : "Elizabeth A", "non-dropping-particle" : "", "parse-names" : false, "suffix" : "" }, { "dropping-particle" : "", "family" : "Millett", "given" : "Christopher", "non-dropping-particle" : "", "parse-names" : false, "suffix" : "" } ], "container-title" : "American journal of preventive medicine", "id" : "ITEM-7", "issue" : "3", "issued" : { "date-parts" : [ [ "2013", "9" ] ] }, "note" : "From Duplicate 1 (Active travel to work and cardiovascular risk factors in the United Kingdom. - Laverty, Anthony A; Mindell, Jennifer S; Webb, Elizabeth A; Millett, Christopher)\n\nW+c split", "page" : "282-8", "title" : "Active travel to work and cardiovascular risk factors in the United Kingdom.", "type" : "article-journal", "volume" : "45" }, "uris" : [ "http://www.mendeley.com/documents/?uuid=de4e6781-17c6-4a1a-9631-32286ada1421" ] }, { "id" : "ITEM-8", "itemData" : { "DOI" : "10.1001/archinternmed.2009.163", "ISBN" : "1538-3679 (Electronic)\n0003-9926 (Linking)", "PMID" : "19597071", "abstract" : "BACKGROUND: There is little research on the association of lifestyle exercise, such as active commuting (walking or biking to work), with obesity, fitness, and cardiovascular disease (CVD) risk factors. METHODS: This cross-sectional study included 2364 participants enrolled in the Coronary Artery Risk Development in Young Adults (CARDIA) study who worked outside the home during year 20 of the study (2005-2006). Associations between walking or biking to work (self-reported time, distance, and mode of commuting) with body weight (measured height and weight); obesity (body mass index [BMI], calculated as weight in kilograms divided by height in meters squared, &gt;or= 30); fitness (symptom-limited exercise stress testing); objective moderate-vigorous physical activity (accelerometry); CVD risk factors (blood pressure [oscillometric systolic and diastolic]); and serum measures (fasting measures of lipid, glucose, and insulin levels) were separately assessed by sex-stratified multivariable linear (or logistic) regression modeling. RESULTS: A total of 16.7% of participants used any means of active commuting to work. Controlling for age, race, income, education, smoking, examination center, and physical activity index excluding walking, men with any active commuting (vs none) had reduced likelihood of obesity (odds ratio [OR], 0.50; 95% confidence interval [CI], 0.33-0.76), reduced CVD risk: ratio of geometric mean triglyceride levels (trig(active))/(trig(nonactive)) = 0.88 (95% CI, 0.80 to 0.98); ratio of geometric mean fasting insulin (FI(active))/(FI(nonactive)) = 0.86 (95% CI, 0.78 to 0.93); difference in mean diastolic blood pressure (millimeters of mercury) (DBP(active)) - (DBP(nonactive)) = -1.67 (95% CI, -3.20 to -0.15); and higher fitness: mean difference in treadmill test duration (in seconds) in men (TT(active)) - (TT(nonactive)) = 50.0 (95% CI, 31.45 to 68.59) and women (TT(active)) - (TT(nonactive)) = 28.77 (95% CI, 11.61 to 45.92). CONCLUSIONS: Active commuting was positively associated with fitness in men and women and inversely associated with BMI, obesity, triglyceride levels, blood pressure, and insulin level in men. Active commuting should be investigated as a modality for maintaining or improving health.", "author" : [ { "dropping-particle" : "", "family" : "Gordon-Larsen", "given" : "P", "non-dropping-particle" : "", "parse-names" : false, "suffix" : "" }, { "dropping-particle" : "", "family" : "Boone-Heinonen", "given" : "J", "non-dropping-particle" : "", "parse-names" : false, "suffix" : "" }, { "dropping-particle" : "", "family" : "Sidney", "given" : "S", "non-dropping-particle" : "", "parse-names" : false, "suffix" : "" }, { "dropping-particle" : "", "family" : "Sternfeld", "given" : "B", "non-dropping-particle" : "", "parse-names" : false, "suffix" : "" }, { "dropping-particle" : "", "family" : "Jacobs  Jr.", "given" : "D R", "non-dropping-particle" : "", "parse-names" : false, "suffix" : "" }, { "dropping-particle" : "", "family" : "Lewis", "given" : "C E", "non-dropping-particle" : "", "parse-names" : false, "suffix" : "" } ], "container-title" : "Arch Intern Med", "edition" : "2009/07/15", "id" : "ITEM-8", "issue" : "13", "issued" : { "date-parts" : [ [ "2009" ] ] }, "language" : "eng", "note" : "Gordon-Larsen, Penny\nBoone-Heinonen, Janne\nSidney, Steve\nSternfeld, Barbara\nJacobs, David R Jr\nLewis, Cora E\nDK56350/DK/NIDDK NIH HHS/\nK01 HD044263-05/HD/NICHD NIH HHS/\nK01-HD044263/HD/NICHD NIH HHS/\nN01 HC005187/HC/NHLBI NIH HHS/\nN01 HC048047/HC/NHLBI NIH HHS/\nN01 HC048048/HC/NHLBI NIH HHS/\nN01 HC048049/HC/NHLBI NIH HHS/\nN01 HC048050/HC/NHLBI NIH HHS/\nN01 HC095095/HC/NHLBI NIH HHS/\nN01-HC-05187/HC/NHLBI NIH HHS/\nN01-HC-48047/HC/NHLBI NIH HHS/\nN01-HC-48048/HC/NHLBI NIH HHS/\nN01-HC-48049/HC/NHLBI NIH HHS/\nN01-HC-48050/HC/NHLBI NIH HHS/\nN01-HC-95095/HC/NHLBI NIH HHS/\nP30 DK056350-08S1/DK/NIDDK NIH HHS/\nP30 ES010126-01A1/ES/NIEHS NIH HHS/\nP30-ES10126/ES/NIEHS NIH HHS/\nR01 CA109831/CA/NCI NIH HHS/\nR01 CA109831-05/CA/NCI NIH HHS/\nR01 CA12115/CA/NCI NIH HHS/\nR01 CA121152-04/CA/NCI NIH HHS/\nR01 HL078972/HL/NHLBI NIH HHS/\nR01 HL078972-04/HL/NHLBI NIH HHS/\nArch Intern Med. 2009 Jul 13;169(13):1216-23.", "page" : "1216-1223", "title" : "Active commuting and cardiovascular disease risk: the CARDIA study", "type" : "article-journal", "volume" : "169" }, "uris" : [ "http://www.mendeley.com/documents/?uuid=ddc63179-44fa-4361-9f4b-a690b96e1262" ] } ], "mendeley" : { "formattedCitation" : "(Berglund et al., 2016; Gordon-Larsen et al., 2009; Larouche et al., 2016; Laverty et al., 2013; Lindstr\u00f6m, 2008; Martin et al., 2015; Mytton et al., 2016; Wojan et al., 2015)", "plainTextFormattedCitation" : "(Berglund et al., 2016; Gordon-Larsen et al., 2009; Larouche et al., 2016; Laverty et al., 2013; Lindstr\u00f6m, 2008; Martin et al., 2015; Mytton et al., 2016; Wojan et al., 2015)", "previouslyFormattedCitation" : "(Berglund et al., 2016; Gordon-Larsen et al., 2009; Larouche et al., 2016; Laverty et al., 2013; Lindstr\u00f6m, 2008; Martin et al., 2015; Mytton et al., 2016; Wojan et al., 2015)" }, "properties" : { "noteIndex" : 0 }, "schema" : "https://github.com/citation-style-language/schema/raw/master/csl-citation.json" }</w:instrText>
      </w:r>
      <w:r w:rsidR="00901B9A">
        <w:rPr>
          <w:rFonts w:cs="Arial"/>
          <w:color w:val="2E2E2E"/>
        </w:rPr>
        <w:fldChar w:fldCharType="separate"/>
      </w:r>
      <w:r w:rsidR="00B71669" w:rsidRPr="00B71669">
        <w:rPr>
          <w:rFonts w:cs="Arial"/>
          <w:noProof/>
          <w:color w:val="2E2E2E"/>
        </w:rPr>
        <w:t>(Berglund et al., 2016; Gordon-Larsen et al., 2009; Larouche et al., 2016; Laverty et al., 2013; Lindström, 2008; Martin et al., 2015; Mytton et al., 2016; Wojan et al., 2015)</w:t>
      </w:r>
      <w:r w:rsidR="00901B9A">
        <w:rPr>
          <w:rFonts w:cs="Arial"/>
          <w:color w:val="2E2E2E"/>
        </w:rPr>
        <w:fldChar w:fldCharType="end"/>
      </w:r>
      <w:r w:rsidR="00286C4B">
        <w:rPr>
          <w:rFonts w:cs="Arial"/>
          <w:color w:val="2E2E2E"/>
        </w:rPr>
        <w:t>,</w:t>
      </w:r>
      <w:r w:rsidR="003C7FB2">
        <w:rPr>
          <w:rFonts w:cs="Arial"/>
          <w:color w:val="2E2E2E"/>
        </w:rPr>
        <w:t xml:space="preserve"> </w:t>
      </w:r>
      <w:r w:rsidR="009B2D5C">
        <w:rPr>
          <w:rFonts w:cs="Arial"/>
          <w:color w:val="2E2E2E"/>
        </w:rPr>
        <w:t>characterised</w:t>
      </w:r>
      <w:r w:rsidR="003C7FB2">
        <w:rPr>
          <w:rFonts w:cs="Arial"/>
          <w:color w:val="2E2E2E"/>
        </w:rPr>
        <w:t xml:space="preserve"> </w:t>
      </w:r>
      <w:r w:rsidR="009B2D5C">
        <w:rPr>
          <w:rFonts w:cs="Arial"/>
          <w:color w:val="2E2E2E"/>
        </w:rPr>
        <w:t>only</w:t>
      </w:r>
      <w:r w:rsidR="003C7FB2">
        <w:rPr>
          <w:rFonts w:cs="Arial"/>
          <w:color w:val="2E2E2E"/>
        </w:rPr>
        <w:t xml:space="preserve"> </w:t>
      </w:r>
      <w:r w:rsidR="009B2D5C">
        <w:rPr>
          <w:rFonts w:cs="Arial"/>
          <w:color w:val="2E2E2E"/>
        </w:rPr>
        <w:t>part</w:t>
      </w:r>
      <w:r w:rsidR="003C7FB2">
        <w:rPr>
          <w:rFonts w:cs="Arial"/>
          <w:color w:val="2E2E2E"/>
        </w:rPr>
        <w:t xml:space="preserve"> </w:t>
      </w:r>
      <w:r w:rsidR="009B2D5C">
        <w:rPr>
          <w:rFonts w:cs="Arial"/>
          <w:color w:val="2E2E2E"/>
        </w:rPr>
        <w:t>of</w:t>
      </w:r>
      <w:r w:rsidR="003C7FB2">
        <w:rPr>
          <w:rFonts w:cs="Arial"/>
          <w:color w:val="2E2E2E"/>
        </w:rPr>
        <w:t xml:space="preserve"> </w:t>
      </w:r>
      <w:r w:rsidR="009B2D5C">
        <w:rPr>
          <w:rFonts w:cs="Arial"/>
          <w:color w:val="2E2E2E"/>
        </w:rPr>
        <w:t>the</w:t>
      </w:r>
      <w:r w:rsidR="003C7FB2">
        <w:rPr>
          <w:rFonts w:cs="Arial"/>
          <w:color w:val="2E2E2E"/>
        </w:rPr>
        <w:t xml:space="preserve"> </w:t>
      </w:r>
      <w:r w:rsidR="009B2D5C">
        <w:rPr>
          <w:rFonts w:cs="Arial"/>
          <w:color w:val="2E2E2E"/>
        </w:rPr>
        <w:t>diet</w:t>
      </w:r>
      <w:r w:rsidR="003C7FB2">
        <w:rPr>
          <w:rFonts w:cs="Arial"/>
          <w:color w:val="2E2E2E"/>
        </w:rPr>
        <w:t xml:space="preserve"> </w:t>
      </w:r>
      <w:r w:rsidR="009B2D5C">
        <w:rPr>
          <w:rFonts w:cs="Arial"/>
          <w:color w:val="2E2E2E"/>
        </w:rPr>
        <w:t>(e.g.</w:t>
      </w:r>
      <w:r w:rsidR="003C7FB2">
        <w:rPr>
          <w:rFonts w:cs="Arial"/>
          <w:color w:val="2E2E2E"/>
        </w:rPr>
        <w:t xml:space="preserve"> </w:t>
      </w:r>
      <w:r w:rsidR="009B2D5C">
        <w:rPr>
          <w:rFonts w:cs="Arial"/>
          <w:color w:val="2E2E2E"/>
        </w:rPr>
        <w:t>fruit</w:t>
      </w:r>
      <w:r w:rsidR="003C7FB2">
        <w:rPr>
          <w:rFonts w:cs="Arial"/>
          <w:color w:val="2E2E2E"/>
        </w:rPr>
        <w:t xml:space="preserve"> </w:t>
      </w:r>
      <w:r w:rsidR="009B2D5C">
        <w:rPr>
          <w:rFonts w:cs="Arial"/>
          <w:color w:val="2E2E2E"/>
        </w:rPr>
        <w:t>and</w:t>
      </w:r>
      <w:r w:rsidR="003C7FB2">
        <w:rPr>
          <w:rFonts w:cs="Arial"/>
          <w:color w:val="2E2E2E"/>
        </w:rPr>
        <w:t xml:space="preserve"> </w:t>
      </w:r>
      <w:r w:rsidR="009B2D5C">
        <w:rPr>
          <w:rFonts w:cs="Arial"/>
          <w:color w:val="2E2E2E"/>
        </w:rPr>
        <w:t>vegetable</w:t>
      </w:r>
      <w:r w:rsidR="003C7FB2">
        <w:rPr>
          <w:rFonts w:cs="Arial"/>
          <w:color w:val="2E2E2E"/>
        </w:rPr>
        <w:t xml:space="preserve"> </w:t>
      </w:r>
      <w:r w:rsidR="009B2D5C">
        <w:rPr>
          <w:rFonts w:cs="Arial"/>
          <w:color w:val="2E2E2E"/>
        </w:rPr>
        <w:t>intake),</w:t>
      </w:r>
      <w:r w:rsidR="009B2D5C">
        <w:rPr>
          <w:rFonts w:cs="Arial"/>
          <w:color w:val="2E2E2E"/>
        </w:rPr>
        <w:fldChar w:fldCharType="begin" w:fldLock="1"/>
      </w:r>
      <w:r w:rsidR="000B07A6">
        <w:rPr>
          <w:rFonts w:cs="Arial"/>
          <w:color w:val="2E2E2E"/>
        </w:rPr>
        <w:instrText>ADDIN CSL_CITATION { "citationItems" : [ { "id" : "ITEM-1", "itemData" : { "DOI" : "10.1136/bmj.g4887", "ISSN" : "1756-1833", "abstract" : "Objective To determine if promotion of active modes of travel is an effective strategy for obesity prevention by assessing whether active commuting (walking or cycling for all or part of the journey to work) is independently associated with objectively assessed biological markers of obesity. Design Cross sectional study of data from the wave 2 Health Assessment subsample of Understanding Society, the UK Household Longitudinal Study (UKHLS). The exposure of interest, commuting mode, was self reported and categorised as three categories: private transport, public transport, and active transport. Participants The analytic samples (7534 for body mass index (BMI) analysis, 7424 for percentage body fat analysis) were drawn from the representative subsample of wave 2 respondents of UKHLS who provided health assessment data (n=15 777). Main outcome measures Body mass index (weight (kg)/height (m)2); percentage body fat (measured by electrical impedance). Results Results from multivariate linear regression analyses suggest that, compared with using private transport, commuting by public or active transport modes was significantly and independently predictive of lower BMI for both men and women. In fully adjusted models, men who commuted via public or active modes had BMI scores 1.10 (95% CI 0.53 to 1.67) and 0.97 (0.40 to 1.55) points lower, respectively, than those who used private transport. Women who commuted via public or active modes had BMI scores 0.72 (0.06 to 1.37) and 0.87 (0.36 to 0.87) points lower, respectively, than those using private transport. Results for percentage body fat were similar in terms of magnitude, significance, and direction of effects. Conclusions Men and women who commuted to work by active and public modes of transport had significantly lower BMI and percentage body fat than their counterparts who used private transport. These associations were not attenuated by adjustment for a range of hypothesised confounding factors.", "author" : [ { "dropping-particle" : "", "family" : "Flint", "given" : "E.", "non-dropping-particle" : "", "parse-names" : false, "suffix" : "" }, { "dropping-particle" : "", "family" : "Cummins", "given" : "S.", "non-dropping-particle" : "", "parse-names" : false, "suffix" : "" }, { "dropping-particle" : "", "family" : "Sacker", "given" : "A.", "non-dropping-particle" : "", "parse-names" : false, "suffix" : "" } ], "container-title" : "BMJ", "id" : "ITEM-1", "issue" : "aug19 13", "issued" : { "date-parts" : [ [ "2014", "8", "19" ] ] }, "page" : "g4887-g4887", "title" : "Associations between active commuting, body fat, and body mass index: population based, cross sectional study in the United Kingdom", "type" : "article-journal", "volume" : "349" }, "uris" : [ "http://www.mendeley.com/documents/?uuid=8787743b-b3b9-4811-8179-d88afe555721" ] }, { "id" : "ITEM-2", "itemData" : { "DOI" : "10.1186/s12966-015-0223-3", "ISSN" : "1479-5868", "PMID" : "25986001", "abstract" : "BACKGROUND: There is little published data on the potential health benefits of active travel in low and middle-income countries. This is despite increasing levels of adiposity being linked to increases in physical inactivity and non-communicable diseases. This study will examine: (1) socio-demographic correlates of using active travel (walking or cycling for transport) among older adults in six populous middle-income countries (2) whether use of active travel is associated with adiposity, systolic blood pressure and self-reported diabetes in these countries.\n\nMETHODS: Data are from the WHO Study on Global Ageing and Adult Health (SAGE) of China, India, Mexico, Ghana, Russia and South Africa with a total sample size of 40,477. Correlates of active travel (\u2265150\u00a0min/week) were examined using logistic regression. Logistic and linear regression analyses were used to examine health related outcomes according to three groups of active travel use per week.\n\nRESULTS: 46.4\u00a0% of the sample undertook \u2265150\u00a0min of active travel per week (range South Africa: 21.9\u00a0% Ghana: 57.8\u00a0%). In pooled analyses those in wealthier households were less likely to meet this level of active travel (Adjusted Risk Ratio (ARR) 0.77, 95\u00a0% Confidence Intervals 0.67; 0.88 wealthiest fifth vs. poorest). Older people and women were also less likely to use active travel for \u2265150\u00a0min per week (ARR 0.71, 0.62; 0.80 those aged 70+ years vs. 18-29 years old, ARR 0.82, 0.74; 0.91 women vs. men). In pooled fully adjusted analyses, high use of active travel was associated with lower risk of overweight (ARR 0.71, 0.59; 0.86), high waist-to-hip ratio (ARR 0.71, 0.61; 0.84) and lower BMI (-0.54\u00a0kg/m(2), -0.98;- 0.11). Moderate (31-209\u00a0min/week) and high use (\u2265210\u00a0min/week) of active travel was associated with lower waist circumference (-1.52\u00a0cm (-2.40; -0.65) and -2.16\u00a0cm (3.07; -1.26)), and lower systolic blood pressure (-1.63\u00a0mm/Hg (-3.19; -0.06) and -2.33\u00a0mm/Hg (-3.98; -0.69)).\n\nCONCLUSIONS: In middle-income countries use of active travel for \u2265150\u00a0min per week is more common in lower socio-economic groups and appears to confer similar health benefits to those identified in high-income settings. Efforts to increase active travel levels should be integral to strategies to maintain healthy weight and reduce disease burden in these settings.", "author" : [ { "dropping-particle" : "", "family" : "Laverty", "given" : "Anthony A", "non-dropping-particle" : "", "parse-names" : false, "suffix" : "" }, { "dropping-particle" : "", "family" : "Palladino", "given" : "Raffaele", "non-dropping-particle" : "", "parse-names" : false, "suffix" : "" }, { "dropping-particle" : "", "family" : "Lee", "given" : "John Tayu", "non-dropping-particle" : "", "parse-names" : false, "suffix" : "" }, { "dropping-particle" : "", "family" : "Millett", "given" : "Christopher", "non-dropping-particle" : "", "parse-names" : false, "suffix" : "" } ], "container-title" : "The international journal of behavioral nutrition and physical activity", "id" : "ITEM-2", "issue" : "1", "issued" : { "date-parts" : [ [ "2015", "5", "20" ] ] }, "note" : "w+C combined", "page" : "65", "title" : "Associations between active travel and weight, blood pressure and diabetes in six middle income countries: a cross-sectional study in older adults.", "type" : "article-journal", "volume" : "12" }, "uris" : [ "http://www.mendeley.com/documents/?uuid=47edd7ae-8998-4388-8291-d32c785aada6" ] }, { "id" : "ITEM-3", "itemData" : { "DOI" : "10.1371/journal.pmed.1001459", "ISSN" : "1549-1676", "PMID" : "23776412", "abstract" : "BACKGROUND: Increasing active travel (walking, bicycling, and public transport) is promoted as a key strategy to increase physical activity and reduce the growing burden of noncommunicable diseases (NCDs) globally. Little is known about patterns of active travel or associated cardiovascular health benefits in low- and middle-income countries. This study examines mode and duration of travel to work in rural and urban India and associations between active travel and overweight, hypertension, and diabetes. METHODS AND FINDINGS: Cross-sectional study of 3,902 participants (1,366 rural, 2,536 urban) in the Indian Migration Study. Associations between mode and duration of active travel and cardiovascular risk factors were assessed using random-effect logistic regression models adjusting for age, sex, caste, standard of living, occupation, factory location, leisure time physical activity, daily fat intake, smoking status, and alcohol use. Rural dwellers were significantly more likely to bicycle (68.3% versus 15.9%; p&lt;0.001) to work than urban dwellers. The prevalence of overweight or obesity was 50.0%, 37.6%, 24.2%, 24.9%; hypertension was 17.7%, 11.8%, 6.5%, 9.8%; and diabetes was 10.8%, 7.4%, 3.8%, 7.3% in participants who travelled to work by private transport, public transport, bicycling, and walking, respectively. In the adjusted analysis, those walking (adjusted risk ratio [ARR] 0.72; 95% CI 0.58-0.88) or bicycling to work (ARR 0.66; 95% CI 0.55-0.77) were significantly less likely to be overweight or obese than those travelling by private transport. Those bicycling to work were significantly less likely to have hypertension (ARR 0.51; 95% CI 0.36-0.71) or diabetes (ARR 0.65; 95% CI 0.44-0.95). There was evidence of a dose-response relationship between duration of bicycling to work and being overweight, having hypertension or diabetes. The main limitation of the study is the cross-sectional design, which limits causal inference for the associations found. CONCLUSIONS: Walking and bicycling to work was associated with reduced cardiovascular risk in the Indian population. Efforts to increase active travel in urban areas and halt declines in rural areas should be integral to strategies to maintain healthy weight and prevent NCDs in India. Please see later in the article for the Editors' Summary.", "author" : [ { "dropping-particle" : "", "family" : "Millett", "given" : "Christopher", "non-dropping-particle" : "", "parse-names" : false, "suffix" : "" }, { "dropping-particle" : "", "family" : "Agrawal", "given" : "Sutapa", "non-dropping-particle" : "", "parse-names" : false, "suffix" : "" }, { "dropping-particle" : "", "family" : "Sullivan", "given" : "Ruth", "non-dropping-particle" : "", "parse-names" : false, "suffix" : "" }, { "dropping-particle" : "", "family" : "Vaz", "given" : "Mario", "non-dropping-particle" : "", "parse-names" : false, "suffix" : "" }, { "dropping-particle" : "", "family" : "Kurpad", "given" : "Anura", "non-dropping-particle" : "", "parse-names" : false, "suffix" : "" }, { "dropping-particle" : "V.", "family" : "Bharathi", "given" : "A.", "non-dropping-particle" : "", "parse-names" : false, "suffix" : "" }, { "dropping-particle" : "", "family" : "Prabhakaran", "given" : "Dorairaj", "non-dropping-particle" : "", "parse-names" : false, "suffix" : "" }, { "dropping-particle" : "", "family" : "Reddy", "given" : "KSPD Kolli Srinath", "non-dropping-particle" : "", "parse-names" : false, "suffix" : "" }, { "dropping-particle" : "", "family" : "Kinra", "given" : "Sanjay", "non-dropping-particle" : "", "parse-names" : false, "suffix" : "" }, { "dropping-particle" : "", "family" : "Smith", "given" : "GD George Davey", "non-dropping-particle" : "", "parse-names" : false, "suffix" : "" }, { "dropping-particle" : "", "family" : "Ebrahim", "given" : "Shah", "non-dropping-particle" : "", "parse-names" : false, "suffix" : "" }, { "dropping-particle" : "", "family" : "Group", "given" : "for the Indian Migration Study", "non-dropping-particle" : "", "parse-names" : false, "suffix" : "" } ], "container-title" : "PLoS medicine", "editor" : [ { "dropping-particle" : "", "family" : "Bhalla", "given" : "Kavi", "non-dropping-particle" : "", "parse-names" : false, "suffix" : "" } ], "id" : "ITEM-3", "issue" : "6", "issued" : { "date-parts" : [ [ "2013", "1", "11" ] ] }, "note" : "From Duplicate 2 (Associations between active travel to work and overweight, hypertension, and diabetes in India: a cross-sectional study. - Millett, Christopher; Agrawal, Sutapa; Sullivan, Ruth; Vaz, Mario; Kurpad, Anura; Bharathi, A V; Prabhakaran, Dorairaj; Reddy, Kolli Srinath; Kinra, Sanjay; Smith, George Davey; Ebrahim, Shah)\n\nseparate estimates for w+C", "page" : "e1001459", "publisher" : "Public Library of Science", "title" : "Associations between active travel to work and overweight, hypertension, and diabetes in India: a cross-sectional study.", "type" : "article-journal", "volume" : "10" }, "uris" : [ "http://www.mendeley.com/documents/?uuid=246315b3-3a61-4417-8831-b4fc4fbf04a3" ] }, { "id" : "ITEM-4", "itemData" : { "DOI" : "10.1186/s12889-015-2411-0", "ISSN" : "1471-2458", "PMID" : "26498367", "abstract" : "BACKGROUND Data on use and health benefits of active travel in rural low- and middle- income country settings are sparse. We aimed to examine correlates of active travel, and its association with adiposity, in rural India and Bangladesh. METHODS Cross sectional study of 2,122 adults (\u226518 years) sampled in 2011-13 from two rural sites in India (Goa and Chennai) and one in Bangladesh (Matlab). Logistic regression was used to examine whether \u2265150 min/week of active travel was associated with socio-demographic indices, smoking, oil/butter consumption, and additional physical activity. Adjusting for these same factors, associations between active travel and BMI, waist circumference and waist-to-hip ratio were examined using linear and logistic regression. RESULTS Forty-six percent of the sample achieved recommended levels of physical activity (\u2265150 min/week) through active travel alone (range: 33.1 % in Matlab to 54.8 % in Goa). This was more frequent among smokers (adjusted odds ratio 1.36, 95 % confidence interval 1.07-1.72; p\u2009=\u20090.011) and those that spent \u2265150 min/week in work-based physical activity (OR 1.71, 1.35-2.16; p\u2009&lt;\u20090.001), but less frequent among females than males (OR 0.25, 0.20-0.31; p\u2009&lt;\u20090.001). In fully adjusted analyses, \u2265150 min/week of active travel was associated with lower BMI (adjusted coefficient -0.39 kg/m(2), -0.77 to -0.02; p\u2009=\u20090.037) and a lower likelihood of high waist circumference (OR 0.77, 0.63-0.96; p\u2009=\u20090.018) and high waist-to-hip ratio (OR 0.72, 0.58-0.89; p\u2009=\u20090.002). CONCLUSIONS Use of active travel for \u2265150 min/week was associated with being male, smoking, and higher levels of work-based physical activity. It was associated with lower BMI, and lower risk of a high waist circumference or high waist-to-hip ratio. Promotion of active travel is an important component of strategies to address the growing prevalence of overweight in rural low- and middle- income country settings.", "author" : [ { "dropping-particle" : "", "family" : "McKay", "given" : "Ailsa J", "non-dropping-particle" : "", "parse-names" : false, "suffix" : "" }, { "dropping-particle" : "", "family" : "Laverty", "given" : "Anthony A", "non-dropping-particle" : "", "parse-names" : false, "suffix" : "" }, { "dropping-particle" : "", "family" : "Shridhar", "given" : "Krithiga", "non-dropping-particle" : "", "parse-names" : false, "suffix" : "" }, { "dropping-particle" : "", "family" : "Alam", "given" : "Dewan", "non-dropping-particle" : "", "parse-names" : false, "suffix" : "" }, { "dropping-particle" : "", "family" : "Dias", "given" : "Amit", "non-dropping-particle" : "", "parse-names" : false, "suffix" : "" }, { "dropping-particle" : "", "family" : "Williams", "given" : "Joseph", "non-dropping-particle" : "", "parse-names" : false, "suffix" : "" }, { "dropping-particle" : "", "family" : "Millett", "given" : "Christopher", "non-dropping-particle" : "", "parse-names" : false, "suffix" : "" }, { "dropping-particle" : "", "family" : "Ebrahim", "given" : "Shah", "non-dropping-particle" : "", "parse-names" : false, "suffix" : "" }, { "dropping-particle" : "", "family" : "Dhillon", "given" : "Preet K", "non-dropping-particle" : "", "parse-names" : false, "suffix" : "" } ], "container-title" : "BMC public health", "id" : "ITEM-4", "issued" : { "date-parts" : [ [ "2015" ] ] }, "page" : "1087", "title" : "Associations between active travel and adiposity in rural India and Bangladesh: a cross-sectional study.", "type" : "article-journal", "volume" : "15" }, "uris" : [ "http://www.mendeley.com/documents/?uuid=09987ac4-12b6-3462-a026-3bd9ac43730c" ] }, { "id" : "ITEM-5", "itemData" : { "DOI" : "10.1111/1753-6405.12097", "ISSN" : "1753-6405", "PMID" : "24494941", "abstract" : "OBJECTIVE: This study describes the prevalence of walking and cycling to work in New South Wales (NSW) from 2005-2010. It examines the demographic characteristics of those people walking and cycling to work and the association of walking and cycling with body mass index (BMI).\n\nMETHODS: Data from the NSW Continuous Health Survey, a telephone survey of health indicators among a representative sample of residents aged 16 years or over, were used.\n\nRESULTS: There were no changes in the proportions of employed respondents walking or cycling to work in NSW from 2005 to 2010, with estimates ranging from 5.1-7.3% usually walking, and 1.4-1.8% usually cycling. People who walked (adjusted odds ratio [AOR]=1.07, 95%CI 1.00-1.14) or cycled (AOR=1.22, 95%CI 1.14-1.32) to work had higher levels of education, after adjusting for age, sex, income and residence.\n\nCONCLUSIONS: There has been no overall increase in active commuting in NSW (2005-2010). Better efforts to communicate the benefits of active travel and less sedentary travel are warranted, in particular among those with lower levels of education.\n\nIMPLICATIONS: More interventions are needed to encourage walking and cycling to work, in order to gain significant benefits in terms of maintaining a healthy weight.", "author" : [ { "dropping-particle" : "", "family" : "Rissel", "given" : "Chris", "non-dropping-particle" : "", "parse-names" : false, "suffix" : "" }, { "dropping-particle" : "", "family" : "Greenaway", "given" : "Mark", "non-dropping-particle" : "", "parse-names" : false, "suffix" : "" }, { "dropping-particle" : "", "family" : "Bauman", "given" : "Adrian", "non-dropping-particle" : "", "parse-names" : false, "suffix" : "" }, { "dropping-particle" : "", "family" : "Wen", "given" : "Li Ming", "non-dropping-particle" : "", "parse-names" : false, "suffix" : "" } ], "container-title" : "Australian and New Zealand journal of public health", "id" : "ITEM-5", "issue" : "1", "issued" : { "date-parts" : [ [ "2014", "3" ] ] }, "page" : "25-9", "title" : "Active travel to work in New South Wales 2005-2010, individual characteristics and association with body mass index.", "type" : "article-journal", "volume" : "38" }, "uris" : [ "http://www.mendeley.com/documents/?uuid=af082963-ce36-4001-b868-7fdc9b7631f1" ] } ], "mendeley" : { "formattedCitation" : "(Flint et al., 2014; Laverty et al., 2015; McKay et al., 2015; Millett et al., 2013; Rissel et al., 2014)", "plainTextFormattedCitation" : "(Flint et al., 2014; Laverty et al., 2015; McKay et al., 2015; Millett et al., 2013; Rissel et al., 2014)", "previouslyFormattedCitation" : "(Flint et al., 2014; Laverty et al., 2015; McKay et al., 2015; Millett et al., 2013; Rissel et al., 2014)" }, "properties" : { "noteIndex" : 0 }, "schema" : "https://github.com/citation-style-language/schema/raw/master/csl-citation.json" }</w:instrText>
      </w:r>
      <w:r w:rsidR="009B2D5C">
        <w:rPr>
          <w:rFonts w:cs="Arial"/>
          <w:color w:val="2E2E2E"/>
        </w:rPr>
        <w:fldChar w:fldCharType="separate"/>
      </w:r>
      <w:r w:rsidR="00B71669" w:rsidRPr="00B71669">
        <w:rPr>
          <w:rFonts w:cs="Arial"/>
          <w:noProof/>
          <w:color w:val="2E2E2E"/>
        </w:rPr>
        <w:t>(Flint et al., 2014; Laverty et al., 2015; McKay et al., 2015; Millett et al., 2013; Rissel et al., 2014)</w:t>
      </w:r>
      <w:r w:rsidR="009B2D5C">
        <w:rPr>
          <w:rFonts w:cs="Arial"/>
          <w:color w:val="2E2E2E"/>
        </w:rPr>
        <w:fldChar w:fldCharType="end"/>
      </w:r>
      <w:r w:rsidR="003C7FB2">
        <w:rPr>
          <w:rFonts w:cs="Arial"/>
          <w:color w:val="2E2E2E"/>
        </w:rPr>
        <w:t xml:space="preserve"> </w:t>
      </w:r>
      <w:r w:rsidR="009B2D5C">
        <w:rPr>
          <w:rFonts w:cs="Arial"/>
          <w:color w:val="2E2E2E"/>
        </w:rPr>
        <w:t>or</w:t>
      </w:r>
      <w:r w:rsidR="003C7FB2">
        <w:rPr>
          <w:rFonts w:cs="Arial"/>
          <w:color w:val="2E2E2E"/>
        </w:rPr>
        <w:t xml:space="preserve"> </w:t>
      </w:r>
      <w:r w:rsidR="002D396F">
        <w:rPr>
          <w:rFonts w:cs="Arial"/>
          <w:color w:val="2E2E2E"/>
        </w:rPr>
        <w:t>used</w:t>
      </w:r>
      <w:r w:rsidR="003C7FB2">
        <w:rPr>
          <w:rFonts w:cs="Arial"/>
          <w:color w:val="2E2E2E"/>
        </w:rPr>
        <w:t xml:space="preserve"> </w:t>
      </w:r>
      <w:r w:rsidR="00901B9A">
        <w:rPr>
          <w:rFonts w:cs="Arial"/>
          <w:color w:val="2E2E2E"/>
        </w:rPr>
        <w:t>measures</w:t>
      </w:r>
      <w:r w:rsidR="003C7FB2">
        <w:rPr>
          <w:rFonts w:cs="Arial"/>
          <w:color w:val="2E2E2E"/>
        </w:rPr>
        <w:t xml:space="preserve"> </w:t>
      </w:r>
      <w:r w:rsidR="002D396F">
        <w:rPr>
          <w:rFonts w:cs="Arial"/>
          <w:color w:val="2E2E2E"/>
        </w:rPr>
        <w:t>that</w:t>
      </w:r>
      <w:r w:rsidR="003C7FB2">
        <w:rPr>
          <w:rFonts w:cs="Arial"/>
          <w:color w:val="2E2E2E"/>
        </w:rPr>
        <w:t xml:space="preserve"> </w:t>
      </w:r>
      <w:r w:rsidR="00FB266B">
        <w:rPr>
          <w:rFonts w:cs="Arial"/>
          <w:color w:val="2E2E2E"/>
        </w:rPr>
        <w:t>may</w:t>
      </w:r>
      <w:r w:rsidR="003C7FB2">
        <w:rPr>
          <w:rFonts w:cs="Arial"/>
          <w:color w:val="2E2E2E"/>
        </w:rPr>
        <w:t xml:space="preserve"> </w:t>
      </w:r>
      <w:r w:rsidR="00FB266B">
        <w:rPr>
          <w:rFonts w:cs="Arial"/>
          <w:color w:val="2E2E2E"/>
        </w:rPr>
        <w:t>be</w:t>
      </w:r>
      <w:r w:rsidR="003C7FB2">
        <w:rPr>
          <w:rFonts w:cs="Arial"/>
          <w:color w:val="2E2E2E"/>
        </w:rPr>
        <w:t xml:space="preserve"> </w:t>
      </w:r>
      <w:r w:rsidR="00FB266B">
        <w:rPr>
          <w:rFonts w:cs="Arial"/>
          <w:color w:val="2E2E2E"/>
        </w:rPr>
        <w:t>less</w:t>
      </w:r>
      <w:r w:rsidR="003C7FB2">
        <w:rPr>
          <w:rFonts w:cs="Arial"/>
          <w:color w:val="2E2E2E"/>
        </w:rPr>
        <w:t xml:space="preserve"> </w:t>
      </w:r>
      <w:r w:rsidR="00FB266B">
        <w:rPr>
          <w:rFonts w:cs="Arial"/>
          <w:color w:val="2E2E2E"/>
        </w:rPr>
        <w:t>appropriate</w:t>
      </w:r>
      <w:r w:rsidR="003C7FB2">
        <w:rPr>
          <w:rFonts w:cs="Arial"/>
          <w:color w:val="2E2E2E"/>
        </w:rPr>
        <w:t xml:space="preserve"> </w:t>
      </w:r>
      <w:r w:rsidR="00FB266B">
        <w:t>(e.g.</w:t>
      </w:r>
      <w:r w:rsidR="003C7FB2">
        <w:t xml:space="preserve"> </w:t>
      </w:r>
      <w:r w:rsidR="00FB266B">
        <w:t>energy</w:t>
      </w:r>
      <w:r w:rsidR="003C7FB2">
        <w:t xml:space="preserve"> </w:t>
      </w:r>
      <w:r w:rsidR="00FB266B">
        <w:t>intake)</w:t>
      </w:r>
      <w:r w:rsidR="009B2D5C">
        <w:t>.</w:t>
      </w:r>
      <w:r w:rsidR="00FB266B">
        <w:fldChar w:fldCharType="begin" w:fldLock="1"/>
      </w:r>
      <w:r w:rsidR="000B07A6">
        <w:instrText>ADDIN CSL_CITATION { "citationItems" : [ { "id" : "ITEM-1", "itemData" : { "DOI" : "10.1016/S2213-8587(16)00053-X", "ISSN" : "22138587", "author" : [ { "dropping-particle" : "", "family" : "Flint", "given" : "Ellen", "non-dropping-particle" : "", "parse-names" : false, "suffix" : "" }, { "dropping-particle" : "", "family" : "Cummins", "given" : "Steven", "non-dropping-particle" : "", "parse-names" : false, "suffix" : "" } ], "container-title" : "The Lancet Diabetes &amp; Endocrinology", "id" : "ITEM-1", "issue" : "5", "issued" : { "date-parts" : [ [ "2016", "3" ] ] }, "language" : "English", "page" : "420-435", "publisher" : "Elsevier", "title" : "Active commuting and obesity in mid-life: cross-sectional, observational evidence from UK Biobank", "type" : "article-journal", "volume" : "4" }, "uris" : [ "http://www.mendeley.com/documents/?uuid=e7c9e359-019e-4cc3-a869-943a6411defd" ] } ], "mendeley" : { "formattedCitation" : "(Flint and Cummins, 2016)", "plainTextFormattedCitation" : "(Flint and Cummins, 2016)", "previouslyFormattedCitation" : "(Flint and Cummins, 2016)" }, "properties" : { "noteIndex" : 0 }, "schema" : "https://github.com/citation-style-language/schema/raw/master/csl-citation.json" }</w:instrText>
      </w:r>
      <w:r w:rsidR="00FB266B">
        <w:fldChar w:fldCharType="separate"/>
      </w:r>
      <w:r w:rsidR="00B71669" w:rsidRPr="00B71669">
        <w:rPr>
          <w:noProof/>
        </w:rPr>
        <w:t>(Flint and Cummins, 2016)</w:t>
      </w:r>
      <w:r w:rsidR="00FB266B">
        <w:fldChar w:fldCharType="end"/>
      </w:r>
      <w:r w:rsidR="003C7FB2">
        <w:t xml:space="preserve"> </w:t>
      </w:r>
      <w:r w:rsidR="00FB266B">
        <w:t>Dietary</w:t>
      </w:r>
      <w:r w:rsidR="003C7FB2">
        <w:t xml:space="preserve"> </w:t>
      </w:r>
      <w:r w:rsidR="00FB266B">
        <w:t>energy</w:t>
      </w:r>
      <w:r w:rsidR="003C7FB2">
        <w:t xml:space="preserve"> </w:t>
      </w:r>
      <w:r w:rsidR="00FB266B">
        <w:t>intake</w:t>
      </w:r>
      <w:r w:rsidR="003C7FB2">
        <w:t xml:space="preserve"> </w:t>
      </w:r>
      <w:r w:rsidR="00FB266B">
        <w:t>tends</w:t>
      </w:r>
      <w:r w:rsidR="003C7FB2">
        <w:t xml:space="preserve"> </w:t>
      </w:r>
      <w:r w:rsidR="00FB266B">
        <w:t>to</w:t>
      </w:r>
      <w:r w:rsidR="003C7FB2">
        <w:t xml:space="preserve"> </w:t>
      </w:r>
      <w:r w:rsidR="00FB266B">
        <w:t>be</w:t>
      </w:r>
      <w:r w:rsidR="003C7FB2">
        <w:t xml:space="preserve"> </w:t>
      </w:r>
      <w:r w:rsidR="00FB266B">
        <w:t>poorly</w:t>
      </w:r>
      <w:r w:rsidR="003C7FB2">
        <w:t xml:space="preserve"> </w:t>
      </w:r>
      <w:r w:rsidR="00FB266B">
        <w:t>measured</w:t>
      </w:r>
      <w:r w:rsidR="003C7FB2">
        <w:t xml:space="preserve"> </w:t>
      </w:r>
      <w:r w:rsidR="00FB266B">
        <w:t>and</w:t>
      </w:r>
      <w:r w:rsidR="003C7FB2">
        <w:t xml:space="preserve"> </w:t>
      </w:r>
      <w:r w:rsidR="00FB266B">
        <w:t>much</w:t>
      </w:r>
      <w:r w:rsidR="003C7FB2">
        <w:t xml:space="preserve"> </w:t>
      </w:r>
      <w:r w:rsidR="00FB266B">
        <w:t>of</w:t>
      </w:r>
      <w:r w:rsidR="003C7FB2">
        <w:t xml:space="preserve"> </w:t>
      </w:r>
      <w:r w:rsidR="00FB266B">
        <w:t>the</w:t>
      </w:r>
      <w:r w:rsidR="003C7FB2">
        <w:t xml:space="preserve"> </w:t>
      </w:r>
      <w:r w:rsidR="00FB266B">
        <w:t>intra-participant</w:t>
      </w:r>
      <w:r w:rsidR="003C7FB2">
        <w:t xml:space="preserve"> </w:t>
      </w:r>
      <w:r w:rsidR="00FB266B">
        <w:t>variation</w:t>
      </w:r>
      <w:r w:rsidR="003C7FB2">
        <w:t xml:space="preserve"> </w:t>
      </w:r>
      <w:r w:rsidR="00FB266B">
        <w:t>may</w:t>
      </w:r>
      <w:r w:rsidR="003C7FB2">
        <w:t xml:space="preserve"> </w:t>
      </w:r>
      <w:r w:rsidR="00FB266B">
        <w:t>be</w:t>
      </w:r>
      <w:r w:rsidR="003C7FB2">
        <w:t xml:space="preserve"> </w:t>
      </w:r>
      <w:r w:rsidR="00FB266B">
        <w:t>accounted</w:t>
      </w:r>
      <w:r w:rsidR="003C7FB2">
        <w:t xml:space="preserve"> </w:t>
      </w:r>
      <w:r w:rsidR="00FB266B">
        <w:t>for</w:t>
      </w:r>
      <w:r w:rsidR="003C7FB2">
        <w:t xml:space="preserve"> </w:t>
      </w:r>
      <w:r w:rsidR="00FB266B">
        <w:t>by</w:t>
      </w:r>
      <w:r w:rsidR="003C7FB2">
        <w:t xml:space="preserve"> </w:t>
      </w:r>
      <w:r w:rsidR="00FB266B">
        <w:t>differences</w:t>
      </w:r>
      <w:r w:rsidR="003C7FB2">
        <w:t xml:space="preserve"> </w:t>
      </w:r>
      <w:r w:rsidR="00FB266B">
        <w:t>in</w:t>
      </w:r>
      <w:r w:rsidR="003C7FB2">
        <w:t xml:space="preserve"> </w:t>
      </w:r>
      <w:r w:rsidR="00FB266B">
        <w:t>physical</w:t>
      </w:r>
      <w:r w:rsidR="003C7FB2">
        <w:t xml:space="preserve"> </w:t>
      </w:r>
      <w:r w:rsidR="00FB266B">
        <w:t>activity.</w:t>
      </w:r>
      <w:r w:rsidR="00FB266B">
        <w:fldChar w:fldCharType="begin" w:fldLock="1"/>
      </w:r>
      <w:r w:rsidR="000B07A6">
        <w:instrText>ADDIN CSL_CITATION { "citationItems" : [ { "id" : "ITEM-1", "itemData" : { "author" : [ { "dropping-particle" : "", "family" : "Willett", "given" : "Walter", "non-dropping-particle" : "", "parse-names" : false, "suffix" : "" }, { "dropping-particle" : "", "family" : "Stampfer", "given" : "Meir", "non-dropping-particle" : "", "parse-names" : false, "suffix" : "" } ], "chapter-number" : "Implicatio", "container-title" : "Nutritional Epidemiology", "edition" : "Second", "editor" : [ { "dropping-particle" : "", "family" : "Willet", "given" : "Walter", "non-dropping-particle" : "", "parse-names" : false, "suffix" : "" } ], "id" : "ITEM-1", "issued" : { "date-parts" : [ [ "1998" ] ] }, "page" : "274-276", "publisher" : "Oxford University Press", "publisher-place" : "Oxford", "title" : "Determinants of Between-Person Variation in Total Energy Intake", "type" : "chapter" }, "uris" : [ "http://www.mendeley.com/documents/?uuid=8e687ab2-6707-4f3f-8211-8a9a78f6d594" ] } ], "mendeley" : { "formattedCitation" : "(Willett and Stampfer, 1998)", "plainTextFormattedCitation" : "(Willett and Stampfer, 1998)", "previouslyFormattedCitation" : "(Willett and Stampfer, 1998)" }, "properties" : { "noteIndex" : 0 }, "schema" : "https://github.com/citation-style-language/schema/raw/master/csl-citation.json" }</w:instrText>
      </w:r>
      <w:r w:rsidR="00FB266B">
        <w:fldChar w:fldCharType="separate"/>
      </w:r>
      <w:r w:rsidR="00B71669" w:rsidRPr="00B71669">
        <w:rPr>
          <w:noProof/>
        </w:rPr>
        <w:t>(Willett and Stampfer, 1998)</w:t>
      </w:r>
      <w:r w:rsidR="00FB266B">
        <w:fldChar w:fldCharType="end"/>
      </w:r>
      <w:r w:rsidR="003C7FB2">
        <w:t xml:space="preserve"> </w:t>
      </w:r>
      <w:r w:rsidR="007653AA">
        <w:rPr>
          <w:rFonts w:cs="Arial"/>
          <w:color w:val="2E2E2E"/>
        </w:rPr>
        <w:t>While</w:t>
      </w:r>
      <w:r w:rsidR="003C7FB2">
        <w:rPr>
          <w:rFonts w:cs="Arial"/>
          <w:color w:val="2E2E2E"/>
        </w:rPr>
        <w:t xml:space="preserve"> </w:t>
      </w:r>
      <w:r w:rsidR="007653AA">
        <w:rPr>
          <w:rFonts w:cs="Arial"/>
          <w:color w:val="2E2E2E"/>
        </w:rPr>
        <w:t>several</w:t>
      </w:r>
      <w:r w:rsidR="003C7FB2">
        <w:rPr>
          <w:rFonts w:cs="Arial"/>
          <w:color w:val="2E2E2E"/>
        </w:rPr>
        <w:t xml:space="preserve"> </w:t>
      </w:r>
      <w:r w:rsidR="007653AA">
        <w:rPr>
          <w:rFonts w:cs="Arial"/>
          <w:color w:val="2E2E2E"/>
        </w:rPr>
        <w:t>studies</w:t>
      </w:r>
      <w:r w:rsidR="003C7FB2">
        <w:rPr>
          <w:rFonts w:cs="Arial"/>
          <w:color w:val="2E2E2E"/>
        </w:rPr>
        <w:t xml:space="preserve"> </w:t>
      </w:r>
      <w:r w:rsidR="007653AA">
        <w:rPr>
          <w:rFonts w:cs="Arial"/>
          <w:color w:val="2E2E2E"/>
        </w:rPr>
        <w:t>have</w:t>
      </w:r>
      <w:r w:rsidR="003C7FB2">
        <w:rPr>
          <w:rFonts w:cs="Arial"/>
          <w:color w:val="2E2E2E"/>
        </w:rPr>
        <w:t xml:space="preserve"> </w:t>
      </w:r>
      <w:r w:rsidR="007653AA">
        <w:rPr>
          <w:rFonts w:cs="Arial"/>
          <w:color w:val="2E2E2E"/>
        </w:rPr>
        <w:t>adjusted</w:t>
      </w:r>
      <w:r w:rsidR="003C7FB2">
        <w:rPr>
          <w:rFonts w:cs="Arial"/>
          <w:color w:val="2E2E2E"/>
        </w:rPr>
        <w:t xml:space="preserve"> </w:t>
      </w:r>
      <w:r w:rsidR="007653AA">
        <w:rPr>
          <w:rFonts w:cs="Arial"/>
          <w:color w:val="2E2E2E"/>
        </w:rPr>
        <w:t>for</w:t>
      </w:r>
      <w:r w:rsidR="003C7FB2">
        <w:rPr>
          <w:rFonts w:cs="Arial"/>
          <w:color w:val="2E2E2E"/>
        </w:rPr>
        <w:t xml:space="preserve"> </w:t>
      </w:r>
      <w:r w:rsidR="007653AA">
        <w:rPr>
          <w:rFonts w:cs="Arial"/>
          <w:color w:val="2E2E2E"/>
        </w:rPr>
        <w:t>leisure-time</w:t>
      </w:r>
      <w:r w:rsidR="003C7FB2">
        <w:rPr>
          <w:rFonts w:cs="Arial"/>
          <w:color w:val="2E2E2E"/>
        </w:rPr>
        <w:t xml:space="preserve"> </w:t>
      </w:r>
      <w:r w:rsidR="007653AA">
        <w:rPr>
          <w:rFonts w:cs="Arial"/>
          <w:color w:val="2E2E2E"/>
        </w:rPr>
        <w:t>physical</w:t>
      </w:r>
      <w:r w:rsidR="003C7FB2">
        <w:rPr>
          <w:rFonts w:cs="Arial"/>
          <w:color w:val="2E2E2E"/>
        </w:rPr>
        <w:t xml:space="preserve"> </w:t>
      </w:r>
      <w:r w:rsidR="007653AA">
        <w:rPr>
          <w:rFonts w:cs="Arial"/>
          <w:color w:val="2E2E2E"/>
        </w:rPr>
        <w:t>activity</w:t>
      </w:r>
      <w:r w:rsidR="007653AA">
        <w:rPr>
          <w:rFonts w:cs="Arial"/>
          <w:color w:val="2E2E2E"/>
        </w:rPr>
        <w:fldChar w:fldCharType="begin" w:fldLock="1"/>
      </w:r>
      <w:r w:rsidR="000B07A6">
        <w:rPr>
          <w:rFonts w:cs="Arial"/>
          <w:color w:val="2E2E2E"/>
        </w:rPr>
        <w:instrText>ADDIN CSL_CITATION { "citationItems" : [ { "id" : "ITEM-1", "itemData" : { "ISSN" : "1209-1367", "PMID" : "27096619", "abstract" : "BACKGROUND Active travel may be a means of integrating physical activity into an individual's routine. This analysis investigates the relationship between utilitarian walking and cycling and objectively measured physical activity and health-related outcomes in a nationally representative sample of Canadian adults. DATA AND METHODS Adults aged 20 to 79 who participated in the 2007-to-2011 Canadian Health Measures Surveys (N = 7,160) reported the weekly time spent in utilitarian walking and cycling and wore an Actical accelerometer for seven days. They underwent a series of tests to measure physical fitness, body composition, blood pressure, and biomarkers. Differences in physical activity and health-related outcomes across levels of utilitarian walking and cycling were assessed with ANCOVA analyses adjusted for age, sex, education, household income, self-reported usual daily physical activity, and the complex survey design. RESULTS Utilitarian walking and cycling were associated with moderate-to-vigorous physical activity in a graded manner. Compared with respondents who reported walking 1 to 5 hours a week, those who walked more than 5 hours a week had lower skinfold thickness. Respondents who reported cycling 1 or more hours a week had greater aerobic fitness and lower BMI, waist circumference, total cholesterol/HDL ratio, glycohemoglobin, C-reactive protein, and triglycerides than did those who did not cycle. They also had higher aerobic fitness and lower BMI and waist circumference than those who reported cycling less than an hour a week. INTERPRETATION Cycling at least an hour a week is associated with improved fitness and reduced cardiovascular disease risk factors. Both utilitarian walking and cycling may be means of increasing adults' moderate-to-vigorous physical activity.", "author" : [ { "dropping-particle" : "", "family" : "Larouche", "given" : "Richard", "non-dropping-particle" : "", "parse-names" : false, "suffix" : "" }, { "dropping-particle" : "", "family" : "Faulkner", "given" : "Guy", "non-dropping-particle" : "", "parse-names" : false, "suffix" : "" }, { "dropping-particle" : "", "family" : "Tremblay", "given" : "Mark S", "non-dropping-particle" : "", "parse-names" : false, "suffix" : "" } ], "container-title" : "Health reports", "id" : "ITEM-1", "issue" : "4", "issued" : { "date-parts" : [ [ "2016", "4" ] ] }, "page" : "10-8", "title" : "Active travel and adults' health: The 2007-to-2011 Canadian Health Measures Surveys.", "type" : "article-journal", "volume" : "27" }, "uris" : [ "http://www.mendeley.com/documents/?uuid=070418c1-8f41-3a48-b8e6-6c61300966c8" ] }, { "id" : "ITEM-2", "itemData" : { "DOI" : "10.1016/S2213-8587(16)00053-X", "ISSN" : "22138587", "author" : [ { "dropping-particle" : "", "family" : "Flint", "given" : "Ellen", "non-dropping-particle" : "", "parse-names" : false, "suffix" : "" }, { "dropping-particle" : "", "family" : "Cummins", "given" : "Steven", "non-dropping-particle" : "", "parse-names" : false, "suffix" : "" } ], "container-title" : "The Lancet Diabetes &amp; Endocrinology", "id" : "ITEM-2", "issue" : "5", "issued" : { "date-parts" : [ [ "2016", "3" ] ] }, "language" : "English", "page" : "420-435", "publisher" : "Elsevier", "title" : "Active commuting and obesity in mid-life: cross-sectional, observational evidence from UK Biobank", "type" : "article-journal", "volume" : "4" }, "uris" : [ "http://www.mendeley.com/documents/?uuid=e7c9e359-019e-4cc3-a869-943a6411defd" ] }, { "id" : "ITEM-3", "itemData" : { "DOI" : "10.1186/s12889-015-2411-0", "ISSN" : "1471-2458", "PMID" : "26498367", "abstract" : "BACKGROUND Data on use and health benefits of active travel in rural low- and middle- income country settings are sparse. We aimed to examine correlates of active travel, and its association with adiposity, in rural India and Bangladesh. METHODS Cross sectional study of 2,122 adults (\u226518 years) sampled in 2011-13 from two rural sites in India (Goa and Chennai) and one in Bangladesh (Matlab). Logistic regression was used to examine whether \u2265150 min/week of active travel was associated with socio-demographic indices, smoking, oil/butter consumption, and additional physical activity. Adjusting for these same factors, associations between active travel and BMI, waist circumference and waist-to-hip ratio were examined using linear and logistic regression. RESULTS Forty-six percent of the sample achieved recommended levels of physical activity (\u2265150 min/week) through active travel alone (range: 33.1 % in Matlab to 54.8 % in Goa). This was more frequent among smokers (adjusted odds ratio 1.36, 95 % confidence interval 1.07-1.72; p\u2009=\u20090.011) and those that spent \u2265150 min/week in work-based physical activity (OR 1.71, 1.35-2.16; p\u2009&lt;\u20090.001), but less frequent among females than males (OR 0.25, 0.20-0.31; p\u2009&lt;\u20090.001). In fully adjusted analyses, \u2265150 min/week of active travel was associated with lower BMI (adjusted coefficient -0.39 kg/m(2), -0.77 to -0.02; p\u2009=\u20090.037) and a lower likelihood of high waist circumference (OR 0.77, 0.63-0.96; p\u2009=\u20090.018) and high waist-to-hip ratio (OR 0.72, 0.58-0.89; p\u2009=\u20090.002). CONCLUSIONS Use of active travel for \u2265150 min/week was associated with being male, smoking, and higher levels of work-based physical activity. It was associated with lower BMI, and lower risk of a high waist circumference or high waist-to-hip ratio. Promotion of active travel is an important component of strategies to address the growing prevalence of overweight in rural low- and middle- income country settings.", "author" : [ { "dropping-particle" : "", "family" : "McKay", "given" : "Ailsa J", "non-dropping-particle" : "", "parse-names" : false, "suffix" : "" }, { "dropping-particle" : "", "family" : "Laverty", "given" : "Anthony A", "non-dropping-particle" : "", "parse-names" : false, "suffix" : "" }, { "dropping-particle" : "", "family" : "Shridhar", "given" : "Krithiga", "non-dropping-particle" : "", "parse-names" : false, "suffix" : "" }, { "dropping-particle" : "", "family" : "Alam", "given" : "Dewan", "non-dropping-particle" : "", "parse-names" : false, "suffix" : "" }, { "dropping-particle" : "", "family" : "Dias", "given" : "Amit", "non-dropping-particle" : "", "parse-names" : false, "suffix" : "" }, { "dropping-particle" : "", "family" : "Williams", "given" : "Joseph", "non-dropping-particle" : "", "parse-names" : false, "suffix" : "" }, { "dropping-particle" : "", "family" : "Millett", "given" : "Christopher", "non-dropping-particle" : "", "parse-names" : false, "suffix" : "" }, { "dropping-particle" : "", "family" : "Ebrahim", "given" : "Shah", "non-dropping-particle" : "", "parse-names" : false, "suffix" : "" }, { "dropping-particle" : "", "family" : "Dhillon", "given" : "Preet K", "non-dropping-particle" : "", "parse-names" : false, "suffix" : "" } ], "container-title" : "BMC public health", "id" : "ITEM-3", "issued" : { "date-parts" : [ [ "2015" ] ] }, "page" : "1087", "title" : "Associations between active travel and adiposity in rural India and Bangladesh: a cross-sectional study.", "type" : "article-journal", "volume" : "15" }, "uris" : [ "http://www.mendeley.com/documents/?uuid=09987ac4-12b6-3462-a026-3bd9ac43730c" ] }, { "id" : "ITEM-4", "itemData" : { "DOI" : "10.1136/bmj.g4887", "ISSN" : "1756-1833", "abstract" : "Objective To determine if promotion of active modes of travel is an effective strategy for obesity prevention by assessing whether active commuting (walking or cycling for all or part of the journey to work) is independently associated with objectively assessed biological markers of obesity. Design Cross sectional study of data from the wave 2 Health Assessment subsample of Understanding Society, the UK Household Longitudinal Study (UKHLS). The exposure of interest, commuting mode, was self reported and categorised as three categories: private transport, public transport, and active transport. Participants The analytic samples (7534 for body mass index (BMI) analysis, 7424 for percentage body fat analysis) were drawn from the representative subsample of wave 2 respondents of UKHLS who provided health assessment data (n=15 777). Main outcome measures Body mass index (weight (kg)/height (m)2); percentage body fat (measured by electrical impedance). Results Results from multivariate linear regression analyses suggest that, compared with using private transport, commuting by public or active transport modes was significantly and independently predictive of lower BMI for both men and women. In fully adjusted models, men who commuted via public or active modes had BMI scores 1.10 (95% CI 0.53 to 1.67) and 0.97 (0.40 to 1.55) points lower, respectively, than those who used private transport. Women who commuted via public or active modes had BMI scores 0.72 (0.06 to 1.37) and 0.87 (0.36 to 0.87) points lower, respectively, than those using private transport. Results for percentage body fat were similar in terms of magnitude, significance, and direction of effects. Conclusions Men and women who commuted to work by active and public modes of transport had significantly lower BMI and percentage body fat than their counterparts who used private transport. These associations were not attenuated by adjustment for a range of hypothesised confounding factors.", "author" : [ { "dropping-particle" : "", "family" : "Flint", "given" : "E.", "non-dropping-particle" : "", "parse-names" : false, "suffix" : "" }, { "dropping-particle" : "", "family" : "Cummins", "given" : "S.", "non-dropping-particle" : "", "parse-names" : false, "suffix" : "" }, { "dropping-particle" : "", "family" : "Sacker", "given" : "A.", "non-dropping-particle" : "", "parse-names" : false, "suffix" : "" } ], "container-title" : "BMJ", "id" : "ITEM-4", "issue" : "aug19 13", "issued" : { "date-parts" : [ [ "2014", "8", "19" ] ] }, "page" : "g4887-g4887", "title" : "Associations between active commuting, body fat, and body mass index: population based, cross sectional study in the United Kingdom", "type" : "article-journal", "volume" : "349" }, "uris" : [ "http://www.mendeley.com/documents/?uuid=8787743b-b3b9-4811-8179-d88afe555721" ] }, { "id" : "ITEM-5", "itemData" : { "DOI" : "10.1371/journal.pmed.1001459", "ISSN" : "1549-1676", "PMID" : "23776412", "abstract" : "BACKGROUND: Increasing active travel (walking, bicycling, and public transport) is promoted as a key strategy to increase physical activity and reduce the growing burden of noncommunicable diseases (NCDs) globally. Little is known about patterns of active travel or associated cardiovascular health benefits in low- and middle-income countries. This study examines mode and duration of travel to work in rural and urban India and associations between active travel and overweight, hypertension, and diabetes. METHODS AND FINDINGS: Cross-sectional study of 3,902 participants (1,366 rural, 2,536 urban) in the Indian Migration Study. Associations between mode and duration of active travel and cardiovascular risk factors were assessed using random-effect logistic regression models adjusting for age, sex, caste, standard of living, occupation, factory location, leisure time physical activity, daily fat intake, smoking status, and alcohol use. Rural dwellers were significantly more likely to bicycle (68.3% versus 15.9%; p&lt;0.001) to work than urban dwellers. The prevalence of overweight or obesity was 50.0%, 37.6%, 24.2%, 24.9%; hypertension was 17.7%, 11.8%, 6.5%, 9.8%; and diabetes was 10.8%, 7.4%, 3.8%, 7.3% in participants who travelled to work by private transport, public transport, bicycling, and walking, respectively. In the adjusted analysis, those walking (adjusted risk ratio [ARR] 0.72; 95% CI 0.58-0.88) or bicycling to work (ARR 0.66; 95% CI 0.55-0.77) were significantly less likely to be overweight or obese than those travelling by private transport. Those bicycling to work were significantly less likely to have hypertension (ARR 0.51; 95% CI 0.36-0.71) or diabetes (ARR 0.65; 95% CI 0.44-0.95). There was evidence of a dose-response relationship between duration of bicycling to work and being overweight, having hypertension or diabetes. The main limitation of the study is the cross-sectional design, which limits causal inference for the associations found. CONCLUSIONS: Walking and bicycling to work was associated with reduced cardiovascular risk in the Indian population. Efforts to increase active travel in urban areas and halt declines in rural areas should be integral to strategies to maintain healthy weight and prevent NCDs in India. Please see later in the article for the Editors' Summary.", "author" : [ { "dropping-particle" : "", "family" : "Millett", "given" : "Christopher", "non-dropping-particle" : "", "parse-names" : false, "suffix" : "" }, { "dropping-particle" : "", "family" : "Agrawal", "given" : "Sutapa", "non-dropping-particle" : "", "parse-names" : false, "suffix" : "" }, { "dropping-particle" : "", "family" : "Sullivan", "given" : "Ruth", "non-dropping-particle" : "", "parse-names" : false, "suffix" : "" }, { "dropping-particle" : "", "family" : "Vaz", "given" : "Mario", "non-dropping-particle" : "", "parse-names" : false, "suffix" : "" }, { "dropping-particle" : "", "family" : "Kurpad", "given" : "Anura", "non-dropping-particle" : "", "parse-names" : false, "suffix" : "" }, { "dropping-particle" : "V.", "family" : "Bharathi", "given" : "A.", "non-dropping-particle" : "", "parse-names" : false, "suffix" : "" }, { "dropping-particle" : "", "family" : "Prabhakaran", "given" : "Dorairaj", "non-dropping-particle" : "", "parse-names" : false, "suffix" : "" }, { "dropping-particle" : "", "family" : "Reddy", "given" : "KSPD Kolli Srinath", "non-dropping-particle" : "", "parse-names" : false, "suffix" : "" }, { "dropping-particle" : "", "family" : "Kinra", "given" : "Sanjay", "non-dropping-particle" : "", "parse-names" : false, "suffix" : "" }, { "dropping-particle" : "", "family" : "Smith", "given" : "GD George Davey", "non-dropping-particle" : "", "parse-names" : false, "suffix" : "" }, { "dropping-particle" : "", "family" : "Ebrahim", "given" : "Shah", "non-dropping-particle" : "", "parse-names" : false, "suffix" : "" }, { "dropping-particle" : "", "family" : "Group", "given" : "for the Indian Migration Study", "non-dropping-particle" : "", "parse-names" : false, "suffix" : "" } ], "container-title" : "PLoS medicine", "editor" : [ { "dropping-particle" : "", "family" : "Bhalla", "given" : "Kavi", "non-dropping-particle" : "", "parse-names" : false, "suffix" : "" } ], "id" : "ITEM-5", "issue" : "6", "issued" : { "date-parts" : [ [ "2013", "1", "11" ] ] }, "note" : "From Duplicate 2 (Associations between active travel to work and overweight, hypertension, and diabetes in India: a cross-sectional study. - Millett, Christopher; Agrawal, Sutapa; Sullivan, Ruth; Vaz, Mario; Kurpad, Anura; Bharathi, A V; Prabhakaran, Dorairaj; Reddy, Kolli Srinath; Kinra, Sanjay; Smith, George Davey; Ebrahim, Shah)\n\nseparate estimates for w+C", "page" : "e1001459", "publisher" : "Public Library of Science", "title" : "Associations between active travel to work and overweight, hypertension, and diabetes in India: a cross-sectional study.", "type" : "article-journal", "volume" : "10" }, "uris" : [ "http://www.mendeley.com/documents/?uuid=246315b3-3a61-4417-8831-b4fc4fbf04a3" ] }, { "id" : "ITEM-6", "itemData" : { "DOI" : "10.1016/j.ypmed.2016.06.014", "ISSN" : "00917435", "abstract" : "OBJECTIVE\nTo investigate the longitudinal associations between active commuting (walking and cycling to work) and body mass index (BMI). \n\nMETHOD\nWe used self-reported data on height, weight and active commuting from the Commuting and Health in Cambridge study (2009 to 2012; n=809). We used linear regression to test the associations between: a) maintenance of active commuting over one year and BMI at the end of that year; and b) change in weekly time spent in active commuting and change in BMI over one year. \n\nRESULTS\nAfter adjusting for sociodemographic variables, other physical activity, physical wellbeing and maintenance of walking, those who maintained cycle commuting reported a lower BMI on average at one year follow-up (1.14kg/m2, 95% CI: 0.30 to 1.98, n=579) than those who never cycled to work. No significant association remained after adjustment for baseline BMI. No significant associations were observed for maintenance of walking. An increase in walking was associated with a reduction in BMI (0.32kg/m2, 95% CI: 0.03 to 0.62, n=651, after adjustment for co-variates and baseline BMI) only when restricting the analysis to those who did not move. No other significant associations between changes in weekly time spent walking or cycling on the commute and changes in BMI were observed. \n\nCONCLUSIONS\nThis work provides further evidence of the contribution of active commuting, particularly cycling, to preventing weight gain or facilitating weight loss. The findings may be valuable for employees choosing how to commute and engaging employers in the promotion of active travel.", "author" : [ { "dropping-particle" : "", "family" : "Mytton", "given" : "Oliver Tristan", "non-dropping-particle" : "", "parse-names" : false, "suffix" : "" }, { "dropping-particle" : "", "family" : "Panter", "given" : "Jenna", "non-dropping-particle" : "", "parse-names" : false, "suffix" : "" }, { "dropping-particle" : "", "family" : "Ogilvie", "given" : "David", "non-dropping-particle" : "", "parse-names" : false, "suffix" : "" } ], "container-title" : "Preventive Medicine", "id" : "ITEM-6", "issued" : { "date-parts" : [ [ "2016" ] ] }, "page" : "1-7", "title" : "Longitudinal associations of active commuting with body mass index", "type" : "article-journal", "volume" : "90" }, "uris" : [ "http://www.mendeley.com/documents/?uuid=11c42899-4a63-4fdd-be71-93f3769567b7" ] }, { "id" : "ITEM-7", "itemData" : { "DOI" : "10.1001/archinternmed.2009.163", "ISBN" : "1538-3679 (Electronic)\n0003-9926 (Linking)", "PMID" : "19597071", "abstract" : "BACKGROUND: There is little research on the association of lifestyle exercise, such as active commuting (walking or biking to work), with obesity, fitness, and cardiovascular disease (CVD) risk factors. METHODS: This cross-sectional study included 2364 participants enrolled in the Coronary Artery Risk Development in Young Adults (CARDIA) study who worked outside the home during year 20 of the study (2005-2006). Associations between walking or biking to work (self-reported time, distance, and mode of commuting) with body weight (measured height and weight); obesity (body mass index [BMI], calculated as weight in kilograms divided by height in meters squared, &gt;or= 30); fitness (symptom-limited exercise stress testing); objective moderate-vigorous physical activity (accelerometry); CVD risk factors (blood pressure [oscillometric systolic and diastolic]); and serum measures (fasting measures of lipid, glucose, and insulin levels) were separately assessed by sex-stratified multivariable linear (or logistic) regression modeling. RESULTS: A total of 16.7% of participants used any means of active commuting to work. Controlling for age, race, income, education, smoking, examination center, and physical activity index excluding walking, men with any active commuting (vs none) had reduced likelihood of obesity (odds ratio [OR], 0.50; 95% confidence interval [CI], 0.33-0.76), reduced CVD risk: ratio of geometric mean triglyceride levels (trig(active))/(trig(nonactive)) = 0.88 (95% CI, 0.80 to 0.98); ratio of geometric mean fasting insulin (FI(active))/(FI(nonactive)) = 0.86 (95% CI, 0.78 to 0.93); difference in mean diastolic blood pressure (millimeters of mercury) (DBP(active)) - (DBP(nonactive)) = -1.67 (95% CI, -3.20 to -0.15); and higher fitness: mean difference in treadmill test duration (in seconds) in men (TT(active)) - (TT(nonactive)) = 50.0 (95% CI, 31.45 to 68.59) and women (TT(active)) - (TT(nonactive)) = 28.77 (95% CI, 11.61 to 45.92). CONCLUSIONS: Active commuting was positively associated with fitness in men and women and inversely associated with BMI, obesity, triglyceride levels, blood pressure, and insulin level in men. Active commuting should be investigated as a modality for maintaining or improving health.", "author" : [ { "dropping-particle" : "", "family" : "Gordon-Larsen", "given" : "P", "non-dropping-particle" : "", "parse-names" : false, "suffix" : "" }, { "dropping-particle" : "", "family" : "Boone-Heinonen", "given" : "J", "non-dropping-particle" : "", "parse-names" : false, "suffix" : "" }, { "dropping-particle" : "", "family" : "Sidney", "given" : "S", "non-dropping-particle" : "", "parse-names" : false, "suffix" : "" }, { "dropping-particle" : "", "family" : "Sternfeld", "given" : "B", "non-dropping-particle" : "", "parse-names" : false, "suffix" : "" }, { "dropping-particle" : "", "family" : "Jacobs  Jr.", "given" : "D R", "non-dropping-particle" : "", "parse-names" : false, "suffix" : "" }, { "dropping-particle" : "", "family" : "Lewis", "given" : "C E", "non-dropping-particle" : "", "parse-names" : false, "suffix" : "" } ], "container-title" : "Arch Intern Med", "edition" : "2009/07/15", "id" : "ITEM-7", "issue" : "13", "issued" : { "date-parts" : [ [ "2009" ] ] }, "language" : "eng", "note" : "Gordon-Larsen, Penny\nBoone-Heinonen, Janne\nSidney, Steve\nSternfeld, Barbara\nJacobs, David R Jr\nLewis, Cora E\nDK56350/DK/NIDDK NIH HHS/\nK01 HD044263-05/HD/NICHD NIH HHS/\nK01-HD044263/HD/NICHD NIH HHS/\nN01 HC005187/HC/NHLBI NIH HHS/\nN01 HC048047/HC/NHLBI NIH HHS/\nN01 HC048048/HC/NHLBI NIH HHS/\nN01 HC048049/HC/NHLBI NIH HHS/\nN01 HC048050/HC/NHLBI NIH HHS/\nN01 HC095095/HC/NHLBI NIH HHS/\nN01-HC-05187/HC/NHLBI NIH HHS/\nN01-HC-48047/HC/NHLBI NIH HHS/\nN01-HC-48048/HC/NHLBI NIH HHS/\nN01-HC-48049/HC/NHLBI NIH HHS/\nN01-HC-48050/HC/NHLBI NIH HHS/\nN01-HC-95095/HC/NHLBI NIH HHS/\nP30 DK056350-08S1/DK/NIDDK NIH HHS/\nP30 ES010126-01A1/ES/NIEHS NIH HHS/\nP30-ES10126/ES/NIEHS NIH HHS/\nR01 CA109831/CA/NCI NIH HHS/\nR01 CA109831-05/CA/NCI NIH HHS/\nR01 CA12115/CA/NCI NIH HHS/\nR01 CA121152-04/CA/NCI NIH HHS/\nR01 HL078972/HL/NHLBI NIH HHS/\nR01 HL078972-04/HL/NHLBI NIH HHS/\nArch Intern Med. 2009 Jul 13;169(13):1216-23.", "page" : "1216-1223", "title" : "Active commuting and cardiovascular disease risk: the CARDIA study", "type" : "article-journal", "volume" : "169" }, "uris" : [ "http://www.mendeley.com/documents/?uuid=ddc63179-44fa-4361-9f4b-a690b96e1262" ] }, { "id" : "ITEM-8", "itemData" : { "DOI" : "10.1111/1753-6405.12097", "ISSN" : "1753-6405", "PMID" : "24494941", "abstract" : "OBJECTIVE: This study describes the prevalence of walking and cycling to work in New South Wales (NSW) from 2005-2010. It examines the demographic characteristics of those people walking and cycling to work and the association of walking and cycling with body mass index (BMI).\n\nMETHODS: Data from the NSW Continuous Health Survey, a telephone survey of health indicators among a representative sample of residents aged 16 years or over, were used.\n\nRESULTS: There were no changes in the proportions of employed respondents walking or cycling to work in NSW from 2005 to 2010, with estimates ranging from 5.1-7.3% usually walking, and 1.4-1.8% usually cycling. People who walked (adjusted odds ratio [AOR]=1.07, 95%CI 1.00-1.14) or cycled (AOR=1.22, 95%CI 1.14-1.32) to work had higher levels of education, after adjusting for age, sex, income and residence.\n\nCONCLUSIONS: There has been no overall increase in active commuting in NSW (2005-2010). Better efforts to communicate the benefits of active travel and less sedentary travel are warranted, in particular among those with lower levels of education.\n\nIMPLICATIONS: More interventions are needed to encourage walking and cycling to work, in order to gain significant benefits in terms of maintaining a healthy weight.", "author" : [ { "dropping-particle" : "", "family" : "Rissel", "given" : "Chris", "non-dropping-particle" : "", "parse-names" : false, "suffix" : "" }, { "dropping-particle" : "", "family" : "Greenaway", "given" : "Mark", "non-dropping-particle" : "", "parse-names" : false, "suffix" : "" }, { "dropping-particle" : "", "family" : "Bauman", "given" : "Adrian", "non-dropping-particle" : "", "parse-names" : false, "suffix" : "" }, { "dropping-particle" : "", "family" : "Wen", "given" : "Li Ming", "non-dropping-particle" : "", "parse-names" : false, "suffix" : "" } ], "container-title" : "Australian and New Zealand journal of public health", "id" : "ITEM-8", "issue" : "1", "issued" : { "date-parts" : [ [ "2014", "3" ] ] }, "page" : "25-9", "title" : "Active travel to work in New South Wales 2005-2010, individual characteristics and association with body mass index.", "type" : "article-journal", "volume" : "38" }, "uris" : [ "http://www.mendeley.com/documents/?uuid=af082963-ce36-4001-b868-7fdc9b7631f1" ] } ], "mendeley" : { "formattedCitation" : "(Flint et al., 2014; Flint and Cummins, 2016; Gordon-Larsen et al., 2009; Larouche et al., 2016; McKay et al., 2015; Millett et al., 2013; Mytton et al., 2016; Rissel et al., 2014)", "plainTextFormattedCitation" : "(Flint et al., 2014; Flint and Cummins, 2016; Gordon-Larsen et al., 2009; Larouche et al., 2016; McKay et al., 2015; Millett et al., 2013; Mytton et al., 2016; Rissel et al., 2014)", "previouslyFormattedCitation" : "(Flint et al., 2014; Flint and Cummins, 2016; Gordon-Larsen et al., 2009; Larouche et al., 2016; McKay et al., 2015; Millett et al., 2013; Mytton et al., 2016; Rissel et al., 2014)" }, "properties" : { "noteIndex" : 0 }, "schema" : "https://github.com/citation-style-language/schema/raw/master/csl-citation.json" }</w:instrText>
      </w:r>
      <w:r w:rsidR="007653AA">
        <w:rPr>
          <w:rFonts w:cs="Arial"/>
          <w:color w:val="2E2E2E"/>
        </w:rPr>
        <w:fldChar w:fldCharType="separate"/>
      </w:r>
      <w:r w:rsidR="00B71669" w:rsidRPr="00B71669">
        <w:rPr>
          <w:rFonts w:cs="Arial"/>
          <w:noProof/>
          <w:color w:val="2E2E2E"/>
        </w:rPr>
        <w:t>(Flint et al., 2014; Flint and Cummins, 2016; Gordon-Larsen et al., 2009; Larouche et al., 2016; McKay et al., 2015; Millett et al., 2013; Mytton et al., 2016; Rissel et al., 2014)</w:t>
      </w:r>
      <w:r w:rsidR="007653AA">
        <w:rPr>
          <w:rFonts w:cs="Arial"/>
          <w:color w:val="2E2E2E"/>
        </w:rPr>
        <w:fldChar w:fldCharType="end"/>
      </w:r>
      <w:r w:rsidR="003C7FB2">
        <w:rPr>
          <w:rFonts w:cs="Arial"/>
          <w:color w:val="2E2E2E"/>
        </w:rPr>
        <w:t xml:space="preserve"> </w:t>
      </w:r>
      <w:r w:rsidR="007653AA">
        <w:rPr>
          <w:rFonts w:cs="Arial"/>
          <w:color w:val="2E2E2E"/>
        </w:rPr>
        <w:t>only</w:t>
      </w:r>
      <w:r w:rsidR="003C7FB2">
        <w:rPr>
          <w:rFonts w:cs="Arial"/>
          <w:color w:val="2E2E2E"/>
        </w:rPr>
        <w:t xml:space="preserve"> </w:t>
      </w:r>
      <w:r w:rsidR="00DC5D04">
        <w:rPr>
          <w:rFonts w:cs="Arial"/>
          <w:color w:val="2E2E2E"/>
        </w:rPr>
        <w:t>three</w:t>
      </w:r>
      <w:r w:rsidR="003C7FB2">
        <w:rPr>
          <w:rFonts w:cs="Arial"/>
          <w:color w:val="2E2E2E"/>
        </w:rPr>
        <w:t xml:space="preserve"> </w:t>
      </w:r>
      <w:r w:rsidR="007653AA">
        <w:rPr>
          <w:rFonts w:cs="Arial"/>
          <w:color w:val="2E2E2E"/>
        </w:rPr>
        <w:t>have</w:t>
      </w:r>
      <w:r w:rsidR="003C7FB2">
        <w:rPr>
          <w:rFonts w:cs="Arial"/>
          <w:color w:val="2E2E2E"/>
        </w:rPr>
        <w:t xml:space="preserve"> </w:t>
      </w:r>
      <w:r w:rsidR="007653AA">
        <w:rPr>
          <w:rFonts w:cs="Arial"/>
          <w:color w:val="2E2E2E"/>
        </w:rPr>
        <w:t>explicitly</w:t>
      </w:r>
      <w:r w:rsidR="003C7FB2">
        <w:rPr>
          <w:rFonts w:cs="Arial"/>
          <w:color w:val="2E2E2E"/>
        </w:rPr>
        <w:t xml:space="preserve"> </w:t>
      </w:r>
      <w:r w:rsidR="007653AA">
        <w:rPr>
          <w:rFonts w:cs="Arial"/>
          <w:color w:val="2E2E2E"/>
        </w:rPr>
        <w:t>adjusted</w:t>
      </w:r>
      <w:r w:rsidR="003C7FB2">
        <w:rPr>
          <w:rFonts w:cs="Arial"/>
          <w:color w:val="2E2E2E"/>
        </w:rPr>
        <w:t xml:space="preserve"> </w:t>
      </w:r>
      <w:r w:rsidR="007653AA">
        <w:rPr>
          <w:rFonts w:cs="Arial"/>
          <w:color w:val="2E2E2E"/>
        </w:rPr>
        <w:t>for</w:t>
      </w:r>
      <w:r w:rsidR="003C7FB2">
        <w:rPr>
          <w:rFonts w:cs="Arial"/>
          <w:color w:val="2E2E2E"/>
        </w:rPr>
        <w:t xml:space="preserve"> </w:t>
      </w:r>
      <w:r>
        <w:rPr>
          <w:rFonts w:cs="Arial"/>
          <w:color w:val="2E2E2E"/>
        </w:rPr>
        <w:t>occupational</w:t>
      </w:r>
      <w:r w:rsidR="003C7FB2">
        <w:rPr>
          <w:rFonts w:cs="Arial"/>
          <w:color w:val="2E2E2E"/>
        </w:rPr>
        <w:t xml:space="preserve"> </w:t>
      </w:r>
      <w:r w:rsidR="007653AA">
        <w:rPr>
          <w:rFonts w:cs="Arial"/>
          <w:color w:val="2E2E2E"/>
        </w:rPr>
        <w:t>physical</w:t>
      </w:r>
      <w:r w:rsidR="003C7FB2">
        <w:rPr>
          <w:rFonts w:cs="Arial"/>
          <w:color w:val="2E2E2E"/>
        </w:rPr>
        <w:t xml:space="preserve"> </w:t>
      </w:r>
      <w:r>
        <w:rPr>
          <w:rFonts w:cs="Arial"/>
          <w:color w:val="2E2E2E"/>
        </w:rPr>
        <w:t>activity.</w:t>
      </w:r>
      <w:r w:rsidR="007653AA">
        <w:rPr>
          <w:rFonts w:cs="Arial"/>
          <w:color w:val="2E2E2E"/>
        </w:rPr>
        <w:fldChar w:fldCharType="begin" w:fldLock="1"/>
      </w:r>
      <w:r w:rsidR="000B07A6">
        <w:rPr>
          <w:rFonts w:cs="Arial"/>
          <w:color w:val="2E2E2E"/>
        </w:rPr>
        <w:instrText>ADDIN CSL_CITATION { "citationItems" : [ { "id" : "ITEM-1", "itemData" : { "DOI" : "10.1016/j.ypmed.2016.06.014", "ISSN" : "00917435", "abstract" : "OBJECTIVE\nTo investigate the longitudinal associations between active commuting (walking and cycling to work) and body mass index (BMI). \n\nMETHOD\nWe used self-reported data on height, weight and active commuting from the Commuting and Health in Cambridge study (2009 to 2012; n=809). We used linear regression to test the associations between: a) maintenance of active commuting over one year and BMI at the end of that year; and b) change in weekly time spent in active commuting and change in BMI over one year. \n\nRESULTS\nAfter adjusting for sociodemographic variables, other physical activity, physical wellbeing and maintenance of walking, those who maintained cycle commuting reported a lower BMI on average at one year follow-up (1.14kg/m2, 95% CI: 0.30 to 1.98, n=579) than those who never cycled to work. No significant association remained after adjustment for baseline BMI. No significant associations were observed for maintenance of walking. An increase in walking was associated with a reduction in BMI (0.32kg/m2, 95% CI: 0.03 to 0.62, n=651, after adjustment for co-variates and baseline BMI) only when restricting the analysis to those who did not move. No other significant associations between changes in weekly time spent walking or cycling on the commute and changes in BMI were observed. \n\nCONCLUSIONS\nThis work provides further evidence of the contribution of active commuting, particularly cycling, to preventing weight gain or facilitating weight loss. The findings may be valuable for employees choosing how to commute and engaging employers in the promotion of active travel.", "author" : [ { "dropping-particle" : "", "family" : "Mytton", "given" : "Oliver Tristan", "non-dropping-particle" : "", "parse-names" : false, "suffix" : "" }, { "dropping-particle" : "", "family" : "Panter", "given" : "Jenna", "non-dropping-particle" : "", "parse-names" : false, "suffix" : "" }, { "dropping-particle" : "", "family" : "Ogilvie", "given" : "David", "non-dropping-particle" : "", "parse-names" : false, "suffix" : "" } ], "container-title" : "Preventive Medicine", "id" : "ITEM-1", "issued" : { "date-parts" : [ [ "2016" ] ] }, "page" : "1-7", "title" : "Longitudinal associations of active commuting with body mass index", "type" : "article-journal", "volume" : "90" }, "uris" : [ "http://www.mendeley.com/documents/?uuid=11c42899-4a63-4fdd-be71-93f3769567b7" ] }, { "id" : "ITEM-2", "itemData" : { "DOI" : "10.1186/s12889-015-2411-0", "ISSN" : "1471-2458", "PMID" : "26498367", "abstract" : "BACKGROUND Data on use and health benefits of active travel in rural low- and middle- income country settings are sparse. We aimed to examine correlates of active travel, and its association with adiposity, in rural India and Bangladesh. METHODS Cross sectional study of 2,122 adults (\u226518 years) sampled in 2011-13 from two rural sites in India (Goa and Chennai) and one in Bangladesh (Matlab). Logistic regression was used to examine whether \u2265150 min/week of active travel was associated with socio-demographic indices, smoking, oil/butter consumption, and additional physical activity. Adjusting for these same factors, associations between active travel and BMI, waist circumference and waist-to-hip ratio were examined using linear and logistic regression. RESULTS Forty-six percent of the sample achieved recommended levels of physical activity (\u2265150 min/week) through active travel alone (range: 33.1 % in Matlab to 54.8 % in Goa). This was more frequent among smokers (adjusted odds ratio 1.36, 95 % confidence interval 1.07-1.72; p\u2009=\u20090.011) and those that spent \u2265150 min/week in work-based physical activity (OR 1.71, 1.35-2.16; p\u2009&lt;\u20090.001), but less frequent among females than males (OR 0.25, 0.20-0.31; p\u2009&lt;\u20090.001). In fully adjusted analyses, \u2265150 min/week of active travel was associated with lower BMI (adjusted coefficient -0.39 kg/m(2), -0.77 to -0.02; p\u2009=\u20090.037) and a lower likelihood of high waist circumference (OR 0.77, 0.63-0.96; p\u2009=\u20090.018) and high waist-to-hip ratio (OR 0.72, 0.58-0.89; p\u2009=\u20090.002). CONCLUSIONS Use of active travel for \u2265150 min/week was associated with being male, smoking, and higher levels of work-based physical activity. It was associated with lower BMI, and lower risk of a high waist circumference or high waist-to-hip ratio. Promotion of active travel is an important component of strategies to address the growing prevalence of overweight in rural low- and middle- income country settings.", "author" : [ { "dropping-particle" : "", "family" : "McKay", "given" : "Ailsa J", "non-dropping-particle" : "", "parse-names" : false, "suffix" : "" }, { "dropping-particle" : "", "family" : "Laverty", "given" : "Anthony A", "non-dropping-particle" : "", "parse-names" : false, "suffix" : "" }, { "dropping-particle" : "", "family" : "Shridhar", "given" : "Krithiga", "non-dropping-particle" : "", "parse-names" : false, "suffix" : "" }, { "dropping-particle" : "", "family" : "Alam", "given" : "Dewan", "non-dropping-particle" : "", "parse-names" : false, "suffix" : "" }, { "dropping-particle" : "", "family" : "Dias", "given" : "Amit", "non-dropping-particle" : "", "parse-names" : false, "suffix" : "" }, { "dropping-particle" : "", "family" : "Williams", "given" : "Joseph", "non-dropping-particle" : "", "parse-names" : false, "suffix" : "" }, { "dropping-particle" : "", "family" : "Millett", "given" : "Christopher", "non-dropping-particle" : "", "parse-names" : false, "suffix" : "" }, { "dropping-particle" : "", "family" : "Ebrahim", "given" : "Shah", "non-dropping-particle" : "", "parse-names" : false, "suffix" : "" }, { "dropping-particle" : "", "family" : "Dhillon", "given" : "Preet K", "non-dropping-particle" : "", "parse-names" : false, "suffix" : "" } ], "container-title" : "BMC public health", "id" : "ITEM-2", "issued" : { "date-parts" : [ [ "2015" ] ] }, "page" : "1087", "title" : "Associations between active travel and adiposity in rural India and Bangladesh: a cross-sectional study.", "type" : "article-journal", "volume" : "15" }, "uris" : [ "http://www.mendeley.com/documents/?uuid=09987ac4-12b6-3462-a026-3bd9ac43730c" ] }, { "id" : "ITEM-3", "itemData" : { "DOI" : "10.1001/archinternmed.2009.163", "ISBN" : "1538-3679 (Electronic)\n0003-9926 (Linking)", "PMID" : "19597071", "abstract" : "BACKGROUND: There is little research on the association of lifestyle exercise, such as active commuting (walking or biking to work), with obesity, fitness, and cardiovascular disease (CVD) risk factors. METHODS: This cross-sectional study included 2364 participants enrolled in the Coronary Artery Risk Development in Young Adults (CARDIA) study who worked outside the home during year 20 of the study (2005-2006). Associations between walking or biking to work (self-reported time, distance, and mode of commuting) with body weight (measured height and weight); obesity (body mass index [BMI], calculated as weight in kilograms divided by height in meters squared, &gt;or= 30); fitness (symptom-limited exercise stress testing); objective moderate-vigorous physical activity (accelerometry); CVD risk factors (blood pressure [oscillometric systolic and diastolic]); and serum measures (fasting measures of lipid, glucose, and insulin levels) were separately assessed by sex-stratified multivariable linear (or logistic) regression modeling. RESULTS: A total of 16.7% of participants used any means of active commuting to work. Controlling for age, race, income, education, smoking, examination center, and physical activity index excluding walking, men with any active commuting (vs none) had reduced likelihood of obesity (odds ratio [OR], 0.50; 95% confidence interval [CI], 0.33-0.76), reduced CVD risk: ratio of geometric mean triglyceride levels (trig(active))/(trig(nonactive)) = 0.88 (95% CI, 0.80 to 0.98); ratio of geometric mean fasting insulin (FI(active))/(FI(nonactive)) = 0.86 (95% CI, 0.78 to 0.93); difference in mean diastolic blood pressure (millimeters of mercury) (DBP(active)) - (DBP(nonactive)) = -1.67 (95% CI, -3.20 to -0.15); and higher fitness: mean difference in treadmill test duration (in seconds) in men (TT(active)) - (TT(nonactive)) = 50.0 (95% CI, 31.45 to 68.59) and women (TT(active)) - (TT(nonactive)) = 28.77 (95% CI, 11.61 to 45.92). CONCLUSIONS: Active commuting was positively associated with fitness in men and women and inversely associated with BMI, obesity, triglyceride levels, blood pressure, and insulin level in men. Active commuting should be investigated as a modality for maintaining or improving health.", "author" : [ { "dropping-particle" : "", "family" : "Gordon-Larsen", "given" : "P", "non-dropping-particle" : "", "parse-names" : false, "suffix" : "" }, { "dropping-particle" : "", "family" : "Boone-Heinonen", "given" : "J", "non-dropping-particle" : "", "parse-names" : false, "suffix" : "" }, { "dropping-particle" : "", "family" : "Sidney", "given" : "S", "non-dropping-particle" : "", "parse-names" : false, "suffix" : "" }, { "dropping-particle" : "", "family" : "Sternfeld", "given" : "B", "non-dropping-particle" : "", "parse-names" : false, "suffix" : "" }, { "dropping-particle" : "", "family" : "Jacobs  Jr.", "given" : "D R", "non-dropping-particle" : "", "parse-names" : false, "suffix" : "" }, { "dropping-particle" : "", "family" : "Lewis", "given" : "C E", "non-dropping-particle" : "", "parse-names" : false, "suffix" : "" } ], "container-title" : "Arch Intern Med", "edition" : "2009/07/15", "id" : "ITEM-3", "issue" : "13", "issued" : { "date-parts" : [ [ "2009" ] ] }, "language" : "eng", "note" : "Gordon-Larsen, Penny\nBoone-Heinonen, Janne\nSidney, Steve\nSternfeld, Barbara\nJacobs, David R Jr\nLewis, Cora E\nDK56350/DK/NIDDK NIH HHS/\nK01 HD044263-05/HD/NICHD NIH HHS/\nK01-HD044263/HD/NICHD NIH HHS/\nN01 HC005187/HC/NHLBI NIH HHS/\nN01 HC048047/HC/NHLBI NIH HHS/\nN01 HC048048/HC/NHLBI NIH HHS/\nN01 HC048049/HC/NHLBI NIH HHS/\nN01 HC048050/HC/NHLBI NIH HHS/\nN01 HC095095/HC/NHLBI NIH HHS/\nN01-HC-05187/HC/NHLBI NIH HHS/\nN01-HC-48047/HC/NHLBI NIH HHS/\nN01-HC-48048/HC/NHLBI NIH HHS/\nN01-HC-48049/HC/NHLBI NIH HHS/\nN01-HC-48050/HC/NHLBI NIH HHS/\nN01-HC-95095/HC/NHLBI NIH HHS/\nP30 DK056350-08S1/DK/NIDDK NIH HHS/\nP30 ES010126-01A1/ES/NIEHS NIH HHS/\nP30-ES10126/ES/NIEHS NIH HHS/\nR01 CA109831/CA/NCI NIH HHS/\nR01 CA109831-05/CA/NCI NIH HHS/\nR01 CA12115/CA/NCI NIH HHS/\nR01 CA121152-04/CA/NCI NIH HHS/\nR01 HL078972/HL/NHLBI NIH HHS/\nR01 HL078972-04/HL/NHLBI NIH HHS/\nArch Intern Med. 2009 Jul 13;169(13):1216-23.", "page" : "1216-1223", "title" : "Active commuting and cardiovascular disease risk: the CARDIA study", "type" : "article-journal", "volume" : "169" }, "uris" : [ "http://www.mendeley.com/documents/?uuid=ddc63179-44fa-4361-9f4b-a690b96e1262" ] } ], "mendeley" : { "formattedCitation" : "(Gordon-Larsen et al., 2009; McKay et al., 2015; Mytton et al., 2016)", "plainTextFormattedCitation" : "(Gordon-Larsen et al., 2009; McKay et al., 2015; Mytton et al., 2016)", "previouslyFormattedCitation" : "(Gordon-Larsen et al., 2009; McKay et al., 2015; Mytton et al., 2016)" }, "properties" : { "noteIndex" : 0 }, "schema" : "https://github.com/citation-style-language/schema/raw/master/csl-citation.json" }</w:instrText>
      </w:r>
      <w:r w:rsidR="007653AA">
        <w:rPr>
          <w:rFonts w:cs="Arial"/>
          <w:color w:val="2E2E2E"/>
        </w:rPr>
        <w:fldChar w:fldCharType="separate"/>
      </w:r>
      <w:r w:rsidR="00B71669" w:rsidRPr="00B71669">
        <w:rPr>
          <w:rFonts w:cs="Arial"/>
          <w:noProof/>
          <w:color w:val="2E2E2E"/>
        </w:rPr>
        <w:t>(Gordon-Larsen et al., 2009; McKay et al., 2015; Mytton et al., 2016)</w:t>
      </w:r>
      <w:r w:rsidR="007653AA">
        <w:rPr>
          <w:rFonts w:cs="Arial"/>
          <w:color w:val="2E2E2E"/>
        </w:rPr>
        <w:fldChar w:fldCharType="end"/>
      </w:r>
      <w:r w:rsidR="00D10C36">
        <w:rPr>
          <w:rFonts w:cs="Arial"/>
          <w:color w:val="2E2E2E"/>
        </w:rPr>
        <w:t xml:space="preserve"> and</w:t>
      </w:r>
      <w:r w:rsidR="003C7FB2">
        <w:rPr>
          <w:rFonts w:cs="Arial"/>
          <w:color w:val="2E2E2E"/>
        </w:rPr>
        <w:t xml:space="preserve"> </w:t>
      </w:r>
      <w:r w:rsidR="00D10C36">
        <w:rPr>
          <w:rFonts w:cs="Arial"/>
          <w:color w:val="2E2E2E"/>
        </w:rPr>
        <w:t>n</w:t>
      </w:r>
      <w:r w:rsidR="00A80B8B">
        <w:rPr>
          <w:rFonts w:cs="Arial"/>
          <w:color w:val="2E2E2E"/>
        </w:rPr>
        <w:t>o</w:t>
      </w:r>
      <w:r w:rsidR="003C7FB2">
        <w:rPr>
          <w:rFonts w:cs="Arial"/>
          <w:color w:val="2E2E2E"/>
        </w:rPr>
        <w:t xml:space="preserve"> </w:t>
      </w:r>
      <w:r w:rsidR="00A80B8B">
        <w:rPr>
          <w:rFonts w:cs="Arial"/>
          <w:color w:val="2E2E2E"/>
        </w:rPr>
        <w:t>study</w:t>
      </w:r>
      <w:r w:rsidR="003C7FB2">
        <w:rPr>
          <w:rFonts w:cs="Arial"/>
          <w:color w:val="2E2E2E"/>
        </w:rPr>
        <w:t xml:space="preserve"> </w:t>
      </w:r>
      <w:r w:rsidR="00A80B8B">
        <w:rPr>
          <w:rFonts w:cs="Arial"/>
          <w:color w:val="2E2E2E"/>
        </w:rPr>
        <w:t>has</w:t>
      </w:r>
      <w:r w:rsidR="003C7FB2">
        <w:rPr>
          <w:rFonts w:cs="Arial"/>
          <w:color w:val="2E2E2E"/>
        </w:rPr>
        <w:t xml:space="preserve"> </w:t>
      </w:r>
      <w:r w:rsidR="00D10C36">
        <w:rPr>
          <w:rFonts w:cs="Arial"/>
          <w:color w:val="2E2E2E"/>
        </w:rPr>
        <w:t>adjusted</w:t>
      </w:r>
      <w:r w:rsidR="003C7FB2">
        <w:rPr>
          <w:rFonts w:cs="Arial"/>
          <w:color w:val="2E2E2E"/>
        </w:rPr>
        <w:t xml:space="preserve"> </w:t>
      </w:r>
      <w:r w:rsidR="00D10C36">
        <w:rPr>
          <w:rFonts w:cs="Arial"/>
          <w:color w:val="2E2E2E"/>
        </w:rPr>
        <w:t xml:space="preserve">for </w:t>
      </w:r>
      <w:r>
        <w:rPr>
          <w:rFonts w:cs="Arial"/>
          <w:color w:val="2E2E2E"/>
        </w:rPr>
        <w:t>objectively</w:t>
      </w:r>
      <w:r w:rsidR="003C7FB2">
        <w:rPr>
          <w:rFonts w:cs="Arial"/>
          <w:color w:val="2E2E2E"/>
        </w:rPr>
        <w:t xml:space="preserve"> </w:t>
      </w:r>
      <w:r>
        <w:rPr>
          <w:rFonts w:cs="Arial"/>
          <w:color w:val="2E2E2E"/>
        </w:rPr>
        <w:t>measured</w:t>
      </w:r>
      <w:r w:rsidR="003C7FB2">
        <w:rPr>
          <w:rFonts w:cs="Arial"/>
          <w:color w:val="2E2E2E"/>
        </w:rPr>
        <w:t xml:space="preserve"> </w:t>
      </w:r>
      <w:r>
        <w:rPr>
          <w:rFonts w:cs="Arial"/>
          <w:color w:val="2E2E2E"/>
        </w:rPr>
        <w:t>physical</w:t>
      </w:r>
      <w:r w:rsidR="003C7FB2">
        <w:rPr>
          <w:rFonts w:cs="Arial"/>
          <w:color w:val="2E2E2E"/>
        </w:rPr>
        <w:t xml:space="preserve"> </w:t>
      </w:r>
      <w:r>
        <w:rPr>
          <w:rFonts w:cs="Arial"/>
          <w:color w:val="2E2E2E"/>
        </w:rPr>
        <w:t>activity.</w:t>
      </w:r>
    </w:p>
    <w:p w14:paraId="0B001E01" w14:textId="20F1544D" w:rsidR="004F4FF8" w:rsidRDefault="00A90671" w:rsidP="004F4FF8">
      <w:pPr>
        <w:rPr>
          <w:rFonts w:cs="Arial"/>
          <w:color w:val="2E2E2E"/>
        </w:rPr>
      </w:pPr>
      <w:r>
        <w:rPr>
          <w:rFonts w:cs="Arial"/>
          <w:color w:val="2E2E2E"/>
        </w:rPr>
        <w:t>E</w:t>
      </w:r>
      <w:r w:rsidR="00670442">
        <w:rPr>
          <w:rFonts w:cs="Arial"/>
          <w:color w:val="2E2E2E"/>
        </w:rPr>
        <w:t>xisting</w:t>
      </w:r>
      <w:r w:rsidR="003C7FB2">
        <w:rPr>
          <w:rFonts w:cs="Arial"/>
          <w:color w:val="2E2E2E"/>
        </w:rPr>
        <w:t xml:space="preserve"> </w:t>
      </w:r>
      <w:r>
        <w:rPr>
          <w:rFonts w:cs="Arial"/>
          <w:color w:val="2E2E2E"/>
        </w:rPr>
        <w:t>studies</w:t>
      </w:r>
      <w:r w:rsidR="003C7FB2">
        <w:rPr>
          <w:rFonts w:cs="Arial"/>
          <w:color w:val="2E2E2E"/>
        </w:rPr>
        <w:t xml:space="preserve"> </w:t>
      </w:r>
      <w:r>
        <w:rPr>
          <w:rFonts w:cs="Arial"/>
          <w:color w:val="2E2E2E"/>
        </w:rPr>
        <w:t>have</w:t>
      </w:r>
      <w:r w:rsidR="003C7FB2">
        <w:rPr>
          <w:rFonts w:cs="Arial"/>
          <w:color w:val="2E2E2E"/>
        </w:rPr>
        <w:t xml:space="preserve"> </w:t>
      </w:r>
      <w:r>
        <w:rPr>
          <w:rFonts w:cs="Arial"/>
          <w:color w:val="2E2E2E"/>
        </w:rPr>
        <w:t>also</w:t>
      </w:r>
      <w:r w:rsidR="003C7FB2">
        <w:rPr>
          <w:rFonts w:cs="Arial"/>
          <w:color w:val="2E2E2E"/>
        </w:rPr>
        <w:t xml:space="preserve"> </w:t>
      </w:r>
      <w:r w:rsidR="00DC5D04">
        <w:rPr>
          <w:rFonts w:cs="Arial"/>
          <w:color w:val="2E2E2E"/>
        </w:rPr>
        <w:t>tended</w:t>
      </w:r>
      <w:r w:rsidR="003C7FB2">
        <w:rPr>
          <w:rFonts w:cs="Arial"/>
          <w:color w:val="2E2E2E"/>
        </w:rPr>
        <w:t xml:space="preserve"> </w:t>
      </w:r>
      <w:r w:rsidR="00DC5D04">
        <w:rPr>
          <w:rFonts w:cs="Arial"/>
          <w:color w:val="2E2E2E"/>
        </w:rPr>
        <w:t>to</w:t>
      </w:r>
      <w:r w:rsidR="003C7FB2">
        <w:rPr>
          <w:rFonts w:cs="Arial"/>
          <w:color w:val="2E2E2E"/>
        </w:rPr>
        <w:t xml:space="preserve"> </w:t>
      </w:r>
      <w:r w:rsidR="00363B72">
        <w:rPr>
          <w:rFonts w:cs="Arial"/>
          <w:color w:val="2E2E2E"/>
        </w:rPr>
        <w:t>consider</w:t>
      </w:r>
      <w:r w:rsidR="003C7FB2">
        <w:rPr>
          <w:rFonts w:cs="Arial"/>
          <w:color w:val="2E2E2E"/>
        </w:rPr>
        <w:t xml:space="preserve"> </w:t>
      </w:r>
      <w:r w:rsidR="00156048">
        <w:rPr>
          <w:rFonts w:cs="Arial"/>
          <w:color w:val="2E2E2E"/>
        </w:rPr>
        <w:t>‘</w:t>
      </w:r>
      <w:r w:rsidR="00363B72">
        <w:rPr>
          <w:rFonts w:cs="Arial"/>
          <w:color w:val="2E2E2E"/>
        </w:rPr>
        <w:t>usual</w:t>
      </w:r>
      <w:r w:rsidR="00156048">
        <w:rPr>
          <w:rFonts w:cs="Arial"/>
          <w:color w:val="2E2E2E"/>
        </w:rPr>
        <w:t>’</w:t>
      </w:r>
      <w:r w:rsidR="003C7FB2">
        <w:rPr>
          <w:rFonts w:cs="Arial"/>
          <w:color w:val="2E2E2E"/>
        </w:rPr>
        <w:t xml:space="preserve"> </w:t>
      </w:r>
      <w:r w:rsidR="00363B72">
        <w:rPr>
          <w:rFonts w:cs="Arial"/>
          <w:color w:val="2E2E2E"/>
        </w:rPr>
        <w:t>mode</w:t>
      </w:r>
      <w:r w:rsidR="003C7FB2">
        <w:rPr>
          <w:rFonts w:cs="Arial"/>
          <w:color w:val="2E2E2E"/>
        </w:rPr>
        <w:t xml:space="preserve"> </w:t>
      </w:r>
      <w:r w:rsidR="00363B72">
        <w:rPr>
          <w:rFonts w:cs="Arial"/>
          <w:color w:val="2E2E2E"/>
        </w:rPr>
        <w:t>of</w:t>
      </w:r>
      <w:r w:rsidR="003C7FB2">
        <w:rPr>
          <w:rFonts w:cs="Arial"/>
          <w:color w:val="2E2E2E"/>
        </w:rPr>
        <w:t xml:space="preserve"> </w:t>
      </w:r>
      <w:r w:rsidR="00363B72">
        <w:rPr>
          <w:rFonts w:cs="Arial"/>
          <w:color w:val="2E2E2E"/>
        </w:rPr>
        <w:t>travel</w:t>
      </w:r>
      <w:r w:rsidR="003C7FB2">
        <w:rPr>
          <w:rFonts w:cs="Arial"/>
          <w:color w:val="2E2E2E"/>
        </w:rPr>
        <w:t xml:space="preserve"> </w:t>
      </w:r>
      <w:r w:rsidR="00670442">
        <w:rPr>
          <w:rFonts w:cs="Arial"/>
          <w:color w:val="2E2E2E"/>
        </w:rPr>
        <w:t>to</w:t>
      </w:r>
      <w:r w:rsidR="003C7FB2">
        <w:rPr>
          <w:rFonts w:cs="Arial"/>
          <w:color w:val="2E2E2E"/>
        </w:rPr>
        <w:t xml:space="preserve"> </w:t>
      </w:r>
      <w:r w:rsidR="00670442">
        <w:rPr>
          <w:rFonts w:cs="Arial"/>
          <w:color w:val="2E2E2E"/>
        </w:rPr>
        <w:t>work</w:t>
      </w:r>
      <w:r w:rsidR="00363B72">
        <w:rPr>
          <w:rFonts w:cs="Arial"/>
          <w:color w:val="2E2E2E"/>
        </w:rPr>
        <w:t>,</w:t>
      </w:r>
      <w:r w:rsidR="00156048">
        <w:rPr>
          <w:rFonts w:cs="Arial"/>
          <w:color w:val="2E2E2E"/>
        </w:rPr>
        <w:fldChar w:fldCharType="begin" w:fldLock="1"/>
      </w:r>
      <w:r w:rsidR="000B07A6">
        <w:rPr>
          <w:rFonts w:cs="Arial"/>
          <w:color w:val="2E2E2E"/>
        </w:rPr>
        <w:instrText>ADDIN CSL_CITATION { "citationItems" : [ { "id" : "ITEM-1", "itemData" : { "DOI" : "10.1136/jech-2014-205211", "ISSN" : "1470-2738", "PMID" : "25954024", "abstract" : "BACKGROUND: Active commuting is associated with various health benefits, but little is known about its causal relationship with body mass index (BMI).\n\nMETHODS: We used cohort data from three consecutive annual waves of the British Household Panel Survey, a longitudinal study of nationally representative households, in 2004/2005 (n=15\u2005791), 2005/2006 and 2006/2007. Participants selected for the analyses (n=4056) reported their usual main mode of travel to work at each time point. Self-reported height and weight were used to derive BMI at baseline and after 2\u2005years. Multivariable linear regression analyses were used to assess associations between switching to and from active modes of travel (over 1 and 2\u2005years) and change in BMI (over 2\u2005years) and to assess dose-response relationships.\n\nRESULTS: After adjustment for socioeconomic and health-related covariates, the first analysis (n=3269) showed that switching from private motor transport to active travel or public transport (n=179) was associated with a significant reduction in BMI compared with continued private motor vehicle use (n=3090; -0.32\u2005kg/m(2), 95% CI -0.60 to -0.05). Larger adjusted effect sizes were associated with switching to active travel (n=109; -0.45\u2005kg/m(2), -0.78 to -0.11), particularly among those who switched within the first year and those with the longest journeys. The second analysis (n=787) showed that switching from active travel or public transport to private motor transport was associated with a significant increase in BMI (0.34\u2005kg/m(2), 0.05 to 0.64).\n\nCONCLUSIONS: Interventions to enable commuters to switch from private motor transport to more active modes of travel could contribute to reducing population mean BMI.", "author" : [ { "dropping-particle" : "", "family" : "Martin", "given" : "Adam", "non-dropping-particle" : "", "parse-names" : false, "suffix" : "" }, { "dropping-particle" : "", "family" : "Panter", "given" : "Jenna", "non-dropping-particle" : "", "parse-names" : false, "suffix" : "" }, { "dropping-particle" : "", "family" : "Suhrcke", "given" : "Marc", "non-dropping-particle" : "", "parse-names" : false, "suffix" : "" }, { "dropping-particle" : "", "family" : "Ogilvie", "given" : "David", "non-dropping-particle" : "", "parse-names" : false, "suffix" : "" } ], "container-title" : "Journal of epidemiology and community health", "id" : "ITEM-1", "issue" : "8", "issued" : { "date-parts" : [ [ "2015", "5", "7" ] ] }, "page" : "753-61", "title" : "Impact of changes in mode of travel to work on changes in body mass index: evidence from the British Household Panel Survey.", "type" : "article-journal", "volume" : "69" }, "uris" : [ "http://www.mendeley.com/documents/?uuid=9729e467-b20c-4026-a548-9d0eb07535fc" ] }, { "id" : "ITEM-2", "itemData" : { "DOI" : "10.1016/j.ypmed.2007.07.012", "ISSN" : "0091-7435", "PMID" : "17706273", "abstract" : "OBJECTIVES: To investigate the association between means of transportation to work and overweight+obesity and obesity. METHODS: The 2004 public health survey in Sk\u00e5ne is a cross-sectional postal questionnaire study of the population aged 18-80 with a 59% response rate including 16,705 employed participants. RESULTS: Forty-six percent of men and 26.6% of women were overweight (BMI 25.0-29.9); 11.6% of men and 10.3% of women were obese (BMI 30.0-); 18.2% of men and 25.9% of women bicycled and/or walked to work and 10.4% and 16.2% used public transportation, respectively. In contrast, 68.3% of men and 55.8% of women went to work by car. The odds ratios of overweight+obesity among persons who walked or bicycled were significantly lower and remained 0.62 (95% CI 0.51-0.76) among men and 0.79 (95% CI 0.67-0.94) among women in the models including all confounders compared to the car driving reference category. The odds ratios of obesity were initially significantly lower among both men and women who walked or bicycled, but in the final models only among women. The odds ratios of overweight+obesity as well as obesity were also lower among men using public transportation. CONCLUSIONS: Walking and bicycling to work are significantly negatively associated with overweight+obesity and, to some extent, obesity. Public transportation is significantly negatively associated with overweight+obesity and obesity among men.", "author" : [ { "dropping-particle" : "", "family" : "Lindstr\u00f6m", "given" : "Martin", "non-dropping-particle" : "", "parse-names" : false, "suffix" : "" } ], "container-title" : "Preventive medicine", "id" : "ITEM-2", "issue" : "1", "issued" : { "date-parts" : [ [ "2008", "1" ] ] }, "note" : "w+c combined", "page" : "22-8", "title" : "Means of transportation to work and overweight and obesity: a population-based study in southern Sweden.", "type" : "article-journal", "volume" : "46" }, "uris" : [ "http://www.mendeley.com/documents/?uuid=3ff9ea2e-ab2a-46f6-a24b-f59ac38b989c" ] }, { "id" : "ITEM-3", "itemData" : { "DOI" : "10.1186/s12966-015-0223-3", "ISSN" : "1479-5868", "PMID" : "25986001", "abstract" : "BACKGROUND: There is little published data on the potential health benefits of active travel in low and middle-income countries. This is despite increasing levels of adiposity being linked to increases in physical inactivity and non-communicable diseases. This study will examine: (1) socio-demographic correlates of using active travel (walking or cycling for transport) among older adults in six populous middle-income countries (2) whether use of active travel is associated with adiposity, systolic blood pressure and self-reported diabetes in these countries.\n\nMETHODS: Data are from the WHO Study on Global Ageing and Adult Health (SAGE) of China, India, Mexico, Ghana, Russia and South Africa with a total sample size of 40,477. Correlates of active travel (\u2265150\u00a0min/week) were examined using logistic regression. Logistic and linear regression analyses were used to examine health related outcomes according to three groups of active travel use per week.\n\nRESULTS: 46.4\u00a0% of the sample undertook \u2265150\u00a0min of active travel per week (range South Africa: 21.9\u00a0% Ghana: 57.8\u00a0%). In pooled analyses those in wealthier households were less likely to meet this level of active travel (Adjusted Risk Ratio (ARR) 0.77, 95\u00a0% Confidence Intervals 0.67; 0.88 wealthiest fifth vs. poorest). Older people and women were also less likely to use active travel for \u2265150\u00a0min per week (ARR 0.71, 0.62; 0.80 those aged 70+ years vs. 18-29 years old, ARR 0.82, 0.74; 0.91 women vs. men). In pooled fully adjusted analyses, high use of active travel was associated with lower risk of overweight (ARR 0.71, 0.59; 0.86), high waist-to-hip ratio (ARR 0.71, 0.61; 0.84) and lower BMI (-0.54\u00a0kg/m(2), -0.98;- 0.11). Moderate (31-209\u00a0min/week) and high use (\u2265210\u00a0min/week) of active travel was associated with lower waist circumference (-1.52\u00a0cm (-2.40; -0.65) and -2.16\u00a0cm (3.07; -1.26)), and lower systolic blood pressure (-1.63\u00a0mm/Hg (-3.19; -0.06) and -2.33\u00a0mm/Hg (-3.98; -0.69)).\n\nCONCLUSIONS: In middle-income countries use of active travel for \u2265150\u00a0min per week is more common in lower socio-economic groups and appears to confer similar health benefits to those identified in high-income settings. Efforts to increase active travel levels should be integral to strategies to maintain healthy weight and reduce disease burden in these settings.", "author" : [ { "dropping-particle" : "", "family" : "Laverty", "given" : "Anthony A", "non-dropping-particle" : "", "parse-names" : false, "suffix" : "" }, { "dropping-particle" : "", "family" : "Palladino", "given" : "Raffaele", "non-dropping-particle" : "", "parse-names" : false, "suffix" : "" }, { "dropping-particle" : "", "family" : "Lee", "given" : "John Tayu", "non-dropping-particle" : "", "parse-names" : false, "suffix" : "" }, { "dropping-particle" : "", "family" : "Millett", "given" : "Christopher", "non-dropping-particle" : "", "parse-names" : false, "suffix" : "" } ], "container-title" : "The international journal of behavioral nutrition and physical activity", "id" : "ITEM-3", "issue" : "1", "issued" : { "date-parts" : [ [ "2015", "5", "20" ] ] }, "note" : "w+C combined", "page" : "65", "title" : "Associations between active travel and weight, blood pressure and diabetes in six middle income countries: a cross-sectional study in older adults.", "type" : "article-journal", "volume" : "12" }, "uris" : [ "http://www.mendeley.com/documents/?uuid=47edd7ae-8998-4388-8291-d32c785aada6" ] }, { "id" : "ITEM-4", "itemData" : { "DOI" : "10.1016/j.amepre.2013.04.012", "ISSN" : "1873-2607", "PMID" : "23953354", "abstract" : "BACKGROUND: Increasing active travel (walking, cycling, public transport) is increasingly seen as integral to strategies to raise physical activity levels. PURPOSE: This study examined (1) sociodemographic correlates of active travel to work and (2) associations between active travel and cardiovascular risk factors in the United Kingdom (UK). METHODS: Data come from Understanding Society, a nationally representative survey of UK residents in 2009/2011, analyzed in 2012. Multinomial logistic regression assessed associations between sociodemographic factors and mode of transport to work. Linear and logistic regression was used to examine associations between mode of travel and overweight/obesity, and having hypertension or diabetes. RESULTS: A total of 69% of participants traveled to work using private transport, with public transport, walking, and cycling used by 16%, 12%, and 3%, respectively. Use of any active travel was more likely in participants living in London. Black participants were more likely to walk (AOR=1.41, 95% CI=1.08, 1.84) or take public transport (AOR=2.34, 95% CI=1.88, 2.90) to work than whites. Using public transport, walking, or cycling to work was associated with a lower likelihood of being overweight (AOR=0.80, 95% CI=0.54, 0.88 for walking). Walking or cycling was associated with a lower likelihood of having diabetes, and walking was associated with a lower likelihood of having hypertension than private transport (AOR=0.83, 95% CI=0.71, 0.97). CONCLUSIONS: There are wide variations in the mode of travel to work across regions and sociodemographic groups in the UK. The protective association between active travel and cardiovascular risk demonstrated in this nationally representative study adds to growing evidence that concerted policy focus in this area may benefit population health.", "author" : [ { "dropping-particle" : "", "family" : "Laverty", "given" : "Anthony A", "non-dropping-particle" : "", "parse-names" : false, "suffix" : "" }, { "dropping-particle" : "", "family" : "Mindell", "given" : "Jennifer S", "non-dropping-particle" : "", "parse-names" : false, "suffix" : "" }, { "dropping-particle" : "", "family" : "Webb", "given" : "Elizabeth A", "non-dropping-particle" : "", "parse-names" : false, "suffix" : "" }, { "dropping-particle" : "", "family" : "Millett", "given" : "Christopher", "non-dropping-particle" : "", "parse-names" : false, "suffix" : "" } ], "container-title" : "American journal of preventive medicine", "id" : "ITEM-4", "issue" : "3", "issued" : { "date-parts" : [ [ "2013", "9" ] ] }, "note" : "From Duplicate 1 (Active travel to work and cardiovascular risk factors in the United Kingdom. - Laverty, Anthony A; Mindell, Jennifer S; Webb, Elizabeth A; Millett, Christopher)\n\nW+c split", "page" : "282-8", "title" : "Active travel to work and cardiovascular risk factors in the United Kingdom.", "type" : "article-journal", "volume" : "45" }, "uris" : [ "http://www.mendeley.com/documents/?uuid=de4e6781-17c6-4a1a-9631-32286ada1421" ] }, { "id" : "ITEM-5", "itemData" : { "DOI" : "10.3390/ijerph13050455", "ISSN" : "1660-4601", "abstract" : "Active traveling to a daily occupation means that an individual uses an active way of traveling between two destinations. Active travel to work or other daily occupations offers a convenient way to increase physical activity levels which is known to have positive effects on several health outcomes. Frequently used concepts in city planning and regional planning today are to create environments for active commuting and active living. Even then, little research has focused on traveling modes and subjective health outcomes such as self-rated health (SRH). This study aimed to explore and investigate associations between travel mode and health-related outcomes, such as self-rated health (SRH), body mass index (BMI) and overall physical activity, in an adult population in Sweden. A cross-sectional study was conducted in a randomly selected population-based sample (n = 1786, age 45\u201375 years); the respondents completed a questionnaire about their regular travel mode, demographics, lifestyle, BMI and SRH. Chi-square tests and logistic regressions found that inactive traveling was associated with poor SRH, a greater risk of obesity or being overweight and overall physical inactivity. In addition, lifestyle factors, such as choice of food and smoking habits, were associated with SRH, BMI and overall physical activity.", "author" : [ { "dropping-particle" : "", "family" : "Berglund", "given" : "Erik", "non-dropping-particle" : "", "parse-names" : false, "suffix" : "" }, { "dropping-particle" : "", "family" : "Lytsy", "given" : "Per", "non-dropping-particle" : "", "parse-names" : false, "suffix" : "" }, { "dropping-particle" : "", "family" : "Westerling", "given" : "Ragnar", "non-dropping-particle" : "", "parse-names" : false, "suffix" : "" } ], "container-title" : "International Journal of Environmental Research and Public Health", "id" : "ITEM-5", "issue" : "5", "issued" : { "date-parts" : [ [ "2016", "4", "28" ] ] }, "page" : "455", "publisher" : "Multidisciplinary Digital Publishing Institute", "title" : "Active Traveling and Its Associations with Self-Rated Health, BMI and Physical Activity: A Comparative Study in the Adult Swedish Population", "type" : "article-journal", "volume" : "13" }, "uris" : [ "http://www.mendeley.com/documents/?uuid=cb7ac5d2-9957-3c8f-97ec-ac03f0501cd7" ] }, { "id" : "ITEM-6", "itemData" : { "DOI" : "10.1136/bmj.g4887", "ISSN" : "1756-1833", "abstract" : "Objective To determine if promotion of active modes of travel is an effective strategy for obesity prevention by assessing whether active commuting (walking or cycling for all or part of the journey to work) is independently associated with objectively assessed biological markers of obesity. Design Cross sectional study of data from the wave 2 Health Assessment subsample of Understanding Society, the UK Household Longitudinal Study (UKHLS). The exposure of interest, commuting mode, was self reported and categorised as three categories: private transport, public transport, and active transport. Participants The analytic samples (7534 for body mass index (BMI) analysis, 7424 for percentage body fat analysis) were drawn from the representative subsample of wave 2 respondents of UKHLS who provided health assessment data (n=15 777). Main outcome measures Body mass index (weight (kg)/height (m)2); percentage body fat (measured by electrical impedance). Results Results from multivariate linear regression analyses suggest that, compared with using private transport, commuting by public or active transport modes was significantly and independently predictive of lower BMI for both men and women. In fully adjusted models, men who commuted via public or active modes had BMI scores 1.10 (95% CI 0.53 to 1.67) and 0.97 (0.40 to 1.55) points lower, respectively, than those who used private transport. Women who commuted via public or active modes had BMI scores 0.72 (0.06 to 1.37) and 0.87 (0.36 to 0.87) points lower, respectively, than those using private transport. Results for percentage body fat were similar in terms of magnitude, significance, and direction of effects. Conclusions Men and women who commuted to work by active and public modes of transport had significantly lower BMI and percentage body fat than their counterparts who used private transport. These associations were not attenuated by adjustment for a range of hypothesised confounding factors.", "author" : [ { "dropping-particle" : "", "family" : "Flint", "given" : "E.", "non-dropping-particle" : "", "parse-names" : false, "suffix" : "" }, { "dropping-particle" : "", "family" : "Cummins", "given" : "S.", "non-dropping-particle" : "", "parse-names" : false, "suffix" : "" }, { "dropping-particle" : "", "family" : "Sacker", "given" : "A.", "non-dropping-particle" : "", "parse-names" : false, "suffix" : "" } ], "container-title" : "BMJ", "id" : "ITEM-6", "issue" : "aug19 13", "issued" : { "date-parts" : [ [ "2014", "8", "19" ] ] }, "page" : "g4887-g4887", "title" : "Associations between active commuting, body fat, and body mass index: population based, cross sectional study in the United Kingdom", "type" : "article-journal", "volume" : "349" }, "uris" : [ "http://www.mendeley.com/documents/?uuid=8787743b-b3b9-4811-8179-d88afe555721" ] }, { "id" : "ITEM-7", "itemData" : { "DOI" : "10.1111/1753-6405.12097", "ISSN" : "1753-6405", "PMID" : "24494941", "abstract" : "OBJECTIVE: This study describes the prevalence of walking and cycling to work in New South Wales (NSW) from 2005-2010. It examines the demographic characteristics of those people walking and cycling to work and the association of walking and cycling with body mass index (BMI).\n\nMETHODS: Data from the NSW Continuous Health Survey, a telephone survey of health indicators among a representative sample of residents aged 16 years or over, were used.\n\nRESULTS: There were no changes in the proportions of employed respondents walking or cycling to work in NSW from 2005 to 2010, with estimates ranging from 5.1-7.3% usually walking, and 1.4-1.8% usually cycling. People who walked (adjusted odds ratio [AOR]=1.07, 95%CI 1.00-1.14) or cycled (AOR=1.22, 95%CI 1.14-1.32) to work had higher levels of education, after adjusting for age, sex, income and residence.\n\nCONCLUSIONS: There has been no overall increase in active commuting in NSW (2005-2010). Better efforts to communicate the benefits of active travel and less sedentary travel are warranted, in particular among those with lower levels of education.\n\nIMPLICATIONS: More interventions are needed to encourage walking and cycling to work, in order to gain significant benefits in terms of maintaining a healthy weight.", "author" : [ { "dropping-particle" : "", "family" : "Rissel", "given" : "Chris", "non-dropping-particle" : "", "parse-names" : false, "suffix" : "" }, { "dropping-particle" : "", "family" : "Greenaway", "given" : "Mark", "non-dropping-particle" : "", "parse-names" : false, "suffix" : "" }, { "dropping-particle" : "", "family" : "Bauman", "given" : "Adrian", "non-dropping-particle" : "", "parse-names" : false, "suffix" : "" }, { "dropping-particle" : "", "family" : "Wen", "given" : "Li Ming", "non-dropping-particle" : "", "parse-names" : false, "suffix" : "" } ], "container-title" : "Australian and New Zealand journal of public health", "id" : "ITEM-7", "issue" : "1", "issued" : { "date-parts" : [ [ "2014", "3" ] ] }, "page" : "25-9", "title" : "Active travel to work in New South Wales 2005-2010, individual characteristics and association with body mass index.", "type" : "article-journal", "volume" : "38" }, "uris" : [ "http://www.mendeley.com/documents/?uuid=af082963-ce36-4001-b868-7fdc9b7631f1" ] }, { "id" : "ITEM-8", "itemData" : { "DOI" : "10.1371/journal.pmed.1001459", "ISSN" : "1549-1676", "PMID" : "23776412", "abstract" : "BACKGROUND: Increasing active travel (walking, bicycling, and public transport) is promoted as a key strategy to increase physical activity and reduce the growing burden of noncommunicable diseases (NCDs) globally. Little is known about patterns of active travel or associated cardiovascular health benefits in low- and middle-income countries. This study examines mode and duration of travel to work in rural and urban India and associations between active travel and overweight, hypertension, and diabetes. METHODS AND FINDINGS: Cross-sectional study of 3,902 participants (1,366 rural, 2,536 urban) in the Indian Migration Study. Associations between mode and duration of active travel and cardiovascular risk factors were assessed using random-effect logistic regression models adjusting for age, sex, caste, standard of living, occupation, factory location, leisure time physical activity, daily fat intake, smoking status, and alcohol use. Rural dwellers were significantly more likely to bicycle (68.3% versus 15.9%; p&lt;0.001) to work than urban dwellers. The prevalence of overweight or obesity was 50.0%, 37.6%, 24.2%, 24.9%; hypertension was 17.7%, 11.8%, 6.5%, 9.8%; and diabetes was 10.8%, 7.4%, 3.8%, 7.3% in participants who travelled to work by private transport, public transport, bicycling, and walking, respectively. In the adjusted analysis, those walking (adjusted risk ratio [ARR] 0.72; 95% CI 0.58-0.88) or bicycling to work (ARR 0.66; 95% CI 0.55-0.77) were significantly less likely to be overweight or obese than those travelling by private transport. Those bicycling to work were significantly less likely to have hypertension (ARR 0.51; 95% CI 0.36-0.71) or diabetes (ARR 0.65; 95% CI 0.44-0.95). There was evidence of a dose-response relationship between duration of bicycling to work and being overweight, having hypertension or diabetes. The main limitation of the study is the cross-sectional design, which limits causal inference for the associations found. CONCLUSIONS: Walking and bicycling to work was associated with reduced cardiovascular risk in the Indian population. Efforts to increase active travel in urban areas and halt declines in rural areas should be integral to strategies to maintain healthy weight and prevent NCDs in India. Please see later in the article for the Editors' Summary.", "author" : [ { "dropping-particle" : "", "family" : "Millett", "given" : "Christopher", "non-dropping-particle" : "", "parse-names" : false, "suffix" : "" }, { "dropping-particle" : "", "family" : "Agrawal", "given" : "Sutapa", "non-dropping-particle" : "", "parse-names" : false, "suffix" : "" }, { "dropping-particle" : "", "family" : "Sullivan", "given" : "Ruth", "non-dropping-particle" : "", "parse-names" : false, "suffix" : "" }, { "dropping-particle" : "", "family" : "Vaz", "given" : "Mario", "non-dropping-particle" : "", "parse-names" : false, "suffix" : "" }, { "dropping-particle" : "", "family" : "Kurpad", "given" : "Anura", "non-dropping-particle" : "", "parse-names" : false, "suffix" : "" }, { "dropping-particle" : "V.", "family" : "Bharathi", "given" : "A.", "non-dropping-particle" : "", "parse-names" : false, "suffix" : "" }, { "dropping-particle" : "", "family" : "Prabhakaran", "given" : "Dorairaj", "non-dropping-particle" : "", "parse-names" : false, "suffix" : "" }, { "dropping-particle" : "", "family" : "Reddy", "given" : "KSPD Kolli Srinath", "non-dropping-particle" : "", "parse-names" : false, "suffix" : "" }, { "dropping-particle" : "", "family" : "Kinra", "given" : "Sanjay", "non-dropping-particle" : "", "parse-names" : false, "suffix" : "" }, { "dropping-particle" : "", "family" : "Smith", "given" : "GD George Davey", "non-dropping-particle" : "", "parse-names" : false, "suffix" : "" }, { "dropping-particle" : "", "family" : "Ebrahim", "given" : "Shah", "non-dropping-particle" : "", "parse-names" : false, "suffix" : "" }, { "dropping-particle" : "", "family" : "Group", "given" : "for the Indian Migration Study", "non-dropping-particle" : "", "parse-names" : false, "suffix" : "" } ], "container-title" : "PLoS medicine", "editor" : [ { "dropping-particle" : "", "family" : "Bhalla", "given" : "Kavi", "non-dropping-particle" : "", "parse-names" : false, "suffix" : "" } ], "id" : "ITEM-8", "issue" : "6", "issued" : { "date-parts" : [ [ "2013", "1", "11" ] ] }, "note" : "From Duplicate 2 (Associations between active travel to work and overweight, hypertension, and diabetes in India: a cross-sectional study. - Millett, Christopher; Agrawal, Sutapa; Sullivan, Ruth; Vaz, Mario; Kurpad, Anura; Bharathi, A V; Prabhakaran, Dorairaj; Reddy, Kolli Srinath; Kinra, Sanjay; Smith, George Davey; Ebrahim, Shah)\n\nseparate estimates for w+C", "page" : "e1001459", "publisher" : "Public Library of Science", "title" : "Associations between active travel to work and overweight, hypertension, and diabetes in India: a cross-sectional study.", "type" : "article-journal", "volume" : "10" }, "uris" : [ "http://www.mendeley.com/documents/?uuid=246315b3-3a61-4417-8831-b4fc4fbf04a3" ] } ], "mendeley" : { "formattedCitation" : "(Berglund et al., 2016; Flint et al., 2014; Laverty et al., 2015, 2013; Lindstr\u00f6m, 2008; Martin et al., 2015; Millett et al., 2013; Rissel et al., 2014)", "plainTextFormattedCitation" : "(Berglund et al., 2016; Flint et al., 2014; Laverty et al., 2015, 2013; Lindstr\u00f6m, 2008; Martin et al., 2015; Millett et al., 2013; Rissel et al., 2014)", "previouslyFormattedCitation" : "(Berglund et al., 2016; Flint et al., 2014; Laverty et al., 2015, 2013; Lindstr\u00f6m, 2008; Martin et al., 2015; Millett et al., 2013; Rissel et al., 2014)" }, "properties" : { "noteIndex" : 0 }, "schema" : "https://github.com/citation-style-language/schema/raw/master/csl-citation.json" }</w:instrText>
      </w:r>
      <w:r w:rsidR="00156048">
        <w:rPr>
          <w:rFonts w:cs="Arial"/>
          <w:color w:val="2E2E2E"/>
        </w:rPr>
        <w:fldChar w:fldCharType="separate"/>
      </w:r>
      <w:r w:rsidR="00B71669" w:rsidRPr="00B71669">
        <w:rPr>
          <w:rFonts w:cs="Arial"/>
          <w:noProof/>
          <w:color w:val="2E2E2E"/>
        </w:rPr>
        <w:t>(Berglund et al., 2016; Flint et al., 2014; Laverty et al., 2015, 2013; Lindström, 2008; Martin et al., 2015; Millett et al., 2013; Rissel et al., 2014)</w:t>
      </w:r>
      <w:r w:rsidR="00156048">
        <w:rPr>
          <w:rFonts w:cs="Arial"/>
          <w:color w:val="2E2E2E"/>
        </w:rPr>
        <w:fldChar w:fldCharType="end"/>
      </w:r>
      <w:r w:rsidR="003C7FB2">
        <w:rPr>
          <w:rFonts w:cs="Arial"/>
          <w:color w:val="2E2E2E"/>
        </w:rPr>
        <w:t xml:space="preserve"> </w:t>
      </w:r>
      <w:r w:rsidR="00DC5D04">
        <w:rPr>
          <w:rFonts w:cs="Arial"/>
          <w:color w:val="2E2E2E"/>
        </w:rPr>
        <w:t>comparing</w:t>
      </w:r>
      <w:r w:rsidR="003C7FB2">
        <w:rPr>
          <w:rFonts w:cs="Arial"/>
          <w:color w:val="2E2E2E"/>
        </w:rPr>
        <w:t xml:space="preserve"> </w:t>
      </w:r>
      <w:r w:rsidR="00BD6685">
        <w:rPr>
          <w:rFonts w:cs="Arial"/>
          <w:color w:val="2E2E2E"/>
        </w:rPr>
        <w:t>car-use</w:t>
      </w:r>
      <w:r w:rsidR="003C7FB2">
        <w:rPr>
          <w:rFonts w:cs="Arial"/>
          <w:color w:val="2E2E2E"/>
        </w:rPr>
        <w:t xml:space="preserve"> </w:t>
      </w:r>
      <w:r w:rsidR="00BD6685">
        <w:rPr>
          <w:rFonts w:cs="Arial"/>
          <w:color w:val="2E2E2E"/>
        </w:rPr>
        <w:t>with</w:t>
      </w:r>
      <w:r w:rsidR="003C7FB2">
        <w:rPr>
          <w:rFonts w:cs="Arial"/>
          <w:color w:val="2E2E2E"/>
        </w:rPr>
        <w:t xml:space="preserve"> </w:t>
      </w:r>
      <w:r w:rsidR="00E96F2D">
        <w:rPr>
          <w:rFonts w:cs="Arial"/>
          <w:color w:val="2E2E2E"/>
        </w:rPr>
        <w:t>walking</w:t>
      </w:r>
      <w:r w:rsidR="003C7FB2">
        <w:rPr>
          <w:rFonts w:cs="Arial"/>
          <w:color w:val="2E2E2E"/>
        </w:rPr>
        <w:t xml:space="preserve"> </w:t>
      </w:r>
      <w:r w:rsidR="00DC5D04">
        <w:rPr>
          <w:rFonts w:cs="Arial"/>
          <w:color w:val="2E2E2E"/>
        </w:rPr>
        <w:t>and</w:t>
      </w:r>
      <w:r w:rsidR="003C7FB2">
        <w:rPr>
          <w:rFonts w:cs="Arial"/>
          <w:color w:val="2E2E2E"/>
        </w:rPr>
        <w:t xml:space="preserve"> </w:t>
      </w:r>
      <w:r w:rsidR="00E96F2D">
        <w:rPr>
          <w:rFonts w:cs="Arial"/>
          <w:color w:val="2E2E2E"/>
        </w:rPr>
        <w:t>cycling.</w:t>
      </w:r>
      <w:r w:rsidR="003C7FB2">
        <w:rPr>
          <w:rFonts w:cs="Arial"/>
          <w:color w:val="2E2E2E"/>
        </w:rPr>
        <w:t xml:space="preserve"> </w:t>
      </w:r>
      <w:r>
        <w:rPr>
          <w:rFonts w:cs="Arial"/>
          <w:color w:val="2E2E2E"/>
        </w:rPr>
        <w:t>T</w:t>
      </w:r>
      <w:r w:rsidR="00F149F8">
        <w:rPr>
          <w:rFonts w:cs="Arial"/>
          <w:color w:val="2E2E2E"/>
        </w:rPr>
        <w:t>his</w:t>
      </w:r>
      <w:r w:rsidR="003C7FB2">
        <w:rPr>
          <w:rFonts w:cs="Arial"/>
          <w:color w:val="2E2E2E"/>
        </w:rPr>
        <w:t xml:space="preserve"> </w:t>
      </w:r>
      <w:r>
        <w:rPr>
          <w:rFonts w:cs="Arial"/>
          <w:color w:val="2E2E2E"/>
        </w:rPr>
        <w:t>may</w:t>
      </w:r>
      <w:r w:rsidR="003C7FB2">
        <w:rPr>
          <w:rFonts w:cs="Arial"/>
          <w:color w:val="2E2E2E"/>
        </w:rPr>
        <w:t xml:space="preserve"> </w:t>
      </w:r>
      <w:r w:rsidR="00F149F8">
        <w:rPr>
          <w:rFonts w:cs="Arial"/>
          <w:color w:val="2E2E2E"/>
        </w:rPr>
        <w:t>result</w:t>
      </w:r>
      <w:r w:rsidR="003C7FB2">
        <w:rPr>
          <w:rFonts w:cs="Arial"/>
          <w:color w:val="2E2E2E"/>
        </w:rPr>
        <w:t xml:space="preserve"> </w:t>
      </w:r>
      <w:r w:rsidR="00F149F8">
        <w:rPr>
          <w:rFonts w:cs="Arial"/>
          <w:color w:val="2E2E2E"/>
        </w:rPr>
        <w:t>in</w:t>
      </w:r>
      <w:r w:rsidR="003C7FB2">
        <w:rPr>
          <w:rFonts w:cs="Arial"/>
          <w:color w:val="2E2E2E"/>
        </w:rPr>
        <w:t xml:space="preserve"> </w:t>
      </w:r>
      <w:r w:rsidR="00F149F8">
        <w:rPr>
          <w:rFonts w:cs="Arial"/>
          <w:color w:val="2E2E2E"/>
        </w:rPr>
        <w:t>a</w:t>
      </w:r>
      <w:r w:rsidR="003C7FB2">
        <w:rPr>
          <w:rFonts w:cs="Arial"/>
          <w:color w:val="2E2E2E"/>
        </w:rPr>
        <w:t xml:space="preserve"> </w:t>
      </w:r>
      <w:r w:rsidR="009B2D5C">
        <w:rPr>
          <w:rFonts w:cs="Arial"/>
          <w:color w:val="2E2E2E"/>
        </w:rPr>
        <w:t>biased</w:t>
      </w:r>
      <w:r w:rsidR="003C7FB2">
        <w:rPr>
          <w:rFonts w:cs="Arial"/>
          <w:color w:val="2E2E2E"/>
        </w:rPr>
        <w:t xml:space="preserve"> </w:t>
      </w:r>
      <w:r w:rsidR="009B2D5C">
        <w:rPr>
          <w:rFonts w:cs="Arial"/>
          <w:color w:val="2E2E2E"/>
        </w:rPr>
        <w:t>comparison</w:t>
      </w:r>
      <w:r w:rsidR="0076360D">
        <w:rPr>
          <w:rFonts w:cs="Arial"/>
          <w:color w:val="2E2E2E"/>
        </w:rPr>
        <w:t>,</w:t>
      </w:r>
      <w:r w:rsidR="003C7FB2">
        <w:rPr>
          <w:rFonts w:cs="Arial"/>
          <w:color w:val="2E2E2E"/>
        </w:rPr>
        <w:t xml:space="preserve"> </w:t>
      </w:r>
      <w:r>
        <w:rPr>
          <w:rFonts w:cs="Arial"/>
          <w:color w:val="2E2E2E"/>
        </w:rPr>
        <w:t>because</w:t>
      </w:r>
      <w:r w:rsidR="003C7FB2">
        <w:rPr>
          <w:rFonts w:cs="Arial"/>
          <w:color w:val="2E2E2E"/>
        </w:rPr>
        <w:t xml:space="preserve"> </w:t>
      </w:r>
      <w:r w:rsidR="009B2D5C">
        <w:rPr>
          <w:rFonts w:cs="Arial"/>
          <w:color w:val="2E2E2E"/>
        </w:rPr>
        <w:t>p</w:t>
      </w:r>
      <w:r w:rsidR="00525BBE">
        <w:rPr>
          <w:rFonts w:cs="Arial"/>
          <w:color w:val="2E2E2E"/>
        </w:rPr>
        <w:t>eople</w:t>
      </w:r>
      <w:r w:rsidR="003C7FB2">
        <w:rPr>
          <w:rFonts w:cs="Arial"/>
          <w:color w:val="2E2E2E"/>
        </w:rPr>
        <w:t xml:space="preserve"> </w:t>
      </w:r>
      <w:r w:rsidR="00525BBE">
        <w:rPr>
          <w:rFonts w:cs="Arial"/>
          <w:color w:val="2E2E2E"/>
        </w:rPr>
        <w:t>who</w:t>
      </w:r>
      <w:r w:rsidR="003C7FB2">
        <w:rPr>
          <w:rFonts w:cs="Arial"/>
          <w:color w:val="2E2E2E"/>
        </w:rPr>
        <w:t xml:space="preserve"> </w:t>
      </w:r>
      <w:r w:rsidR="00525BBE">
        <w:rPr>
          <w:rFonts w:cs="Arial"/>
          <w:color w:val="2E2E2E"/>
        </w:rPr>
        <w:t>live</w:t>
      </w:r>
      <w:r w:rsidR="003C7FB2">
        <w:rPr>
          <w:rFonts w:cs="Arial"/>
          <w:color w:val="2E2E2E"/>
        </w:rPr>
        <w:t xml:space="preserve"> </w:t>
      </w:r>
      <w:r w:rsidR="00525BBE">
        <w:rPr>
          <w:rFonts w:cs="Arial"/>
          <w:color w:val="2E2E2E"/>
        </w:rPr>
        <w:t>near</w:t>
      </w:r>
      <w:r w:rsidR="003C7FB2">
        <w:rPr>
          <w:rFonts w:cs="Arial"/>
          <w:color w:val="2E2E2E"/>
        </w:rPr>
        <w:t xml:space="preserve"> </w:t>
      </w:r>
      <w:r w:rsidR="00525BBE">
        <w:rPr>
          <w:rFonts w:cs="Arial"/>
          <w:color w:val="2E2E2E"/>
        </w:rPr>
        <w:t>to</w:t>
      </w:r>
      <w:r w:rsidR="003C7FB2">
        <w:rPr>
          <w:rFonts w:cs="Arial"/>
          <w:color w:val="2E2E2E"/>
        </w:rPr>
        <w:t xml:space="preserve"> </w:t>
      </w:r>
      <w:r w:rsidR="00525BBE">
        <w:rPr>
          <w:rFonts w:cs="Arial"/>
          <w:color w:val="2E2E2E"/>
        </w:rPr>
        <w:t>work</w:t>
      </w:r>
      <w:r w:rsidR="003C7FB2">
        <w:rPr>
          <w:rFonts w:cs="Arial"/>
          <w:color w:val="2E2E2E"/>
        </w:rPr>
        <w:t xml:space="preserve"> </w:t>
      </w:r>
      <w:r>
        <w:rPr>
          <w:rFonts w:cs="Arial"/>
          <w:color w:val="2E2E2E"/>
        </w:rPr>
        <w:t>(and</w:t>
      </w:r>
      <w:r w:rsidR="003C7FB2">
        <w:rPr>
          <w:rFonts w:cs="Arial"/>
          <w:color w:val="2E2E2E"/>
        </w:rPr>
        <w:t xml:space="preserve"> </w:t>
      </w:r>
      <w:r w:rsidR="0076360D">
        <w:rPr>
          <w:rFonts w:cs="Arial"/>
          <w:color w:val="2E2E2E"/>
        </w:rPr>
        <w:t>therefore</w:t>
      </w:r>
      <w:r w:rsidR="003C7FB2">
        <w:rPr>
          <w:rFonts w:cs="Arial"/>
          <w:color w:val="2E2E2E"/>
        </w:rPr>
        <w:t xml:space="preserve"> </w:t>
      </w:r>
      <w:r>
        <w:rPr>
          <w:rFonts w:cs="Arial"/>
          <w:color w:val="2E2E2E"/>
        </w:rPr>
        <w:t>could</w:t>
      </w:r>
      <w:r w:rsidR="003C7FB2">
        <w:rPr>
          <w:rFonts w:cs="Arial"/>
          <w:color w:val="2E2E2E"/>
        </w:rPr>
        <w:t xml:space="preserve"> </w:t>
      </w:r>
      <w:r w:rsidR="00F149F8">
        <w:rPr>
          <w:rFonts w:cs="Arial"/>
          <w:color w:val="2E2E2E"/>
        </w:rPr>
        <w:t>cycle</w:t>
      </w:r>
      <w:r w:rsidR="003C7FB2">
        <w:rPr>
          <w:rFonts w:cs="Arial"/>
          <w:color w:val="2E2E2E"/>
        </w:rPr>
        <w:t xml:space="preserve"> </w:t>
      </w:r>
      <w:r w:rsidR="00F149F8">
        <w:rPr>
          <w:rFonts w:cs="Arial"/>
          <w:color w:val="2E2E2E"/>
        </w:rPr>
        <w:t>or</w:t>
      </w:r>
      <w:r w:rsidR="003C7FB2">
        <w:rPr>
          <w:rFonts w:cs="Arial"/>
          <w:color w:val="2E2E2E"/>
        </w:rPr>
        <w:t xml:space="preserve"> </w:t>
      </w:r>
      <w:r w:rsidR="00F149F8">
        <w:rPr>
          <w:rFonts w:cs="Arial"/>
          <w:color w:val="2E2E2E"/>
        </w:rPr>
        <w:t>walk</w:t>
      </w:r>
      <w:r w:rsidR="003C7FB2">
        <w:rPr>
          <w:rFonts w:cs="Arial"/>
          <w:color w:val="2E2E2E"/>
        </w:rPr>
        <w:t xml:space="preserve"> </w:t>
      </w:r>
      <w:r w:rsidR="0076360D">
        <w:rPr>
          <w:rFonts w:cs="Arial"/>
          <w:color w:val="2E2E2E"/>
        </w:rPr>
        <w:t>all</w:t>
      </w:r>
      <w:r w:rsidR="003C7FB2">
        <w:rPr>
          <w:rFonts w:cs="Arial"/>
          <w:color w:val="2E2E2E"/>
        </w:rPr>
        <w:t xml:space="preserve"> </w:t>
      </w:r>
      <w:r w:rsidR="0076360D">
        <w:rPr>
          <w:rFonts w:cs="Arial"/>
          <w:color w:val="2E2E2E"/>
        </w:rPr>
        <w:t>the</w:t>
      </w:r>
      <w:r w:rsidR="003C7FB2">
        <w:rPr>
          <w:rFonts w:cs="Arial"/>
          <w:color w:val="2E2E2E"/>
        </w:rPr>
        <w:t xml:space="preserve"> </w:t>
      </w:r>
      <w:r w:rsidR="0076360D">
        <w:rPr>
          <w:rFonts w:cs="Arial"/>
          <w:color w:val="2E2E2E"/>
        </w:rPr>
        <w:t>way</w:t>
      </w:r>
      <w:r>
        <w:rPr>
          <w:rFonts w:cs="Arial"/>
          <w:color w:val="2E2E2E"/>
        </w:rPr>
        <w:t>)</w:t>
      </w:r>
      <w:r w:rsidR="003C7FB2">
        <w:rPr>
          <w:rFonts w:cs="Arial"/>
          <w:color w:val="2E2E2E"/>
        </w:rPr>
        <w:t xml:space="preserve"> </w:t>
      </w:r>
      <w:r w:rsidR="009B2D5C">
        <w:rPr>
          <w:rFonts w:cs="Arial"/>
          <w:color w:val="2E2E2E"/>
        </w:rPr>
        <w:t>may</w:t>
      </w:r>
      <w:r w:rsidR="003C7FB2">
        <w:rPr>
          <w:rFonts w:cs="Arial"/>
          <w:color w:val="2E2E2E"/>
        </w:rPr>
        <w:t xml:space="preserve"> </w:t>
      </w:r>
      <w:r w:rsidR="009B2D5C">
        <w:rPr>
          <w:rFonts w:cs="Arial"/>
          <w:color w:val="2E2E2E"/>
        </w:rPr>
        <w:t>be</w:t>
      </w:r>
      <w:r w:rsidR="003C7FB2">
        <w:rPr>
          <w:rFonts w:cs="Arial"/>
          <w:color w:val="2E2E2E"/>
        </w:rPr>
        <w:t xml:space="preserve"> </w:t>
      </w:r>
      <w:r w:rsidR="009B2D5C">
        <w:rPr>
          <w:rFonts w:cs="Arial"/>
          <w:color w:val="2E2E2E"/>
        </w:rPr>
        <w:t>systematically</w:t>
      </w:r>
      <w:r w:rsidR="003C7FB2">
        <w:rPr>
          <w:rFonts w:cs="Arial"/>
          <w:color w:val="2E2E2E"/>
        </w:rPr>
        <w:t xml:space="preserve"> </w:t>
      </w:r>
      <w:r w:rsidR="009B2D5C">
        <w:rPr>
          <w:rFonts w:cs="Arial"/>
          <w:color w:val="2E2E2E"/>
        </w:rPr>
        <w:t>different</w:t>
      </w:r>
      <w:r w:rsidR="003C7FB2">
        <w:rPr>
          <w:rFonts w:cs="Arial"/>
          <w:color w:val="2E2E2E"/>
        </w:rPr>
        <w:t xml:space="preserve"> </w:t>
      </w:r>
      <w:r>
        <w:rPr>
          <w:rFonts w:cs="Arial"/>
          <w:color w:val="2E2E2E"/>
        </w:rPr>
        <w:t>from</w:t>
      </w:r>
      <w:r w:rsidR="003C7FB2">
        <w:rPr>
          <w:rFonts w:cs="Arial"/>
          <w:color w:val="2E2E2E"/>
        </w:rPr>
        <w:t xml:space="preserve"> </w:t>
      </w:r>
      <w:r w:rsidR="00F149F8">
        <w:rPr>
          <w:rFonts w:cs="Arial"/>
          <w:color w:val="2E2E2E"/>
        </w:rPr>
        <w:t>those</w:t>
      </w:r>
      <w:r w:rsidR="003C7FB2">
        <w:rPr>
          <w:rFonts w:cs="Arial"/>
          <w:color w:val="2E2E2E"/>
        </w:rPr>
        <w:t xml:space="preserve"> </w:t>
      </w:r>
      <w:r w:rsidR="009B2D5C">
        <w:rPr>
          <w:rFonts w:cs="Arial"/>
          <w:color w:val="2E2E2E"/>
        </w:rPr>
        <w:t>who</w:t>
      </w:r>
      <w:r w:rsidR="003C7FB2">
        <w:rPr>
          <w:rFonts w:cs="Arial"/>
          <w:color w:val="2E2E2E"/>
        </w:rPr>
        <w:t xml:space="preserve"> </w:t>
      </w:r>
      <w:r w:rsidR="009B2D5C">
        <w:rPr>
          <w:rFonts w:cs="Arial"/>
          <w:color w:val="2E2E2E"/>
        </w:rPr>
        <w:t>live</w:t>
      </w:r>
      <w:r w:rsidR="003C7FB2">
        <w:rPr>
          <w:rFonts w:cs="Arial"/>
          <w:color w:val="2E2E2E"/>
        </w:rPr>
        <w:t xml:space="preserve"> </w:t>
      </w:r>
      <w:r w:rsidR="009B2D5C">
        <w:rPr>
          <w:rFonts w:cs="Arial"/>
          <w:color w:val="2E2E2E"/>
        </w:rPr>
        <w:t>far</w:t>
      </w:r>
      <w:r w:rsidR="003C7FB2">
        <w:rPr>
          <w:rFonts w:cs="Arial"/>
          <w:color w:val="2E2E2E"/>
        </w:rPr>
        <w:t xml:space="preserve"> </w:t>
      </w:r>
      <w:r w:rsidR="009B2D5C">
        <w:rPr>
          <w:rFonts w:cs="Arial"/>
          <w:color w:val="2E2E2E"/>
        </w:rPr>
        <w:t>from</w:t>
      </w:r>
      <w:r w:rsidR="003C7FB2">
        <w:rPr>
          <w:rFonts w:cs="Arial"/>
          <w:color w:val="2E2E2E"/>
        </w:rPr>
        <w:t xml:space="preserve"> </w:t>
      </w:r>
      <w:r w:rsidR="009B2D5C">
        <w:rPr>
          <w:rFonts w:cs="Arial"/>
          <w:color w:val="2E2E2E"/>
        </w:rPr>
        <w:t>work</w:t>
      </w:r>
      <w:r w:rsidR="003C7FB2">
        <w:rPr>
          <w:rFonts w:cs="Arial"/>
          <w:color w:val="2E2E2E"/>
        </w:rPr>
        <w:t xml:space="preserve"> </w:t>
      </w:r>
      <w:r>
        <w:rPr>
          <w:rFonts w:cs="Arial"/>
          <w:color w:val="2E2E2E"/>
        </w:rPr>
        <w:t>(</w:t>
      </w:r>
      <w:r w:rsidR="009B2D5C">
        <w:rPr>
          <w:rFonts w:cs="Arial"/>
          <w:color w:val="2E2E2E"/>
        </w:rPr>
        <w:t>and</w:t>
      </w:r>
      <w:r w:rsidR="003C7FB2">
        <w:rPr>
          <w:rFonts w:cs="Arial"/>
          <w:color w:val="2E2E2E"/>
        </w:rPr>
        <w:t xml:space="preserve"> </w:t>
      </w:r>
      <w:r>
        <w:rPr>
          <w:rFonts w:cs="Arial"/>
          <w:color w:val="2E2E2E"/>
        </w:rPr>
        <w:t>therefore</w:t>
      </w:r>
      <w:r w:rsidR="003C7FB2">
        <w:rPr>
          <w:rFonts w:cs="Arial"/>
          <w:color w:val="2E2E2E"/>
        </w:rPr>
        <w:t xml:space="preserve"> </w:t>
      </w:r>
      <w:r w:rsidR="009B2D5C">
        <w:rPr>
          <w:rFonts w:cs="Arial"/>
          <w:color w:val="2E2E2E"/>
        </w:rPr>
        <w:t>c</w:t>
      </w:r>
      <w:r w:rsidR="0076360D">
        <w:rPr>
          <w:rFonts w:cs="Arial"/>
          <w:color w:val="2E2E2E"/>
        </w:rPr>
        <w:t>ould</w:t>
      </w:r>
      <w:r w:rsidR="003C7FB2">
        <w:rPr>
          <w:rFonts w:cs="Arial"/>
          <w:color w:val="2E2E2E"/>
        </w:rPr>
        <w:t xml:space="preserve"> </w:t>
      </w:r>
      <w:r w:rsidR="009B2D5C">
        <w:rPr>
          <w:rFonts w:cs="Arial"/>
          <w:color w:val="2E2E2E"/>
        </w:rPr>
        <w:t>not</w:t>
      </w:r>
      <w:r>
        <w:rPr>
          <w:rFonts w:cs="Arial"/>
          <w:color w:val="2E2E2E"/>
        </w:rPr>
        <w:t>).</w:t>
      </w:r>
      <w:r w:rsidR="003C7FB2">
        <w:rPr>
          <w:rFonts w:cs="Arial"/>
          <w:color w:val="2E2E2E"/>
        </w:rPr>
        <w:t xml:space="preserve"> </w:t>
      </w:r>
      <w:r>
        <w:rPr>
          <w:rFonts w:cs="Arial"/>
          <w:color w:val="2E2E2E"/>
        </w:rPr>
        <w:t>F</w:t>
      </w:r>
      <w:r w:rsidR="00670442">
        <w:rPr>
          <w:rFonts w:cs="Arial"/>
          <w:color w:val="2E2E2E"/>
        </w:rPr>
        <w:t>or</w:t>
      </w:r>
      <w:r w:rsidR="003C7FB2">
        <w:rPr>
          <w:rFonts w:cs="Arial"/>
          <w:color w:val="2E2E2E"/>
        </w:rPr>
        <w:t xml:space="preserve"> </w:t>
      </w:r>
      <w:r w:rsidR="00670442">
        <w:rPr>
          <w:rFonts w:cs="Arial"/>
          <w:color w:val="2E2E2E"/>
        </w:rPr>
        <w:t>many</w:t>
      </w:r>
      <w:r w:rsidR="003C7FB2">
        <w:rPr>
          <w:rFonts w:cs="Arial"/>
          <w:color w:val="2E2E2E"/>
        </w:rPr>
        <w:t xml:space="preserve"> </w:t>
      </w:r>
      <w:r w:rsidR="00670442">
        <w:rPr>
          <w:rFonts w:cs="Arial"/>
          <w:color w:val="2E2E2E"/>
        </w:rPr>
        <w:t>commuters</w:t>
      </w:r>
      <w:r>
        <w:rPr>
          <w:rFonts w:cs="Arial"/>
          <w:color w:val="2E2E2E"/>
        </w:rPr>
        <w:t>,</w:t>
      </w:r>
      <w:r w:rsidR="003C7FB2">
        <w:rPr>
          <w:rFonts w:cs="Arial"/>
          <w:color w:val="2E2E2E"/>
        </w:rPr>
        <w:t xml:space="preserve"> </w:t>
      </w:r>
      <w:r w:rsidR="00F149F8">
        <w:rPr>
          <w:rFonts w:cs="Arial"/>
          <w:color w:val="2E2E2E"/>
        </w:rPr>
        <w:t>it</w:t>
      </w:r>
      <w:r w:rsidR="003C7FB2">
        <w:rPr>
          <w:rFonts w:cs="Arial"/>
          <w:color w:val="2E2E2E"/>
        </w:rPr>
        <w:t xml:space="preserve"> </w:t>
      </w:r>
      <w:r w:rsidR="00F149F8">
        <w:rPr>
          <w:rFonts w:cs="Arial"/>
          <w:color w:val="2E2E2E"/>
        </w:rPr>
        <w:t>is</w:t>
      </w:r>
      <w:r w:rsidR="003C7FB2">
        <w:rPr>
          <w:rFonts w:cs="Arial"/>
          <w:color w:val="2E2E2E"/>
        </w:rPr>
        <w:t xml:space="preserve"> </w:t>
      </w:r>
      <w:r>
        <w:rPr>
          <w:rFonts w:cs="Arial"/>
          <w:color w:val="2E2E2E"/>
        </w:rPr>
        <w:t>also</w:t>
      </w:r>
      <w:r w:rsidR="003C7FB2">
        <w:rPr>
          <w:rFonts w:cs="Arial"/>
          <w:color w:val="2E2E2E"/>
        </w:rPr>
        <w:t xml:space="preserve"> </w:t>
      </w:r>
      <w:r>
        <w:rPr>
          <w:rFonts w:cs="Arial"/>
          <w:color w:val="2E2E2E"/>
        </w:rPr>
        <w:t>a</w:t>
      </w:r>
      <w:r w:rsidR="003C7FB2">
        <w:rPr>
          <w:rFonts w:cs="Arial"/>
          <w:color w:val="2E2E2E"/>
        </w:rPr>
        <w:t xml:space="preserve"> </w:t>
      </w:r>
      <w:r>
        <w:rPr>
          <w:rFonts w:cs="Arial"/>
          <w:color w:val="2E2E2E"/>
        </w:rPr>
        <w:t>somewhat</w:t>
      </w:r>
      <w:r w:rsidR="003C7FB2">
        <w:rPr>
          <w:rFonts w:cs="Arial"/>
          <w:color w:val="2E2E2E"/>
        </w:rPr>
        <w:t xml:space="preserve"> </w:t>
      </w:r>
      <w:r w:rsidR="00F149F8">
        <w:rPr>
          <w:rFonts w:cs="Arial"/>
          <w:color w:val="2E2E2E"/>
        </w:rPr>
        <w:t>un</w:t>
      </w:r>
      <w:r w:rsidR="00670442">
        <w:rPr>
          <w:rFonts w:cs="Arial"/>
          <w:color w:val="2E2E2E"/>
        </w:rPr>
        <w:t>informative</w:t>
      </w:r>
      <w:r w:rsidR="003C7FB2">
        <w:rPr>
          <w:rFonts w:cs="Arial"/>
          <w:color w:val="2E2E2E"/>
        </w:rPr>
        <w:t xml:space="preserve"> </w:t>
      </w:r>
      <w:r>
        <w:rPr>
          <w:rFonts w:cs="Arial"/>
          <w:color w:val="2E2E2E"/>
        </w:rPr>
        <w:t>exposure</w:t>
      </w:r>
      <w:r w:rsidR="003C7FB2">
        <w:rPr>
          <w:rFonts w:cs="Arial"/>
          <w:color w:val="2E2E2E"/>
        </w:rPr>
        <w:t xml:space="preserve"> </w:t>
      </w:r>
      <w:r>
        <w:rPr>
          <w:rFonts w:cs="Arial"/>
          <w:color w:val="2E2E2E"/>
        </w:rPr>
        <w:t>measure</w:t>
      </w:r>
      <w:r w:rsidR="000F1248">
        <w:rPr>
          <w:rFonts w:cs="Arial"/>
          <w:color w:val="2E2E2E"/>
        </w:rPr>
        <w:t>.</w:t>
      </w:r>
      <w:r w:rsidR="003C7FB2">
        <w:rPr>
          <w:rFonts w:cs="Arial"/>
          <w:color w:val="2E2E2E"/>
        </w:rPr>
        <w:t xml:space="preserve"> </w:t>
      </w:r>
      <w:r w:rsidR="00F149F8">
        <w:rPr>
          <w:rFonts w:cs="Arial"/>
          <w:color w:val="2E2E2E"/>
        </w:rPr>
        <w:t>Adopting</w:t>
      </w:r>
      <w:r w:rsidR="003C7FB2">
        <w:rPr>
          <w:rFonts w:cs="Arial"/>
          <w:color w:val="2E2E2E"/>
        </w:rPr>
        <w:t xml:space="preserve"> </w:t>
      </w:r>
      <w:r w:rsidR="00670442">
        <w:rPr>
          <w:rFonts w:cs="Arial"/>
          <w:color w:val="2E2E2E"/>
        </w:rPr>
        <w:t>walking</w:t>
      </w:r>
      <w:r w:rsidR="003C7FB2">
        <w:rPr>
          <w:rFonts w:cs="Arial"/>
          <w:color w:val="2E2E2E"/>
        </w:rPr>
        <w:t xml:space="preserve"> </w:t>
      </w:r>
      <w:r w:rsidR="00670442">
        <w:rPr>
          <w:rFonts w:cs="Arial"/>
          <w:color w:val="2E2E2E"/>
        </w:rPr>
        <w:t>or</w:t>
      </w:r>
      <w:r w:rsidR="003C7FB2">
        <w:rPr>
          <w:rFonts w:cs="Arial"/>
          <w:color w:val="2E2E2E"/>
        </w:rPr>
        <w:t xml:space="preserve"> </w:t>
      </w:r>
      <w:r w:rsidR="00670442">
        <w:rPr>
          <w:rFonts w:cs="Arial"/>
          <w:color w:val="2E2E2E"/>
        </w:rPr>
        <w:t>cycling</w:t>
      </w:r>
      <w:r w:rsidR="003C7FB2">
        <w:rPr>
          <w:rFonts w:cs="Arial"/>
          <w:color w:val="2E2E2E"/>
        </w:rPr>
        <w:t xml:space="preserve"> </w:t>
      </w:r>
      <w:r w:rsidR="00F149F8">
        <w:rPr>
          <w:rFonts w:cs="Arial"/>
          <w:color w:val="2E2E2E"/>
        </w:rPr>
        <w:t>as</w:t>
      </w:r>
      <w:r w:rsidR="003C7FB2">
        <w:rPr>
          <w:rFonts w:cs="Arial"/>
          <w:color w:val="2E2E2E"/>
        </w:rPr>
        <w:t xml:space="preserve"> </w:t>
      </w:r>
      <w:r w:rsidR="00F149F8">
        <w:rPr>
          <w:rFonts w:cs="Arial"/>
          <w:color w:val="2E2E2E"/>
        </w:rPr>
        <w:t>a</w:t>
      </w:r>
      <w:r w:rsidR="003C7FB2">
        <w:rPr>
          <w:rFonts w:cs="Arial"/>
          <w:color w:val="2E2E2E"/>
        </w:rPr>
        <w:t xml:space="preserve"> </w:t>
      </w:r>
      <w:r w:rsidR="00F149F8">
        <w:rPr>
          <w:rFonts w:cs="Arial"/>
          <w:color w:val="2E2E2E"/>
        </w:rPr>
        <w:t>‘usual’</w:t>
      </w:r>
      <w:r w:rsidR="003C7FB2">
        <w:rPr>
          <w:rFonts w:cs="Arial"/>
          <w:color w:val="2E2E2E"/>
        </w:rPr>
        <w:t xml:space="preserve"> </w:t>
      </w:r>
      <w:r w:rsidR="00F149F8">
        <w:rPr>
          <w:rFonts w:cs="Arial"/>
          <w:color w:val="2E2E2E"/>
        </w:rPr>
        <w:t>mode</w:t>
      </w:r>
      <w:r w:rsidR="003C7FB2">
        <w:rPr>
          <w:rFonts w:cs="Arial"/>
          <w:color w:val="2E2E2E"/>
        </w:rPr>
        <w:t xml:space="preserve"> </w:t>
      </w:r>
      <w:r w:rsidR="00F149F8">
        <w:rPr>
          <w:rFonts w:cs="Arial"/>
          <w:color w:val="2E2E2E"/>
        </w:rPr>
        <w:t>of</w:t>
      </w:r>
      <w:r w:rsidR="003C7FB2">
        <w:rPr>
          <w:rFonts w:cs="Arial"/>
          <w:color w:val="2E2E2E"/>
        </w:rPr>
        <w:t xml:space="preserve"> </w:t>
      </w:r>
      <w:r w:rsidR="00F149F8">
        <w:rPr>
          <w:rFonts w:cs="Arial"/>
          <w:color w:val="2E2E2E"/>
        </w:rPr>
        <w:t>travel</w:t>
      </w:r>
      <w:r w:rsidR="003C7FB2">
        <w:rPr>
          <w:rFonts w:cs="Arial"/>
          <w:color w:val="2E2E2E"/>
        </w:rPr>
        <w:t xml:space="preserve"> </w:t>
      </w:r>
      <w:r w:rsidR="00670442">
        <w:rPr>
          <w:rFonts w:cs="Arial"/>
          <w:color w:val="2E2E2E"/>
        </w:rPr>
        <w:t>is</w:t>
      </w:r>
      <w:r w:rsidR="003C7FB2">
        <w:rPr>
          <w:rFonts w:cs="Arial"/>
          <w:color w:val="2E2E2E"/>
        </w:rPr>
        <w:t xml:space="preserve"> </w:t>
      </w:r>
      <w:r w:rsidR="00F149F8">
        <w:rPr>
          <w:rFonts w:cs="Arial"/>
          <w:color w:val="2E2E2E"/>
        </w:rPr>
        <w:t>not</w:t>
      </w:r>
      <w:r w:rsidR="003C7FB2">
        <w:rPr>
          <w:rFonts w:cs="Arial"/>
          <w:color w:val="2E2E2E"/>
        </w:rPr>
        <w:t xml:space="preserve"> </w:t>
      </w:r>
      <w:r w:rsidR="00F149F8">
        <w:rPr>
          <w:rFonts w:cs="Arial"/>
          <w:color w:val="2E2E2E"/>
        </w:rPr>
        <w:t>practical</w:t>
      </w:r>
      <w:r w:rsidR="003C7FB2">
        <w:rPr>
          <w:rFonts w:cs="Arial"/>
          <w:color w:val="2E2E2E"/>
        </w:rPr>
        <w:t xml:space="preserve"> </w:t>
      </w:r>
      <w:r w:rsidR="00F149F8">
        <w:rPr>
          <w:rFonts w:cs="Arial"/>
          <w:color w:val="2E2E2E"/>
        </w:rPr>
        <w:t>for</w:t>
      </w:r>
      <w:r w:rsidR="003C7FB2">
        <w:rPr>
          <w:rFonts w:cs="Arial"/>
          <w:color w:val="2E2E2E"/>
        </w:rPr>
        <w:t xml:space="preserve"> </w:t>
      </w:r>
      <w:r w:rsidR="00F149F8">
        <w:rPr>
          <w:rFonts w:cs="Arial"/>
          <w:color w:val="2E2E2E"/>
        </w:rPr>
        <w:t>longer</w:t>
      </w:r>
      <w:r w:rsidR="003C7FB2">
        <w:rPr>
          <w:rFonts w:cs="Arial"/>
          <w:color w:val="2E2E2E"/>
        </w:rPr>
        <w:t xml:space="preserve"> </w:t>
      </w:r>
      <w:r w:rsidR="00F149F8">
        <w:rPr>
          <w:rFonts w:cs="Arial"/>
          <w:color w:val="2E2E2E"/>
        </w:rPr>
        <w:t>commutes.</w:t>
      </w:r>
      <w:r w:rsidR="003C7FB2">
        <w:rPr>
          <w:rFonts w:cs="Arial"/>
          <w:color w:val="2E2E2E"/>
        </w:rPr>
        <w:t xml:space="preserve"> </w:t>
      </w:r>
      <w:r w:rsidR="00B34781">
        <w:rPr>
          <w:rFonts w:cs="Arial"/>
          <w:color w:val="2E2E2E"/>
        </w:rPr>
        <w:t>In</w:t>
      </w:r>
      <w:r w:rsidR="003C7FB2">
        <w:rPr>
          <w:rFonts w:cs="Arial"/>
          <w:color w:val="2E2E2E"/>
        </w:rPr>
        <w:t xml:space="preserve"> </w:t>
      </w:r>
      <w:r w:rsidR="00B34781">
        <w:rPr>
          <w:rFonts w:cs="Arial"/>
          <w:color w:val="2E2E2E"/>
        </w:rPr>
        <w:t>the</w:t>
      </w:r>
      <w:r w:rsidR="003C7FB2">
        <w:rPr>
          <w:rFonts w:cs="Arial"/>
          <w:color w:val="2E2E2E"/>
        </w:rPr>
        <w:t xml:space="preserve"> </w:t>
      </w:r>
      <w:r w:rsidR="00B34781">
        <w:rPr>
          <w:rFonts w:cs="Arial"/>
          <w:color w:val="2E2E2E"/>
        </w:rPr>
        <w:t>UK</w:t>
      </w:r>
      <w:r w:rsidR="003C7FB2">
        <w:rPr>
          <w:rFonts w:cs="Arial"/>
          <w:color w:val="2E2E2E"/>
        </w:rPr>
        <w:t xml:space="preserve"> </w:t>
      </w:r>
      <w:r w:rsidR="00303CC2">
        <w:rPr>
          <w:rFonts w:cs="Arial"/>
          <w:color w:val="2E2E2E"/>
        </w:rPr>
        <w:t>and</w:t>
      </w:r>
      <w:r w:rsidR="003C7FB2">
        <w:rPr>
          <w:rFonts w:cs="Arial"/>
          <w:color w:val="2E2E2E"/>
        </w:rPr>
        <w:t xml:space="preserve"> </w:t>
      </w:r>
      <w:r w:rsidR="00303CC2">
        <w:rPr>
          <w:rFonts w:cs="Arial"/>
          <w:color w:val="2E2E2E"/>
        </w:rPr>
        <w:t>the</w:t>
      </w:r>
      <w:r w:rsidR="003C7FB2">
        <w:rPr>
          <w:rFonts w:cs="Arial"/>
          <w:color w:val="2E2E2E"/>
        </w:rPr>
        <w:t xml:space="preserve"> </w:t>
      </w:r>
      <w:r w:rsidR="00303CC2">
        <w:rPr>
          <w:rFonts w:cs="Arial"/>
          <w:color w:val="2E2E2E"/>
        </w:rPr>
        <w:t>US</w:t>
      </w:r>
      <w:r w:rsidR="003C7FB2">
        <w:rPr>
          <w:rFonts w:cs="Arial"/>
          <w:color w:val="2E2E2E"/>
        </w:rPr>
        <w:t xml:space="preserve"> </w:t>
      </w:r>
      <w:r w:rsidR="00B34781">
        <w:rPr>
          <w:rFonts w:cs="Arial"/>
          <w:color w:val="2E2E2E"/>
        </w:rPr>
        <w:t>commuting</w:t>
      </w:r>
      <w:r w:rsidR="003C7FB2">
        <w:rPr>
          <w:rFonts w:cs="Arial"/>
          <w:color w:val="2E2E2E"/>
        </w:rPr>
        <w:t xml:space="preserve"> </w:t>
      </w:r>
      <w:r w:rsidR="00B34781">
        <w:rPr>
          <w:rFonts w:cs="Arial"/>
          <w:color w:val="2E2E2E"/>
        </w:rPr>
        <w:t>distance</w:t>
      </w:r>
      <w:r w:rsidR="00303CC2">
        <w:rPr>
          <w:rFonts w:cs="Arial"/>
          <w:color w:val="2E2E2E"/>
        </w:rPr>
        <w:t>s</w:t>
      </w:r>
      <w:r w:rsidR="003C7FB2">
        <w:rPr>
          <w:rFonts w:cs="Arial"/>
          <w:color w:val="2E2E2E"/>
        </w:rPr>
        <w:t xml:space="preserve"> </w:t>
      </w:r>
      <w:r w:rsidR="00303CC2">
        <w:rPr>
          <w:rFonts w:cs="Arial"/>
          <w:color w:val="2E2E2E"/>
        </w:rPr>
        <w:t>have</w:t>
      </w:r>
      <w:r w:rsidR="003C7FB2">
        <w:rPr>
          <w:rFonts w:cs="Arial"/>
          <w:color w:val="2E2E2E"/>
        </w:rPr>
        <w:t xml:space="preserve"> </w:t>
      </w:r>
      <w:r w:rsidR="00B34781">
        <w:rPr>
          <w:rFonts w:cs="Arial"/>
          <w:color w:val="2E2E2E"/>
        </w:rPr>
        <w:t>been</w:t>
      </w:r>
      <w:r w:rsidR="003C7FB2">
        <w:rPr>
          <w:rFonts w:cs="Arial"/>
          <w:color w:val="2E2E2E"/>
        </w:rPr>
        <w:t xml:space="preserve"> </w:t>
      </w:r>
      <w:r w:rsidR="00B34781">
        <w:rPr>
          <w:rFonts w:cs="Arial"/>
          <w:color w:val="2E2E2E"/>
        </w:rPr>
        <w:t>increasing.</w:t>
      </w:r>
      <w:r w:rsidR="00303CC2">
        <w:rPr>
          <w:rFonts w:cs="Arial"/>
          <w:color w:val="2E2E2E"/>
        </w:rPr>
        <w:fldChar w:fldCharType="begin" w:fldLock="1"/>
      </w:r>
      <w:r w:rsidR="000B07A6">
        <w:rPr>
          <w:rFonts w:cs="Arial"/>
          <w:color w:val="2E2E2E"/>
        </w:rPr>
        <w:instrText>ADDIN CSL_CITATION { "citationItems" : [ { "id" : "ITEM-1", "itemData" : { "URL" : "http://www.nomisweb.co.uk/census/2011/WP702EW/view/2092957703?cols=measures", "accessed" : { "date-parts" : [ [ "2015", "8", "11" ] ] }, "author" : [ { "dropping-particle" : "", "family" : "Office for National Statistics", "given" : "", "non-dropping-particle" : "", "parse-names" : false, "suffix" : "" } ], "container-title" : "Census 2011", "id" : "ITEM-1", "issued" : { "date-parts" : [ [ "0" ] ] }, "title" : "WP702EW - Distance travelled to work (Workplace population)", "type" : "webpage" }, "uris" : [ "http://www.mendeley.com/documents/?uuid=56024c31-3390-4d82-b6a6-58f31f39ee09" ] }, { "id" : "ITEM-2", "itemData" : { "author" : [ { "dropping-particle" : "", "family" : "Kneebone", "given" : "E", "non-dropping-particle" : "", "parse-names" : false, "suffix" : "" }, { "dropping-particle" : "", "family" : "Holmes", "given" : "N", "non-dropping-particle" : "", "parse-names" : false, "suffix" : "" } ], "id" : "ITEM-2", "issued" : { "date-parts" : [ [ "2015" ] ] }, "publisher-place" : "Washington (DC)", "title" : "The growing distance between people and jobs in metropolitan America", "type" : "report" }, "uris" : [ "http://www.mendeley.com/documents/?uuid=a4f07adb-d768-4275-a0eb-46354c46290e" ] } ], "mendeley" : { "formattedCitation" : "(Kneebone and Holmes, 2015; Office for National Statistics, n.d.)", "plainTextFormattedCitation" : "(Kneebone and Holmes, 2015; Office for National Statistics, n.d.)", "previouslyFormattedCitation" : "(Kneebone and Holmes, 2015; Office for National Statistics, n.d.)" }, "properties" : { "noteIndex" : 0 }, "schema" : "https://github.com/citation-style-language/schema/raw/master/csl-citation.json" }</w:instrText>
      </w:r>
      <w:r w:rsidR="00303CC2">
        <w:rPr>
          <w:rFonts w:cs="Arial"/>
          <w:color w:val="2E2E2E"/>
        </w:rPr>
        <w:fldChar w:fldCharType="separate"/>
      </w:r>
      <w:r w:rsidR="00B71669" w:rsidRPr="00B71669">
        <w:rPr>
          <w:rFonts w:cs="Arial"/>
          <w:noProof/>
          <w:color w:val="2E2E2E"/>
        </w:rPr>
        <w:t>(Kneebone and Holmes, 2015; Office for National Statistics, n.d.)</w:t>
      </w:r>
      <w:r w:rsidR="00303CC2">
        <w:rPr>
          <w:rFonts w:cs="Arial"/>
          <w:color w:val="2E2E2E"/>
        </w:rPr>
        <w:fldChar w:fldCharType="end"/>
      </w:r>
      <w:r w:rsidR="003C7FB2">
        <w:rPr>
          <w:rFonts w:cs="Arial"/>
          <w:color w:val="2E2E2E"/>
        </w:rPr>
        <w:t xml:space="preserve"> </w:t>
      </w:r>
      <w:r w:rsidR="00B34781">
        <w:rPr>
          <w:rFonts w:cs="Arial"/>
          <w:color w:val="2E2E2E"/>
        </w:rPr>
        <w:t>The</w:t>
      </w:r>
      <w:r w:rsidR="003C7FB2">
        <w:rPr>
          <w:rFonts w:cs="Arial"/>
          <w:color w:val="2E2E2E"/>
        </w:rPr>
        <w:t xml:space="preserve"> </w:t>
      </w:r>
      <w:r w:rsidR="00B34781">
        <w:rPr>
          <w:rFonts w:cs="Arial"/>
          <w:color w:val="2E2E2E"/>
        </w:rPr>
        <w:t>average</w:t>
      </w:r>
      <w:r w:rsidR="003C7FB2">
        <w:rPr>
          <w:rFonts w:cs="Arial"/>
          <w:color w:val="2E2E2E"/>
        </w:rPr>
        <w:t xml:space="preserve"> </w:t>
      </w:r>
      <w:r w:rsidR="00B34781">
        <w:rPr>
          <w:rFonts w:cs="Arial"/>
          <w:color w:val="2E2E2E"/>
        </w:rPr>
        <w:t>point-to-point</w:t>
      </w:r>
      <w:r w:rsidR="003C7FB2">
        <w:rPr>
          <w:rFonts w:cs="Arial"/>
          <w:color w:val="2E2E2E"/>
        </w:rPr>
        <w:t xml:space="preserve"> </w:t>
      </w:r>
      <w:r w:rsidR="00B34781">
        <w:rPr>
          <w:rFonts w:cs="Arial"/>
          <w:color w:val="2E2E2E"/>
        </w:rPr>
        <w:t>distance</w:t>
      </w:r>
      <w:r w:rsidR="003C7FB2">
        <w:rPr>
          <w:rFonts w:cs="Arial"/>
          <w:color w:val="2E2E2E"/>
        </w:rPr>
        <w:t xml:space="preserve"> </w:t>
      </w:r>
      <w:r w:rsidR="00B34781">
        <w:rPr>
          <w:rFonts w:cs="Arial"/>
          <w:color w:val="2E2E2E"/>
        </w:rPr>
        <w:t>from</w:t>
      </w:r>
      <w:r w:rsidR="003C7FB2">
        <w:rPr>
          <w:rFonts w:cs="Arial"/>
          <w:color w:val="2E2E2E"/>
        </w:rPr>
        <w:t xml:space="preserve"> </w:t>
      </w:r>
      <w:r w:rsidR="00B34781">
        <w:rPr>
          <w:rFonts w:cs="Arial"/>
          <w:color w:val="2E2E2E"/>
        </w:rPr>
        <w:t>home</w:t>
      </w:r>
      <w:r w:rsidR="003C7FB2">
        <w:rPr>
          <w:rFonts w:cs="Arial"/>
          <w:color w:val="2E2E2E"/>
        </w:rPr>
        <w:t xml:space="preserve"> </w:t>
      </w:r>
      <w:r w:rsidR="00B34781">
        <w:rPr>
          <w:rFonts w:cs="Arial"/>
          <w:color w:val="2E2E2E"/>
        </w:rPr>
        <w:t>to</w:t>
      </w:r>
      <w:r w:rsidR="003C7FB2">
        <w:rPr>
          <w:rFonts w:cs="Arial"/>
          <w:color w:val="2E2E2E"/>
        </w:rPr>
        <w:t xml:space="preserve"> </w:t>
      </w:r>
      <w:r w:rsidR="00B34781">
        <w:rPr>
          <w:rFonts w:cs="Arial"/>
          <w:color w:val="2E2E2E"/>
        </w:rPr>
        <w:t>work</w:t>
      </w:r>
      <w:r w:rsidR="003C7FB2">
        <w:rPr>
          <w:rFonts w:cs="Arial"/>
          <w:color w:val="2E2E2E"/>
        </w:rPr>
        <w:t xml:space="preserve"> </w:t>
      </w:r>
      <w:r w:rsidR="00B34781">
        <w:rPr>
          <w:rFonts w:cs="Arial"/>
          <w:color w:val="2E2E2E"/>
        </w:rPr>
        <w:t>in</w:t>
      </w:r>
      <w:r w:rsidR="003C7FB2">
        <w:rPr>
          <w:rFonts w:cs="Arial"/>
          <w:color w:val="2E2E2E"/>
        </w:rPr>
        <w:t xml:space="preserve"> </w:t>
      </w:r>
      <w:r w:rsidR="00B34781">
        <w:rPr>
          <w:rFonts w:cs="Arial"/>
          <w:color w:val="2E2E2E"/>
        </w:rPr>
        <w:t>the</w:t>
      </w:r>
      <w:r w:rsidR="003C7FB2">
        <w:rPr>
          <w:rFonts w:cs="Arial"/>
          <w:color w:val="2E2E2E"/>
        </w:rPr>
        <w:t xml:space="preserve"> </w:t>
      </w:r>
      <w:r w:rsidR="00B34781">
        <w:rPr>
          <w:rFonts w:cs="Arial"/>
          <w:color w:val="2E2E2E"/>
        </w:rPr>
        <w:t>UK</w:t>
      </w:r>
      <w:r w:rsidR="003C7FB2">
        <w:rPr>
          <w:rFonts w:cs="Arial"/>
          <w:color w:val="2E2E2E"/>
        </w:rPr>
        <w:t xml:space="preserve"> </w:t>
      </w:r>
      <w:r w:rsidR="00B34781">
        <w:rPr>
          <w:rFonts w:cs="Arial"/>
          <w:color w:val="2E2E2E"/>
        </w:rPr>
        <w:t>is</w:t>
      </w:r>
      <w:r w:rsidR="003C7FB2">
        <w:rPr>
          <w:rFonts w:cs="Arial"/>
          <w:color w:val="2E2E2E"/>
        </w:rPr>
        <w:t xml:space="preserve"> </w:t>
      </w:r>
      <w:r w:rsidR="00B34781">
        <w:rPr>
          <w:rFonts w:cs="Arial"/>
          <w:color w:val="2E2E2E"/>
        </w:rPr>
        <w:t>10</w:t>
      </w:r>
      <w:r w:rsidR="003C7FB2">
        <w:rPr>
          <w:rFonts w:cs="Arial"/>
          <w:color w:val="2E2E2E"/>
        </w:rPr>
        <w:t xml:space="preserve"> </w:t>
      </w:r>
      <w:r w:rsidR="00B34781">
        <w:rPr>
          <w:rFonts w:cs="Arial"/>
          <w:color w:val="2E2E2E"/>
        </w:rPr>
        <w:t>miles</w:t>
      </w:r>
      <w:r w:rsidR="003C7FB2">
        <w:rPr>
          <w:rFonts w:cs="Arial"/>
          <w:color w:val="2E2E2E"/>
        </w:rPr>
        <w:t xml:space="preserve"> </w:t>
      </w:r>
      <w:r w:rsidR="00B34781">
        <w:rPr>
          <w:rFonts w:cs="Arial"/>
          <w:color w:val="2E2E2E"/>
        </w:rPr>
        <w:t>with</w:t>
      </w:r>
      <w:r w:rsidR="003C7FB2">
        <w:rPr>
          <w:rFonts w:cs="Arial"/>
          <w:color w:val="2E2E2E"/>
        </w:rPr>
        <w:t xml:space="preserve"> </w:t>
      </w:r>
      <w:r w:rsidR="00B34781">
        <w:rPr>
          <w:rFonts w:cs="Arial"/>
          <w:color w:val="2E2E2E"/>
        </w:rPr>
        <w:t>over</w:t>
      </w:r>
      <w:r w:rsidR="003C7FB2">
        <w:rPr>
          <w:rFonts w:cs="Arial"/>
          <w:color w:val="2E2E2E"/>
        </w:rPr>
        <w:t xml:space="preserve"> </w:t>
      </w:r>
      <w:r w:rsidR="00B34781">
        <w:rPr>
          <w:rFonts w:cs="Arial"/>
          <w:color w:val="2E2E2E"/>
        </w:rPr>
        <w:t>half</w:t>
      </w:r>
      <w:r w:rsidR="003C7FB2">
        <w:rPr>
          <w:rFonts w:cs="Arial"/>
          <w:color w:val="2E2E2E"/>
        </w:rPr>
        <w:t xml:space="preserve"> </w:t>
      </w:r>
      <w:r w:rsidR="00B34781">
        <w:rPr>
          <w:rFonts w:cs="Arial"/>
          <w:color w:val="2E2E2E"/>
        </w:rPr>
        <w:t>of</w:t>
      </w:r>
      <w:r w:rsidR="003C7FB2">
        <w:rPr>
          <w:rFonts w:cs="Arial"/>
          <w:color w:val="2E2E2E"/>
        </w:rPr>
        <w:t xml:space="preserve"> </w:t>
      </w:r>
      <w:r w:rsidR="00B34781">
        <w:rPr>
          <w:rFonts w:cs="Arial"/>
          <w:color w:val="2E2E2E"/>
        </w:rPr>
        <w:t>commutes</w:t>
      </w:r>
      <w:r w:rsidR="003C7FB2">
        <w:rPr>
          <w:rFonts w:cs="Arial"/>
          <w:color w:val="2E2E2E"/>
        </w:rPr>
        <w:t xml:space="preserve"> </w:t>
      </w:r>
      <w:r w:rsidR="00B34781">
        <w:rPr>
          <w:rFonts w:cs="Arial"/>
          <w:color w:val="2E2E2E"/>
        </w:rPr>
        <w:t>being</w:t>
      </w:r>
      <w:r w:rsidR="003C7FB2">
        <w:rPr>
          <w:rFonts w:cs="Arial"/>
          <w:color w:val="2E2E2E"/>
        </w:rPr>
        <w:t xml:space="preserve"> </w:t>
      </w:r>
      <w:r w:rsidR="00B34781">
        <w:rPr>
          <w:rFonts w:cs="Arial"/>
          <w:color w:val="2E2E2E"/>
        </w:rPr>
        <w:t>more</w:t>
      </w:r>
      <w:r w:rsidR="003C7FB2">
        <w:rPr>
          <w:rFonts w:cs="Arial"/>
          <w:color w:val="2E2E2E"/>
        </w:rPr>
        <w:t xml:space="preserve"> </w:t>
      </w:r>
      <w:r w:rsidR="00B34781">
        <w:rPr>
          <w:rFonts w:cs="Arial"/>
          <w:color w:val="2E2E2E"/>
        </w:rPr>
        <w:t>than</w:t>
      </w:r>
      <w:r w:rsidR="003C7FB2">
        <w:rPr>
          <w:rFonts w:cs="Arial"/>
          <w:color w:val="2E2E2E"/>
        </w:rPr>
        <w:t xml:space="preserve"> </w:t>
      </w:r>
      <w:r w:rsidR="00B34781">
        <w:rPr>
          <w:rFonts w:cs="Arial"/>
          <w:color w:val="2E2E2E"/>
        </w:rPr>
        <w:t>3</w:t>
      </w:r>
      <w:r w:rsidR="003C7FB2">
        <w:rPr>
          <w:rFonts w:cs="Arial"/>
          <w:color w:val="2E2E2E"/>
        </w:rPr>
        <w:t xml:space="preserve"> </w:t>
      </w:r>
      <w:r w:rsidR="00B34781">
        <w:rPr>
          <w:rFonts w:cs="Arial"/>
          <w:color w:val="2E2E2E"/>
        </w:rPr>
        <w:t>miles.</w:t>
      </w:r>
      <w:r w:rsidR="00303CC2">
        <w:rPr>
          <w:rFonts w:cs="Arial"/>
          <w:color w:val="2E2E2E"/>
        </w:rPr>
        <w:fldChar w:fldCharType="begin" w:fldLock="1"/>
      </w:r>
      <w:r w:rsidR="000B07A6">
        <w:rPr>
          <w:rFonts w:cs="Arial"/>
          <w:color w:val="2E2E2E"/>
        </w:rPr>
        <w:instrText>ADDIN CSL_CITATION { "citationItems" : [ { "id" : "ITEM-1", "itemData" : { "URL" : "http://www.nomisweb.co.uk/census/2011/WP702EW/view/2092957703?cols=measures", "accessed" : { "date-parts" : [ [ "2015", "8", "11" ] ] }, "author" : [ { "dropping-particle" : "", "family" : "Office for National Statistics", "given" : "", "non-dropping-particle" : "", "parse-names" : false, "suffix" : "" } ], "container-title" : "Census 2011", "id" : "ITEM-1", "issued" : { "date-parts" : [ [ "0" ] ] }, "title" : "WP702EW - Distance travelled to work (Workplace population)", "type" : "webpage" }, "uris" : [ "http://www.mendeley.com/documents/?uuid=56024c31-3390-4d82-b6a6-58f31f39ee09" ] } ], "mendeley" : { "formattedCitation" : "(Office for National Statistics, n.d.)", "plainTextFormattedCitation" : "(Office for National Statistics, n.d.)", "previouslyFormattedCitation" : "(Office for National Statistics, n.d.)" }, "properties" : { "noteIndex" : 0 }, "schema" : "https://github.com/citation-style-language/schema/raw/master/csl-citation.json" }</w:instrText>
      </w:r>
      <w:r w:rsidR="00303CC2">
        <w:rPr>
          <w:rFonts w:cs="Arial"/>
          <w:color w:val="2E2E2E"/>
        </w:rPr>
        <w:fldChar w:fldCharType="separate"/>
      </w:r>
      <w:r w:rsidR="00B71669" w:rsidRPr="00B71669">
        <w:rPr>
          <w:rFonts w:cs="Arial"/>
          <w:noProof/>
          <w:color w:val="2E2E2E"/>
        </w:rPr>
        <w:t>(Office for National Statistics, n.d.)</w:t>
      </w:r>
      <w:r w:rsidR="00303CC2">
        <w:rPr>
          <w:rFonts w:cs="Arial"/>
          <w:color w:val="2E2E2E"/>
        </w:rPr>
        <w:fldChar w:fldCharType="end"/>
      </w:r>
      <w:r w:rsidR="003C7FB2">
        <w:rPr>
          <w:rFonts w:cs="Arial"/>
          <w:color w:val="2E2E2E"/>
        </w:rPr>
        <w:t xml:space="preserve"> </w:t>
      </w:r>
      <w:r w:rsidR="00B34781">
        <w:rPr>
          <w:rFonts w:cs="Arial"/>
          <w:color w:val="2E2E2E"/>
        </w:rPr>
        <w:t>While</w:t>
      </w:r>
      <w:r w:rsidR="003C7FB2">
        <w:rPr>
          <w:rFonts w:cs="Arial"/>
          <w:color w:val="2E2E2E"/>
        </w:rPr>
        <w:t xml:space="preserve"> </w:t>
      </w:r>
      <w:r w:rsidR="00F149F8">
        <w:rPr>
          <w:rFonts w:cs="Arial"/>
          <w:color w:val="2E2E2E"/>
        </w:rPr>
        <w:t>it</w:t>
      </w:r>
      <w:r w:rsidR="003C7FB2">
        <w:rPr>
          <w:rFonts w:cs="Arial"/>
          <w:color w:val="2E2E2E"/>
        </w:rPr>
        <w:t xml:space="preserve"> </w:t>
      </w:r>
      <w:r w:rsidR="00F149F8">
        <w:rPr>
          <w:rFonts w:cs="Arial"/>
          <w:color w:val="2E2E2E"/>
        </w:rPr>
        <w:t>is</w:t>
      </w:r>
      <w:r w:rsidR="003C7FB2">
        <w:rPr>
          <w:rFonts w:cs="Arial"/>
          <w:color w:val="2E2E2E"/>
        </w:rPr>
        <w:t xml:space="preserve"> </w:t>
      </w:r>
      <w:r w:rsidR="00F149F8">
        <w:rPr>
          <w:rFonts w:cs="Arial"/>
          <w:color w:val="2E2E2E"/>
        </w:rPr>
        <w:t>still</w:t>
      </w:r>
      <w:r w:rsidR="003C7FB2">
        <w:rPr>
          <w:rFonts w:cs="Arial"/>
          <w:color w:val="2E2E2E"/>
        </w:rPr>
        <w:t xml:space="preserve"> </w:t>
      </w:r>
      <w:r w:rsidR="00F149F8">
        <w:rPr>
          <w:rFonts w:cs="Arial"/>
          <w:color w:val="2E2E2E"/>
        </w:rPr>
        <w:t>possible</w:t>
      </w:r>
      <w:r w:rsidR="003C7FB2">
        <w:rPr>
          <w:rFonts w:cs="Arial"/>
          <w:color w:val="2E2E2E"/>
        </w:rPr>
        <w:t xml:space="preserve"> </w:t>
      </w:r>
      <w:r w:rsidR="00F149F8">
        <w:rPr>
          <w:rFonts w:cs="Arial"/>
          <w:color w:val="2E2E2E"/>
        </w:rPr>
        <w:t>to</w:t>
      </w:r>
      <w:r w:rsidR="003C7FB2">
        <w:rPr>
          <w:rFonts w:cs="Arial"/>
          <w:color w:val="2E2E2E"/>
        </w:rPr>
        <w:t xml:space="preserve"> </w:t>
      </w:r>
      <w:r w:rsidR="00E27822">
        <w:rPr>
          <w:rFonts w:cs="Arial"/>
          <w:color w:val="2E2E2E"/>
        </w:rPr>
        <w:t>be</w:t>
      </w:r>
      <w:r w:rsidR="003C7FB2">
        <w:rPr>
          <w:rFonts w:cs="Arial"/>
          <w:color w:val="2E2E2E"/>
        </w:rPr>
        <w:t xml:space="preserve"> </w:t>
      </w:r>
      <w:r w:rsidR="00E27822">
        <w:rPr>
          <w:rFonts w:cs="Arial"/>
          <w:color w:val="2E2E2E"/>
        </w:rPr>
        <w:t>active</w:t>
      </w:r>
      <w:r w:rsidR="003C7FB2">
        <w:rPr>
          <w:rFonts w:cs="Arial"/>
          <w:color w:val="2E2E2E"/>
        </w:rPr>
        <w:t xml:space="preserve"> </w:t>
      </w:r>
      <w:r w:rsidR="00E27822">
        <w:rPr>
          <w:rFonts w:cs="Arial"/>
          <w:color w:val="2E2E2E"/>
        </w:rPr>
        <w:t>on</w:t>
      </w:r>
      <w:r w:rsidR="003C7FB2">
        <w:rPr>
          <w:rFonts w:cs="Arial"/>
          <w:color w:val="2E2E2E"/>
        </w:rPr>
        <w:t xml:space="preserve"> </w:t>
      </w:r>
      <w:r w:rsidR="00F149F8">
        <w:rPr>
          <w:rFonts w:cs="Arial"/>
          <w:color w:val="2E2E2E"/>
        </w:rPr>
        <w:t>a</w:t>
      </w:r>
      <w:r w:rsidR="003C7FB2">
        <w:rPr>
          <w:rFonts w:cs="Arial"/>
          <w:color w:val="2E2E2E"/>
        </w:rPr>
        <w:t xml:space="preserve"> </w:t>
      </w:r>
      <w:r w:rsidR="00F149F8">
        <w:rPr>
          <w:rFonts w:cs="Arial"/>
          <w:color w:val="2E2E2E"/>
        </w:rPr>
        <w:t>long</w:t>
      </w:r>
      <w:r w:rsidR="003C7FB2">
        <w:rPr>
          <w:rFonts w:cs="Arial"/>
          <w:color w:val="2E2E2E"/>
        </w:rPr>
        <w:t xml:space="preserve"> </w:t>
      </w:r>
      <w:r w:rsidR="00F149F8">
        <w:rPr>
          <w:rFonts w:cs="Arial"/>
          <w:color w:val="2E2E2E"/>
        </w:rPr>
        <w:t>commute</w:t>
      </w:r>
      <w:r w:rsidR="003C7FB2">
        <w:rPr>
          <w:rFonts w:cs="Arial"/>
          <w:color w:val="2E2E2E"/>
        </w:rPr>
        <w:t xml:space="preserve"> </w:t>
      </w:r>
      <w:r w:rsidR="00E27822">
        <w:rPr>
          <w:rFonts w:cs="Arial"/>
          <w:color w:val="2E2E2E"/>
        </w:rPr>
        <w:t>by</w:t>
      </w:r>
      <w:r w:rsidR="003C7FB2">
        <w:rPr>
          <w:rFonts w:cs="Arial"/>
          <w:color w:val="2E2E2E"/>
        </w:rPr>
        <w:t xml:space="preserve"> </w:t>
      </w:r>
      <w:r w:rsidR="00E27822">
        <w:rPr>
          <w:rFonts w:cs="Arial"/>
          <w:color w:val="2E2E2E"/>
        </w:rPr>
        <w:t>combining</w:t>
      </w:r>
      <w:r w:rsidR="003C7FB2">
        <w:rPr>
          <w:rFonts w:cs="Arial"/>
          <w:color w:val="2E2E2E"/>
        </w:rPr>
        <w:t xml:space="preserve"> </w:t>
      </w:r>
      <w:r w:rsidR="00E27822">
        <w:rPr>
          <w:rFonts w:cs="Arial"/>
          <w:color w:val="2E2E2E"/>
        </w:rPr>
        <w:t>car</w:t>
      </w:r>
      <w:r w:rsidR="003C7FB2">
        <w:rPr>
          <w:rFonts w:cs="Arial"/>
          <w:color w:val="2E2E2E"/>
        </w:rPr>
        <w:t xml:space="preserve"> </w:t>
      </w:r>
      <w:r w:rsidR="00E27822">
        <w:rPr>
          <w:rFonts w:cs="Arial"/>
          <w:color w:val="2E2E2E"/>
        </w:rPr>
        <w:t>or</w:t>
      </w:r>
      <w:r w:rsidR="003C7FB2">
        <w:rPr>
          <w:rFonts w:cs="Arial"/>
          <w:color w:val="2E2E2E"/>
        </w:rPr>
        <w:t xml:space="preserve"> </w:t>
      </w:r>
      <w:r w:rsidR="00E27822">
        <w:rPr>
          <w:rFonts w:cs="Arial"/>
          <w:color w:val="2E2E2E"/>
        </w:rPr>
        <w:t>public</w:t>
      </w:r>
      <w:r w:rsidR="003C7FB2">
        <w:rPr>
          <w:rFonts w:cs="Arial"/>
          <w:color w:val="2E2E2E"/>
        </w:rPr>
        <w:t xml:space="preserve"> </w:t>
      </w:r>
      <w:r w:rsidR="00E27822">
        <w:rPr>
          <w:rFonts w:cs="Arial"/>
          <w:color w:val="2E2E2E"/>
        </w:rPr>
        <w:t>transport</w:t>
      </w:r>
      <w:r w:rsidR="003C7FB2">
        <w:rPr>
          <w:rFonts w:cs="Arial"/>
          <w:color w:val="2E2E2E"/>
        </w:rPr>
        <w:t xml:space="preserve"> </w:t>
      </w:r>
      <w:r w:rsidR="00E27822">
        <w:rPr>
          <w:rFonts w:cs="Arial"/>
          <w:color w:val="2E2E2E"/>
        </w:rPr>
        <w:t>use</w:t>
      </w:r>
      <w:r w:rsidR="003C7FB2">
        <w:rPr>
          <w:rFonts w:cs="Arial"/>
          <w:color w:val="2E2E2E"/>
        </w:rPr>
        <w:t xml:space="preserve"> </w:t>
      </w:r>
      <w:r w:rsidR="00E27822">
        <w:rPr>
          <w:rFonts w:cs="Arial"/>
          <w:color w:val="2E2E2E"/>
        </w:rPr>
        <w:t>with</w:t>
      </w:r>
      <w:r w:rsidR="003C7FB2">
        <w:rPr>
          <w:rFonts w:cs="Arial"/>
          <w:color w:val="2E2E2E"/>
        </w:rPr>
        <w:t xml:space="preserve"> </w:t>
      </w:r>
      <w:r w:rsidR="008B78AF">
        <w:rPr>
          <w:rFonts w:cs="Arial"/>
          <w:color w:val="2E2E2E"/>
        </w:rPr>
        <w:t>walking</w:t>
      </w:r>
      <w:r w:rsidR="003C7FB2">
        <w:rPr>
          <w:rFonts w:cs="Arial"/>
          <w:color w:val="2E2E2E"/>
        </w:rPr>
        <w:t xml:space="preserve"> </w:t>
      </w:r>
      <w:r w:rsidR="008B78AF">
        <w:rPr>
          <w:rFonts w:cs="Arial"/>
          <w:color w:val="2E2E2E"/>
        </w:rPr>
        <w:t>or</w:t>
      </w:r>
      <w:r w:rsidR="003C7FB2">
        <w:rPr>
          <w:rFonts w:cs="Arial"/>
          <w:color w:val="2E2E2E"/>
        </w:rPr>
        <w:t xml:space="preserve"> </w:t>
      </w:r>
      <w:r w:rsidR="008B78AF">
        <w:rPr>
          <w:rFonts w:cs="Arial"/>
          <w:color w:val="2E2E2E"/>
        </w:rPr>
        <w:t>cycling</w:t>
      </w:r>
      <w:r w:rsidR="00E27822">
        <w:rPr>
          <w:rFonts w:cs="Arial"/>
          <w:color w:val="2E2E2E"/>
        </w:rPr>
        <w:t>,</w:t>
      </w:r>
      <w:r w:rsidR="003C7FB2">
        <w:rPr>
          <w:rFonts w:cs="Arial"/>
          <w:color w:val="2E2E2E"/>
        </w:rPr>
        <w:t xml:space="preserve"> </w:t>
      </w:r>
      <w:r w:rsidR="00E27822">
        <w:rPr>
          <w:rFonts w:cs="Arial"/>
          <w:color w:val="2E2E2E"/>
        </w:rPr>
        <w:t>these</w:t>
      </w:r>
      <w:r w:rsidR="003C7FB2">
        <w:rPr>
          <w:rFonts w:cs="Arial"/>
          <w:color w:val="2E2E2E"/>
        </w:rPr>
        <w:t xml:space="preserve"> </w:t>
      </w:r>
      <w:r w:rsidR="00E27822">
        <w:rPr>
          <w:rFonts w:cs="Arial"/>
          <w:color w:val="2E2E2E"/>
        </w:rPr>
        <w:t>patterns</w:t>
      </w:r>
      <w:r w:rsidR="003C7FB2">
        <w:rPr>
          <w:rFonts w:cs="Arial"/>
          <w:color w:val="2E2E2E"/>
        </w:rPr>
        <w:t xml:space="preserve"> </w:t>
      </w:r>
      <w:r w:rsidR="00F149F8">
        <w:rPr>
          <w:rFonts w:cs="Arial"/>
          <w:color w:val="2E2E2E"/>
        </w:rPr>
        <w:t>of</w:t>
      </w:r>
      <w:r w:rsidR="003C7FB2">
        <w:rPr>
          <w:rFonts w:cs="Arial"/>
          <w:color w:val="2E2E2E"/>
        </w:rPr>
        <w:t xml:space="preserve"> </w:t>
      </w:r>
      <w:r w:rsidR="00F149F8">
        <w:rPr>
          <w:rFonts w:cs="Arial"/>
          <w:color w:val="2E2E2E"/>
        </w:rPr>
        <w:t>commuting</w:t>
      </w:r>
      <w:r w:rsidR="003C7FB2">
        <w:rPr>
          <w:rFonts w:cs="Arial"/>
          <w:color w:val="2E2E2E"/>
        </w:rPr>
        <w:t xml:space="preserve"> </w:t>
      </w:r>
      <w:r w:rsidR="00E27822">
        <w:rPr>
          <w:rFonts w:cs="Arial"/>
          <w:color w:val="2E2E2E"/>
        </w:rPr>
        <w:t>are</w:t>
      </w:r>
      <w:r w:rsidR="003C7FB2">
        <w:rPr>
          <w:rFonts w:cs="Arial"/>
          <w:color w:val="2E2E2E"/>
        </w:rPr>
        <w:t xml:space="preserve"> </w:t>
      </w:r>
      <w:r w:rsidR="00E27822">
        <w:rPr>
          <w:rFonts w:cs="Arial"/>
          <w:color w:val="2E2E2E"/>
        </w:rPr>
        <w:t>seldom</w:t>
      </w:r>
      <w:r w:rsidR="003C7FB2">
        <w:rPr>
          <w:rFonts w:cs="Arial"/>
          <w:color w:val="2E2E2E"/>
        </w:rPr>
        <w:t xml:space="preserve"> </w:t>
      </w:r>
      <w:r w:rsidR="00E27822">
        <w:rPr>
          <w:rFonts w:cs="Arial"/>
          <w:color w:val="2E2E2E"/>
        </w:rPr>
        <w:t>s</w:t>
      </w:r>
      <w:r w:rsidR="008B78AF">
        <w:rPr>
          <w:rFonts w:cs="Arial"/>
          <w:color w:val="2E2E2E"/>
        </w:rPr>
        <w:t>tudied</w:t>
      </w:r>
      <w:r w:rsidR="00E27822">
        <w:rPr>
          <w:rFonts w:cs="Arial"/>
          <w:color w:val="2E2E2E"/>
        </w:rPr>
        <w:t>.</w:t>
      </w:r>
      <w:r w:rsidR="00156048">
        <w:rPr>
          <w:rFonts w:cs="Arial"/>
          <w:color w:val="2E2E2E"/>
        </w:rPr>
        <w:fldChar w:fldCharType="begin" w:fldLock="1"/>
      </w:r>
      <w:r w:rsidR="000B07A6">
        <w:rPr>
          <w:rFonts w:cs="Arial"/>
          <w:color w:val="2E2E2E"/>
        </w:rPr>
        <w:instrText>ADDIN CSL_CITATION { "citationItems" : [ { "id" : "ITEM-1", "itemData" : { "DOI" : "10.1016/S2213-8587(16)00053-X", "ISSN" : "22138587", "author" : [ { "dropping-particle" : "", "family" : "Flint", "given" : "Ellen", "non-dropping-particle" : "", "parse-names" : false, "suffix" : "" }, { "dropping-particle" : "", "family" : "Cummins", "given" : "Steven", "non-dropping-particle" : "", "parse-names" : false, "suffix" : "" } ], "container-title" : "The Lancet Diabetes &amp; Endocrinology", "id" : "ITEM-1", "issue" : "5", "issued" : { "date-parts" : [ [ "2016", "3" ] ] }, "language" : "English", "page" : "420-435", "publisher" : "Elsevier", "title" : "Active commuting and obesity in mid-life: cross-sectional, observational evidence from UK Biobank", "type" : "article-journal", "volume" : "4" }, "uris" : [ "http://www.mendeley.com/documents/?uuid=e7c9e359-019e-4cc3-a869-943a6411defd" ] } ], "mendeley" : { "formattedCitation" : "(Flint and Cummins, 2016)", "plainTextFormattedCitation" : "(Flint and Cummins, 2016)", "previouslyFormattedCitation" : "(Flint and Cummins, 2016)" }, "properties" : { "noteIndex" : 0 }, "schema" : "https://github.com/citation-style-language/schema/raw/master/csl-citation.json" }</w:instrText>
      </w:r>
      <w:r w:rsidR="00156048">
        <w:rPr>
          <w:rFonts w:cs="Arial"/>
          <w:color w:val="2E2E2E"/>
        </w:rPr>
        <w:fldChar w:fldCharType="separate"/>
      </w:r>
      <w:r w:rsidR="00B71669" w:rsidRPr="00B71669">
        <w:rPr>
          <w:rFonts w:cs="Arial"/>
          <w:noProof/>
          <w:color w:val="2E2E2E"/>
        </w:rPr>
        <w:t>(Flint and Cummins, 2016)</w:t>
      </w:r>
      <w:r w:rsidR="00156048">
        <w:rPr>
          <w:rFonts w:cs="Arial"/>
          <w:color w:val="2E2E2E"/>
        </w:rPr>
        <w:fldChar w:fldCharType="end"/>
      </w:r>
      <w:r w:rsidR="003C7FB2">
        <w:rPr>
          <w:rFonts w:cs="Arial"/>
          <w:color w:val="2E2E2E"/>
        </w:rPr>
        <w:t xml:space="preserve"> </w:t>
      </w:r>
    </w:p>
    <w:p w14:paraId="6C1AF527" w14:textId="3953DBFF" w:rsidR="000F1248" w:rsidRDefault="009973D8" w:rsidP="000F1248">
      <w:pPr>
        <w:rPr>
          <w:rFonts w:cs="Arial"/>
          <w:color w:val="2E2E2E"/>
        </w:rPr>
      </w:pPr>
      <w:r>
        <w:rPr>
          <w:rFonts w:cs="Arial"/>
          <w:color w:val="2E2E2E"/>
        </w:rPr>
        <w:t>F</w:t>
      </w:r>
      <w:r w:rsidR="002A5E2D" w:rsidRPr="002A5E2D">
        <w:rPr>
          <w:rFonts w:cs="Arial"/>
          <w:color w:val="2E2E2E"/>
        </w:rPr>
        <w:t>ew</w:t>
      </w:r>
      <w:r w:rsidR="003C7FB2">
        <w:rPr>
          <w:rFonts w:cs="Arial"/>
          <w:color w:val="2E2E2E"/>
        </w:rPr>
        <w:t xml:space="preserve"> </w:t>
      </w:r>
      <w:r w:rsidR="002A5E2D" w:rsidRPr="002A5E2D">
        <w:rPr>
          <w:rFonts w:cs="Arial"/>
          <w:color w:val="2E2E2E"/>
        </w:rPr>
        <w:t>studies</w:t>
      </w:r>
      <w:r w:rsidR="003C7FB2">
        <w:rPr>
          <w:rFonts w:cs="Arial"/>
          <w:color w:val="2E2E2E"/>
        </w:rPr>
        <w:t xml:space="preserve"> </w:t>
      </w:r>
      <w:r w:rsidR="002A5E2D">
        <w:rPr>
          <w:rFonts w:cs="Arial"/>
          <w:color w:val="2E2E2E"/>
        </w:rPr>
        <w:t>have</w:t>
      </w:r>
      <w:r w:rsidR="003C7FB2">
        <w:rPr>
          <w:rFonts w:cs="Arial"/>
          <w:color w:val="2E2E2E"/>
        </w:rPr>
        <w:t xml:space="preserve"> </w:t>
      </w:r>
      <w:r w:rsidR="002A5E2D">
        <w:rPr>
          <w:rFonts w:cs="Arial"/>
          <w:color w:val="2E2E2E"/>
        </w:rPr>
        <w:t>tested</w:t>
      </w:r>
      <w:r w:rsidR="003C7FB2">
        <w:rPr>
          <w:rFonts w:cs="Arial"/>
          <w:color w:val="2E2E2E"/>
        </w:rPr>
        <w:t xml:space="preserve"> </w:t>
      </w:r>
      <w:r w:rsidR="002A5E2D">
        <w:rPr>
          <w:rFonts w:cs="Arial"/>
          <w:color w:val="2E2E2E"/>
        </w:rPr>
        <w:t>whether</w:t>
      </w:r>
      <w:r w:rsidR="003C7FB2">
        <w:rPr>
          <w:rFonts w:cs="Arial"/>
          <w:color w:val="2E2E2E"/>
        </w:rPr>
        <w:t xml:space="preserve"> </w:t>
      </w:r>
      <w:r w:rsidR="002A5E2D">
        <w:rPr>
          <w:rFonts w:cs="Arial"/>
          <w:color w:val="2E2E2E"/>
        </w:rPr>
        <w:t>there</w:t>
      </w:r>
      <w:r w:rsidR="003C7FB2">
        <w:rPr>
          <w:rFonts w:cs="Arial"/>
          <w:color w:val="2E2E2E"/>
        </w:rPr>
        <w:t xml:space="preserve"> </w:t>
      </w:r>
      <w:r w:rsidR="002A5E2D">
        <w:rPr>
          <w:rFonts w:cs="Arial"/>
          <w:color w:val="2E2E2E"/>
        </w:rPr>
        <w:t>is</w:t>
      </w:r>
      <w:r w:rsidR="003C7FB2">
        <w:rPr>
          <w:rFonts w:cs="Arial"/>
          <w:color w:val="2E2E2E"/>
        </w:rPr>
        <w:t xml:space="preserve"> </w:t>
      </w:r>
      <w:r w:rsidR="002A5E2D">
        <w:rPr>
          <w:rFonts w:cs="Arial"/>
          <w:color w:val="2E2E2E"/>
        </w:rPr>
        <w:t>a</w:t>
      </w:r>
      <w:r w:rsidR="003C7FB2">
        <w:rPr>
          <w:rFonts w:cs="Arial"/>
          <w:color w:val="2E2E2E"/>
        </w:rPr>
        <w:t xml:space="preserve"> </w:t>
      </w:r>
      <w:r w:rsidR="002A5E2D">
        <w:rPr>
          <w:rFonts w:cs="Arial"/>
          <w:color w:val="2E2E2E"/>
        </w:rPr>
        <w:t>dose-response</w:t>
      </w:r>
      <w:r w:rsidR="003C7FB2">
        <w:rPr>
          <w:rFonts w:cs="Arial"/>
          <w:color w:val="2E2E2E"/>
        </w:rPr>
        <w:t xml:space="preserve"> </w:t>
      </w:r>
      <w:r w:rsidR="002A5E2D">
        <w:rPr>
          <w:rFonts w:cs="Arial"/>
          <w:color w:val="2E2E2E"/>
        </w:rPr>
        <w:t>relationship</w:t>
      </w:r>
      <w:r w:rsidR="003C7FB2">
        <w:rPr>
          <w:rFonts w:cs="Arial"/>
          <w:color w:val="2E2E2E"/>
        </w:rPr>
        <w:t xml:space="preserve"> </w:t>
      </w:r>
      <w:r w:rsidR="002A5E2D">
        <w:rPr>
          <w:rFonts w:cs="Arial"/>
          <w:color w:val="2E2E2E"/>
        </w:rPr>
        <w:t>between</w:t>
      </w:r>
      <w:r w:rsidR="003C7FB2">
        <w:rPr>
          <w:rFonts w:cs="Arial"/>
          <w:color w:val="2E2E2E"/>
        </w:rPr>
        <w:t xml:space="preserve"> </w:t>
      </w:r>
      <w:r w:rsidR="002A5E2D">
        <w:rPr>
          <w:rFonts w:cs="Arial"/>
          <w:color w:val="2E2E2E"/>
        </w:rPr>
        <w:t>active</w:t>
      </w:r>
      <w:r w:rsidR="003C7FB2">
        <w:rPr>
          <w:rFonts w:cs="Arial"/>
          <w:color w:val="2E2E2E"/>
        </w:rPr>
        <w:t xml:space="preserve"> </w:t>
      </w:r>
      <w:r w:rsidR="002A5E2D">
        <w:rPr>
          <w:rFonts w:cs="Arial"/>
          <w:color w:val="2E2E2E"/>
        </w:rPr>
        <w:t>commuting</w:t>
      </w:r>
      <w:r w:rsidR="003C7FB2">
        <w:rPr>
          <w:rFonts w:cs="Arial"/>
          <w:color w:val="2E2E2E"/>
        </w:rPr>
        <w:t xml:space="preserve"> </w:t>
      </w:r>
      <w:r w:rsidR="002A5E2D">
        <w:rPr>
          <w:rFonts w:cs="Arial"/>
          <w:color w:val="2E2E2E"/>
        </w:rPr>
        <w:t>and</w:t>
      </w:r>
      <w:r w:rsidR="003C7FB2">
        <w:rPr>
          <w:rFonts w:cs="Arial"/>
          <w:color w:val="2E2E2E"/>
        </w:rPr>
        <w:t xml:space="preserve"> </w:t>
      </w:r>
      <w:r w:rsidR="002A5E2D">
        <w:rPr>
          <w:rFonts w:cs="Arial"/>
          <w:color w:val="2E2E2E"/>
        </w:rPr>
        <w:t>adiposity</w:t>
      </w:r>
      <w:r>
        <w:rPr>
          <w:rFonts w:cs="Arial"/>
          <w:color w:val="2E2E2E"/>
        </w:rPr>
        <w:t>,</w:t>
      </w:r>
      <w:r w:rsidR="002A5E2D">
        <w:rPr>
          <w:rFonts w:cs="Arial"/>
          <w:color w:val="2E2E2E"/>
        </w:rPr>
        <w:fldChar w:fldCharType="begin" w:fldLock="1"/>
      </w:r>
      <w:r w:rsidR="000B07A6">
        <w:rPr>
          <w:rFonts w:cs="Arial"/>
          <w:color w:val="2E2E2E"/>
        </w:rPr>
        <w:instrText>ADDIN CSL_CITATION { "citationItems" : [ { "id" : "ITEM-1", "itemData" : { "DOI" : "10.1136/jech-2014-205211", "ISSN" : "1470-2738", "PMID" : "25954024", "abstract" : "BACKGROUND: Active commuting is associated with various health benefits, but little is known about its causal relationship with body mass index (BMI).\n\nMETHODS: We used cohort data from three consecutive annual waves of the British Household Panel Survey, a longitudinal study of nationally representative households, in 2004/2005 (n=15\u2005791), 2005/2006 and 2006/2007. Participants selected for the analyses (n=4056) reported their usual main mode of travel to work at each time point. Self-reported height and weight were used to derive BMI at baseline and after 2\u2005years. Multivariable linear regression analyses were used to assess associations between switching to and from active modes of travel (over 1 and 2\u2005years) and change in BMI (over 2\u2005years) and to assess dose-response relationships.\n\nRESULTS: After adjustment for socioeconomic and health-related covariates, the first analysis (n=3269) showed that switching from private motor transport to active travel or public transport (n=179) was associated with a significant reduction in BMI compared with continued private motor vehicle use (n=3090; -0.32\u2005kg/m(2), 95% CI -0.60 to -0.05). Larger adjusted effect sizes were associated with switching to active travel (n=109; -0.45\u2005kg/m(2), -0.78 to -0.11), particularly among those who switched within the first year and those with the longest journeys. The second analysis (n=787) showed that switching from active travel or public transport to private motor transport was associated with a significant increase in BMI (0.34\u2005kg/m(2), 0.05 to 0.64).\n\nCONCLUSIONS: Interventions to enable commuters to switch from private motor transport to more active modes of travel could contribute to reducing population mean BMI.", "author" : [ { "dropping-particle" : "", "family" : "Martin", "given" : "Adam", "non-dropping-particle" : "", "parse-names" : false, "suffix" : "" }, { "dropping-particle" : "", "family" : "Panter", "given" : "Jenna", "non-dropping-particle" : "", "parse-names" : false, "suffix" : "" }, { "dropping-particle" : "", "family" : "Suhrcke", "given" : "Marc", "non-dropping-particle" : "", "parse-names" : false, "suffix" : "" }, { "dropping-particle" : "", "family" : "Ogilvie", "given" : "David", "non-dropping-particle" : "", "parse-names" : false, "suffix" : "" } ], "container-title" : "Journal of epidemiology and community health", "id" : "ITEM-1", "issue" : "8", "issued" : { "date-parts" : [ [ "2015", "5", "7" ] ] }, "page" : "753-61", "title" : "Impact of changes in mode of travel to work on changes in body mass index: evidence from the British Household Panel Survey.", "type" : "article-journal", "volume" : "69" }, "uris" : [ "http://www.mendeley.com/documents/?uuid=9729e467-b20c-4026-a548-9d0eb07535fc" ] }, { "id" : "ITEM-2", "itemData" : { "DOI" : "10.1016/S2213-8587(16)00053-X", "ISSN" : "22138587", "author" : [ { "dropping-particle" : "", "family" : "Flint", "given" : "Ellen", "non-dropping-particle" : "", "parse-names" : false, "suffix" : "" }, { "dropping-particle" : "", "family" : "Cummins", "given" : "Steven", "non-dropping-particle" : "", "parse-names" : false, "suffix" : "" } ], "container-title" : "The Lancet Diabetes &amp; Endocrinology", "id" : "ITEM-2", "issue" : "5", "issued" : { "date-parts" : [ [ "2016", "3" ] ] }, "language" : "English", "page" : "420-435", "publisher" : "Elsevier", "title" : "Active commuting and obesity in mid-life: cross-sectional, observational evidence from UK Biobank", "type" : "article-journal", "volume" : "4" }, "uris" : [ "http://www.mendeley.com/documents/?uuid=e7c9e359-019e-4cc3-a869-943a6411defd" ] }, { "id" : "ITEM-3", "itemData" : { "DOI" : "10.1016/j.amepre.2013.04.012", "ISSN" : "1873-2607", "PMID" : "23953354", "abstract" : "BACKGROUND: Increasing active travel (walking, cycling, public transport) is increasingly seen as integral to strategies to raise physical activity levels. PURPOSE: This study examined (1) sociodemographic correlates of active travel to work and (2) associations between active travel and cardiovascular risk factors in the United Kingdom (UK). METHODS: Data come from Understanding Society, a nationally representative survey of UK residents in 2009/2011, analyzed in 2012. Multinomial logistic regression assessed associations between sociodemographic factors and mode of transport to work. Linear and logistic regression was used to examine associations between mode of travel and overweight/obesity, and having hypertension or diabetes. RESULTS: A total of 69% of participants traveled to work using private transport, with public transport, walking, and cycling used by 16%, 12%, and 3%, respectively. Use of any active travel was more likely in participants living in London. Black participants were more likely to walk (AOR=1.41, 95% CI=1.08, 1.84) or take public transport (AOR=2.34, 95% CI=1.88, 2.90) to work than whites. Using public transport, walking, or cycling to work was associated with a lower likelihood of being overweight (AOR=0.80, 95% CI=0.54, 0.88 for walking). Walking or cycling was associated with a lower likelihood of having diabetes, and walking was associated with a lower likelihood of having hypertension than private transport (AOR=0.83, 95% CI=0.71, 0.97). CONCLUSIONS: There are wide variations in the mode of travel to work across regions and sociodemographic groups in the UK. The protective association between active travel and cardiovascular risk demonstrated in this nationally representative study adds to growing evidence that concerted policy focus in this area may benefit population health.", "author" : [ { "dropping-particle" : "", "family" : "Laverty", "given" : "Anthony A", "non-dropping-particle" : "", "parse-names" : false, "suffix" : "" }, { "dropping-particle" : "", "family" : "Mindell", "given" : "Jennifer S", "non-dropping-particle" : "", "parse-names" : false, "suffix" : "" }, { "dropping-particle" : "", "family" : "Webb", "given" : "Elizabeth A", "non-dropping-particle" : "", "parse-names" : false, "suffix" : "" }, { "dropping-particle" : "", "family" : "Millett", "given" : "Christopher", "non-dropping-particle" : "", "parse-names" : false, "suffix" : "" } ], "container-title" : "American journal of preventive medicine", "id" : "ITEM-3", "issue" : "3", "issued" : { "date-parts" : [ [ "2013", "9" ] ] }, "note" : "From Duplicate 1 (Active travel to work and cardiovascular risk factors in the United Kingdom. - Laverty, Anthony A; Mindell, Jennifer S; Webb, Elizabeth A; Millett, Christopher)\n\nW+c split", "page" : "282-8", "title" : "Active travel to work and cardiovascular risk factors in the United Kingdom.", "type" : "article-journal", "volume" : "45" }, "uris" : [ "http://www.mendeley.com/documents/?uuid=de4e6781-17c6-4a1a-9631-32286ada1421" ] } ], "mendeley" : { "formattedCitation" : "(Flint and Cummins, 2016; Laverty et al., 2013; Martin et al., 2015)", "plainTextFormattedCitation" : "(Flint and Cummins, 2016; Laverty et al., 2013; Martin et al., 2015)", "previouslyFormattedCitation" : "(Flint and Cummins, 2016; Laverty et al., 2013; Martin et al., 2015)" }, "properties" : { "noteIndex" : 0 }, "schema" : "https://github.com/citation-style-language/schema/raw/master/csl-citation.json" }</w:instrText>
      </w:r>
      <w:r w:rsidR="002A5E2D">
        <w:rPr>
          <w:rFonts w:cs="Arial"/>
          <w:color w:val="2E2E2E"/>
        </w:rPr>
        <w:fldChar w:fldCharType="separate"/>
      </w:r>
      <w:r w:rsidR="00B71669" w:rsidRPr="00B71669">
        <w:rPr>
          <w:rFonts w:cs="Arial"/>
          <w:noProof/>
          <w:color w:val="2E2E2E"/>
        </w:rPr>
        <w:t>(Flint and Cummins, 2016; Laverty et al., 2013; Martin et al., 2015)</w:t>
      </w:r>
      <w:r w:rsidR="002A5E2D">
        <w:rPr>
          <w:rFonts w:cs="Arial"/>
          <w:color w:val="2E2E2E"/>
        </w:rPr>
        <w:fldChar w:fldCharType="end"/>
      </w:r>
      <w:r w:rsidR="003C7FB2">
        <w:rPr>
          <w:rFonts w:cs="Arial"/>
          <w:color w:val="2E2E2E"/>
        </w:rPr>
        <w:t xml:space="preserve"> </w:t>
      </w:r>
      <w:r>
        <w:rPr>
          <w:rFonts w:cs="Arial"/>
          <w:color w:val="2E2E2E"/>
        </w:rPr>
        <w:t>which</w:t>
      </w:r>
      <w:r w:rsidR="003C7FB2">
        <w:rPr>
          <w:rFonts w:cs="Arial"/>
          <w:color w:val="2E2E2E"/>
        </w:rPr>
        <w:t xml:space="preserve"> </w:t>
      </w:r>
      <w:r>
        <w:rPr>
          <w:rFonts w:cs="Arial"/>
          <w:color w:val="2E2E2E"/>
        </w:rPr>
        <w:t>might</w:t>
      </w:r>
      <w:r w:rsidR="003C7FB2">
        <w:rPr>
          <w:rFonts w:cs="Arial"/>
          <w:color w:val="2E2E2E"/>
        </w:rPr>
        <w:t xml:space="preserve"> </w:t>
      </w:r>
      <w:r>
        <w:rPr>
          <w:rFonts w:cs="Arial"/>
          <w:color w:val="2E2E2E"/>
        </w:rPr>
        <w:t>support</w:t>
      </w:r>
      <w:r w:rsidR="003C7FB2">
        <w:rPr>
          <w:rFonts w:cs="Arial"/>
          <w:color w:val="2E2E2E"/>
        </w:rPr>
        <w:t xml:space="preserve"> </w:t>
      </w:r>
      <w:r w:rsidR="00670442">
        <w:rPr>
          <w:rFonts w:cs="Arial"/>
          <w:color w:val="2E2E2E"/>
        </w:rPr>
        <w:t>causal</w:t>
      </w:r>
      <w:r w:rsidR="003C7FB2">
        <w:rPr>
          <w:rFonts w:cs="Arial"/>
          <w:color w:val="2E2E2E"/>
        </w:rPr>
        <w:t xml:space="preserve"> </w:t>
      </w:r>
      <w:r w:rsidR="00670442">
        <w:rPr>
          <w:rFonts w:cs="Arial"/>
          <w:color w:val="2E2E2E"/>
        </w:rPr>
        <w:t>inference.</w:t>
      </w:r>
      <w:r w:rsidR="003C7FB2">
        <w:rPr>
          <w:rFonts w:cs="Arial"/>
          <w:color w:val="2E2E2E"/>
        </w:rPr>
        <w:t xml:space="preserve"> </w:t>
      </w:r>
      <w:r w:rsidR="00DB3625">
        <w:rPr>
          <w:rFonts w:cs="Arial"/>
          <w:color w:val="2E2E2E"/>
        </w:rPr>
        <w:t>All</w:t>
      </w:r>
      <w:r w:rsidR="003C7FB2">
        <w:rPr>
          <w:rFonts w:cs="Arial"/>
          <w:color w:val="2E2E2E"/>
        </w:rPr>
        <w:t xml:space="preserve"> </w:t>
      </w:r>
      <w:r w:rsidR="00DC2B09">
        <w:rPr>
          <w:rFonts w:cs="Arial"/>
          <w:color w:val="2E2E2E"/>
        </w:rPr>
        <w:t>studies</w:t>
      </w:r>
      <w:r w:rsidR="003C7FB2">
        <w:rPr>
          <w:rFonts w:cs="Arial"/>
          <w:color w:val="2E2E2E"/>
        </w:rPr>
        <w:t xml:space="preserve"> </w:t>
      </w:r>
      <w:r w:rsidR="00DC2B09">
        <w:rPr>
          <w:rFonts w:cs="Arial"/>
          <w:color w:val="2E2E2E"/>
        </w:rPr>
        <w:t>have</w:t>
      </w:r>
      <w:r w:rsidR="003C7FB2">
        <w:rPr>
          <w:rFonts w:cs="Arial"/>
          <w:color w:val="2E2E2E"/>
        </w:rPr>
        <w:t xml:space="preserve"> </w:t>
      </w:r>
      <w:r w:rsidR="00DC2B09">
        <w:rPr>
          <w:rFonts w:cs="Arial"/>
          <w:color w:val="2E2E2E"/>
        </w:rPr>
        <w:t>reported</w:t>
      </w:r>
      <w:r w:rsidR="003C7FB2">
        <w:rPr>
          <w:rFonts w:cs="Arial"/>
          <w:color w:val="2E2E2E"/>
        </w:rPr>
        <w:t xml:space="preserve"> </w:t>
      </w:r>
      <w:r w:rsidR="00DC2B09">
        <w:rPr>
          <w:rFonts w:cs="Arial"/>
          <w:color w:val="2E2E2E"/>
        </w:rPr>
        <w:t>associations</w:t>
      </w:r>
      <w:r w:rsidR="003C7FB2">
        <w:rPr>
          <w:rFonts w:cs="Arial"/>
          <w:color w:val="2E2E2E"/>
        </w:rPr>
        <w:t xml:space="preserve"> </w:t>
      </w:r>
      <w:r w:rsidR="00DC2B09">
        <w:rPr>
          <w:rFonts w:cs="Arial"/>
          <w:color w:val="2E2E2E"/>
        </w:rPr>
        <w:t>for</w:t>
      </w:r>
      <w:r w:rsidR="003C7FB2">
        <w:rPr>
          <w:rFonts w:cs="Arial"/>
          <w:color w:val="2E2E2E"/>
        </w:rPr>
        <w:t xml:space="preserve"> </w:t>
      </w:r>
      <w:r w:rsidR="00DC2B09">
        <w:rPr>
          <w:rFonts w:cs="Arial"/>
          <w:color w:val="2E2E2E"/>
        </w:rPr>
        <w:t>body</w:t>
      </w:r>
      <w:r w:rsidR="003C7FB2">
        <w:rPr>
          <w:rFonts w:cs="Arial"/>
          <w:color w:val="2E2E2E"/>
        </w:rPr>
        <w:t xml:space="preserve"> </w:t>
      </w:r>
      <w:r w:rsidR="00DC2B09">
        <w:rPr>
          <w:rFonts w:cs="Arial"/>
          <w:color w:val="2E2E2E"/>
        </w:rPr>
        <w:t>mass</w:t>
      </w:r>
      <w:r w:rsidR="003C7FB2">
        <w:rPr>
          <w:rFonts w:cs="Arial"/>
          <w:color w:val="2E2E2E"/>
        </w:rPr>
        <w:t xml:space="preserve"> </w:t>
      </w:r>
      <w:r w:rsidR="00DC2B09">
        <w:rPr>
          <w:rFonts w:cs="Arial"/>
          <w:color w:val="2E2E2E"/>
        </w:rPr>
        <w:t>index</w:t>
      </w:r>
      <w:r w:rsidR="003C7FB2">
        <w:rPr>
          <w:rFonts w:cs="Arial"/>
          <w:color w:val="2E2E2E"/>
        </w:rPr>
        <w:t xml:space="preserve"> </w:t>
      </w:r>
      <w:r w:rsidR="00DC2B09">
        <w:rPr>
          <w:rFonts w:cs="Arial"/>
          <w:color w:val="2E2E2E"/>
        </w:rPr>
        <w:t>(BMI)</w:t>
      </w:r>
      <w:r w:rsidR="002F3BFF">
        <w:rPr>
          <w:rFonts w:cs="Arial"/>
          <w:color w:val="2E2E2E"/>
        </w:rPr>
        <w:t>,</w:t>
      </w:r>
      <w:r w:rsidR="00DC2B09">
        <w:rPr>
          <w:rFonts w:cs="Arial"/>
          <w:color w:val="2E2E2E"/>
        </w:rPr>
        <w:fldChar w:fldCharType="begin" w:fldLock="1"/>
      </w:r>
      <w:r w:rsidR="000B07A6">
        <w:rPr>
          <w:rFonts w:cs="Arial"/>
          <w:color w:val="2E2E2E"/>
        </w:rPr>
        <w:instrText>ADDIN CSL_CITATION { "citationItems" : [ { "id" : "ITEM-1", "itemData" : { "DOI" : "10.1016/j.amepre.2013.04.012", "ISSN" : "1873-2607", "PMID" : "23953354", "abstract" : "BACKGROUND: Increasing active travel (walking, cycling, public transport) is increasingly seen as integral to strategies to raise physical activity levels. PURPOSE: This study examined (1) sociodemographic correlates of active travel to work and (2) associations between active travel and cardiovascular risk factors in the United Kingdom (UK). METHODS: Data come from Understanding Society, a nationally representative survey of UK residents in 2009/2011, analyzed in 2012. Multinomial logistic regression assessed associations between sociodemographic factors and mode of transport to work. Linear and logistic regression was used to examine associations between mode of travel and overweight/obesity, and having hypertension or diabetes. RESULTS: A total of 69% of participants traveled to work using private transport, with public transport, walking, and cycling used by 16%, 12%, and 3%, respectively. Use of any active travel was more likely in participants living in London. Black participants were more likely to walk (AOR=1.41, 95% CI=1.08, 1.84) or take public transport (AOR=2.34, 95% CI=1.88, 2.90) to work than whites. Using public transport, walking, or cycling to work was associated with a lower likelihood of being overweight (AOR=0.80, 95% CI=0.54, 0.88 for walking). Walking or cycling was associated with a lower likelihood of having diabetes, and walking was associated with a lower likelihood of having hypertension than private transport (AOR=0.83, 95% CI=0.71, 0.97). CONCLUSIONS: There are wide variations in the mode of travel to work across regions and sociodemographic groups in the UK. The protective association between active travel and cardiovascular risk demonstrated in this nationally representative study adds to growing evidence that concerted policy focus in this area may benefit population health.", "author" : [ { "dropping-particle" : "", "family" : "Laverty", "given" : "Anthony A", "non-dropping-particle" : "", "parse-names" : false, "suffix" : "" }, { "dropping-particle" : "", "family" : "Mindell", "given" : "Jennifer S", "non-dropping-particle" : "", "parse-names" : false, "suffix" : "" }, { "dropping-particle" : "", "family" : "Webb", "given" : "Elizabeth A", "non-dropping-particle" : "", "parse-names" : false, "suffix" : "" }, { "dropping-particle" : "", "family" : "Millett", "given" : "Christopher", "non-dropping-particle" : "", "parse-names" : false, "suffix" : "" } ], "container-title" : "American journal of preventive medicine", "id" : "ITEM-1", "issue" : "3", "issued" : { "date-parts" : [ [ "2013", "9" ] ] }, "note" : "From Duplicate 1 (Active travel to work and cardiovascular risk factors in the United Kingdom. - Laverty, Anthony A; Mindell, Jennifer S; Webb, Elizabeth A; Millett, Christopher)\n\nW+c split", "page" : "282-8", "title" : "Active travel to work and cardiovascular risk factors in the United Kingdom.", "type" : "article-journal", "volume" : "45" }, "uris" : [ "http://www.mendeley.com/documents/?uuid=de4e6781-17c6-4a1a-9631-32286ada1421" ] }, { "id" : "ITEM-2", "itemData" : { "DOI" : "10.1186/s12966-015-0223-3", "ISSN" : "1479-5868", "PMID" : "25986001", "abstract" : "BACKGROUND: There is little published data on the potential health benefits of active travel in low and middle-income countries. This is despite increasing levels of adiposity being linked to increases in physical inactivity and non-communicable diseases. This study will examine: (1) socio-demographic correlates of using active travel (walking or cycling for transport) among older adults in six populous middle-income countries (2) whether use of active travel is associated with adiposity, systolic blood pressure and self-reported diabetes in these countries.\n\nMETHODS: Data are from the WHO Study on Global Ageing and Adult Health (SAGE) of China, India, Mexico, Ghana, Russia and South Africa with a total sample size of 40,477. Correlates of active travel (\u2265150\u00a0min/week) were examined using logistic regression. Logistic and linear regression analyses were used to examine health related outcomes according to three groups of active travel use per week.\n\nRESULTS: 46.4\u00a0% of the sample undertook \u2265150\u00a0min of active travel per week (range South Africa: 21.9\u00a0% Ghana: 57.8\u00a0%). In pooled analyses those in wealthier households were less likely to meet this level of active travel (Adjusted Risk Ratio (ARR) 0.77, 95\u00a0% Confidence Intervals 0.67; 0.88 wealthiest fifth vs. poorest). Older people and women were also less likely to use active travel for \u2265150\u00a0min per week (ARR 0.71, 0.62; 0.80 those aged 70+ years vs. 18-29 years old, ARR 0.82, 0.74; 0.91 women vs. men). In pooled fully adjusted analyses, high use of active travel was associated with lower risk of overweight (ARR 0.71, 0.59; 0.86), high waist-to-hip ratio (ARR 0.71, 0.61; 0.84) and lower BMI (-0.54\u00a0kg/m(2), -0.98;- 0.11). Moderate (31-209\u00a0min/week) and high use (\u2265210\u00a0min/week) of active travel was associated with lower waist circumference (-1.52\u00a0cm (-2.40; -0.65) and -2.16\u00a0cm (3.07; -1.26)), and lower systolic blood pressure (-1.63\u00a0mm/Hg (-3.19; -0.06) and -2.33\u00a0mm/Hg (-3.98; -0.69)).\n\nCONCLUSIONS: In middle-income countries use of active travel for \u2265150\u00a0min per week is more common in lower socio-economic groups and appears to confer similar health benefits to those identified in high-income settings. Efforts to increase active travel levels should be integral to strategies to maintain healthy weight and reduce disease burden in these settings.", "author" : [ { "dropping-particle" : "", "family" : "Laverty", "given" : "Anthony A", "non-dropping-particle" : "", "parse-names" : false, "suffix" : "" }, { "dropping-particle" : "", "family" : "Palladino", "given" : "Raffaele", "non-dropping-particle" : "", "parse-names" : false, "suffix" : "" }, { "dropping-particle" : "", "family" : "Lee", "given" : "John Tayu", "non-dropping-particle" : "", "parse-names" : false, "suffix" : "" }, { "dropping-particle" : "", "family" : "Millett", "given" : "Christopher", "non-dropping-particle" : "", "parse-names" : false, "suffix" : "" } ], "container-title" : "The international journal of behavioral nutrition and physical activity", "id" : "ITEM-2", "issue" : "1", "issued" : { "date-parts" : [ [ "2015", "5", "20" ] ] }, "note" : "w+C combined", "page" : "65", "title" : "Associations between active travel and weight, blood pressure and diabetes in six middle income countries: a cross-sectional study in older adults.", "type" : "article-journal", "volume" : "12" }, "uris" : [ "http://www.mendeley.com/documents/?uuid=47edd7ae-8998-4388-8291-d32c785aada6" ] }, { "id" : "ITEM-3", "itemData" : { "DOI" : "10.1371/journal.pmed.1001459", "ISSN" : "1549-1676", "PMID" : "23776412", "abstract" : "BACKGROUND: Increasing active travel (walking, bicycling, and public transport) is promoted as a key strategy to increase physical activity and reduce the growing burden of noncommunicable diseases (NCDs) globally. Little is known about patterns of active travel or associated cardiovascular health benefits in low- and middle-income countries. This study examines mode and duration of travel to work in rural and urban India and associations between active travel and overweight, hypertension, and diabetes. METHODS AND FINDINGS: Cross-sectional study of 3,902 participants (1,366 rural, 2,536 urban) in the Indian Migration Study. Associations between mode and duration of active travel and cardiovascular risk factors were assessed using random-effect logistic regression models adjusting for age, sex, caste, standard of living, occupation, factory location, leisure time physical activity, daily fat intake, smoking status, and alcohol use. Rural dwellers were significantly more likely to bicycle (68.3% versus 15.9%; p&lt;0.001) to work than urban dwellers. The prevalence of overweight or obesity was 50.0%, 37.6%, 24.2%, 24.9%; hypertension was 17.7%, 11.8%, 6.5%, 9.8%; and diabetes was 10.8%, 7.4%, 3.8%, 7.3% in participants who travelled to work by private transport, public transport, bicycling, and walking, respectively. In the adjusted analysis, those walking (adjusted risk ratio [ARR] 0.72; 95% CI 0.58-0.88) or bicycling to work (ARR 0.66; 95% CI 0.55-0.77) were significantly less likely to be overweight or obese than those travelling by private transport. Those bicycling to work were significantly less likely to have hypertension (ARR 0.51; 95% CI 0.36-0.71) or diabetes (ARR 0.65; 95% CI 0.44-0.95). There was evidence of a dose-response relationship between duration of bicycling to work and being overweight, having hypertension or diabetes. The main limitation of the study is the cross-sectional design, which limits causal inference for the associations found. CONCLUSIONS: Walking and bicycling to work was associated with reduced cardiovascular risk in the Indian population. Efforts to increase active travel in urban areas and halt declines in rural areas should be integral to strategies to maintain healthy weight and prevent NCDs in India. Please see later in the article for the Editors' Summary.", "author" : [ { "dropping-particle" : "", "family" : "Millett", "given" : "Christopher", "non-dropping-particle" : "", "parse-names" : false, "suffix" : "" }, { "dropping-particle" : "", "family" : "Agrawal", "given" : "Sutapa", "non-dropping-particle" : "", "parse-names" : false, "suffix" : "" }, { "dropping-particle" : "", "family" : "Sullivan", "given" : "Ruth", "non-dropping-particle" : "", "parse-names" : false, "suffix" : "" }, { "dropping-particle" : "", "family" : "Vaz", "given" : "Mario", "non-dropping-particle" : "", "parse-names" : false, "suffix" : "" }, { "dropping-particle" : "", "family" : "Kurpad", "given" : "Anura", "non-dropping-particle" : "", "parse-names" : false, "suffix" : "" }, { "dropping-particle" : "V.", "family" : "Bharathi", "given" : "A.", "non-dropping-particle" : "", "parse-names" : false, "suffix" : "" }, { "dropping-particle" : "", "family" : "Prabhakaran", "given" : "Dorairaj", "non-dropping-particle" : "", "parse-names" : false, "suffix" : "" }, { "dropping-particle" : "", "family" : "Reddy", "given" : "KSPD Kolli Srinath", "non-dropping-particle" : "", "parse-names" : false, "suffix" : "" }, { "dropping-particle" : "", "family" : "Kinra", "given" : "Sanjay", "non-dropping-particle" : "", "parse-names" : false, "suffix" : "" }, { "dropping-particle" : "", "family" : "Smith", "given" : "GD George Davey", "non-dropping-particle" : "", "parse-names" : false, "suffix" : "" }, { "dropping-particle" : "", "family" : "Ebrahim", "given" : "Shah", "non-dropping-particle" : "", "parse-names" : false, "suffix" : "" }, { "dropping-particle" : "", "family" : "Group", "given" : "for the Indian Migration Study", "non-dropping-particle" : "", "parse-names" : false, "suffix" : "" } ], "container-title" : "PLoS medicine", "editor" : [ { "dropping-particle" : "", "family" : "Bhalla", "given" : "Kavi", "non-dropping-particle" : "", "parse-names" : false, "suffix" : "" } ], "id" : "ITEM-3", "issue" : "6", "issued" : { "date-parts" : [ [ "2013", "1", "11" ] ] }, "note" : "From Duplicate 2 (Associations between active travel to work and overweight, hypertension, and diabetes in India: a cross-sectional study. - Millett, Christopher; Agrawal, Sutapa; Sullivan, Ruth; Vaz, Mario; Kurpad, Anura; Bharathi, A V; Prabhakaran, Dorairaj; Reddy, Kolli Srinath; Kinra, Sanjay; Smith, George Davey; Ebrahim, Shah)\n\nseparate estimates for w+C", "page" : "e1001459", "publisher" : "Public Library of Science", "title" : "Associations between active travel to work and overweight, hypertension, and diabetes in India: a cross-sectional study.", "type" : "article-journal", "volume" : "10" }, "uris" : [ "http://www.mendeley.com/documents/?uuid=246315b3-3a61-4417-8831-b4fc4fbf04a3" ] }, { "id" : "ITEM-4", "itemData" : { "DOI" : "10.1016/S2213-8587(16)00053-X", "ISSN" : "22138587", "author" : [ { "dropping-particle" : "", "family" : "Flint", "given" : "Ellen", "non-dropping-particle" : "", "parse-names" : false, "suffix" : "" }, { "dropping-particle" : "", "family" : "Cummins", "given" : "Steven", "non-dropping-particle" : "", "parse-names" : false, "suffix" : "" } ], "container-title" : "The Lancet Diabetes &amp; Endocrinology", "id" : "ITEM-4", "issue" : "5", "issued" : { "date-parts" : [ [ "2016", "3" ] ] }, "language" : "English", "page" : "420-435", "publisher" : "Elsevier", "title" : "Active commuting and obesity in mid-life: cross-sectional, observational evidence from UK Biobank", "type" : "article-journal", "volume" : "4" }, "uris" : [ "http://www.mendeley.com/documents/?uuid=e7c9e359-019e-4cc3-a869-943a6411defd" ] }, { "id" : "ITEM-5", "itemData" : { "DOI" : "10.1136/bmj.g4887", "ISSN" : "1756-1833", "abstract" : "Objective To determine if promotion of active modes of travel is an effective strategy for obesity prevention by assessing whether active commuting (walking or cycling for all or part of the journey to work) is independently associated with objectively assessed biological markers of obesity. Design Cross sectional study of data from the wave 2 Health Assessment subsample of Understanding Society, the UK Household Longitudinal Study (UKHLS). The exposure of interest, commuting mode, was self reported and categorised as three categories: private transport, public transport, and active transport. Participants The analytic samples (7534 for body mass index (BMI) analysis, 7424 for percentage body fat analysis) were drawn from the representative subsample of wave 2 respondents of UKHLS who provided health assessment data (n=15 777). Main outcome measures Body mass index (weight (kg)/height (m)2); percentage body fat (measured by electrical impedance). Results Results from multivariate linear regression analyses suggest that, compared with using private transport, commuting by public or active transport modes was significantly and independently predictive of lower BMI for both men and women. In fully adjusted models, men who commuted via public or active modes had BMI scores 1.10 (95% CI 0.53 to 1.67) and 0.97 (0.40 to 1.55) points lower, respectively, than those who used private transport. Women who commuted via public or active modes had BMI scores 0.72 (0.06 to 1.37) and 0.87 (0.36 to 0.87) points lower, respectively, than those using private transport. Results for percentage body fat were similar in terms of magnitude, significance, and direction of effects. Conclusions Men and women who commuted to work by active and public modes of transport had significantly lower BMI and percentage body fat than their counterparts who used private transport. These associations were not attenuated by adjustment for a range of hypothesised confounding factors.", "author" : [ { "dropping-particle" : "", "family" : "Flint", "given" : "E.", "non-dropping-particle" : "", "parse-names" : false, "suffix" : "" }, { "dropping-particle" : "", "family" : "Cummins", "given" : "S.", "non-dropping-particle" : "", "parse-names" : false, "suffix" : "" }, { "dropping-particle" : "", "family" : "Sacker", "given" : "A.", "non-dropping-particle" : "", "parse-names" : false, "suffix" : "" } ], "container-title" : "BMJ", "id" : "ITEM-5", "issue" : "aug19 13", "issued" : { "date-parts" : [ [ "2014", "8", "19" ] ] }, "page" : "g4887-g4887", "title" : "Associations between active commuting, body fat, and body mass index: population based, cross sectional study in the United Kingdom", "type" : "article-journal", "volume" : "349" }, "uris" : [ "http://www.mendeley.com/documents/?uuid=8787743b-b3b9-4811-8179-d88afe555721" ] }, { "id" : "ITEM-6", "itemData" : { "DOI" : "10.1001/archinternmed.2009.163", "ISBN" : "1538-3679 (Electronic)\n0003-9926 (Linking)", "PMID" : "19597071", "abstract" : "BACKGROUND: There is little research on the association of lifestyle exercise, such as active commuting (walking or biking to work), with obesity, fitness, and cardiovascular disease (CVD) risk factors. METHODS: This cross-sectional study included 2364 participants enrolled in the Coronary Artery Risk Development in Young Adults (CARDIA) study who worked outside the home during year 20 of the study (2005-2006). Associations between walking or biking to work (self-reported time, distance, and mode of commuting) with body weight (measured height and weight); obesity (body mass index [BMI], calculated as weight in kilograms divided by height in meters squared, &gt;or= 30); fitness (symptom-limited exercise stress testing); objective moderate-vigorous physical activity (accelerometry); CVD risk factors (blood pressure [oscillometric systolic and diastolic]); and serum measures (fasting measures of lipid, glucose, and insulin levels) were separately assessed by sex-stratified multivariable linear (or logistic) regression modeling. RESULTS: A total of 16.7% of participants used any means of active commuting to work. Controlling for age, race, income, education, smoking, examination center, and physical activity index excluding walking, men with any active commuting (vs none) had reduced likelihood of obesity (odds ratio [OR], 0.50; 95% confidence interval [CI], 0.33-0.76), reduced CVD risk: ratio of geometric mean triglyceride levels (trig(active))/(trig(nonactive)) = 0.88 (95% CI, 0.80 to 0.98); ratio of geometric mean fasting insulin (FI(active))/(FI(nonactive)) = 0.86 (95% CI, 0.78 to 0.93); difference in mean diastolic blood pressure (millimeters of mercury) (DBP(active)) - (DBP(nonactive)) = -1.67 (95% CI, -3.20 to -0.15); and higher fitness: mean difference in treadmill test duration (in seconds) in men (TT(active)) - (TT(nonactive)) = 50.0 (95% CI, 31.45 to 68.59) and women (TT(active)) - (TT(nonactive)) = 28.77 (95% CI, 11.61 to 45.92). CONCLUSIONS: Active commuting was positively associated with fitness in men and women and inversely associated with BMI, obesity, triglyceride levels, blood pressure, and insulin level in men. Active commuting should be investigated as a modality for maintaining or improving health.", "author" : [ { "dropping-particle" : "", "family" : "Gordon-Larsen", "given" : "P", "non-dropping-particle" : "", "parse-names" : false, "suffix" : "" }, { "dropping-particle" : "", "family" : "Boone-Heinonen", "given" : "J", "non-dropping-particle" : "", "parse-names" : false, "suffix" : "" }, { "dropping-particle" : "", "family" : "Sidney", "given" : "S", "non-dropping-particle" : "", "parse-names" : false, "suffix" : "" }, { "dropping-particle" : "", "family" : "Sternfeld", "given" : "B", "non-dropping-particle" : "", "parse-names" : false, "suffix" : "" }, { "dropping-particle" : "", "family" : "Jacobs  Jr.", "given" : "D R", "non-dropping-particle" : "", "parse-names" : false, "suffix" : "" }, { "dropping-particle" : "", "family" : "Lewis", "given" : "C E", "non-dropping-particle" : "", "parse-names" : false, "suffix" : "" } ], "container-title" : "Arch Intern Med", "edition" : "2009/07/15", "id" : "ITEM-6", "issue" : "13", "issued" : { "date-parts" : [ [ "2009" ] ] }, "language" : "eng", "note" : "Gordon-Larsen, Penny\nBoone-Heinonen, Janne\nSidney, Steve\nSternfeld, Barbara\nJacobs, David R Jr\nLewis, Cora E\nDK56350/DK/NIDDK NIH HHS/\nK01 HD044263-05/HD/NICHD NIH HHS/\nK01-HD044263/HD/NICHD NIH HHS/\nN01 HC005187/HC/NHLBI NIH HHS/\nN01 HC048047/HC/NHLBI NIH HHS/\nN01 HC048048/HC/NHLBI NIH HHS/\nN01 HC048049/HC/NHLBI NIH HHS/\nN01 HC048050/HC/NHLBI NIH HHS/\nN01 HC095095/HC/NHLBI NIH HHS/\nN01-HC-05187/HC/NHLBI NIH HHS/\nN01-HC-48047/HC/NHLBI NIH HHS/\nN01-HC-48048/HC/NHLBI NIH HHS/\nN01-HC-48049/HC/NHLBI NIH HHS/\nN01-HC-48050/HC/NHLBI NIH HHS/\nN01-HC-95095/HC/NHLBI NIH HHS/\nP30 DK056350-08S1/DK/NIDDK NIH HHS/\nP30 ES010126-01A1/ES/NIEHS NIH HHS/\nP30-ES10126/ES/NIEHS NIH HHS/\nR01 CA109831/CA/NCI NIH HHS/\nR01 CA109831-05/CA/NCI NIH HHS/\nR01 CA12115/CA/NCI NIH HHS/\nR01 CA121152-04/CA/NCI NIH HHS/\nR01 HL078972/HL/NHLBI NIH HHS/\nR01 HL078972-04/HL/NHLBI NIH HHS/\nArch Intern Med. 2009 Jul 13;169(13):1216-23.", "page" : "1216-1223", "title" : "Active commuting and cardiovascular disease risk: the CARDIA study", "type" : "article-journal", "volume" : "169" }, "uris" : [ "http://www.mendeley.com/documents/?uuid=ddc63179-44fa-4361-9f4b-a690b96e1262" ] }, { "id" : "ITEM-7", "itemData" : { "DOI" : "10.1186/s12889-015-2411-0", "ISSN" : "1471-2458", "PMID" : "26498367", "abstract" : "BACKGROUND Data on use and health benefits of active travel in rural low- and middle- income country settings are sparse. We aimed to examine correlates of active travel, and its association with adiposity, in rural India and Bangladesh. METHODS Cross sectional study of 2,122 adults (\u226518 years) sampled in 2011-13 from two rural sites in India (Goa and Chennai) and one in Bangladesh (Matlab). Logistic regression was used to examine whether \u2265150 min/week of active travel was associated with socio-demographic indices, smoking, oil/butter consumption, and additional physical activity. Adjusting for these same factors, associations between active travel and BMI, waist circumference and waist-to-hip ratio were examined using linear and logistic regression. RESULTS Forty-six percent of the sample achieved recommended levels of physical activity (\u2265150 min/week) through active travel alone (range: 33.1 % in Matlab to 54.8 % in Goa). This was more frequent among smokers (adjusted odds ratio 1.36, 95 % confidence interval 1.07-1.72; p\u2009=\u20090.011) and those that spent \u2265150 min/week in work-based physical activity (OR 1.71, 1.35-2.16; p\u2009&lt;\u20090.001), but less frequent among females than males (OR 0.25, 0.20-0.31; p\u2009&lt;\u20090.001). In fully adjusted analyses, \u2265150 min/week of active travel was associated with lower BMI (adjusted coefficient -0.39 kg/m(2), -0.77 to -0.02; p\u2009=\u20090.037) and a lower likelihood of high waist circumference (OR 0.77, 0.63-0.96; p\u2009=\u20090.018) and high waist-to-hip ratio (OR 0.72, 0.58-0.89; p\u2009=\u20090.002). CONCLUSIONS Use of active travel for \u2265150 min/week was associated with being male, smoking, and higher levels of work-based physical activity. It was associated with lower BMI, and lower risk of a high waist circumference or high waist-to-hip ratio. Promotion of active travel is an important component of strategies to address the growing prevalence of overweight in rural low- and middle- income country settings.", "author" : [ { "dropping-particle" : "", "family" : "McKay", "given" : "Ailsa J", "non-dropping-particle" : "", "parse-names" : false, "suffix" : "" }, { "dropping-particle" : "", "family" : "Laverty", "given" : "Anthony A", "non-dropping-particle" : "", "parse-names" : false, "suffix" : "" }, { "dropping-particle" : "", "family" : "Shridhar", "given" : "Krithiga", "non-dropping-particle" : "", "parse-names" : false, "suffix" : "" }, { "dropping-particle" : "", "family" : "Alam", "given" : "Dewan", "non-dropping-particle" : "", "parse-names" : false, "suffix" : "" }, { "dropping-particle" : "", "family" : "Dias", "given" : "Amit", "non-dropping-particle" : "", "parse-names" : false, "suffix" : "" }, { "dropping-particle" : "", "family" : "Williams", "given" : "Joseph", "non-dropping-particle" : "", "parse-names" : false, "suffix" : "" }, { "dropping-particle" : "", "family" : "Millett", "given" : "Christopher", "non-dropping-particle" : "", "parse-names" : false, "suffix" : "" }, { "dropping-particle" : "", "family" : "Ebrahim", "given" : "Shah", "non-dropping-particle" : "", "parse-names" : false, "suffix" : "" }, { "dropping-particle" : "", "family" : "Dhillon", "given" : "Preet K", "non-dropping-particle" : "", "parse-names" : false, "suffix" : "" } ], "container-title" : "BMC public health", "id" : "ITEM-7", "issued" : { "date-parts" : [ [ "2015" ] ] }, "page" : "1087", "title" : "Associations between active travel and adiposity in rural India and Bangladesh: a cross-sectional study.", "type" : "article-journal", "volume" : "15" }, "uris" : [ "http://www.mendeley.com/documents/?uuid=09987ac4-12b6-3462-a026-3bd9ac43730c" ] }, { "id" : "ITEM-8", "itemData" : { "ISSN" : "1209-1367", "PMID" : "27096619", "abstract" : "BACKGROUND Active travel may be a means of integrating physical activity into an individual's routine. This analysis investigates the relationship between utilitarian walking and cycling and objectively measured physical activity and health-related outcomes in a nationally representative sample of Canadian adults. DATA AND METHODS Adults aged 20 to 79 who participated in the 2007-to-2011 Canadian Health Measures Surveys (N = 7,160) reported the weekly time spent in utilitarian walking and cycling and wore an Actical accelerometer for seven days. They underwent a series of tests to measure physical fitness, body composition, blood pressure, and biomarkers. Differences in physical activity and health-related outcomes across levels of utilitarian walking and cycling were assessed with ANCOVA analyses adjusted for age, sex, education, household income, self-reported usual daily physical activity, and the complex survey design. RESULTS Utilitarian walking and cycling were associated with moderate-to-vigorous physical activity in a graded manner. Compared with respondents who reported walking 1 to 5 hours a week, those who walked more than 5 hours a week had lower skinfold thickness. Respondents who reported cycling 1 or more hours a week had greater aerobic fitness and lower BMI, waist circumference, total cholesterol/HDL ratio, glycohemoglobin, C-reactive protein, and triglycerides than did those who did not cycle. They also had higher aerobic fitness and lower BMI and waist circumference than those who reported cycling less than an hour a week. INTERPRETATION Cycling at least an hour a week is associated with improved fitness and reduced cardiovascular disease risk factors. Both utilitarian walking and cycling may be means of increasing adults' moderate-to-vigorous physical activity.", "author" : [ { "dropping-particle" : "", "family" : "Larouche", "given" : "Richard", "non-dropping-particle" : "", "parse-names" : false, "suffix" : "" }, { "dropping-particle" : "", "family" : "Faulkner", "given" : "Guy", "non-dropping-particle" : "", "parse-names" : false, "suffix" : "" }, { "dropping-particle" : "", "family" : "Tremblay", "given" : "Mark S", "non-dropping-particle" : "", "parse-names" : false, "suffix" : "" } ], "container-title" : "Health reports", "id" : "ITEM-8", "issue" : "4", "issued" : { "date-parts" : [ [ "2016", "4" ] ] }, "page" : "10-8", "title" : "Active travel and adults' health: The 2007-to-2011 Canadian Health Measures Surveys.", "type" : "article-journal", "volume" : "27" }, "uris" : [ "http://www.mendeley.com/documents/?uuid=070418c1-8f41-3a48-b8e6-6c61300966c8" ] }, { "id" : "ITEM-9", "itemData" : { "DOI" : "10.1016/j.ypmed.2016.06.014", "ISSN" : "00917435", "abstract" : "OBJECTIVE\nTo investigate the longitudinal associations between active commuting (walking and cycling to work) and body mass index (BMI). \n\nMETHOD\nWe used self-reported data on height, weight and active commuting from the Commuting and Health in Cambridge study (2009 to 2012; n=809). We used linear regression to test the associations between: a) maintenance of active commuting over one year and BMI at the end of that year; and b) change in weekly time spent in active commuting and change in BMI over one year. \n\nRESULTS\nAfter adjusting for sociodemographic variables, other physical activity, physical wellbeing and maintenance of walking, those who maintained cycle commuting reported a lower BMI on average at one year follow-up (1.14kg/m2, 95% CI: 0.30 to 1.98, n=579) than those who never cycled to work. No significant association remained after adjustment for baseline BMI. No significant associations were observed for maintenance of walking. An increase in walking was associated with a reduction in BMI (0.32kg/m2, 95% CI: 0.03 to 0.62, n=651, after adjustment for co-variates and baseline BMI) only when restricting the analysis to those who did not move. No other significant associations between changes in weekly time spent walking or cycling on the commute and changes in BMI were observed. \n\nCONCLUSIONS\nThis work provides further evidence of the contribution of active commuting, particularly cycling, to preventing weight gain or facilitating weight loss. The findings may be valuable for employees choosing how to commute and engaging employers in the promotion of active travel.", "author" : [ { "dropping-particle" : "", "family" : "Mytton", "given" : "Oliver Tristan", "non-dropping-particle" : "", "parse-names" : false, "suffix" : "" }, { "dropping-particle" : "", "family" : "Panter", "given" : "Jenna", "non-dropping-particle" : "", "parse-names" : false, "suffix" : "" }, { "dropping-particle" : "", "family" : "Ogilvie", "given" : "David", "non-dropping-particle" : "", "parse-names" : false, "suffix" : "" } ], "container-title" : "Preventive Medicine", "id" : "ITEM-9", "issued" : { "date-parts" : [ [ "2016" ] ] }, "page" : "1-7", "title" : "Longitudinal associations of active commuting with body mass index", "type" : "article-journal", "volume" : "90" }, "uris" : [ "http://www.mendeley.com/documents/?uuid=11c42899-4a63-4fdd-be71-93f3769567b7" ] }, { "id" : "ITEM-10", "itemData" : { "DOI" : "10.3390/ijerph13050455", "ISSN" : "1660-4601", "abstract" : "Active traveling to a daily occupation means that an individual uses an active way of traveling between two destinations. Active travel to work or other daily occupations offers a convenient way to increase physical activity levels which is known to have positive effects on several health outcomes. Frequently used concepts in city planning and regional planning today are to create environments for active commuting and active living. Even then, little research has focused on traveling modes and subjective health outcomes such as self-rated health (SRH). This study aimed to explore and investigate associations between travel mode and health-related outcomes, such as self-rated health (SRH), body mass index (BMI) and overall physical activity, in an adult population in Sweden. A cross-sectional study was conducted in a randomly selected population-based sample (n = 1786, age 45\u201375 years); the respondents completed a questionnaire about their regular travel mode, demographics, lifestyle, BMI and SRH. Chi-square tests and logistic regressions found that inactive traveling was associated with poor SRH, a greater risk of obesity or being overweight and overall physical inactivity. In addition, lifestyle factors, such as choice of food and smoking habits, were associated with SRH, BMI and overall physical activity.", "author" : [ { "dropping-particle" : "", "family" : "Berglund", "given" : "Erik", "non-dropping-particle" : "", "parse-names" : false, "suffix" : "" }, { "dropping-particle" : "", "family" : "Lytsy", "given" : "Per", "non-dropping-particle" : "", "parse-names" : false, "suffix" : "" }, { "dropping-particle" : "", "family" : "Westerling", "given" : "Ragnar", "non-dropping-particle" : "", "parse-names" : false, "suffix" : "" } ], "container-title" : "International Journal of Environmental Research and Public Health", "id" : "ITEM-10", "issue" : "5", "issued" : { "date-parts" : [ [ "2016", "4", "28" ] ] }, "page" : "455", "publisher" : "Multidisciplinary Digital Publishing Institute", "title" : "Active Traveling and Its Associations with Self-Rated Health, BMI and Physical Activity: A Comparative Study in the Adult Swedish Population", "type" : "article-journal", "volume" : "13" }, "uris" : [ "http://www.mendeley.com/documents/?uuid=cb7ac5d2-9957-3c8f-97ec-ac03f0501cd7" ] }, { "id" : "ITEM-11", "itemData" : { "DOI" : "10.1136/jech-2014-205211", "ISSN" : "1470-2738", "PMID" : "25954024", "abstract" : "BACKGROUND: Active commuting is associated with various health benefits, but little is known about its causal relationship with body mass index (BMI).\n\nMETHODS: We used cohort data from three consecutive annual waves of the British Household Panel Survey, a longitudinal study of nationally representative households, in 2004/2005 (n=15\u2005791), 2005/2006 and 2006/2007. Participants selected for the analyses (n=4056) reported their usual main mode of travel to work at each time point. Self-reported height and weight were used to derive BMI at baseline and after 2\u2005years. Multivariable linear regression analyses were used to assess associations between switching to and from active modes of travel (over 1 and 2\u2005years) and change in BMI (over 2\u2005years) and to assess dose-response relationships.\n\nRESULTS: After adjustment for socioeconomic and health-related covariates, the first analysis (n=3269) showed that switching from private motor transport to active travel or public transport (n=179) was associated with a significant reduction in BMI compared with continued private motor vehicle use (n=3090; -0.32\u2005kg/m(2), 95% CI -0.60 to -0.05). Larger adjusted effect sizes were associated with switching to active travel (n=109; -0.45\u2005kg/m(2), -0.78 to -0.11), particularly among those who switched within the first year and those with the longest journeys. The second analysis (n=787) showed that switching from active travel or public transport to private motor transport was associated with a significant increase in BMI (0.34\u2005kg/m(2), 0.05 to 0.64).\n\nCONCLUSIONS: Interventions to enable commuters to switch from private motor transport to more active modes of travel could contribute to reducing population mean BMI.", "author" : [ { "dropping-particle" : "", "family" : "Martin", "given" : "Adam", "non-dropping-particle" : "", "parse-names" : false, "suffix" : "" }, { "dropping-particle" : "", "family" : "Panter", "given" : "Jenna", "non-dropping-particle" : "", "parse-names" : false, "suffix" : "" }, { "dropping-particle" : "", "family" : "Suhrcke", "given" : "Marc", "non-dropping-particle" : "", "parse-names" : false, "suffix" : "" }, { "dropping-particle" : "", "family" : "Ogilvie", "given" : "David", "non-dropping-particle" : "", "parse-names" : false, "suffix" : "" } ], "container-title" : "Journal of epidemiology and community health", "id" : "ITEM-11", "issue" : "8", "issued" : { "date-parts" : [ [ "2015", "5", "7" ] ] }, "page" : "753-61", "title" : "Impact of changes in mode of travel to work on changes in body mass index: evidence from the British Household Panel Survey.", "type" : "article-journal", "volume" : "69" }, "uris" : [ "http://www.mendeley.com/documents/?uuid=9729e467-b20c-4026-a548-9d0eb07535fc" ] }, { "id" : "ITEM-12", "itemData" : { "DOI" : "10.1371/journal.pone.0130903", "ISSN" : "1932-6203", "author" : [ { "dropping-particle" : "", "family" : "Wojan", "given" : "Timothy R.", "non-dropping-particle" : "", "parse-names" : false, "suffix" : "" }, { "dropping-particle" : "", "family" : "Hamrick", "given" : "Karen S.", "non-dropping-particle" : "", "parse-names" : false, "suffix" : "" }, { "dropping-particle" : "", "family" : "Durand", "given" : "CP", "non-dropping-particle" : "", "parse-names" : false, "suffix" : "" } ], "container-title" : "PLOS ONE", "editor" : [ { "dropping-particle" : "", "family" : "Zhang", "given" : "Harry", "non-dropping-particle" : "", "parse-names" : false, "suffix" : "" } ], "id" : "ITEM-12", "issue" : "7", "issued" : { "date-parts" : [ [ "2015", "7", "8" ] ] }, "page" : "e0130903", "publisher" : "Public Library of Science", "title" : "Can Walking or Biking to Work Really Make a Difference? Compact Development, Observed Commuter Choice and Body Mass Index", "type" : "article-journal", "volume" : "10" }, "uris" : [ "http://www.mendeley.com/documents/?uuid=3b3127ff-01f7-347d-8ee5-a7e5866c3a37" ] }, { "id" : "ITEM-13", "itemData" : { "DOI" : "10.1016/j.ypmed.2007.07.012", "ISSN" : "0091-7435", "PMID" : "17706273", "abstract" : "OBJECTIVES: To investigate the association between means of transportation to work and overweight+obesity and obesity. METHODS: The 2004 public health survey in Sk\u00e5ne is a cross-sectional postal questionnaire study of the population aged 18-80 with a 59% response rate including 16,705 employed participants. RESULTS: Forty-six percent of men and 26.6% of women were overweight (BMI 25.0-29.9); 11.6% of men and 10.3% of women were obese (BMI 30.0-); 18.2% of men and 25.9% of women bicycled and/or walked to work and 10.4% and 16.2% used public transportation, respectively. In contrast, 68.3% of men and 55.8% of women went to work by car. The odds ratios of overweight+obesity among persons who walked or bicycled were significantly lower and remained 0.62 (95% CI 0.51-0.76) among men and 0.79 (95% CI 0.67-0.94) among women in the models including all confounders compared to the car driving reference category. The odds ratios of obesity were initially significantly lower among both men and women who walked or bicycled, but in the final models only among women. The odds ratios of overweight+obesity as well as obesity were also lower among men using public transportation. CONCLUSIONS: Walking and bicycling to work are significantly negatively associated with overweight+obesity and, to some extent, obesity. Public transportation is significantly negatively associated with overweight+obesity and obesity among men.", "author" : [ { "dropping-particle" : "", "family" : "Lindstr\u00f6m", "given" : "Martin", "non-dropping-particle" : "", "parse-names" : false, "suffix" : "" } ], "container-title" : "Preventive medicine", "id" : "ITEM-13", "issue" : "1", "issued" : { "date-parts" : [ [ "2008", "1" ] ] }, "note" : "w+c combined", "page" : "22-8", "title" : "Means of transportation to work and overweight and obesity: a population-based study in southern Sweden.", "type" : "article-journal", "volume" : "46" }, "uris" : [ "http://www.mendeley.com/documents/?uuid=3ff9ea2e-ab2a-46f6-a24b-f59ac38b989c" ] }, { "id" : "ITEM-14", "itemData" : { "DOI" : "10.1111/1753-6405.12097", "ISSN" : "1753-6405", "PMID" : "24494941", "abstract" : "OBJECTIVE: This study describes the prevalence of walking and cycling to work in New South Wales (NSW) from 2005-2010. It examines the demographic characteristics of those people walking and cycling to work and the association of walking and cycling with body mass index (BMI).\n\nMETHODS: Data from the NSW Continuous Health Survey, a telephone survey of health indicators among a representative sample of residents aged 16 years or over, were used.\n\nRESULTS: There were no changes in the proportions of employed respondents walking or cycling to work in NSW from 2005 to 2010, with estimates ranging from 5.1-7.3% usually walking, and 1.4-1.8% usually cycling. People who walked (adjusted odds ratio [AOR]=1.07, 95%CI 1.00-1.14) or cycled (AOR=1.22, 95%CI 1.14-1.32) to work had higher levels of education, after adjusting for age, sex, income and residence.\n\nCONCLUSIONS: There has been no overall increase in active commuting in NSW (2005-2010). Better efforts to communicate the benefits of active travel and less sedentary travel are warranted, in particular among those with lower levels of education.\n\nIMPLICATIONS: More interventions are needed to encourage walking and cycling to work, in order to gain significant benefits in terms of maintaining a healthy weight.", "author" : [ { "dropping-particle" : "", "family" : "Rissel", "given" : "Chris", "non-dropping-particle" : "", "parse-names" : false, "suffix" : "" }, { "dropping-particle" : "", "family" : "Greenaway", "given" : "Mark", "non-dropping-particle" : "", "parse-names" : false, "suffix" : "" }, { "dropping-particle" : "", "family" : "Bauman", "given" : "Adrian", "non-dropping-particle" : "", "parse-names" : false, "suffix" : "" }, { "dropping-particle" : "", "family" : "Wen", "given" : "Li Ming", "non-dropping-particle" : "", "parse-names" : false, "suffix" : "" } ], "container-title" : "Australian and New Zealand journal of public health", "id" : "ITEM-14", "issue" : "1", "issued" : { "date-parts" : [ [ "2014", "3" ] ] }, "page" : "25-9", "title" : "Active travel to work in New South Wales 2005-2010, individual characteristics and association with body mass index.", "type" : "article-journal", "volume" : "38" }, "uris" : [ "http://www.mendeley.com/documents/?uuid=af082963-ce36-4001-b868-7fdc9b7631f1" ] } ], "mendeley" : { "formattedCitation" : "(Berglund et al., 2016; Flint et al., 2014; Flint and Cummins, 2016; Gordon-Larsen et al., 2009; Larouche et al., 2016; Laverty et al., 2015, 2013; Lindstr\u00f6m, 2008; Martin et al., 2015; McKay et al., 2015; Millett et al., 2013; Mytton et al., 2016; Rissel et al., 2014; Wojan et al., 2015)", "plainTextFormattedCitation" : "(Berglund et al., 2016; Flint et al., 2014; Flint and Cummins, 2016; Gordon-Larsen et al., 2009; Larouche et al., 2016; Laverty et al., 2015, 2013; Lindstr\u00f6m, 2008; Martin et al., 2015; McKay et al., 2015; Millett et al., 2013; Mytton et al., 2016; Rissel et al., 2014; Wojan et al., 2015)", "previouslyFormattedCitation" : "(Berglund et al., 2016; Flint et al., 2014; Flint and Cummins, 2016; Gordon-Larsen et al., 2009; Larouche et al., 2016; Laverty et al., 2015, 2013; Lindstr\u00f6m, 2008; Martin et al., 2015; McKay et al., 2015; Millett et al., 2013; Mytton et al., 2016; Rissel et al., 2014; Wojan et al., 2015)" }, "properties" : { "noteIndex" : 0 }, "schema" : "https://github.com/citation-style-language/schema/raw/master/csl-citation.json" }</w:instrText>
      </w:r>
      <w:r w:rsidR="00DC2B09">
        <w:rPr>
          <w:rFonts w:cs="Arial"/>
          <w:color w:val="2E2E2E"/>
        </w:rPr>
        <w:fldChar w:fldCharType="separate"/>
      </w:r>
      <w:r w:rsidR="00B71669" w:rsidRPr="00B71669">
        <w:rPr>
          <w:rFonts w:cs="Arial"/>
          <w:noProof/>
          <w:color w:val="2E2E2E"/>
        </w:rPr>
        <w:t>(Berglund et al., 2016; Flint et al., 2014; Flint and Cummins, 2016; Gordon-Larsen et al., 2009; Larouche et al., 2016; Laverty et al., 2015, 2013; Lindström, 2008; Martin et al., 2015; McKay et al., 2015; Millett et al., 2013; Mytton et al., 2016; Rissel et al., 2014; Wojan et al., 2015)</w:t>
      </w:r>
      <w:r w:rsidR="00DC2B09">
        <w:rPr>
          <w:rFonts w:cs="Arial"/>
          <w:color w:val="2E2E2E"/>
        </w:rPr>
        <w:fldChar w:fldCharType="end"/>
      </w:r>
      <w:r w:rsidR="003C7FB2">
        <w:rPr>
          <w:rFonts w:cs="Arial"/>
          <w:color w:val="2E2E2E"/>
        </w:rPr>
        <w:t xml:space="preserve"> </w:t>
      </w:r>
      <w:r w:rsidR="00DC2B09">
        <w:rPr>
          <w:rFonts w:cs="Arial"/>
          <w:color w:val="2E2E2E"/>
        </w:rPr>
        <w:t>with</w:t>
      </w:r>
      <w:r w:rsidR="003C7FB2">
        <w:rPr>
          <w:rFonts w:cs="Arial"/>
          <w:color w:val="2E2E2E"/>
        </w:rPr>
        <w:t xml:space="preserve"> </w:t>
      </w:r>
      <w:r w:rsidR="00DC2B09">
        <w:rPr>
          <w:rFonts w:cs="Arial"/>
          <w:color w:val="2E2E2E"/>
        </w:rPr>
        <w:t>some</w:t>
      </w:r>
      <w:r w:rsidR="003C7FB2">
        <w:rPr>
          <w:rFonts w:cs="Arial"/>
          <w:color w:val="2E2E2E"/>
        </w:rPr>
        <w:t xml:space="preserve"> </w:t>
      </w:r>
      <w:r w:rsidR="00DC2B09">
        <w:rPr>
          <w:rFonts w:cs="Arial"/>
          <w:color w:val="2E2E2E"/>
        </w:rPr>
        <w:t>using</w:t>
      </w:r>
      <w:r w:rsidR="003C7FB2">
        <w:rPr>
          <w:rFonts w:cs="Arial"/>
          <w:color w:val="2E2E2E"/>
        </w:rPr>
        <w:t xml:space="preserve"> </w:t>
      </w:r>
      <w:r w:rsidR="00DC2B09">
        <w:rPr>
          <w:rFonts w:cs="Arial"/>
          <w:color w:val="2E2E2E"/>
        </w:rPr>
        <w:t>self-reported</w:t>
      </w:r>
      <w:r w:rsidR="003C7FB2">
        <w:rPr>
          <w:rFonts w:cs="Arial"/>
          <w:color w:val="2E2E2E"/>
        </w:rPr>
        <w:t xml:space="preserve"> </w:t>
      </w:r>
      <w:r w:rsidR="00313793">
        <w:rPr>
          <w:rFonts w:cs="Arial"/>
          <w:color w:val="2E2E2E"/>
        </w:rPr>
        <w:t>BMI</w:t>
      </w:r>
      <w:r w:rsidR="00DC2B09">
        <w:rPr>
          <w:rFonts w:cs="Arial"/>
          <w:color w:val="2E2E2E"/>
        </w:rPr>
        <w:t>.</w:t>
      </w:r>
      <w:r w:rsidR="00DC2B09">
        <w:rPr>
          <w:rFonts w:cs="Arial"/>
          <w:color w:val="2E2E2E"/>
        </w:rPr>
        <w:fldChar w:fldCharType="begin" w:fldLock="1"/>
      </w:r>
      <w:r w:rsidR="000B07A6">
        <w:rPr>
          <w:rFonts w:cs="Arial"/>
          <w:color w:val="2E2E2E"/>
        </w:rPr>
        <w:instrText>ADDIN CSL_CITATION { "citationItems" : [ { "id" : "ITEM-1", "itemData" : { "DOI" : "10.1136/jech-2014-205211", "ISSN" : "1470-2738", "PMID" : "25954024", "abstract" : "BACKGROUND: Active commuting is associated with various health benefits, but little is known about its causal relationship with body mass index (BMI).\n\nMETHODS: We used cohort data from three consecutive annual waves of the British Household Panel Survey, a longitudinal study of nationally representative households, in 2004/2005 (n=15\u2005791), 2005/2006 and 2006/2007. Participants selected for the analyses (n=4056) reported their usual main mode of travel to work at each time point. Self-reported height and weight were used to derive BMI at baseline and after 2\u2005years. Multivariable linear regression analyses were used to assess associations between switching to and from active modes of travel (over 1 and 2\u2005years) and change in BMI (over 2\u2005years) and to assess dose-response relationships.\n\nRESULTS: After adjustment for socioeconomic and health-related covariates, the first analysis (n=3269) showed that switching from private motor transport to active travel or public transport (n=179) was associated with a significant reduction in BMI compared with continued private motor vehicle use (n=3090; -0.32\u2005kg/m(2), 95% CI -0.60 to -0.05). Larger adjusted effect sizes were associated with switching to active travel (n=109; -0.45\u2005kg/m(2), -0.78 to -0.11), particularly among those who switched within the first year and those with the longest journeys. The second analysis (n=787) showed that switching from active travel or public transport to private motor transport was associated with a significant increase in BMI (0.34\u2005kg/m(2), 0.05 to 0.64).\n\nCONCLUSIONS: Interventions to enable commuters to switch from private motor transport to more active modes of travel could contribute to reducing population mean BMI.", "author" : [ { "dropping-particle" : "", "family" : "Martin", "given" : "Adam", "non-dropping-particle" : "", "parse-names" : false, "suffix" : "" }, { "dropping-particle" : "", "family" : "Panter", "given" : "Jenna", "non-dropping-particle" : "", "parse-names" : false, "suffix" : "" }, { "dropping-particle" : "", "family" : "Suhrcke", "given" : "Marc", "non-dropping-particle" : "", "parse-names" : false, "suffix" : "" }, { "dropping-particle" : "", "family" : "Ogilvie", "given" : "David", "non-dropping-particle" : "", "parse-names" : false, "suffix" : "" } ], "container-title" : "Journal of epidemiology and community health", "id" : "ITEM-1", "issue" : "8", "issued" : { "date-parts" : [ [ "2015", "5", "7" ] ] }, "page" : "753-61", "title" : "Impact of changes in mode of travel to work on changes in body mass index: evidence from the British Household Panel Survey.", "type" : "article-journal", "volume" : "69" }, "uris" : [ "http://www.mendeley.com/documents/?uuid=9729e467-b20c-4026-a548-9d0eb07535fc" ] }, { "id" : "ITEM-2", "itemData" : { "DOI" : "10.1016/j.ypmed.2007.07.012", "ISSN" : "0091-7435", "PMID" : "17706273", "abstract" : "OBJECTIVES: To investigate the association between means of transportation to work and overweight+obesity and obesity. METHODS: The 2004 public health survey in Sk\u00e5ne is a cross-sectional postal questionnaire study of the population aged 18-80 with a 59% response rate including 16,705 employed participants. RESULTS: Forty-six percent of men and 26.6% of women were overweight (BMI 25.0-29.9); 11.6% of men and 10.3% of women were obese (BMI 30.0-); 18.2% of men and 25.9% of women bicycled and/or walked to work and 10.4% and 16.2% used public transportation, respectively. In contrast, 68.3% of men and 55.8% of women went to work by car. The odds ratios of overweight+obesity among persons who walked or bicycled were significantly lower and remained 0.62 (95% CI 0.51-0.76) among men and 0.79 (95% CI 0.67-0.94) among women in the models including all confounders compared to the car driving reference category. The odds ratios of obesity were initially significantly lower among both men and women who walked or bicycled, but in the final models only among women. The odds ratios of overweight+obesity as well as obesity were also lower among men using public transportation. CONCLUSIONS: Walking and bicycling to work are significantly negatively associated with overweight+obesity and, to some extent, obesity. Public transportation is significantly negatively associated with overweight+obesity and obesity among men.", "author" : [ { "dropping-particle" : "", "family" : "Lindstr\u00f6m", "given" : "Martin", "non-dropping-particle" : "", "parse-names" : false, "suffix" : "" } ], "container-title" : "Preventive medicine", "id" : "ITEM-2", "issue" : "1", "issued" : { "date-parts" : [ [ "2008", "1" ] ] }, "note" : "w+c combined", "page" : "22-8", "title" : "Means of transportation to work and overweight and obesity: a population-based study in southern Sweden.", "type" : "article-journal", "volume" : "46" }, "uris" : [ "http://www.mendeley.com/documents/?uuid=3ff9ea2e-ab2a-46f6-a24b-f59ac38b989c" ] }, { "id" : "ITEM-3", "itemData" : { "DOI" : "10.1016/j.ypmed.2016.06.014", "ISSN" : "00917435", "abstract" : "OBJECTIVE\nTo investigate the longitudinal associations between active commuting (walking and cycling to work) and body mass index (BMI). \n\nMETHOD\nWe used self-reported data on height, weight and active commuting from the Commuting and Health in Cambridge study (2009 to 2012; n=809). We used linear regression to test the associations between: a) maintenance of active commuting over one year and BMI at the end of that year; and b) change in weekly time spent in active commuting and change in BMI over one year. \n\nRESULTS\nAfter adjusting for sociodemographic variables, other physical activity, physical wellbeing and maintenance of walking, those who maintained cycle commuting reported a lower BMI on average at one year follow-up (1.14kg/m2, 95% CI: 0.30 to 1.98, n=579) than those who never cycled to work. No significant association remained after adjustment for baseline BMI. No significant associations were observed for maintenance of walking. An increase in walking was associated with a reduction in BMI (0.32kg/m2, 95% CI: 0.03 to 0.62, n=651, after adjustment for co-variates and baseline BMI) only when restricting the analysis to those who did not move. No other significant associations between changes in weekly time spent walking or cycling on the commute and changes in BMI were observed. \n\nCONCLUSIONS\nThis work provides further evidence of the contribution of active commuting, particularly cycling, to preventing weight gain or facilitating weight loss. The findings may be valuable for employees choosing how to commute and engaging employers in the promotion of active travel.", "author" : [ { "dropping-particle" : "", "family" : "Mytton", "given" : "Oliver Tristan", "non-dropping-particle" : "", "parse-names" : false, "suffix" : "" }, { "dropping-particle" : "", "family" : "Panter", "given" : "Jenna", "non-dropping-particle" : "", "parse-names" : false, "suffix" : "" }, { "dropping-particle" : "", "family" : "Ogilvie", "given" : "David", "non-dropping-particle" : "", "parse-names" : false, "suffix" : "" } ], "container-title" : "Preventive Medicine", "id" : "ITEM-3", "issued" : { "date-parts" : [ [ "2016" ] ] }, "page" : "1-7", "title" : "Longitudinal associations of active commuting with body mass index", "type" : "article-journal", "volume" : "90" }, "uris" : [ "http://www.mendeley.com/documents/?uuid=11c42899-4a63-4fdd-be71-93f3769567b7" ] }, { "id" : "ITEM-4", "itemData" : { "DOI" : "10.3390/ijerph13050455", "ISSN" : "1660-4601", "abstract" : "Active traveling to a daily occupation means that an individual uses an active way of traveling between two destinations. Active travel to work or other daily occupations offers a convenient way to increase physical activity levels which is known to have positive effects on several health outcomes. Frequently used concepts in city planning and regional planning today are to create environments for active commuting and active living. Even then, little research has focused on traveling modes and subjective health outcomes such as self-rated health (SRH). This study aimed to explore and investigate associations between travel mode and health-related outcomes, such as self-rated health (SRH), body mass index (BMI) and overall physical activity, in an adult population in Sweden. A cross-sectional study was conducted in a randomly selected population-based sample (n = 1786, age 45\u201375 years); the respondents completed a questionnaire about their regular travel mode, demographics, lifestyle, BMI and SRH. Chi-square tests and logistic regressions found that inactive traveling was associated with poor SRH, a greater risk of obesity or being overweight and overall physical inactivity. In addition, lifestyle factors, such as choice of food and smoking habits, were associated with SRH, BMI and overall physical activity.", "author" : [ { "dropping-particle" : "", "family" : "Berglund", "given" : "Erik", "non-dropping-particle" : "", "parse-names" : false, "suffix" : "" }, { "dropping-particle" : "", "family" : "Lytsy", "given" : "Per", "non-dropping-particle" : "", "parse-names" : false, "suffix" : "" }, { "dropping-particle" : "", "family" : "Westerling", "given" : "Ragnar", "non-dropping-particle" : "", "parse-names" : false, "suffix" : "" } ], "container-title" : "International Journal of Environmental Research and Public Health", "id" : "ITEM-4", "issue" : "5", "issued" : { "date-parts" : [ [ "2016", "4", "28" ] ] }, "page" : "455", "publisher" : "Multidisciplinary Digital Publishing Institute", "title" : "Active Traveling and Its Associations with Self-Rated Health, BMI and Physical Activity: A Comparative Study in the Adult Swedish Population", "type" : "article-journal", "volume" : "13" }, "uris" : [ "http://www.mendeley.com/documents/?uuid=cb7ac5d2-9957-3c8f-97ec-ac03f0501cd7" ] }, { "id" : "ITEM-5", "itemData" : { "DOI" : "10.1371/journal.pone.0130903", "ISSN" : "1932-6203", "author" : [ { "dropping-particle" : "", "family" : "Wojan", "given" : "Timothy R.", "non-dropping-particle" : "", "parse-names" : false, "suffix" : "" }, { "dropping-particle" : "", "family" : "Hamrick", "given" : "Karen S.", "non-dropping-particle" : "", "parse-names" : false, "suffix" : "" }, { "dropping-particle" : "", "family" : "Durand", "given" : "CP", "non-dropping-particle" : "", "parse-names" : false, "suffix" : "" } ], "container-title" : "PLOS ONE", "editor" : [ { "dropping-particle" : "", "family" : "Zhang", "given" : "Harry", "non-dropping-particle" : "", "parse-names" : false, "suffix" : "" } ], "id" : "ITEM-5", "issue" : "7", "issued" : { "date-parts" : [ [ "2015", "7", "8" ] ] }, "page" : "e0130903", "publisher" : "Public Library of Science", "title" : "Can Walking or Biking to Work Really Make a Difference? Compact Development, Observed Commuter Choice and Body Mass Index", "type" : "article-journal", "volume" : "10" }, "uris" : [ "http://www.mendeley.com/documents/?uuid=3b3127ff-01f7-347d-8ee5-a7e5866c3a37" ] }, { "id" : "ITEM-6", "itemData" : { "DOI" : "10.1016/j.amepre.2013.04.012", "ISSN" : "1873-2607", "PMID" : "23953354", "abstract" : "BACKGROUND: Increasing active travel (walking, cycling, public transport) is increasingly seen as integral to strategies to raise physical activity levels. PURPOSE: This study examined (1) sociodemographic correlates of active travel to work and (2) associations between active travel and cardiovascular risk factors in the United Kingdom (UK). METHODS: Data come from Understanding Society, a nationally representative survey of UK residents in 2009/2011, analyzed in 2012. Multinomial logistic regression assessed associations between sociodemographic factors and mode of transport to work. Linear and logistic regression was used to examine associations between mode of travel and overweight/obesity, and having hypertension or diabetes. RESULTS: A total of 69% of participants traveled to work using private transport, with public transport, walking, and cycling used by 16%, 12%, and 3%, respectively. Use of any active travel was more likely in participants living in London. Black participants were more likely to walk (AOR=1.41, 95% CI=1.08, 1.84) or take public transport (AOR=2.34, 95% CI=1.88, 2.90) to work than whites. Using public transport, walking, or cycling to work was associated with a lower likelihood of being overweight (AOR=0.80, 95% CI=0.54, 0.88 for walking). Walking or cycling was associated with a lower likelihood of having diabetes, and walking was associated with a lower likelihood of having hypertension than private transport (AOR=0.83, 95% CI=0.71, 0.97). CONCLUSIONS: There are wide variations in the mode of travel to work across regions and sociodemographic groups in the UK. The protective association between active travel and cardiovascular risk demonstrated in this nationally representative study adds to growing evidence that concerted policy focus in this area may benefit population health.", "author" : [ { "dropping-particle" : "", "family" : "Laverty", "given" : "Anthony A", "non-dropping-particle" : "", "parse-names" : false, "suffix" : "" }, { "dropping-particle" : "", "family" : "Mindell", "given" : "Jennifer S", "non-dropping-particle" : "", "parse-names" : false, "suffix" : "" }, { "dropping-particle" : "", "family" : "Webb", "given" : "Elizabeth A", "non-dropping-particle" : "", "parse-names" : false, "suffix" : "" }, { "dropping-particle" : "", "family" : "Millett", "given" : "Christopher", "non-dropping-particle" : "", "parse-names" : false, "suffix" : "" } ], "container-title" : "American journal of preventive medicine", "id" : "ITEM-6", "issue" : "3", "issued" : { "date-parts" : [ [ "2013", "9" ] ] }, "note" : "From Duplicate 1 (Active travel to work and cardiovascular risk factors in the United Kingdom. - Laverty, Anthony A; Mindell, Jennifer S; Webb, Elizabeth A; Millett, Christopher)\n\nW+c split", "page" : "282-8", "title" : "Active travel to work and cardiovascular risk factors in the United Kingdom.", "type" : "article-journal", "volume" : "45" }, "uris" : [ "http://www.mendeley.com/documents/?uuid=de4e6781-17c6-4a1a-9631-32286ada1421" ] }, { "id" : "ITEM-7", "itemData" : { "DOI" : "10.1111/1753-6405.12097", "ISSN" : "1753-6405", "PMID" : "24494941", "abstract" : "OBJECTIVE: This study describes the prevalence of walking and cycling to work in New South Wales (NSW) from 2005-2010. It examines the demographic characteristics of those people walking and cycling to work and the association of walking and cycling with body mass index (BMI).\n\nMETHODS: Data from the NSW Continuous Health Survey, a telephone survey of health indicators among a representative sample of residents aged 16 years or over, were used.\n\nRESULTS: There were no changes in the proportions of employed respondents walking or cycling to work in NSW from 2005 to 2010, with estimates ranging from 5.1-7.3% usually walking, and 1.4-1.8% usually cycling. People who walked (adjusted odds ratio [AOR]=1.07, 95%CI 1.00-1.14) or cycled (AOR=1.22, 95%CI 1.14-1.32) to work had higher levels of education, after adjusting for age, sex, income and residence.\n\nCONCLUSIONS: There has been no overall increase in active commuting in NSW (2005-2010). Better efforts to communicate the benefits of active travel and less sedentary travel are warranted, in particular among those with lower levels of education.\n\nIMPLICATIONS: More interventions are needed to encourage walking and cycling to work, in order to gain significant benefits in terms of maintaining a healthy weight.", "author" : [ { "dropping-particle" : "", "family" : "Rissel", "given" : "Chris", "non-dropping-particle" : "", "parse-names" : false, "suffix" : "" }, { "dropping-particle" : "", "family" : "Greenaway", "given" : "Mark", "non-dropping-particle" : "", "parse-names" : false, "suffix" : "" }, { "dropping-particle" : "", "family" : "Bauman", "given" : "Adrian", "non-dropping-particle" : "", "parse-names" : false, "suffix" : "" }, { "dropping-particle" : "", "family" : "Wen", "given" : "Li Ming", "non-dropping-particle" : "", "parse-names" : false, "suffix" : "" } ], "container-title" : "Australian and New Zealand journal of public health", "id" : "ITEM-7", "issue" : "1", "issued" : { "date-parts" : [ [ "2014", "3" ] ] }, "page" : "25-9", "title" : "Active travel to work in New South Wales 2005-2010, individual characteristics and association with body mass index.", "type" : "article-journal", "volume" : "38" }, "uris" : [ "http://www.mendeley.com/documents/?uuid=af082963-ce36-4001-b868-7fdc9b7631f1" ] } ], "mendeley" : { "formattedCitation" : "(Berglund et al., 2016; Laverty et al., 2013; Lindstr\u00f6m, 2008; Martin et al., 2015; Mytton et al., 2016; Rissel et al., 2014; Wojan et al., 2015)", "plainTextFormattedCitation" : "(Berglund et al., 2016; Laverty et al., 2013; Lindstr\u00f6m, 2008; Martin et al., 2015; Mytton et al., 2016; Rissel et al., 2014; Wojan et al., 2015)", "previouslyFormattedCitation" : "(Berglund et al., 2016; Laverty et al., 2013; Lindstr\u00f6m, 2008; Martin et al., 2015; Mytton et al., 2016; Rissel et al., 2014; Wojan et al., 2015)" }, "properties" : { "noteIndex" : 0 }, "schema" : "https://github.com/citation-style-language/schema/raw/master/csl-citation.json" }</w:instrText>
      </w:r>
      <w:r w:rsidR="00DC2B09">
        <w:rPr>
          <w:rFonts w:cs="Arial"/>
          <w:color w:val="2E2E2E"/>
        </w:rPr>
        <w:fldChar w:fldCharType="separate"/>
      </w:r>
      <w:r w:rsidR="00B71669" w:rsidRPr="00B71669">
        <w:rPr>
          <w:rFonts w:cs="Arial"/>
          <w:noProof/>
          <w:color w:val="2E2E2E"/>
        </w:rPr>
        <w:t>(Berglund et al., 2016; Laverty et al., 2013; Lindström, 2008; Martin et al., 2015; Mytton et al., 2016; Rissel et al., 2014; Wojan et al., 2015)</w:t>
      </w:r>
      <w:r w:rsidR="00DC2B09">
        <w:rPr>
          <w:rFonts w:cs="Arial"/>
          <w:color w:val="2E2E2E"/>
        </w:rPr>
        <w:fldChar w:fldCharType="end"/>
      </w:r>
      <w:r w:rsidR="003C7FB2">
        <w:rPr>
          <w:rFonts w:cs="Arial"/>
          <w:color w:val="2E2E2E"/>
        </w:rPr>
        <w:t xml:space="preserve"> </w:t>
      </w:r>
      <w:r w:rsidR="00313793">
        <w:rPr>
          <w:rFonts w:cs="Arial"/>
          <w:color w:val="2E2E2E"/>
        </w:rPr>
        <w:t>F</w:t>
      </w:r>
      <w:r w:rsidR="00DC2B09">
        <w:rPr>
          <w:rFonts w:cs="Arial"/>
          <w:color w:val="2E2E2E"/>
        </w:rPr>
        <w:t>ew</w:t>
      </w:r>
      <w:r w:rsidR="003C7FB2">
        <w:rPr>
          <w:rFonts w:cs="Arial"/>
          <w:color w:val="2E2E2E"/>
        </w:rPr>
        <w:t xml:space="preserve"> </w:t>
      </w:r>
      <w:r w:rsidR="00DC2B09">
        <w:rPr>
          <w:rFonts w:cs="Arial"/>
          <w:color w:val="2E2E2E"/>
        </w:rPr>
        <w:t>studies</w:t>
      </w:r>
      <w:r w:rsidR="003C7FB2">
        <w:rPr>
          <w:rFonts w:cs="Arial"/>
          <w:color w:val="2E2E2E"/>
        </w:rPr>
        <w:t xml:space="preserve"> </w:t>
      </w:r>
      <w:r w:rsidR="0050352C">
        <w:rPr>
          <w:rFonts w:cs="Arial"/>
          <w:color w:val="2E2E2E"/>
        </w:rPr>
        <w:t>have</w:t>
      </w:r>
      <w:r w:rsidR="003C7FB2">
        <w:rPr>
          <w:rFonts w:cs="Arial"/>
          <w:color w:val="2E2E2E"/>
        </w:rPr>
        <w:t xml:space="preserve"> </w:t>
      </w:r>
      <w:r w:rsidR="00DC2B09">
        <w:rPr>
          <w:rFonts w:cs="Arial"/>
          <w:color w:val="2E2E2E"/>
        </w:rPr>
        <w:t>described</w:t>
      </w:r>
      <w:r w:rsidR="003C7FB2">
        <w:rPr>
          <w:rFonts w:cs="Arial"/>
          <w:color w:val="2E2E2E"/>
        </w:rPr>
        <w:t xml:space="preserve"> </w:t>
      </w:r>
      <w:r w:rsidR="000F1248">
        <w:rPr>
          <w:rFonts w:cs="Arial"/>
          <w:color w:val="2E2E2E"/>
        </w:rPr>
        <w:t>association</w:t>
      </w:r>
      <w:r w:rsidR="0050352C">
        <w:rPr>
          <w:rFonts w:cs="Arial"/>
          <w:color w:val="2E2E2E"/>
        </w:rPr>
        <w:t>s</w:t>
      </w:r>
      <w:r w:rsidR="003C7FB2">
        <w:rPr>
          <w:rFonts w:cs="Arial"/>
          <w:color w:val="2E2E2E"/>
        </w:rPr>
        <w:t xml:space="preserve"> </w:t>
      </w:r>
      <w:r w:rsidR="0050352C">
        <w:rPr>
          <w:rFonts w:cs="Arial"/>
          <w:color w:val="2E2E2E"/>
        </w:rPr>
        <w:t>with</w:t>
      </w:r>
      <w:r w:rsidR="003C7FB2">
        <w:rPr>
          <w:rFonts w:cs="Arial"/>
          <w:color w:val="2E2E2E"/>
        </w:rPr>
        <w:t xml:space="preserve"> </w:t>
      </w:r>
      <w:r w:rsidR="00DC2B09">
        <w:rPr>
          <w:rFonts w:cs="Arial"/>
          <w:color w:val="2E2E2E"/>
        </w:rPr>
        <w:t>measures</w:t>
      </w:r>
      <w:r w:rsidR="003C7FB2">
        <w:rPr>
          <w:rFonts w:cs="Arial"/>
          <w:color w:val="2E2E2E"/>
        </w:rPr>
        <w:t xml:space="preserve"> </w:t>
      </w:r>
      <w:r w:rsidR="00DC2B09">
        <w:rPr>
          <w:rFonts w:cs="Arial"/>
          <w:color w:val="2E2E2E"/>
        </w:rPr>
        <w:t>that</w:t>
      </w:r>
      <w:r w:rsidR="003C7FB2">
        <w:rPr>
          <w:rFonts w:cs="Arial"/>
          <w:color w:val="2E2E2E"/>
        </w:rPr>
        <w:t xml:space="preserve"> </w:t>
      </w:r>
      <w:r w:rsidR="00DC2B09">
        <w:rPr>
          <w:rFonts w:cs="Arial"/>
          <w:color w:val="2E2E2E"/>
        </w:rPr>
        <w:t>are</w:t>
      </w:r>
      <w:r w:rsidR="003C7FB2">
        <w:rPr>
          <w:rFonts w:cs="Arial"/>
          <w:color w:val="2E2E2E"/>
        </w:rPr>
        <w:t xml:space="preserve"> </w:t>
      </w:r>
      <w:r w:rsidR="00DC2B09">
        <w:rPr>
          <w:rFonts w:cs="Arial"/>
          <w:color w:val="2E2E2E"/>
        </w:rPr>
        <w:t>more</w:t>
      </w:r>
      <w:r w:rsidR="003C7FB2">
        <w:rPr>
          <w:rFonts w:cs="Arial"/>
          <w:color w:val="2E2E2E"/>
        </w:rPr>
        <w:t xml:space="preserve"> </w:t>
      </w:r>
      <w:r w:rsidR="0050352C">
        <w:rPr>
          <w:rFonts w:cs="Arial"/>
          <w:color w:val="2E2E2E"/>
        </w:rPr>
        <w:t>salient</w:t>
      </w:r>
      <w:r w:rsidR="003C7FB2">
        <w:rPr>
          <w:rFonts w:cs="Arial"/>
          <w:color w:val="2E2E2E"/>
        </w:rPr>
        <w:t xml:space="preserve"> </w:t>
      </w:r>
      <w:r w:rsidR="0050352C">
        <w:rPr>
          <w:rFonts w:cs="Arial"/>
          <w:color w:val="2E2E2E"/>
        </w:rPr>
        <w:t>for</w:t>
      </w:r>
      <w:r w:rsidR="003C7FB2">
        <w:rPr>
          <w:rFonts w:cs="Arial"/>
          <w:color w:val="2E2E2E"/>
        </w:rPr>
        <w:t xml:space="preserve"> </w:t>
      </w:r>
      <w:r w:rsidR="000F1248">
        <w:rPr>
          <w:rFonts w:cs="Arial"/>
          <w:color w:val="2E2E2E"/>
        </w:rPr>
        <w:t>metabolic</w:t>
      </w:r>
      <w:r w:rsidR="003C7FB2">
        <w:rPr>
          <w:rFonts w:cs="Arial"/>
          <w:color w:val="2E2E2E"/>
        </w:rPr>
        <w:t xml:space="preserve"> </w:t>
      </w:r>
      <w:r w:rsidR="000F1248">
        <w:rPr>
          <w:rFonts w:cs="Arial"/>
          <w:color w:val="2E2E2E"/>
        </w:rPr>
        <w:t>disease</w:t>
      </w:r>
      <w:r w:rsidR="00DC2B09">
        <w:rPr>
          <w:rFonts w:cs="Arial"/>
          <w:color w:val="2E2E2E"/>
        </w:rPr>
        <w:t>,</w:t>
      </w:r>
      <w:r w:rsidR="003C7FB2">
        <w:rPr>
          <w:rFonts w:cs="Arial"/>
          <w:color w:val="2E2E2E"/>
        </w:rPr>
        <w:t xml:space="preserve"> </w:t>
      </w:r>
      <w:r w:rsidR="00286C4B">
        <w:rPr>
          <w:rFonts w:cs="Arial"/>
          <w:color w:val="2E2E2E"/>
        </w:rPr>
        <w:t>e.g.</w:t>
      </w:r>
      <w:r w:rsidR="003C7FB2">
        <w:rPr>
          <w:rFonts w:cs="Arial"/>
          <w:color w:val="2E2E2E"/>
        </w:rPr>
        <w:t xml:space="preserve"> </w:t>
      </w:r>
      <w:r w:rsidR="00313793">
        <w:rPr>
          <w:rFonts w:cs="Arial"/>
          <w:color w:val="2E2E2E"/>
        </w:rPr>
        <w:t>percentage</w:t>
      </w:r>
      <w:r w:rsidR="003C7FB2">
        <w:rPr>
          <w:rFonts w:cs="Arial"/>
          <w:color w:val="2E2E2E"/>
        </w:rPr>
        <w:t xml:space="preserve"> </w:t>
      </w:r>
      <w:r w:rsidR="00313793">
        <w:rPr>
          <w:rFonts w:cs="Arial"/>
          <w:color w:val="2E2E2E"/>
        </w:rPr>
        <w:t>body</w:t>
      </w:r>
      <w:r w:rsidR="003C7FB2">
        <w:rPr>
          <w:rFonts w:cs="Arial"/>
          <w:color w:val="2E2E2E"/>
        </w:rPr>
        <w:t xml:space="preserve"> </w:t>
      </w:r>
      <w:r w:rsidR="00313793">
        <w:rPr>
          <w:rFonts w:cs="Arial"/>
          <w:color w:val="2E2E2E"/>
        </w:rPr>
        <w:t>fat</w:t>
      </w:r>
      <w:r w:rsidR="003C7FB2">
        <w:rPr>
          <w:rFonts w:cs="Arial"/>
          <w:color w:val="2E2E2E"/>
        </w:rPr>
        <w:t xml:space="preserve"> </w:t>
      </w:r>
      <w:r w:rsidR="00313793">
        <w:rPr>
          <w:rFonts w:cs="Arial"/>
          <w:color w:val="2E2E2E"/>
        </w:rPr>
        <w:t>and</w:t>
      </w:r>
      <w:r w:rsidR="003C7FB2">
        <w:rPr>
          <w:rFonts w:cs="Arial"/>
          <w:color w:val="2E2E2E"/>
        </w:rPr>
        <w:t xml:space="preserve"> </w:t>
      </w:r>
      <w:r w:rsidR="000F1248">
        <w:rPr>
          <w:rFonts w:cs="Arial"/>
          <w:color w:val="2E2E2E"/>
        </w:rPr>
        <w:t>waist</w:t>
      </w:r>
      <w:r w:rsidR="003C7FB2">
        <w:rPr>
          <w:rFonts w:cs="Arial"/>
          <w:color w:val="2E2E2E"/>
        </w:rPr>
        <w:t xml:space="preserve"> </w:t>
      </w:r>
      <w:r w:rsidR="000F1248">
        <w:rPr>
          <w:rFonts w:cs="Arial"/>
          <w:color w:val="2E2E2E"/>
        </w:rPr>
        <w:t>circumference</w:t>
      </w:r>
      <w:r w:rsidR="00313793">
        <w:rPr>
          <w:rFonts w:cs="Arial"/>
          <w:color w:val="2E2E2E"/>
        </w:rPr>
        <w:t>.</w:t>
      </w:r>
      <w:r w:rsidR="000F1248">
        <w:rPr>
          <w:rFonts w:cs="Arial"/>
          <w:color w:val="2E2E2E"/>
        </w:rPr>
        <w:fldChar w:fldCharType="begin" w:fldLock="1"/>
      </w:r>
      <w:r w:rsidR="000B07A6">
        <w:rPr>
          <w:rFonts w:cs="Arial"/>
          <w:color w:val="2E2E2E"/>
        </w:rPr>
        <w:instrText>ADDIN CSL_CITATION { "citationItems" : [ { "id" : "ITEM-1", "itemData" : { "DOI" : "10.1186/s12966-015-0223-3", "ISSN" : "1479-5868", "PMID" : "25986001", "abstract" : "BACKGROUND: There is little published data on the potential health benefits of active travel in low and middle-income countries. This is despite increasing levels of adiposity being linked to increases in physical inactivity and non-communicable diseases. This study will examine: (1) socio-demographic correlates of using active travel (walking or cycling for transport) among older adults in six populous middle-income countries (2) whether use of active travel is associated with adiposity, systolic blood pressure and self-reported diabetes in these countries.\n\nMETHODS: Data are from the WHO Study on Global Ageing and Adult Health (SAGE) of China, India, Mexico, Ghana, Russia and South Africa with a total sample size of 40,477. Correlates of active travel (\u2265150\u00a0min/week) were examined using logistic regression. Logistic and linear regression analyses were used to examine health related outcomes according to three groups of active travel use per week.\n\nRESULTS: 46.4\u00a0% of the sample undertook \u2265150\u00a0min of active travel per week (range South Africa: 21.9\u00a0% Ghana: 57.8\u00a0%). In pooled analyses those in wealthier households were less likely to meet this level of active travel (Adjusted Risk Ratio (ARR) 0.77, 95\u00a0% Confidence Intervals 0.67; 0.88 wealthiest fifth vs. poorest). Older people and women were also less likely to use active travel for \u2265150\u00a0min per week (ARR 0.71, 0.62; 0.80 those aged 70+ years vs. 18-29 years old, ARR 0.82, 0.74; 0.91 women vs. men). In pooled fully adjusted analyses, high use of active travel was associated with lower risk of overweight (ARR 0.71, 0.59; 0.86), high waist-to-hip ratio (ARR 0.71, 0.61; 0.84) and lower BMI (-0.54\u00a0kg/m(2), -0.98;- 0.11). Moderate (31-209\u00a0min/week) and high use (\u2265210\u00a0min/week) of active travel was associated with lower waist circumference (-1.52\u00a0cm (-2.40; -0.65) and -2.16\u00a0cm (3.07; -1.26)), and lower systolic blood pressure (-1.63\u00a0mm/Hg (-3.19; -0.06) and -2.33\u00a0mm/Hg (-3.98; -0.69)).\n\nCONCLUSIONS: In middle-income countries use of active travel for \u2265150\u00a0min per week is more common in lower socio-economic groups and appears to confer similar health benefits to those identified in high-income settings. Efforts to increase active travel levels should be integral to strategies to maintain healthy weight and reduce disease burden in these settings.", "author" : [ { "dropping-particle" : "", "family" : "Laverty", "given" : "Anthony A", "non-dropping-particle" : "", "parse-names" : false, "suffix" : "" }, { "dropping-particle" : "", "family" : "Palladino", "given" : "Raffaele", "non-dropping-particle" : "", "parse-names" : false, "suffix" : "" }, { "dropping-particle" : "", "family" : "Lee", "given" : "John Tayu", "non-dropping-particle" : "", "parse-names" : false, "suffix" : "" }, { "dropping-particle" : "", "family" : "Millett", "given" : "Christopher", "non-dropping-particle" : "", "parse-names" : false, "suffix" : "" } ], "container-title" : "The international journal of behavioral nutrition and physical activity", "id" : "ITEM-1", "issue" : "1", "issued" : { "date-parts" : [ [ "2015", "5", "20" ] ] }, "note" : "w+C combined", "page" : "65", "title" : "Associations between active travel and weight, blood pressure and diabetes in six middle income countries: a cross-sectional study in older adults.", "type" : "article-journal", "volume" : "12" }, "uris" : [ "http://www.mendeley.com/documents/?uuid=47edd7ae-8998-4388-8291-d32c785aada6" ] }, { "id" : "ITEM-2", "itemData" : { "DOI" : "10.1016/S2213-8587(16)00053-X", "ISSN" : "22138587", "author" : [ { "dropping-particle" : "", "family" : "Flint", "given" : "Ellen", "non-dropping-particle" : "", "parse-names" : false, "suffix" : "" }, { "dropping-particle" : "", "family" : "Cummins", "given" : "Steven", "non-dropping-particle" : "", "parse-names" : false, "suffix" : "" } ], "container-title" : "The Lancet Diabetes &amp; Endocrinology", "id" : "ITEM-2", "issue" : "5", "issued" : { "date-parts" : [ [ "2016", "3" ] ] }, "language" : "English", "page" : "420-435", "publisher" : "Elsevier", "title" : "Active commuting and obesity in mid-life: cross-sectional, observational evidence from UK Biobank", "type" : "article-journal", "volume" : "4" }, "uris" : [ "http://www.mendeley.com/documents/?uuid=e7c9e359-019e-4cc3-a869-943a6411defd" ] }, { "id" : "ITEM-3", "itemData" : { "DOI" : "10.1136/bmj.g4887", "ISSN" : "1756-1833", "abstract" : "Objective To determine if promotion of active modes of travel is an effective strategy for obesity prevention by assessing whether active commuting (walking or cycling for all or part of the journey to work) is independently associated with objectively assessed biological markers of obesity. Design Cross sectional study of data from the wave 2 Health Assessment subsample of Understanding Society, the UK Household Longitudinal Study (UKHLS). The exposure of interest, commuting mode, was self reported and categorised as three categories: private transport, public transport, and active transport. Participants The analytic samples (7534 for body mass index (BMI) analysis, 7424 for percentage body fat analysis) were drawn from the representative subsample of wave 2 respondents of UKHLS who provided health assessment data (n=15 777). Main outcome measures Body mass index (weight (kg)/height (m)2); percentage body fat (measured by electrical impedance). Results Results from multivariate linear regression analyses suggest that, compared with using private transport, commuting by public or active transport modes was significantly and independently predictive of lower BMI for both men and women. In fully adjusted models, men who commuted via public or active modes had BMI scores 1.10 (95% CI 0.53 to 1.67) and 0.97 (0.40 to 1.55) points lower, respectively, than those who used private transport. Women who commuted via public or active modes had BMI scores 0.72 (0.06 to 1.37) and 0.87 (0.36 to 0.87) points lower, respectively, than those using private transport. Results for percentage body fat were similar in terms of magnitude, significance, and direction of effects. Conclusions Men and women who commuted to work by active and public modes of transport had significantly lower BMI and percentage body fat than their counterparts who used private transport. These associations were not attenuated by adjustment for a range of hypothesised confounding factors.", "author" : [ { "dropping-particle" : "", "family" : "Flint", "given" : "E.", "non-dropping-particle" : "", "parse-names" : false, "suffix" : "" }, { "dropping-particle" : "", "family" : "Cummins", "given" : "S.", "non-dropping-particle" : "", "parse-names" : false, "suffix" : "" }, { "dropping-particle" : "", "family" : "Sacker", "given" : "A.", "non-dropping-particle" : "", "parse-names" : false, "suffix" : "" } ], "container-title" : "BMJ", "id" : "ITEM-3", "issue" : "aug19 13", "issued" : { "date-parts" : [ [ "2014", "8", "19" ] ] }, "page" : "g4887-g4887", "title" : "Associations between active commuting, body fat, and body mass index: population based, cross sectional study in the United Kingdom", "type" : "article-journal", "volume" : "349" }, "uris" : [ "http://www.mendeley.com/documents/?uuid=8787743b-b3b9-4811-8179-d88afe555721" ] }, { "id" : "ITEM-4", "itemData" : { "ISSN" : "1209-1367", "PMID" : "27096619", "abstract" : "BACKGROUND Active travel may be a means of integrating physical activity into an individual's routine. This analysis investigates the relationship between utilitarian walking and cycling and objectively measured physical activity and health-related outcomes in a nationally representative sample of Canadian adults. DATA AND METHODS Adults aged 20 to 79 who participated in the 2007-to-2011 Canadian Health Measures Surveys (N = 7,160) reported the weekly time spent in utilitarian walking and cycling and wore an Actical accelerometer for seven days. They underwent a series of tests to measure physical fitness, body composition, blood pressure, and biomarkers. Differences in physical activity and health-related outcomes across levels of utilitarian walking and cycling were assessed with ANCOVA analyses adjusted for age, sex, education, household income, self-reported usual daily physical activity, and the complex survey design. RESULTS Utilitarian walking and cycling were associated with moderate-to-vigorous physical activity in a graded manner. Compared with respondents who reported walking 1 to 5 hours a week, those who walked more than 5 hours a week had lower skinfold thickness. Respondents who reported cycling 1 or more hours a week had greater aerobic fitness and lower BMI, waist circumference, total cholesterol/HDL ratio, glycohemoglobin, C-reactive protein, and triglycerides than did those who did not cycle. They also had higher aerobic fitness and lower BMI and waist circumference than those who reported cycling less than an hour a week. INTERPRETATION Cycling at least an hour a week is associated with improved fitness and reduced cardiovascular disease risk factors. Both utilitarian walking and cycling may be means of increasing adults' moderate-to-vigorous physical activity.", "author" : [ { "dropping-particle" : "", "family" : "Larouche", "given" : "Richard", "non-dropping-particle" : "", "parse-names" : false, "suffix" : "" }, { "dropping-particle" : "", "family" : "Faulkner", "given" : "Guy", "non-dropping-particle" : "", "parse-names" : false, "suffix" : "" }, { "dropping-particle" : "", "family" : "Tremblay", "given" : "Mark S", "non-dropping-particle" : "", "parse-names" : false, "suffix" : "" } ], "container-title" : "Health reports", "id" : "ITEM-4", "issue" : "4", "issued" : { "date-parts" : [ [ "2016", "4" ] ] }, "page" : "10-8", "title" : "Active travel and adults' health: The 2007-to-2011 Canadian Health Measures Surveys.", "type" : "article-journal", "volume" : "27" }, "uris" : [ "http://www.mendeley.com/documents/?uuid=070418c1-8f41-3a48-b8e6-6c61300966c8" ] } ], "mendeley" : { "formattedCitation" : "(Flint et al., 2014; Flint and Cummins, 2016; Larouche et al., 2016; Laverty et al., 2015)", "plainTextFormattedCitation" : "(Flint et al., 2014; Flint and Cummins, 2016; Larouche et al., 2016; Laverty et al., 2015)", "previouslyFormattedCitation" : "(Flint et al., 2014; Flint and Cummins, 2016; Larouche et al., 2016; Laverty et al., 2015)" }, "properties" : { "noteIndex" : 0 }, "schema" : "https://github.com/citation-style-language/schema/raw/master/csl-citation.json" }</w:instrText>
      </w:r>
      <w:r w:rsidR="000F1248">
        <w:rPr>
          <w:rFonts w:cs="Arial"/>
          <w:color w:val="2E2E2E"/>
        </w:rPr>
        <w:fldChar w:fldCharType="separate"/>
      </w:r>
      <w:r w:rsidR="00B71669" w:rsidRPr="00B71669">
        <w:rPr>
          <w:rFonts w:cs="Arial"/>
          <w:noProof/>
          <w:color w:val="2E2E2E"/>
        </w:rPr>
        <w:t>(Flint et al., 2014; Flint and Cummins, 2016; Larouche et al., 2016; Laverty et al., 2015)</w:t>
      </w:r>
      <w:r w:rsidR="000F1248">
        <w:rPr>
          <w:rFonts w:cs="Arial"/>
          <w:color w:val="2E2E2E"/>
        </w:rPr>
        <w:fldChar w:fldCharType="end"/>
      </w:r>
      <w:r w:rsidR="003C7FB2">
        <w:rPr>
          <w:rFonts w:cs="Arial"/>
          <w:color w:val="2E2E2E"/>
        </w:rPr>
        <w:t xml:space="preserve"> </w:t>
      </w:r>
    </w:p>
    <w:p w14:paraId="1AD48B21" w14:textId="455BF09A" w:rsidR="00D206CB" w:rsidRDefault="00D206CB" w:rsidP="00E254D0">
      <w:pPr>
        <w:rPr>
          <w:rFonts w:cs="Arial"/>
          <w:color w:val="2E2E2E"/>
        </w:rPr>
      </w:pPr>
      <w:r>
        <w:rPr>
          <w:rFonts w:cs="Arial"/>
          <w:color w:val="2E2E2E"/>
        </w:rPr>
        <w:t>The</w:t>
      </w:r>
      <w:r w:rsidR="003C7FB2">
        <w:rPr>
          <w:rFonts w:cs="Arial"/>
          <w:color w:val="2E2E2E"/>
        </w:rPr>
        <w:t xml:space="preserve"> </w:t>
      </w:r>
      <w:r>
        <w:rPr>
          <w:rFonts w:cs="Arial"/>
          <w:color w:val="2E2E2E"/>
        </w:rPr>
        <w:t>aim</w:t>
      </w:r>
      <w:r w:rsidR="003C7FB2">
        <w:rPr>
          <w:rFonts w:cs="Arial"/>
          <w:color w:val="2E2E2E"/>
        </w:rPr>
        <w:t xml:space="preserve"> </w:t>
      </w:r>
      <w:r>
        <w:rPr>
          <w:rFonts w:cs="Arial"/>
          <w:color w:val="2E2E2E"/>
        </w:rPr>
        <w:t>of</w:t>
      </w:r>
      <w:r w:rsidR="003C7FB2">
        <w:rPr>
          <w:rFonts w:cs="Arial"/>
          <w:color w:val="2E2E2E"/>
        </w:rPr>
        <w:t xml:space="preserve"> </w:t>
      </w:r>
      <w:r>
        <w:rPr>
          <w:rFonts w:cs="Arial"/>
          <w:color w:val="2E2E2E"/>
        </w:rPr>
        <w:t>this</w:t>
      </w:r>
      <w:r w:rsidR="003C7FB2">
        <w:rPr>
          <w:rFonts w:cs="Arial"/>
          <w:color w:val="2E2E2E"/>
        </w:rPr>
        <w:t xml:space="preserve"> </w:t>
      </w:r>
      <w:r>
        <w:rPr>
          <w:rFonts w:cs="Arial"/>
          <w:color w:val="2E2E2E"/>
        </w:rPr>
        <w:t>study</w:t>
      </w:r>
      <w:r w:rsidR="003C7FB2">
        <w:rPr>
          <w:rFonts w:cs="Arial"/>
          <w:color w:val="2E2E2E"/>
        </w:rPr>
        <w:t xml:space="preserve"> </w:t>
      </w:r>
      <w:r w:rsidR="00A62C1F">
        <w:rPr>
          <w:rFonts w:cs="Arial"/>
          <w:color w:val="2E2E2E"/>
        </w:rPr>
        <w:t>was</w:t>
      </w:r>
      <w:r w:rsidR="003C7FB2">
        <w:rPr>
          <w:rFonts w:cs="Arial"/>
          <w:color w:val="2E2E2E"/>
        </w:rPr>
        <w:t xml:space="preserve"> </w:t>
      </w:r>
      <w:r w:rsidR="00A62C1F">
        <w:rPr>
          <w:rFonts w:cs="Arial"/>
          <w:color w:val="2E2E2E"/>
        </w:rPr>
        <w:t>to</w:t>
      </w:r>
      <w:r w:rsidR="003C7FB2">
        <w:rPr>
          <w:rFonts w:cs="Arial"/>
          <w:color w:val="2E2E2E"/>
        </w:rPr>
        <w:t xml:space="preserve"> </w:t>
      </w:r>
      <w:r w:rsidR="0076360D">
        <w:rPr>
          <w:rFonts w:cs="Arial"/>
          <w:color w:val="2E2E2E"/>
        </w:rPr>
        <w:t>contribute</w:t>
      </w:r>
      <w:r w:rsidR="003C7FB2">
        <w:rPr>
          <w:rFonts w:cs="Arial"/>
          <w:color w:val="2E2E2E"/>
        </w:rPr>
        <w:t xml:space="preserve"> </w:t>
      </w:r>
      <w:r w:rsidR="0076360D">
        <w:rPr>
          <w:rFonts w:cs="Arial"/>
          <w:color w:val="2E2E2E"/>
        </w:rPr>
        <w:t>new</w:t>
      </w:r>
      <w:r w:rsidR="003C7FB2">
        <w:rPr>
          <w:rFonts w:cs="Arial"/>
          <w:color w:val="2E2E2E"/>
        </w:rPr>
        <w:t xml:space="preserve"> </w:t>
      </w:r>
      <w:r w:rsidR="0076360D">
        <w:rPr>
          <w:rFonts w:cs="Arial"/>
          <w:color w:val="2E2E2E"/>
        </w:rPr>
        <w:t>evidence</w:t>
      </w:r>
      <w:r w:rsidR="003C7FB2">
        <w:rPr>
          <w:rFonts w:cs="Arial"/>
          <w:color w:val="2E2E2E"/>
        </w:rPr>
        <w:t xml:space="preserve"> </w:t>
      </w:r>
      <w:r w:rsidR="0076360D">
        <w:rPr>
          <w:rFonts w:cs="Arial"/>
          <w:color w:val="2E2E2E"/>
        </w:rPr>
        <w:t>to</w:t>
      </w:r>
      <w:r w:rsidR="003C7FB2">
        <w:rPr>
          <w:rFonts w:cs="Arial"/>
          <w:color w:val="2E2E2E"/>
        </w:rPr>
        <w:t xml:space="preserve"> </w:t>
      </w:r>
      <w:r w:rsidR="0076360D">
        <w:rPr>
          <w:rFonts w:cs="Arial"/>
          <w:color w:val="2E2E2E"/>
        </w:rPr>
        <w:t>support</w:t>
      </w:r>
      <w:r w:rsidR="003C7FB2">
        <w:rPr>
          <w:rFonts w:cs="Arial"/>
          <w:color w:val="2E2E2E"/>
        </w:rPr>
        <w:t xml:space="preserve"> </w:t>
      </w:r>
      <w:r w:rsidR="002A5E2D">
        <w:rPr>
          <w:rFonts w:cs="Arial"/>
          <w:color w:val="2E2E2E"/>
        </w:rPr>
        <w:t>causal</w:t>
      </w:r>
      <w:r w:rsidR="003C7FB2">
        <w:rPr>
          <w:rFonts w:cs="Arial"/>
          <w:color w:val="2E2E2E"/>
        </w:rPr>
        <w:t xml:space="preserve"> </w:t>
      </w:r>
      <w:r w:rsidR="002A5E2D">
        <w:rPr>
          <w:rFonts w:cs="Arial"/>
          <w:color w:val="2E2E2E"/>
        </w:rPr>
        <w:t>inference</w:t>
      </w:r>
      <w:r w:rsidR="003C7FB2">
        <w:rPr>
          <w:rFonts w:cs="Arial"/>
          <w:color w:val="2E2E2E"/>
        </w:rPr>
        <w:t xml:space="preserve"> </w:t>
      </w:r>
      <w:r w:rsidR="002A5E2D">
        <w:rPr>
          <w:rFonts w:cs="Arial"/>
          <w:color w:val="2E2E2E"/>
        </w:rPr>
        <w:t>by</w:t>
      </w:r>
      <w:r w:rsidR="003C7FB2">
        <w:rPr>
          <w:rFonts w:cs="Arial"/>
          <w:color w:val="2E2E2E"/>
        </w:rPr>
        <w:t xml:space="preserve"> </w:t>
      </w:r>
      <w:r w:rsidR="00A62C1F">
        <w:rPr>
          <w:rFonts w:cs="Arial"/>
          <w:color w:val="2E2E2E"/>
        </w:rPr>
        <w:t>test</w:t>
      </w:r>
      <w:r w:rsidR="002A5E2D">
        <w:rPr>
          <w:rFonts w:cs="Arial"/>
          <w:color w:val="2E2E2E"/>
        </w:rPr>
        <w:t>ing</w:t>
      </w:r>
      <w:r w:rsidR="003C7FB2">
        <w:rPr>
          <w:rFonts w:cs="Arial"/>
          <w:color w:val="2E2E2E"/>
        </w:rPr>
        <w:t xml:space="preserve"> </w:t>
      </w:r>
      <w:r w:rsidR="00656837">
        <w:rPr>
          <w:rFonts w:cs="Arial"/>
          <w:color w:val="2E2E2E"/>
        </w:rPr>
        <w:t>the</w:t>
      </w:r>
      <w:r w:rsidR="003C7FB2">
        <w:rPr>
          <w:rFonts w:cs="Arial"/>
          <w:color w:val="2E2E2E"/>
        </w:rPr>
        <w:t xml:space="preserve"> </w:t>
      </w:r>
      <w:r w:rsidR="00A62C1F">
        <w:rPr>
          <w:rFonts w:cs="Arial"/>
          <w:color w:val="2E2E2E"/>
        </w:rPr>
        <w:t>associations</w:t>
      </w:r>
      <w:r w:rsidR="003C7FB2">
        <w:rPr>
          <w:rFonts w:cs="Arial"/>
          <w:color w:val="2E2E2E"/>
        </w:rPr>
        <w:t xml:space="preserve"> </w:t>
      </w:r>
      <w:r w:rsidR="00A62C1F">
        <w:rPr>
          <w:rFonts w:cs="Arial"/>
          <w:color w:val="2E2E2E"/>
        </w:rPr>
        <w:t>between</w:t>
      </w:r>
      <w:r w:rsidR="003C7FB2">
        <w:rPr>
          <w:rFonts w:cs="Arial"/>
          <w:color w:val="2E2E2E"/>
        </w:rPr>
        <w:t xml:space="preserve"> </w:t>
      </w:r>
      <w:r w:rsidR="00A62C1F">
        <w:rPr>
          <w:rFonts w:cs="Arial"/>
          <w:color w:val="2E2E2E"/>
        </w:rPr>
        <w:t>active</w:t>
      </w:r>
      <w:r w:rsidR="003C7FB2">
        <w:rPr>
          <w:rFonts w:cs="Arial"/>
          <w:color w:val="2E2E2E"/>
        </w:rPr>
        <w:t xml:space="preserve"> </w:t>
      </w:r>
      <w:r w:rsidR="00A62C1F">
        <w:rPr>
          <w:rFonts w:cs="Arial"/>
          <w:color w:val="2E2E2E"/>
        </w:rPr>
        <w:t>commuting</w:t>
      </w:r>
      <w:r w:rsidR="003C7FB2">
        <w:rPr>
          <w:rFonts w:cs="Arial"/>
          <w:color w:val="2E2E2E"/>
        </w:rPr>
        <w:t xml:space="preserve"> </w:t>
      </w:r>
      <w:r w:rsidR="0050352C">
        <w:rPr>
          <w:rFonts w:cs="Arial"/>
          <w:color w:val="2E2E2E"/>
        </w:rPr>
        <w:t>(making</w:t>
      </w:r>
      <w:r w:rsidR="003C7FB2">
        <w:rPr>
          <w:rFonts w:cs="Arial"/>
          <w:color w:val="2E2E2E"/>
        </w:rPr>
        <w:t xml:space="preserve"> </w:t>
      </w:r>
      <w:r w:rsidR="0050352C">
        <w:rPr>
          <w:rFonts w:cs="Arial"/>
          <w:color w:val="2E2E2E"/>
        </w:rPr>
        <w:t>meaningful</w:t>
      </w:r>
      <w:r w:rsidR="003C7FB2">
        <w:rPr>
          <w:rFonts w:cs="Arial"/>
          <w:color w:val="2E2E2E"/>
        </w:rPr>
        <w:t xml:space="preserve"> </w:t>
      </w:r>
      <w:r w:rsidR="0050352C">
        <w:rPr>
          <w:rFonts w:cs="Arial"/>
          <w:color w:val="2E2E2E"/>
        </w:rPr>
        <w:t>comparisons</w:t>
      </w:r>
      <w:r w:rsidR="003C7FB2">
        <w:rPr>
          <w:rFonts w:cs="Arial"/>
          <w:color w:val="2E2E2E"/>
        </w:rPr>
        <w:t xml:space="preserve"> </w:t>
      </w:r>
      <w:r w:rsidR="0076360D">
        <w:rPr>
          <w:rFonts w:cs="Arial"/>
          <w:color w:val="2E2E2E"/>
        </w:rPr>
        <w:t>between</w:t>
      </w:r>
      <w:r w:rsidR="003C7FB2">
        <w:rPr>
          <w:rFonts w:cs="Arial"/>
          <w:color w:val="2E2E2E"/>
        </w:rPr>
        <w:t xml:space="preserve"> </w:t>
      </w:r>
      <w:r w:rsidR="0050352C">
        <w:rPr>
          <w:rFonts w:cs="Arial"/>
          <w:color w:val="2E2E2E"/>
        </w:rPr>
        <w:t>commut</w:t>
      </w:r>
      <w:r w:rsidR="0076360D">
        <w:rPr>
          <w:rFonts w:cs="Arial"/>
          <w:color w:val="2E2E2E"/>
        </w:rPr>
        <w:t>ing</w:t>
      </w:r>
      <w:r w:rsidR="003C7FB2">
        <w:rPr>
          <w:rFonts w:cs="Arial"/>
          <w:color w:val="2E2E2E"/>
        </w:rPr>
        <w:t xml:space="preserve"> </w:t>
      </w:r>
      <w:r w:rsidR="0076360D">
        <w:rPr>
          <w:rFonts w:cs="Arial"/>
          <w:color w:val="2E2E2E"/>
        </w:rPr>
        <w:t>patterns</w:t>
      </w:r>
      <w:r w:rsidR="0050352C">
        <w:rPr>
          <w:rFonts w:cs="Arial"/>
          <w:color w:val="2E2E2E"/>
        </w:rPr>
        <w:t>)</w:t>
      </w:r>
      <w:r w:rsidR="003C7FB2">
        <w:rPr>
          <w:rFonts w:cs="Arial"/>
          <w:color w:val="2E2E2E"/>
        </w:rPr>
        <w:t xml:space="preserve"> </w:t>
      </w:r>
      <w:r w:rsidR="00A62C1F">
        <w:rPr>
          <w:rFonts w:cs="Arial"/>
          <w:color w:val="2E2E2E"/>
        </w:rPr>
        <w:t>and</w:t>
      </w:r>
      <w:r w:rsidR="003C7FB2">
        <w:rPr>
          <w:rFonts w:cs="Arial"/>
          <w:color w:val="2E2E2E"/>
        </w:rPr>
        <w:t xml:space="preserve"> </w:t>
      </w:r>
      <w:r w:rsidR="00A62C1F">
        <w:rPr>
          <w:rFonts w:cs="Arial"/>
          <w:color w:val="2E2E2E"/>
        </w:rPr>
        <w:t>objective</w:t>
      </w:r>
      <w:r w:rsidR="003C7FB2">
        <w:rPr>
          <w:rFonts w:cs="Arial"/>
          <w:color w:val="2E2E2E"/>
        </w:rPr>
        <w:t xml:space="preserve"> </w:t>
      </w:r>
      <w:r w:rsidR="00A62C1F">
        <w:rPr>
          <w:rFonts w:cs="Arial"/>
          <w:color w:val="2E2E2E"/>
        </w:rPr>
        <w:t>me</w:t>
      </w:r>
      <w:r w:rsidR="00154627">
        <w:rPr>
          <w:rFonts w:cs="Arial"/>
          <w:color w:val="2E2E2E"/>
        </w:rPr>
        <w:t>asures</w:t>
      </w:r>
      <w:r w:rsidR="003C7FB2">
        <w:rPr>
          <w:rFonts w:cs="Arial"/>
          <w:color w:val="2E2E2E"/>
        </w:rPr>
        <w:t xml:space="preserve"> </w:t>
      </w:r>
      <w:r w:rsidR="00154627">
        <w:rPr>
          <w:rFonts w:cs="Arial"/>
          <w:color w:val="2E2E2E"/>
        </w:rPr>
        <w:t>of</w:t>
      </w:r>
      <w:r w:rsidR="003C7FB2">
        <w:rPr>
          <w:rFonts w:cs="Arial"/>
          <w:color w:val="2E2E2E"/>
        </w:rPr>
        <w:t xml:space="preserve"> </w:t>
      </w:r>
      <w:r w:rsidR="00154627">
        <w:rPr>
          <w:rFonts w:cs="Arial"/>
          <w:color w:val="2E2E2E"/>
        </w:rPr>
        <w:t>adiposity</w:t>
      </w:r>
      <w:r w:rsidR="003C7FB2">
        <w:rPr>
          <w:rFonts w:cs="Arial"/>
          <w:color w:val="2E2E2E"/>
        </w:rPr>
        <w:t xml:space="preserve"> </w:t>
      </w:r>
      <w:r w:rsidR="00154627">
        <w:rPr>
          <w:rFonts w:cs="Arial"/>
          <w:color w:val="2E2E2E"/>
        </w:rPr>
        <w:t>(</w:t>
      </w:r>
      <w:r w:rsidR="00A62C1F">
        <w:rPr>
          <w:rFonts w:cs="Arial"/>
          <w:color w:val="2E2E2E"/>
        </w:rPr>
        <w:t>body</w:t>
      </w:r>
      <w:r w:rsidR="003C7FB2">
        <w:rPr>
          <w:rFonts w:cs="Arial"/>
          <w:color w:val="2E2E2E"/>
        </w:rPr>
        <w:t xml:space="preserve"> </w:t>
      </w:r>
      <w:r w:rsidR="00A62C1F">
        <w:rPr>
          <w:rFonts w:cs="Arial"/>
          <w:color w:val="2E2E2E"/>
        </w:rPr>
        <w:t>fat</w:t>
      </w:r>
      <w:r w:rsidR="003C7FB2">
        <w:rPr>
          <w:rFonts w:cs="Arial"/>
          <w:color w:val="2E2E2E"/>
        </w:rPr>
        <w:t xml:space="preserve"> </w:t>
      </w:r>
      <w:r w:rsidR="00A62C1F">
        <w:rPr>
          <w:rFonts w:cs="Arial"/>
          <w:color w:val="2E2E2E"/>
        </w:rPr>
        <w:t>and</w:t>
      </w:r>
      <w:r w:rsidR="003C7FB2">
        <w:rPr>
          <w:rFonts w:cs="Arial"/>
          <w:color w:val="2E2E2E"/>
        </w:rPr>
        <w:t xml:space="preserve"> </w:t>
      </w:r>
      <w:r w:rsidR="00A62C1F">
        <w:rPr>
          <w:rFonts w:cs="Arial"/>
          <w:color w:val="2E2E2E"/>
        </w:rPr>
        <w:t>visceral</w:t>
      </w:r>
      <w:r w:rsidR="003C7FB2">
        <w:rPr>
          <w:rFonts w:cs="Arial"/>
          <w:color w:val="2E2E2E"/>
        </w:rPr>
        <w:t xml:space="preserve"> </w:t>
      </w:r>
      <w:r w:rsidR="00A62C1F">
        <w:rPr>
          <w:rFonts w:cs="Arial"/>
          <w:color w:val="2E2E2E"/>
        </w:rPr>
        <w:t>adipose</w:t>
      </w:r>
      <w:r w:rsidR="003C7FB2">
        <w:rPr>
          <w:rFonts w:cs="Arial"/>
          <w:color w:val="2E2E2E"/>
        </w:rPr>
        <w:t xml:space="preserve"> </w:t>
      </w:r>
      <w:r w:rsidR="00A62C1F">
        <w:rPr>
          <w:rFonts w:cs="Arial"/>
          <w:color w:val="2E2E2E"/>
        </w:rPr>
        <w:t>tissue)</w:t>
      </w:r>
      <w:r w:rsidR="003C7FB2">
        <w:rPr>
          <w:rFonts w:cs="Arial"/>
          <w:color w:val="2E2E2E"/>
        </w:rPr>
        <w:t xml:space="preserve"> </w:t>
      </w:r>
      <w:r w:rsidR="00A62C1F">
        <w:rPr>
          <w:rFonts w:cs="Arial"/>
          <w:color w:val="2E2E2E"/>
        </w:rPr>
        <w:t>in</w:t>
      </w:r>
      <w:r w:rsidR="003C7FB2">
        <w:rPr>
          <w:rFonts w:cs="Arial"/>
          <w:color w:val="2E2E2E"/>
        </w:rPr>
        <w:t xml:space="preserve"> </w:t>
      </w:r>
      <w:r w:rsidR="00BD6685">
        <w:rPr>
          <w:rFonts w:cs="Arial"/>
          <w:color w:val="2E2E2E"/>
        </w:rPr>
        <w:t>a</w:t>
      </w:r>
      <w:r w:rsidR="003C7FB2">
        <w:rPr>
          <w:rFonts w:cs="Arial"/>
          <w:color w:val="2E2E2E"/>
        </w:rPr>
        <w:t xml:space="preserve"> </w:t>
      </w:r>
      <w:r w:rsidR="00A62C1F">
        <w:rPr>
          <w:rFonts w:cs="Arial"/>
          <w:color w:val="2E2E2E"/>
        </w:rPr>
        <w:t>large</w:t>
      </w:r>
      <w:r w:rsidR="003C7FB2">
        <w:rPr>
          <w:rFonts w:cs="Arial"/>
          <w:color w:val="2E2E2E"/>
        </w:rPr>
        <w:t xml:space="preserve"> </w:t>
      </w:r>
      <w:r w:rsidR="009F1910">
        <w:rPr>
          <w:rFonts w:cs="Arial"/>
          <w:color w:val="2E2E2E"/>
        </w:rPr>
        <w:t>study</w:t>
      </w:r>
      <w:r w:rsidR="003C7FB2">
        <w:rPr>
          <w:rFonts w:cs="Arial"/>
          <w:color w:val="2E2E2E"/>
        </w:rPr>
        <w:t xml:space="preserve"> </w:t>
      </w:r>
      <w:r w:rsidR="00656837">
        <w:rPr>
          <w:rFonts w:cs="Arial"/>
          <w:color w:val="2E2E2E"/>
        </w:rPr>
        <w:t>with</w:t>
      </w:r>
      <w:r w:rsidR="003C7FB2">
        <w:rPr>
          <w:rFonts w:cs="Arial"/>
          <w:color w:val="2E2E2E"/>
        </w:rPr>
        <w:t xml:space="preserve"> </w:t>
      </w:r>
      <w:r w:rsidR="00656837">
        <w:rPr>
          <w:rFonts w:cs="Arial"/>
          <w:color w:val="2E2E2E"/>
        </w:rPr>
        <w:t>detailed</w:t>
      </w:r>
      <w:r w:rsidR="003C7FB2">
        <w:rPr>
          <w:rFonts w:cs="Arial"/>
          <w:color w:val="2E2E2E"/>
        </w:rPr>
        <w:t xml:space="preserve"> </w:t>
      </w:r>
      <w:r w:rsidR="00656837">
        <w:rPr>
          <w:rFonts w:cs="Arial"/>
          <w:color w:val="2E2E2E"/>
        </w:rPr>
        <w:t>characterisation</w:t>
      </w:r>
      <w:r w:rsidR="003C7FB2">
        <w:rPr>
          <w:rFonts w:cs="Arial"/>
          <w:color w:val="2E2E2E"/>
        </w:rPr>
        <w:t xml:space="preserve"> </w:t>
      </w:r>
      <w:r w:rsidR="00656837">
        <w:rPr>
          <w:rFonts w:cs="Arial"/>
          <w:color w:val="2E2E2E"/>
        </w:rPr>
        <w:t>of</w:t>
      </w:r>
      <w:r w:rsidR="003C7FB2">
        <w:rPr>
          <w:rFonts w:cs="Arial"/>
          <w:color w:val="2E2E2E"/>
        </w:rPr>
        <w:t xml:space="preserve"> </w:t>
      </w:r>
      <w:r w:rsidR="00656837">
        <w:rPr>
          <w:rFonts w:cs="Arial"/>
          <w:color w:val="2E2E2E"/>
        </w:rPr>
        <w:t>physical</w:t>
      </w:r>
      <w:r w:rsidR="003C7FB2">
        <w:rPr>
          <w:rFonts w:cs="Arial"/>
          <w:color w:val="2E2E2E"/>
        </w:rPr>
        <w:t xml:space="preserve"> </w:t>
      </w:r>
      <w:r w:rsidR="00656837">
        <w:rPr>
          <w:rFonts w:cs="Arial"/>
          <w:color w:val="2E2E2E"/>
        </w:rPr>
        <w:t>activity</w:t>
      </w:r>
      <w:r w:rsidR="003C7FB2">
        <w:rPr>
          <w:rFonts w:cs="Arial"/>
          <w:color w:val="2E2E2E"/>
        </w:rPr>
        <w:t xml:space="preserve"> </w:t>
      </w:r>
      <w:r w:rsidR="00656837">
        <w:rPr>
          <w:rFonts w:cs="Arial"/>
          <w:color w:val="2E2E2E"/>
        </w:rPr>
        <w:t>(including</w:t>
      </w:r>
      <w:r w:rsidR="003C7FB2">
        <w:rPr>
          <w:rFonts w:cs="Arial"/>
          <w:color w:val="2E2E2E"/>
        </w:rPr>
        <w:t xml:space="preserve"> </w:t>
      </w:r>
      <w:r w:rsidR="00656837">
        <w:rPr>
          <w:rFonts w:cs="Arial"/>
          <w:color w:val="2E2E2E"/>
        </w:rPr>
        <w:t>objective</w:t>
      </w:r>
      <w:r w:rsidR="003C7FB2">
        <w:rPr>
          <w:rFonts w:cs="Arial"/>
          <w:color w:val="2E2E2E"/>
        </w:rPr>
        <w:t xml:space="preserve"> </w:t>
      </w:r>
      <w:r w:rsidR="00656837">
        <w:rPr>
          <w:rFonts w:cs="Arial"/>
          <w:color w:val="2E2E2E"/>
        </w:rPr>
        <w:t>measures)</w:t>
      </w:r>
      <w:r w:rsidR="003C7FB2">
        <w:rPr>
          <w:rFonts w:cs="Arial"/>
          <w:color w:val="2E2E2E"/>
        </w:rPr>
        <w:t xml:space="preserve"> </w:t>
      </w:r>
      <w:r w:rsidR="00656837">
        <w:rPr>
          <w:rFonts w:cs="Arial"/>
          <w:color w:val="2E2E2E"/>
        </w:rPr>
        <w:t>and</w:t>
      </w:r>
      <w:r w:rsidR="003C7FB2">
        <w:rPr>
          <w:rFonts w:cs="Arial"/>
          <w:color w:val="2E2E2E"/>
        </w:rPr>
        <w:t xml:space="preserve"> </w:t>
      </w:r>
      <w:r w:rsidR="00656837">
        <w:rPr>
          <w:rFonts w:cs="Arial"/>
          <w:color w:val="2E2E2E"/>
        </w:rPr>
        <w:t>dietary</w:t>
      </w:r>
      <w:r w:rsidR="003C7FB2">
        <w:rPr>
          <w:rFonts w:cs="Arial"/>
          <w:color w:val="2E2E2E"/>
        </w:rPr>
        <w:t xml:space="preserve"> </w:t>
      </w:r>
      <w:r w:rsidR="002D1D5F">
        <w:rPr>
          <w:rFonts w:cs="Arial"/>
          <w:color w:val="2E2E2E"/>
        </w:rPr>
        <w:t>patterns</w:t>
      </w:r>
      <w:r w:rsidR="00823ACF">
        <w:rPr>
          <w:rFonts w:cs="Arial"/>
          <w:color w:val="2E2E2E"/>
        </w:rPr>
        <w:t>.</w:t>
      </w:r>
      <w:r w:rsidR="003C7FB2">
        <w:rPr>
          <w:rFonts w:cs="Arial"/>
          <w:color w:val="2E2E2E"/>
        </w:rPr>
        <w:t xml:space="preserve"> </w:t>
      </w:r>
    </w:p>
    <w:p w14:paraId="09E2177B" w14:textId="77777777" w:rsidR="00B0787C" w:rsidRDefault="00B0787C">
      <w:pPr>
        <w:rPr>
          <w:b/>
          <w:u w:val="single"/>
        </w:rPr>
      </w:pPr>
      <w:r>
        <w:rPr>
          <w:b/>
          <w:u w:val="single"/>
        </w:rPr>
        <w:br w:type="page"/>
      </w:r>
    </w:p>
    <w:p w14:paraId="629BF62C" w14:textId="329A301F" w:rsidR="00BB5254" w:rsidRPr="005E0581" w:rsidRDefault="00BB5254" w:rsidP="00BB5254">
      <w:pPr>
        <w:spacing w:after="0" w:line="240" w:lineRule="auto"/>
      </w:pPr>
      <w:r w:rsidRPr="00BB5254">
        <w:rPr>
          <w:b/>
          <w:u w:val="single"/>
        </w:rPr>
        <w:t>Methods</w:t>
      </w:r>
      <w:r w:rsidR="003C7FB2">
        <w:t xml:space="preserve"> </w:t>
      </w:r>
    </w:p>
    <w:p w14:paraId="143FF31E" w14:textId="77777777" w:rsidR="00BB5254" w:rsidRDefault="00BB5254" w:rsidP="00BB5254">
      <w:pPr>
        <w:spacing w:after="0" w:line="240" w:lineRule="auto"/>
      </w:pPr>
    </w:p>
    <w:p w14:paraId="745E8669" w14:textId="284A5301" w:rsidR="00952EA2" w:rsidRPr="00952EA2" w:rsidRDefault="00952EA2" w:rsidP="00BB5254">
      <w:pPr>
        <w:spacing w:after="0" w:line="240" w:lineRule="auto"/>
        <w:rPr>
          <w:u w:val="single"/>
        </w:rPr>
      </w:pPr>
      <w:r w:rsidRPr="00952EA2">
        <w:rPr>
          <w:u w:val="single"/>
        </w:rPr>
        <w:t>Study</w:t>
      </w:r>
      <w:r w:rsidR="003C7FB2">
        <w:rPr>
          <w:u w:val="single"/>
        </w:rPr>
        <w:t xml:space="preserve"> </w:t>
      </w:r>
      <w:r w:rsidRPr="00952EA2">
        <w:rPr>
          <w:u w:val="single"/>
        </w:rPr>
        <w:t>settings</w:t>
      </w:r>
      <w:r w:rsidR="003C7FB2">
        <w:rPr>
          <w:u w:val="single"/>
        </w:rPr>
        <w:t xml:space="preserve"> </w:t>
      </w:r>
      <w:r w:rsidRPr="00952EA2">
        <w:rPr>
          <w:u w:val="single"/>
        </w:rPr>
        <w:t>and</w:t>
      </w:r>
      <w:r w:rsidR="003C7FB2">
        <w:rPr>
          <w:u w:val="single"/>
        </w:rPr>
        <w:t xml:space="preserve"> </w:t>
      </w:r>
      <w:r w:rsidRPr="00952EA2">
        <w:rPr>
          <w:u w:val="single"/>
        </w:rPr>
        <w:t>data</w:t>
      </w:r>
      <w:r w:rsidR="003C7FB2">
        <w:rPr>
          <w:u w:val="single"/>
        </w:rPr>
        <w:t xml:space="preserve"> </w:t>
      </w:r>
      <w:r w:rsidRPr="00952EA2">
        <w:rPr>
          <w:u w:val="single"/>
        </w:rPr>
        <w:t>collection</w:t>
      </w:r>
    </w:p>
    <w:p w14:paraId="6957530B" w14:textId="77777777" w:rsidR="00952EA2" w:rsidRDefault="00952EA2" w:rsidP="00BB5254">
      <w:pPr>
        <w:spacing w:after="0" w:line="240" w:lineRule="auto"/>
      </w:pPr>
    </w:p>
    <w:p w14:paraId="02A57D80" w14:textId="04B12155" w:rsidR="006E59E4" w:rsidRDefault="00952EA2" w:rsidP="006E59E4">
      <w:pPr>
        <w:spacing w:after="0" w:line="240" w:lineRule="auto"/>
      </w:pPr>
      <w:r>
        <w:t>We</w:t>
      </w:r>
      <w:r w:rsidR="003C7FB2">
        <w:t xml:space="preserve"> </w:t>
      </w:r>
      <w:r>
        <w:t>used</w:t>
      </w:r>
      <w:r w:rsidR="003C7FB2">
        <w:t xml:space="preserve"> </w:t>
      </w:r>
      <w:r>
        <w:t>data</w:t>
      </w:r>
      <w:r w:rsidR="003C7FB2">
        <w:t xml:space="preserve"> </w:t>
      </w:r>
      <w:r>
        <w:t>from</w:t>
      </w:r>
      <w:r w:rsidR="003C7FB2">
        <w:t xml:space="preserve"> </w:t>
      </w:r>
      <w:r>
        <w:t>the</w:t>
      </w:r>
      <w:r w:rsidR="003C7FB2">
        <w:t xml:space="preserve"> </w:t>
      </w:r>
      <w:r>
        <w:t>Fenla</w:t>
      </w:r>
      <w:r w:rsidR="00492326">
        <w:t>nd</w:t>
      </w:r>
      <w:r w:rsidR="003C7FB2">
        <w:t xml:space="preserve"> </w:t>
      </w:r>
      <w:r w:rsidR="00492326">
        <w:t>study</w:t>
      </w:r>
      <w:r w:rsidR="003C7FB2">
        <w:t xml:space="preserve"> </w:t>
      </w:r>
      <w:r w:rsidR="00326E63">
        <w:t>(</w:t>
      </w:r>
      <w:r w:rsidR="00326E63" w:rsidRPr="0070242A">
        <w:rPr>
          <w:rStyle w:val="complextitleprimary"/>
        </w:rPr>
        <w:t>ISRCTN72077169)</w:t>
      </w:r>
      <w:r w:rsidR="00492326">
        <w:t>,</w:t>
      </w:r>
      <w:r w:rsidR="003C7FB2">
        <w:t xml:space="preserve"> </w:t>
      </w:r>
      <w:r w:rsidR="00492326">
        <w:t>an</w:t>
      </w:r>
      <w:r w:rsidR="003C7FB2">
        <w:t xml:space="preserve"> </w:t>
      </w:r>
      <w:r w:rsidR="00492326">
        <w:t>ongoing</w:t>
      </w:r>
      <w:r w:rsidR="003C7FB2">
        <w:t xml:space="preserve"> </w:t>
      </w:r>
      <w:r w:rsidR="00492326">
        <w:t>population-</w:t>
      </w:r>
      <w:r>
        <w:t>based</w:t>
      </w:r>
      <w:r w:rsidR="003C7FB2">
        <w:t xml:space="preserve"> </w:t>
      </w:r>
      <w:r>
        <w:t>cohort</w:t>
      </w:r>
      <w:r w:rsidR="003C7FB2">
        <w:t xml:space="preserve"> </w:t>
      </w:r>
      <w:r>
        <w:t>study</w:t>
      </w:r>
      <w:r w:rsidR="003C7FB2">
        <w:t xml:space="preserve"> </w:t>
      </w:r>
      <w:r>
        <w:t>of</w:t>
      </w:r>
      <w:r w:rsidR="003C7FB2">
        <w:t xml:space="preserve"> </w:t>
      </w:r>
      <w:r>
        <w:t>adults</w:t>
      </w:r>
      <w:r w:rsidR="003C7FB2">
        <w:t xml:space="preserve"> </w:t>
      </w:r>
      <w:r w:rsidR="00492326">
        <w:t>aged</w:t>
      </w:r>
      <w:r w:rsidR="003C7FB2">
        <w:t xml:space="preserve"> </w:t>
      </w:r>
      <w:r w:rsidR="00492326">
        <w:t>29-65</w:t>
      </w:r>
      <w:r w:rsidR="003C7FB2">
        <w:t xml:space="preserve"> </w:t>
      </w:r>
      <w:r w:rsidR="00492326">
        <w:t>years</w:t>
      </w:r>
      <w:r w:rsidR="003C7FB2">
        <w:t xml:space="preserve"> </w:t>
      </w:r>
      <w:r w:rsidR="00492326">
        <w:t>in</w:t>
      </w:r>
      <w:r w:rsidR="003C7FB2">
        <w:t xml:space="preserve"> </w:t>
      </w:r>
      <w:r w:rsidR="00492326">
        <w:t>Cambridgeshire,</w:t>
      </w:r>
      <w:r w:rsidR="003C7FB2">
        <w:t xml:space="preserve"> </w:t>
      </w:r>
      <w:r w:rsidR="00492326">
        <w:t>UK.</w:t>
      </w:r>
      <w:r w:rsidR="003C7FB2">
        <w:t xml:space="preserve"> </w:t>
      </w:r>
      <w:r w:rsidR="00A44BEC">
        <w:t>Briefly,</w:t>
      </w:r>
      <w:r w:rsidR="003C7FB2">
        <w:t xml:space="preserve"> </w:t>
      </w:r>
      <w:r w:rsidR="00A44BEC">
        <w:t>v</w:t>
      </w:r>
      <w:r w:rsidR="006E59E4">
        <w:t>olunteers</w:t>
      </w:r>
      <w:r w:rsidR="003C7FB2">
        <w:t xml:space="preserve"> </w:t>
      </w:r>
      <w:r w:rsidR="00492326">
        <w:t>(n=12,434)</w:t>
      </w:r>
      <w:r w:rsidR="003C7FB2">
        <w:t xml:space="preserve"> </w:t>
      </w:r>
      <w:r w:rsidR="00492326">
        <w:t>were</w:t>
      </w:r>
      <w:r w:rsidR="003C7FB2">
        <w:t xml:space="preserve"> </w:t>
      </w:r>
      <w:r w:rsidR="00492326">
        <w:t>recruited</w:t>
      </w:r>
      <w:r w:rsidR="003C7FB2">
        <w:t xml:space="preserve"> </w:t>
      </w:r>
      <w:r w:rsidR="00492326">
        <w:t>from</w:t>
      </w:r>
      <w:r w:rsidR="003C7FB2">
        <w:t xml:space="preserve"> </w:t>
      </w:r>
      <w:r w:rsidR="00492326">
        <w:t>general</w:t>
      </w:r>
      <w:r w:rsidR="003C7FB2">
        <w:t xml:space="preserve"> </w:t>
      </w:r>
      <w:r w:rsidR="00492326">
        <w:t>practi</w:t>
      </w:r>
      <w:r w:rsidR="000D7644">
        <w:t>ce</w:t>
      </w:r>
      <w:r w:rsidR="003C7FB2">
        <w:t xml:space="preserve"> </w:t>
      </w:r>
      <w:r w:rsidR="000D7644">
        <w:t>lists</w:t>
      </w:r>
      <w:r w:rsidR="003C7FB2">
        <w:t xml:space="preserve"> </w:t>
      </w:r>
      <w:r w:rsidR="000D7644">
        <w:t>between</w:t>
      </w:r>
      <w:r w:rsidR="003C7FB2">
        <w:t xml:space="preserve"> </w:t>
      </w:r>
      <w:r w:rsidR="000D7644">
        <w:t>2005</w:t>
      </w:r>
      <w:r w:rsidR="003C7FB2">
        <w:t xml:space="preserve"> </w:t>
      </w:r>
      <w:r w:rsidR="000D7644">
        <w:t>and</w:t>
      </w:r>
      <w:r w:rsidR="003C7FB2">
        <w:t xml:space="preserve"> </w:t>
      </w:r>
      <w:r w:rsidR="000D7644">
        <w:t>2015.</w:t>
      </w:r>
      <w:r w:rsidR="003C7FB2">
        <w:t xml:space="preserve"> </w:t>
      </w:r>
      <w:r w:rsidR="000D7644">
        <w:t>On</w:t>
      </w:r>
      <w:r w:rsidR="003C7FB2">
        <w:t xml:space="preserve"> </w:t>
      </w:r>
      <w:r w:rsidR="000D7644">
        <w:t>entry</w:t>
      </w:r>
      <w:r w:rsidR="003C7FB2">
        <w:t xml:space="preserve"> </w:t>
      </w:r>
      <w:r w:rsidR="000D7644">
        <w:t>to</w:t>
      </w:r>
      <w:r w:rsidR="003C7FB2">
        <w:t xml:space="preserve"> </w:t>
      </w:r>
      <w:r w:rsidR="000D7644">
        <w:t>the</w:t>
      </w:r>
      <w:r w:rsidR="003C7FB2">
        <w:t xml:space="preserve"> </w:t>
      </w:r>
      <w:r w:rsidR="000D7644">
        <w:t>study</w:t>
      </w:r>
      <w:r w:rsidR="003C7FB2">
        <w:t xml:space="preserve"> </w:t>
      </w:r>
      <w:r w:rsidR="000D7644">
        <w:t>all</w:t>
      </w:r>
      <w:r w:rsidR="003C7FB2">
        <w:t xml:space="preserve"> </w:t>
      </w:r>
      <w:r w:rsidR="000D7644">
        <w:t>participants</w:t>
      </w:r>
      <w:r w:rsidR="003C7FB2">
        <w:t xml:space="preserve"> </w:t>
      </w:r>
      <w:r w:rsidR="006E59E4">
        <w:t>were</w:t>
      </w:r>
      <w:r w:rsidR="003C7FB2">
        <w:t xml:space="preserve"> </w:t>
      </w:r>
      <w:r w:rsidR="006E59E4">
        <w:t>invited</w:t>
      </w:r>
      <w:r w:rsidR="003C7FB2">
        <w:t xml:space="preserve"> </w:t>
      </w:r>
      <w:r w:rsidR="006E59E4">
        <w:t>to</w:t>
      </w:r>
      <w:r w:rsidR="003C7FB2">
        <w:t xml:space="preserve"> </w:t>
      </w:r>
      <w:r w:rsidR="006E59E4">
        <w:t>attend</w:t>
      </w:r>
      <w:r w:rsidR="003C7FB2">
        <w:t xml:space="preserve"> </w:t>
      </w:r>
      <w:r w:rsidR="006E59E4">
        <w:t>one</w:t>
      </w:r>
      <w:r w:rsidR="003C7FB2">
        <w:t xml:space="preserve"> </w:t>
      </w:r>
      <w:r w:rsidR="006E59E4">
        <w:t>of</w:t>
      </w:r>
      <w:r w:rsidR="003C7FB2">
        <w:t xml:space="preserve"> </w:t>
      </w:r>
      <w:r w:rsidR="006E59E4">
        <w:t>thre</w:t>
      </w:r>
      <w:r w:rsidR="00A44BEC">
        <w:t>e</w:t>
      </w:r>
      <w:r w:rsidR="003C7FB2">
        <w:t xml:space="preserve"> </w:t>
      </w:r>
      <w:r w:rsidR="00A44BEC">
        <w:t>clinical</w:t>
      </w:r>
      <w:r w:rsidR="003C7FB2">
        <w:t xml:space="preserve"> </w:t>
      </w:r>
      <w:r w:rsidR="00A44BEC">
        <w:t>research</w:t>
      </w:r>
      <w:r w:rsidR="003C7FB2">
        <w:t xml:space="preserve"> </w:t>
      </w:r>
      <w:r w:rsidR="00A44BEC">
        <w:t>facilities</w:t>
      </w:r>
      <w:r w:rsidR="006E59E4">
        <w:t>,</w:t>
      </w:r>
      <w:r w:rsidR="003C7FB2">
        <w:t xml:space="preserve"> </w:t>
      </w:r>
      <w:r w:rsidR="006E59E4">
        <w:t>where</w:t>
      </w:r>
      <w:r w:rsidR="003C7FB2">
        <w:t xml:space="preserve"> </w:t>
      </w:r>
      <w:r w:rsidR="006E59E4">
        <w:t>they</w:t>
      </w:r>
      <w:r w:rsidR="003C7FB2">
        <w:t xml:space="preserve"> </w:t>
      </w:r>
      <w:r w:rsidR="006E59E4">
        <w:t>completed</w:t>
      </w:r>
      <w:r w:rsidR="003C7FB2">
        <w:t xml:space="preserve"> </w:t>
      </w:r>
      <w:r w:rsidR="0018748A">
        <w:t>a</w:t>
      </w:r>
      <w:r w:rsidR="003C7FB2">
        <w:t xml:space="preserve"> </w:t>
      </w:r>
      <w:r w:rsidR="0018748A">
        <w:t>general</w:t>
      </w:r>
      <w:r w:rsidR="003C7FB2">
        <w:t xml:space="preserve"> </w:t>
      </w:r>
      <w:r w:rsidR="006E59E4">
        <w:t>questionnaire</w:t>
      </w:r>
      <w:r w:rsidR="00D10C36">
        <w:t xml:space="preserve"> (socio-demographic characteristics, general health, dietary patterns, smoking and alcohol consumption)</w:t>
      </w:r>
      <w:r w:rsidR="0018748A">
        <w:t>,</w:t>
      </w:r>
      <w:r w:rsidR="003C7FB2">
        <w:t xml:space="preserve"> </w:t>
      </w:r>
      <w:r w:rsidR="0018748A">
        <w:t>a</w:t>
      </w:r>
      <w:r w:rsidR="003C7FB2">
        <w:t xml:space="preserve"> </w:t>
      </w:r>
      <w:r w:rsidR="0018748A">
        <w:t>food</w:t>
      </w:r>
      <w:r w:rsidR="003C7FB2">
        <w:t xml:space="preserve"> </w:t>
      </w:r>
      <w:r w:rsidR="0018748A">
        <w:t>frequency</w:t>
      </w:r>
      <w:r w:rsidR="003C7FB2">
        <w:t xml:space="preserve"> </w:t>
      </w:r>
      <w:r w:rsidR="0018748A">
        <w:t>questionnaire</w:t>
      </w:r>
      <w:r w:rsidR="003C7FB2">
        <w:t xml:space="preserve"> </w:t>
      </w:r>
      <w:r w:rsidR="0018748A">
        <w:t>(FFQ)</w:t>
      </w:r>
      <w:r w:rsidR="003C7FB2">
        <w:t xml:space="preserve"> </w:t>
      </w:r>
      <w:r w:rsidR="0018748A">
        <w:t>and</w:t>
      </w:r>
      <w:r w:rsidR="003C7FB2">
        <w:t xml:space="preserve"> </w:t>
      </w:r>
      <w:r w:rsidR="0018748A">
        <w:t>the</w:t>
      </w:r>
      <w:r w:rsidR="003C7FB2">
        <w:t xml:space="preserve"> </w:t>
      </w:r>
      <w:r w:rsidR="0018748A">
        <w:t>Recent</w:t>
      </w:r>
      <w:r w:rsidR="003C7FB2">
        <w:t xml:space="preserve"> </w:t>
      </w:r>
      <w:r w:rsidR="0018748A">
        <w:t>Physical</w:t>
      </w:r>
      <w:r w:rsidR="003C7FB2">
        <w:t xml:space="preserve"> </w:t>
      </w:r>
      <w:r w:rsidR="0018748A">
        <w:t>Activity</w:t>
      </w:r>
      <w:r w:rsidR="003C7FB2">
        <w:t xml:space="preserve"> </w:t>
      </w:r>
      <w:r w:rsidR="0018748A">
        <w:t>Questionnaire</w:t>
      </w:r>
      <w:r w:rsidR="003C7FB2">
        <w:t xml:space="preserve"> </w:t>
      </w:r>
      <w:r w:rsidR="0018748A">
        <w:t>(RPAQ).</w:t>
      </w:r>
      <w:r w:rsidR="00627DA1">
        <w:fldChar w:fldCharType="begin" w:fldLock="1"/>
      </w:r>
      <w:r w:rsidR="000B07A6">
        <w:instrText>ADDIN CSL_CITATION { "citationItems" : [ { "id" : "ITEM-1", "itemData" : { "DOI" : "10.3945/ajcn.2009.28432", "ISSN" : "1938-3207", "PMID" : "19889820", "abstract" : "BACKGROUND: Few questionnaires that assess usual physical activity have been reported to be valid for all different subdimensions of physical activity.\n\nOBJECTIVE: The objective was to assess the validity and reliability of the Recent Physical Activity Questionnaire (RPAQ), which assesses usual physical activity (PA) in 4 domains (work, travel, recreation, and domestic life).\n\nDESIGN: Total energy expenditure (TEE) was measured for 14 d by using the doubly labeled water technique combined with a measure of resting metabolic rate to yield PA energy expenditure (PAEE) in 25 men and 25 women. Simultaneously, intensity of activity was measured by using combined heart rate and movement sensing for 11 d. Repeatability of the RPAQ was assessed in an independent sample of 71 women and 60 men aged 31-57 y.\n\nRESULTS: Estimated TEE and PAEE were significantly associated with criterion measures (TEE: r = 0.67; PAEE: r = 0.39) with mean (+/-SD) biases of -3452 +/- 2025 kJ/d and -13 +/- 24 kJ d(-1) kg(-1). The correlation between self-reported and measured time spent was significant for vigorous PA (r = 0.70) and marginally insignificant for sedentary time (r = 0.27, P = 0.06). The mean biases were relatively small for sedentary time and vigorous PA: 0.7 +/- 2.8 h/d and -12 +/- 24 min/d, respectively. The intraclass correlation coefficient for repeatability of total PAEE (kJ/d) was 0.76 (P &lt; 0.0001).\n\nCONCLUSION: The RPAQ is the first questionnaire with demonstrated validity for ranking individuals according to their time spent at vigorous-intensity activity and overall energy expenditure.", "author" : [ { "dropping-particle" : "", "family" : "Besson", "given" : "Herv\u00e9", "non-dropping-particle" : "", "parse-names" : false, "suffix" : "" }, { "dropping-particle" : "", "family" : "Brage", "given" : "S\u00f8ren", "non-dropping-particle" : "", "parse-names" : false, "suffix" : "" }, { "dropping-particle" : "", "family" : "Jakes", "given" : "Rupert W", "non-dropping-particle" : "", "parse-names" : false, "suffix" : "" }, { "dropping-particle" : "", "family" : "Ekelund", "given" : "Ulf", "non-dropping-particle" : "", "parse-names" : false, "suffix" : "" }, { "dropping-particle" : "", "family" : "Wareham", "given" : "Nicholas J", "non-dropping-particle" : "", "parse-names" : false, "suffix" : "" } ], "container-title" : "The American journal of clinical nutrition", "id" : "ITEM-1", "issue" : "1", "issued" : { "date-parts" : [ [ "2010", "1" ] ] }, "page" : "106-14", "title" : "Estimating physical activity energy expenditure, sedentary time, and physical activity intensity by self-report in adults.", "type" : "article-journal", "volume" : "91" }, "uris" : [ "http://www.mendeley.com/documents/?uuid=b49effa0-fbc9-4ae7-9979-39c2e528e9a2" ] } ], "mendeley" : { "formattedCitation" : "(Besson et al., 2010)", "plainTextFormattedCitation" : "(Besson et al., 2010)", "previouslyFormattedCitation" : "(Besson et al., 2010)" }, "properties" : { "noteIndex" : 0 }, "schema" : "https://github.com/citation-style-language/schema/raw/master/csl-citation.json" }</w:instrText>
      </w:r>
      <w:r w:rsidR="00627DA1">
        <w:fldChar w:fldCharType="separate"/>
      </w:r>
      <w:r w:rsidR="00B71669" w:rsidRPr="00B71669">
        <w:rPr>
          <w:noProof/>
        </w:rPr>
        <w:t>(Besson et al., 2010)</w:t>
      </w:r>
      <w:r w:rsidR="00627DA1">
        <w:fldChar w:fldCharType="end"/>
      </w:r>
      <w:r w:rsidR="003C7FB2">
        <w:t xml:space="preserve"> </w:t>
      </w:r>
      <w:r w:rsidR="0013016B">
        <w:t>At</w:t>
      </w:r>
      <w:r w:rsidR="003C7FB2">
        <w:t xml:space="preserve"> </w:t>
      </w:r>
      <w:r w:rsidR="0013016B">
        <w:t>this</w:t>
      </w:r>
      <w:r w:rsidR="003C7FB2">
        <w:t xml:space="preserve"> </w:t>
      </w:r>
      <w:r w:rsidR="0013016B">
        <w:t>visit,</w:t>
      </w:r>
      <w:r w:rsidR="003C7FB2">
        <w:t xml:space="preserve"> </w:t>
      </w:r>
      <w:r w:rsidR="0013016B">
        <w:t>b</w:t>
      </w:r>
      <w:r w:rsidR="0018748A">
        <w:t>ody</w:t>
      </w:r>
      <w:r w:rsidR="003C7FB2">
        <w:t xml:space="preserve"> </w:t>
      </w:r>
      <w:r w:rsidR="0018748A">
        <w:t>composition</w:t>
      </w:r>
      <w:r w:rsidR="003C7FB2">
        <w:t xml:space="preserve"> </w:t>
      </w:r>
      <w:r w:rsidR="0018748A">
        <w:t>was</w:t>
      </w:r>
      <w:r w:rsidR="003C7FB2">
        <w:t xml:space="preserve"> </w:t>
      </w:r>
      <w:r w:rsidR="0018748A">
        <w:t>assessed</w:t>
      </w:r>
      <w:r w:rsidR="003C7FB2">
        <w:t xml:space="preserve"> </w:t>
      </w:r>
      <w:r w:rsidR="0018748A">
        <w:t>by</w:t>
      </w:r>
      <w:r w:rsidR="003C7FB2">
        <w:t xml:space="preserve"> </w:t>
      </w:r>
      <w:r w:rsidR="0018748A">
        <w:t>dual-energy</w:t>
      </w:r>
      <w:r w:rsidR="003C7FB2">
        <w:t xml:space="preserve"> </w:t>
      </w:r>
      <w:r w:rsidR="0018748A">
        <w:t>X-ray</w:t>
      </w:r>
      <w:r w:rsidR="003C7FB2">
        <w:t xml:space="preserve"> </w:t>
      </w:r>
      <w:r w:rsidR="0018748A">
        <w:t>absorptiometry</w:t>
      </w:r>
      <w:r w:rsidR="003C7FB2">
        <w:t xml:space="preserve"> </w:t>
      </w:r>
      <w:r w:rsidR="0018748A">
        <w:t>(DEXA;</w:t>
      </w:r>
      <w:r w:rsidR="003C7FB2">
        <w:t xml:space="preserve"> </w:t>
      </w:r>
      <w:r w:rsidR="0018748A">
        <w:t>Lunar</w:t>
      </w:r>
      <w:r w:rsidR="003C7FB2">
        <w:t xml:space="preserve"> </w:t>
      </w:r>
      <w:r w:rsidR="0018748A">
        <w:t>Prodigy</w:t>
      </w:r>
      <w:r w:rsidR="003C7FB2">
        <w:t xml:space="preserve"> </w:t>
      </w:r>
      <w:r w:rsidR="0018748A">
        <w:t>Advanced</w:t>
      </w:r>
      <w:r w:rsidR="003C7FB2">
        <w:t xml:space="preserve"> </w:t>
      </w:r>
      <w:r w:rsidR="0018748A">
        <w:t>fan</w:t>
      </w:r>
      <w:r w:rsidR="003C7FB2">
        <w:t xml:space="preserve"> </w:t>
      </w:r>
      <w:r w:rsidR="0018748A">
        <w:t>beam</w:t>
      </w:r>
      <w:r w:rsidR="003C7FB2">
        <w:t xml:space="preserve"> </w:t>
      </w:r>
      <w:r w:rsidR="0018748A">
        <w:t>scanner;</w:t>
      </w:r>
      <w:r w:rsidR="003C7FB2">
        <w:t xml:space="preserve"> </w:t>
      </w:r>
      <w:r w:rsidR="0018748A">
        <w:t>GE</w:t>
      </w:r>
      <w:r w:rsidR="003C7FB2">
        <w:t xml:space="preserve"> </w:t>
      </w:r>
      <w:r w:rsidR="0018748A">
        <w:t>Healthcare).</w:t>
      </w:r>
      <w:r w:rsidR="003C7FB2">
        <w:t xml:space="preserve"> </w:t>
      </w:r>
      <w:r w:rsidR="0018748A">
        <w:t>After</w:t>
      </w:r>
      <w:r w:rsidR="003C7FB2">
        <w:t xml:space="preserve"> </w:t>
      </w:r>
      <w:r w:rsidR="0018748A">
        <w:t>their</w:t>
      </w:r>
      <w:r w:rsidR="003C7FB2">
        <w:t xml:space="preserve"> </w:t>
      </w:r>
      <w:r w:rsidR="0018748A">
        <w:t>visit</w:t>
      </w:r>
      <w:r w:rsidR="003C7FB2">
        <w:t xml:space="preserve"> </w:t>
      </w:r>
      <w:r w:rsidR="0013016B">
        <w:t>each</w:t>
      </w:r>
      <w:r w:rsidR="003C7FB2">
        <w:t xml:space="preserve"> </w:t>
      </w:r>
      <w:r w:rsidR="0013016B">
        <w:t>participant</w:t>
      </w:r>
      <w:r w:rsidR="003C7FB2">
        <w:t xml:space="preserve"> </w:t>
      </w:r>
      <w:r w:rsidR="0018748A">
        <w:t>completed</w:t>
      </w:r>
      <w:r w:rsidR="003C7FB2">
        <w:t xml:space="preserve"> </w:t>
      </w:r>
      <w:r w:rsidR="00F31DBB">
        <w:t>up</w:t>
      </w:r>
      <w:r w:rsidR="003C7FB2">
        <w:t xml:space="preserve"> </w:t>
      </w:r>
      <w:r w:rsidR="00F31DBB">
        <w:t>to</w:t>
      </w:r>
      <w:r w:rsidR="003C7FB2">
        <w:t xml:space="preserve"> </w:t>
      </w:r>
      <w:r w:rsidR="0018748A">
        <w:t>six</w:t>
      </w:r>
      <w:r w:rsidR="003C7FB2">
        <w:t xml:space="preserve"> </w:t>
      </w:r>
      <w:r w:rsidR="0018748A">
        <w:t>days</w:t>
      </w:r>
      <w:r w:rsidR="003C7FB2">
        <w:t xml:space="preserve"> </w:t>
      </w:r>
      <w:r w:rsidR="0018748A">
        <w:t>of</w:t>
      </w:r>
      <w:r w:rsidR="003C7FB2">
        <w:t xml:space="preserve"> </w:t>
      </w:r>
      <w:r w:rsidR="0018748A">
        <w:t>objective</w:t>
      </w:r>
      <w:r w:rsidR="003C7FB2">
        <w:t xml:space="preserve"> </w:t>
      </w:r>
      <w:r w:rsidR="0018748A">
        <w:t>physical</w:t>
      </w:r>
      <w:r w:rsidR="003C7FB2">
        <w:t xml:space="preserve"> </w:t>
      </w:r>
      <w:r w:rsidR="0018748A">
        <w:t>activity</w:t>
      </w:r>
      <w:r w:rsidR="003C7FB2">
        <w:t xml:space="preserve"> </w:t>
      </w:r>
      <w:r w:rsidR="0018748A">
        <w:t>monitoring</w:t>
      </w:r>
      <w:r w:rsidR="003C7FB2">
        <w:t xml:space="preserve"> </w:t>
      </w:r>
      <w:r w:rsidR="00A80B8B">
        <w:t>by</w:t>
      </w:r>
      <w:r w:rsidR="003C7FB2">
        <w:t xml:space="preserve"> </w:t>
      </w:r>
      <w:r w:rsidR="00A80B8B">
        <w:t>combined</w:t>
      </w:r>
      <w:r w:rsidR="003C7FB2">
        <w:t xml:space="preserve"> </w:t>
      </w:r>
      <w:r w:rsidR="00A80B8B">
        <w:t>heart</w:t>
      </w:r>
      <w:r w:rsidR="003C7FB2">
        <w:t xml:space="preserve"> </w:t>
      </w:r>
      <w:r w:rsidR="00A80B8B">
        <w:t>rate</w:t>
      </w:r>
      <w:r w:rsidR="003C7FB2">
        <w:t xml:space="preserve"> </w:t>
      </w:r>
      <w:r w:rsidR="00A80B8B">
        <w:t>and</w:t>
      </w:r>
      <w:r w:rsidR="003C7FB2">
        <w:t xml:space="preserve"> </w:t>
      </w:r>
      <w:r w:rsidR="00A80B8B">
        <w:t>movement</w:t>
      </w:r>
      <w:r w:rsidR="003C7FB2">
        <w:t xml:space="preserve"> </w:t>
      </w:r>
      <w:r w:rsidR="00A80B8B">
        <w:t>sensing</w:t>
      </w:r>
      <w:r w:rsidR="003C7FB2">
        <w:t xml:space="preserve"> </w:t>
      </w:r>
      <w:r w:rsidR="00A80B8B">
        <w:t>(measured</w:t>
      </w:r>
      <w:r w:rsidR="003C7FB2">
        <w:t xml:space="preserve"> </w:t>
      </w:r>
      <w:r w:rsidR="00A80B8B">
        <w:t>by</w:t>
      </w:r>
      <w:r w:rsidR="003C7FB2">
        <w:t xml:space="preserve"> </w:t>
      </w:r>
      <w:r w:rsidR="00056CB4">
        <w:t>Actiheart®).</w:t>
      </w:r>
      <w:r w:rsidR="00056CB4">
        <w:fldChar w:fldCharType="begin" w:fldLock="1"/>
      </w:r>
      <w:r w:rsidR="000B07A6">
        <w:instrText>ADDIN CSL_CITATION { "citationItems" : [ { "id" : "ITEM-1", "itemData" : { "DOI" : "10.1038/sj.ejcn.1602118", "ISBN" : "0954-3007 (Print)\n0954-3007 (Linking)", "PMID" : "15714212", "abstract" : "Accurate quantification of physical activity energy expenditure is a key part of the effort to understand disorders of energy metabolism. The Actiheart, a combined heart rate (HR) and movement sensor, is designed to assess physical activity in populations. OBJECTIVE: To examine aspects of Actiheart reliability and validity in mechanical settings and during walking and running. METHODS: In eight Actiheart units, technical reliability (coefficients of variation, CV) and validity for movement were assessed with sinusoid accelerations (0.1-20 m/s(2)) and for HR by simulated R-wave impulses (25-250 bpm). Agreement between Actiheart and ECG was determined during rest and treadmill locomotion (3.2-12.1 km/h). Walking and running intensity (in J/min/kg) was assessed with indirect calorimetry in 11 men and nine women (26-50 y, 20-29 kg/m(2)) and modelled from movement, HR, and movement + HR by multiple linear regression, adjusting for sex. RESULTS: Median intrainstrument CV was 0.5 and 0.03% for movement and HR, respectively. Corresponding interinstrument CV values were 5.7 and 0.03% with some evidence of heteroscedasticity for movement. The linear relationship between movement and acceleration was strong (R(2) = 0.99, P &lt; 0.001). Simulated R-waves were detected within 1 bpm from 30 to 250 bpm. The 95% limits of agreement between Actiheart and ECG were -4.2 to 4.3 bpm. Correlations with intensity were generally high (R(2) &gt; 0.84, P &lt; 0.001) but significantly highest when combining HR and movement (SEE &lt; 1 MET). CONCLUSIONS: The Actiheart is technically reliable and valid. Walking and running intensity may be estimated accurately but further studies are needed to assess validity in other activities and during free-living. SPONSORSHIP: The study received financial support from the Wellcome Trust and SB was supported by a scholarship from Unilever, UK.", "author" : [ { "dropping-particle" : "", "family" : "Brage", "given" : "S", "non-dropping-particle" : "", "parse-names" : false, "suffix" : "" }, { "dropping-particle" : "", "family" : "Brage", "given" : "N", "non-dropping-particle" : "", "parse-names" : false, "suffix" : "" }, { "dropping-particle" : "", "family" : "Franks", "given" : "P W", "non-dropping-particle" : "", "parse-names" : false, "suffix" : "" }, { "dropping-particle" : "", "family" : "Ekelund", "given" : "U", "non-dropping-particle" : "", "parse-names" : false, "suffix" : "" }, { "dropping-particle" : "", "family" : "Wareham", "given" : "N J", "non-dropping-particle" : "", "parse-names" : false, "suffix" : "" } ], "container-title" : "Eur J Clin Nutr", "edition" : "2005/02/17", "id" : "ITEM-1", "issue" : "4", "issued" : { "date-parts" : [ [ "2005" ] ] }, "language" : "eng", "note" : "Brage, S\nBrage, N\nFranks, P W\nEkelund, U\nWareham, N J\nEngland\nEur J Clin Nutr. 2005 Apr;59(4):561-70.", "page" : "561-570", "title" : "Reliability and validity of the combined heart rate and movement sensor Actiheart", "type" : "article-journal", "volume" : "59" }, "uris" : [ "http://www.mendeley.com/documents/?uuid=0cbf9a47-2d13-4c51-9d3c-11b67cb1bc5c" ] } ], "mendeley" : { "formattedCitation" : "(Brage et al., 2005)", "plainTextFormattedCitation" : "(Brage et al., 2005)", "previouslyFormattedCitation" : "(Brage et al., 2005)" }, "properties" : { "noteIndex" : 0 }, "schema" : "https://github.com/citation-style-language/schema/raw/master/csl-citation.json" }</w:instrText>
      </w:r>
      <w:r w:rsidR="00056CB4">
        <w:fldChar w:fldCharType="separate"/>
      </w:r>
      <w:r w:rsidR="00B71669" w:rsidRPr="00B71669">
        <w:rPr>
          <w:noProof/>
        </w:rPr>
        <w:t>(Brage et al., 2005)</w:t>
      </w:r>
      <w:r w:rsidR="00056CB4">
        <w:fldChar w:fldCharType="end"/>
      </w:r>
      <w:r w:rsidR="003C7FB2">
        <w:t xml:space="preserve"> </w:t>
      </w:r>
      <w:r w:rsidR="006E59E4">
        <w:t>The</w:t>
      </w:r>
      <w:r w:rsidR="003C7FB2">
        <w:t xml:space="preserve"> </w:t>
      </w:r>
      <w:r w:rsidR="006E59E4">
        <w:t>study</w:t>
      </w:r>
      <w:r w:rsidR="003C7FB2">
        <w:t xml:space="preserve"> </w:t>
      </w:r>
      <w:r w:rsidR="006E59E4">
        <w:t>was</w:t>
      </w:r>
      <w:r w:rsidR="003C7FB2">
        <w:t xml:space="preserve"> </w:t>
      </w:r>
      <w:r w:rsidR="006E59E4">
        <w:t>approved</w:t>
      </w:r>
      <w:r w:rsidR="003C7FB2">
        <w:t xml:space="preserve"> </w:t>
      </w:r>
      <w:r w:rsidR="006E59E4">
        <w:t>by</w:t>
      </w:r>
      <w:r w:rsidR="003C7FB2">
        <w:t xml:space="preserve"> </w:t>
      </w:r>
      <w:r w:rsidR="006E59E4">
        <w:t>the</w:t>
      </w:r>
      <w:r w:rsidR="003C7FB2">
        <w:t xml:space="preserve"> </w:t>
      </w:r>
      <w:r w:rsidR="006E59E4">
        <w:t>Cambridge</w:t>
      </w:r>
      <w:r w:rsidR="003C7FB2">
        <w:t xml:space="preserve"> </w:t>
      </w:r>
      <w:r w:rsidR="006E59E4">
        <w:t>Local</w:t>
      </w:r>
      <w:r w:rsidR="003C7FB2">
        <w:t xml:space="preserve"> </w:t>
      </w:r>
      <w:r w:rsidR="006E59E4">
        <w:t>Research</w:t>
      </w:r>
      <w:r w:rsidR="003C7FB2">
        <w:t xml:space="preserve"> </w:t>
      </w:r>
      <w:r w:rsidR="006E59E4">
        <w:t>Ethics</w:t>
      </w:r>
      <w:r w:rsidR="003C7FB2">
        <w:t xml:space="preserve"> </w:t>
      </w:r>
      <w:r w:rsidR="006E59E4">
        <w:t>Committee.</w:t>
      </w:r>
      <w:r w:rsidR="003C7FB2">
        <w:t xml:space="preserve"> </w:t>
      </w:r>
      <w:r w:rsidR="006E59E4">
        <w:t>All</w:t>
      </w:r>
      <w:r w:rsidR="003C7FB2">
        <w:t xml:space="preserve"> </w:t>
      </w:r>
      <w:r w:rsidR="006E59E4">
        <w:t>participants</w:t>
      </w:r>
      <w:r w:rsidR="003C7FB2">
        <w:t xml:space="preserve"> </w:t>
      </w:r>
      <w:r w:rsidR="006E59E4">
        <w:t>gave</w:t>
      </w:r>
      <w:r w:rsidR="003C7FB2">
        <w:t xml:space="preserve"> </w:t>
      </w:r>
      <w:r w:rsidR="006E59E4">
        <w:t>written</w:t>
      </w:r>
      <w:r w:rsidR="003C7FB2">
        <w:t xml:space="preserve"> </w:t>
      </w:r>
      <w:r w:rsidR="006E59E4">
        <w:t>informed</w:t>
      </w:r>
      <w:r w:rsidR="003C7FB2">
        <w:t xml:space="preserve"> </w:t>
      </w:r>
      <w:r w:rsidR="006E59E4">
        <w:t>consent.</w:t>
      </w:r>
    </w:p>
    <w:p w14:paraId="41DED0D7" w14:textId="2D6AA755" w:rsidR="0018564F" w:rsidRDefault="0018564F" w:rsidP="006E59E4">
      <w:pPr>
        <w:spacing w:after="0" w:line="240" w:lineRule="auto"/>
      </w:pPr>
    </w:p>
    <w:p w14:paraId="6FA2326E" w14:textId="0B1E1416" w:rsidR="0018564F" w:rsidRDefault="0018564F" w:rsidP="006E59E4">
      <w:pPr>
        <w:spacing w:after="0" w:line="240" w:lineRule="auto"/>
      </w:pPr>
      <w:r>
        <w:t xml:space="preserve">Physical activity and food frequency questionnaire: </w:t>
      </w:r>
      <w:r w:rsidR="00A15538">
        <w:t>psychometric properties</w:t>
      </w:r>
    </w:p>
    <w:p w14:paraId="5B24FDC4" w14:textId="38FF872A" w:rsidR="0018564F" w:rsidRDefault="0018564F" w:rsidP="006E59E4">
      <w:pPr>
        <w:spacing w:after="0" w:line="240" w:lineRule="auto"/>
      </w:pPr>
    </w:p>
    <w:p w14:paraId="3DF11DBD" w14:textId="43E5A293" w:rsidR="0018564F" w:rsidRDefault="00FD6FD3" w:rsidP="006E59E4">
      <w:pPr>
        <w:spacing w:after="0" w:line="240" w:lineRule="auto"/>
      </w:pPr>
      <w:r>
        <w:t>The RPAQ asked</w:t>
      </w:r>
      <w:r w:rsidR="0018564F">
        <w:t xml:space="preserve"> about physical activity in the past four weeks across four domains: at home, occupatio</w:t>
      </w:r>
      <w:r>
        <w:t>nal, transport and leisure. It wa</w:t>
      </w:r>
      <w:r w:rsidR="0018564F">
        <w:t>s based on the previously validated EPIC-Norfolk Physical Activity Questionnaire 2 (EPAQ2).</w:t>
      </w:r>
      <w:r w:rsidR="000B07A6">
        <w:fldChar w:fldCharType="begin" w:fldLock="1"/>
      </w:r>
      <w:r w:rsidR="00F37BBB">
        <w:instrText>ADDIN CSL_CITATION { "citationItems" : [ { "id" : "ITEM-1", "itemData" : { "DOI" : "10.1093/ije/31.1.168", "ISSN" : "1464-3685", "author" : [ { "dropping-particle" : "", "family" : "Wareham", "given" : "Nicholas J", "non-dropping-particle" : "", "parse-names" : false, "suffix" : "" }, { "dropping-particle" : "", "family" : "Jakes", "given" : "Rupert W", "non-dropping-particle" : "", "parse-names" : false, "suffix" : "" }, { "dropping-particle" : "", "family" : "Rennie", "given" : "Kirsten L", "non-dropping-particle" : "", "parse-names" : false, "suffix" : "" }, { "dropping-particle" : "", "family" : "Mitchell", "given" : "Jo", "non-dropping-particle" : "", "parse-names" : false, "suffix" : "" }, { "dropping-particle" : "", "family" : "Hennings", "given" : "Susie", "non-dropping-particle" : "", "parse-names" : false, "suffix" : "" }, { "dropping-particle" : "", "family" : "Day", "given" : "Nicholas E", "non-dropping-particle" : "", "parse-names" : false, "suffix" : "" } ], "container-title" : "International Journal of Epidemiology", "id" : "ITEM-1", "issue" : "1", "issued" : { "date-parts" : [ [ "2002", "2", "1" ] ] }, "page" : "168-174", "publisher" : "Oxford University Press", "title" : "Validity and repeatability of the EPIC-Norfolk Physical Activity Questionnaire", "type" : "article-journal", "volume" : "31" }, "uris" : [ "http://www.mendeley.com/documents/?uuid=51a07b7d-bba8-344c-878e-761c93405933" ] } ], "mendeley" : { "formattedCitation" : "(Wareham et al., 2002)", "plainTextFormattedCitation" : "(Wareham et al., 2002)", "previouslyFormattedCitation" : "(Wareham et al., 2002)" }, "properties" : { "noteIndex" : 0 }, "schema" : "https://github.com/citation-style-language/schema/raw/master/csl-citation.json" }</w:instrText>
      </w:r>
      <w:r w:rsidR="000B07A6">
        <w:fldChar w:fldCharType="separate"/>
      </w:r>
      <w:r w:rsidR="000B07A6" w:rsidRPr="000B07A6">
        <w:rPr>
          <w:noProof/>
        </w:rPr>
        <w:t>(Wareham et al., 2002)</w:t>
      </w:r>
      <w:r w:rsidR="000B07A6">
        <w:fldChar w:fldCharType="end"/>
      </w:r>
      <w:r w:rsidR="0018564F">
        <w:t xml:space="preserve"> </w:t>
      </w:r>
      <w:r w:rsidR="000B07A6">
        <w:t>Estimates of time in vigorous activity and total physical activity energy derived from the questionnaire have been shown to correlate well with objective measures of physical activity.</w:t>
      </w:r>
      <w:r w:rsidR="00F37BBB">
        <w:fldChar w:fldCharType="begin" w:fldLock="1"/>
      </w:r>
      <w:r w:rsidR="00F37BBB">
        <w:instrText>ADDIN CSL_CITATION { "citationItems" : [ { "id" : "ITEM-1", "itemData" : { "DOI" : "10.3945/ajcn.2009.28432", "ISSN" : "1938-3207", "PMID" : "19889820", "abstract" : "BACKGROUND: Few questionnaires that assess usual physical activity have been reported to be valid for all different subdimensions of physical activity.\n\nOBJECTIVE: The objective was to assess the validity and reliability of the Recent Physical Activity Questionnaire (RPAQ), which assesses usual physical activity (PA) in 4 domains (work, travel, recreation, and domestic life).\n\nDESIGN: Total energy expenditure (TEE) was measured for 14 d by using the doubly labeled water technique combined with a measure of resting metabolic rate to yield PA energy expenditure (PAEE) in 25 men and 25 women. Simultaneously, intensity of activity was measured by using combined heart rate and movement sensing for 11 d. Repeatability of the RPAQ was assessed in an independent sample of 71 women and 60 men aged 31-57 y.\n\nRESULTS: Estimated TEE and PAEE were significantly associated with criterion measures (TEE: r = 0.67; PAEE: r = 0.39) with mean (+/-SD) biases of -3452 +/- 2025 kJ/d and -13 +/- 24 kJ d(-1) kg(-1). The correlation between self-reported and measured time spent was significant for vigorous PA (r = 0.70) and marginally insignificant for sedentary time (r = 0.27, P = 0.06). The mean biases were relatively small for sedentary time and vigorous PA: 0.7 +/- 2.8 h/d and -12 +/- 24 min/d, respectively. The intraclass correlation coefficient for repeatability of total PAEE (kJ/d) was 0.76 (P &lt; 0.0001).\n\nCONCLUSION: The RPAQ is the first questionnaire with demonstrated validity for ranking individuals according to their time spent at vigorous-intensity activity and overall energy expenditure.", "author" : [ { "dropping-particle" : "", "family" : "Besson", "given" : "Herv\u00e9", "non-dropping-particle" : "", "parse-names" : false, "suffix" : "" }, { "dropping-particle" : "", "family" : "Brage", "given" : "S\u00f8ren", "non-dropping-particle" : "", "parse-names" : false, "suffix" : "" }, { "dropping-particle" : "", "family" : "Jakes", "given" : "Rupert W", "non-dropping-particle" : "", "parse-names" : false, "suffix" : "" }, { "dropping-particle" : "", "family" : "Ekelund", "given" : "Ulf", "non-dropping-particle" : "", "parse-names" : false, "suffix" : "" }, { "dropping-particle" : "", "family" : "Wareham", "given" : "Nicholas J", "non-dropping-particle" : "", "parse-names" : false, "suffix" : "" } ], "container-title" : "The American journal of clinical nutrition", "id" : "ITEM-1", "issue" : "1", "issued" : { "date-parts" : [ [ "2010", "1" ] ] }, "page" : "106-14", "title" : "Estimating physical activity energy expenditure, sedentary time, and physical activity intensity by self-report in adults.", "type" : "article-journal", "volume" : "91" }, "uris" : [ "http://www.mendeley.com/documents/?uuid=b49effa0-fbc9-4ae7-9979-39c2e528e9a2" ] } ], "mendeley" : { "formattedCitation" : "(Besson et al., 2010)", "plainTextFormattedCitation" : "(Besson et al., 2010)", "previouslyFormattedCitation" : "(Besson et al., 2010)" }, "properties" : { "noteIndex" : 0 }, "schema" : "https://github.com/citation-style-language/schema/raw/master/csl-citation.json" }</w:instrText>
      </w:r>
      <w:r w:rsidR="00F37BBB">
        <w:fldChar w:fldCharType="separate"/>
      </w:r>
      <w:r w:rsidR="00F37BBB" w:rsidRPr="00F37BBB">
        <w:rPr>
          <w:noProof/>
        </w:rPr>
        <w:t>(Besson et al., 2010)</w:t>
      </w:r>
      <w:r w:rsidR="00F37BBB">
        <w:fldChar w:fldCharType="end"/>
      </w:r>
      <w:r w:rsidR="000B07A6">
        <w:t xml:space="preserve"> </w:t>
      </w:r>
      <w:r w:rsidR="00AC0F6F">
        <w:t xml:space="preserve">Repeated estimates of overall and domain-specific physical activity from the questionnaire have been shown to have good agreement. Whilst the </w:t>
      </w:r>
      <w:r>
        <w:t>individual questions that we mad</w:t>
      </w:r>
      <w:r w:rsidR="00AC0F6F">
        <w:t>e use of have not been validated, the questions on leisure time acti</w:t>
      </w:r>
      <w:r>
        <w:t>vity and occupational activity we</w:t>
      </w:r>
      <w:r w:rsidR="00AC0F6F">
        <w:t>re based on Min</w:t>
      </w:r>
      <w:r w:rsidR="00D66963">
        <w:t>n</w:t>
      </w:r>
      <w:r w:rsidR="00AC0F6F">
        <w:t xml:space="preserve">esota </w:t>
      </w:r>
      <w:r w:rsidR="00D66963">
        <w:t xml:space="preserve">Leisure Time Physical Activity Questionnaire </w:t>
      </w:r>
      <w:r w:rsidR="00AC0F6F">
        <w:t xml:space="preserve">and </w:t>
      </w:r>
      <w:r w:rsidR="00D66963" w:rsidRPr="00D66963">
        <w:t>Tecumseh</w:t>
      </w:r>
      <w:r w:rsidR="00AC0F6F">
        <w:t xml:space="preserve"> Occupational Physical Activity questionnaire, which have been validated elsewhere.</w:t>
      </w:r>
      <w:r w:rsidR="00F37BBB">
        <w:fldChar w:fldCharType="begin" w:fldLock="1"/>
      </w:r>
      <w:r w:rsidR="00F37BBB">
        <w:instrText>ADDIN CSL_CITATION { "citationItems" : [ { "id" : "ITEM-1", "itemData" : { "DOI" : "10.1093/ije/31.1.168", "ISSN" : "1464-3685", "author" : [ { "dropping-particle" : "", "family" : "Wareham", "given" : "Nicholas J", "non-dropping-particle" : "", "parse-names" : false, "suffix" : "" }, { "dropping-particle" : "", "family" : "Jakes", "given" : "Rupert W", "non-dropping-particle" : "", "parse-names" : false, "suffix" : "" }, { "dropping-particle" : "", "family" : "Rennie", "given" : "Kirsten L", "non-dropping-particle" : "", "parse-names" : false, "suffix" : "" }, { "dropping-particle" : "", "family" : "Mitchell", "given" : "Jo", "non-dropping-particle" : "", "parse-names" : false, "suffix" : "" }, { "dropping-particle" : "", "family" : "Hennings", "given" : "Susie", "non-dropping-particle" : "", "parse-names" : false, "suffix" : "" }, { "dropping-particle" : "", "family" : "Day", "given" : "Nicholas E", "non-dropping-particle" : "", "parse-names" : false, "suffix" : "" } ], "container-title" : "International Journal of Epidemiology", "id" : "ITEM-1", "issue" : "1", "issued" : { "date-parts" : [ [ "2002", "2", "1" ] ] }, "page" : "168-174", "publisher" : "Oxford University Press", "title" : "Validity and repeatability of the EPIC-Norfolk Physical Activity Questionnaire", "type" : "article-journal", "volume" : "31" }, "uris" : [ "http://www.mendeley.com/documents/?uuid=51a07b7d-bba8-344c-878e-761c93405933" ] }, { "id" : "ITEM-2", "itemData" : { "ISSN" : "0096-1736", "PMID" : "8271073", "abstract" : "The validity and reliability of occupational physical activity data from survey instruments were determined in 75 men and women (age 23 to 59 years) in white-collar jobs. Data were validated against measures of cardiorespiratory fitness, body fatness, motion detection, pulmonary function, and 12 days of occupational physical activity records. More than 90% of occupational physical activity was spent in light-intensity sitting, standing, and walking. Test-retest reliability was high for most occupational questions (r &gt; or = .63, P &lt; .05). Correlation coefficients between questionnaire data and validation criteria that reflect heavy-intensity physical activity were low (r &lt; .17, P &gt; .05). The modified Tecumseh Occupational Questionnaire and Seven-Day Recall, which classified occupational physical activity in hours per week worked and average level of ratio of associated metabolic rate for a specific activity divided by the resting metabolic rate, on the job, correlated best with physical activity records (r = .11 to .47). Validation of these self-administered questionnaires in populations with a greater diversity of jobs and occupational energy requirements is needed.", "author" : [ { "dropping-particle" : "", "family" : "Ainsworth", "given" : "B E", "non-dropping-particle" : "", "parse-names" : false, "suffix" : "" }, { "dropping-particle" : "", "family" : "Jacobs", "given" : "D R", "non-dropping-particle" : "", "parse-names" : false, "suffix" : "" }, { "dropping-particle" : "", "family" : "Leon", "given" : "A S", "non-dropping-particle" : "", "parse-names" : false, "suffix" : "" }, { "dropping-particle" : "", "family" : "Richardson", "given" : "M T", "non-dropping-particle" : "", "parse-names" : false, "suffix" : "" }, { "dropping-particle" : "", "family" : "Montoye", "given" : "H J", "non-dropping-particle" : "", "parse-names" : false, "suffix" : "" } ], "container-title" : "Journal of occupational medicine. : official publication of the Industrial Medical Association", "id" : "ITEM-2", "issue" : "10", "issued" : { "date-parts" : [ [ "1993", "10" ] ] }, "page" : "1017-27", "title" : "Assessment of the accuracy of physical activity questionnaire occupational data.", "type" : "article-journal", "volume" : "35" }, "uris" : [ "http://www.mendeley.com/documents/?uuid=aeea62b9-806b-3936-9127-fbabef700555" ] }, { "id" : "ITEM-3", "itemData" : { "ISSN" : "0895-4356", "PMID" : "8138837", "abstract" : "The accuracy of the Minnesota Leisure Time Physical Activity (LTPA) Questionnaire (a 1-year survey of non-occupational activity used in MRFIT) was studied in 78 men and women, age 20-59 years, by comparing survey results to the following measures obtained over a year's duration: six 48-hour physical activity records; fourteen 48-hour Caltrac accelerometer readings (Caltrac); 14 administrations of a 4-week version of the LTPA Questionnaire (FWH); 3 VO2peak determinations and percent body fat (% BF). The LTPA Questionnaire demonstrated: weak to moderate associations with % BF (r = -0.24) and with VO2peak (r = 0.47); a weak association with Caltrac readings expressed as MET.minutes.day-1 (r = 0.23); strong associations with corresponding activities reported on the FWH; and moderate associations with total and heavy activities reported in the physical activity record, but no associations with moderate and light activities. Furthermore, several types of LTPA were found to be either under-represented or not currently included in the Minnesota LTPA Questionnaire. It is concluded that although validation results were found to be quite good, several possible refinements were identified, which should improve the accuracy of the Minnesota LTPA Questionnaire in assessing habitual physical activity.", "author" : [ { "dropping-particle" : "", "family" : "Richardson", "given" : "M T", "non-dropping-particle" : "", "parse-names" : false, "suffix" : "" }, { "dropping-particle" : "", "family" : "Leon", "given" : "A S", "non-dropping-particle" : "", "parse-names" : false, "suffix" : "" }, { "dropping-particle" : "", "family" : "Jacobs", "given" : "D R", "non-dropping-particle" : "", "parse-names" : false, "suffix" : "" }, { "dropping-particle" : "", "family" : "Ainsworth", "given" : "B E", "non-dropping-particle" : "", "parse-names" : false, "suffix" : "" }, { "dropping-particle" : "", "family" : "Serfass", "given" : "R", "non-dropping-particle" : "", "parse-names" : false, "suffix" : "" } ], "container-title" : "Journal of clinical epidemiology", "id" : "ITEM-3", "issue" : "3", "issued" : { "date-parts" : [ [ "1994", "3" ] ] }, "page" : "271-81", "title" : "Comprehensive evaluation of the Minnesota Leisure Time Physical Activity Questionnaire.", "type" : "article-journal", "volume" : "47" }, "uris" : [ "http://www.mendeley.com/documents/?uuid=f189fdf6-fbea-3ecb-8b21-1f44f4024b11" ] } ], "mendeley" : { "formattedCitation" : "(Ainsworth et al., 1993; Richardson et al., 1994; Wareham et al., 2002)", "plainTextFormattedCitation" : "(Ainsworth et al., 1993; Richardson et al., 1994; Wareham et al., 2002)", "previouslyFormattedCitation" : "(Ainsworth et al., 1993; Richardson et al., 1994; Wareham et al., 2002)" }, "properties" : { "noteIndex" : 0 }, "schema" : "https://github.com/citation-style-language/schema/raw/master/csl-citation.json" }</w:instrText>
      </w:r>
      <w:r w:rsidR="00F37BBB">
        <w:fldChar w:fldCharType="separate"/>
      </w:r>
      <w:r w:rsidR="00F37BBB" w:rsidRPr="00F37BBB">
        <w:rPr>
          <w:noProof/>
        </w:rPr>
        <w:t>(Ainsworth et al., 1993; Richardson et al., 1994; Wareham et al., 2002)</w:t>
      </w:r>
      <w:r w:rsidR="00F37BBB">
        <w:fldChar w:fldCharType="end"/>
      </w:r>
    </w:p>
    <w:p w14:paraId="5110344E" w14:textId="70267A95" w:rsidR="00D66963" w:rsidRDefault="00D66963" w:rsidP="006E59E4">
      <w:pPr>
        <w:spacing w:after="0" w:line="240" w:lineRule="auto"/>
      </w:pPr>
    </w:p>
    <w:p w14:paraId="0F39A715" w14:textId="46DBB06D" w:rsidR="00D66963" w:rsidRDefault="00D66963" w:rsidP="006E59E4">
      <w:pPr>
        <w:spacing w:after="0" w:line="240" w:lineRule="auto"/>
      </w:pPr>
      <w:r>
        <w:t>The 130 item FFQ was originally developed for use in the EPIC-Norfolk study.</w:t>
      </w:r>
      <w:r w:rsidR="00F37BBB">
        <w:fldChar w:fldCharType="begin" w:fldLock="1"/>
      </w:r>
      <w:r w:rsidR="00F37BBB">
        <w:instrText>ADDIN CSL_CITATION { "citationItems" : [ { "id" : "ITEM-1", "itemData" : { "DOI" : "10.1017/S000711451500269X", "ISSN" : "1475-2662", "PMID" : "26343512", "abstract" : "Unhealthy dietary behaviours may contribute to obesity along with energy imbalance. Both positive and null associations of snacking and BMI have been reported, but the association between snacking and total adiposity or pattern of fat deposition remains unevaluated. The objective of this study was to investigate the associations between snacking frequency and detailed adiposity measurements. A total of 10 092 adults residing in Cambridgeshire, England, self-completed eating pattern snacking frequency, FFQ and physical activity questionnaires. Measurements included anthropometry, body composition using dual-energy X-ray absorptiometry scan and ultrasound and assessment of physical activity energy expenditure using heart rate and movement sensing. Linear regression analyses were conducted adjusted for age, socio-demographics, dietary quality, energy intake, PAEE and screen time by sex and BMI status. Among normal-weight individuals (BMI&lt;25 kg/m2), each additional snack was inversely associated with obesity measures: lower total body fat in men and women (-0\u00b741 (95 % CI -0\u00b774, -0\u00b707) %, -0\u00b741 (-0\u00b767, -0\u00b715) %, respectively) and waist circumference (-0\u00b752 (-0\u00b790, -0\u00b714) cm) in men. In contrast, among the overweight/obese (BMI\u226525 kg/m2), there were positive associations: higher waist circumference (0\u00b780 (0\u00b734, 0\u00b728) cm) and subcutaneous fat (0\u00b706 (0\u00b701, 0\u00b7110) cm) in women and waist circumference (0\u00b737 (0\u00b700, 0\u00b773) cm) in men. Comparing intakes of snack-type foods showed that participants with BMI\u226525 kg/m2 had higher intakes of crisps, sweets, chocolates and ice-creams and lower intakes of yoghurt and nuts compared with normal-weight participants. Adjusting for these foods in a model that included a BMI-snacking interaction term attenuated all the associations to null. Snacking frequency may be associated with higher or lower adiposity, with the direction of association being differential by BMI status and dependent on snack food choice. Improving snack choices could contribute to anti-obesity public health interventions.", "author" : [ { "dropping-particle" : "", "family" : "O'Connor", "given" : "Laura", "non-dropping-particle" : "", "parse-names" : false, "suffix" : "" }, { "dropping-particle" : "", "family" : "Brage", "given" : "Soren", "non-dropping-particle" : "", "parse-names" : false, "suffix" : "" }, { "dropping-particle" : "", "family" : "Griffin", "given" : "Simon J", "non-dropping-particle" : "", "parse-names" : false, "suffix" : "" }, { "dropping-particle" : "", "family" : "Wareham", "given" : "Nicholas J", "non-dropping-particle" : "", "parse-names" : false, "suffix" : "" }, { "dropping-particle" : "", "family" : "Forouhi", "given" : "Nita G", "non-dropping-particle" : "", "parse-names" : false, "suffix" : "" } ], "container-title" : "The British journal of nutrition", "id" : "ITEM-1", "issue" : "8", "issued" : { "date-parts" : [ [ "2015", "10", "28" ] ] }, "page" : "1286-93", "title" : "The cross-sectional association between snacking behaviour and measures of adiposity: the Fenland Study, UK.", "type" : "article-journal", "volume" : "114" }, "uris" : [ "http://www.mendeley.com/documents/?uuid=adfa6147-479e-3541-9ff3-c64c687463ca" ] } ], "mendeley" : { "formattedCitation" : "(O\u2019Connor et al., 2015)", "plainTextFormattedCitation" : "(O\u2019Connor et al., 2015)", "previouslyFormattedCitation" : "(O\u2019Connor et al., 2015)" }, "properties" : { "noteIndex" : 0 }, "schema" : "https://github.com/citation-style-language/schema/raw/master/csl-citation.json" }</w:instrText>
      </w:r>
      <w:r w:rsidR="00F37BBB">
        <w:fldChar w:fldCharType="separate"/>
      </w:r>
      <w:r w:rsidR="00F37BBB" w:rsidRPr="00F37BBB">
        <w:rPr>
          <w:noProof/>
        </w:rPr>
        <w:t>(O’Connor et al., 2015)</w:t>
      </w:r>
      <w:r w:rsidR="00F37BBB">
        <w:fldChar w:fldCharType="end"/>
      </w:r>
      <w:r>
        <w:t xml:space="preserve"> It has b</w:t>
      </w:r>
      <w:r w:rsidR="00BF1A31">
        <w:t>een shown to have good ability to rank individuals based on intake of nutrients or food groups (e.g. correlation with weighted dietary records of 0.4-0.6 as well as showing correlation with biomarkers indicative of dietary intake).</w:t>
      </w:r>
      <w:r w:rsidR="00F37BBB">
        <w:fldChar w:fldCharType="begin" w:fldLock="1"/>
      </w:r>
      <w:r w:rsidR="00F37BBB">
        <w:instrText>ADDIN CSL_CITATION { "citationItems" : [ { "id" : "ITEM-1", "itemData" : { "DOI" : "10.1093/ije/dyn111", "ISSN" : "1464-3685", "PMID" : "18579574", "abstract" : "BACKGROUND: Methods for assessing diet are prone to measurement error, which may be substantial in large cohort investigations. Biomarkers can be used as objective measures with which to compare estimates of nutritional exposure using different methods\n\nMETHODS: Cross sectional comparisons in 12 474 men and women of regression between biomarkers for vitamin C, sodium, potassium, fibre, carbohydrate, fat and phytoestrogens with intakes derived from food diaries and food frequency questionnaires (FFQ), and odds ratios for risk of ischaemic heart disease (IHD) by dietary and plasma vitamin C.\n\nRESULTS: There were strong (P &lt; 0.001) associations between biomarkers and intakes as assessed by food diary. Coefficients were markedly attenuated for data obtained from the FFQ, especially so for vitamin C, potassium and phytoestrogens (Z P &lt; 0.05). Risk of IHD was associated with plasma vitamin C (P &lt; 0.001) and intake of vitamin C and fruit and vegetables assessed by food diary (P quintile trends &lt;0.001, 0.001) but not by the FFQ (P quintile trends 0.923, 0.186).\n\nCONCLUSIONS: Nutritional data that reflect the findings from biomarkers reduce measurement error and will thus improve statistical power in studies of gene nutrient interactions in cohort studies.", "author" : [ { "dropping-particle" : "", "family" : "Bingham", "given" : "Sheila", "non-dropping-particle" : "", "parse-names" : false, "suffix" : "" }, { "dropping-particle" : "", "family" : "Luben", "given" : "Robert", "non-dropping-particle" : "", "parse-names" : false, "suffix" : "" }, { "dropping-particle" : "", "family" : "Welch", "given" : "Ailsa", "non-dropping-particle" : "", "parse-names" : false, "suffix" : "" }, { "dropping-particle" : "", "family" : "Low", "given" : "Yen Ling", "non-dropping-particle" : "", "parse-names" : false, "suffix" : "" }, { "dropping-particle" : "", "family" : "Khaw", "given" : "Kay Tee", "non-dropping-particle" : "", "parse-names" : false, "suffix" : "" }, { "dropping-particle" : "", "family" : "Wareham", "given" : "Nick", "non-dropping-particle" : "", "parse-names" : false, "suffix" : "" }, { "dropping-particle" : "", "family" : "Day", "given" : "Nick", "non-dropping-particle" : "", "parse-names" : false, "suffix" : "" } ], "container-title" : "International journal of epidemiology", "id" : "ITEM-1", "issue" : "5", "issued" : { "date-parts" : [ [ "2008", "10" ] ] }, "page" : "978-87", "title" : "Associations between dietary methods and biomarkers, and between fruits and vegetables and risk of ischaemic heart disease, in the EPIC Norfolk Cohort Study.", "type" : "article-journal", "volume" : "37" }, "uris" : [ "http://www.mendeley.com/documents/?uuid=3713c4f9-2ed5-4ed0-a910-6fb69ad09bfa" ] }, { "id" : "ITEM-2", "itemData" : { "ISSN" : "0300-5771", "PMID" : "9126542", "abstract" : "BACKGROUND: In the UK EPIC validation studies, the accuracy of several methods was assessed by comparison with to-day weighed records and the biomarkers, 24-hour urine nitrogen (N) and potassium (K), plasma carotenoids and plasma vitamin C.\n\nMETHODS: Comparisons between methods were made on 156 women, studied over 1 year at 3-monthly intervals at home. On each of four occasions, volunteers completed 4 days of weighed records and provided two 24-hour urine collections and a fasting blood sample.\n\nRESULTS: In comparison with the 16 days of weighed records, a food frequency questionnaire (FFQ) yielded higher values mainly due to greater reported consumption of milk and of vegetables. A 24-hour recall was as good as the FFQ in placing individuals in the distribution of habitual diet from weighed records. Results obtained from a 7-day estimated record were closest to those obtained from the weighed record. Correlations between 24-hour urine excretion and dietary N intake from weighed records were high (0.78-0.87) as were those with estimated food diaries (0.60-0.70). Correlations between urine N and the FFQ and 24-hour recall were lower (0.10 to 0.27), but improved by energy adjustment using residuals for N and K which are correlated with total energy intake. Comparisons between dietary estimates and urinary K and serum carotenoids and vitamin C showed broadly similar results. Limited biomarker information amongst 200 UK EPIC participants supported the findings of the validation study.\n\nCONCLUSIONS: UK EPIC uses three methods (the 7-day diary, an improved FFQ, and the 24-hour recall) to assess diet. 93% of first food diaries are returned completed by participants. Repeated diaries are the main dietary assessment method for nested case-control analyses.", "author" : [ { "dropping-particle" : "", "family" : "Bingham", "given" : "S A", "non-dropping-particle" : "", "parse-names" : false, "suffix" : "" }, { "dropping-particle" : "", "family" : "Gill", "given" : "C", "non-dropping-particle" : "", "parse-names" : false, "suffix" : "" }, { "dropping-particle" : "", "family" : "Welch", "given" : "A", "non-dropping-particle" : "", "parse-names" : false, "suffix" : "" }, { "dropping-particle" : "", "family" : "Cassidy", "given" : "A", "non-dropping-particle" : "", "parse-names" : false, "suffix" : "" }, { "dropping-particle" : "", "family" : "Runswick", "given" : "S A", "non-dropping-particle" : "", "parse-names" : false, "suffix" : "" }, { "dropping-particle" : "", "family" : "Oakes", "given" : "S", "non-dropping-particle" : "", "parse-names" : false, "suffix" : "" }, { "dropping-particle" : "", "family" : "Lubin", "given" : "R", "non-dropping-particle" : "", "parse-names" : false, "suffix" : "" }, { "dropping-particle" : "", "family" : "Thurnham", "given" : "D I", "non-dropping-particle" : "", "parse-names" : false, "suffix" : "" }, { "dropping-particle" : "", "family" : "Key", "given" : "T J", "non-dropping-particle" : "", "parse-names" : false, "suffix" : "" }, { "dropping-particle" : "", "family" : "Roe", "given" : "L", "non-dropping-particle" : "", "parse-names" : false, "suffix" : "" }, { "dropping-particle" : "", "family" : "Khaw", "given" : "K T", "non-dropping-particle" : "", "parse-names" : false, "suffix" : "" }, { "dropping-particle" : "", "family" : "Day", "given" : "N E", "non-dropping-particle" : "", "parse-names" : false, "suffix" : "" } ], "container-title" : "International journal of epidemiology", "id" : "ITEM-2", "issued" : { "date-parts" : [ [ "1997", "1" ] ] }, "page" : "S137-51", "title" : "Validation of dietary assessment methods in the UK arm of EPIC using weighed records, and 24-hour urinary nitrogen and potassium and serum vitamin C and carotenoids as biomarkers.", "type" : "article-journal", "volume" : "26 Suppl 1" }, "uris" : [ "http://www.mendeley.com/documents/?uuid=9a518973-2995-436d-b51d-b91bad6cce65" ] } ], "mendeley" : { "formattedCitation" : "(Bingham et al., 2008, 1997)", "plainTextFormattedCitation" : "(Bingham et al., 2008, 1997)", "previouslyFormattedCitation" : "(Bingham et al., 2008, 1997)" }, "properties" : { "noteIndex" : 0 }, "schema" : "https://github.com/citation-style-language/schema/raw/master/csl-citation.json" }</w:instrText>
      </w:r>
      <w:r w:rsidR="00F37BBB">
        <w:fldChar w:fldCharType="separate"/>
      </w:r>
      <w:r w:rsidR="00F37BBB" w:rsidRPr="00F37BBB">
        <w:rPr>
          <w:noProof/>
        </w:rPr>
        <w:t>(Bingham et al., 2008, 1997)</w:t>
      </w:r>
      <w:r w:rsidR="00F37BBB">
        <w:fldChar w:fldCharType="end"/>
      </w:r>
    </w:p>
    <w:p w14:paraId="21CC5668" w14:textId="77777777" w:rsidR="006E59E4" w:rsidRDefault="006E59E4" w:rsidP="00BB5254">
      <w:pPr>
        <w:spacing w:after="0" w:line="240" w:lineRule="auto"/>
      </w:pPr>
    </w:p>
    <w:p w14:paraId="6B0B34E0" w14:textId="6F660322" w:rsidR="00536FA6" w:rsidRDefault="00536FA6" w:rsidP="00536FA6">
      <w:pPr>
        <w:spacing w:after="0" w:line="240" w:lineRule="auto"/>
        <w:rPr>
          <w:u w:val="single"/>
        </w:rPr>
      </w:pPr>
      <w:r>
        <w:rPr>
          <w:u w:val="single"/>
        </w:rPr>
        <w:t>Exposure</w:t>
      </w:r>
      <w:r w:rsidR="003C7FB2">
        <w:rPr>
          <w:u w:val="single"/>
        </w:rPr>
        <w:t xml:space="preserve"> </w:t>
      </w:r>
      <w:r>
        <w:rPr>
          <w:u w:val="single"/>
        </w:rPr>
        <w:t>Measure:</w:t>
      </w:r>
      <w:r w:rsidR="003C7FB2">
        <w:rPr>
          <w:u w:val="single"/>
        </w:rPr>
        <w:t xml:space="preserve"> </w:t>
      </w:r>
      <w:r>
        <w:rPr>
          <w:u w:val="single"/>
        </w:rPr>
        <w:t>commuting</w:t>
      </w:r>
    </w:p>
    <w:p w14:paraId="27F86099" w14:textId="77777777" w:rsidR="00536FA6" w:rsidRDefault="00536FA6" w:rsidP="00536FA6">
      <w:pPr>
        <w:spacing w:after="0" w:line="240" w:lineRule="auto"/>
        <w:rPr>
          <w:u w:val="single"/>
        </w:rPr>
      </w:pPr>
    </w:p>
    <w:p w14:paraId="53C9AC62" w14:textId="362530B9" w:rsidR="00993219" w:rsidRDefault="00993219" w:rsidP="00993219">
      <w:pPr>
        <w:spacing w:after="0" w:line="240" w:lineRule="auto"/>
      </w:pPr>
      <w:r>
        <w:t>Commu</w:t>
      </w:r>
      <w:r w:rsidR="00656837">
        <w:t>ting</w:t>
      </w:r>
      <w:r w:rsidR="003C7FB2">
        <w:t xml:space="preserve"> </w:t>
      </w:r>
      <w:r w:rsidR="00656837">
        <w:t>mode</w:t>
      </w:r>
      <w:r w:rsidR="003C7FB2">
        <w:t xml:space="preserve"> </w:t>
      </w:r>
      <w:r w:rsidR="00656837">
        <w:t>was</w:t>
      </w:r>
      <w:r w:rsidR="003C7FB2">
        <w:t xml:space="preserve"> </w:t>
      </w:r>
      <w:r w:rsidR="00656837">
        <w:t>assessed</w:t>
      </w:r>
      <w:r w:rsidR="003C7FB2">
        <w:t xml:space="preserve"> </w:t>
      </w:r>
      <w:r w:rsidR="00656837">
        <w:t>in</w:t>
      </w:r>
      <w:r w:rsidR="003C7FB2">
        <w:t xml:space="preserve"> </w:t>
      </w:r>
      <w:r>
        <w:t>the</w:t>
      </w:r>
      <w:r w:rsidR="003C7FB2">
        <w:t xml:space="preserve"> </w:t>
      </w:r>
      <w:r>
        <w:t>RPAQ,</w:t>
      </w:r>
      <w:r w:rsidR="003C7FB2">
        <w:t xml:space="preserve"> </w:t>
      </w:r>
      <w:r>
        <w:t>with</w:t>
      </w:r>
      <w:r w:rsidR="003C7FB2">
        <w:t xml:space="preserve"> </w:t>
      </w:r>
      <w:r>
        <w:t>the</w:t>
      </w:r>
      <w:r w:rsidR="003C7FB2">
        <w:t xml:space="preserve"> </w:t>
      </w:r>
      <w:r>
        <w:t>question</w:t>
      </w:r>
      <w:r w:rsidR="003C7FB2">
        <w:t xml:space="preserve"> </w:t>
      </w:r>
      <w:r>
        <w:t>“how</w:t>
      </w:r>
      <w:r w:rsidR="003C7FB2">
        <w:t xml:space="preserve"> </w:t>
      </w:r>
      <w:r>
        <w:t>did</w:t>
      </w:r>
      <w:r w:rsidR="003C7FB2">
        <w:t xml:space="preserve"> </w:t>
      </w:r>
      <w:r>
        <w:t>you</w:t>
      </w:r>
      <w:r w:rsidR="003C7FB2">
        <w:t xml:space="preserve"> </w:t>
      </w:r>
      <w:r>
        <w:t>normally</w:t>
      </w:r>
      <w:r w:rsidR="003C7FB2">
        <w:t xml:space="preserve"> </w:t>
      </w:r>
      <w:r>
        <w:t>travel</w:t>
      </w:r>
      <w:r w:rsidR="003C7FB2">
        <w:t xml:space="preserve"> </w:t>
      </w:r>
      <w:r>
        <w:t>to</w:t>
      </w:r>
      <w:r w:rsidR="003C7FB2">
        <w:t xml:space="preserve"> </w:t>
      </w:r>
      <w:r>
        <w:t>work?”</w:t>
      </w:r>
      <w:r w:rsidR="003C7FB2">
        <w:t xml:space="preserve"> </w:t>
      </w:r>
      <w:r>
        <w:t>Participants</w:t>
      </w:r>
      <w:r w:rsidR="003C7FB2">
        <w:t xml:space="preserve"> </w:t>
      </w:r>
      <w:r>
        <w:t>could</w:t>
      </w:r>
      <w:r w:rsidR="003C7FB2">
        <w:t xml:space="preserve"> </w:t>
      </w:r>
      <w:r>
        <w:t>indicate</w:t>
      </w:r>
      <w:r w:rsidR="003C7FB2">
        <w:t xml:space="preserve"> </w:t>
      </w:r>
      <w:r w:rsidR="0076360D">
        <w:t>one</w:t>
      </w:r>
      <w:r w:rsidR="003C7FB2">
        <w:t xml:space="preserve"> </w:t>
      </w:r>
      <w:r w:rsidR="0076360D">
        <w:t>or</w:t>
      </w:r>
      <w:r w:rsidR="003C7FB2">
        <w:t xml:space="preserve"> </w:t>
      </w:r>
      <w:r w:rsidR="0076360D">
        <w:t>more</w:t>
      </w:r>
      <w:r w:rsidR="003C7FB2">
        <w:t xml:space="preserve"> </w:t>
      </w:r>
      <w:r w:rsidR="0076360D">
        <w:t>modes</w:t>
      </w:r>
      <w:r w:rsidR="003C7FB2">
        <w:t xml:space="preserve"> </w:t>
      </w:r>
      <w:r w:rsidR="0076360D">
        <w:t>of</w:t>
      </w:r>
      <w:r w:rsidR="003C7FB2">
        <w:t xml:space="preserve"> </w:t>
      </w:r>
      <w:r>
        <w:t>travel</w:t>
      </w:r>
      <w:r w:rsidR="003C7FB2">
        <w:t xml:space="preserve"> </w:t>
      </w:r>
      <w:r>
        <w:t>(car/motor</w:t>
      </w:r>
      <w:r w:rsidR="003C7FB2">
        <w:t xml:space="preserve"> </w:t>
      </w:r>
      <w:r>
        <w:t>vehicle,</w:t>
      </w:r>
      <w:r w:rsidR="003C7FB2">
        <w:t xml:space="preserve"> </w:t>
      </w:r>
      <w:r>
        <w:t>works</w:t>
      </w:r>
      <w:r w:rsidR="003C7FB2">
        <w:t xml:space="preserve"> </w:t>
      </w:r>
      <w:r>
        <w:t>or</w:t>
      </w:r>
      <w:r w:rsidR="003C7FB2">
        <w:t xml:space="preserve"> </w:t>
      </w:r>
      <w:r>
        <w:t>public</w:t>
      </w:r>
      <w:r w:rsidR="003C7FB2">
        <w:t xml:space="preserve"> </w:t>
      </w:r>
      <w:r>
        <w:t>transport,</w:t>
      </w:r>
      <w:r w:rsidR="003C7FB2">
        <w:t xml:space="preserve"> </w:t>
      </w:r>
      <w:r>
        <w:t>bicycle,</w:t>
      </w:r>
      <w:r w:rsidR="003C7FB2">
        <w:t xml:space="preserve"> </w:t>
      </w:r>
      <w:r>
        <w:t>and</w:t>
      </w:r>
      <w:r w:rsidR="003C7FB2">
        <w:t xml:space="preserve"> </w:t>
      </w:r>
      <w:r>
        <w:t>walking)</w:t>
      </w:r>
      <w:r w:rsidR="003C7FB2">
        <w:t xml:space="preserve"> </w:t>
      </w:r>
      <w:r>
        <w:t>and</w:t>
      </w:r>
      <w:r w:rsidR="003C7FB2">
        <w:t xml:space="preserve"> </w:t>
      </w:r>
      <w:r w:rsidR="0076360D">
        <w:t>a</w:t>
      </w:r>
      <w:r w:rsidR="003C7FB2">
        <w:t xml:space="preserve"> </w:t>
      </w:r>
      <w:r w:rsidR="00F000CC">
        <w:t>frequency</w:t>
      </w:r>
      <w:r w:rsidR="003C7FB2">
        <w:t xml:space="preserve"> </w:t>
      </w:r>
      <w:r w:rsidR="0076360D">
        <w:t>for</w:t>
      </w:r>
      <w:r w:rsidR="003C7FB2">
        <w:t xml:space="preserve"> </w:t>
      </w:r>
      <w:r w:rsidR="0076360D">
        <w:t>each</w:t>
      </w:r>
      <w:r w:rsidR="003C7FB2">
        <w:t xml:space="preserve"> </w:t>
      </w:r>
      <w:r w:rsidR="00F000CC">
        <w:t>(always,</w:t>
      </w:r>
      <w:r w:rsidR="003C7FB2">
        <w:t xml:space="preserve"> </w:t>
      </w:r>
      <w:r w:rsidR="00F000CC">
        <w:t>usually,</w:t>
      </w:r>
      <w:r w:rsidR="003C7FB2">
        <w:t xml:space="preserve"> </w:t>
      </w:r>
      <w:r w:rsidR="00F000CC">
        <w:t>occ</w:t>
      </w:r>
      <w:r>
        <w:t>a</w:t>
      </w:r>
      <w:r w:rsidR="00F000CC">
        <w:t>s</w:t>
      </w:r>
      <w:r>
        <w:t>ionally</w:t>
      </w:r>
      <w:r w:rsidR="003C7FB2">
        <w:t xml:space="preserve"> </w:t>
      </w:r>
      <w:r>
        <w:t>or</w:t>
      </w:r>
      <w:r w:rsidR="003C7FB2">
        <w:t xml:space="preserve"> </w:t>
      </w:r>
      <w:r>
        <w:t>never).</w:t>
      </w:r>
      <w:r w:rsidR="003C7FB2">
        <w:t xml:space="preserve"> </w:t>
      </w:r>
    </w:p>
    <w:p w14:paraId="7B6BBDAA" w14:textId="6F582C53" w:rsidR="00656837" w:rsidRDefault="00656837" w:rsidP="00993219">
      <w:pPr>
        <w:spacing w:after="0" w:line="240" w:lineRule="auto"/>
      </w:pPr>
    </w:p>
    <w:p w14:paraId="34D2774F" w14:textId="4384F606" w:rsidR="00E9420F" w:rsidRDefault="00E9420F" w:rsidP="00993219">
      <w:pPr>
        <w:spacing w:after="0" w:line="240" w:lineRule="auto"/>
      </w:pPr>
      <w:r>
        <w:t>Our</w:t>
      </w:r>
      <w:r w:rsidR="003C7FB2">
        <w:t xml:space="preserve"> </w:t>
      </w:r>
      <w:r>
        <w:t>aim</w:t>
      </w:r>
      <w:r w:rsidR="003C7FB2">
        <w:t xml:space="preserve"> </w:t>
      </w:r>
      <w:r>
        <w:t>was</w:t>
      </w:r>
      <w:r w:rsidR="003C7FB2">
        <w:t xml:space="preserve"> </w:t>
      </w:r>
      <w:r>
        <w:t>to</w:t>
      </w:r>
      <w:r w:rsidR="003C7FB2">
        <w:t xml:space="preserve"> </w:t>
      </w:r>
      <w:r>
        <w:t>categori</w:t>
      </w:r>
      <w:r w:rsidR="00F1224C">
        <w:t>se</w:t>
      </w:r>
      <w:r w:rsidR="003C7FB2">
        <w:t xml:space="preserve"> </w:t>
      </w:r>
      <w:r w:rsidR="00F1224C">
        <w:t>participants</w:t>
      </w:r>
      <w:r w:rsidR="003C7FB2">
        <w:t xml:space="preserve"> </w:t>
      </w:r>
      <w:r>
        <w:t>to</w:t>
      </w:r>
      <w:r w:rsidR="003C7FB2">
        <w:t xml:space="preserve"> </w:t>
      </w:r>
      <w:r w:rsidR="00F1224C">
        <w:t>enable</w:t>
      </w:r>
      <w:r w:rsidR="003C7FB2">
        <w:t xml:space="preserve"> </w:t>
      </w:r>
      <w:r>
        <w:t>comparisons</w:t>
      </w:r>
      <w:r w:rsidR="003C7FB2">
        <w:t xml:space="preserve"> </w:t>
      </w:r>
      <w:r>
        <w:t>reflect</w:t>
      </w:r>
      <w:r w:rsidR="00F1224C">
        <w:t>ing</w:t>
      </w:r>
      <w:r w:rsidR="003C7FB2">
        <w:t xml:space="preserve"> </w:t>
      </w:r>
      <w:r>
        <w:t>real-world</w:t>
      </w:r>
      <w:r w:rsidR="003C7FB2">
        <w:t xml:space="preserve"> </w:t>
      </w:r>
      <w:r w:rsidR="00F1224C">
        <w:t>choices</w:t>
      </w:r>
      <w:r w:rsidR="003C7FB2">
        <w:t xml:space="preserve"> </w:t>
      </w:r>
      <w:r>
        <w:t>that</w:t>
      </w:r>
      <w:r w:rsidR="003C7FB2">
        <w:t xml:space="preserve"> </w:t>
      </w:r>
      <w:r>
        <w:t>commuters</w:t>
      </w:r>
      <w:r w:rsidR="003C7FB2">
        <w:t xml:space="preserve"> </w:t>
      </w:r>
      <w:r>
        <w:t>might</w:t>
      </w:r>
      <w:r w:rsidR="003C7FB2">
        <w:t xml:space="preserve"> </w:t>
      </w:r>
      <w:r>
        <w:t>face</w:t>
      </w:r>
      <w:r w:rsidR="009F1910">
        <w:t>,</w:t>
      </w:r>
      <w:r w:rsidR="003C7FB2">
        <w:t xml:space="preserve"> </w:t>
      </w:r>
      <w:r w:rsidR="00F1224C">
        <w:t>reflecting</w:t>
      </w:r>
      <w:r w:rsidR="003C7FB2">
        <w:t xml:space="preserve"> </w:t>
      </w:r>
      <w:r>
        <w:t>the</w:t>
      </w:r>
      <w:r w:rsidR="003C7FB2">
        <w:t xml:space="preserve"> </w:t>
      </w:r>
      <w:r>
        <w:t>constraints</w:t>
      </w:r>
      <w:r w:rsidR="003C7FB2">
        <w:t xml:space="preserve"> </w:t>
      </w:r>
      <w:r>
        <w:t>on</w:t>
      </w:r>
      <w:r w:rsidR="003C7FB2">
        <w:t xml:space="preserve"> </w:t>
      </w:r>
      <w:r>
        <w:t>travel</w:t>
      </w:r>
      <w:r w:rsidR="003C7FB2">
        <w:t xml:space="preserve"> </w:t>
      </w:r>
      <w:r w:rsidR="009F1910">
        <w:t>choice</w:t>
      </w:r>
      <w:r w:rsidR="003C7FB2">
        <w:t xml:space="preserve"> </w:t>
      </w:r>
      <w:r>
        <w:t>imposed</w:t>
      </w:r>
      <w:r w:rsidR="003C7FB2">
        <w:t xml:space="preserve"> </w:t>
      </w:r>
      <w:r>
        <w:t>by</w:t>
      </w:r>
      <w:r w:rsidR="003C7FB2">
        <w:t xml:space="preserve"> </w:t>
      </w:r>
      <w:r w:rsidR="00525BBE">
        <w:t>a</w:t>
      </w:r>
      <w:r w:rsidR="003C7FB2">
        <w:t xml:space="preserve"> </w:t>
      </w:r>
      <w:r w:rsidR="00525BBE">
        <w:t>long</w:t>
      </w:r>
      <w:r w:rsidR="003C7FB2">
        <w:t xml:space="preserve"> </w:t>
      </w:r>
      <w:r w:rsidR="00525BBE">
        <w:t>commute</w:t>
      </w:r>
      <w:r>
        <w:t>.</w:t>
      </w:r>
      <w:r w:rsidR="00A44BEC">
        <w:fldChar w:fldCharType="begin" w:fldLock="1"/>
      </w:r>
      <w:r w:rsidR="000B07A6">
        <w:instrText>ADDIN CSL_CITATION { "citationItems" : [ { "id" : "ITEM-1", "itemData" : { "DOI" : "10.1371/journal.pone.0067575", "ISSN" : "1932-6203", "PMID" : "23840743", "abstract" : "OBJECTIVE: Commuting provides opportunities for regular physical activity which can reduce the risk of chronic disease. Commuters' mode of travel may be shaped by their environment, but understanding of which specific environmental characteristics are most important and might form targets for intervention is limited. This study investigated associations between mode choice and a range of objectively assessed environmental characteristics.\n\nMETHODS: Participants in the Commuting and Health in Cambridge study reported where they lived and worked, their usual mode of travel to work and a variety of socio-demographic characteristics. Using geographic information system (GIS) software, 30 exposure variables were produced capturing characteristics of areas around participants' homes and workplaces and their shortest modelled routes to work. Associations between usual mode of travel to work and personal and environmental characteristics were investigated using multinomial logistic regression.\n\nRESULTS: Of the 1124 respondents, 50% reported cycling or walking as their usual mode of travel to work. In adjusted analyses, home-work distance was strongly associated with mode choice, particularly for walking. Lower odds of walking or cycling rather than driving were associated with a less frequent bus service (highest versus lowest tertile: walking OR 0.61 [95% CI 0.20-1.85]; cycling OR 0.43 [95% CI 0.23-0.83]), low street connectivity (OR 0.22, [0.07-0.67]; OR 0.48 [0.26-0.90]) and free car parking at work (OR 0.24 [0.10-0.59]; OR 0.55 [0.32-0.95]). Participants were less likely to cycle if they had access to fewer destinations (leisure facilities, shops and schools) close to work (OR 0.36 [0.21-0.62]) and a railway station further from home (OR 0.53 [0.30-0.93]). Covariates strongly predicted travel mode (pseudo r-squared 0.74).\n\nCONCLUSIONS: Potentially modifiable environmental characteristics, including workplace car parking, street connectivity and access to public transport, are associated with travel mode choice, and could be addressed as part of transport policy and infrastructural interventions to promote active commuting.", "author" : [ { "dropping-particle" : "", "family" : "Dalton", "given" : "Alice M", "non-dropping-particle" : "", "parse-names" : false, "suffix" : "" }, { "dropping-particle" : "", "family" : "Jones", "given" : "Andrew P", "non-dropping-particle" : "", "parse-names" : false, "suffix" : "" }, { "dropping-particle" : "", "family" : "Panter", "given" : "Jenna R", "non-dropping-particle" : "", "parse-names" : false, "suffix" : "" }, { "dropping-particle" : "", "family" : "Ogilvie", "given" : "David", "non-dropping-particle" : "", "parse-names" : false, "suffix" : "" } ], "container-title" : "PloS one", "id" : "ITEM-1", "issue" : "6", "issued" : { "date-parts" : [ [ "2013", "1" ] ] }, "page" : "e67575", "title" : "Neighbourhood, Route and Workplace-Related Environmental Characteristics Predict Adults' Mode of Travel to Work.", "type" : "article-journal", "volume" : "8" }, "uris" : [ "http://www.mendeley.com/documents/?uuid=489b946b-073c-4147-bb22-888a575b8d43" ] } ], "mendeley" : { "formattedCitation" : "(Dalton et al., 2013)", "plainTextFormattedCitation" : "(Dalton et al., 2013)", "previouslyFormattedCitation" : "(Dalton et al., 2013)" }, "properties" : { "noteIndex" : 0 }, "schema" : "https://github.com/citation-style-language/schema/raw/master/csl-citation.json" }</w:instrText>
      </w:r>
      <w:r w:rsidR="00A44BEC">
        <w:fldChar w:fldCharType="separate"/>
      </w:r>
      <w:r w:rsidR="00B71669" w:rsidRPr="00B71669">
        <w:rPr>
          <w:noProof/>
        </w:rPr>
        <w:t>(Dalton et al., 2013)</w:t>
      </w:r>
      <w:r w:rsidR="00A44BEC">
        <w:fldChar w:fldCharType="end"/>
      </w:r>
      <w:r w:rsidR="003C7FB2">
        <w:t xml:space="preserve"> </w:t>
      </w:r>
      <w:r>
        <w:t>We</w:t>
      </w:r>
      <w:r w:rsidR="003C7FB2">
        <w:t xml:space="preserve"> </w:t>
      </w:r>
      <w:r>
        <w:t>stratified</w:t>
      </w:r>
      <w:r w:rsidR="003C7FB2">
        <w:t xml:space="preserve"> </w:t>
      </w:r>
      <w:r>
        <w:t>our</w:t>
      </w:r>
      <w:r w:rsidR="003C7FB2">
        <w:t xml:space="preserve"> </w:t>
      </w:r>
      <w:r>
        <w:t>sample</w:t>
      </w:r>
      <w:r w:rsidR="003C7FB2">
        <w:t xml:space="preserve"> </w:t>
      </w:r>
      <w:r>
        <w:t>based</w:t>
      </w:r>
      <w:r w:rsidR="003C7FB2">
        <w:t xml:space="preserve"> </w:t>
      </w:r>
      <w:r>
        <w:t>on</w:t>
      </w:r>
      <w:r w:rsidR="003C7FB2">
        <w:t xml:space="preserve"> </w:t>
      </w:r>
      <w:r>
        <w:t>distance</w:t>
      </w:r>
      <w:r w:rsidR="003C7FB2">
        <w:t xml:space="preserve"> </w:t>
      </w:r>
      <w:r>
        <w:t>to</w:t>
      </w:r>
      <w:r w:rsidR="003C7FB2">
        <w:t xml:space="preserve"> </w:t>
      </w:r>
      <w:r>
        <w:t>work.</w:t>
      </w:r>
      <w:r w:rsidR="003C7FB2">
        <w:t xml:space="preserve"> </w:t>
      </w:r>
      <w:r w:rsidR="00F1224C">
        <w:t>We</w:t>
      </w:r>
      <w:r w:rsidR="003C7FB2">
        <w:t xml:space="preserve"> </w:t>
      </w:r>
      <w:r w:rsidR="00F1224C">
        <w:t>assumed</w:t>
      </w:r>
      <w:r w:rsidR="003C7FB2">
        <w:t xml:space="preserve"> </w:t>
      </w:r>
      <w:r>
        <w:t>those</w:t>
      </w:r>
      <w:r w:rsidR="003C7FB2">
        <w:t xml:space="preserve"> </w:t>
      </w:r>
      <w:r>
        <w:t>who</w:t>
      </w:r>
      <w:r w:rsidR="003C7FB2">
        <w:t xml:space="preserve"> </w:t>
      </w:r>
      <w:r>
        <w:t>lived</w:t>
      </w:r>
      <w:r w:rsidR="003C7FB2">
        <w:t xml:space="preserve"> </w:t>
      </w:r>
      <w:r>
        <w:t>within</w:t>
      </w:r>
      <w:r w:rsidR="003C7FB2">
        <w:t xml:space="preserve"> </w:t>
      </w:r>
      <w:r>
        <w:t>five</w:t>
      </w:r>
      <w:r w:rsidR="003C7FB2">
        <w:t xml:space="preserve"> </w:t>
      </w:r>
      <w:r>
        <w:t>miles</w:t>
      </w:r>
      <w:r w:rsidR="003C7FB2">
        <w:t xml:space="preserve"> </w:t>
      </w:r>
      <w:r>
        <w:t>of</w:t>
      </w:r>
      <w:r w:rsidR="003C7FB2">
        <w:t xml:space="preserve"> </w:t>
      </w:r>
      <w:r>
        <w:t>w</w:t>
      </w:r>
      <w:r w:rsidR="009F1910">
        <w:t>ork</w:t>
      </w:r>
      <w:r w:rsidR="003C7FB2">
        <w:t xml:space="preserve"> </w:t>
      </w:r>
      <w:r w:rsidR="009F1910">
        <w:t>could</w:t>
      </w:r>
      <w:r w:rsidR="0076360D">
        <w:t>,</w:t>
      </w:r>
      <w:r w:rsidR="003C7FB2">
        <w:t xml:space="preserve"> </w:t>
      </w:r>
      <w:r w:rsidR="0076360D">
        <w:t>in</w:t>
      </w:r>
      <w:r w:rsidR="003C7FB2">
        <w:t xml:space="preserve"> </w:t>
      </w:r>
      <w:r w:rsidR="0076360D">
        <w:t>principle,</w:t>
      </w:r>
      <w:r w:rsidR="003C7FB2">
        <w:t xml:space="preserve"> </w:t>
      </w:r>
      <w:r w:rsidR="0076360D">
        <w:t>walk</w:t>
      </w:r>
      <w:r w:rsidR="003C7FB2">
        <w:t xml:space="preserve"> </w:t>
      </w:r>
      <w:r w:rsidR="0076360D">
        <w:t>or</w:t>
      </w:r>
      <w:r w:rsidR="003C7FB2">
        <w:t xml:space="preserve"> </w:t>
      </w:r>
      <w:r w:rsidR="0076360D">
        <w:t>cycle</w:t>
      </w:r>
      <w:r w:rsidR="003C7FB2">
        <w:t xml:space="preserve"> </w:t>
      </w:r>
      <w:r w:rsidR="0076360D">
        <w:t>all</w:t>
      </w:r>
      <w:r w:rsidR="003C7FB2">
        <w:t xml:space="preserve"> </w:t>
      </w:r>
      <w:r w:rsidR="0076360D">
        <w:t>the</w:t>
      </w:r>
      <w:r w:rsidR="003C7FB2">
        <w:t xml:space="preserve"> </w:t>
      </w:r>
      <w:r w:rsidR="0076360D">
        <w:t>way</w:t>
      </w:r>
      <w:r w:rsidR="003C7FB2">
        <w:t xml:space="preserve"> </w:t>
      </w:r>
      <w:r w:rsidR="009F1910">
        <w:t>to</w:t>
      </w:r>
      <w:r w:rsidR="003C7FB2">
        <w:t xml:space="preserve"> </w:t>
      </w:r>
      <w:r w:rsidR="009F1910">
        <w:t>work</w:t>
      </w:r>
      <w:r>
        <w:t>,</w:t>
      </w:r>
      <w:r w:rsidR="003C7FB2">
        <w:t xml:space="preserve"> </w:t>
      </w:r>
      <w:r>
        <w:t>wh</w:t>
      </w:r>
      <w:r w:rsidR="00486578">
        <w:t>ereas</w:t>
      </w:r>
      <w:r w:rsidR="003C7FB2">
        <w:t xml:space="preserve"> </w:t>
      </w:r>
      <w:r w:rsidR="00486578">
        <w:t>those</w:t>
      </w:r>
      <w:r w:rsidR="003C7FB2">
        <w:t xml:space="preserve"> </w:t>
      </w:r>
      <w:r w:rsidR="00486578">
        <w:t>who</w:t>
      </w:r>
      <w:r w:rsidR="003C7FB2">
        <w:t xml:space="preserve"> </w:t>
      </w:r>
      <w:r w:rsidR="00486578">
        <w:t>lived</w:t>
      </w:r>
      <w:r w:rsidR="003C7FB2">
        <w:t xml:space="preserve"> </w:t>
      </w:r>
      <w:r w:rsidR="00486578">
        <w:t>further</w:t>
      </w:r>
      <w:r w:rsidR="003C7FB2">
        <w:t xml:space="preserve"> </w:t>
      </w:r>
      <w:r w:rsidR="009F1910">
        <w:t>from</w:t>
      </w:r>
      <w:r w:rsidR="003C7FB2">
        <w:t xml:space="preserve"> </w:t>
      </w:r>
      <w:r w:rsidR="009F1910">
        <w:t>work</w:t>
      </w:r>
      <w:r w:rsidR="003C7FB2">
        <w:t xml:space="preserve"> </w:t>
      </w:r>
      <w:r w:rsidR="0076360D">
        <w:t>would</w:t>
      </w:r>
      <w:r w:rsidR="003C7FB2">
        <w:t xml:space="preserve"> </w:t>
      </w:r>
      <w:r w:rsidR="009F1910">
        <w:t>use</w:t>
      </w:r>
      <w:r w:rsidR="003C7FB2">
        <w:t xml:space="preserve"> </w:t>
      </w:r>
      <w:r w:rsidR="0076360D">
        <w:t>a</w:t>
      </w:r>
      <w:r w:rsidR="003C7FB2">
        <w:t xml:space="preserve"> </w:t>
      </w:r>
      <w:r w:rsidR="009F1910">
        <w:t>car</w:t>
      </w:r>
      <w:r w:rsidR="003C7FB2">
        <w:t xml:space="preserve"> </w:t>
      </w:r>
      <w:r w:rsidR="009F1910">
        <w:t>or</w:t>
      </w:r>
      <w:r w:rsidR="003C7FB2">
        <w:t xml:space="preserve"> </w:t>
      </w:r>
      <w:r w:rsidR="009F1910">
        <w:t>public</w:t>
      </w:r>
      <w:r w:rsidR="003C7FB2">
        <w:t xml:space="preserve"> </w:t>
      </w:r>
      <w:r w:rsidR="009F1910">
        <w:t>transport.</w:t>
      </w:r>
    </w:p>
    <w:p w14:paraId="3F00D993" w14:textId="77777777" w:rsidR="00E9420F" w:rsidRDefault="00E9420F" w:rsidP="00993219">
      <w:pPr>
        <w:spacing w:after="0" w:line="240" w:lineRule="auto"/>
      </w:pPr>
    </w:p>
    <w:p w14:paraId="7B65507B" w14:textId="64D39E51" w:rsidR="00993219" w:rsidRDefault="00E9420F" w:rsidP="00993219">
      <w:pPr>
        <w:spacing w:after="0" w:line="240" w:lineRule="auto"/>
      </w:pPr>
      <w:r>
        <w:t>Stratifying</w:t>
      </w:r>
      <w:r w:rsidR="003C7FB2">
        <w:t xml:space="preserve"> </w:t>
      </w:r>
      <w:r>
        <w:t>the</w:t>
      </w:r>
      <w:r w:rsidR="003C7FB2">
        <w:t xml:space="preserve"> </w:t>
      </w:r>
      <w:r>
        <w:t>sample</w:t>
      </w:r>
      <w:r w:rsidR="003C7FB2">
        <w:t xml:space="preserve"> </w:t>
      </w:r>
      <w:r>
        <w:t>in</w:t>
      </w:r>
      <w:r w:rsidR="003C7FB2">
        <w:t xml:space="preserve"> </w:t>
      </w:r>
      <w:r>
        <w:t>this</w:t>
      </w:r>
      <w:r w:rsidR="003C7FB2">
        <w:t xml:space="preserve"> </w:t>
      </w:r>
      <w:r>
        <w:t>way,</w:t>
      </w:r>
      <w:r w:rsidR="003C7FB2">
        <w:t xml:space="preserve"> </w:t>
      </w:r>
      <w:r>
        <w:t>we</w:t>
      </w:r>
      <w:r w:rsidR="003C7FB2">
        <w:t xml:space="preserve"> </w:t>
      </w:r>
      <w:r w:rsidR="00333670">
        <w:t>categorised</w:t>
      </w:r>
      <w:r w:rsidR="003C7FB2">
        <w:t xml:space="preserve"> </w:t>
      </w:r>
      <w:r w:rsidR="00333670">
        <w:t>participants</w:t>
      </w:r>
      <w:r w:rsidR="003C7FB2">
        <w:t xml:space="preserve"> </w:t>
      </w:r>
      <w:r>
        <w:t>who</w:t>
      </w:r>
      <w:r w:rsidR="003C7FB2">
        <w:t xml:space="preserve"> </w:t>
      </w:r>
      <w:r>
        <w:t>lived</w:t>
      </w:r>
      <w:r w:rsidR="003C7FB2">
        <w:t xml:space="preserve"> </w:t>
      </w:r>
      <w:r>
        <w:t>within</w:t>
      </w:r>
      <w:r w:rsidR="003C7FB2">
        <w:t xml:space="preserve"> </w:t>
      </w:r>
      <w:r>
        <w:t>five</w:t>
      </w:r>
      <w:r w:rsidR="003C7FB2">
        <w:t xml:space="preserve"> </w:t>
      </w:r>
      <w:r>
        <w:t>miles</w:t>
      </w:r>
      <w:r w:rsidR="003C7FB2">
        <w:t xml:space="preserve"> </w:t>
      </w:r>
      <w:r w:rsidR="00F31DBB">
        <w:t>of</w:t>
      </w:r>
      <w:r w:rsidR="003C7FB2">
        <w:t xml:space="preserve"> </w:t>
      </w:r>
      <w:r w:rsidR="00F31DBB">
        <w:t>work</w:t>
      </w:r>
      <w:r w:rsidR="003C7FB2">
        <w:t xml:space="preserve"> </w:t>
      </w:r>
      <w:r w:rsidR="00F31DBB">
        <w:t>into</w:t>
      </w:r>
      <w:r w:rsidR="003C7FB2">
        <w:t xml:space="preserve"> </w:t>
      </w:r>
      <w:r w:rsidR="00F31DBB">
        <w:t>one</w:t>
      </w:r>
      <w:r w:rsidR="003C7FB2">
        <w:t xml:space="preserve"> </w:t>
      </w:r>
      <w:r w:rsidR="00F31DBB">
        <w:t>of</w:t>
      </w:r>
      <w:r w:rsidR="003C7FB2">
        <w:t xml:space="preserve"> </w:t>
      </w:r>
      <w:r w:rsidR="00F31DBB">
        <w:t>five</w:t>
      </w:r>
      <w:r w:rsidR="003C7FB2">
        <w:t xml:space="preserve"> </w:t>
      </w:r>
      <w:r w:rsidR="0076360D">
        <w:t>commuting</w:t>
      </w:r>
      <w:r w:rsidR="003C7FB2">
        <w:t xml:space="preserve"> </w:t>
      </w:r>
      <w:r>
        <w:t>patterns</w:t>
      </w:r>
      <w:r w:rsidR="003C7FB2">
        <w:t xml:space="preserve"> </w:t>
      </w:r>
      <w:r w:rsidR="00F31DBB">
        <w:t>(car</w:t>
      </w:r>
      <w:r w:rsidR="003C7FB2">
        <w:t xml:space="preserve"> </w:t>
      </w:r>
      <w:r w:rsidR="00F31DBB">
        <w:t>only,</w:t>
      </w:r>
      <w:r w:rsidR="003C7FB2">
        <w:t xml:space="preserve"> </w:t>
      </w:r>
      <w:r w:rsidR="00F31DBB">
        <w:t>regular</w:t>
      </w:r>
      <w:r w:rsidR="003C7FB2">
        <w:t xml:space="preserve"> </w:t>
      </w:r>
      <w:r w:rsidR="00F31DBB">
        <w:t>walking,</w:t>
      </w:r>
      <w:r w:rsidR="003C7FB2">
        <w:t xml:space="preserve"> </w:t>
      </w:r>
      <w:r w:rsidR="00F31DBB">
        <w:t>regular</w:t>
      </w:r>
      <w:r w:rsidR="003C7FB2">
        <w:t xml:space="preserve"> </w:t>
      </w:r>
      <w:r w:rsidR="00F31DBB">
        <w:t>cycling,</w:t>
      </w:r>
      <w:r w:rsidR="003C7FB2">
        <w:t xml:space="preserve"> </w:t>
      </w:r>
      <w:r w:rsidR="00F31DBB">
        <w:t>car-use</w:t>
      </w:r>
      <w:r w:rsidR="003C7FB2">
        <w:t xml:space="preserve"> </w:t>
      </w:r>
      <w:r w:rsidR="00F31DBB">
        <w:t>with</w:t>
      </w:r>
      <w:r w:rsidR="003C7FB2">
        <w:t xml:space="preserve"> </w:t>
      </w:r>
      <w:r w:rsidR="00F31DBB">
        <w:t>occasional</w:t>
      </w:r>
      <w:r w:rsidR="003C7FB2">
        <w:t xml:space="preserve"> </w:t>
      </w:r>
      <w:r w:rsidR="00F31DBB">
        <w:t>walking,</w:t>
      </w:r>
      <w:r w:rsidR="003C7FB2">
        <w:t xml:space="preserve"> </w:t>
      </w:r>
      <w:r w:rsidR="00F31DBB">
        <w:t>car</w:t>
      </w:r>
      <w:r w:rsidR="003C7FB2">
        <w:t xml:space="preserve"> </w:t>
      </w:r>
      <w:r w:rsidR="00F31DBB">
        <w:t>use</w:t>
      </w:r>
      <w:r w:rsidR="003C7FB2">
        <w:t xml:space="preserve"> </w:t>
      </w:r>
      <w:r w:rsidR="00F31DBB">
        <w:t>with</w:t>
      </w:r>
      <w:r w:rsidR="003C7FB2">
        <w:t xml:space="preserve"> </w:t>
      </w:r>
      <w:r w:rsidR="00F31DBB">
        <w:t>occasional</w:t>
      </w:r>
      <w:r w:rsidR="003C7FB2">
        <w:t xml:space="preserve"> </w:t>
      </w:r>
      <w:r w:rsidR="00F31DBB">
        <w:t>cycling)</w:t>
      </w:r>
      <w:r>
        <w:t>,</w:t>
      </w:r>
      <w:r w:rsidR="003C7FB2">
        <w:t xml:space="preserve"> </w:t>
      </w:r>
      <w:r>
        <w:t>and</w:t>
      </w:r>
      <w:r w:rsidR="003C7FB2">
        <w:t xml:space="preserve"> </w:t>
      </w:r>
      <w:r>
        <w:t>those</w:t>
      </w:r>
      <w:r w:rsidR="003C7FB2">
        <w:t xml:space="preserve"> </w:t>
      </w:r>
      <w:r>
        <w:t>who</w:t>
      </w:r>
      <w:r w:rsidR="003C7FB2">
        <w:t xml:space="preserve"> </w:t>
      </w:r>
      <w:r>
        <w:t>lived</w:t>
      </w:r>
      <w:r w:rsidR="003C7FB2">
        <w:t xml:space="preserve"> </w:t>
      </w:r>
      <w:r>
        <w:t>five</w:t>
      </w:r>
      <w:r w:rsidR="003C7FB2">
        <w:t xml:space="preserve"> </w:t>
      </w:r>
      <w:r>
        <w:t>miles</w:t>
      </w:r>
      <w:r w:rsidR="003C7FB2">
        <w:t xml:space="preserve"> </w:t>
      </w:r>
      <w:r w:rsidR="00525BBE">
        <w:t>or</w:t>
      </w:r>
      <w:r w:rsidR="003C7FB2">
        <w:t xml:space="preserve"> </w:t>
      </w:r>
      <w:r w:rsidR="00525BBE">
        <w:t>further</w:t>
      </w:r>
      <w:r w:rsidR="003C7FB2">
        <w:t xml:space="preserve"> </w:t>
      </w:r>
      <w:r>
        <w:t>from</w:t>
      </w:r>
      <w:r w:rsidR="003C7FB2">
        <w:t xml:space="preserve"> </w:t>
      </w:r>
      <w:r>
        <w:t>work</w:t>
      </w:r>
      <w:r w:rsidR="003C7FB2">
        <w:t xml:space="preserve"> </w:t>
      </w:r>
      <w:r>
        <w:t>into</w:t>
      </w:r>
      <w:r w:rsidR="003C7FB2">
        <w:t xml:space="preserve"> </w:t>
      </w:r>
      <w:r>
        <w:t>one</w:t>
      </w:r>
      <w:r w:rsidR="003C7FB2">
        <w:t xml:space="preserve"> </w:t>
      </w:r>
      <w:r>
        <w:t>of</w:t>
      </w:r>
      <w:r w:rsidR="003C7FB2">
        <w:t xml:space="preserve"> </w:t>
      </w:r>
      <w:r>
        <w:t>three</w:t>
      </w:r>
      <w:r w:rsidR="003C7FB2">
        <w:t xml:space="preserve"> </w:t>
      </w:r>
      <w:r>
        <w:t>patterns</w:t>
      </w:r>
      <w:r w:rsidR="003C7FB2">
        <w:t xml:space="preserve"> </w:t>
      </w:r>
      <w:r>
        <w:t>(</w:t>
      </w:r>
      <w:r w:rsidR="00F31DBB">
        <w:t>car-use,</w:t>
      </w:r>
      <w:r w:rsidR="003C7FB2">
        <w:t xml:space="preserve"> </w:t>
      </w:r>
      <w:r w:rsidR="00F31DBB">
        <w:t>public</w:t>
      </w:r>
      <w:r w:rsidR="003C7FB2">
        <w:t xml:space="preserve"> </w:t>
      </w:r>
      <w:r w:rsidR="00F31DBB">
        <w:t>transport,</w:t>
      </w:r>
      <w:r w:rsidR="003C7FB2">
        <w:t xml:space="preserve"> </w:t>
      </w:r>
      <w:r w:rsidR="00F31DBB">
        <w:t>car-use</w:t>
      </w:r>
      <w:r w:rsidR="003C7FB2">
        <w:t xml:space="preserve"> </w:t>
      </w:r>
      <w:r w:rsidR="00F31DBB">
        <w:t>with</w:t>
      </w:r>
      <w:r w:rsidR="003C7FB2">
        <w:t xml:space="preserve"> </w:t>
      </w:r>
      <w:r w:rsidR="00F31DBB">
        <w:t>active</w:t>
      </w:r>
      <w:r w:rsidR="003C7FB2">
        <w:t xml:space="preserve"> </w:t>
      </w:r>
      <w:r w:rsidR="00F31DBB">
        <w:t>travel</w:t>
      </w:r>
      <w:r>
        <w:t>).</w:t>
      </w:r>
      <w:r w:rsidR="003C7FB2">
        <w:t xml:space="preserve"> </w:t>
      </w:r>
      <w:r w:rsidR="00BF02F6">
        <w:t>Post-hoc</w:t>
      </w:r>
      <w:r w:rsidR="003010AA">
        <w:t>,</w:t>
      </w:r>
      <w:r w:rsidR="003C7FB2">
        <w:t xml:space="preserve"> </w:t>
      </w:r>
      <w:r w:rsidR="003010AA">
        <w:t>given</w:t>
      </w:r>
      <w:r w:rsidR="003C7FB2">
        <w:t xml:space="preserve"> </w:t>
      </w:r>
      <w:r w:rsidR="003010AA">
        <w:t>the</w:t>
      </w:r>
      <w:r w:rsidR="003C7FB2">
        <w:t xml:space="preserve"> </w:t>
      </w:r>
      <w:r w:rsidR="003010AA">
        <w:t>differences</w:t>
      </w:r>
      <w:r w:rsidR="003C7FB2">
        <w:t xml:space="preserve"> </w:t>
      </w:r>
      <w:r w:rsidR="003010AA">
        <w:t>observed</w:t>
      </w:r>
      <w:r w:rsidR="003C7FB2">
        <w:t xml:space="preserve"> </w:t>
      </w:r>
      <w:r w:rsidR="003010AA">
        <w:t>between</w:t>
      </w:r>
      <w:r w:rsidR="003C7FB2">
        <w:t xml:space="preserve"> </w:t>
      </w:r>
      <w:r w:rsidR="003010AA">
        <w:t>cycling</w:t>
      </w:r>
      <w:r w:rsidR="003C7FB2">
        <w:t xml:space="preserve"> </w:t>
      </w:r>
      <w:r w:rsidR="003010AA">
        <w:t>and</w:t>
      </w:r>
      <w:r w:rsidR="003C7FB2">
        <w:t xml:space="preserve"> </w:t>
      </w:r>
      <w:r w:rsidR="003010AA">
        <w:t>walking,</w:t>
      </w:r>
      <w:r w:rsidR="003C7FB2">
        <w:t xml:space="preserve"> </w:t>
      </w:r>
      <w:r w:rsidR="00BF02F6">
        <w:t>we</w:t>
      </w:r>
      <w:r w:rsidR="003C7FB2">
        <w:t xml:space="preserve"> </w:t>
      </w:r>
      <w:r w:rsidR="00BF02F6">
        <w:t>re-classified</w:t>
      </w:r>
      <w:r w:rsidR="003C7FB2">
        <w:t xml:space="preserve"> </w:t>
      </w:r>
      <w:r w:rsidR="00BF02F6">
        <w:t>those</w:t>
      </w:r>
      <w:r w:rsidR="003C7FB2">
        <w:t xml:space="preserve"> </w:t>
      </w:r>
      <w:r w:rsidR="00BF02F6">
        <w:t>living</w:t>
      </w:r>
      <w:r w:rsidR="003C7FB2">
        <w:t xml:space="preserve"> </w:t>
      </w:r>
      <w:r w:rsidR="00525BBE">
        <w:t>five</w:t>
      </w:r>
      <w:r w:rsidR="003C7FB2">
        <w:t xml:space="preserve"> </w:t>
      </w:r>
      <w:r w:rsidR="00525BBE">
        <w:t>miles</w:t>
      </w:r>
      <w:r w:rsidR="003C7FB2">
        <w:t xml:space="preserve"> </w:t>
      </w:r>
      <w:r w:rsidR="00525BBE">
        <w:t>or</w:t>
      </w:r>
      <w:r w:rsidR="003C7FB2">
        <w:t xml:space="preserve"> </w:t>
      </w:r>
      <w:r w:rsidR="00525BBE">
        <w:t>further</w:t>
      </w:r>
      <w:r w:rsidR="003C7FB2">
        <w:t xml:space="preserve"> </w:t>
      </w:r>
      <w:r w:rsidR="00525BBE">
        <w:t>from</w:t>
      </w:r>
      <w:r w:rsidR="003C7FB2">
        <w:t xml:space="preserve"> </w:t>
      </w:r>
      <w:r w:rsidR="00BF02F6">
        <w:t>work</w:t>
      </w:r>
      <w:r w:rsidR="003C7FB2">
        <w:t xml:space="preserve"> </w:t>
      </w:r>
      <w:r w:rsidR="00A03E4E">
        <w:t>into</w:t>
      </w:r>
      <w:r w:rsidR="003C7FB2">
        <w:t xml:space="preserve"> </w:t>
      </w:r>
      <w:r w:rsidR="00A03E4E">
        <w:t>one</w:t>
      </w:r>
      <w:r w:rsidR="003C7FB2">
        <w:t xml:space="preserve"> </w:t>
      </w:r>
      <w:r w:rsidR="00A03E4E">
        <w:t>of</w:t>
      </w:r>
      <w:r w:rsidR="003C7FB2">
        <w:t xml:space="preserve"> </w:t>
      </w:r>
      <w:r w:rsidR="00A03E4E">
        <w:t>four</w:t>
      </w:r>
      <w:r w:rsidR="003C7FB2">
        <w:t xml:space="preserve"> </w:t>
      </w:r>
      <w:r w:rsidR="00A03E4E">
        <w:t>categories</w:t>
      </w:r>
      <w:r w:rsidR="003C7FB2">
        <w:t xml:space="preserve"> </w:t>
      </w:r>
      <w:r w:rsidR="003010AA">
        <w:t>to</w:t>
      </w:r>
      <w:r w:rsidR="003C7FB2">
        <w:t xml:space="preserve"> </w:t>
      </w:r>
      <w:r w:rsidR="003010AA">
        <w:t>test</w:t>
      </w:r>
      <w:r w:rsidR="003C7FB2">
        <w:t xml:space="preserve"> </w:t>
      </w:r>
      <w:r w:rsidR="003010AA">
        <w:t>separate</w:t>
      </w:r>
      <w:r w:rsidR="003C7FB2">
        <w:t xml:space="preserve"> </w:t>
      </w:r>
      <w:r w:rsidR="003010AA">
        <w:t>associations</w:t>
      </w:r>
      <w:r w:rsidR="003C7FB2">
        <w:t xml:space="preserve"> </w:t>
      </w:r>
      <w:r w:rsidR="003010AA">
        <w:t>for</w:t>
      </w:r>
      <w:r w:rsidR="003C7FB2">
        <w:t xml:space="preserve"> </w:t>
      </w:r>
      <w:r w:rsidR="003010AA">
        <w:t>cycling,</w:t>
      </w:r>
      <w:r w:rsidR="003C7FB2">
        <w:t xml:space="preserve"> </w:t>
      </w:r>
      <w:r w:rsidR="003010AA">
        <w:t>walking</w:t>
      </w:r>
      <w:r w:rsidR="003C7FB2">
        <w:t xml:space="preserve"> </w:t>
      </w:r>
      <w:r w:rsidR="003010AA">
        <w:t>and</w:t>
      </w:r>
      <w:r w:rsidR="003C7FB2">
        <w:t xml:space="preserve"> </w:t>
      </w:r>
      <w:r w:rsidR="003010AA">
        <w:t>public</w:t>
      </w:r>
      <w:r w:rsidR="003C7FB2">
        <w:t xml:space="preserve"> </w:t>
      </w:r>
      <w:r w:rsidR="003010AA">
        <w:t>transport</w:t>
      </w:r>
      <w:r w:rsidR="003C7FB2">
        <w:t xml:space="preserve"> </w:t>
      </w:r>
      <w:r w:rsidR="003010AA">
        <w:t>use</w:t>
      </w:r>
      <w:r w:rsidR="003C7FB2">
        <w:t xml:space="preserve"> </w:t>
      </w:r>
      <w:r w:rsidR="003010AA">
        <w:t>that</w:t>
      </w:r>
      <w:r w:rsidR="003C7FB2">
        <w:t xml:space="preserve"> </w:t>
      </w:r>
      <w:r w:rsidR="003010AA">
        <w:t>was</w:t>
      </w:r>
      <w:r w:rsidR="003C7FB2">
        <w:t xml:space="preserve"> </w:t>
      </w:r>
      <w:r w:rsidR="003010AA">
        <w:t>not</w:t>
      </w:r>
      <w:r w:rsidR="003C7FB2">
        <w:t xml:space="preserve"> </w:t>
      </w:r>
      <w:r w:rsidR="003010AA">
        <w:t>associated</w:t>
      </w:r>
      <w:r w:rsidR="003C7FB2">
        <w:t xml:space="preserve"> </w:t>
      </w:r>
      <w:r w:rsidR="003010AA">
        <w:t>with</w:t>
      </w:r>
      <w:r w:rsidR="003C7FB2">
        <w:t xml:space="preserve"> </w:t>
      </w:r>
      <w:r w:rsidR="003010AA">
        <w:t>either</w:t>
      </w:r>
      <w:r w:rsidR="003C7FB2">
        <w:t xml:space="preserve"> </w:t>
      </w:r>
      <w:r w:rsidR="00E47E12">
        <w:t>(see</w:t>
      </w:r>
      <w:r w:rsidR="003C7FB2">
        <w:t xml:space="preserve"> </w:t>
      </w:r>
      <w:r w:rsidR="00F12ED8">
        <w:t>Methods</w:t>
      </w:r>
      <w:r w:rsidR="003C7FB2">
        <w:t xml:space="preserve"> </w:t>
      </w:r>
      <w:r w:rsidR="00F12ED8">
        <w:t>Supplement</w:t>
      </w:r>
      <w:r w:rsidR="00E47E12">
        <w:t>)</w:t>
      </w:r>
      <w:r w:rsidR="00BF02F6">
        <w:t>.</w:t>
      </w:r>
      <w:r w:rsidR="003C7FB2">
        <w:t xml:space="preserve"> </w:t>
      </w:r>
    </w:p>
    <w:p w14:paraId="47B92EFF" w14:textId="77777777" w:rsidR="004F4FF8" w:rsidRDefault="004F4FF8" w:rsidP="00993219">
      <w:pPr>
        <w:spacing w:after="0" w:line="240" w:lineRule="auto"/>
      </w:pPr>
    </w:p>
    <w:p w14:paraId="3ACBCAF8" w14:textId="0230DA69" w:rsidR="004D4C5D" w:rsidRDefault="004D4C5D" w:rsidP="004D4C5D">
      <w:pPr>
        <w:spacing w:after="0" w:line="240" w:lineRule="auto"/>
        <w:rPr>
          <w:u w:val="single"/>
        </w:rPr>
      </w:pPr>
      <w:r w:rsidRPr="00C6276F">
        <w:rPr>
          <w:u w:val="single"/>
        </w:rPr>
        <w:t>Outcomes</w:t>
      </w:r>
      <w:r>
        <w:rPr>
          <w:u w:val="single"/>
        </w:rPr>
        <w:t>:</w:t>
      </w:r>
      <w:r w:rsidR="003C7FB2">
        <w:rPr>
          <w:u w:val="single"/>
        </w:rPr>
        <w:t xml:space="preserve"> </w:t>
      </w:r>
      <w:r>
        <w:rPr>
          <w:u w:val="single"/>
        </w:rPr>
        <w:t>body</w:t>
      </w:r>
      <w:r w:rsidR="003C7FB2">
        <w:rPr>
          <w:u w:val="single"/>
        </w:rPr>
        <w:t xml:space="preserve"> </w:t>
      </w:r>
      <w:r>
        <w:rPr>
          <w:u w:val="single"/>
        </w:rPr>
        <w:t>fat</w:t>
      </w:r>
      <w:r w:rsidR="003C7FB2">
        <w:rPr>
          <w:u w:val="single"/>
        </w:rPr>
        <w:t xml:space="preserve"> </w:t>
      </w:r>
      <w:r>
        <w:rPr>
          <w:u w:val="single"/>
        </w:rPr>
        <w:t>and</w:t>
      </w:r>
      <w:r w:rsidR="003C7FB2">
        <w:rPr>
          <w:u w:val="single"/>
        </w:rPr>
        <w:t xml:space="preserve"> </w:t>
      </w:r>
      <w:r>
        <w:rPr>
          <w:u w:val="single"/>
        </w:rPr>
        <w:t>visceral</w:t>
      </w:r>
      <w:r w:rsidR="003C7FB2">
        <w:rPr>
          <w:u w:val="single"/>
        </w:rPr>
        <w:t xml:space="preserve"> </w:t>
      </w:r>
      <w:r>
        <w:rPr>
          <w:u w:val="single"/>
        </w:rPr>
        <w:t>adipose</w:t>
      </w:r>
      <w:r w:rsidR="003C7FB2">
        <w:rPr>
          <w:u w:val="single"/>
        </w:rPr>
        <w:t xml:space="preserve"> </w:t>
      </w:r>
      <w:r>
        <w:rPr>
          <w:u w:val="single"/>
        </w:rPr>
        <w:t>tissue</w:t>
      </w:r>
    </w:p>
    <w:p w14:paraId="373671D9" w14:textId="77777777" w:rsidR="004D4C5D" w:rsidRPr="00C20AB8" w:rsidRDefault="004D4C5D" w:rsidP="004D4C5D">
      <w:pPr>
        <w:spacing w:after="0" w:line="240" w:lineRule="auto"/>
        <w:rPr>
          <w:u w:val="single"/>
        </w:rPr>
      </w:pPr>
    </w:p>
    <w:p w14:paraId="5C659A21" w14:textId="569742CF" w:rsidR="00961F3B" w:rsidRDefault="00A03E4E" w:rsidP="00961F3B">
      <w:pPr>
        <w:spacing w:after="0" w:line="240" w:lineRule="auto"/>
        <w:rPr>
          <w:rFonts w:eastAsia="Times New Roman" w:cs="Arial"/>
          <w:lang w:eastAsia="en-GB"/>
        </w:rPr>
      </w:pPr>
      <w:r>
        <w:rPr>
          <w:rFonts w:ascii="Calibri" w:eastAsia="Times New Roman" w:hAnsi="Calibri" w:cs="Segoe UI"/>
          <w:color w:val="000000"/>
          <w:lang w:eastAsia="en-GB"/>
        </w:rPr>
        <w:t>Percentage</w:t>
      </w:r>
      <w:r w:rsidR="003C7FB2">
        <w:rPr>
          <w:rFonts w:ascii="Calibri" w:eastAsia="Times New Roman" w:hAnsi="Calibri" w:cs="Segoe UI"/>
          <w:color w:val="000000"/>
          <w:lang w:eastAsia="en-GB"/>
        </w:rPr>
        <w:t xml:space="preserve"> </w:t>
      </w:r>
      <w:r>
        <w:rPr>
          <w:rFonts w:ascii="Calibri" w:eastAsia="Times New Roman" w:hAnsi="Calibri" w:cs="Segoe UI"/>
          <w:color w:val="000000"/>
          <w:lang w:eastAsia="en-GB"/>
        </w:rPr>
        <w:t>body</w:t>
      </w:r>
      <w:r w:rsidR="003C7FB2">
        <w:rPr>
          <w:rFonts w:ascii="Calibri" w:eastAsia="Times New Roman" w:hAnsi="Calibri" w:cs="Segoe UI"/>
          <w:color w:val="000000"/>
          <w:lang w:eastAsia="en-GB"/>
        </w:rPr>
        <w:t xml:space="preserve"> </w:t>
      </w:r>
      <w:r>
        <w:rPr>
          <w:rFonts w:ascii="Calibri" w:eastAsia="Times New Roman" w:hAnsi="Calibri" w:cs="Segoe UI"/>
          <w:color w:val="000000"/>
          <w:lang w:eastAsia="en-GB"/>
        </w:rPr>
        <w:t>fat</w:t>
      </w:r>
      <w:r w:rsidR="003C7FB2">
        <w:rPr>
          <w:rFonts w:ascii="Calibri" w:eastAsia="Times New Roman" w:hAnsi="Calibri" w:cs="Segoe UI"/>
          <w:color w:val="000000"/>
          <w:lang w:eastAsia="en-GB"/>
        </w:rPr>
        <w:t xml:space="preserve"> </w:t>
      </w:r>
      <w:r w:rsidR="00972020" w:rsidRPr="00C736E2">
        <w:rPr>
          <w:rFonts w:ascii="Calibri" w:eastAsia="Times New Roman" w:hAnsi="Calibri" w:cs="Segoe UI"/>
          <w:color w:val="000000"/>
          <w:lang w:eastAsia="en-GB"/>
        </w:rPr>
        <w:t>and</w:t>
      </w:r>
      <w:r w:rsidR="003C7FB2">
        <w:rPr>
          <w:rFonts w:ascii="Calibri" w:eastAsia="Times New Roman" w:hAnsi="Calibri" w:cs="Segoe UI"/>
          <w:color w:val="000000"/>
          <w:lang w:eastAsia="en-GB"/>
        </w:rPr>
        <w:t xml:space="preserve"> </w:t>
      </w:r>
      <w:r w:rsidR="003E141D">
        <w:rPr>
          <w:rFonts w:ascii="Calibri" w:eastAsia="Times New Roman" w:hAnsi="Calibri" w:cs="Segoe UI"/>
          <w:color w:val="000000"/>
          <w:lang w:eastAsia="en-GB"/>
        </w:rPr>
        <w:t>volume</w:t>
      </w:r>
      <w:r w:rsidR="003C7FB2">
        <w:rPr>
          <w:rFonts w:ascii="Calibri" w:eastAsia="Times New Roman" w:hAnsi="Calibri" w:cs="Segoe UI"/>
          <w:color w:val="000000"/>
          <w:lang w:eastAsia="en-GB"/>
        </w:rPr>
        <w:t xml:space="preserve"> </w:t>
      </w:r>
      <w:r w:rsidR="003E141D">
        <w:rPr>
          <w:rFonts w:ascii="Calibri" w:eastAsia="Times New Roman" w:hAnsi="Calibri" w:cs="Segoe UI"/>
          <w:color w:val="000000"/>
          <w:lang w:eastAsia="en-GB"/>
        </w:rPr>
        <w:t>of</w:t>
      </w:r>
      <w:r w:rsidR="003C7FB2">
        <w:rPr>
          <w:rFonts w:ascii="Calibri" w:eastAsia="Times New Roman" w:hAnsi="Calibri" w:cs="Segoe UI"/>
          <w:color w:val="000000"/>
          <w:lang w:eastAsia="en-GB"/>
        </w:rPr>
        <w:t xml:space="preserve"> </w:t>
      </w:r>
      <w:r>
        <w:rPr>
          <w:rFonts w:ascii="Calibri" w:eastAsia="Times New Roman" w:hAnsi="Calibri" w:cs="Segoe UI"/>
          <w:color w:val="000000"/>
          <w:lang w:eastAsia="en-GB"/>
        </w:rPr>
        <w:t>visceral</w:t>
      </w:r>
      <w:r w:rsidR="003C7FB2">
        <w:rPr>
          <w:rFonts w:ascii="Calibri" w:eastAsia="Times New Roman" w:hAnsi="Calibri" w:cs="Segoe UI"/>
          <w:color w:val="000000"/>
          <w:lang w:eastAsia="en-GB"/>
        </w:rPr>
        <w:t xml:space="preserve"> </w:t>
      </w:r>
      <w:r>
        <w:rPr>
          <w:rFonts w:ascii="Calibri" w:eastAsia="Times New Roman" w:hAnsi="Calibri" w:cs="Segoe UI"/>
          <w:color w:val="000000"/>
          <w:lang w:eastAsia="en-GB"/>
        </w:rPr>
        <w:t>adipose</w:t>
      </w:r>
      <w:r w:rsidR="003C7FB2">
        <w:rPr>
          <w:rFonts w:ascii="Calibri" w:eastAsia="Times New Roman" w:hAnsi="Calibri" w:cs="Segoe UI"/>
          <w:color w:val="000000"/>
          <w:lang w:eastAsia="en-GB"/>
        </w:rPr>
        <w:t xml:space="preserve"> </w:t>
      </w:r>
      <w:r>
        <w:rPr>
          <w:rFonts w:ascii="Calibri" w:eastAsia="Times New Roman" w:hAnsi="Calibri" w:cs="Segoe UI"/>
          <w:color w:val="000000"/>
          <w:lang w:eastAsia="en-GB"/>
        </w:rPr>
        <w:t>tissue</w:t>
      </w:r>
      <w:r w:rsidR="003C7FB2">
        <w:rPr>
          <w:rFonts w:ascii="Calibri" w:eastAsia="Times New Roman" w:hAnsi="Calibri" w:cs="Segoe UI"/>
          <w:color w:val="000000"/>
          <w:lang w:eastAsia="en-GB"/>
        </w:rPr>
        <w:t xml:space="preserve"> </w:t>
      </w:r>
      <w:r w:rsidR="00154627">
        <w:rPr>
          <w:rFonts w:ascii="Calibri" w:eastAsia="Times New Roman" w:hAnsi="Calibri" w:cs="Segoe UI"/>
          <w:color w:val="000000"/>
          <w:lang w:eastAsia="en-GB"/>
        </w:rPr>
        <w:t>(VAT)</w:t>
      </w:r>
      <w:r w:rsidR="003C7FB2">
        <w:rPr>
          <w:rFonts w:ascii="Calibri" w:eastAsia="Times New Roman" w:hAnsi="Calibri" w:cs="Segoe UI"/>
          <w:color w:val="000000"/>
          <w:lang w:eastAsia="en-GB"/>
        </w:rPr>
        <w:t xml:space="preserve"> </w:t>
      </w:r>
      <w:r w:rsidR="00972020">
        <w:rPr>
          <w:rFonts w:ascii="Calibri" w:eastAsia="Times New Roman" w:hAnsi="Calibri" w:cs="Segoe UI"/>
          <w:color w:val="000000"/>
          <w:lang w:eastAsia="en-GB"/>
        </w:rPr>
        <w:t>w</w:t>
      </w:r>
      <w:r w:rsidR="003E141D">
        <w:rPr>
          <w:rFonts w:ascii="Calibri" w:eastAsia="Times New Roman" w:hAnsi="Calibri" w:cs="Segoe UI"/>
          <w:color w:val="000000"/>
          <w:lang w:eastAsia="en-GB"/>
        </w:rPr>
        <w:t>ere</w:t>
      </w:r>
      <w:r w:rsidR="003C7FB2">
        <w:rPr>
          <w:rFonts w:ascii="Calibri" w:eastAsia="Times New Roman" w:hAnsi="Calibri" w:cs="Segoe UI"/>
          <w:color w:val="000000"/>
          <w:lang w:eastAsia="en-GB"/>
        </w:rPr>
        <w:t xml:space="preserve"> </w:t>
      </w:r>
      <w:r w:rsidR="00972020">
        <w:rPr>
          <w:rFonts w:ascii="Calibri" w:eastAsia="Times New Roman" w:hAnsi="Calibri" w:cs="Segoe UI"/>
          <w:color w:val="000000"/>
          <w:lang w:eastAsia="en-GB"/>
        </w:rPr>
        <w:t>estimated</w:t>
      </w:r>
      <w:r w:rsidR="003C7FB2">
        <w:rPr>
          <w:rFonts w:ascii="Calibri" w:eastAsia="Times New Roman" w:hAnsi="Calibri" w:cs="Segoe UI"/>
          <w:color w:val="000000"/>
          <w:lang w:eastAsia="en-GB"/>
        </w:rPr>
        <w:t xml:space="preserve"> </w:t>
      </w:r>
      <w:r w:rsidR="00972020">
        <w:rPr>
          <w:rFonts w:ascii="Calibri" w:eastAsia="Times New Roman" w:hAnsi="Calibri" w:cs="Segoe UI"/>
          <w:color w:val="000000"/>
          <w:lang w:eastAsia="en-GB"/>
        </w:rPr>
        <w:t>from</w:t>
      </w:r>
      <w:r w:rsidR="003C7FB2">
        <w:rPr>
          <w:rFonts w:ascii="Calibri" w:eastAsia="Times New Roman" w:hAnsi="Calibri" w:cs="Segoe UI"/>
          <w:color w:val="000000"/>
          <w:lang w:eastAsia="en-GB"/>
        </w:rPr>
        <w:t xml:space="preserve"> </w:t>
      </w:r>
      <w:r w:rsidR="00972020">
        <w:rPr>
          <w:rFonts w:ascii="Calibri" w:eastAsia="Times New Roman" w:hAnsi="Calibri" w:cs="Segoe UI"/>
          <w:color w:val="000000"/>
          <w:lang w:eastAsia="en-GB"/>
        </w:rPr>
        <w:t>the</w:t>
      </w:r>
      <w:r w:rsidR="003C7FB2">
        <w:rPr>
          <w:rFonts w:ascii="Calibri" w:eastAsia="Times New Roman" w:hAnsi="Calibri" w:cs="Segoe UI"/>
          <w:color w:val="000000"/>
          <w:lang w:eastAsia="en-GB"/>
        </w:rPr>
        <w:t xml:space="preserve"> </w:t>
      </w:r>
      <w:r w:rsidR="00972020">
        <w:rPr>
          <w:rFonts w:ascii="Calibri" w:eastAsia="Times New Roman" w:hAnsi="Calibri" w:cs="Segoe UI"/>
          <w:color w:val="000000"/>
          <w:lang w:eastAsia="en-GB"/>
        </w:rPr>
        <w:t>DEXA</w:t>
      </w:r>
      <w:r w:rsidR="003C7FB2">
        <w:rPr>
          <w:rFonts w:ascii="Calibri" w:eastAsia="Times New Roman" w:hAnsi="Calibri" w:cs="Segoe UI"/>
          <w:color w:val="000000"/>
          <w:lang w:eastAsia="en-GB"/>
        </w:rPr>
        <w:t xml:space="preserve"> </w:t>
      </w:r>
      <w:r w:rsidR="00972020">
        <w:rPr>
          <w:rFonts w:ascii="Calibri" w:eastAsia="Times New Roman" w:hAnsi="Calibri" w:cs="Segoe UI"/>
          <w:color w:val="000000"/>
          <w:lang w:eastAsia="en-GB"/>
        </w:rPr>
        <w:t>scan</w:t>
      </w:r>
      <w:r w:rsidR="003C7FB2">
        <w:rPr>
          <w:rFonts w:ascii="Calibri" w:eastAsia="Times New Roman" w:hAnsi="Calibri" w:cs="Segoe UI"/>
          <w:color w:val="000000"/>
          <w:lang w:eastAsia="en-GB"/>
        </w:rPr>
        <w:t xml:space="preserve"> </w:t>
      </w:r>
      <w:r w:rsidR="00972020">
        <w:rPr>
          <w:rFonts w:ascii="Calibri" w:eastAsia="Times New Roman" w:hAnsi="Calibri" w:cs="Segoe UI"/>
          <w:color w:val="000000"/>
          <w:lang w:eastAsia="en-GB"/>
        </w:rPr>
        <w:t>u</w:t>
      </w:r>
      <w:r>
        <w:rPr>
          <w:rFonts w:ascii="Calibri" w:eastAsia="Times New Roman" w:hAnsi="Calibri" w:cs="Segoe UI"/>
          <w:color w:val="000000"/>
          <w:lang w:eastAsia="en-GB"/>
        </w:rPr>
        <w:t>sin</w:t>
      </w:r>
      <w:r w:rsidR="00525BBE">
        <w:rPr>
          <w:rFonts w:ascii="Calibri" w:eastAsia="Times New Roman" w:hAnsi="Calibri" w:cs="Segoe UI"/>
          <w:color w:val="000000"/>
          <w:lang w:eastAsia="en-GB"/>
        </w:rPr>
        <w:t>g</w:t>
      </w:r>
      <w:r w:rsidR="003C7FB2">
        <w:rPr>
          <w:rFonts w:ascii="Calibri" w:eastAsia="Times New Roman" w:hAnsi="Calibri" w:cs="Segoe UI"/>
          <w:color w:val="000000"/>
          <w:lang w:eastAsia="en-GB"/>
        </w:rPr>
        <w:t xml:space="preserve"> </w:t>
      </w:r>
      <w:r w:rsidR="00525BBE">
        <w:rPr>
          <w:rFonts w:ascii="Calibri" w:eastAsia="Times New Roman" w:hAnsi="Calibri" w:cs="Segoe UI"/>
          <w:color w:val="000000"/>
          <w:lang w:eastAsia="en-GB"/>
        </w:rPr>
        <w:t>Encore</w:t>
      </w:r>
      <w:r w:rsidR="003C7FB2">
        <w:rPr>
          <w:rFonts w:ascii="Calibri" w:eastAsia="Times New Roman" w:hAnsi="Calibri" w:cs="Segoe UI"/>
          <w:color w:val="000000"/>
          <w:lang w:eastAsia="en-GB"/>
        </w:rPr>
        <w:t xml:space="preserve"> </w:t>
      </w:r>
      <w:r w:rsidR="00525BBE">
        <w:rPr>
          <w:rFonts w:ascii="Calibri" w:eastAsia="Times New Roman" w:hAnsi="Calibri" w:cs="Segoe UI"/>
          <w:color w:val="000000"/>
          <w:lang w:eastAsia="en-GB"/>
        </w:rPr>
        <w:t>software</w:t>
      </w:r>
      <w:r w:rsidR="003C7FB2">
        <w:rPr>
          <w:rFonts w:ascii="Calibri" w:eastAsia="Times New Roman" w:hAnsi="Calibri" w:cs="Segoe UI"/>
          <w:color w:val="000000"/>
          <w:lang w:eastAsia="en-GB"/>
        </w:rPr>
        <w:t xml:space="preserve"> </w:t>
      </w:r>
      <w:r w:rsidR="00961F3B">
        <w:rPr>
          <w:rFonts w:ascii="Calibri" w:eastAsia="Times New Roman" w:hAnsi="Calibri" w:cs="Segoe UI"/>
          <w:color w:val="000000"/>
          <w:lang w:eastAsia="en-GB"/>
        </w:rPr>
        <w:t>(v14.10.022)</w:t>
      </w:r>
      <w:r w:rsidR="00972020">
        <w:rPr>
          <w:rFonts w:ascii="Calibri" w:eastAsia="Times New Roman" w:hAnsi="Calibri" w:cs="Segoe UI"/>
          <w:color w:val="000000"/>
          <w:lang w:eastAsia="en-GB"/>
        </w:rPr>
        <w:t>.</w:t>
      </w:r>
      <w:r w:rsidRPr="00C20AB8">
        <w:fldChar w:fldCharType="begin" w:fldLock="1"/>
      </w:r>
      <w:r w:rsidR="000B07A6">
        <w:instrText>ADDIN CSL_CITATION { "citationItems" : [ { "id" : "ITEM-1", "itemData" : { "DOI" : "10.3945/ajcn.2010.29247", "ISSN" : "0002-9165", "author" : [ { "dropping-particle" : "", "family" : "Lucia Rolfe", "given" : "E.", "non-dropping-particle" : "De", "parse-names" : false, "suffix" : "" }, { "dropping-particle" : "", "family" : "Loos", "given" : "R. J.", "non-dropping-particle" : "", "parse-names" : false, "suffix" : "" }, { "dropping-particle" : "", "family" : "Druet", "given" : "C.", "non-dropping-particle" : "", "parse-names" : false, "suffix" : "" }, { "dropping-particle" : "", "family" : "Stolk", "given" : "R. P.", "non-dropping-particle" : "", "parse-names" : false, "suffix" : "" }, { "dropping-particle" : "", "family" : "Ekelund", "given" : "U.", "non-dropping-particle" : "", "parse-names" : false, "suffix" : "" }, { "dropping-particle" : "", "family" : "Griffin", "given" : "S. J.", "non-dropping-particle" : "", "parse-names" : false, "suffix" : "" }, { "dropping-particle" : "", "family" : "Forouhi", "given" : "N. G.", "non-dropping-particle" : "", "parse-names" : false, "suffix" : "" }, { "dropping-particle" : "", "family" : "Wareham", "given" : "N. J.", "non-dropping-particle" : "", "parse-names" : false, "suffix" : "" }, { "dropping-particle" : "", "family" : "Ong", "given" : "K. K.", "non-dropping-particle" : "", "parse-names" : false, "suffix" : "" } ], "container-title" : "American Journal of Clinical Nutrition", "id" : "ITEM-1", "issue" : "2", "issued" : { "date-parts" : [ [ "2010", "8", "1" ] ] }, "page" : "347-352", "publisher" : "American Society for Nutrition", "title" : "Association between birth weight and visceral fat in adults", "type" : "article-journal", "volume" : "92" }, "uris" : [ "http://www.mendeley.com/documents/?uuid=ac3d92fc-e305-3485-8969-4896151dcacf" ] } ], "mendeley" : { "formattedCitation" : "(De Lucia Rolfe et al., 2010)", "plainTextFormattedCitation" : "(De Lucia Rolfe et al., 2010)", "previouslyFormattedCitation" : "(De Lucia Rolfe et al., 2010)" }, "properties" : { "noteIndex" : 0 }, "schema" : "https://github.com/citation-style-language/schema/raw/master/csl-citation.json" }</w:instrText>
      </w:r>
      <w:r w:rsidRPr="00C20AB8">
        <w:fldChar w:fldCharType="separate"/>
      </w:r>
      <w:r w:rsidR="00B71669" w:rsidRPr="00B71669">
        <w:rPr>
          <w:noProof/>
        </w:rPr>
        <w:t>(De Lucia Rolfe et al., 2010)</w:t>
      </w:r>
      <w:r w:rsidRPr="00C20AB8">
        <w:fldChar w:fldCharType="end"/>
      </w:r>
      <w:r w:rsidR="003C7FB2">
        <w:rPr>
          <w:rFonts w:ascii="Calibri" w:eastAsia="Times New Roman" w:hAnsi="Calibri" w:cs="Segoe UI"/>
          <w:color w:val="000000"/>
          <w:lang w:eastAsia="en-GB"/>
        </w:rPr>
        <w:t xml:space="preserve"> </w:t>
      </w:r>
      <w:r w:rsidR="00961F3B" w:rsidRPr="00FC21D8">
        <w:rPr>
          <w:rFonts w:eastAsia="Times New Roman" w:cs="Arial"/>
          <w:lang w:eastAsia="en-GB"/>
        </w:rPr>
        <w:t>Percentage</w:t>
      </w:r>
      <w:r w:rsidR="003C7FB2">
        <w:rPr>
          <w:rFonts w:eastAsia="Times New Roman" w:cs="Arial"/>
          <w:lang w:eastAsia="en-GB"/>
        </w:rPr>
        <w:t xml:space="preserve"> </w:t>
      </w:r>
      <w:r w:rsidR="00961F3B" w:rsidRPr="00FC21D8">
        <w:rPr>
          <w:rFonts w:eastAsia="Times New Roman" w:cs="Arial"/>
          <w:lang w:eastAsia="en-GB"/>
        </w:rPr>
        <w:t>total</w:t>
      </w:r>
      <w:r w:rsidR="003C7FB2">
        <w:rPr>
          <w:rFonts w:eastAsia="Times New Roman" w:cs="Arial"/>
          <w:lang w:eastAsia="en-GB"/>
        </w:rPr>
        <w:t xml:space="preserve"> </w:t>
      </w:r>
      <w:r w:rsidR="00961F3B" w:rsidRPr="00FC21D8">
        <w:rPr>
          <w:rFonts w:eastAsia="Times New Roman" w:cs="Arial"/>
          <w:lang w:eastAsia="en-GB"/>
        </w:rPr>
        <w:t>body</w:t>
      </w:r>
      <w:r w:rsidR="003C7FB2">
        <w:rPr>
          <w:rFonts w:eastAsia="Times New Roman" w:cs="Arial"/>
          <w:lang w:eastAsia="en-GB"/>
        </w:rPr>
        <w:t xml:space="preserve"> </w:t>
      </w:r>
      <w:r w:rsidR="00961F3B" w:rsidRPr="00FC21D8">
        <w:rPr>
          <w:rFonts w:eastAsia="Times New Roman" w:cs="Arial"/>
          <w:lang w:eastAsia="en-GB"/>
        </w:rPr>
        <w:t>fat</w:t>
      </w:r>
      <w:r w:rsidR="003C7FB2">
        <w:rPr>
          <w:rFonts w:eastAsia="Times New Roman" w:cs="Arial"/>
          <w:lang w:eastAsia="en-GB"/>
        </w:rPr>
        <w:t xml:space="preserve"> </w:t>
      </w:r>
      <w:r w:rsidR="00961F3B" w:rsidRPr="00FC21D8">
        <w:rPr>
          <w:rFonts w:eastAsia="Times New Roman" w:cs="Arial"/>
          <w:lang w:eastAsia="en-GB"/>
        </w:rPr>
        <w:t>was</w:t>
      </w:r>
      <w:r w:rsidR="003C7FB2">
        <w:rPr>
          <w:rFonts w:eastAsia="Times New Roman" w:cs="Arial"/>
          <w:lang w:eastAsia="en-GB"/>
        </w:rPr>
        <w:t xml:space="preserve"> </w:t>
      </w:r>
      <w:r w:rsidR="00961F3B" w:rsidRPr="00FC21D8">
        <w:rPr>
          <w:rFonts w:eastAsia="Times New Roman" w:cs="Arial"/>
          <w:lang w:eastAsia="en-GB"/>
        </w:rPr>
        <w:t>estimated</w:t>
      </w:r>
      <w:r w:rsidR="003C7FB2">
        <w:rPr>
          <w:rFonts w:eastAsia="Times New Roman" w:cs="Arial"/>
          <w:lang w:eastAsia="en-GB"/>
        </w:rPr>
        <w:t xml:space="preserve"> </w:t>
      </w:r>
      <w:r w:rsidR="00961F3B" w:rsidRPr="00FC21D8">
        <w:rPr>
          <w:rFonts w:eastAsia="Times New Roman" w:cs="Arial"/>
          <w:lang w:eastAsia="en-GB"/>
        </w:rPr>
        <w:t>using</w:t>
      </w:r>
      <w:r w:rsidR="003C7FB2">
        <w:rPr>
          <w:rFonts w:eastAsia="Times New Roman" w:cs="Arial"/>
          <w:lang w:eastAsia="en-GB"/>
        </w:rPr>
        <w:t xml:space="preserve"> </w:t>
      </w:r>
      <w:r w:rsidR="00961F3B" w:rsidRPr="00FC21D8">
        <w:rPr>
          <w:rFonts w:eastAsia="Times New Roman" w:cs="Arial"/>
          <w:lang w:eastAsia="en-GB"/>
        </w:rPr>
        <w:t>a</w:t>
      </w:r>
      <w:r w:rsidR="003C7FB2">
        <w:rPr>
          <w:rFonts w:eastAsia="Times New Roman" w:cs="Arial"/>
          <w:lang w:eastAsia="en-GB"/>
        </w:rPr>
        <w:t xml:space="preserve"> </w:t>
      </w:r>
      <w:r w:rsidR="00961F3B" w:rsidRPr="00FC21D8">
        <w:rPr>
          <w:rFonts w:eastAsia="Times New Roman" w:cs="Arial"/>
          <w:lang w:eastAsia="en-GB"/>
        </w:rPr>
        <w:t>three-compartment</w:t>
      </w:r>
      <w:r w:rsidR="003C7FB2">
        <w:rPr>
          <w:rFonts w:eastAsia="Times New Roman" w:cs="Arial"/>
          <w:lang w:eastAsia="en-GB"/>
        </w:rPr>
        <w:t xml:space="preserve"> </w:t>
      </w:r>
      <w:r w:rsidR="00961F3B" w:rsidRPr="00FC21D8">
        <w:rPr>
          <w:rFonts w:eastAsia="Times New Roman" w:cs="Arial"/>
          <w:lang w:eastAsia="en-GB"/>
        </w:rPr>
        <w:t>model</w:t>
      </w:r>
      <w:r w:rsidR="003C7FB2">
        <w:rPr>
          <w:rFonts w:eastAsia="Times New Roman" w:cs="Arial"/>
          <w:lang w:eastAsia="en-GB"/>
        </w:rPr>
        <w:t xml:space="preserve"> </w:t>
      </w:r>
      <w:r w:rsidR="00961F3B" w:rsidRPr="00FC21D8">
        <w:rPr>
          <w:rFonts w:eastAsia="Times New Roman" w:cs="Arial"/>
          <w:lang w:eastAsia="en-GB"/>
        </w:rPr>
        <w:t>(fat</w:t>
      </w:r>
      <w:r w:rsidR="003C7FB2">
        <w:rPr>
          <w:rFonts w:eastAsia="Times New Roman" w:cs="Arial"/>
          <w:lang w:eastAsia="en-GB"/>
        </w:rPr>
        <w:t xml:space="preserve"> </w:t>
      </w:r>
      <w:r w:rsidR="00961F3B" w:rsidRPr="00FC21D8">
        <w:rPr>
          <w:rFonts w:eastAsia="Times New Roman" w:cs="Arial"/>
          <w:lang w:eastAsia="en-GB"/>
        </w:rPr>
        <w:t>mass,</w:t>
      </w:r>
      <w:r w:rsidR="003C7FB2">
        <w:rPr>
          <w:rFonts w:eastAsia="Times New Roman" w:cs="Arial"/>
          <w:lang w:eastAsia="en-GB"/>
        </w:rPr>
        <w:t xml:space="preserve"> </w:t>
      </w:r>
      <w:r w:rsidR="00961F3B" w:rsidRPr="00FC21D8">
        <w:rPr>
          <w:rFonts w:eastAsia="Times New Roman" w:cs="Arial"/>
          <w:lang w:eastAsia="en-GB"/>
        </w:rPr>
        <w:t>fat-free</w:t>
      </w:r>
      <w:r w:rsidR="003C7FB2">
        <w:rPr>
          <w:rFonts w:eastAsia="Times New Roman" w:cs="Arial"/>
          <w:lang w:eastAsia="en-GB"/>
        </w:rPr>
        <w:t xml:space="preserve"> </w:t>
      </w:r>
      <w:r w:rsidR="00961F3B" w:rsidRPr="00972020">
        <w:rPr>
          <w:rFonts w:eastAsia="Times New Roman" w:cs="Arial"/>
          <w:lang w:eastAsia="en-GB"/>
        </w:rPr>
        <w:t>mass,</w:t>
      </w:r>
      <w:r w:rsidR="003C7FB2">
        <w:rPr>
          <w:rFonts w:eastAsia="Times New Roman" w:cs="Arial"/>
          <w:lang w:eastAsia="en-GB"/>
        </w:rPr>
        <w:t xml:space="preserve"> </w:t>
      </w:r>
      <w:r w:rsidR="00961F3B" w:rsidRPr="00972020">
        <w:rPr>
          <w:rFonts w:eastAsia="Times New Roman" w:cs="Arial"/>
          <w:lang w:eastAsia="en-GB"/>
        </w:rPr>
        <w:t>and</w:t>
      </w:r>
      <w:r w:rsidR="003C7FB2">
        <w:rPr>
          <w:rFonts w:eastAsia="Times New Roman" w:cs="Arial"/>
          <w:lang w:eastAsia="en-GB"/>
        </w:rPr>
        <w:t xml:space="preserve"> </w:t>
      </w:r>
      <w:r w:rsidR="00961F3B" w:rsidRPr="00972020">
        <w:rPr>
          <w:rFonts w:eastAsia="Times New Roman" w:cs="Arial"/>
          <w:lang w:eastAsia="en-GB"/>
        </w:rPr>
        <w:t>bone</w:t>
      </w:r>
      <w:r w:rsidR="003C7FB2">
        <w:rPr>
          <w:rFonts w:eastAsia="Times New Roman" w:cs="Arial"/>
          <w:lang w:eastAsia="en-GB"/>
        </w:rPr>
        <w:t xml:space="preserve"> </w:t>
      </w:r>
      <w:r w:rsidR="00961F3B" w:rsidRPr="00972020">
        <w:rPr>
          <w:rFonts w:eastAsia="Times New Roman" w:cs="Arial"/>
          <w:lang w:eastAsia="en-GB"/>
        </w:rPr>
        <w:t>mineral</w:t>
      </w:r>
      <w:r w:rsidR="003C7FB2">
        <w:rPr>
          <w:rFonts w:eastAsia="Times New Roman" w:cs="Arial"/>
          <w:lang w:eastAsia="en-GB"/>
        </w:rPr>
        <w:t xml:space="preserve"> </w:t>
      </w:r>
      <w:r w:rsidR="00961F3B" w:rsidRPr="00972020">
        <w:rPr>
          <w:rFonts w:eastAsia="Times New Roman" w:cs="Arial"/>
          <w:lang w:eastAsia="en-GB"/>
        </w:rPr>
        <w:t>mass).</w:t>
      </w:r>
      <w:r w:rsidR="003C7FB2">
        <w:rPr>
          <w:rFonts w:eastAsia="Times New Roman" w:cs="Arial"/>
          <w:lang w:eastAsia="en-GB"/>
        </w:rPr>
        <w:t xml:space="preserve"> </w:t>
      </w:r>
      <w:r w:rsidR="00961F3B" w:rsidRPr="00C736E2">
        <w:rPr>
          <w:rFonts w:ascii="Calibri" w:eastAsia="Times New Roman" w:hAnsi="Calibri" w:cs="Segoe UI"/>
          <w:color w:val="000000"/>
          <w:lang w:eastAsia="en-GB"/>
        </w:rPr>
        <w:t>The</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software</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use</w:t>
      </w:r>
      <w:r w:rsidR="00961F3B" w:rsidRPr="00972020">
        <w:rPr>
          <w:rFonts w:ascii="Calibri" w:eastAsia="Times New Roman" w:hAnsi="Calibri" w:cs="Segoe UI"/>
          <w:color w:val="000000"/>
          <w:lang w:eastAsia="en-GB"/>
        </w:rPr>
        <w:t>d</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an</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inbuilt</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algorithm</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to</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determine</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visceral</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adipose</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tissue</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w:t>
      </w:r>
      <w:r w:rsidR="00961F3B">
        <w:rPr>
          <w:rFonts w:ascii="Calibri" w:eastAsia="Times New Roman" w:hAnsi="Calibri" w:cs="Segoe UI"/>
          <w:color w:val="000000"/>
          <w:lang w:eastAsia="en-GB"/>
        </w:rPr>
        <w:t>cm</w:t>
      </w:r>
      <w:r w:rsidR="00961F3B" w:rsidRPr="007C42E3">
        <w:rPr>
          <w:rFonts w:ascii="Calibri" w:eastAsia="Times New Roman" w:hAnsi="Calibri" w:cs="Segoe UI"/>
          <w:color w:val="000000"/>
          <w:vertAlign w:val="superscript"/>
          <w:lang w:eastAsia="en-GB"/>
        </w:rPr>
        <w:t>3</w:t>
      </w:r>
      <w:r w:rsidR="00961F3B" w:rsidRPr="00C736E2">
        <w:rPr>
          <w:rFonts w:ascii="Calibri" w:eastAsia="Times New Roman" w:hAnsi="Calibri" w:cs="Segoe UI"/>
          <w:color w:val="000000"/>
          <w:lang w:eastAsia="en-GB"/>
        </w:rPr>
        <w:t>)</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within</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the</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android</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region</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w:t>
      </w:r>
      <w:r w:rsidR="00961F3B" w:rsidRPr="00972020">
        <w:rPr>
          <w:rFonts w:ascii="Calibri" w:eastAsia="Times New Roman" w:hAnsi="Calibri" w:cs="Segoe UI"/>
          <w:color w:val="000000"/>
          <w:lang w:eastAsia="en-GB"/>
        </w:rPr>
        <w:t>the</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region</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outlined</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by</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iliac</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crest</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and</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with</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a</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superior</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height</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equivalent</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to</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20%</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of</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the</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distance</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from</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the</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top</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of</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the</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iliac</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crest</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to</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the</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base</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of</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the</w:t>
      </w:r>
      <w:r w:rsidR="003C7FB2">
        <w:rPr>
          <w:rFonts w:ascii="Calibri" w:eastAsia="Times New Roman" w:hAnsi="Calibri" w:cs="Segoe UI"/>
          <w:color w:val="000000"/>
          <w:lang w:eastAsia="en-GB"/>
        </w:rPr>
        <w:t xml:space="preserve"> </w:t>
      </w:r>
      <w:r w:rsidR="00961F3B" w:rsidRPr="00C736E2">
        <w:rPr>
          <w:rFonts w:ascii="Calibri" w:eastAsia="Times New Roman" w:hAnsi="Calibri" w:cs="Segoe UI"/>
          <w:color w:val="000000"/>
          <w:lang w:eastAsia="en-GB"/>
        </w:rPr>
        <w:t>skull</w:t>
      </w:r>
      <w:r w:rsidR="00961F3B" w:rsidRPr="00972020">
        <w:rPr>
          <w:rFonts w:ascii="Calibri" w:eastAsia="Times New Roman" w:hAnsi="Calibri" w:cs="Segoe UI"/>
          <w:color w:val="000000"/>
          <w:lang w:eastAsia="en-GB"/>
        </w:rPr>
        <w:t>)</w:t>
      </w:r>
      <w:r w:rsidR="00961F3B" w:rsidRPr="00972020">
        <w:rPr>
          <w:rFonts w:eastAsia="Times New Roman" w:cs="Arial"/>
          <w:lang w:eastAsia="en-GB"/>
        </w:rPr>
        <w:t>.</w:t>
      </w:r>
      <w:r w:rsidR="003C7FB2">
        <w:rPr>
          <w:rFonts w:eastAsia="Times New Roman" w:cs="Arial"/>
          <w:lang w:eastAsia="en-GB"/>
        </w:rPr>
        <w:t xml:space="preserve"> </w:t>
      </w:r>
    </w:p>
    <w:p w14:paraId="4434C791" w14:textId="77777777" w:rsidR="00961F3B" w:rsidRDefault="00961F3B" w:rsidP="004D4C5D">
      <w:pPr>
        <w:spacing w:after="0" w:line="240" w:lineRule="auto"/>
        <w:rPr>
          <w:rFonts w:eastAsia="Times New Roman" w:cs="Arial"/>
          <w:lang w:eastAsia="en-GB"/>
        </w:rPr>
      </w:pPr>
    </w:p>
    <w:p w14:paraId="3EBA5EEF" w14:textId="0F884FB0" w:rsidR="00C20AB8" w:rsidRDefault="00B836EB" w:rsidP="004D4C5D">
      <w:pPr>
        <w:spacing w:after="0" w:line="240" w:lineRule="auto"/>
        <w:rPr>
          <w:rFonts w:eastAsia="Times New Roman" w:cs="Arial"/>
          <w:lang w:eastAsia="en-GB"/>
        </w:rPr>
      </w:pPr>
      <w:r>
        <w:rPr>
          <w:rFonts w:eastAsia="Times New Roman" w:cs="Arial"/>
          <w:lang w:eastAsia="en-GB"/>
        </w:rPr>
        <w:t>Estimates</w:t>
      </w:r>
      <w:r w:rsidR="003C7FB2">
        <w:rPr>
          <w:rFonts w:eastAsia="Times New Roman" w:cs="Arial"/>
          <w:lang w:eastAsia="en-GB"/>
        </w:rPr>
        <w:t xml:space="preserve"> </w:t>
      </w:r>
      <w:r>
        <w:rPr>
          <w:rFonts w:eastAsia="Times New Roman" w:cs="Arial"/>
          <w:lang w:eastAsia="en-GB"/>
        </w:rPr>
        <w:t>of</w:t>
      </w:r>
      <w:r w:rsidR="003C7FB2">
        <w:rPr>
          <w:rFonts w:eastAsia="Times New Roman" w:cs="Arial"/>
          <w:lang w:eastAsia="en-GB"/>
        </w:rPr>
        <w:t xml:space="preserve"> </w:t>
      </w:r>
      <w:r w:rsidR="00420428">
        <w:rPr>
          <w:rFonts w:eastAsia="Times New Roman" w:cs="Arial"/>
          <w:lang w:eastAsia="en-GB"/>
        </w:rPr>
        <w:t>VAT</w:t>
      </w:r>
      <w:r w:rsidR="003C7FB2">
        <w:rPr>
          <w:rFonts w:eastAsia="Times New Roman" w:cs="Arial"/>
          <w:lang w:eastAsia="en-GB"/>
        </w:rPr>
        <w:t xml:space="preserve"> </w:t>
      </w:r>
      <w:r>
        <w:rPr>
          <w:rFonts w:eastAsia="Times New Roman" w:cs="Arial"/>
          <w:lang w:eastAsia="en-GB"/>
        </w:rPr>
        <w:t>derived</w:t>
      </w:r>
      <w:r w:rsidR="003C7FB2">
        <w:rPr>
          <w:rFonts w:eastAsia="Times New Roman" w:cs="Arial"/>
          <w:lang w:eastAsia="en-GB"/>
        </w:rPr>
        <w:t xml:space="preserve"> </w:t>
      </w:r>
      <w:r>
        <w:rPr>
          <w:rFonts w:eastAsia="Times New Roman" w:cs="Arial"/>
          <w:lang w:eastAsia="en-GB"/>
        </w:rPr>
        <w:t>from</w:t>
      </w:r>
      <w:r w:rsidR="003C7FB2">
        <w:rPr>
          <w:rFonts w:eastAsia="Times New Roman" w:cs="Arial"/>
          <w:lang w:eastAsia="en-GB"/>
        </w:rPr>
        <w:t xml:space="preserve"> </w:t>
      </w:r>
      <w:r>
        <w:rPr>
          <w:rFonts w:eastAsia="Times New Roman" w:cs="Arial"/>
          <w:lang w:eastAsia="en-GB"/>
        </w:rPr>
        <w:t>DEXA</w:t>
      </w:r>
      <w:r w:rsidR="003C7FB2">
        <w:rPr>
          <w:rFonts w:eastAsia="Times New Roman" w:cs="Arial"/>
          <w:lang w:eastAsia="en-GB"/>
        </w:rPr>
        <w:t xml:space="preserve"> </w:t>
      </w:r>
      <w:r>
        <w:rPr>
          <w:rFonts w:eastAsia="Times New Roman" w:cs="Arial"/>
          <w:lang w:eastAsia="en-GB"/>
        </w:rPr>
        <w:t>scans</w:t>
      </w:r>
      <w:r w:rsidR="003C7FB2">
        <w:rPr>
          <w:rFonts w:eastAsia="Times New Roman" w:cs="Arial"/>
          <w:lang w:eastAsia="en-GB"/>
        </w:rPr>
        <w:t xml:space="preserve"> </w:t>
      </w:r>
      <w:r>
        <w:rPr>
          <w:rFonts w:eastAsia="Times New Roman" w:cs="Arial"/>
          <w:lang w:eastAsia="en-GB"/>
        </w:rPr>
        <w:t>have</w:t>
      </w:r>
      <w:r w:rsidR="003C7FB2">
        <w:rPr>
          <w:rFonts w:eastAsia="Times New Roman" w:cs="Arial"/>
          <w:lang w:eastAsia="en-GB"/>
        </w:rPr>
        <w:t xml:space="preserve"> </w:t>
      </w:r>
      <w:r>
        <w:rPr>
          <w:rFonts w:eastAsia="Times New Roman" w:cs="Arial"/>
          <w:lang w:eastAsia="en-GB"/>
        </w:rPr>
        <w:t>been</w:t>
      </w:r>
      <w:r w:rsidR="003C7FB2">
        <w:rPr>
          <w:rFonts w:eastAsia="Times New Roman" w:cs="Arial"/>
          <w:lang w:eastAsia="en-GB"/>
        </w:rPr>
        <w:t xml:space="preserve"> </w:t>
      </w:r>
      <w:r>
        <w:rPr>
          <w:rFonts w:eastAsia="Times New Roman" w:cs="Arial"/>
          <w:lang w:eastAsia="en-GB"/>
        </w:rPr>
        <w:t>shown</w:t>
      </w:r>
      <w:r w:rsidR="003C7FB2">
        <w:rPr>
          <w:rFonts w:eastAsia="Times New Roman" w:cs="Arial"/>
          <w:lang w:eastAsia="en-GB"/>
        </w:rPr>
        <w:t xml:space="preserve"> </w:t>
      </w:r>
      <w:r>
        <w:rPr>
          <w:rFonts w:eastAsia="Times New Roman" w:cs="Arial"/>
          <w:lang w:eastAsia="en-GB"/>
        </w:rPr>
        <w:t>to</w:t>
      </w:r>
      <w:r w:rsidR="003C7FB2">
        <w:rPr>
          <w:rFonts w:eastAsia="Times New Roman" w:cs="Arial"/>
          <w:lang w:eastAsia="en-GB"/>
        </w:rPr>
        <w:t xml:space="preserve"> </w:t>
      </w:r>
      <w:r>
        <w:rPr>
          <w:rFonts w:eastAsia="Times New Roman" w:cs="Arial"/>
          <w:lang w:eastAsia="en-GB"/>
        </w:rPr>
        <w:t>have</w:t>
      </w:r>
      <w:r w:rsidR="003C7FB2">
        <w:rPr>
          <w:rFonts w:eastAsia="Times New Roman" w:cs="Arial"/>
          <w:lang w:eastAsia="en-GB"/>
        </w:rPr>
        <w:t xml:space="preserve"> </w:t>
      </w:r>
      <w:r>
        <w:rPr>
          <w:rFonts w:eastAsia="Times New Roman" w:cs="Arial"/>
          <w:lang w:eastAsia="en-GB"/>
        </w:rPr>
        <w:t>good</w:t>
      </w:r>
      <w:r w:rsidR="003C7FB2">
        <w:rPr>
          <w:rFonts w:eastAsia="Times New Roman" w:cs="Arial"/>
          <w:lang w:eastAsia="en-GB"/>
        </w:rPr>
        <w:t xml:space="preserve"> </w:t>
      </w:r>
      <w:r>
        <w:rPr>
          <w:rFonts w:eastAsia="Times New Roman" w:cs="Arial"/>
          <w:lang w:eastAsia="en-GB"/>
        </w:rPr>
        <w:t>agreement</w:t>
      </w:r>
      <w:r w:rsidR="003C7FB2">
        <w:rPr>
          <w:rFonts w:eastAsia="Times New Roman" w:cs="Arial"/>
          <w:lang w:eastAsia="en-GB"/>
        </w:rPr>
        <w:t xml:space="preserve"> </w:t>
      </w:r>
      <w:r>
        <w:rPr>
          <w:rFonts w:eastAsia="Times New Roman" w:cs="Arial"/>
          <w:lang w:eastAsia="en-GB"/>
        </w:rPr>
        <w:t>with</w:t>
      </w:r>
      <w:r w:rsidR="003C7FB2">
        <w:rPr>
          <w:rFonts w:eastAsia="Times New Roman" w:cs="Arial"/>
          <w:lang w:eastAsia="en-GB"/>
        </w:rPr>
        <w:t xml:space="preserve"> </w:t>
      </w:r>
      <w:r>
        <w:rPr>
          <w:rFonts w:eastAsia="Times New Roman" w:cs="Arial"/>
          <w:lang w:eastAsia="en-GB"/>
        </w:rPr>
        <w:t>gold-standard</w:t>
      </w:r>
      <w:r w:rsidR="003C7FB2">
        <w:rPr>
          <w:rFonts w:eastAsia="Times New Roman" w:cs="Arial"/>
          <w:lang w:eastAsia="en-GB"/>
        </w:rPr>
        <w:t xml:space="preserve"> </w:t>
      </w:r>
      <w:r>
        <w:rPr>
          <w:rFonts w:eastAsia="Times New Roman" w:cs="Arial"/>
          <w:lang w:eastAsia="en-GB"/>
        </w:rPr>
        <w:t>estimates</w:t>
      </w:r>
      <w:r w:rsidR="003C7FB2">
        <w:rPr>
          <w:rFonts w:eastAsia="Times New Roman" w:cs="Arial"/>
          <w:lang w:eastAsia="en-GB"/>
        </w:rPr>
        <w:t xml:space="preserve"> </w:t>
      </w:r>
      <w:r>
        <w:rPr>
          <w:rFonts w:eastAsia="Times New Roman" w:cs="Arial"/>
          <w:lang w:eastAsia="en-GB"/>
        </w:rPr>
        <w:t>from</w:t>
      </w:r>
      <w:r w:rsidR="003C7FB2">
        <w:rPr>
          <w:rFonts w:eastAsia="Times New Roman" w:cs="Arial"/>
          <w:lang w:eastAsia="en-GB"/>
        </w:rPr>
        <w:t xml:space="preserve"> </w:t>
      </w:r>
      <w:r>
        <w:rPr>
          <w:rFonts w:eastAsia="Times New Roman" w:cs="Arial"/>
          <w:lang w:eastAsia="en-GB"/>
        </w:rPr>
        <w:t>CT</w:t>
      </w:r>
      <w:r w:rsidR="003C7FB2">
        <w:rPr>
          <w:rFonts w:eastAsia="Times New Roman" w:cs="Arial"/>
          <w:lang w:eastAsia="en-GB"/>
        </w:rPr>
        <w:t xml:space="preserve"> </w:t>
      </w:r>
      <w:r>
        <w:rPr>
          <w:rFonts w:eastAsia="Times New Roman" w:cs="Arial"/>
          <w:lang w:eastAsia="en-GB"/>
        </w:rPr>
        <w:t>scan.</w:t>
      </w:r>
      <w:r>
        <w:rPr>
          <w:rFonts w:eastAsia="Times New Roman" w:cs="Arial"/>
          <w:lang w:eastAsia="en-GB"/>
        </w:rPr>
        <w:fldChar w:fldCharType="begin" w:fldLock="1"/>
      </w:r>
      <w:r w:rsidR="000B07A6">
        <w:rPr>
          <w:rFonts w:eastAsia="Times New Roman" w:cs="Arial"/>
          <w:lang w:eastAsia="en-GB"/>
        </w:rPr>
        <w:instrText>ADDIN CSL_CITATION { "citationItems" : [ { "id" : "ITEM-1", "itemData" : { "DOI" : "10.1038/oby.2011.367", "ISSN" : "1930-739X", "PMID" : "22240726", "abstract" : "Visceral adipose tissue (VAT) is associated with adverse health effects including cardiovascular disease and type 2 diabetes. We developed a dual-energy X-ray absorptiometry (DXA) measurement of visceral adipose tissue (DXA-VAT) as a low cost and low radiation alternative to computed tomography (CT). DXA-VAT was compared to VAT assessed using CT by an expert reader (E-VAT). In addition, the same CT slice was also read by a clinical radiographer (C-VAT) and a best-fit anthropomorphic and demographic VAT model (A-VAT) was developed. Whole body DXA, CT at L4-L5, and anthropometry were measured on 272 black and white South African women (age 29 \u00b1 8 years, BMI 28 \u00b1 7 kg/m(2), waist circumference (WC) 89 \u00b1 16 cm). Approximately one-half of the dataset (n = 141) was randomly selected and used as a training set for the development of DXA-VAT and A-VAT, which were then used to estimate VAT on the remaining 131 women in a blinded fashion. DXA-VAT (r = 0.93, standard error of the estimate (SEE) = 16 cm(2)) and C-VAT (r = 0.93, SEE = 16 cm(2)) were strongly correlated to E-VAT. These correlations with E-VAT were significantly stronger (P &lt; 0.001) than the correlations of individual anthropometry measurements and the A-VAT model (WC + age, r = 0.79, SEE = 27 cm(2)). The inclusion of anthropometric and demographic measurements did not substantially improve the correlation between DXA-VAT and E-VAT. DXA-VAT performed as well as a clinical read of VAT from a CT scan and better than anthropomorphic and demographic models.", "author" : [ { "dropping-particle" : "", "family" : "Micklesfield", "given" : "Lisa K", "non-dropping-particle" : "", "parse-names" : false, "suffix" : "" }, { "dropping-particle" : "", "family" : "Goedecke", "given" : "Julia H", "non-dropping-particle" : "", "parse-names" : false, "suffix" : "" }, { "dropping-particle" : "", "family" : "Punyanitya", "given" : "Mark", "non-dropping-particle" : "", "parse-names" : false, "suffix" : "" }, { "dropping-particle" : "", "family" : "Wilson", "given" : "Kevin E", "non-dropping-particle" : "", "parse-names" : false, "suffix" : "" }, { "dropping-particle" : "", "family" : "Kelly", "given" : "Thomas L", "non-dropping-particle" : "", "parse-names" : false, "suffix" : "" } ], "container-title" : "Obesity (Silver Spring, Md.)", "id" : "ITEM-1", "issue" : "5", "issued" : { "date-parts" : [ [ "2012", "5" ] ] }, "page" : "1109-14", "title" : "Dual-energy X-ray performs as well as clinical computed tomography for the measurement of visceral fat.", "type" : "article-journal", "volume" : "20" }, "uris" : [ "http://www.mendeley.com/documents/?uuid=2e334097-d96f-4f35-867b-ac50948bcb79" ] } ], "mendeley" : { "formattedCitation" : "(Micklesfield et al., 2012)", "plainTextFormattedCitation" : "(Micklesfield et al., 2012)", "previouslyFormattedCitation" : "(Micklesfield et al., 2012)" }, "properties" : { "noteIndex" : 0 }, "schema" : "https://github.com/citation-style-language/schema/raw/master/csl-citation.json" }</w:instrText>
      </w:r>
      <w:r>
        <w:rPr>
          <w:rFonts w:eastAsia="Times New Roman" w:cs="Arial"/>
          <w:lang w:eastAsia="en-GB"/>
        </w:rPr>
        <w:fldChar w:fldCharType="separate"/>
      </w:r>
      <w:r w:rsidR="00B71669" w:rsidRPr="00B71669">
        <w:rPr>
          <w:rFonts w:eastAsia="Times New Roman" w:cs="Arial"/>
          <w:noProof/>
          <w:lang w:eastAsia="en-GB"/>
        </w:rPr>
        <w:t>(Micklesfield et al., 2012)</w:t>
      </w:r>
      <w:r>
        <w:rPr>
          <w:rFonts w:eastAsia="Times New Roman" w:cs="Arial"/>
          <w:lang w:eastAsia="en-GB"/>
        </w:rPr>
        <w:fldChar w:fldCharType="end"/>
      </w:r>
      <w:r w:rsidR="003C7FB2">
        <w:rPr>
          <w:rFonts w:eastAsia="Times New Roman" w:cs="Arial"/>
          <w:lang w:eastAsia="en-GB"/>
        </w:rPr>
        <w:t xml:space="preserve"> </w:t>
      </w:r>
      <w:r w:rsidR="0076360D">
        <w:rPr>
          <w:rFonts w:eastAsia="Times New Roman" w:cs="Arial"/>
          <w:lang w:eastAsia="en-GB"/>
        </w:rPr>
        <w:t>Because</w:t>
      </w:r>
      <w:r w:rsidR="003C7FB2">
        <w:rPr>
          <w:rFonts w:eastAsia="Times New Roman" w:cs="Arial"/>
          <w:lang w:eastAsia="en-GB"/>
        </w:rPr>
        <w:t xml:space="preserve"> </w:t>
      </w:r>
      <w:r w:rsidR="0076360D">
        <w:rPr>
          <w:rFonts w:eastAsia="Times New Roman" w:cs="Arial"/>
          <w:lang w:eastAsia="en-GB"/>
        </w:rPr>
        <w:t>t</w:t>
      </w:r>
      <w:r w:rsidR="005331ED" w:rsidRPr="00972020">
        <w:rPr>
          <w:rFonts w:eastAsia="Times New Roman" w:cs="Arial"/>
          <w:lang w:eastAsia="en-GB"/>
        </w:rPr>
        <w:t>he</w:t>
      </w:r>
      <w:r w:rsidR="003C7FB2">
        <w:rPr>
          <w:rFonts w:eastAsia="Times New Roman" w:cs="Arial"/>
          <w:lang w:eastAsia="en-GB"/>
        </w:rPr>
        <w:t xml:space="preserve"> </w:t>
      </w:r>
      <w:r w:rsidR="005331ED">
        <w:rPr>
          <w:rFonts w:eastAsia="Times New Roman" w:cs="Arial"/>
          <w:lang w:eastAsia="en-GB"/>
        </w:rPr>
        <w:t>distribution</w:t>
      </w:r>
      <w:r w:rsidR="003C7FB2">
        <w:rPr>
          <w:rFonts w:eastAsia="Times New Roman" w:cs="Arial"/>
          <w:lang w:eastAsia="en-GB"/>
        </w:rPr>
        <w:t xml:space="preserve"> </w:t>
      </w:r>
      <w:r w:rsidR="005331ED">
        <w:rPr>
          <w:rFonts w:eastAsia="Times New Roman" w:cs="Arial"/>
          <w:lang w:eastAsia="en-GB"/>
        </w:rPr>
        <w:t>of</w:t>
      </w:r>
      <w:r w:rsidR="003C7FB2">
        <w:rPr>
          <w:rFonts w:eastAsia="Times New Roman" w:cs="Arial"/>
          <w:lang w:eastAsia="en-GB"/>
        </w:rPr>
        <w:t xml:space="preserve"> </w:t>
      </w:r>
      <w:r w:rsidR="005331ED">
        <w:rPr>
          <w:rFonts w:eastAsia="Times New Roman" w:cs="Arial"/>
          <w:lang w:eastAsia="en-GB"/>
        </w:rPr>
        <w:t>estimates</w:t>
      </w:r>
      <w:r w:rsidR="003C7FB2">
        <w:rPr>
          <w:rFonts w:eastAsia="Times New Roman" w:cs="Arial"/>
          <w:lang w:eastAsia="en-GB"/>
        </w:rPr>
        <w:t xml:space="preserve"> </w:t>
      </w:r>
      <w:r w:rsidR="005331ED">
        <w:rPr>
          <w:rFonts w:eastAsia="Times New Roman" w:cs="Arial"/>
          <w:lang w:eastAsia="en-GB"/>
        </w:rPr>
        <w:t>of</w:t>
      </w:r>
      <w:r w:rsidR="003C7FB2">
        <w:rPr>
          <w:rFonts w:eastAsia="Times New Roman" w:cs="Arial"/>
          <w:lang w:eastAsia="en-GB"/>
        </w:rPr>
        <w:t xml:space="preserve"> </w:t>
      </w:r>
      <w:r w:rsidR="00420428">
        <w:rPr>
          <w:rFonts w:eastAsia="Times New Roman" w:cs="Arial"/>
          <w:lang w:eastAsia="en-GB"/>
        </w:rPr>
        <w:t>VAT</w:t>
      </w:r>
      <w:r w:rsidR="003C7FB2">
        <w:rPr>
          <w:rFonts w:eastAsia="Times New Roman" w:cs="Arial"/>
          <w:lang w:eastAsia="en-GB"/>
        </w:rPr>
        <w:t xml:space="preserve"> </w:t>
      </w:r>
      <w:r w:rsidR="005331ED">
        <w:rPr>
          <w:rFonts w:eastAsia="Times New Roman" w:cs="Arial"/>
          <w:lang w:eastAsia="en-GB"/>
        </w:rPr>
        <w:t>was</w:t>
      </w:r>
      <w:r w:rsidR="003C7FB2">
        <w:rPr>
          <w:rFonts w:eastAsia="Times New Roman" w:cs="Arial"/>
          <w:lang w:eastAsia="en-GB"/>
        </w:rPr>
        <w:t xml:space="preserve"> </w:t>
      </w:r>
      <w:r w:rsidR="005331ED">
        <w:rPr>
          <w:rFonts w:eastAsia="Times New Roman" w:cs="Arial"/>
          <w:lang w:eastAsia="en-GB"/>
        </w:rPr>
        <w:t>highly</w:t>
      </w:r>
      <w:r w:rsidR="003C7FB2">
        <w:rPr>
          <w:rFonts w:eastAsia="Times New Roman" w:cs="Arial"/>
          <w:lang w:eastAsia="en-GB"/>
        </w:rPr>
        <w:t xml:space="preserve"> </w:t>
      </w:r>
      <w:r w:rsidR="005331ED">
        <w:rPr>
          <w:rFonts w:eastAsia="Times New Roman" w:cs="Arial"/>
          <w:lang w:eastAsia="en-GB"/>
        </w:rPr>
        <w:t>skewed</w:t>
      </w:r>
      <w:r w:rsidR="0076360D">
        <w:rPr>
          <w:rFonts w:eastAsia="Times New Roman" w:cs="Arial"/>
          <w:lang w:eastAsia="en-GB"/>
        </w:rPr>
        <w:t>,</w:t>
      </w:r>
      <w:r w:rsidR="003C7FB2">
        <w:rPr>
          <w:rFonts w:eastAsia="Times New Roman" w:cs="Arial"/>
          <w:lang w:eastAsia="en-GB"/>
        </w:rPr>
        <w:t xml:space="preserve"> </w:t>
      </w:r>
      <w:r w:rsidR="0076360D">
        <w:rPr>
          <w:rFonts w:eastAsia="Times New Roman" w:cs="Arial"/>
          <w:lang w:eastAsia="en-GB"/>
        </w:rPr>
        <w:t>these</w:t>
      </w:r>
      <w:r w:rsidR="003C7FB2">
        <w:rPr>
          <w:rFonts w:eastAsia="Times New Roman" w:cs="Arial"/>
          <w:lang w:eastAsia="en-GB"/>
        </w:rPr>
        <w:t xml:space="preserve"> </w:t>
      </w:r>
      <w:r w:rsidR="0076360D">
        <w:rPr>
          <w:rFonts w:eastAsia="Times New Roman" w:cs="Arial"/>
          <w:lang w:eastAsia="en-GB"/>
        </w:rPr>
        <w:t>were</w:t>
      </w:r>
      <w:r w:rsidR="003C7FB2">
        <w:rPr>
          <w:rFonts w:eastAsia="Times New Roman" w:cs="Arial"/>
          <w:lang w:eastAsia="en-GB"/>
        </w:rPr>
        <w:t xml:space="preserve"> </w:t>
      </w:r>
      <w:r w:rsidR="005331ED">
        <w:rPr>
          <w:rFonts w:eastAsia="Times New Roman" w:cs="Arial"/>
          <w:lang w:eastAsia="en-GB"/>
        </w:rPr>
        <w:t>transformed</w:t>
      </w:r>
      <w:r w:rsidR="003C7FB2">
        <w:rPr>
          <w:rFonts w:eastAsia="Times New Roman" w:cs="Arial"/>
          <w:lang w:eastAsia="en-GB"/>
        </w:rPr>
        <w:t xml:space="preserve"> </w:t>
      </w:r>
      <w:r w:rsidR="005331ED">
        <w:rPr>
          <w:rFonts w:eastAsia="Times New Roman" w:cs="Arial"/>
          <w:lang w:eastAsia="en-GB"/>
        </w:rPr>
        <w:t>using</w:t>
      </w:r>
      <w:r w:rsidR="003C7FB2">
        <w:rPr>
          <w:rFonts w:eastAsia="Times New Roman" w:cs="Arial"/>
          <w:lang w:eastAsia="en-GB"/>
        </w:rPr>
        <w:t xml:space="preserve"> </w:t>
      </w:r>
      <w:r w:rsidR="005331ED">
        <w:rPr>
          <w:rFonts w:eastAsia="Times New Roman" w:cs="Arial"/>
          <w:lang w:eastAsia="en-GB"/>
        </w:rPr>
        <w:t>a</w:t>
      </w:r>
      <w:r w:rsidR="003C7FB2">
        <w:rPr>
          <w:rFonts w:eastAsia="Times New Roman" w:cs="Arial"/>
          <w:lang w:eastAsia="en-GB"/>
        </w:rPr>
        <w:t xml:space="preserve"> </w:t>
      </w:r>
      <w:r w:rsidR="005331ED">
        <w:rPr>
          <w:rFonts w:eastAsia="Times New Roman" w:cs="Arial"/>
          <w:lang w:eastAsia="en-GB"/>
        </w:rPr>
        <w:t>square</w:t>
      </w:r>
      <w:r w:rsidR="003C7FB2">
        <w:rPr>
          <w:rFonts w:eastAsia="Times New Roman" w:cs="Arial"/>
          <w:lang w:eastAsia="en-GB"/>
        </w:rPr>
        <w:t xml:space="preserve"> </w:t>
      </w:r>
      <w:r w:rsidR="005331ED">
        <w:rPr>
          <w:rFonts w:eastAsia="Times New Roman" w:cs="Arial"/>
          <w:lang w:eastAsia="en-GB"/>
        </w:rPr>
        <w:t>root</w:t>
      </w:r>
      <w:r w:rsidR="003C7FB2">
        <w:rPr>
          <w:rFonts w:eastAsia="Times New Roman" w:cs="Arial"/>
          <w:lang w:eastAsia="en-GB"/>
        </w:rPr>
        <w:t xml:space="preserve"> </w:t>
      </w:r>
      <w:r w:rsidR="005331ED">
        <w:rPr>
          <w:rFonts w:eastAsia="Times New Roman" w:cs="Arial"/>
          <w:lang w:eastAsia="en-GB"/>
        </w:rPr>
        <w:t>function.</w:t>
      </w:r>
    </w:p>
    <w:p w14:paraId="54B94B98" w14:textId="483961B8" w:rsidR="00961F3B" w:rsidRDefault="00961F3B" w:rsidP="004D4C5D">
      <w:pPr>
        <w:spacing w:after="0" w:line="240" w:lineRule="auto"/>
        <w:rPr>
          <w:rFonts w:eastAsia="Times New Roman" w:cs="Arial"/>
          <w:lang w:eastAsia="en-GB"/>
        </w:rPr>
      </w:pPr>
    </w:p>
    <w:p w14:paraId="04F8AF2F" w14:textId="77777777" w:rsidR="00F971D8" w:rsidRDefault="00F971D8" w:rsidP="00913BAF">
      <w:pPr>
        <w:spacing w:after="0" w:line="240" w:lineRule="auto"/>
        <w:rPr>
          <w:u w:val="single"/>
        </w:rPr>
      </w:pPr>
    </w:p>
    <w:p w14:paraId="65513297" w14:textId="5354ABFA" w:rsidR="00913BAF" w:rsidRPr="00536FA6" w:rsidRDefault="00913BAF" w:rsidP="00913BAF">
      <w:pPr>
        <w:spacing w:after="0" w:line="240" w:lineRule="auto"/>
        <w:rPr>
          <w:u w:val="single"/>
        </w:rPr>
      </w:pPr>
      <w:r w:rsidRPr="00536FA6">
        <w:rPr>
          <w:u w:val="single"/>
        </w:rPr>
        <w:t>Inclusion</w:t>
      </w:r>
      <w:r w:rsidR="003C7FB2">
        <w:rPr>
          <w:u w:val="single"/>
        </w:rPr>
        <w:t xml:space="preserve"> </w:t>
      </w:r>
      <w:r w:rsidRPr="00536FA6">
        <w:rPr>
          <w:u w:val="single"/>
        </w:rPr>
        <w:t>and</w:t>
      </w:r>
      <w:r w:rsidR="003C7FB2">
        <w:rPr>
          <w:u w:val="single"/>
        </w:rPr>
        <w:t xml:space="preserve"> </w:t>
      </w:r>
      <w:r w:rsidRPr="00536FA6">
        <w:rPr>
          <w:u w:val="single"/>
        </w:rPr>
        <w:t>exclusion</w:t>
      </w:r>
      <w:r w:rsidR="003C7FB2">
        <w:rPr>
          <w:u w:val="single"/>
        </w:rPr>
        <w:t xml:space="preserve"> </w:t>
      </w:r>
      <w:r w:rsidRPr="00536FA6">
        <w:rPr>
          <w:u w:val="single"/>
        </w:rPr>
        <w:t>criteria</w:t>
      </w:r>
    </w:p>
    <w:p w14:paraId="770EB600" w14:textId="77777777" w:rsidR="00913BAF" w:rsidRDefault="00913BAF" w:rsidP="00913BAF">
      <w:pPr>
        <w:spacing w:after="0" w:line="240" w:lineRule="auto"/>
      </w:pPr>
    </w:p>
    <w:p w14:paraId="0A691477" w14:textId="0424E504" w:rsidR="00913BAF" w:rsidRDefault="00913BAF" w:rsidP="00913BAF">
      <w:pPr>
        <w:spacing w:after="0" w:line="240" w:lineRule="auto"/>
      </w:pPr>
      <w:r>
        <w:t>We</w:t>
      </w:r>
      <w:r w:rsidR="003C7FB2">
        <w:t xml:space="preserve"> </w:t>
      </w:r>
      <w:r>
        <w:t>only</w:t>
      </w:r>
      <w:r w:rsidR="003C7FB2">
        <w:t xml:space="preserve"> </w:t>
      </w:r>
      <w:r>
        <w:t>included</w:t>
      </w:r>
      <w:r w:rsidR="003C7FB2">
        <w:t xml:space="preserve"> </w:t>
      </w:r>
      <w:r>
        <w:t>participants</w:t>
      </w:r>
      <w:r w:rsidR="003C7FB2">
        <w:t xml:space="preserve"> </w:t>
      </w:r>
      <w:r>
        <w:t>who</w:t>
      </w:r>
      <w:r w:rsidR="003C7FB2">
        <w:t xml:space="preserve"> </w:t>
      </w:r>
      <w:r w:rsidR="005331ED">
        <w:t>were</w:t>
      </w:r>
      <w:r w:rsidR="003C7FB2">
        <w:t xml:space="preserve"> </w:t>
      </w:r>
      <w:r w:rsidR="005331ED">
        <w:t>employed</w:t>
      </w:r>
      <w:r w:rsidR="003C7FB2">
        <w:t xml:space="preserve"> </w:t>
      </w:r>
      <w:r w:rsidR="005331ED">
        <w:t>and</w:t>
      </w:r>
      <w:r w:rsidR="003C7FB2">
        <w:t xml:space="preserve"> </w:t>
      </w:r>
      <w:r>
        <w:t>reported</w:t>
      </w:r>
      <w:r w:rsidR="003C7FB2">
        <w:t xml:space="preserve"> </w:t>
      </w:r>
      <w:r>
        <w:t>regular</w:t>
      </w:r>
      <w:r w:rsidR="003C7FB2">
        <w:t xml:space="preserve"> </w:t>
      </w:r>
      <w:r>
        <w:t>travel</w:t>
      </w:r>
      <w:r w:rsidR="003C7FB2">
        <w:t xml:space="preserve"> </w:t>
      </w:r>
      <w:r>
        <w:t>to</w:t>
      </w:r>
      <w:r w:rsidR="003C7FB2">
        <w:t xml:space="preserve"> </w:t>
      </w:r>
      <w:r>
        <w:t>wo</w:t>
      </w:r>
      <w:r w:rsidR="00A03E4E">
        <w:t>rk</w:t>
      </w:r>
      <w:r w:rsidR="003C7FB2">
        <w:t xml:space="preserve"> </w:t>
      </w:r>
      <w:r w:rsidR="00A03E4E">
        <w:t>(</w:t>
      </w:r>
      <w:r w:rsidR="009A7681">
        <w:t>i.e.</w:t>
      </w:r>
      <w:r w:rsidR="003C7FB2">
        <w:t xml:space="preserve"> </w:t>
      </w:r>
      <w:r w:rsidR="005331ED">
        <w:t>reported</w:t>
      </w:r>
      <w:r w:rsidR="003C7FB2">
        <w:t xml:space="preserve"> </w:t>
      </w:r>
      <w:r w:rsidR="009A7681">
        <w:t>using</w:t>
      </w:r>
      <w:r w:rsidR="003C7FB2">
        <w:t xml:space="preserve"> </w:t>
      </w:r>
      <w:r w:rsidR="009A7681">
        <w:t>at</w:t>
      </w:r>
      <w:r w:rsidR="003C7FB2">
        <w:t xml:space="preserve"> </w:t>
      </w:r>
      <w:r w:rsidR="009A7681">
        <w:t>least</w:t>
      </w:r>
      <w:r w:rsidR="003C7FB2">
        <w:t xml:space="preserve"> </w:t>
      </w:r>
      <w:r w:rsidR="009A7681">
        <w:t>one</w:t>
      </w:r>
      <w:r w:rsidR="003C7FB2">
        <w:t xml:space="preserve"> </w:t>
      </w:r>
      <w:r w:rsidR="009A7681">
        <w:t>mode</w:t>
      </w:r>
      <w:r w:rsidR="003C7FB2">
        <w:t xml:space="preserve"> </w:t>
      </w:r>
      <w:r w:rsidR="009A7681">
        <w:t>of</w:t>
      </w:r>
      <w:r w:rsidR="003C7FB2">
        <w:t xml:space="preserve"> </w:t>
      </w:r>
      <w:r w:rsidR="009A7681">
        <w:t>travel</w:t>
      </w:r>
      <w:r w:rsidR="003C7FB2">
        <w:t xml:space="preserve"> </w:t>
      </w:r>
      <w:r w:rsidR="00A03E4E">
        <w:t>either</w:t>
      </w:r>
      <w:r w:rsidR="003C7FB2">
        <w:t xml:space="preserve"> </w:t>
      </w:r>
      <w:r w:rsidR="00A03E4E">
        <w:t>‘</w:t>
      </w:r>
      <w:r>
        <w:t>usually</w:t>
      </w:r>
      <w:r w:rsidR="00A03E4E">
        <w:t>’</w:t>
      </w:r>
      <w:r w:rsidR="003C7FB2">
        <w:t xml:space="preserve"> </w:t>
      </w:r>
      <w:r>
        <w:t>or</w:t>
      </w:r>
      <w:r w:rsidR="003C7FB2">
        <w:t xml:space="preserve"> </w:t>
      </w:r>
      <w:r w:rsidR="00A03E4E">
        <w:t>‘</w:t>
      </w:r>
      <w:r>
        <w:t>always</w:t>
      </w:r>
      <w:r w:rsidR="00A03E4E">
        <w:t>’</w:t>
      </w:r>
      <w:r>
        <w:t>).</w:t>
      </w:r>
      <w:r w:rsidR="003C7FB2">
        <w:t xml:space="preserve"> </w:t>
      </w:r>
      <w:r w:rsidR="00525BBE">
        <w:t>Exclusion</w:t>
      </w:r>
      <w:r w:rsidR="003C7FB2">
        <w:t xml:space="preserve"> </w:t>
      </w:r>
      <w:r w:rsidR="00525BBE">
        <w:t>(and</w:t>
      </w:r>
      <w:r w:rsidR="003C7FB2">
        <w:t xml:space="preserve"> </w:t>
      </w:r>
      <w:r w:rsidR="00525BBE">
        <w:t>inclusion)</w:t>
      </w:r>
      <w:r w:rsidR="003C7FB2">
        <w:t xml:space="preserve"> </w:t>
      </w:r>
      <w:r w:rsidR="00525BBE">
        <w:t>criteria</w:t>
      </w:r>
      <w:r w:rsidR="003C7FB2">
        <w:t xml:space="preserve"> </w:t>
      </w:r>
      <w:r w:rsidR="00525BBE">
        <w:t>are</w:t>
      </w:r>
      <w:r w:rsidR="003C7FB2">
        <w:t xml:space="preserve"> </w:t>
      </w:r>
      <w:r w:rsidR="00525BBE">
        <w:t>summarised</w:t>
      </w:r>
      <w:r w:rsidR="003C7FB2">
        <w:t xml:space="preserve"> </w:t>
      </w:r>
      <w:r w:rsidR="00525BBE">
        <w:t>in</w:t>
      </w:r>
      <w:r w:rsidR="003C7FB2">
        <w:t xml:space="preserve"> </w:t>
      </w:r>
      <w:r w:rsidR="00525BBE">
        <w:t>Figure</w:t>
      </w:r>
      <w:r w:rsidR="003C7FB2">
        <w:t xml:space="preserve"> </w:t>
      </w:r>
      <w:r w:rsidR="00525BBE">
        <w:t>1</w:t>
      </w:r>
      <w:r>
        <w:t>.</w:t>
      </w:r>
      <w:r w:rsidR="003C7FB2">
        <w:t xml:space="preserve"> </w:t>
      </w:r>
    </w:p>
    <w:p w14:paraId="166053C7" w14:textId="77777777" w:rsidR="00913BAF" w:rsidRDefault="00913BAF" w:rsidP="004D4C5D">
      <w:pPr>
        <w:spacing w:after="0" w:line="240" w:lineRule="auto"/>
      </w:pPr>
    </w:p>
    <w:p w14:paraId="5206737D" w14:textId="77777777" w:rsidR="002C5F54" w:rsidRPr="00F016C1" w:rsidRDefault="002C5F54" w:rsidP="004D4C5D">
      <w:pPr>
        <w:spacing w:after="0" w:line="240" w:lineRule="auto"/>
        <w:rPr>
          <w:u w:val="single"/>
        </w:rPr>
      </w:pPr>
      <w:r w:rsidRPr="00F016C1">
        <w:rPr>
          <w:u w:val="single"/>
        </w:rPr>
        <w:t>Co-variates</w:t>
      </w:r>
    </w:p>
    <w:p w14:paraId="5C896564" w14:textId="77777777" w:rsidR="002C5F54" w:rsidRDefault="002C5F54" w:rsidP="004D4C5D">
      <w:pPr>
        <w:spacing w:after="0" w:line="240" w:lineRule="auto"/>
      </w:pPr>
    </w:p>
    <w:p w14:paraId="1E038525" w14:textId="102F5D20" w:rsidR="00414285" w:rsidRPr="00D1487A" w:rsidRDefault="00F016C1" w:rsidP="004D4C5D">
      <w:pPr>
        <w:spacing w:after="0" w:line="240" w:lineRule="auto"/>
      </w:pPr>
      <w:r>
        <w:t>Age,</w:t>
      </w:r>
      <w:r w:rsidR="003C7FB2">
        <w:t xml:space="preserve"> </w:t>
      </w:r>
      <w:r>
        <w:t>sex,</w:t>
      </w:r>
      <w:r w:rsidR="003C7FB2">
        <w:t xml:space="preserve"> </w:t>
      </w:r>
      <w:r>
        <w:t>education,</w:t>
      </w:r>
      <w:r w:rsidR="003C7FB2">
        <w:t xml:space="preserve"> </w:t>
      </w:r>
      <w:r>
        <w:t>difficultly</w:t>
      </w:r>
      <w:r w:rsidR="003C7FB2">
        <w:t xml:space="preserve"> </w:t>
      </w:r>
      <w:r w:rsidRPr="00D1487A">
        <w:t>walking,</w:t>
      </w:r>
      <w:r w:rsidR="003C7FB2">
        <w:t xml:space="preserve"> </w:t>
      </w:r>
      <w:r w:rsidRPr="00D1487A">
        <w:t>smoking</w:t>
      </w:r>
      <w:r w:rsidR="003C7FB2">
        <w:t xml:space="preserve"> </w:t>
      </w:r>
      <w:r w:rsidRPr="00D1487A">
        <w:t>status</w:t>
      </w:r>
      <w:r w:rsidR="003C7FB2">
        <w:t xml:space="preserve"> </w:t>
      </w:r>
      <w:r w:rsidRPr="00D1487A">
        <w:t>and</w:t>
      </w:r>
      <w:r w:rsidR="003C7FB2">
        <w:t xml:space="preserve"> </w:t>
      </w:r>
      <w:r w:rsidRPr="00D1487A">
        <w:t>alcohol</w:t>
      </w:r>
      <w:r w:rsidR="003C7FB2">
        <w:t xml:space="preserve"> </w:t>
      </w:r>
      <w:r w:rsidRPr="00D1487A">
        <w:t>consumption</w:t>
      </w:r>
      <w:r w:rsidR="003C7FB2">
        <w:t xml:space="preserve"> </w:t>
      </w:r>
      <w:r w:rsidRPr="00D1487A">
        <w:t>were</w:t>
      </w:r>
      <w:r w:rsidR="003C7FB2">
        <w:t xml:space="preserve"> </w:t>
      </w:r>
      <w:r w:rsidRPr="00D1487A">
        <w:t>assessed</w:t>
      </w:r>
      <w:r w:rsidR="003C7FB2">
        <w:t xml:space="preserve"> </w:t>
      </w:r>
      <w:r w:rsidRPr="00D1487A">
        <w:t>on</w:t>
      </w:r>
      <w:r w:rsidR="003C7FB2">
        <w:t xml:space="preserve"> </w:t>
      </w:r>
      <w:r w:rsidRPr="00D1487A">
        <w:t>the</w:t>
      </w:r>
      <w:r w:rsidR="003C7FB2">
        <w:t xml:space="preserve"> </w:t>
      </w:r>
      <w:r w:rsidRPr="00D1487A">
        <w:t>general</w:t>
      </w:r>
      <w:r w:rsidR="003C7FB2">
        <w:t xml:space="preserve"> </w:t>
      </w:r>
      <w:r w:rsidRPr="00D1487A">
        <w:t>questionnaire.</w:t>
      </w:r>
      <w:r w:rsidR="003C7FB2">
        <w:t xml:space="preserve"> </w:t>
      </w:r>
      <w:bookmarkStart w:id="2" w:name="_Hlk490738454"/>
      <w:r w:rsidR="00BC21F5">
        <w:t>O</w:t>
      </w:r>
      <w:r w:rsidR="00420428">
        <w:t>ccupational</w:t>
      </w:r>
      <w:r w:rsidR="003C7FB2">
        <w:t xml:space="preserve"> </w:t>
      </w:r>
      <w:r w:rsidR="00ED05AD" w:rsidRPr="00D1487A">
        <w:t>activity</w:t>
      </w:r>
      <w:r w:rsidR="003C7FB2">
        <w:t xml:space="preserve"> </w:t>
      </w:r>
      <w:r w:rsidRPr="00D1487A">
        <w:t>(</w:t>
      </w:r>
      <w:r w:rsidR="00FD6FD3">
        <w:t xml:space="preserve">categorised as </w:t>
      </w:r>
      <w:r w:rsidRPr="00D1487A">
        <w:t>sedentary,</w:t>
      </w:r>
      <w:r w:rsidR="003C7FB2">
        <w:t xml:space="preserve"> </w:t>
      </w:r>
      <w:r w:rsidRPr="00D1487A">
        <w:t>standing</w:t>
      </w:r>
      <w:r w:rsidR="003C7FB2">
        <w:t xml:space="preserve"> </w:t>
      </w:r>
      <w:r w:rsidRPr="00D1487A">
        <w:t>or</w:t>
      </w:r>
      <w:r w:rsidR="003C7FB2">
        <w:t xml:space="preserve"> </w:t>
      </w:r>
      <w:r w:rsidRPr="00D1487A">
        <w:t>manual</w:t>
      </w:r>
      <w:r w:rsidR="003C7FB2">
        <w:t xml:space="preserve"> </w:t>
      </w:r>
      <w:r w:rsidRPr="00D1487A">
        <w:t>occupation)</w:t>
      </w:r>
      <w:r w:rsidR="003C7FB2">
        <w:t xml:space="preserve"> </w:t>
      </w:r>
      <w:r w:rsidR="00ED05AD" w:rsidRPr="00D1487A">
        <w:t>and</w:t>
      </w:r>
      <w:r w:rsidR="003C7FB2">
        <w:t xml:space="preserve"> </w:t>
      </w:r>
      <w:r w:rsidR="00ED05AD" w:rsidRPr="00D1487A">
        <w:t>usual</w:t>
      </w:r>
      <w:r w:rsidR="003C7FB2">
        <w:t xml:space="preserve"> </w:t>
      </w:r>
      <w:r w:rsidR="00ED05AD" w:rsidRPr="00D1487A">
        <w:t>mode</w:t>
      </w:r>
      <w:r w:rsidR="003C7FB2">
        <w:t xml:space="preserve"> </w:t>
      </w:r>
      <w:r w:rsidR="00ED05AD" w:rsidRPr="00D1487A">
        <w:t>of</w:t>
      </w:r>
      <w:r w:rsidR="003C7FB2">
        <w:t xml:space="preserve"> </w:t>
      </w:r>
      <w:r w:rsidR="00ED05AD" w:rsidRPr="00D1487A">
        <w:t>travel</w:t>
      </w:r>
      <w:r w:rsidR="003C7FB2">
        <w:t xml:space="preserve"> </w:t>
      </w:r>
      <w:r w:rsidR="003C4AFD">
        <w:t>(</w:t>
      </w:r>
      <w:r w:rsidR="00412AB6">
        <w:t>excluding</w:t>
      </w:r>
      <w:r w:rsidR="003C7FB2">
        <w:t xml:space="preserve"> </w:t>
      </w:r>
      <w:r w:rsidR="00412AB6">
        <w:t>travel</w:t>
      </w:r>
      <w:r w:rsidR="003C7FB2">
        <w:t xml:space="preserve"> </w:t>
      </w:r>
      <w:r w:rsidR="00412AB6">
        <w:t>to</w:t>
      </w:r>
      <w:r w:rsidR="003C7FB2">
        <w:t xml:space="preserve"> </w:t>
      </w:r>
      <w:r w:rsidR="00412AB6">
        <w:t>work</w:t>
      </w:r>
      <w:r w:rsidR="003C4AFD">
        <w:t>)</w:t>
      </w:r>
      <w:r w:rsidR="003C7FB2">
        <w:t xml:space="preserve"> </w:t>
      </w:r>
      <w:r w:rsidR="00414285" w:rsidRPr="00D1487A">
        <w:t>were</w:t>
      </w:r>
      <w:r w:rsidR="003C7FB2">
        <w:t xml:space="preserve"> </w:t>
      </w:r>
      <w:r w:rsidR="00414285" w:rsidRPr="00D1487A">
        <w:t>assessed</w:t>
      </w:r>
      <w:r w:rsidR="003C7FB2">
        <w:t xml:space="preserve"> </w:t>
      </w:r>
      <w:r w:rsidR="00414285" w:rsidRPr="00D1487A">
        <w:t>on</w:t>
      </w:r>
      <w:r w:rsidR="003C7FB2">
        <w:t xml:space="preserve"> </w:t>
      </w:r>
      <w:r w:rsidR="00414285" w:rsidRPr="00D1487A">
        <w:t>the</w:t>
      </w:r>
      <w:r w:rsidR="003C7FB2">
        <w:t xml:space="preserve"> </w:t>
      </w:r>
      <w:r w:rsidR="00414285" w:rsidRPr="00D1487A">
        <w:t>RPAQ.</w:t>
      </w:r>
      <w:r w:rsidR="003C7FB2">
        <w:t xml:space="preserve"> </w:t>
      </w:r>
      <w:bookmarkEnd w:id="2"/>
    </w:p>
    <w:p w14:paraId="0817B1CA" w14:textId="77777777" w:rsidR="00414285" w:rsidRPr="00D1487A" w:rsidRDefault="00414285" w:rsidP="004D4C5D">
      <w:pPr>
        <w:spacing w:after="0" w:line="240" w:lineRule="auto"/>
      </w:pPr>
    </w:p>
    <w:p w14:paraId="55742D70" w14:textId="7F2DB917" w:rsidR="001F1D82" w:rsidRDefault="00414285" w:rsidP="004D4C5D">
      <w:pPr>
        <w:spacing w:after="0" w:line="240" w:lineRule="auto"/>
      </w:pPr>
      <w:r w:rsidRPr="00D1487A">
        <w:t>Dietary</w:t>
      </w:r>
      <w:r w:rsidR="003C7FB2">
        <w:t xml:space="preserve"> </w:t>
      </w:r>
      <w:r w:rsidRPr="00D1487A">
        <w:t>consumption</w:t>
      </w:r>
      <w:r w:rsidR="003C7FB2">
        <w:t xml:space="preserve"> </w:t>
      </w:r>
      <w:r w:rsidRPr="00D1487A">
        <w:t>was</w:t>
      </w:r>
      <w:r w:rsidR="003C7FB2">
        <w:t xml:space="preserve"> </w:t>
      </w:r>
      <w:r w:rsidRPr="00D1487A">
        <w:t>assessed</w:t>
      </w:r>
      <w:r w:rsidR="003C7FB2">
        <w:t xml:space="preserve"> </w:t>
      </w:r>
      <w:r w:rsidRPr="00D1487A">
        <w:t>using</w:t>
      </w:r>
      <w:r w:rsidR="003C7FB2">
        <w:t xml:space="preserve"> </w:t>
      </w:r>
      <w:r w:rsidRPr="00D1487A">
        <w:t>a</w:t>
      </w:r>
      <w:r w:rsidR="003C7FB2">
        <w:t xml:space="preserve"> </w:t>
      </w:r>
      <w:r w:rsidRPr="00D1487A">
        <w:t>130-item</w:t>
      </w:r>
      <w:r w:rsidR="003C7FB2">
        <w:t xml:space="preserve"> </w:t>
      </w:r>
      <w:r w:rsidR="00412AB6">
        <w:t>food</w:t>
      </w:r>
      <w:r w:rsidR="003C7FB2">
        <w:t xml:space="preserve"> </w:t>
      </w:r>
      <w:r w:rsidR="00412AB6">
        <w:t>frequency</w:t>
      </w:r>
      <w:r w:rsidR="003C7FB2">
        <w:t xml:space="preserve"> </w:t>
      </w:r>
      <w:r w:rsidR="00412AB6">
        <w:t>questionnaire</w:t>
      </w:r>
      <w:r w:rsidR="008667C7" w:rsidRPr="00D1487A">
        <w:t>.</w:t>
      </w:r>
      <w:r w:rsidRPr="00D1487A">
        <w:fldChar w:fldCharType="begin" w:fldLock="1"/>
      </w:r>
      <w:r w:rsidR="000B07A6">
        <w:instrText>ADDIN CSL_CITATION { "citationItems" : [ { "id" : "ITEM-1", "itemData" : { "ISSN" : "1368-9800", "PMID" : "11415493", "abstract" : "OBJECTIVE To describe methods and dietary habits of a large population cohort. DESIGN Prospective assessment of diet using diet diaries and food-frequency questionnaires, and biomarkers of diet in 24-h urine collections and blood samples. SETTING Free living individuals aged 45 to 75 years living in Norfolk, UK. SUBJECTS Food and nutrient intake from a food-frequency questionnaire on 23 003 men and women, and from a 7-day diet diary from 2117 men and women. Nitrogen, sodium and potassium excretion was obtained from single 24-h urine samples from 300 individuals in the EPIC cohort. Plasma vitamin C was measured for 20 846 men and women. RESULTS The food-frequency questionnaire (FFQ) and the food diary were able to determine differences in foods and nutrients between the sexes and were reliable as judged by repeated administrations of each method. Plasma vitamin C was significantly higher in women than men. There were significant differences in mean intake of all nutrients measured by the two different methods in women but less so in men. The questionnaire overestimated dairy products and vegetables in both men and women when compared with intakes derived from the diary, but underestimated cereal and meat intake in men. There were some consistent trends with age in food and nutrient intakes assessed by both methods, particularly in men. Correlation coefficients between dietary intake assessed from the diary and excretion of nitrogen and potassium in a single 24-h urine sample ranged from 0.36 to 0.47. Those comparing urine excretion and intake assessed from the FFQ were 0.09 to 0.26. The correlations between plasma vitamin C and dietary intake from the first FFQ, 24-h recall or diary were 0.28, 0.35 and 0.40. CONCLUSIONS EPIC Norfolk is one of the largest epidemiological studies of nutrition in the UK and the largest on which plasma vitamin C has been obtained. Methods for obtaining food and nutrient intake are described in detail. The results shown here for food and nutrient intakes can be compared with results from other population studies utilising different methods of assessing dietary intake. The utility of different methods used in different settings within the main EPIC cohort is described. The FFQ is to be used particularly in pooled analyses of risk from diet in relation to cancer incidence within the larger European EPIC study, where measurement error is more likely to be overcome by large dietary heterogeneity on an international basis. Finding\u2026", "author" : [ { "dropping-particle" : "", "family" : "Bingham", "given" : "S A", "non-dropping-particle" : "", "parse-names" : false, "suffix" : "" }, { "dropping-particle" : "", "family" : "Welch", "given" : "A A", "non-dropping-particle" : "", "parse-names" : false, "suffix" : "" }, { "dropping-particle" : "", "family" : "McTaggart", "given" : "A", "non-dropping-particle" : "", "parse-names" : false, "suffix" : "" }, { "dropping-particle" : "", "family" : "Mulligan", "given" : "A A", "non-dropping-particle" : "", "parse-names" : false, "suffix" : "" }, { "dropping-particle" : "", "family" : "Runswick", "given" : "S A", "non-dropping-particle" : "", "parse-names" : false, "suffix" : "" }, { "dropping-particle" : "", "family" : "Luben", "given" : "R", "non-dropping-particle" : "", "parse-names" : false, "suffix" : "" }, { "dropping-particle" : "", "family" : "Oakes", "given" : "S", "non-dropping-particle" : "", "parse-names" : false, "suffix" : "" }, { "dropping-particle" : "", "family" : "Khaw", "given" : "K T", "non-dropping-particle" : "", "parse-names" : false, "suffix" : "" }, { "dropping-particle" : "", "family" : "Wareham", "given" : "N", "non-dropping-particle" : "", "parse-names" : false, "suffix" : "" }, { "dropping-particle" : "", "family" : "Day", "given" : "N E", "non-dropping-particle" : "", "parse-names" : false, "suffix" : "" } ], "container-title" : "Public health nutrition", "id" : "ITEM-1", "issue" : "3", "issued" : { "date-parts" : [ [ "2001", "6" ] ] }, "page" : "847-58", "title" : "Nutritional methods in the European Prospective Investigation of Cancer in Norfolk.", "type" : "article-journal", "volume" : "4" }, "uris" : [ "http://www.mendeley.com/documents/?uuid=b2199b1a-9ab9-3422-afd4-60578f050593" ] } ], "mendeley" : { "formattedCitation" : "(Bingham et al., 2001)", "plainTextFormattedCitation" : "(Bingham et al., 2001)", "previouslyFormattedCitation" : "(Bingham et al., 2001)" }, "properties" : { "noteIndex" : 0 }, "schema" : "https://github.com/citation-style-language/schema/raw/master/csl-citation.json" }</w:instrText>
      </w:r>
      <w:r w:rsidRPr="00D1487A">
        <w:fldChar w:fldCharType="separate"/>
      </w:r>
      <w:r w:rsidR="00B71669" w:rsidRPr="00B71669">
        <w:rPr>
          <w:noProof/>
        </w:rPr>
        <w:t>(Bingham et al., 2001)</w:t>
      </w:r>
      <w:r w:rsidRPr="00D1487A">
        <w:fldChar w:fldCharType="end"/>
      </w:r>
      <w:r w:rsidR="003C7FB2">
        <w:t xml:space="preserve"> </w:t>
      </w:r>
      <w:r w:rsidR="002D396F">
        <w:t>W</w:t>
      </w:r>
      <w:r w:rsidR="004B4F01">
        <w:rPr>
          <w:rFonts w:cs="Arial"/>
          <w:color w:val="2E2E2E"/>
        </w:rPr>
        <w:t>e</w:t>
      </w:r>
      <w:r w:rsidR="003C7FB2">
        <w:rPr>
          <w:rFonts w:cs="Arial"/>
          <w:color w:val="2E2E2E"/>
        </w:rPr>
        <w:t xml:space="preserve"> </w:t>
      </w:r>
      <w:r w:rsidR="00525BBE">
        <w:rPr>
          <w:rFonts w:cs="Arial"/>
          <w:color w:val="2E2E2E"/>
        </w:rPr>
        <w:t>used</w:t>
      </w:r>
      <w:r w:rsidR="003C7FB2">
        <w:rPr>
          <w:rFonts w:cs="Arial"/>
          <w:color w:val="2E2E2E"/>
        </w:rPr>
        <w:t xml:space="preserve"> </w:t>
      </w:r>
      <w:r w:rsidR="00525BBE">
        <w:rPr>
          <w:rFonts w:cs="Arial"/>
          <w:color w:val="2E2E2E"/>
        </w:rPr>
        <w:t>the</w:t>
      </w:r>
      <w:r w:rsidR="003C7FB2">
        <w:t xml:space="preserve"> </w:t>
      </w:r>
      <w:r w:rsidR="009A7681">
        <w:t>Mediterranean</w:t>
      </w:r>
      <w:r w:rsidR="003C7FB2">
        <w:t xml:space="preserve"> </w:t>
      </w:r>
      <w:r w:rsidR="00525BBE">
        <w:t>diet</w:t>
      </w:r>
      <w:r w:rsidR="003C7FB2">
        <w:t xml:space="preserve"> </w:t>
      </w:r>
      <w:r w:rsidR="00525BBE">
        <w:t>score</w:t>
      </w:r>
      <w:r w:rsidR="003C7FB2">
        <w:t xml:space="preserve"> </w:t>
      </w:r>
      <w:r w:rsidR="00525BBE">
        <w:t>as</w:t>
      </w:r>
      <w:r w:rsidR="003C7FB2">
        <w:t xml:space="preserve"> </w:t>
      </w:r>
      <w:r w:rsidR="00525BBE">
        <w:t>an</w:t>
      </w:r>
      <w:r w:rsidR="003C7FB2">
        <w:t xml:space="preserve"> </w:t>
      </w:r>
      <w:r w:rsidR="00525BBE">
        <w:t>overall</w:t>
      </w:r>
      <w:r w:rsidR="003C7FB2">
        <w:t xml:space="preserve"> </w:t>
      </w:r>
      <w:r w:rsidR="00525BBE">
        <w:t>measure</w:t>
      </w:r>
      <w:r w:rsidR="003C7FB2">
        <w:t xml:space="preserve"> </w:t>
      </w:r>
      <w:r w:rsidR="00525BBE">
        <w:t>of</w:t>
      </w:r>
      <w:r w:rsidR="003C7FB2">
        <w:t xml:space="preserve"> </w:t>
      </w:r>
      <w:r w:rsidR="00525BBE">
        <w:t>diet</w:t>
      </w:r>
      <w:r w:rsidR="003C7FB2">
        <w:t xml:space="preserve"> </w:t>
      </w:r>
      <w:r w:rsidR="00525BBE">
        <w:t>quality.</w:t>
      </w:r>
      <w:r w:rsidR="003C7FB2">
        <w:t xml:space="preserve"> </w:t>
      </w:r>
      <w:r w:rsidR="008667C7" w:rsidRPr="00D1487A">
        <w:rPr>
          <w:rFonts w:cs="Arial"/>
          <w:color w:val="000000"/>
          <w:shd w:val="clear" w:color="auto" w:fill="FFFFFF"/>
        </w:rPr>
        <w:t>The</w:t>
      </w:r>
      <w:r w:rsidR="003C7FB2">
        <w:rPr>
          <w:rFonts w:cs="Arial"/>
          <w:color w:val="000000"/>
          <w:shd w:val="clear" w:color="auto" w:fill="FFFFFF"/>
        </w:rPr>
        <w:t xml:space="preserve"> </w:t>
      </w:r>
      <w:r w:rsidR="008667C7" w:rsidRPr="00D1487A">
        <w:rPr>
          <w:rFonts w:cs="Arial"/>
          <w:color w:val="000000"/>
          <w:shd w:val="clear" w:color="auto" w:fill="FFFFFF"/>
        </w:rPr>
        <w:t>relative</w:t>
      </w:r>
      <w:r w:rsidR="003C7FB2">
        <w:rPr>
          <w:rFonts w:cs="Arial"/>
          <w:color w:val="000000"/>
          <w:shd w:val="clear" w:color="auto" w:fill="FFFFFF"/>
        </w:rPr>
        <w:t xml:space="preserve"> </w:t>
      </w:r>
      <w:r w:rsidR="008667C7" w:rsidRPr="00D1487A">
        <w:rPr>
          <w:rFonts w:cs="Arial"/>
          <w:color w:val="000000"/>
          <w:shd w:val="clear" w:color="auto" w:fill="FFFFFF"/>
        </w:rPr>
        <w:t>Mediter</w:t>
      </w:r>
      <w:r w:rsidR="005331ED">
        <w:rPr>
          <w:rFonts w:cs="Arial"/>
          <w:color w:val="000000"/>
          <w:shd w:val="clear" w:color="auto" w:fill="FFFFFF"/>
        </w:rPr>
        <w:t>ranean</w:t>
      </w:r>
      <w:r w:rsidR="003C7FB2">
        <w:rPr>
          <w:rFonts w:cs="Arial"/>
          <w:color w:val="000000"/>
          <w:shd w:val="clear" w:color="auto" w:fill="FFFFFF"/>
        </w:rPr>
        <w:t xml:space="preserve"> </w:t>
      </w:r>
      <w:r w:rsidR="005331ED">
        <w:rPr>
          <w:rFonts w:cs="Arial"/>
          <w:color w:val="000000"/>
          <w:shd w:val="clear" w:color="auto" w:fill="FFFFFF"/>
        </w:rPr>
        <w:t>diet</w:t>
      </w:r>
      <w:r w:rsidR="003C7FB2">
        <w:rPr>
          <w:rFonts w:cs="Arial"/>
          <w:color w:val="000000"/>
          <w:shd w:val="clear" w:color="auto" w:fill="FFFFFF"/>
        </w:rPr>
        <w:t xml:space="preserve"> </w:t>
      </w:r>
      <w:r w:rsidR="005331ED">
        <w:rPr>
          <w:rFonts w:cs="Arial"/>
          <w:color w:val="000000"/>
          <w:shd w:val="clear" w:color="auto" w:fill="FFFFFF"/>
        </w:rPr>
        <w:t>score</w:t>
      </w:r>
      <w:r w:rsidR="003C7FB2">
        <w:rPr>
          <w:rFonts w:cs="Arial"/>
          <w:color w:val="000000"/>
          <w:shd w:val="clear" w:color="auto" w:fill="FFFFFF"/>
        </w:rPr>
        <w:t xml:space="preserve"> </w:t>
      </w:r>
      <w:r w:rsidR="005331ED">
        <w:rPr>
          <w:rFonts w:cs="Arial"/>
          <w:color w:val="000000"/>
          <w:shd w:val="clear" w:color="auto" w:fill="FFFFFF"/>
        </w:rPr>
        <w:t>(rMED)</w:t>
      </w:r>
      <w:r w:rsidR="003C7FB2">
        <w:rPr>
          <w:rFonts w:cs="Arial"/>
          <w:color w:val="000000"/>
          <w:shd w:val="clear" w:color="auto" w:fill="FFFFFF"/>
        </w:rPr>
        <w:t xml:space="preserve"> </w:t>
      </w:r>
      <w:r w:rsidR="005331ED">
        <w:rPr>
          <w:rFonts w:cs="Arial"/>
          <w:color w:val="000000"/>
          <w:shd w:val="clear" w:color="auto" w:fill="FFFFFF"/>
        </w:rPr>
        <w:t>(</w:t>
      </w:r>
      <w:r w:rsidR="008667C7" w:rsidRPr="00D1487A">
        <w:rPr>
          <w:rFonts w:cs="Arial"/>
          <w:color w:val="000000"/>
          <w:shd w:val="clear" w:color="auto" w:fill="FFFFFF"/>
        </w:rPr>
        <w:t>range</w:t>
      </w:r>
      <w:r w:rsidR="003C7FB2">
        <w:rPr>
          <w:rFonts w:cs="Arial"/>
          <w:color w:val="000000"/>
          <w:shd w:val="clear" w:color="auto" w:fill="FFFFFF"/>
        </w:rPr>
        <w:t xml:space="preserve"> </w:t>
      </w:r>
      <w:r w:rsidR="008667C7" w:rsidRPr="00D1487A">
        <w:rPr>
          <w:rFonts w:cs="Arial"/>
          <w:color w:val="000000"/>
          <w:shd w:val="clear" w:color="auto" w:fill="FFFFFF"/>
        </w:rPr>
        <w:t>0-18)</w:t>
      </w:r>
      <w:r w:rsidR="003C7FB2">
        <w:rPr>
          <w:rFonts w:cs="Arial"/>
          <w:color w:val="000000"/>
          <w:shd w:val="clear" w:color="auto" w:fill="FFFFFF"/>
        </w:rPr>
        <w:t xml:space="preserve"> </w:t>
      </w:r>
      <w:r w:rsidR="008667C7" w:rsidRPr="00D1487A">
        <w:rPr>
          <w:rFonts w:cs="Arial"/>
          <w:color w:val="000000"/>
          <w:shd w:val="clear" w:color="auto" w:fill="FFFFFF"/>
        </w:rPr>
        <w:t>was</w:t>
      </w:r>
      <w:r w:rsidR="003C7FB2">
        <w:rPr>
          <w:rFonts w:cs="Arial"/>
          <w:color w:val="000000"/>
          <w:shd w:val="clear" w:color="auto" w:fill="FFFFFF"/>
        </w:rPr>
        <w:t xml:space="preserve"> </w:t>
      </w:r>
      <w:r w:rsidR="005331ED">
        <w:rPr>
          <w:rFonts w:cs="Arial"/>
          <w:color w:val="000000"/>
          <w:shd w:val="clear" w:color="auto" w:fill="FFFFFF"/>
        </w:rPr>
        <w:t>estimated</w:t>
      </w:r>
      <w:r w:rsidR="003C7FB2">
        <w:rPr>
          <w:rFonts w:cs="Arial"/>
          <w:color w:val="000000"/>
          <w:shd w:val="clear" w:color="auto" w:fill="FFFFFF"/>
        </w:rPr>
        <w:t xml:space="preserve"> </w:t>
      </w:r>
      <w:r w:rsidR="005331ED">
        <w:rPr>
          <w:rFonts w:cs="Arial"/>
          <w:color w:val="000000"/>
          <w:shd w:val="clear" w:color="auto" w:fill="FFFFFF"/>
        </w:rPr>
        <w:t>by</w:t>
      </w:r>
      <w:r w:rsidR="003C7FB2">
        <w:rPr>
          <w:rFonts w:cs="Arial"/>
          <w:color w:val="000000"/>
          <w:shd w:val="clear" w:color="auto" w:fill="FFFFFF"/>
        </w:rPr>
        <w:t xml:space="preserve"> </w:t>
      </w:r>
      <w:r w:rsidR="005331ED">
        <w:rPr>
          <w:rFonts w:cs="Arial"/>
          <w:color w:val="000000"/>
          <w:shd w:val="clear" w:color="auto" w:fill="FFFFFF"/>
        </w:rPr>
        <w:t>assigning</w:t>
      </w:r>
      <w:r w:rsidR="003C7FB2">
        <w:rPr>
          <w:rFonts w:cs="Arial"/>
          <w:color w:val="000000"/>
          <w:shd w:val="clear" w:color="auto" w:fill="FFFFFF"/>
        </w:rPr>
        <w:t xml:space="preserve"> </w:t>
      </w:r>
      <w:r w:rsidR="005331ED">
        <w:rPr>
          <w:rFonts w:cs="Arial"/>
          <w:color w:val="000000"/>
          <w:shd w:val="clear" w:color="auto" w:fill="FFFFFF"/>
        </w:rPr>
        <w:t>a</w:t>
      </w:r>
      <w:r w:rsidR="003C7FB2">
        <w:rPr>
          <w:rFonts w:cs="Arial"/>
          <w:color w:val="000000"/>
          <w:shd w:val="clear" w:color="auto" w:fill="FFFFFF"/>
        </w:rPr>
        <w:t xml:space="preserve"> </w:t>
      </w:r>
      <w:r w:rsidR="005331ED">
        <w:rPr>
          <w:rFonts w:cs="Arial"/>
          <w:color w:val="000000"/>
          <w:shd w:val="clear" w:color="auto" w:fill="FFFFFF"/>
        </w:rPr>
        <w:t>score</w:t>
      </w:r>
      <w:r w:rsidR="003C7FB2">
        <w:rPr>
          <w:rFonts w:cs="Arial"/>
          <w:color w:val="000000"/>
          <w:shd w:val="clear" w:color="auto" w:fill="FFFFFF"/>
        </w:rPr>
        <w:t xml:space="preserve"> </w:t>
      </w:r>
      <w:r w:rsidR="00A15538">
        <w:rPr>
          <w:rFonts w:cs="Arial"/>
          <w:color w:val="000000"/>
          <w:shd w:val="clear" w:color="auto" w:fill="FFFFFF"/>
        </w:rPr>
        <w:t xml:space="preserve">(0, 1 or 2) </w:t>
      </w:r>
      <w:r w:rsidR="005331ED">
        <w:rPr>
          <w:rFonts w:cs="Arial"/>
          <w:color w:val="000000"/>
          <w:shd w:val="clear" w:color="auto" w:fill="FFFFFF"/>
        </w:rPr>
        <w:t>to</w:t>
      </w:r>
      <w:r w:rsidR="003C7FB2">
        <w:rPr>
          <w:rFonts w:cs="Arial"/>
          <w:color w:val="000000"/>
          <w:shd w:val="clear" w:color="auto" w:fill="FFFFFF"/>
        </w:rPr>
        <w:t xml:space="preserve"> </w:t>
      </w:r>
      <w:r w:rsidR="005331ED">
        <w:rPr>
          <w:rFonts w:cs="Arial"/>
          <w:color w:val="000000"/>
          <w:shd w:val="clear" w:color="auto" w:fill="FFFFFF"/>
        </w:rPr>
        <w:t>each</w:t>
      </w:r>
      <w:r w:rsidR="003C7FB2">
        <w:rPr>
          <w:rFonts w:cs="Arial"/>
          <w:color w:val="000000"/>
          <w:shd w:val="clear" w:color="auto" w:fill="FFFFFF"/>
        </w:rPr>
        <w:t xml:space="preserve"> </w:t>
      </w:r>
      <w:r w:rsidR="005331ED">
        <w:rPr>
          <w:rFonts w:cs="Arial"/>
          <w:color w:val="000000"/>
          <w:shd w:val="clear" w:color="auto" w:fill="FFFFFF"/>
        </w:rPr>
        <w:t>of</w:t>
      </w:r>
      <w:r w:rsidR="003C7FB2">
        <w:rPr>
          <w:rFonts w:cs="Arial"/>
          <w:color w:val="000000"/>
          <w:shd w:val="clear" w:color="auto" w:fill="FFFFFF"/>
        </w:rPr>
        <w:t xml:space="preserve"> </w:t>
      </w:r>
      <w:r w:rsidR="005331ED">
        <w:rPr>
          <w:rFonts w:cs="Arial"/>
          <w:color w:val="000000"/>
          <w:shd w:val="clear" w:color="auto" w:fill="FFFFFF"/>
        </w:rPr>
        <w:t>nine</w:t>
      </w:r>
      <w:r w:rsidR="003C7FB2">
        <w:rPr>
          <w:rFonts w:cs="Arial"/>
          <w:color w:val="000000"/>
          <w:shd w:val="clear" w:color="auto" w:fill="FFFFFF"/>
        </w:rPr>
        <w:t xml:space="preserve"> </w:t>
      </w:r>
      <w:r w:rsidR="005331ED">
        <w:rPr>
          <w:rFonts w:cs="Arial"/>
          <w:color w:val="000000"/>
          <w:shd w:val="clear" w:color="auto" w:fill="FFFFFF"/>
        </w:rPr>
        <w:t>dietary</w:t>
      </w:r>
      <w:r w:rsidR="003C7FB2">
        <w:rPr>
          <w:rFonts w:cs="Arial"/>
          <w:color w:val="000000"/>
          <w:shd w:val="clear" w:color="auto" w:fill="FFFFFF"/>
        </w:rPr>
        <w:t xml:space="preserve"> </w:t>
      </w:r>
      <w:r w:rsidR="005331ED">
        <w:rPr>
          <w:rFonts w:cs="Arial"/>
          <w:color w:val="000000"/>
          <w:shd w:val="clear" w:color="auto" w:fill="FFFFFF"/>
        </w:rPr>
        <w:t>components</w:t>
      </w:r>
      <w:r w:rsidR="003C7FB2">
        <w:rPr>
          <w:rFonts w:cs="Arial"/>
          <w:color w:val="000000"/>
          <w:shd w:val="clear" w:color="auto" w:fill="FFFFFF"/>
        </w:rPr>
        <w:t xml:space="preserve"> </w:t>
      </w:r>
      <w:r w:rsidR="005331ED">
        <w:rPr>
          <w:rFonts w:cs="Arial"/>
          <w:color w:val="000000"/>
          <w:shd w:val="clear" w:color="auto" w:fill="FFFFFF"/>
        </w:rPr>
        <w:t>based</w:t>
      </w:r>
      <w:r w:rsidR="003C7FB2">
        <w:rPr>
          <w:rFonts w:cs="Arial"/>
          <w:color w:val="000000"/>
          <w:shd w:val="clear" w:color="auto" w:fill="FFFFFF"/>
        </w:rPr>
        <w:t xml:space="preserve"> </w:t>
      </w:r>
      <w:r w:rsidR="005331ED">
        <w:rPr>
          <w:rFonts w:cs="Arial"/>
          <w:color w:val="000000"/>
          <w:shd w:val="clear" w:color="auto" w:fill="FFFFFF"/>
        </w:rPr>
        <w:t>on</w:t>
      </w:r>
      <w:r w:rsidR="003C7FB2">
        <w:rPr>
          <w:rFonts w:cs="Arial"/>
          <w:color w:val="000000"/>
          <w:shd w:val="clear" w:color="auto" w:fill="FFFFFF"/>
        </w:rPr>
        <w:t xml:space="preserve"> </w:t>
      </w:r>
      <w:r w:rsidR="005331ED">
        <w:rPr>
          <w:rFonts w:cs="Arial"/>
          <w:color w:val="000000"/>
          <w:shd w:val="clear" w:color="auto" w:fill="FFFFFF"/>
        </w:rPr>
        <w:t>sex</w:t>
      </w:r>
      <w:r w:rsidR="003C7FB2">
        <w:rPr>
          <w:rFonts w:cs="Arial"/>
          <w:color w:val="000000"/>
          <w:shd w:val="clear" w:color="auto" w:fill="FFFFFF"/>
        </w:rPr>
        <w:t xml:space="preserve"> </w:t>
      </w:r>
      <w:r w:rsidR="005331ED">
        <w:rPr>
          <w:rFonts w:cs="Arial"/>
          <w:color w:val="000000"/>
          <w:shd w:val="clear" w:color="auto" w:fill="FFFFFF"/>
        </w:rPr>
        <w:t>specific</w:t>
      </w:r>
      <w:r w:rsidR="003C7FB2">
        <w:rPr>
          <w:rFonts w:cs="Arial"/>
          <w:color w:val="000000"/>
          <w:shd w:val="clear" w:color="auto" w:fill="FFFFFF"/>
        </w:rPr>
        <w:t xml:space="preserve"> </w:t>
      </w:r>
      <w:r w:rsidR="005331ED">
        <w:rPr>
          <w:rFonts w:cs="Arial"/>
          <w:color w:val="000000"/>
          <w:shd w:val="clear" w:color="auto" w:fill="FFFFFF"/>
        </w:rPr>
        <w:t>tertiles</w:t>
      </w:r>
      <w:r w:rsidR="00525BBE">
        <w:rPr>
          <w:rFonts w:cs="Arial"/>
          <w:color w:val="000000"/>
          <w:shd w:val="clear" w:color="auto" w:fill="FFFFFF"/>
        </w:rPr>
        <w:t>.</w:t>
      </w:r>
      <w:r w:rsidR="00F37BBB">
        <w:rPr>
          <w:rFonts w:cs="Arial"/>
          <w:color w:val="000000"/>
          <w:shd w:val="clear" w:color="auto" w:fill="FFFFFF"/>
        </w:rPr>
        <w:fldChar w:fldCharType="begin" w:fldLock="1"/>
      </w:r>
      <w:r w:rsidR="00F37BBB">
        <w:rPr>
          <w:rFonts w:cs="Arial"/>
          <w:color w:val="000000"/>
          <w:shd w:val="clear" w:color="auto" w:fill="FFFFFF"/>
        </w:rPr>
        <w:instrText>ADDIN CSL_CITATION { "citationItems" : [ { "id" : "ITEM-1", "itemData" : { "DOI" : "10.1186/s12916-016-0677-4", "ISSN" : "1741-7015", "abstract" : "Despite convincing evidence in the Mediterranean region, the cardiovascular benefit of the Mediterranean diet is not well established in non-Mediterranean countries and the optimal criteria for defining adherence are unclear. The population attributable fraction (PAF) of adherence to this diet is also unknown. In the UK-based EPIC-Norfolk prospective cohort, we evaluated habitual diets assessed at baseline (1993\u20131997) and during follow-up (1998\u20132000) using food-frequency questionnaires (n\u2009=\u200923,902). We estimated a Mediterranean diet score (MDS) using cut-points projected from the Mediterranean dietary pyramid, and also three other pre-existing MDSs. Using multivariable-adjusted Cox regression with repeated measures of MDS and covariates, we examined prospective associations between each MDS with incident cardiovascular diseases (CVD) by 2009 and mortality by 2013, and estimated PAF for each outcome attributable to low MDS. We observed 7606 incident CVD events (2818/100,000 person-years) and 1714 CVD deaths (448/100,000). The MDS based on the Mediterranean dietary pyramid was significantly associated with lower incidence of the cardiovascular outcomes, with hazard ratios (95\u00a0% confidence intervals) of 0.95 (0.92\u20130.97) per one standard deviation for incident CVD and 0.91 (0.87\u20130.96) for CVD mortality. Associations were similar for composite incident ischaemic heart disease and all-cause mortality. Other pre-existing MDSs showed similar, but more modest associations. PAF due to low dietary pyramid based MDS (&lt;95th percentile) was 3.9\u00a0% (1.3\u20136.5\u00a0%) for total incident CVD and 12.5\u00a0% (4.5\u201320.6\u00a0%) for CVD mortality. Greater adherence to the Mediterranean diet was associated with lower CVD incidence and mortality in the UK. This diet has an important population health impact for the prevention of CVD.", "author" : [ { "dropping-particle" : "", "family" : "Tong", "given" : "Tammy Y. N.", "non-dropping-particle" : "", "parse-names" : false, "suffix" : "" }, { "dropping-particle" : "", "family" : "Wareham", "given" : "Nicholas J.", "non-dropping-particle" : "", "parse-names" : false, "suffix" : "" }, { "dropping-particle" : "", "family" : "Khaw", "given" : "Kay-Tee", "non-dropping-particle" : "", "parse-names" : false, "suffix" : "" }, { "dropping-particle" : "", "family" : "Imamura", "given" : "Fumiaki", "non-dropping-particle" : "", "parse-names" : false, "suffix" : "" }, { "dropping-particle" : "", "family" : "Forouhi", "given" : "Nita G.", "non-dropping-particle" : "", "parse-names" : false, "suffix" : "" }, { "dropping-particle" : "", "family" : "Keys", "given" : "A", "non-dropping-particle" : "", "parse-names" : false, "suffix" : "" }, { "dropping-particle" : "", "family" : "Willett", "given" : "WC", "non-dropping-particle" : "", "parse-names" : false, "suffix" : "" }, { "dropping-particle" : "", "family" : "Sacks", "given" : "F", "non-dropping-particle" : "", "parse-names" : false, "suffix" : "" }, { "dropping-particle" : "", "family" : "Trichopoulou", "given" : "A", "non-dropping-particle" : "", "parse-names" : false, "suffix" : "" }, { "dropping-particle" : "", "family" : "Drescher", "given" : "G", "non-dropping-particle" : "", "parse-names" : false, "suffix" : "" }, { "dropping-particle" : "", "family" : "Ferro-Luzzi", "given" : "A", "non-dropping-particle" : "", "parse-names" : false, "suffix" : "" }, { "dropping-particle" : "", "family" : "Helsing", "given" : "E", "non-dropping-particle" : "", "parse-names" : false, "suffix" : "" }, { "dropping-particle" : "", "family" : "Trichopoulou", "given" : "A", "non-dropping-particle" : "", "parse-names" : false, "suffix" : "" }, { "dropping-particle" : "", "family" : "Mart\u00ednez-Gonz\u00e1lez", "given" : "MA", "non-dropping-particle" : "", "parse-names" : false, "suffix" : "" }, { "dropping-particle" : "", "family" : "Tong", "given" : "TY", "non-dropping-particle" : "", "parse-names" : false, "suffix" : "" }, { "dropping-particle" : "", "family" : "Forouhi", "given" : "NG", "non-dropping-particle" : "", "parse-names" : false, "suffix" : "" }, { "dropping-particle" : "", "family" : "Khandelwal", "given" : "S", "non-dropping-particle" : "", "parse-names" : false, "suffix" : "" }, { "dropping-particle" : "", "family" : "Prabhakaran", "given" : "D", "non-dropping-particle" : "", "parse-names" : false, "suffix" : "" }, { "dropping-particle" : "", "family" : "Bach-Faig", "given" : "A", "non-dropping-particle" : "", "parse-names" : false, "suffix" : "" }, { "dropping-particle" : "", "family" : "Berry", "given" : "EM", "non-dropping-particle" : "", "parse-names" : false, "suffix" : "" }, { "dropping-particle" : "", "family" : "Lairon", "given" : "D", "non-dropping-particle" : "", "parse-names" : false, "suffix" : "" }, { "dropping-particle" : "", "family" : "Reguant", "given" : "J", "non-dropping-particle" : "", "parse-names" : false, "suffix" : "" }, { "dropping-particle" : "", "family" : "Trichopoulou", "given" : "A", "non-dropping-particle" : "", "parse-names" : false, "suffix" : "" }, { "dropping-particle" : "", "family" : "Dernini", "given" : "S", "non-dropping-particle" : "", "parse-names" : false, "suffix" : "" }, { "dropping-particle" : "", "family" : "Sofi", "given" : "F", "non-dropping-particle" : "", "parse-names" : false, "suffix" : "" }, { "dropping-particle" : "", "family" : "Macchi", "given" : "C", "non-dropping-particle" : "", "parse-names" : false, "suffix" : "" }, { "dropping-particle" : "", "family" : "Abbate", "given" : "R", "non-dropping-particle" : "", "parse-names" : false, "suffix" : "" }, { "dropping-particle" : "", "family" : "Gensini", "given" : "GF", "non-dropping-particle" : "", "parse-names" : false, "suffix" : "" }, { "dropping-particle" : "", "family" : "Casini", "given" : "A", "non-dropping-particle" : "", "parse-names" : false, "suffix" : "" }, { "dropping-particle" : "", "family" : "Psaltopoulou", "given" : "T", "non-dropping-particle" : "", "parse-names" : false, "suffix" : "" }, { "dropping-particle" : "", "family" : "Sergentanis", "given" : "T", "non-dropping-particle" : "", "parse-names" : false, "suffix" : "" }, { "dropping-particle" : "", "family" : "Panagiotakos", "given" : "D", "non-dropping-particle" : "", "parse-names" : false, "suffix" : "" }, { "dropping-particle" : "", "family" : "Sergentanis", "given" : "I", "non-dropping-particle" : "", "parse-names" : false, "suffix" : "" }, { "dropping-particle" : "", "family" : "Kosti", "given" : "R", "non-dropping-particle" : "", "parse-names" : false, "suffix" : "" }, { "dropping-particle" : "", "family" : "Scarmeas", "given" : "N", "non-dropping-particle" : "", "parse-names" : false, "suffix" : "" }, { "dropping-particle" : "", "family" : "Schwingshackl", "given" : "L", "non-dropping-particle" : "", "parse-names" : false, "suffix" : "" }, { "dropping-particle" : "", "family" : "Hoffmann", "given" : "G", "non-dropping-particle" : "", "parse-names" : false, "suffix" : "" }, { "dropping-particle" : "", "family" : "Martinez-Gonzalez", "given" : "MA", "non-dropping-particle" : "", "parse-names" : false, "suffix" : "" }, { "dropping-particle" : "", "family" : "Bes-Rastrollo", "given" : "M", "non-dropping-particle" : "", "parse-names" : false, "suffix" : "" }, { "dropping-particle" : "", "family" : "Mente", "given" : "A", "non-dropping-particle" : "", "parse-names" : false, "suffix" : "" }, { "dropping-particle" : "", "family" : "Koning", "given" : "L", "non-dropping-particle" : "", "parse-names" : false, "suffix" : "" }, { "dropping-particle" : "", "family" : "Shannon", "given" : "HS", "non-dropping-particle" : "", "parse-names" : false, "suffix" : "" }, { "dropping-particle" : "", "family" : "Anand", "given" : "SS", "non-dropping-particle" : "", "parse-names" : false, "suffix" : "" }, { "dropping-particle" : "", "family" : "Lorgeril", "given" : "M", "non-dropping-particle" : "", "parse-names" : false, "suffix" : "" }, { "dropping-particle" : "", "family" : "Salen", "given" : "P", "non-dropping-particle" : "", "parse-names" : false, "suffix" : "" }, { "dropping-particle" : "", "family" : "Martin", "given" : "J-LL", "non-dropping-particle" : "", "parse-names" : false, "suffix" : "" }, { "dropping-particle" : "", "family" : "Monjaud", "given" : "I", "non-dropping-particle" : "", "parse-names" : false, "suffix" : "" }, { "dropping-particle" : "", "family" : "Delaye", "given" : "J", "non-dropping-particle" : "", "parse-names" : false, "suffix" : "" }, { "dropping-particle" : "", "family" : "Mamelle", "given" : "N", "non-dropping-particle" : "", "parse-names" : false, "suffix" : "" }, { "dropping-particle" : "", "family" : "Estruch", "given" : "R", "non-dropping-particle" : "", "parse-names" : false, "suffix" : "" }, { "dropping-particle" : "", "family" : "Ros", "given" : "E", "non-dropping-particle" : "", "parse-names" : false, "suffix" : "" }, { "dropping-particle" : "", "family" : "Salas-Salvad\u00f3", "given" : "J", "non-dropping-particle" : "", "parse-names" : false, "suffix" : "" }, { "dropping-particle" : "", "family" : "Covas", "given" : "M-I", "non-dropping-particle" : "", "parse-names" : false, "suffix" : "" }, { "dropping-particle" : "", "family" : "Corella", "given" : "D", "non-dropping-particle" : "", "parse-names" : false, "suffix" : "" }, { "dropping-particle" : "", "family" : "Ar\u00f3s", "given" : "F", "non-dropping-particle" : "", "parse-names" : false, "suffix" : "" }, { "dropping-particle" : "", "family" : "Tognon", "given" : "G", "non-dropping-particle" : "", "parse-names" : false, "suffix" : "" }, { "dropping-particle" : "", "family" : "Nilsson", "given" : "LML", "non-dropping-particle" : "", "parse-names" : false, "suffix" : "" }, { "dropping-particle" : "", "family" : "Lissner", "given" : "L", "non-dropping-particle" : "", "parse-names" : false, "suffix" : "" }, { "dropping-particle" : "", "family" : "Johansson", "given" : "I", "non-dropping-particle" : "", "parse-names" : false, "suffix" : "" }, { "dropping-particle" : "", "family" : "Hallmans", "given" : "G", "non-dropping-particle" : "", "parse-names" : false, "suffix" : "" }, { "dropping-particle" : "", "family" : "Lindahl", "given" : "B", "non-dropping-particle" : "", "parse-names" : false, "suffix" : "" }, { "dropping-particle" : "", "family" : "Hodge", "given" : "AM", "non-dropping-particle" : "", "parse-names" : false, "suffix" : "" }, { "dropping-particle" : "", "family" : "English", "given" : "DR", "non-dropping-particle" : "", "parse-names" : false, "suffix" : "" }, { "dropping-particle" : "", "family" : "Itsiopoulos", "given" : "C", "non-dropping-particle" : "", "parse-names" : false, "suffix" : "" }, { "dropping-particle" : "", "family" : "O\u2019Dea", "given" : "K", "non-dropping-particle" : "", "parse-names" : false, "suffix" : "" }, { "dropping-particle" : "", "family" : "Giles", "given" : "GG", "non-dropping-particle" : "", "parse-names" : false, "suffix" : "" }, { "dropping-particle" : "", "family" : "Trichopoulou", "given" : "A", "non-dropping-particle" : "", "parse-names" : false, "suffix" : "" }, { "dropping-particle" : "", "family" : "Orfanos", "given" : "P", "non-dropping-particle" : "", "parse-names" : false, "suffix" : "" }, { "dropping-particle" : "", "family" : "Norat", "given" : "T", "non-dropping-particle" : "", "parse-names" : false, "suffix" : "" }, { "dropping-particle" : "", "family" : "Bueno-de-Mesquita", "given" : "B", "non-dropping-particle" : "", "parse-names" : false, "suffix" : "" }, { "dropping-particle" : "", "family" : "Ock\u00e9", "given" : "MC", "non-dropping-particle" : "", "parse-names" : false, "suffix" : "" }, { "dropping-particle" : "", "family" : "Peeters", "given" : "PHM", "non-dropping-particle" : "", "parse-names" : false, "suffix" : "" }, { "dropping-particle" : "", "family" : "Panagiotakos", "given" : "DB", "non-dropping-particle" : "", "parse-names" : false, "suffix" : "" }, { "dropping-particle" : "", "family" : "Arapi", "given" : "S", "non-dropping-particle" : "", "parse-names" : false, "suffix" : "" }, { "dropping-particle" : "", "family" : "Pitsavos", "given" : "C", "non-dropping-particle" : "", "parse-names" : false, "suffix" : "" }, { "dropping-particle" : "", "family" : "Antonoulas", "given" : "A", "non-dropping-particle" : "", "parse-names" : false, "suffix" : "" }, { "dropping-particle" : "", "family" : "Mantas", "given" : "Y", "non-dropping-particle" : "", "parse-names" : false, "suffix" : "" }, { "dropping-particle" : "", "family" : "Zombolos", "given" : "S", "non-dropping-particle" : "", "parse-names" : false, "suffix" : "" }, { "dropping-particle" : "", "family" : "S\u00e1nchez-Villegas", "given" : "A", "non-dropping-particle" : "", "parse-names" : false, "suffix" : "" }, { "dropping-particle" : "", "family" : "Mart\u00ednez", "given" : "J", "non-dropping-particle" : "", "parse-names" : false, "suffix" : "" }, { "dropping-particle" : "", "family" : "Irala", "given" : "J", "non-dropping-particle" : "", "parse-names" : false, "suffix" : "" }, { "dropping-particle" : "", "family" : "Mart\u00ednez-Gonz\u00e1lez", "given" : "M", "non-dropping-particle" : "", "parse-names" : false, "suffix" : "" }, { "dropping-particle" : "", "family" : "Alberti", "given" : "A", "non-dropping-particle" : "", "parse-names" : false, "suffix" : "" }, { "dropping-particle" : "", "family" : "Fruttini", "given" : "D", "non-dropping-particle" : "", "parse-names" : false, "suffix" : "" }, { "dropping-particle" : "", "family" : "Fidanza", "given" : "F", "non-dropping-particle" : "", "parse-names" : false, "suffix" : "" }, { "dropping-particle" : "", "family" : "Rumawas", "given" : "ME", "non-dropping-particle" : "", "parse-names" : false, "suffix" : "" }, { "dropping-particle" : "", "family" : "Meigs", "given" : "JB", "non-dropping-particle" : "", "parse-names" : false, "suffix" : "" }, { "dropping-particle" : "", "family" : "Dwyer", "given" : "JT", "non-dropping-particle" : "", "parse-names" : false, "suffix" : "" }, { "dropping-particle" : "", "family" : "McKeown", "given" : "NM", "non-dropping-particle" : "", "parse-names" : false, "suffix" : "" }, { "dropping-particle" : "", "family" : "Jacques", "given" : "PF", "non-dropping-particle" : "", "parse-names" : false, "suffix" : "" }, { "dropping-particle" : "", "family" : "Rumawas", "given" : "ME", "non-dropping-particle" : "", "parse-names" : false, "suffix" : "" }, { "dropping-particle" : "", "family" : "Dwyer", "given" : "JT", "non-dropping-particle" : "", "parse-names" : false, "suffix" : "" }, { "dropping-particle" : "", "family" : "McKeown", "given" : "NM", "non-dropping-particle" : "", "parse-names" : false, "suffix" : "" }, { "dropping-particle" : "", "family" : "Meigs", "given" : "JB", "non-dropping-particle" : "", "parse-names" : false, "suffix" : "" }, { "dropping-particle" : "", "family" : "Rogers", "given" : "G", "non-dropping-particle" : "", "parse-names" : false, "suffix" : "" }, { "dropping-particle" : "", "family" : "Jacques", "given" : "PF", "non-dropping-particle" : "", "parse-names" : false, "suffix" : "" }, { "dropping-particle" : "", "family" : "Day", "given" : "N", "non-dropping-particle" : "", "parse-names" : false, "suffix" : "" }, { "dropping-particle" : "", "family" : "Oakes", "given" : "S", "non-dropping-particle" : "", "parse-names" : false, "suffix" : "" }, { "dropping-particle" : "", "family" : "Luben", "given" : "R", "non-dropping-particle" : "", "parse-names" : false, "suffix" : "" }, { "dropping-particle" : "", "family" : "Khaw", "given" : "KT", "non-dropping-particle" : "", "parse-names" : false, "suffix" : "" }, { "dropping-particle" : "", "family" : "Bingham", "given" : "S", "non-dropping-particle" : "", "parse-names" : false, "suffix" : "" }, { "dropping-particle" : "", "family" : "Welch", "given" : "A", "non-dropping-particle" : "", "parse-names" : false, "suffix" : "" }, { "dropping-particle" : "", "family" : "Bingham", "given" : "SA", "non-dropping-particle" : "", "parse-names" : false, "suffix" : "" }, { "dropping-particle" : "", "family" : "Gill", "given" : "C", "non-dropping-particle" : "", "parse-names" : false, "suffix" : "" }, { "dropping-particle" : "", "family" : "Welch", "given" : "A", "non-dropping-particle" : "", "parse-names" : false, "suffix" : "" }, { "dropping-particle" : "", "family" : "Day", "given" : "K", "non-dropping-particle" : "", "parse-names" : false, "suffix" : "" }, { "dropping-particle" : "", "family" : "Cassidy", "given" : "A", "non-dropping-particle" : "", "parse-names" : false, "suffix" : "" }, { "dropping-particle" : "", "family" : "Khaw", "given" : "KT", "non-dropping-particle" : "", "parse-names" : false, "suffix" : "" }, { "dropping-particle" : "", "family" : "Bingham", "given" : "S", "non-dropping-particle" : "", "parse-names" : false, "suffix" : "" }, { "dropping-particle" : "", "family" : "Gill", "given" : "C", "non-dropping-particle" : "", "parse-names" : false, "suffix" : "" }, { "dropping-particle" : "", "family" : "Welch", "given" : "A", "non-dropping-particle" : "", "parse-names" : false, "suffix" : "" }, { "dropping-particle" : "", "family" : "Cassidy", "given" : "A", "non-dropping-particle" : "", "parse-names" : false, "suffix" : "" }, { "dropping-particle" : "", "family" : "Runswick", "given" : "S", "non-dropping-particle" : "", "parse-names" : false, "suffix" : "" }, { "dropping-particle" : "", "family" : "Oakes", "given" : "S", "non-dropping-particle" : "", "parse-names" : false, "suffix" : "" }, { "dropping-particle" : "", "family" : "Bingham", "given" : "S", "non-dropping-particle" : "", "parse-names" : false, "suffix" : "" }, { "dropping-particle" : "", "family" : "Cassidy", "given" : "A", "non-dropping-particle" : "", "parse-names" : false, "suffix" : "" }, { "dropping-particle" : "", "family" : "Cole", "given" : "TJ", "non-dropping-particle" : "", "parse-names" : false, "suffix" : "" }, { "dropping-particle" : "", "family" : "Welch", "given" : "A", "non-dropping-particle" : "", "parse-names" : false, "suffix" : "" }, { "dropping-particle" : "", "family" : "Runswick", "given" : "S", "non-dropping-particle" : "", "parse-names" : false, "suffix" : "" }, { "dropping-particle" : "", "family" : "Black", "given" : "AE", "non-dropping-particle" : "", "parse-names" : false, "suffix" : "" }, { "dropping-particle" : "", "family" : "Hu", "given" : "FB", "non-dropping-particle" : "", "parse-names" : false, "suffix" : "" }, { "dropping-particle" : "", "family" : "Stampfer", "given" : "MJ", "non-dropping-particle" : "", "parse-names" : false, "suffix" : "" }, { "dropping-particle" : "", "family" : "Rimm", "given" : "E", "non-dropping-particle" : "", "parse-names" : false, "suffix" : "" }, { "dropping-particle" : "", "family" : "Ascherio", "given" : "A", "non-dropping-particle" : "", "parse-names" : false, "suffix" : "" }, { "dropping-particle" : "", "family" : "Rosner", "given" : "BA", "non-dropping-particle" : "", "parse-names" : false, "suffix" : "" }, { "dropping-particle" : "", "family" : "Spiegelman", "given" : "D", "non-dropping-particle" : "", "parse-names" : false, "suffix" : "" }, { "dropping-particle" : "", "family" : "Trichopoulou", "given" : "A", "non-dropping-particle" : "", "parse-names" : false, "suffix" : "" }, { "dropping-particle" : "", "family" : "Bamia", "given" : "C", "non-dropping-particle" : "", "parse-names" : false, "suffix" : "" }, { "dropping-particle" : "", "family" : "Trichopoulos", "given" : "D", "non-dropping-particle" : "", "parse-names" : false, "suffix" : "" }, { "dropping-particle" : "", "family" : "Chamnan", "given" : "P", "non-dropping-particle" : "", "parse-names" : false, "suffix" : "" }, { "dropping-particle" : "", "family" : "Simmons", "given" : "RK", "non-dropping-particle" : "", "parse-names" : false, "suffix" : "" }, { "dropping-particle" : "", "family" : "Jackson", "given" : "R", "non-dropping-particle" : "", "parse-names" : false, "suffix" : "" }, { "dropping-particle" : "", "family" : "Khaw", "given" : "KT", "non-dropping-particle" : "", "parse-names" : false, "suffix" : "" }, { "dropping-particle" : "", "family" : "Wareham", "given" : "NJ", "non-dropping-particle" : "", "parse-names" : false, "suffix" : "" }, { "dropping-particle" : "", "family" : "Griffin", "given" : "SJ", "non-dropping-particle" : "", "parse-names" : false, "suffix" : "" }, { "dropping-particle" : "", "family" : "Sinha", "given" : "S", "non-dropping-particle" : "", "parse-names" : false, "suffix" : "" }, { "dropping-particle" : "", "family" : "Myint", "given" : "PK", "non-dropping-particle" : "", "parse-names" : false, "suffix" : "" }, { "dropping-particle" : "", "family" : "Luben", "given" : "RN", "non-dropping-particle" : "", "parse-names" : false, "suffix" : "" }, { "dropping-particle" : "", "family" : "Khaw", "given" : "K-T", "non-dropping-particle" : "", "parse-names" : false, "suffix" : "" }, { "dropping-particle" : "", "family" : "Wareham", "given" : "NJ", "non-dropping-particle" : "", "parse-names" : false, "suffix" : "" }, { "dropping-particle" : "", "family" : "Jakes", "given" : "RW", "non-dropping-particle" : "", "parse-names" : false, "suffix" : "" }, { "dropping-particle" : "", "family" : "Rennie", "given" : "KL", "non-dropping-particle" : "", "parse-names" : false, "suffix" : "" }, { "dropping-particle" : "", "family" : "Schuit", "given" : "J", "non-dropping-particle" : "", "parse-names" : false, "suffix" : "" }, { "dropping-particle" : "", "family" : "Mitchell", "given" : "J", "non-dropping-particle" : "", "parse-names" : false, "suffix" : "" }, { "dropping-particle" : "", "family" : "Hennings", "given" : "S", "non-dropping-particle" : "", "parse-names" : false, "suffix" : "" }, { "dropping-particle" : "", "family" : "White", "given" : "IR", "non-dropping-particle" : "", "parse-names" : false, "suffix" : "" }, { "dropping-particle" : "", "family" : "Royston", "given" : "P", "non-dropping-particle" : "", "parse-names" : false, "suffix" : "" }, { "dropping-particle" : "", "family" : "Wood", "given" : "AM", "non-dropping-particle" : "", "parse-names" : false, "suffix" : "" }, { "dropping-particle" : "", "family" : "Efron", "given" : "B", "non-dropping-particle" : "", "parse-names" : false, "suffix" : "" }, { "dropping-particle" : "", "family" : "Collins", "given" : "GS", "non-dropping-particle" : "", "parse-names" : false, "suffix" : "" }, { "dropping-particle" : "", "family" : "Altman", "given" : "DG", "non-dropping-particle" : "", "parse-names" : false, "suffix" : "" }, { "dropping-particle" : "", "family" : "Fine", "given" : "JP", "non-dropping-particle" : "", "parse-names" : false, "suffix" : "" }, { "dropping-particle" : "", "family" : "Gray", "given" : "RJ", "non-dropping-particle" : "", "parse-names" : false, "suffix" : "" }, { "dropping-particle" : "", "family" : "Dilis", "given" : "V", "non-dropping-particle" : "", "parse-names" : false, "suffix" : "" }, { "dropping-particle" : "", "family" : "Katsoulis", "given" : "M", "non-dropping-particle" : "", "parse-names" : false, "suffix" : "" }, { "dropping-particle" : "", "family" : "Lagiou", "given" : "P", "non-dropping-particle" : "", "parse-names" : false, "suffix" : "" }, { "dropping-particle" : "", "family" : "Trichopoulos", "given" : "D", "non-dropping-particle" : "", "parse-names" : false, "suffix" : "" }, { "dropping-particle" : "", "family" : "Naska", "given" : "A", "non-dropping-particle" : "", "parse-names" : false, "suffix" : "" }, { "dropping-particle" : "", "family" : "Trichopoulou", "given" : "A", "non-dropping-particle" : "", "parse-names" : false, "suffix" : "" }, { "dropping-particle" : "", "family" : "Hoevenaar-Blom", "given" : "MP", "non-dropping-particle" : "", "parse-names" : false, "suffix" : "" }, { "dropping-particle" : "", "family" : "Nooyens", "given" : "ACJ", "non-dropping-particle" : "", "parse-names" : false, "suffix" : "" }, { "dropping-particle" : "", "family" : "Kromhout", "given" : "D", "non-dropping-particle" : "", "parse-names" : false, "suffix" : "" }, { "dropping-particle" : "", "family" : "Spijkerman", "given" : "AMW", "non-dropping-particle" : "", "parse-names" : false, "suffix" : "" }, { "dropping-particle" : "", "family" : "Beulens", "given" : "JWJ", "non-dropping-particle" : "", "parse-names" : false, "suffix" : "" }, { "dropping-particle" : "", "family" : "Schouw", "given" : "YT", "non-dropping-particle" : "", "parse-names" : false, "suffix" : "" }, { "dropping-particle" : "", "family" : "Misirli", "given" : "G", "non-dropping-particle" : "", "parse-names" : false, "suffix" : "" }, { "dropping-particle" : "", "family" : "Benetou", "given" : "V", "non-dropping-particle" : "", "parse-names" : false, "suffix" : "" }, { "dropping-particle" : "", "family" : "Lagiou", "given" : "P", "non-dropping-particle" : "", "parse-names" : false, "suffix" : "" }, { "dropping-particle" : "", "family" : "Bamia", "given" : "C", "non-dropping-particle" : "", "parse-names" : false, "suffix" : "" }, { "dropping-particle" : "", "family" : "Trichopoulos", "given" : "D", "non-dropping-particle" : "", "parse-names" : false, "suffix" : "" }, { "dropping-particle" : "", "family" : "Trichopoulou", "given" : "A", "non-dropping-particle" : "", "parse-names" : false, "suffix" : "" }, { "dropping-particle" : "", "family" : "Tognon", "given" : "G", "non-dropping-particle" : "", "parse-names" : false, "suffix" : "" }, { "dropping-particle" : "", "family" : "Lissner", "given" : "L", "non-dropping-particle" : "", "parse-names" : false, "suffix" : "" }, { "dropping-particle" : "", "family" : "S\u00e6bye", "given" : "D", "non-dropping-particle" : "", "parse-names" : false, "suffix" : "" }, { "dropping-particle" : "", "family" : "Walker", "given" : "KZ", "non-dropping-particle" : "", "parse-names" : false, "suffix" : "" }, { "dropping-particle" : "", "family" : "Heitmann", "given" : "BL", "non-dropping-particle" : "", "parse-names" : false, "suffix" : "" }, { "dropping-particle" : "", "family" : "Gardener", "given" : "H", "non-dropping-particle" : "", "parse-names" : false, "suffix" : "" }, { "dropping-particle" : "", "family" : "Wright", "given" : "CB", "non-dropping-particle" : "", "parse-names" : false, "suffix" : "" }, { "dropping-particle" : "", "family" : "Gu", "given" : "Y", "non-dropping-particle" : "", "parse-names" : false, "suffix" : "" }, { "dropping-particle" : "", "family" : "Demmer", "given" : "RT", "non-dropping-particle" : "", "parse-names" : false, "suffix" : "" }, { "dropping-particle" : "", "family" : "Boden-Albala", "given" : "B", "non-dropping-particle" : "", "parse-names" : false, "suffix" : "" }, { "dropping-particle" : "", "family" : "Elkind", "given" : "MSV", "non-dropping-particle" : "", "parse-names" : false, "suffix" : "" }, { "dropping-particle" : "", "family" : "Harmon", "given" : "BE", "non-dropping-particle" : "", "parse-names" : false, "suffix" : "" }, { "dropping-particle" : "", "family" : "Boushey", "given" : "CJ", "non-dropping-particle" : "", "parse-names" : false, "suffix" : "" }, { "dropping-particle" : "", "family" : "Shvetsov", "given" : "YB", "non-dropping-particle" : "", "parse-names" : false, "suffix" : "" }, { "dropping-particle" : "", "family" : "Ettienne", "given" : "R", "non-dropping-particle" : "", "parse-names" : false, "suffix" : "" }, { "dropping-particle" : "", "family" : "Reedy", "given" : "J", "non-dropping-particle" : "", "parse-names" : false, "suffix" : "" }, { "dropping-particle" : "", "family" : "Wilkens", "given" : "LR", "non-dropping-particle" : "", "parse-names" : false, "suffix" : "" }, { "dropping-particle" : "", "family" : "Dom\u00ednguez", "given" : "LJ", "non-dropping-particle" : "", "parse-names" : false, "suffix" : "" }, { "dropping-particle" : "", "family" : "Bes-Rastrollo", "given" : "M", "non-dropping-particle" : "", "parse-names" : false, "suffix" : "" }, { "dropping-particle" : "", "family" : "Fuente-Arrillaga", "given" : "C", "non-dropping-particle" : "", "parse-names" : false, "suffix" : "" }, { "dropping-particle" : "", "family" : "Toledo", "given" : "E", "non-dropping-particle" : "", "parse-names" : false, "suffix" : "" }, { "dropping-particle" : "", "family" : "Beunza", "given" : "JJ", "non-dropping-particle" : "", "parse-names" : false, "suffix" : "" }, { "dropping-particle" : "", "family" : "Barbagallo", "given" : "M", "non-dropping-particle" : "", "parse-names" : false, "suffix" : "" }, { "dropping-particle" : "", "family" : "Brunner", "given" : "JE", "non-dropping-particle" : "", "parse-names" : false, "suffix" : "" }, { "dropping-particle" : "", "family" : "Mosdol", "given" : "A", "non-dropping-particle" : "", "parse-names" : false, "suffix" : "" }, { "dropping-particle" : "", "family" : "Witte", "given" : "RD", "non-dropping-particle" : "", "parse-names" : false, "suffix" : "" }, { "dropping-particle" : "", "family" : "Hoevenaar-Blom", "given" : "MP", "non-dropping-particle" : "", "parse-names" : false, "suffix" : "" }, { "dropping-particle" : "", "family" : "Spijkerman", "given" : "AMW", "non-dropping-particle" : "", "parse-names" : false, "suffix" : "" }, { "dropping-particle" : "", "family" : "Boshuizen", "given" : "HC", "non-dropping-particle" : "", "parse-names" : false, "suffix" : "" }, { "dropping-particle" : "", "family" : "Boer", "given" : "JM", "non-dropping-particle" : "", "parse-names" : false, "suffix" : "" }, { "dropping-particle" : "", "family" : "Kromhout", "given" : "D", "non-dropping-particle" : "", "parse-names" : false, "suffix" : "" }, { "dropping-particle" : "", "family" : "Verschuren", "given" : "WMM", "non-dropping-particle" : "", "parse-names" : false, "suffix" : "" }, { "dropping-particle" : "", "family" : "Bonaccio", "given" : "ML", "non-dropping-particle" : "", "parse-names" : false, "suffix" : "" }, { "dropping-particle" : "", "family" : "Castelnuovo", "given" : "A", "non-dropping-particle" : "", "parse-names" : false, "suffix" : "" }, { "dropping-particle" : "", "family" : "Costanzo", "given" : "S", "non-dropping-particle" : "", "parse-names" : false, "suffix" : "" }, { "dropping-particle" : "", "family" : "Persichillo", "given" : "M", "non-dropping-particle" : "", "parse-names" : false, "suffix" : "" }, { "dropping-particle" : "", "family" : "Donati", "given" : "MB", "non-dropping-particle" : "", "parse-names" : false, "suffix" : "" }, { "dropping-particle" : "", "family" : "Gaetano", "given" : "G", "non-dropping-particle" : "", "parse-names" : false, "suffix" : "" }, { "dropping-particle" : "", "family" : "Martinez-Gonzalez", "given" : "MA", "non-dropping-particle" : "", "parse-names" : false, "suffix" : "" }, { "dropping-particle" : "", "family" : "Garcia-Lopez", "given" : "M", "non-dropping-particle" : "", "parse-names" : false, "suffix" : "" }, { "dropping-particle" : "", "family" : "Bes-Rastrollo", "given" : "M", "non-dropping-particle" : "", "parse-names" : false, "suffix" : "" }, { "dropping-particle" : "", "family" : "Toledo", "given" : "E", "non-dropping-particle" : "", "parse-names" : false, "suffix" : "" }, { "dropping-particle" : "", "family" : "Martinez-Lapiscina", "given" : "EH", "non-dropping-particle" : "", "parse-names" : false, "suffix" : "" }, { "dropping-particle" : "", "family" : "Delgado-Rodriguez", "given" : "M", "non-dropping-particle" : "", "parse-names" : false, "suffix" : "" }, { "dropping-particle" : "", "family" : "Lorgeril", "given" : "M", "non-dropping-particle" : "", "parse-names" : false, "suffix" : "" }, { "dropping-particle" : "", "family" : "Salen", "given" : "P", "non-dropping-particle" : "", "parse-names" : false, "suffix" : "" }, { "dropping-particle" : "", "family" : "Martin", "given" : "JL", "non-dropping-particle" : "", "parse-names" : false, "suffix" : "" }, { "dropping-particle" : "", "family" : "Mamelle", "given" : "N", "non-dropping-particle" : "", "parse-names" : false, "suffix" : "" }, { "dropping-particle" : "", "family" : "Monjaud", "given" : "I", "non-dropping-particle" : "", "parse-names" : false, "suffix" : "" }, { "dropping-particle" : "", "family" : "Touboul", "given" : "P", "non-dropping-particle" : "", "parse-names" : false, "suffix" : "" }, { "dropping-particle" : "", "family" : "Salas-Salvad\u00f3", "given" : "J", "non-dropping-particle" : "", "parse-names" : false, "suffix" : "" }, { "dropping-particle" : "", "family" : "Bull\u00f3", "given" : "M", "non-dropping-particle" : "", "parse-names" : false, "suffix" : "" }, { "dropping-particle" : "", "family" : "Babio", "given" : "N", "non-dropping-particle" : "", "parse-names" : false, "suffix" : "" }, { "dropping-particle" : "", "family" : "Mart\u00ednez-Gonz\u00e1lez", "given" : "M\u00c1", "non-dropping-particle" : "", "parse-names" : false, "suffix" : "" }, { "dropping-particle" : "", "family" : "Ibarrola-Jurado", "given" : "NN", "non-dropping-particle" : "", "parse-names" : false, "suffix" : "" }, { "dropping-particle" : "", "family" : "Basora", "given" : "J", "non-dropping-particle" : "", "parse-names" : false, "suffix" : "" }, { "dropping-particle" : "", "family" : "Taylor", "given" : "F", "non-dropping-particle" : "", "parse-names" : false, "suffix" : "" }, { "dropping-particle" : "", "family" : "Huffman", "given" : "MD", "non-dropping-particle" : "", "parse-names" : false, "suffix" : "" }, { "dropping-particle" : "", "family" : "Macedo", "given" : "AF", "non-dropping-particle" : "", "parse-names" : false, "suffix" : "" }, { "dropping-particle" : "", "family" : "Moore", "given" : "THM", "non-dropping-particle" : "", "parse-names" : false, "suffix" : "" }, { "dropping-particle" : "", "family" : "Burke", "given" : "M", "non-dropping-particle" : "", "parse-names" : false, "suffix" : "" }, { "dropping-particle" : "", "family" : "Davey", "given" : "SG", "non-dropping-particle" : "", "parse-names" : false, "suffix" : "" }, { "dropping-particle" : "", "family" : "Sattar", "given" : "N", "non-dropping-particle" : "", "parse-names" : false, "suffix" : "" }, { "dropping-particle" : "", "family" : "Preiss", "given" : "D", "non-dropping-particle" : "", "parse-names" : false, "suffix" : "" }, { "dropping-particle" : "", "family" : "Murray", "given" : "HM", "non-dropping-particle" : "", "parse-names" : false, "suffix" : "" }, { "dropping-particle" : "", "family" : "Lee", "given" : "IM", "non-dropping-particle" : "", "parse-names" : false, "suffix" : "" }, { "dropping-particle" : "", "family" : "Shiroma", "given" : "EJ", "non-dropping-particle" : "", "parse-names" : false, "suffix" : "" }, { "dropping-particle" : "", "family" : "Lobelo", "given" : "F", "non-dropping-particle" : "", "parse-names" : false, "suffix" : "" }, { "dropping-particle" : "", "family" : "Puska", "given" : "P", "non-dropping-particle" : "", "parse-names" : false, "suffix" : "" }, { "dropping-particle" : "", "family" : "Blair", "given" : "SN", "non-dropping-particle" : "", "parse-names" : false, "suffix" : "" }, { "dropping-particle" : "", "family" : "Katzmarzyk", "given" : "PT", "non-dropping-particle" : "", "parse-names" : false, "suffix" : "" }, { "dropping-particle" : "", "family" : "Elwood", "given" : "PC", "non-dropping-particle" : "", "parse-names" : false, "suffix" : "" }, { "dropping-particle" : "", "family" : "Pickering", "given" : "JE", "non-dropping-particle" : "", "parse-names" : false, "suffix" : "" }, { "dropping-particle" : "", "family" : "Givens", "given" : "D Ian", "non-dropping-particle" : "", "parse-names" : false, "suffix" : "" }, { "dropping-particle" : "", "family" : "Gallacher", "given" : "JE", "non-dropping-particle" : "", "parse-names" : false, "suffix" : "" }, { "dropping-particle" : "", "family" : "Soedamah-Muthu", "given" : "SS", "non-dropping-particle" : "", "parse-names" : false, "suffix" : "" }, { "dropping-particle" : "", "family" : "Ding", "given" : "EL", "non-dropping-particle" : "", "parse-names" : false, "suffix" : "" }, { "dropping-particle" : "", "family" : "Al-Delaimy", "given" : "WK", "non-dropping-particle" : "", "parse-names" : false, "suffix" : "" }, { "dropping-particle" : "", "family" : "Hu", "given" : "FB", "non-dropping-particle" : "", "parse-names" : false, "suffix" : "" }, { "dropping-particle" : "", "family" : "Engberink", "given" : "MF", "non-dropping-particle" : "", "parse-names" : false, "suffix" : "" }, { "dropping-particle" : "", "family" : "Willett", "given" : "WC", "non-dropping-particle" : "", "parse-names" : false, "suffix" : "" }, { "dropping-particle" : "", "family" : "Frazier-Wood", "given" : "AC", "non-dropping-particle" : "", "parse-names" : false, "suffix" : "" }, { "dropping-particle" : "", "family" : "Kim", "given" : "J", "non-dropping-particle" : "", "parse-names" : false, "suffix" : "" }, { "dropping-particle" : "", "family" : "Davis", "given" : "JS", "non-dropping-particle" : "", "parse-names" : false, "suffix" : "" }, { "dropping-particle" : "", "family" : "Jung", "given" : "SY", "non-dropping-particle" : "", "parse-names" : false, "suffix" : "" }, { "dropping-particle" : "", "family" : "Chang", "given" : "S", "non-dropping-particle" : "", "parse-names" : false, "suffix" : "" } ], "container-title" : "BMC Medicine", "id" : "ITEM-1", "issue" : "1", "issued" : { "date-parts" : [ [ "2016", "12", "29" ] ] }, "page" : "135", "publisher" : "BioMed Central", "title" : "Prospective association of the Mediterranean diet with cardiovascular disease incidence and mortality and its population impact in a non-Mediterranean population: the EPIC-Norfolk study", "type" : "article-journal", "volume" : "14" }, "uris" : [ "http://www.mendeley.com/documents/?uuid=6f9b3544-4aad-34f8-a78b-fd3aefa0fba7" ] } ], "mendeley" : { "formattedCitation" : "(Tong et al., 2016)", "plainTextFormattedCitation" : "(Tong et al., 2016)", "previouslyFormattedCitation" : "(Tong et al., 2016)" }, "properties" : { "noteIndex" : 0 }, "schema" : "https://github.com/citation-style-language/schema/raw/master/csl-citation.json" }</w:instrText>
      </w:r>
      <w:r w:rsidR="00F37BBB">
        <w:rPr>
          <w:rFonts w:cs="Arial"/>
          <w:color w:val="000000"/>
          <w:shd w:val="clear" w:color="auto" w:fill="FFFFFF"/>
        </w:rPr>
        <w:fldChar w:fldCharType="separate"/>
      </w:r>
      <w:r w:rsidR="00F37BBB" w:rsidRPr="00F37BBB">
        <w:rPr>
          <w:rFonts w:cs="Arial"/>
          <w:noProof/>
          <w:color w:val="000000"/>
          <w:shd w:val="clear" w:color="auto" w:fill="FFFFFF"/>
        </w:rPr>
        <w:t>(Tong et al., 2016)</w:t>
      </w:r>
      <w:r w:rsidR="00F37BBB">
        <w:rPr>
          <w:rFonts w:cs="Arial"/>
          <w:color w:val="000000"/>
          <w:shd w:val="clear" w:color="auto" w:fill="FFFFFF"/>
        </w:rPr>
        <w:fldChar w:fldCharType="end"/>
      </w:r>
      <w:r w:rsidR="00E34F5E">
        <w:rPr>
          <w:rFonts w:cs="Arial"/>
          <w:color w:val="000000"/>
          <w:shd w:val="clear" w:color="auto" w:fill="FFFFFF"/>
        </w:rPr>
        <w:t xml:space="preserve"> </w:t>
      </w:r>
      <w:bookmarkStart w:id="3" w:name="_Hlk490738675"/>
      <w:r w:rsidR="00E34F5E">
        <w:rPr>
          <w:rFonts w:cs="Arial"/>
          <w:color w:val="000000"/>
          <w:shd w:val="clear" w:color="auto" w:fill="FFFFFF"/>
        </w:rPr>
        <w:t>This effectively ranks individuals within the cohort, rather than assigning a score that may be compared to other populations.</w:t>
      </w:r>
      <w:r w:rsidR="003C7FB2">
        <w:rPr>
          <w:rFonts w:cs="Arial"/>
          <w:color w:val="000000"/>
          <w:shd w:val="clear" w:color="auto" w:fill="FFFFFF"/>
        </w:rPr>
        <w:t xml:space="preserve"> </w:t>
      </w:r>
      <w:bookmarkEnd w:id="3"/>
      <w:r w:rsidR="00525BBE">
        <w:t>The</w:t>
      </w:r>
      <w:r w:rsidR="00E34F5E">
        <w:t xml:space="preserve"> Mediterranean diet</w:t>
      </w:r>
      <w:r w:rsidR="003C7FB2">
        <w:t xml:space="preserve"> </w:t>
      </w:r>
      <w:r w:rsidR="00525BBE">
        <w:t>score</w:t>
      </w:r>
      <w:r w:rsidR="003C7FB2">
        <w:t xml:space="preserve"> </w:t>
      </w:r>
      <w:r w:rsidR="00525BBE">
        <w:t>has</w:t>
      </w:r>
      <w:r w:rsidR="003C7FB2">
        <w:t xml:space="preserve"> </w:t>
      </w:r>
      <w:r w:rsidR="00525BBE">
        <w:t>been</w:t>
      </w:r>
      <w:r w:rsidR="003C7FB2">
        <w:t xml:space="preserve"> </w:t>
      </w:r>
      <w:r w:rsidR="00525BBE">
        <w:t>associated</w:t>
      </w:r>
      <w:r w:rsidR="003C7FB2">
        <w:t xml:space="preserve"> </w:t>
      </w:r>
      <w:r w:rsidR="00525BBE">
        <w:t>with</w:t>
      </w:r>
      <w:r w:rsidR="003C7FB2">
        <w:t xml:space="preserve"> </w:t>
      </w:r>
      <w:r w:rsidR="00525BBE">
        <w:t>adiposity.</w:t>
      </w:r>
      <w:r w:rsidR="00525BBE">
        <w:fldChar w:fldCharType="begin" w:fldLock="1"/>
      </w:r>
      <w:r w:rsidR="000B07A6">
        <w:instrText>ADDIN CSL_CITATION { "citationItems" : [ { "id" : "ITEM-1", "itemData" : { "DOI" : "10.3945/ajcn.2010.29764", "ISSN" : "1938-3207", "PMID" : "20962161", "abstract" : "BACKGROUND The Mediterranean dietary pattern might be a potential tool for the prevention of obesity. OBJECTIVES We studied the association between adherence to 6 previously published scores used to assess the adherence to the Mediterranean diet and weight change. We also assessed the risk of relevant weight gain (\u2265 5 kg) or the risk of developing overweight or obesity. DESIGN The study population included 10,376 Spanish men and women who were university graduates (mean age = 38 y) and were followed up for a mean (\u00b1 SD) of 5.7 \u00b1 2.2 y. Diet was assessed at baseline with a 136-item, previously validated food-frequency questionnaire. Weight was assessed at baseline and biennially during follow-up. RESULTS Participants with the lowest adherence (\u2264 3 points) to the Mediterranean dietary score (MDS) proposed by Trichopoulou et al (range: 0-9; N Engl J Med 2003;348:2599-608) exhibited the highest average yearly weight gain, whereas participants with the highest (\u2265 6 points) adherence exhibited the lowest weight gain (adjusted difference: -0.059 kg/y; 95% CI: -0.111, -0.008 kg/y; P for trend = 0.02). This inverse association was extended to other a priori-defined MDSs. The group with the highest adherence to the MDS also showed the lowest risk of relevant weight gain (\u2265 5 kg) during the first 4 y of follow-up (odds ratio: 0.76; 95% CI: 0.64, 0.90). CONCLUSIONS Adherence to the Mediterranean dietary pattern is significantly associated with reduced weight gain. This dietary pattern can be recommended to slow down age-related weight gain.", "author" : [ { "dropping-particle" : "", "family" : "Beunza", "given" : "Juan-Jos\u00e9", "non-dropping-particle" : "", "parse-names" : false, "suffix" : "" }, { "dropping-particle" : "", "family" : "Toledo", "given" : "Estefan\u00eda", "non-dropping-particle" : "", "parse-names" : false, "suffix" : "" }, { "dropping-particle" : "", "family" : "Hu", "given" : "Frank B", "non-dropping-particle" : "", "parse-names" : false, "suffix" : "" }, { "dropping-particle" : "", "family" : "Bes-Rastrollo", "given" : "Maira", "non-dropping-particle" : "", "parse-names" : false, "suffix" : "" }, { "dropping-particle" : "", "family" : "Serrano-Mart\u00ednez", "given" : "Manuel", "non-dropping-particle" : "", "parse-names" : false, "suffix" : "" }, { "dropping-particle" : "", "family" : "S\u00e1nchez-Villegas", "given" : "Almudena", "non-dropping-particle" : "", "parse-names" : false, "suffix" : "" }, { "dropping-particle" : "", "family" : "Mart\u00ednez", "given" : "J Alfredo", "non-dropping-particle" : "", "parse-names" : false, "suffix" : "" }, { "dropping-particle" : "", "family" : "Mart\u00ednez-Gonz\u00e1lez", "given" : "Miguel A", "non-dropping-particle" : "", "parse-names" : false, "suffix" : "" } ], "container-title" : "The American journal of clinical nutrition", "id" : "ITEM-1", "issue" : "6", "issued" : { "date-parts" : [ [ "2010", "12" ] ] }, "page" : "1484-93", "title" : "Adherence to the Mediterranean diet, long-term weight change, and incident overweight or obesity: the Seguimiento Universidad de Navarra (SUN) cohort.", "type" : "article-journal", "volume" : "92" }, "uris" : [ "http://www.mendeley.com/documents/?uuid=6078b897-f193-3678-abe0-ee030e7f205b" ] } ], "mendeley" : { "formattedCitation" : "(Beunza et al., 2010)", "plainTextFormattedCitation" : "(Beunza et al., 2010)", "previouslyFormattedCitation" : "(Beunza et al., 2010)" }, "properties" : { "noteIndex" : 0 }, "schema" : "https://github.com/citation-style-language/schema/raw/master/csl-citation.json" }</w:instrText>
      </w:r>
      <w:r w:rsidR="00525BBE">
        <w:fldChar w:fldCharType="separate"/>
      </w:r>
      <w:r w:rsidR="00B71669" w:rsidRPr="00B71669">
        <w:rPr>
          <w:noProof/>
        </w:rPr>
        <w:t>(Beunza et al., 2010)</w:t>
      </w:r>
      <w:r w:rsidR="00525BBE">
        <w:fldChar w:fldCharType="end"/>
      </w:r>
      <w:r w:rsidR="003C7FB2">
        <w:rPr>
          <w:rFonts w:cs="Segoe UI"/>
          <w:color w:val="000000"/>
        </w:rPr>
        <w:t xml:space="preserve"> </w:t>
      </w:r>
      <w:r w:rsidR="00D1487A" w:rsidRPr="00D1487A">
        <w:rPr>
          <w:rFonts w:cs="Segoe UI"/>
          <w:color w:val="000000"/>
        </w:rPr>
        <w:t>Estimates</w:t>
      </w:r>
      <w:r w:rsidR="003C7FB2">
        <w:rPr>
          <w:rFonts w:cs="Segoe UI"/>
          <w:color w:val="000000"/>
        </w:rPr>
        <w:t xml:space="preserve"> </w:t>
      </w:r>
      <w:r w:rsidR="00D1487A" w:rsidRPr="00D1487A">
        <w:rPr>
          <w:rFonts w:cs="Segoe UI"/>
          <w:color w:val="000000"/>
        </w:rPr>
        <w:t>of</w:t>
      </w:r>
      <w:r w:rsidR="003C7FB2">
        <w:rPr>
          <w:rFonts w:cs="Segoe UI"/>
          <w:color w:val="000000"/>
        </w:rPr>
        <w:t xml:space="preserve"> </w:t>
      </w:r>
      <w:r w:rsidR="00D1487A" w:rsidRPr="00D1487A">
        <w:rPr>
          <w:rFonts w:cs="Segoe UI"/>
          <w:color w:val="000000"/>
        </w:rPr>
        <w:t>rMED</w:t>
      </w:r>
      <w:r w:rsidR="003C7FB2">
        <w:rPr>
          <w:rFonts w:cs="Segoe UI"/>
          <w:color w:val="000000"/>
        </w:rPr>
        <w:t xml:space="preserve"> </w:t>
      </w:r>
      <w:r w:rsidR="00D1487A" w:rsidRPr="00D1487A">
        <w:rPr>
          <w:rFonts w:cs="Segoe UI"/>
          <w:color w:val="000000"/>
        </w:rPr>
        <w:t>and</w:t>
      </w:r>
      <w:r w:rsidR="003C7FB2">
        <w:rPr>
          <w:rFonts w:cs="Segoe UI"/>
          <w:color w:val="000000"/>
        </w:rPr>
        <w:t xml:space="preserve"> </w:t>
      </w:r>
      <w:r w:rsidRPr="00D1487A">
        <w:t>alcohol</w:t>
      </w:r>
      <w:r w:rsidR="003C7FB2">
        <w:t xml:space="preserve"> </w:t>
      </w:r>
      <w:r w:rsidRPr="00D1487A">
        <w:t>consumption</w:t>
      </w:r>
      <w:r w:rsidR="003C7FB2">
        <w:t xml:space="preserve"> </w:t>
      </w:r>
      <w:r w:rsidRPr="00D1487A">
        <w:t>were</w:t>
      </w:r>
      <w:r w:rsidR="003C7FB2">
        <w:t xml:space="preserve"> </w:t>
      </w:r>
      <w:r w:rsidR="00D1487A" w:rsidRPr="00D1487A">
        <w:t>made</w:t>
      </w:r>
      <w:r w:rsidR="003C7FB2">
        <w:t xml:space="preserve"> </w:t>
      </w:r>
      <w:r w:rsidR="008667C7" w:rsidRPr="00D1487A">
        <w:t>using</w:t>
      </w:r>
      <w:r w:rsidR="003C7FB2">
        <w:t xml:space="preserve"> </w:t>
      </w:r>
      <w:r w:rsidR="008667C7" w:rsidRPr="00D1487A">
        <w:t>the</w:t>
      </w:r>
      <w:r w:rsidR="003C7FB2">
        <w:t xml:space="preserve"> </w:t>
      </w:r>
      <w:r w:rsidR="008667C7" w:rsidRPr="00D1487A">
        <w:t>FETA</w:t>
      </w:r>
      <w:r w:rsidR="003C7FB2">
        <w:t xml:space="preserve"> </w:t>
      </w:r>
      <w:r w:rsidR="008667C7" w:rsidRPr="00D1487A">
        <w:t>program</w:t>
      </w:r>
      <w:r w:rsidRPr="00D1487A">
        <w:t>.</w:t>
      </w:r>
      <w:r w:rsidR="008667C7" w:rsidRPr="00D1487A">
        <w:fldChar w:fldCharType="begin" w:fldLock="1"/>
      </w:r>
      <w:r w:rsidR="000B07A6">
        <w:instrText>ADDIN CSL_CITATION { "citationItems" : [ { "id" : "ITEM-1", "itemData" : { "DOI" : "10.1136/bmjopen-2013-004503", "ISSN" : "2044-6055", "PMID" : "24674997", "abstract" : "OBJECTIVES: To describe the research methods for the development of a new open source, cross-platform tool which processes data from the European Prospective Investigation into Cancer and Nutrition Norfolk Food Frequency Questionnaire (EPIC-Norfolk FFQ). A further aim was to compare nutrient and food group values derived from the current tool (FETA, FFQ EPIC Tool for Analysis) with the previously validated but less accessible tool, CAF\u00c9 (Compositional Analyses from Frequency Estimates). The effect of text matching on intake data was also investigated.\n\nDESIGN: Cross-sectional analysis of a prospective cohort study-EPIC-Norfolk.\n\nSETTING: East England population (city of Norwich and its surrounding small towns and rural areas).\n\nPARTICIPANTS: Complete FFQ data from 11 250 men and 13 602 women (mean age 59 years; range 40-79 years).\n\nOUTCOME MEASURES: Nutrient and food group intakes derived from FETA and CAF\u00c9 analyses of EPIC-Norfolk FFQ data.\n\nRESULTS: Nutrient outputs from FETA and CAF\u00c9 were similar; mean (SD) energy intake from FETA was 9222 kJ (2633) in men, 8113 kJ (2296) in women, compared with CAF\u00c9 intakes of 9175 kJ (2630) in men, 8091 kJ (2298) in women. The majority of differences resulted in one or less quintile change (98.7%). Only mean daily fruit and vegetable food group intakes were higher in women than in men (278 vs 212 and 284 vs 255 g, respectively). Quintile changes were evident for all nutrients, with the exception of alcohol, when text matching was not executed; however, only the cereals food group was affected.\n\nCONCLUSIONS: FETA produces similar nutrient and food group values to the previously validated CAF\u00c9 but has the advantages of being open source, cross-platform and complete with a data-entry form directly compatible with the software. The tool will facilitate research using the EPIC-Norfolk FFQ, and can be customised for different study populations.", "author" : [ { "dropping-particle" : "", "family" : "Mulligan", "given" : "Angela A", "non-dropping-particle" : "", "parse-names" : false, "suffix" : "" }, { "dropping-particle" : "", "family" : "Luben", "given" : "Robert N", "non-dropping-particle" : "", "parse-names" : false, "suffix" : "" }, { "dropping-particle" : "", "family" : "Bhaniani", "given" : "Amit", "non-dropping-particle" : "", "parse-names" : false, "suffix" : "" }, { "dropping-particle" : "", "family" : "Parry-Smith", "given" : "David J", "non-dropping-particle" : "", "parse-names" : false, "suffix" : "" }, { "dropping-particle" : "", "family" : "O'Connor", "given" : "Laura", "non-dropping-particle" : "", "parse-names" : false, "suffix" : "" }, { "dropping-particle" : "", "family" : "Khawaja", "given" : "Anthony P", "non-dropping-particle" : "", "parse-names" : false, "suffix" : "" }, { "dropping-particle" : "", "family" : "Forouhi", "given" : "Nita G", "non-dropping-particle" : "", "parse-names" : false, "suffix" : "" }, { "dropping-particle" : "", "family" : "Khaw", "given" : "Kay-Tee", "non-dropping-particle" : "", "parse-names" : false, "suffix" : "" } ], "container-title" : "BMJ open", "id" : "ITEM-1", "issue" : "3", "issued" : { "date-parts" : [ [ "2014", "1" ] ] }, "page" : "e004503", "title" : "A new tool for converting food frequency questionnaire data into nutrient and food group values: FETA research methods and availability.", "type" : "article-journal", "volume" : "4" }, "uris" : [ "http://www.mendeley.com/documents/?uuid=513fd1dd-0663-4ef7-b6c8-e096c8a33108" ] } ], "mendeley" : { "formattedCitation" : "(Mulligan et al., 2014)", "plainTextFormattedCitation" : "(Mulligan et al., 2014)", "previouslyFormattedCitation" : "(Mulligan et al., 2014)" }, "properties" : { "noteIndex" : 0 }, "schema" : "https://github.com/citation-style-language/schema/raw/master/csl-citation.json" }</w:instrText>
      </w:r>
      <w:r w:rsidR="008667C7" w:rsidRPr="00D1487A">
        <w:fldChar w:fldCharType="separate"/>
      </w:r>
      <w:r w:rsidR="00B71669" w:rsidRPr="00B71669">
        <w:rPr>
          <w:noProof/>
        </w:rPr>
        <w:t>(Mulligan et al., 2014)</w:t>
      </w:r>
      <w:r w:rsidR="008667C7" w:rsidRPr="00D1487A">
        <w:fldChar w:fldCharType="end"/>
      </w:r>
      <w:r w:rsidR="003C7FB2">
        <w:t xml:space="preserve"> </w:t>
      </w:r>
    </w:p>
    <w:p w14:paraId="244DFE07" w14:textId="77777777" w:rsidR="004B4F01" w:rsidRDefault="004B4F01" w:rsidP="004D4C5D">
      <w:pPr>
        <w:spacing w:after="0" w:line="240" w:lineRule="auto"/>
      </w:pPr>
    </w:p>
    <w:p w14:paraId="1506EEA9" w14:textId="53CA0D89" w:rsidR="000F0902" w:rsidRDefault="00420428" w:rsidP="004D4C5D">
      <w:pPr>
        <w:spacing w:after="0" w:line="240" w:lineRule="auto"/>
      </w:pPr>
      <w:r>
        <w:t>Leisure-</w:t>
      </w:r>
      <w:r w:rsidR="000F0902">
        <w:t>time</w:t>
      </w:r>
      <w:r w:rsidR="003C7FB2">
        <w:t xml:space="preserve"> </w:t>
      </w:r>
      <w:r w:rsidR="00412AB6">
        <w:t>physical</w:t>
      </w:r>
      <w:r w:rsidR="003C7FB2">
        <w:t xml:space="preserve"> </w:t>
      </w:r>
      <w:r w:rsidR="00412AB6">
        <w:t>activity</w:t>
      </w:r>
      <w:r w:rsidR="003C7FB2">
        <w:t xml:space="preserve"> </w:t>
      </w:r>
      <w:r w:rsidR="009C1934">
        <w:t>was</w:t>
      </w:r>
      <w:r w:rsidR="003C7FB2">
        <w:t xml:space="preserve"> </w:t>
      </w:r>
      <w:r w:rsidR="009C1934">
        <w:t>measured</w:t>
      </w:r>
      <w:r w:rsidR="003C7FB2">
        <w:t xml:space="preserve"> </w:t>
      </w:r>
      <w:r w:rsidR="009C1934">
        <w:t>in</w:t>
      </w:r>
      <w:r w:rsidR="003C7FB2">
        <w:t xml:space="preserve"> </w:t>
      </w:r>
      <w:r w:rsidR="009C1934">
        <w:t>MET-hours.</w:t>
      </w:r>
      <w:r w:rsidR="003C7FB2">
        <w:t xml:space="preserve"> </w:t>
      </w:r>
      <w:r w:rsidR="009C1934">
        <w:t>It</w:t>
      </w:r>
      <w:r w:rsidR="003C7FB2">
        <w:t xml:space="preserve"> </w:t>
      </w:r>
      <w:r w:rsidR="00412AB6">
        <w:t>was</w:t>
      </w:r>
      <w:r w:rsidR="003C7FB2">
        <w:t xml:space="preserve"> </w:t>
      </w:r>
      <w:r w:rsidR="00412AB6">
        <w:t>estimated</w:t>
      </w:r>
      <w:r w:rsidR="003C7FB2">
        <w:t xml:space="preserve"> </w:t>
      </w:r>
      <w:r w:rsidR="00412AB6">
        <w:t>by</w:t>
      </w:r>
      <w:r w:rsidR="003C7FB2">
        <w:t xml:space="preserve"> </w:t>
      </w:r>
      <w:r w:rsidR="009C1934">
        <w:t>summing</w:t>
      </w:r>
      <w:r w:rsidR="003C7FB2">
        <w:t xml:space="preserve"> </w:t>
      </w:r>
      <w:r w:rsidR="009C1934">
        <w:t>the</w:t>
      </w:r>
      <w:r w:rsidR="003C7FB2">
        <w:t xml:space="preserve"> </w:t>
      </w:r>
      <w:r w:rsidR="009C1934">
        <w:t>product</w:t>
      </w:r>
      <w:r w:rsidR="003C7FB2">
        <w:t xml:space="preserve"> </w:t>
      </w:r>
      <w:r w:rsidR="009C1934">
        <w:t>of</w:t>
      </w:r>
      <w:r w:rsidR="003C7FB2">
        <w:t xml:space="preserve"> </w:t>
      </w:r>
      <w:r w:rsidR="009C1934">
        <w:t>activity</w:t>
      </w:r>
      <w:r w:rsidR="003C7FB2">
        <w:t xml:space="preserve"> </w:t>
      </w:r>
      <w:r w:rsidR="009C1934">
        <w:t>duration</w:t>
      </w:r>
      <w:r w:rsidR="003C7FB2">
        <w:t xml:space="preserve"> </w:t>
      </w:r>
      <w:r w:rsidR="009C1934">
        <w:t>(as</w:t>
      </w:r>
      <w:r w:rsidR="003C7FB2">
        <w:t xml:space="preserve"> </w:t>
      </w:r>
      <w:r w:rsidR="009C1934">
        <w:t>reported</w:t>
      </w:r>
      <w:r w:rsidR="003C7FB2">
        <w:t xml:space="preserve"> </w:t>
      </w:r>
      <w:r w:rsidR="009C1934">
        <w:t>on</w:t>
      </w:r>
      <w:r w:rsidR="003C7FB2">
        <w:t xml:space="preserve"> </w:t>
      </w:r>
      <w:r w:rsidR="009C1934">
        <w:t>the</w:t>
      </w:r>
      <w:r w:rsidR="003C7FB2">
        <w:t xml:space="preserve"> </w:t>
      </w:r>
      <w:r w:rsidR="009C1934">
        <w:t>RPAQ)</w:t>
      </w:r>
      <w:r w:rsidR="003C7FB2">
        <w:t xml:space="preserve"> </w:t>
      </w:r>
      <w:r w:rsidR="009C1934">
        <w:t>and</w:t>
      </w:r>
      <w:r w:rsidR="003C7FB2">
        <w:t xml:space="preserve"> </w:t>
      </w:r>
      <w:r w:rsidR="009C1934">
        <w:t>activity</w:t>
      </w:r>
      <w:r w:rsidR="003C7FB2">
        <w:t xml:space="preserve"> </w:t>
      </w:r>
      <w:r w:rsidR="009C1934">
        <w:t>intensity</w:t>
      </w:r>
      <w:r w:rsidR="003C7FB2">
        <w:t xml:space="preserve"> </w:t>
      </w:r>
      <w:r w:rsidR="009C1934">
        <w:t>(measured</w:t>
      </w:r>
      <w:r w:rsidR="003C7FB2">
        <w:t xml:space="preserve"> </w:t>
      </w:r>
      <w:r w:rsidR="009C1934">
        <w:t>in</w:t>
      </w:r>
      <w:r w:rsidR="003C7FB2">
        <w:t xml:space="preserve"> </w:t>
      </w:r>
      <w:r w:rsidR="009C1934">
        <w:t>metabolic</w:t>
      </w:r>
      <w:r w:rsidR="003C7FB2">
        <w:t xml:space="preserve"> </w:t>
      </w:r>
      <w:r w:rsidR="009C1934">
        <w:t>equivalent</w:t>
      </w:r>
      <w:r w:rsidR="003C7FB2">
        <w:t xml:space="preserve"> </w:t>
      </w:r>
      <w:r w:rsidR="009C1934">
        <w:t>of</w:t>
      </w:r>
      <w:r w:rsidR="003C7FB2">
        <w:t xml:space="preserve"> </w:t>
      </w:r>
      <w:r w:rsidR="009C1934">
        <w:t>task</w:t>
      </w:r>
      <w:r w:rsidR="009A7681">
        <w:t>,</w:t>
      </w:r>
      <w:r w:rsidR="003C7FB2">
        <w:t xml:space="preserve"> </w:t>
      </w:r>
      <w:r w:rsidR="009A7681">
        <w:t>MET</w:t>
      </w:r>
      <w:r w:rsidR="009C1934">
        <w:t>)</w:t>
      </w:r>
      <w:r w:rsidR="003C7FB2">
        <w:t xml:space="preserve"> </w:t>
      </w:r>
      <w:r w:rsidR="009C1934">
        <w:t>for</w:t>
      </w:r>
      <w:r w:rsidR="003C7FB2">
        <w:t xml:space="preserve"> </w:t>
      </w:r>
      <w:r w:rsidR="009C1934">
        <w:t>all</w:t>
      </w:r>
      <w:r w:rsidR="003C7FB2">
        <w:t xml:space="preserve"> </w:t>
      </w:r>
      <w:r w:rsidR="009C1934">
        <w:t>reported</w:t>
      </w:r>
      <w:r w:rsidR="003C7FB2">
        <w:t xml:space="preserve"> </w:t>
      </w:r>
      <w:r w:rsidR="009C1934">
        <w:t>activities.</w:t>
      </w:r>
      <w:r w:rsidR="003C7FB2">
        <w:t xml:space="preserve"> </w:t>
      </w:r>
    </w:p>
    <w:p w14:paraId="2B58B26B" w14:textId="77777777" w:rsidR="000F0902" w:rsidRDefault="000F0902" w:rsidP="004D4C5D">
      <w:pPr>
        <w:spacing w:after="0" w:line="240" w:lineRule="auto"/>
        <w:rPr>
          <w:u w:val="single"/>
        </w:rPr>
      </w:pPr>
    </w:p>
    <w:p w14:paraId="6975D200" w14:textId="5B461E2C" w:rsidR="002C5F54" w:rsidRDefault="002C5F54" w:rsidP="004D4C5D">
      <w:pPr>
        <w:spacing w:after="0" w:line="240" w:lineRule="auto"/>
      </w:pPr>
      <w:r>
        <w:t>Estimates</w:t>
      </w:r>
      <w:r w:rsidR="003C7FB2">
        <w:t xml:space="preserve"> </w:t>
      </w:r>
      <w:r>
        <w:t>of</w:t>
      </w:r>
      <w:r w:rsidR="003C7FB2">
        <w:t xml:space="preserve"> </w:t>
      </w:r>
      <w:r w:rsidR="00FC29C6">
        <w:t>objective</w:t>
      </w:r>
      <w:r w:rsidR="003C7FB2">
        <w:t xml:space="preserve"> </w:t>
      </w:r>
      <w:r>
        <w:t>physical</w:t>
      </w:r>
      <w:r w:rsidR="003C7FB2">
        <w:t xml:space="preserve"> </w:t>
      </w:r>
      <w:r>
        <w:t>activity</w:t>
      </w:r>
      <w:r w:rsidR="003C7FB2">
        <w:t xml:space="preserve"> </w:t>
      </w:r>
      <w:r>
        <w:t>energy</w:t>
      </w:r>
      <w:r w:rsidR="003C7FB2">
        <w:t xml:space="preserve"> </w:t>
      </w:r>
      <w:r>
        <w:t>expenditure</w:t>
      </w:r>
      <w:r w:rsidR="003C7FB2">
        <w:t xml:space="preserve"> </w:t>
      </w:r>
      <w:r>
        <w:t>(PAEE)</w:t>
      </w:r>
      <w:r w:rsidR="003C7FB2">
        <w:t xml:space="preserve"> </w:t>
      </w:r>
      <w:r w:rsidR="009A7681">
        <w:t>from</w:t>
      </w:r>
      <w:r w:rsidR="003C7FB2">
        <w:t xml:space="preserve"> </w:t>
      </w:r>
      <w:r w:rsidR="009A7681">
        <w:t>Actiheart</w:t>
      </w:r>
      <w:r w:rsidR="003C7FB2">
        <w:t xml:space="preserve"> </w:t>
      </w:r>
      <w:r w:rsidR="009A7681">
        <w:t>data</w:t>
      </w:r>
      <w:r w:rsidR="003C7FB2">
        <w:t xml:space="preserve"> </w:t>
      </w:r>
      <w:r>
        <w:t>were</w:t>
      </w:r>
      <w:r w:rsidR="003C7FB2">
        <w:t xml:space="preserve"> </w:t>
      </w:r>
      <w:r>
        <w:t>made</w:t>
      </w:r>
      <w:r w:rsidR="003C7FB2">
        <w:t xml:space="preserve"> </w:t>
      </w:r>
      <w:r>
        <w:t>using</w:t>
      </w:r>
      <w:r w:rsidR="003C7FB2">
        <w:t xml:space="preserve"> </w:t>
      </w:r>
      <w:r>
        <w:t>the</w:t>
      </w:r>
      <w:r w:rsidR="003C7FB2">
        <w:t xml:space="preserve"> </w:t>
      </w:r>
      <w:r>
        <w:t>branched</w:t>
      </w:r>
      <w:r w:rsidR="003C7FB2">
        <w:t xml:space="preserve"> </w:t>
      </w:r>
      <w:r>
        <w:t>equation</w:t>
      </w:r>
      <w:r w:rsidR="003C7FB2">
        <w:t xml:space="preserve"> </w:t>
      </w:r>
      <w:r>
        <w:t>framework.</w:t>
      </w:r>
      <w:r w:rsidR="00F016C1">
        <w:fldChar w:fldCharType="begin" w:fldLock="1"/>
      </w:r>
      <w:r w:rsidR="000B07A6">
        <w:instrText>ADDIN CSL_CITATION { "citationItems" : [ { "id" : "ITEM-1", "itemData" : { "DOI" : "10.1038/sj.ejcn.1602118", "ISBN" : "0954-3007 (Print)\n0954-3007 (Linking)", "PMID" : "15714212", "abstract" : "Accurate quantification of physical activity energy expenditure is a key part of the effort to understand disorders of energy metabolism. The Actiheart, a combined heart rate (HR) and movement sensor, is designed to assess physical activity in populations. OBJECTIVE: To examine aspects of Actiheart reliability and validity in mechanical settings and during walking and running. METHODS: In eight Actiheart units, technical reliability (coefficients of variation, CV) and validity for movement were assessed with sinusoid accelerations (0.1-20 m/s(2)) and for HR by simulated R-wave impulses (25-250 bpm). Agreement between Actiheart and ECG was determined during rest and treadmill locomotion (3.2-12.1 km/h). Walking and running intensity (in J/min/kg) was assessed with indirect calorimetry in 11 men and nine women (26-50 y, 20-29 kg/m(2)) and modelled from movement, HR, and movement + HR by multiple linear regression, adjusting for sex. RESULTS: Median intrainstrument CV was 0.5 and 0.03% for movement and HR, respectively. Corresponding interinstrument CV values were 5.7 and 0.03% with some evidence of heteroscedasticity for movement. The linear relationship between movement and acceleration was strong (R(2) = 0.99, P &lt; 0.001). Simulated R-waves were detected within 1 bpm from 30 to 250 bpm. The 95% limits of agreement between Actiheart and ECG were -4.2 to 4.3 bpm. Correlations with intensity were generally high (R(2) &gt; 0.84, P &lt; 0.001) but significantly highest when combining HR and movement (SEE &lt; 1 MET). CONCLUSIONS: The Actiheart is technically reliable and valid. Walking and running intensity may be estimated accurately but further studies are needed to assess validity in other activities and during free-living. SPONSORSHIP: The study received financial support from the Wellcome Trust and SB was supported by a scholarship from Unilever, UK.", "author" : [ { "dropping-particle" : "", "family" : "Brage", "given" : "S", "non-dropping-particle" : "", "parse-names" : false, "suffix" : "" }, { "dropping-particle" : "", "family" : "Brage", "given" : "N", "non-dropping-particle" : "", "parse-names" : false, "suffix" : "" }, { "dropping-particle" : "", "family" : "Franks", "given" : "P W", "non-dropping-particle" : "", "parse-names" : false, "suffix" : "" }, { "dropping-particle" : "", "family" : "Ekelund", "given" : "U", "non-dropping-particle" : "", "parse-names" : false, "suffix" : "" }, { "dropping-particle" : "", "family" : "Wareham", "given" : "N J", "non-dropping-particle" : "", "parse-names" : false, "suffix" : "" } ], "container-title" : "Eur J Clin Nutr", "edition" : "2005/02/17", "id" : "ITEM-1", "issue" : "4", "issued" : { "date-parts" : [ [ "2005" ] ] }, "language" : "eng", "note" : "Brage, S\nBrage, N\nFranks, P W\nEkelund, U\nWareham, N J\nEngland\nEur J Clin Nutr. 2005 Apr;59(4):561-70.", "page" : "561-570", "title" : "Reliability and validity of the combined heart rate and movement sensor Actiheart", "type" : "article-journal", "volume" : "59" }, "uris" : [ "http://www.mendeley.com/documents/?uuid=0cbf9a47-2d13-4c51-9d3c-11b67cb1bc5c" ] } ], "mendeley" : { "formattedCitation" : "(Brage et al., 2005)", "plainTextFormattedCitation" : "(Brage et al., 2005)", "previouslyFormattedCitation" : "(Brage et al., 2005)" }, "properties" : { "noteIndex" : 0 }, "schema" : "https://github.com/citation-style-language/schema/raw/master/csl-citation.json" }</w:instrText>
      </w:r>
      <w:r w:rsidR="00F016C1">
        <w:fldChar w:fldCharType="separate"/>
      </w:r>
      <w:r w:rsidR="00B71669" w:rsidRPr="00B71669">
        <w:rPr>
          <w:noProof/>
        </w:rPr>
        <w:t>(Brage et al., 2005)</w:t>
      </w:r>
      <w:r w:rsidR="00F016C1">
        <w:fldChar w:fldCharType="end"/>
      </w:r>
      <w:r w:rsidR="003C7FB2">
        <w:t xml:space="preserve"> </w:t>
      </w:r>
      <w:r w:rsidR="00A5001A">
        <w:t>The</w:t>
      </w:r>
      <w:r w:rsidR="003C7FB2">
        <w:t xml:space="preserve"> </w:t>
      </w:r>
      <w:r w:rsidR="00A5001A">
        <w:t>majority</w:t>
      </w:r>
      <w:r w:rsidR="003C7FB2">
        <w:t xml:space="preserve"> </w:t>
      </w:r>
      <w:r w:rsidR="00A5001A">
        <w:t>of</w:t>
      </w:r>
      <w:r w:rsidR="003C7FB2">
        <w:t xml:space="preserve"> </w:t>
      </w:r>
      <w:r w:rsidR="00A5001A">
        <w:t>estimates</w:t>
      </w:r>
      <w:r w:rsidR="003C7FB2">
        <w:t xml:space="preserve"> </w:t>
      </w:r>
      <w:r w:rsidR="00A5001A">
        <w:t>(96.6%)</w:t>
      </w:r>
      <w:r w:rsidR="003C7FB2">
        <w:t xml:space="preserve"> </w:t>
      </w:r>
      <w:r w:rsidR="00A5001A">
        <w:t>were</w:t>
      </w:r>
      <w:r w:rsidR="003C7FB2">
        <w:t xml:space="preserve"> </w:t>
      </w:r>
      <w:r w:rsidR="00A5001A">
        <w:t>individually</w:t>
      </w:r>
      <w:r w:rsidR="003C7FB2">
        <w:t xml:space="preserve"> </w:t>
      </w:r>
      <w:r w:rsidR="00A5001A">
        <w:t>calibrated</w:t>
      </w:r>
      <w:r w:rsidR="003C7FB2">
        <w:t xml:space="preserve"> </w:t>
      </w:r>
      <w:r w:rsidR="00A5001A">
        <w:t>based</w:t>
      </w:r>
      <w:r w:rsidR="003C7FB2">
        <w:t xml:space="preserve"> </w:t>
      </w:r>
      <w:r w:rsidR="00A5001A">
        <w:t>on</w:t>
      </w:r>
      <w:r w:rsidR="003C7FB2">
        <w:t xml:space="preserve"> </w:t>
      </w:r>
      <w:r w:rsidR="00A5001A">
        <w:t>partial</w:t>
      </w:r>
      <w:r w:rsidR="003C7FB2">
        <w:t xml:space="preserve"> </w:t>
      </w:r>
      <w:r w:rsidR="00A5001A">
        <w:t>or</w:t>
      </w:r>
      <w:r w:rsidR="003C7FB2">
        <w:t xml:space="preserve"> </w:t>
      </w:r>
      <w:r w:rsidR="00A5001A">
        <w:t>complete</w:t>
      </w:r>
      <w:r w:rsidR="003C7FB2">
        <w:t xml:space="preserve"> </w:t>
      </w:r>
      <w:r w:rsidR="00A5001A">
        <w:t>treadmill</w:t>
      </w:r>
      <w:r w:rsidR="003C7FB2">
        <w:t xml:space="preserve"> </w:t>
      </w:r>
      <w:r w:rsidR="00A5001A">
        <w:t>tests.</w:t>
      </w:r>
      <w:r w:rsidR="003C7FB2">
        <w:t xml:space="preserve"> </w:t>
      </w:r>
    </w:p>
    <w:p w14:paraId="68062BC8" w14:textId="77777777" w:rsidR="002C5F54" w:rsidRDefault="002C5F54" w:rsidP="004D4C5D">
      <w:pPr>
        <w:spacing w:after="0" w:line="240" w:lineRule="auto"/>
      </w:pPr>
    </w:p>
    <w:p w14:paraId="2405B20F" w14:textId="77777777" w:rsidR="00C6276F" w:rsidRPr="00C6276F" w:rsidRDefault="00984E25" w:rsidP="00BB5254">
      <w:pPr>
        <w:spacing w:after="0" w:line="240" w:lineRule="auto"/>
        <w:rPr>
          <w:u w:val="single"/>
        </w:rPr>
      </w:pPr>
      <w:r w:rsidRPr="003F10CB">
        <w:rPr>
          <w:u w:val="single"/>
        </w:rPr>
        <w:t>Analysis</w:t>
      </w:r>
    </w:p>
    <w:p w14:paraId="098CA35F" w14:textId="77777777" w:rsidR="000403F8" w:rsidRDefault="000403F8" w:rsidP="00BB5254">
      <w:pPr>
        <w:spacing w:after="0" w:line="240" w:lineRule="auto"/>
      </w:pPr>
    </w:p>
    <w:p w14:paraId="7CB616A5" w14:textId="5BC5D6BC" w:rsidR="00B0787C" w:rsidRDefault="002C5F54" w:rsidP="00BB5254">
      <w:pPr>
        <w:spacing w:after="0" w:line="240" w:lineRule="auto"/>
      </w:pPr>
      <w:r>
        <w:t>We</w:t>
      </w:r>
      <w:r w:rsidR="003C7FB2">
        <w:t xml:space="preserve"> </w:t>
      </w:r>
      <w:r>
        <w:t>used</w:t>
      </w:r>
      <w:r w:rsidR="003C7FB2">
        <w:t xml:space="preserve"> </w:t>
      </w:r>
      <w:r>
        <w:t>linear</w:t>
      </w:r>
      <w:r w:rsidR="003C7FB2">
        <w:t xml:space="preserve"> </w:t>
      </w:r>
      <w:r>
        <w:t>regression</w:t>
      </w:r>
      <w:r w:rsidR="003C7FB2">
        <w:t xml:space="preserve"> </w:t>
      </w:r>
      <w:r>
        <w:t>to</w:t>
      </w:r>
      <w:r w:rsidR="003C7FB2">
        <w:t xml:space="preserve"> </w:t>
      </w:r>
      <w:r>
        <w:t>test</w:t>
      </w:r>
      <w:r w:rsidR="003C7FB2">
        <w:t xml:space="preserve"> </w:t>
      </w:r>
      <w:r>
        <w:t>the</w:t>
      </w:r>
      <w:r w:rsidR="003C7FB2">
        <w:t xml:space="preserve"> </w:t>
      </w:r>
      <w:r>
        <w:t>a</w:t>
      </w:r>
      <w:r w:rsidR="00B0787C">
        <w:t>ssociation</w:t>
      </w:r>
      <w:r w:rsidR="003C7FB2">
        <w:t xml:space="preserve"> </w:t>
      </w:r>
      <w:r w:rsidR="00B0787C">
        <w:t>of</w:t>
      </w:r>
      <w:r w:rsidR="003C7FB2">
        <w:t xml:space="preserve"> </w:t>
      </w:r>
      <w:r>
        <w:t>active</w:t>
      </w:r>
      <w:r w:rsidR="003C7FB2">
        <w:t xml:space="preserve"> </w:t>
      </w:r>
      <w:r>
        <w:t>commuting</w:t>
      </w:r>
      <w:r w:rsidR="003C7FB2">
        <w:t xml:space="preserve"> </w:t>
      </w:r>
      <w:r w:rsidR="00B0787C">
        <w:t>with</w:t>
      </w:r>
      <w:r w:rsidR="003C7FB2">
        <w:t xml:space="preserve"> </w:t>
      </w:r>
      <w:r w:rsidR="00B0787C">
        <w:t>body</w:t>
      </w:r>
      <w:r w:rsidR="003C7FB2">
        <w:t xml:space="preserve"> </w:t>
      </w:r>
      <w:r w:rsidR="00B0787C">
        <w:t>fat</w:t>
      </w:r>
      <w:r w:rsidR="003C7FB2">
        <w:t xml:space="preserve"> </w:t>
      </w:r>
      <w:r w:rsidR="00B0787C">
        <w:t>and</w:t>
      </w:r>
      <w:r w:rsidR="003C7FB2">
        <w:t xml:space="preserve"> </w:t>
      </w:r>
      <w:r w:rsidR="00154627">
        <w:t>VAT</w:t>
      </w:r>
      <w:r w:rsidR="00056CB4">
        <w:t>,</w:t>
      </w:r>
      <w:r w:rsidR="003C7FB2">
        <w:t xml:space="preserve"> </w:t>
      </w:r>
      <w:r w:rsidR="00B0787C">
        <w:t>stratified</w:t>
      </w:r>
      <w:r w:rsidR="003C7FB2">
        <w:t xml:space="preserve"> </w:t>
      </w:r>
      <w:r w:rsidR="00B0787C">
        <w:t>by</w:t>
      </w:r>
      <w:r w:rsidR="003C7FB2">
        <w:t xml:space="preserve"> </w:t>
      </w:r>
      <w:r w:rsidR="00B0787C">
        <w:t>home-work</w:t>
      </w:r>
      <w:r w:rsidR="003C7FB2">
        <w:t xml:space="preserve"> </w:t>
      </w:r>
      <w:r w:rsidR="00B0787C">
        <w:t>distance</w:t>
      </w:r>
      <w:r w:rsidR="003C7FB2">
        <w:t xml:space="preserve"> </w:t>
      </w:r>
      <w:r w:rsidR="009A7681">
        <w:t>(as</w:t>
      </w:r>
      <w:r w:rsidR="003C7FB2">
        <w:t xml:space="preserve"> </w:t>
      </w:r>
      <w:r w:rsidR="009A7681">
        <w:t>described</w:t>
      </w:r>
      <w:r w:rsidR="003C7FB2">
        <w:t xml:space="preserve"> </w:t>
      </w:r>
      <w:r w:rsidR="009A7681">
        <w:t>above)</w:t>
      </w:r>
      <w:r w:rsidR="003C7FB2">
        <w:t xml:space="preserve"> </w:t>
      </w:r>
      <w:r w:rsidR="00B0787C">
        <w:t>and</w:t>
      </w:r>
      <w:r w:rsidR="003C7FB2">
        <w:t xml:space="preserve"> </w:t>
      </w:r>
      <w:r w:rsidR="009A7681">
        <w:t>also</w:t>
      </w:r>
      <w:r w:rsidR="003C7FB2">
        <w:t xml:space="preserve"> </w:t>
      </w:r>
      <w:r w:rsidR="00056CB4">
        <w:t>by</w:t>
      </w:r>
      <w:r w:rsidR="003C7FB2">
        <w:t xml:space="preserve"> </w:t>
      </w:r>
      <w:r w:rsidR="00B0787C">
        <w:t>sex</w:t>
      </w:r>
      <w:r w:rsidR="003F10CB">
        <w:t>,</w:t>
      </w:r>
      <w:r w:rsidR="003C7FB2">
        <w:t xml:space="preserve"> </w:t>
      </w:r>
      <w:r w:rsidR="003F10CB">
        <w:t>as</w:t>
      </w:r>
      <w:r w:rsidR="003C7FB2">
        <w:t xml:space="preserve"> </w:t>
      </w:r>
      <w:r w:rsidR="003F10CB">
        <w:t>others</w:t>
      </w:r>
      <w:r w:rsidR="003C7FB2">
        <w:t xml:space="preserve"> </w:t>
      </w:r>
      <w:r w:rsidR="003F10CB">
        <w:t>have</w:t>
      </w:r>
      <w:r w:rsidR="003C7FB2">
        <w:t xml:space="preserve"> </w:t>
      </w:r>
      <w:r w:rsidR="003F10CB">
        <w:t>done,</w:t>
      </w:r>
      <w:r w:rsidR="003F10CB">
        <w:fldChar w:fldCharType="begin" w:fldLock="1"/>
      </w:r>
      <w:r w:rsidR="000B07A6">
        <w:instrText>ADDIN CSL_CITATION { "citationItems" : [ { "id" : "ITEM-1", "itemData" : { "DOI" : "10.1136/bmj.g4887", "ISSN" : "1756-1833", "abstract" : "Objective To determine if promotion of active modes of travel is an effective strategy for obesity prevention by assessing whether active commuting (walking or cycling for all or part of the journey to work) is independently associated with objectively assessed biological markers of obesity. Design Cross sectional study of data from the wave 2 Health Assessment subsample of Understanding Society, the UK Household Longitudinal Study (UKHLS). The exposure of interest, commuting mode, was self reported and categorised as three categories: private transport, public transport, and active transport. Participants The analytic samples (7534 for body mass index (BMI) analysis, 7424 for percentage body fat analysis) were drawn from the representative subsample of wave 2 respondents of UKHLS who provided health assessment data (n=15 777). Main outcome measures Body mass index (weight (kg)/height (m)2); percentage body fat (measured by electrical impedance). Results Results from multivariate linear regression analyses suggest that, compared with using private transport, commuting by public or active transport modes was significantly and independently predictive of lower BMI for both men and women. In fully adjusted models, men who commuted via public or active modes had BMI scores 1.10 (95% CI 0.53 to 1.67) and 0.97 (0.40 to 1.55) points lower, respectively, than those who used private transport. Women who commuted via public or active modes had BMI scores 0.72 (0.06 to 1.37) and 0.87 (0.36 to 0.87) points lower, respectively, than those using private transport. Results for percentage body fat were similar in terms of magnitude, significance, and direction of effects. Conclusions Men and women who commuted to work by active and public modes of transport had significantly lower BMI and percentage body fat than their counterparts who used private transport. These associations were not attenuated by adjustment for a range of hypothesised confounding factors.", "author" : [ { "dropping-particle" : "", "family" : "Flint", "given" : "E.", "non-dropping-particle" : "", "parse-names" : false, "suffix" : "" }, { "dropping-particle" : "", "family" : "Cummins", "given" : "S.", "non-dropping-particle" : "", "parse-names" : false, "suffix" : "" }, { "dropping-particle" : "", "family" : "Sacker", "given" : "A.", "non-dropping-particle" : "", "parse-names" : false, "suffix" : "" } ], "container-title" : "BMJ", "id" : "ITEM-1", "issue" : "aug19 13", "issued" : { "date-parts" : [ [ "2014", "8", "19" ] ] }, "page" : "g4887-g4887", "title" : "Associations between active commuting, body fat, and body mass index: population based, cross sectional study in the United Kingdom", "type" : "article-journal", "volume" : "349" }, "uris" : [ "http://www.mendeley.com/documents/?uuid=8787743b-b3b9-4811-8179-d88afe555721" ] }, { "id" : "ITEM-2", "itemData" : { "DOI" : "10.1016/S2213-8587(16)00053-X", "ISSN" : "22138587", "author" : [ { "dropping-particle" : "", "family" : "Flint", "given" : "Ellen", "non-dropping-particle" : "", "parse-names" : false, "suffix" : "" }, { "dropping-particle" : "", "family" : "Cummins", "given" : "Steven", "non-dropping-particle" : "", "parse-names" : false, "suffix" : "" } ], "container-title" : "The Lancet Diabetes &amp; Endocrinology", "id" : "ITEM-2", "issue" : "5", "issued" : { "date-parts" : [ [ "2016", "3" ] ] }, "language" : "English", "page" : "420-435", "publisher" : "Elsevier", "title" : "Active commuting and obesity in mid-life: cross-sectional, observational evidence from UK Biobank", "type" : "article-journal", "volume" : "4" }, "uris" : [ "http://www.mendeley.com/documents/?uuid=e7c9e359-019e-4cc3-a869-943a6411defd" ] } ], "mendeley" : { "formattedCitation" : "(Flint et al., 2014; Flint and Cummins, 2016)", "plainTextFormattedCitation" : "(Flint et al., 2014; Flint and Cummins, 2016)", "previouslyFormattedCitation" : "(Flint et al., 2014; Flint and Cummins, 2016)" }, "properties" : { "noteIndex" : 0 }, "schema" : "https://github.com/citation-style-language/schema/raw/master/csl-citation.json" }</w:instrText>
      </w:r>
      <w:r w:rsidR="003F10CB">
        <w:fldChar w:fldCharType="separate"/>
      </w:r>
      <w:r w:rsidR="00B71669" w:rsidRPr="00B71669">
        <w:rPr>
          <w:noProof/>
        </w:rPr>
        <w:t>(Flint et al., 2014; Flint and Cummins, 2016)</w:t>
      </w:r>
      <w:r w:rsidR="003F10CB">
        <w:fldChar w:fldCharType="end"/>
      </w:r>
      <w:r w:rsidR="003C7FB2">
        <w:t xml:space="preserve"> </w:t>
      </w:r>
      <w:r w:rsidR="00056CB4">
        <w:t>because</w:t>
      </w:r>
      <w:r w:rsidR="003C7FB2">
        <w:t xml:space="preserve"> </w:t>
      </w:r>
      <w:r w:rsidR="00056CB4">
        <w:t>of</w:t>
      </w:r>
      <w:r w:rsidR="003C7FB2">
        <w:t xml:space="preserve"> </w:t>
      </w:r>
      <w:r w:rsidR="003F10CB">
        <w:t>the</w:t>
      </w:r>
      <w:r w:rsidR="003C7FB2">
        <w:t xml:space="preserve"> </w:t>
      </w:r>
      <w:r w:rsidR="003F10CB">
        <w:t>different</w:t>
      </w:r>
      <w:r w:rsidR="003C7FB2">
        <w:t xml:space="preserve"> </w:t>
      </w:r>
      <w:r w:rsidR="00056CB4">
        <w:t>absolute</w:t>
      </w:r>
      <w:r w:rsidR="003C7FB2">
        <w:t xml:space="preserve"> </w:t>
      </w:r>
      <w:r w:rsidR="003F10CB">
        <w:t>levels</w:t>
      </w:r>
      <w:r w:rsidR="003C7FB2">
        <w:t xml:space="preserve"> </w:t>
      </w:r>
      <w:r w:rsidR="003F10CB">
        <w:t>and</w:t>
      </w:r>
      <w:r w:rsidR="003C7FB2">
        <w:t xml:space="preserve"> </w:t>
      </w:r>
      <w:r w:rsidR="003F10CB">
        <w:t>distribution</w:t>
      </w:r>
      <w:r w:rsidR="003C7FB2">
        <w:t xml:space="preserve"> </w:t>
      </w:r>
      <w:r w:rsidR="003F10CB">
        <w:t>of</w:t>
      </w:r>
      <w:r w:rsidR="003C7FB2">
        <w:t xml:space="preserve"> </w:t>
      </w:r>
      <w:r w:rsidR="003F10CB">
        <w:t>fat</w:t>
      </w:r>
      <w:r w:rsidR="00056CB4">
        <w:t>,</w:t>
      </w:r>
      <w:r w:rsidR="003C7FB2">
        <w:t xml:space="preserve"> </w:t>
      </w:r>
      <w:r w:rsidR="003F10CB">
        <w:t>differ</w:t>
      </w:r>
      <w:r w:rsidR="00056CB4">
        <w:t>ences</w:t>
      </w:r>
      <w:r w:rsidR="003C7FB2">
        <w:t xml:space="preserve"> </w:t>
      </w:r>
      <w:r w:rsidR="00056CB4">
        <w:t>in</w:t>
      </w:r>
      <w:r w:rsidR="003C7FB2">
        <w:t xml:space="preserve"> </w:t>
      </w:r>
      <w:r w:rsidR="00056CB4">
        <w:t>commuting</w:t>
      </w:r>
      <w:r w:rsidR="003C7FB2">
        <w:t xml:space="preserve"> </w:t>
      </w:r>
      <w:r w:rsidR="00056CB4">
        <w:t>patterns,</w:t>
      </w:r>
      <w:r w:rsidR="003C7FB2">
        <w:t xml:space="preserve"> </w:t>
      </w:r>
      <w:r w:rsidR="00056CB4">
        <w:t>and</w:t>
      </w:r>
      <w:r w:rsidR="003C7FB2">
        <w:t xml:space="preserve"> </w:t>
      </w:r>
      <w:r w:rsidR="00056CB4">
        <w:t>possible</w:t>
      </w:r>
      <w:r w:rsidR="003C7FB2">
        <w:t xml:space="preserve"> </w:t>
      </w:r>
      <w:r w:rsidR="00056CB4">
        <w:t>differences</w:t>
      </w:r>
      <w:r w:rsidR="003C7FB2">
        <w:t xml:space="preserve"> </w:t>
      </w:r>
      <w:r w:rsidR="00056CB4">
        <w:t>in</w:t>
      </w:r>
      <w:r w:rsidR="003C7FB2">
        <w:t xml:space="preserve"> </w:t>
      </w:r>
      <w:r w:rsidR="003F10CB">
        <w:t>activity</w:t>
      </w:r>
      <w:r w:rsidR="003C7FB2">
        <w:t xml:space="preserve"> </w:t>
      </w:r>
      <w:r w:rsidR="003F10CB">
        <w:t>intensity</w:t>
      </w:r>
      <w:r w:rsidR="003C7FB2">
        <w:t xml:space="preserve"> </w:t>
      </w:r>
      <w:r w:rsidR="003D3F70">
        <w:t>between</w:t>
      </w:r>
      <w:r w:rsidR="003C7FB2">
        <w:t xml:space="preserve"> </w:t>
      </w:r>
      <w:r w:rsidR="00056CB4">
        <w:t>the</w:t>
      </w:r>
      <w:r w:rsidR="003C7FB2">
        <w:t xml:space="preserve"> </w:t>
      </w:r>
      <w:r w:rsidR="00056CB4">
        <w:t>sexes</w:t>
      </w:r>
      <w:r w:rsidR="003F10CB">
        <w:t>.</w:t>
      </w:r>
      <w:r w:rsidR="003C7FB2">
        <w:t xml:space="preserve"> </w:t>
      </w:r>
    </w:p>
    <w:p w14:paraId="436DBD65" w14:textId="77777777" w:rsidR="003F10CB" w:rsidRDefault="003F10CB" w:rsidP="00BB5254">
      <w:pPr>
        <w:spacing w:after="0" w:line="240" w:lineRule="auto"/>
      </w:pPr>
    </w:p>
    <w:p w14:paraId="6832C4FA" w14:textId="07C82877" w:rsidR="00420428" w:rsidRDefault="003C4AFD" w:rsidP="00BB5254">
      <w:pPr>
        <w:spacing w:after="0" w:line="240" w:lineRule="auto"/>
      </w:pPr>
      <w:r>
        <w:t>We</w:t>
      </w:r>
      <w:r w:rsidR="003C7FB2">
        <w:t xml:space="preserve"> </w:t>
      </w:r>
      <w:r>
        <w:t>adjusted</w:t>
      </w:r>
      <w:r w:rsidR="003C7FB2">
        <w:t xml:space="preserve"> </w:t>
      </w:r>
      <w:r>
        <w:t>for</w:t>
      </w:r>
      <w:r w:rsidR="003C7FB2">
        <w:t xml:space="preserve"> </w:t>
      </w:r>
      <w:r>
        <w:t>three</w:t>
      </w:r>
      <w:r w:rsidR="003C7FB2">
        <w:t xml:space="preserve"> </w:t>
      </w:r>
      <w:r w:rsidR="003F10CB">
        <w:t>sets</w:t>
      </w:r>
      <w:r w:rsidR="003C7FB2">
        <w:t xml:space="preserve"> </w:t>
      </w:r>
      <w:r w:rsidR="003F10CB">
        <w:t>of</w:t>
      </w:r>
      <w:r w:rsidR="003C7FB2">
        <w:t xml:space="preserve"> </w:t>
      </w:r>
      <w:r w:rsidR="003F10CB">
        <w:t>co-variates.</w:t>
      </w:r>
      <w:r w:rsidR="003C7FB2">
        <w:t xml:space="preserve"> </w:t>
      </w:r>
      <w:r w:rsidR="00420428">
        <w:t>In</w:t>
      </w:r>
      <w:r w:rsidR="003C7FB2">
        <w:t xml:space="preserve"> </w:t>
      </w:r>
      <w:r w:rsidR="00420428">
        <w:t>M</w:t>
      </w:r>
      <w:r>
        <w:t>odel</w:t>
      </w:r>
      <w:r w:rsidR="003C7FB2">
        <w:t xml:space="preserve"> </w:t>
      </w:r>
      <w:r>
        <w:t>A,</w:t>
      </w:r>
      <w:r w:rsidR="003C7FB2">
        <w:t xml:space="preserve"> </w:t>
      </w:r>
      <w:r>
        <w:t>we</w:t>
      </w:r>
      <w:r w:rsidR="003C7FB2">
        <w:t xml:space="preserve"> </w:t>
      </w:r>
      <w:r>
        <w:t>adjusted</w:t>
      </w:r>
      <w:r w:rsidR="003C7FB2">
        <w:t xml:space="preserve"> </w:t>
      </w:r>
      <w:r>
        <w:t>for</w:t>
      </w:r>
      <w:r w:rsidR="003C7FB2">
        <w:t xml:space="preserve"> </w:t>
      </w:r>
      <w:r w:rsidR="003F10CB">
        <w:t>socio-demographic</w:t>
      </w:r>
      <w:r w:rsidR="003C7FB2">
        <w:t xml:space="preserve"> </w:t>
      </w:r>
      <w:r w:rsidR="003F10CB">
        <w:t>characteristics</w:t>
      </w:r>
      <w:r w:rsidR="003C7FB2">
        <w:t xml:space="preserve"> </w:t>
      </w:r>
      <w:r>
        <w:t>(age,</w:t>
      </w:r>
      <w:r w:rsidR="003C7FB2">
        <w:t xml:space="preserve"> </w:t>
      </w:r>
      <w:r>
        <w:t>education</w:t>
      </w:r>
      <w:r w:rsidR="003C7FB2">
        <w:t xml:space="preserve"> </w:t>
      </w:r>
      <w:r>
        <w:t>level),</w:t>
      </w:r>
      <w:r w:rsidR="003C7FB2">
        <w:t xml:space="preserve"> </w:t>
      </w:r>
      <w:r w:rsidR="003F10CB">
        <w:t>health</w:t>
      </w:r>
      <w:r w:rsidR="003C7FB2">
        <w:t xml:space="preserve"> </w:t>
      </w:r>
      <w:r w:rsidR="003F10CB">
        <w:t>behaviours</w:t>
      </w:r>
      <w:r w:rsidR="003C7FB2">
        <w:t xml:space="preserve"> </w:t>
      </w:r>
      <w:r w:rsidR="009A7681">
        <w:t>other</w:t>
      </w:r>
      <w:r w:rsidR="003C7FB2">
        <w:t xml:space="preserve"> </w:t>
      </w:r>
      <w:r w:rsidR="009A7681">
        <w:t>than</w:t>
      </w:r>
      <w:r w:rsidR="003C7FB2">
        <w:t xml:space="preserve"> </w:t>
      </w:r>
      <w:r w:rsidR="009A7681">
        <w:t>physical</w:t>
      </w:r>
      <w:r w:rsidR="003C7FB2">
        <w:t xml:space="preserve"> </w:t>
      </w:r>
      <w:r w:rsidR="009A7681">
        <w:t>activity</w:t>
      </w:r>
      <w:r w:rsidR="003C7FB2">
        <w:t xml:space="preserve"> </w:t>
      </w:r>
      <w:r>
        <w:t>(</w:t>
      </w:r>
      <w:r w:rsidR="003F10CB">
        <w:t>alcohol</w:t>
      </w:r>
      <w:r w:rsidR="003C7FB2">
        <w:t xml:space="preserve"> </w:t>
      </w:r>
      <w:r w:rsidR="003F10CB">
        <w:t>consumption,</w:t>
      </w:r>
      <w:r w:rsidR="003C7FB2">
        <w:t xml:space="preserve"> </w:t>
      </w:r>
      <w:r w:rsidR="003F10CB">
        <w:t>Mediterranean</w:t>
      </w:r>
      <w:r w:rsidR="003C7FB2">
        <w:t xml:space="preserve"> </w:t>
      </w:r>
      <w:r w:rsidR="003F10CB">
        <w:t>diet</w:t>
      </w:r>
      <w:r w:rsidR="003C7FB2">
        <w:t xml:space="preserve"> </w:t>
      </w:r>
      <w:r w:rsidR="003F10CB">
        <w:t>score</w:t>
      </w:r>
      <w:r w:rsidR="003C7FB2">
        <w:t xml:space="preserve"> </w:t>
      </w:r>
      <w:r w:rsidR="008F7097">
        <w:t>an</w:t>
      </w:r>
      <w:r w:rsidR="003F10CB">
        <w:t>d</w:t>
      </w:r>
      <w:r w:rsidR="003C7FB2">
        <w:t xml:space="preserve"> </w:t>
      </w:r>
      <w:r w:rsidR="003F10CB">
        <w:t>smoking</w:t>
      </w:r>
      <w:r w:rsidR="003C7FB2">
        <w:t xml:space="preserve"> </w:t>
      </w:r>
      <w:r w:rsidR="003F10CB">
        <w:t>status</w:t>
      </w:r>
      <w:r>
        <w:t>)</w:t>
      </w:r>
      <w:r w:rsidR="002E583D">
        <w:t>,</w:t>
      </w:r>
      <w:r w:rsidR="003C7FB2">
        <w:t xml:space="preserve"> </w:t>
      </w:r>
      <w:r w:rsidR="002E583D">
        <w:t>test</w:t>
      </w:r>
      <w:r w:rsidR="003C7FB2">
        <w:t xml:space="preserve"> </w:t>
      </w:r>
      <w:r w:rsidR="002E583D">
        <w:t>site</w:t>
      </w:r>
      <w:r w:rsidR="003C7FB2">
        <w:t xml:space="preserve"> </w:t>
      </w:r>
      <w:r>
        <w:t>and</w:t>
      </w:r>
      <w:r w:rsidR="003C7FB2">
        <w:t xml:space="preserve"> </w:t>
      </w:r>
      <w:r>
        <w:t>difficulty</w:t>
      </w:r>
      <w:r w:rsidR="003C7FB2">
        <w:t xml:space="preserve"> </w:t>
      </w:r>
      <w:r>
        <w:t>walking</w:t>
      </w:r>
      <w:r w:rsidR="003F10CB">
        <w:t>.</w:t>
      </w:r>
      <w:r w:rsidR="003C7FB2">
        <w:t xml:space="preserve"> </w:t>
      </w:r>
      <w:r w:rsidR="00420428">
        <w:t>In</w:t>
      </w:r>
      <w:r w:rsidR="003C7FB2">
        <w:t xml:space="preserve"> </w:t>
      </w:r>
      <w:r w:rsidR="00420428">
        <w:t>Model</w:t>
      </w:r>
      <w:r w:rsidR="003C7FB2">
        <w:t xml:space="preserve"> </w:t>
      </w:r>
      <w:r w:rsidR="00420428">
        <w:t>B</w:t>
      </w:r>
      <w:r w:rsidR="003C7FB2">
        <w:t xml:space="preserve"> </w:t>
      </w:r>
      <w:r w:rsidR="00420428">
        <w:t>we</w:t>
      </w:r>
      <w:r w:rsidR="003C7FB2">
        <w:t xml:space="preserve"> </w:t>
      </w:r>
      <w:r w:rsidR="00420428">
        <w:t>adjusted</w:t>
      </w:r>
      <w:r w:rsidR="003C7FB2">
        <w:t xml:space="preserve"> </w:t>
      </w:r>
      <w:r w:rsidR="00420428">
        <w:t>for</w:t>
      </w:r>
      <w:r w:rsidR="003C7FB2">
        <w:t xml:space="preserve"> </w:t>
      </w:r>
      <w:r w:rsidR="00420428">
        <w:t>M</w:t>
      </w:r>
      <w:r>
        <w:t>odel</w:t>
      </w:r>
      <w:r w:rsidR="003C7FB2">
        <w:t xml:space="preserve"> </w:t>
      </w:r>
      <w:r>
        <w:t>A</w:t>
      </w:r>
      <w:r w:rsidR="003C7FB2">
        <w:t xml:space="preserve"> </w:t>
      </w:r>
      <w:r>
        <w:t>co-variates</w:t>
      </w:r>
      <w:r w:rsidR="003C7FB2">
        <w:t xml:space="preserve"> </w:t>
      </w:r>
      <w:r>
        <w:t>and</w:t>
      </w:r>
      <w:r w:rsidR="003C7FB2">
        <w:t xml:space="preserve"> </w:t>
      </w:r>
      <w:r>
        <w:t>other</w:t>
      </w:r>
      <w:r w:rsidR="003C7FB2">
        <w:t xml:space="preserve"> </w:t>
      </w:r>
      <w:r>
        <w:t>self-reported</w:t>
      </w:r>
      <w:r w:rsidR="003C7FB2">
        <w:t xml:space="preserve"> </w:t>
      </w:r>
      <w:r>
        <w:t>physical</w:t>
      </w:r>
      <w:r w:rsidR="003C7FB2">
        <w:t xml:space="preserve"> </w:t>
      </w:r>
      <w:r>
        <w:t>activity</w:t>
      </w:r>
      <w:r w:rsidR="003C7FB2">
        <w:t xml:space="preserve"> </w:t>
      </w:r>
      <w:r>
        <w:t>(</w:t>
      </w:r>
      <w:r w:rsidR="00420428">
        <w:t>leisure-</w:t>
      </w:r>
      <w:r w:rsidR="00427315">
        <w:t>time</w:t>
      </w:r>
      <w:r w:rsidR="003C7FB2">
        <w:t xml:space="preserve"> </w:t>
      </w:r>
      <w:r w:rsidR="00427315">
        <w:t>physical</w:t>
      </w:r>
      <w:r w:rsidR="003C7FB2">
        <w:t xml:space="preserve"> </w:t>
      </w:r>
      <w:r w:rsidR="00427315">
        <w:t>activi</w:t>
      </w:r>
      <w:r w:rsidR="000F0902">
        <w:t>ty</w:t>
      </w:r>
      <w:r w:rsidR="00427315">
        <w:t>,</w:t>
      </w:r>
      <w:r w:rsidR="003C7FB2">
        <w:t xml:space="preserve"> </w:t>
      </w:r>
      <w:r w:rsidR="00420428">
        <w:t>occupational</w:t>
      </w:r>
      <w:r w:rsidR="003C7FB2">
        <w:t xml:space="preserve"> </w:t>
      </w:r>
      <w:r w:rsidR="00420428">
        <w:t>activity</w:t>
      </w:r>
      <w:r w:rsidR="003C7FB2">
        <w:t xml:space="preserve"> </w:t>
      </w:r>
      <w:r w:rsidR="009A7681">
        <w:t>and</w:t>
      </w:r>
      <w:r w:rsidR="003C7FB2">
        <w:t xml:space="preserve"> </w:t>
      </w:r>
      <w:r w:rsidR="009A7681">
        <w:t>the</w:t>
      </w:r>
      <w:r w:rsidR="003C7FB2">
        <w:t xml:space="preserve"> </w:t>
      </w:r>
      <w:r w:rsidR="009A7681">
        <w:t>usual</w:t>
      </w:r>
      <w:r w:rsidR="003C7FB2">
        <w:t xml:space="preserve"> </w:t>
      </w:r>
      <w:r w:rsidR="009A7681">
        <w:t>mode</w:t>
      </w:r>
      <w:r w:rsidR="003C7FB2">
        <w:t xml:space="preserve"> </w:t>
      </w:r>
      <w:r w:rsidR="009A7681">
        <w:t>of</w:t>
      </w:r>
      <w:r w:rsidR="003C7FB2">
        <w:t xml:space="preserve"> </w:t>
      </w:r>
      <w:r w:rsidR="009A7681">
        <w:t>transport</w:t>
      </w:r>
      <w:r w:rsidR="003C7FB2">
        <w:t xml:space="preserve"> </w:t>
      </w:r>
      <w:r w:rsidR="009A7681">
        <w:t>for</w:t>
      </w:r>
      <w:r w:rsidR="003C7FB2">
        <w:t xml:space="preserve"> </w:t>
      </w:r>
      <w:r w:rsidR="009A7681">
        <w:t>getting</w:t>
      </w:r>
      <w:r w:rsidR="003C7FB2">
        <w:t xml:space="preserve"> </w:t>
      </w:r>
      <w:r w:rsidR="009A7681">
        <w:t>about</w:t>
      </w:r>
      <w:r>
        <w:t>)</w:t>
      </w:r>
      <w:r w:rsidR="00420428">
        <w:t>.</w:t>
      </w:r>
      <w:r w:rsidR="003C7FB2">
        <w:t xml:space="preserve"> </w:t>
      </w:r>
      <w:r w:rsidR="00F000CC">
        <w:t>Finally,</w:t>
      </w:r>
      <w:r w:rsidR="003C7FB2">
        <w:t xml:space="preserve"> </w:t>
      </w:r>
      <w:r w:rsidR="00F000CC">
        <w:t>as</w:t>
      </w:r>
      <w:r w:rsidR="003C7FB2">
        <w:t xml:space="preserve"> </w:t>
      </w:r>
      <w:r w:rsidR="00F000CC">
        <w:t>a</w:t>
      </w:r>
      <w:r w:rsidR="003C7FB2">
        <w:t xml:space="preserve"> </w:t>
      </w:r>
      <w:r w:rsidR="00F000CC">
        <w:t>sensitivity</w:t>
      </w:r>
      <w:r w:rsidR="003C7FB2">
        <w:t xml:space="preserve"> </w:t>
      </w:r>
      <w:r w:rsidR="00F000CC">
        <w:t>analysis,</w:t>
      </w:r>
      <w:r w:rsidR="003C7FB2">
        <w:t xml:space="preserve"> </w:t>
      </w:r>
      <w:r w:rsidR="00F000CC">
        <w:t>we</w:t>
      </w:r>
      <w:r w:rsidR="003C7FB2">
        <w:t xml:space="preserve"> </w:t>
      </w:r>
      <w:r w:rsidR="00420428">
        <w:t>adjusted</w:t>
      </w:r>
      <w:r w:rsidR="003C7FB2">
        <w:t xml:space="preserve"> </w:t>
      </w:r>
      <w:r w:rsidR="00420428">
        <w:t>for</w:t>
      </w:r>
      <w:r w:rsidR="003C7FB2">
        <w:t xml:space="preserve"> </w:t>
      </w:r>
      <w:r w:rsidR="00420428">
        <w:t>Model</w:t>
      </w:r>
      <w:r w:rsidR="003C7FB2">
        <w:t xml:space="preserve"> </w:t>
      </w:r>
      <w:r w:rsidR="00420428">
        <w:t>A</w:t>
      </w:r>
      <w:r w:rsidR="003C7FB2">
        <w:t xml:space="preserve"> </w:t>
      </w:r>
      <w:r w:rsidR="00420428">
        <w:t>co-variate</w:t>
      </w:r>
      <w:r w:rsidR="00F000CC">
        <w:t>s</w:t>
      </w:r>
      <w:r w:rsidR="003C7FB2">
        <w:t xml:space="preserve"> </w:t>
      </w:r>
      <w:r w:rsidR="00F000CC">
        <w:t>and</w:t>
      </w:r>
      <w:r w:rsidR="003C7FB2">
        <w:t xml:space="preserve"> </w:t>
      </w:r>
      <w:r w:rsidR="00F000CC">
        <w:t>objectively</w:t>
      </w:r>
      <w:r w:rsidR="003C7FB2">
        <w:t xml:space="preserve"> </w:t>
      </w:r>
      <w:r w:rsidR="00F000CC">
        <w:t>measured</w:t>
      </w:r>
      <w:r w:rsidR="003C7FB2">
        <w:t xml:space="preserve"> </w:t>
      </w:r>
      <w:r w:rsidR="00F000CC">
        <w:t>PAEE</w:t>
      </w:r>
      <w:r w:rsidR="003C7FB2">
        <w:t xml:space="preserve"> </w:t>
      </w:r>
      <w:r w:rsidR="00F31DBB">
        <w:t>(M</w:t>
      </w:r>
      <w:r w:rsidR="00F000CC">
        <w:t>odel</w:t>
      </w:r>
      <w:r w:rsidR="003C7FB2">
        <w:t xml:space="preserve"> </w:t>
      </w:r>
      <w:r w:rsidR="00F000CC">
        <w:t>B’).</w:t>
      </w:r>
      <w:r w:rsidR="003C7FB2">
        <w:t xml:space="preserve"> </w:t>
      </w:r>
      <w:r w:rsidR="009A7681">
        <w:t>Because</w:t>
      </w:r>
      <w:r w:rsidR="003C7FB2">
        <w:t xml:space="preserve"> </w:t>
      </w:r>
      <w:r w:rsidR="00F000CC">
        <w:t>PAEE,</w:t>
      </w:r>
      <w:r w:rsidR="003C7FB2">
        <w:t xml:space="preserve"> </w:t>
      </w:r>
      <w:r w:rsidR="00F000CC">
        <w:t>in</w:t>
      </w:r>
      <w:r w:rsidR="003C7FB2">
        <w:t xml:space="preserve"> </w:t>
      </w:r>
      <w:r w:rsidR="00F000CC">
        <w:t>theory,</w:t>
      </w:r>
      <w:r w:rsidR="003C7FB2">
        <w:t xml:space="preserve"> </w:t>
      </w:r>
      <w:r w:rsidR="00F000CC">
        <w:t>reflects</w:t>
      </w:r>
      <w:r w:rsidR="003C7FB2">
        <w:t xml:space="preserve"> </w:t>
      </w:r>
      <w:r w:rsidR="00F000CC">
        <w:t>energy</w:t>
      </w:r>
      <w:r w:rsidR="003C7FB2">
        <w:t xml:space="preserve"> </w:t>
      </w:r>
      <w:r w:rsidR="00F000CC">
        <w:t>expenditure</w:t>
      </w:r>
      <w:r w:rsidR="003C7FB2">
        <w:t xml:space="preserve"> </w:t>
      </w:r>
      <w:r w:rsidR="00F000CC">
        <w:t>due</w:t>
      </w:r>
      <w:r w:rsidR="003C7FB2">
        <w:t xml:space="preserve"> </w:t>
      </w:r>
      <w:r w:rsidR="00F000CC">
        <w:t>to</w:t>
      </w:r>
      <w:r w:rsidR="003C7FB2">
        <w:t xml:space="preserve"> </w:t>
      </w:r>
      <w:r w:rsidR="00F000CC">
        <w:t>other</w:t>
      </w:r>
      <w:r w:rsidR="003C7FB2">
        <w:t xml:space="preserve"> </w:t>
      </w:r>
      <w:r w:rsidR="00F000CC">
        <w:t>activities</w:t>
      </w:r>
      <w:r w:rsidR="003C7FB2">
        <w:t xml:space="preserve"> </w:t>
      </w:r>
      <w:r w:rsidR="009A7681">
        <w:t>as</w:t>
      </w:r>
      <w:r w:rsidR="003C7FB2">
        <w:t xml:space="preserve"> </w:t>
      </w:r>
      <w:r w:rsidR="009A7681">
        <w:t>well</w:t>
      </w:r>
      <w:r w:rsidR="003C7FB2">
        <w:t xml:space="preserve"> </w:t>
      </w:r>
      <w:r w:rsidR="009A7681">
        <w:t>as</w:t>
      </w:r>
      <w:r w:rsidR="003C7FB2">
        <w:t xml:space="preserve"> </w:t>
      </w:r>
      <w:r w:rsidR="009A7681">
        <w:t>commuting</w:t>
      </w:r>
      <w:r w:rsidR="00F000CC">
        <w:t>,</w:t>
      </w:r>
      <w:r w:rsidR="003C7FB2">
        <w:t xml:space="preserve"> </w:t>
      </w:r>
      <w:r w:rsidR="00F000CC">
        <w:t>adjustment</w:t>
      </w:r>
      <w:r w:rsidR="003C7FB2">
        <w:t xml:space="preserve"> </w:t>
      </w:r>
      <w:r w:rsidR="00F000CC">
        <w:t>for</w:t>
      </w:r>
      <w:r w:rsidR="003C7FB2">
        <w:t xml:space="preserve"> </w:t>
      </w:r>
      <w:r w:rsidR="00F000CC">
        <w:t>PAEE</w:t>
      </w:r>
      <w:r w:rsidR="003C7FB2">
        <w:t xml:space="preserve"> </w:t>
      </w:r>
      <w:r w:rsidR="006656D6">
        <w:t>may</w:t>
      </w:r>
      <w:r w:rsidR="003C7FB2">
        <w:t xml:space="preserve"> </w:t>
      </w:r>
      <w:r w:rsidR="006656D6">
        <w:t>represent</w:t>
      </w:r>
      <w:r w:rsidR="003C7FB2">
        <w:t xml:space="preserve"> </w:t>
      </w:r>
      <w:r w:rsidR="00F000CC">
        <w:t>over-adjustment</w:t>
      </w:r>
      <w:r w:rsidR="009A7681">
        <w:t>.</w:t>
      </w:r>
      <w:r w:rsidR="003C7FB2">
        <w:t xml:space="preserve"> </w:t>
      </w:r>
      <w:r w:rsidR="009A7681">
        <w:t>F</w:t>
      </w:r>
      <w:r w:rsidR="00F000CC">
        <w:t>or</w:t>
      </w:r>
      <w:r w:rsidR="003C7FB2">
        <w:t xml:space="preserve"> </w:t>
      </w:r>
      <w:r w:rsidR="00F000CC">
        <w:t>this</w:t>
      </w:r>
      <w:r w:rsidR="003C7FB2">
        <w:t xml:space="preserve"> </w:t>
      </w:r>
      <w:r w:rsidR="00F000CC">
        <w:t>reason</w:t>
      </w:r>
      <w:r w:rsidR="003C7FB2">
        <w:t xml:space="preserve"> </w:t>
      </w:r>
      <w:r w:rsidR="00F000CC">
        <w:t>we</w:t>
      </w:r>
      <w:r w:rsidR="003C7FB2">
        <w:t xml:space="preserve"> </w:t>
      </w:r>
      <w:r w:rsidR="00F000CC">
        <w:t>present</w:t>
      </w:r>
      <w:r w:rsidR="003C7FB2">
        <w:t xml:space="preserve"> </w:t>
      </w:r>
      <w:r w:rsidR="00F000CC">
        <w:t>Model</w:t>
      </w:r>
      <w:r w:rsidR="003C7FB2">
        <w:t xml:space="preserve"> </w:t>
      </w:r>
      <w:r w:rsidR="00F000CC">
        <w:t>B</w:t>
      </w:r>
      <w:r w:rsidR="003C7FB2">
        <w:t xml:space="preserve"> </w:t>
      </w:r>
      <w:r w:rsidR="00F000CC">
        <w:t>as</w:t>
      </w:r>
      <w:r w:rsidR="003C7FB2">
        <w:t xml:space="preserve"> </w:t>
      </w:r>
      <w:r w:rsidR="00F000CC">
        <w:t>our</w:t>
      </w:r>
      <w:r w:rsidR="003C7FB2">
        <w:t xml:space="preserve"> </w:t>
      </w:r>
      <w:r w:rsidR="00F000CC">
        <w:t>primary</w:t>
      </w:r>
      <w:r w:rsidR="003C7FB2">
        <w:t xml:space="preserve"> </w:t>
      </w:r>
      <w:r w:rsidR="009A7681">
        <w:t>adjusted</w:t>
      </w:r>
      <w:r w:rsidR="003C7FB2">
        <w:t xml:space="preserve"> </w:t>
      </w:r>
      <w:r w:rsidR="00F000CC">
        <w:t>estimate</w:t>
      </w:r>
      <w:r w:rsidR="003C7FB2">
        <w:t xml:space="preserve"> </w:t>
      </w:r>
      <w:r w:rsidR="00F000CC">
        <w:t>of</w:t>
      </w:r>
      <w:r w:rsidR="003C7FB2">
        <w:t xml:space="preserve"> </w:t>
      </w:r>
      <w:r w:rsidR="00F000CC">
        <w:t>association.</w:t>
      </w:r>
      <w:r w:rsidR="00FD6FD3">
        <w:t xml:space="preserve"> </w:t>
      </w:r>
      <w:bookmarkStart w:id="4" w:name="_Hlk490738514"/>
      <w:r w:rsidR="00FD6FD3">
        <w:t>We undertook a complete case analysis, restricting all analyses to those who had complete data for the covariates included in Model B’.</w:t>
      </w:r>
      <w:bookmarkEnd w:id="4"/>
    </w:p>
    <w:p w14:paraId="62BBDE5C" w14:textId="77777777" w:rsidR="003F10CB" w:rsidRDefault="003F10CB" w:rsidP="00BB5254">
      <w:pPr>
        <w:spacing w:after="0" w:line="240" w:lineRule="auto"/>
      </w:pPr>
    </w:p>
    <w:p w14:paraId="0F9CFCD9" w14:textId="5C8834BE" w:rsidR="004C4719" w:rsidRDefault="006656D6" w:rsidP="00BB5254">
      <w:pPr>
        <w:spacing w:after="0" w:line="240" w:lineRule="auto"/>
      </w:pPr>
      <w:bookmarkStart w:id="5" w:name="_Hlk490738725"/>
      <w:r>
        <w:t>W</w:t>
      </w:r>
      <w:r w:rsidR="004C4719">
        <w:t>e</w:t>
      </w:r>
      <w:r w:rsidR="003C7FB2">
        <w:t xml:space="preserve"> </w:t>
      </w:r>
      <w:r w:rsidR="004C4719">
        <w:t>tested</w:t>
      </w:r>
      <w:r w:rsidR="003C7FB2">
        <w:t xml:space="preserve"> </w:t>
      </w:r>
      <w:r w:rsidR="004C4719">
        <w:t>for</w:t>
      </w:r>
      <w:r w:rsidR="003C7FB2">
        <w:t xml:space="preserve"> </w:t>
      </w:r>
      <w:r w:rsidR="004C4719">
        <w:t>a</w:t>
      </w:r>
      <w:r w:rsidR="00E05376">
        <w:t xml:space="preserve"> linear</w:t>
      </w:r>
      <w:r w:rsidR="003C7FB2">
        <w:t xml:space="preserve"> </w:t>
      </w:r>
      <w:r w:rsidR="004C4719">
        <w:t>dose-response</w:t>
      </w:r>
      <w:r w:rsidR="003C7FB2">
        <w:t xml:space="preserve"> </w:t>
      </w:r>
      <w:r w:rsidR="004C4719">
        <w:t>relationship</w:t>
      </w:r>
      <w:r w:rsidR="00E05376">
        <w:t xml:space="preserve"> by testing the association</w:t>
      </w:r>
      <w:r w:rsidR="003C7FB2">
        <w:t xml:space="preserve"> </w:t>
      </w:r>
      <w:r w:rsidR="004C4719">
        <w:t>between</w:t>
      </w:r>
      <w:r w:rsidR="003C7FB2">
        <w:t xml:space="preserve"> </w:t>
      </w:r>
      <w:r w:rsidR="009A7681">
        <w:t>home-work</w:t>
      </w:r>
      <w:r w:rsidR="003C7FB2">
        <w:t xml:space="preserve"> </w:t>
      </w:r>
      <w:r w:rsidR="009A7681">
        <w:t>distance</w:t>
      </w:r>
      <w:r w:rsidR="003C7FB2">
        <w:t xml:space="preserve"> </w:t>
      </w:r>
      <w:r w:rsidR="00E05376">
        <w:t xml:space="preserve">(as a continuous variable) </w:t>
      </w:r>
      <w:r w:rsidR="004C4719">
        <w:t>and</w:t>
      </w:r>
      <w:r w:rsidR="003C7FB2">
        <w:t xml:space="preserve"> </w:t>
      </w:r>
      <w:r w:rsidR="004C4719">
        <w:t>measures</w:t>
      </w:r>
      <w:r w:rsidR="003C7FB2">
        <w:t xml:space="preserve"> </w:t>
      </w:r>
      <w:r w:rsidR="004C4719">
        <w:t>of</w:t>
      </w:r>
      <w:r w:rsidR="003C7FB2">
        <w:t xml:space="preserve"> </w:t>
      </w:r>
      <w:r w:rsidR="004C4719">
        <w:t>adiposity,</w:t>
      </w:r>
      <w:r w:rsidR="003C7FB2">
        <w:t xml:space="preserve"> </w:t>
      </w:r>
      <w:r w:rsidR="004C4719">
        <w:t>for</w:t>
      </w:r>
      <w:r w:rsidR="003C7FB2">
        <w:t xml:space="preserve"> </w:t>
      </w:r>
      <w:r w:rsidR="004C4719">
        <w:t>a)</w:t>
      </w:r>
      <w:r w:rsidR="003C7FB2">
        <w:t xml:space="preserve"> </w:t>
      </w:r>
      <w:r w:rsidR="004C4719">
        <w:t>those</w:t>
      </w:r>
      <w:r w:rsidR="003C7FB2">
        <w:t xml:space="preserve"> </w:t>
      </w:r>
      <w:r w:rsidR="004C4719">
        <w:t>who</w:t>
      </w:r>
      <w:r w:rsidR="003C7FB2">
        <w:t xml:space="preserve"> </w:t>
      </w:r>
      <w:r w:rsidR="00F1224C">
        <w:t>only</w:t>
      </w:r>
      <w:r w:rsidR="003C7FB2">
        <w:t xml:space="preserve"> </w:t>
      </w:r>
      <w:r w:rsidR="00F1224C">
        <w:t>cycle</w:t>
      </w:r>
      <w:r w:rsidR="009A7681">
        <w:t>d</w:t>
      </w:r>
      <w:r w:rsidR="003C7FB2">
        <w:t xml:space="preserve"> </w:t>
      </w:r>
      <w:r w:rsidR="00F1224C">
        <w:t>to</w:t>
      </w:r>
      <w:r w:rsidR="003C7FB2">
        <w:t xml:space="preserve"> </w:t>
      </w:r>
      <w:r w:rsidR="00F1224C">
        <w:t>work;</w:t>
      </w:r>
      <w:r w:rsidR="003C7FB2">
        <w:t xml:space="preserve"> </w:t>
      </w:r>
      <w:r w:rsidR="00F1224C">
        <w:t>and</w:t>
      </w:r>
      <w:r w:rsidR="003C7FB2">
        <w:t xml:space="preserve"> </w:t>
      </w:r>
      <w:r w:rsidR="00F1224C">
        <w:t>b)</w:t>
      </w:r>
      <w:r w:rsidR="003C7FB2">
        <w:t xml:space="preserve"> </w:t>
      </w:r>
      <w:r w:rsidR="004C4719">
        <w:t>those</w:t>
      </w:r>
      <w:r w:rsidR="003C7FB2">
        <w:t xml:space="preserve"> </w:t>
      </w:r>
      <w:r w:rsidR="004C4719">
        <w:t>who</w:t>
      </w:r>
      <w:r w:rsidR="003C7FB2">
        <w:t xml:space="preserve"> </w:t>
      </w:r>
      <w:r w:rsidR="00F1224C">
        <w:t>only</w:t>
      </w:r>
      <w:r w:rsidR="003C7FB2">
        <w:t xml:space="preserve"> </w:t>
      </w:r>
      <w:r w:rsidR="004C4719">
        <w:t>walk</w:t>
      </w:r>
      <w:r w:rsidR="009A7681">
        <w:t>ed</w:t>
      </w:r>
      <w:r w:rsidR="003C7FB2">
        <w:t xml:space="preserve"> </w:t>
      </w:r>
      <w:r w:rsidR="004C4719">
        <w:t>to</w:t>
      </w:r>
      <w:r w:rsidR="003C7FB2">
        <w:t xml:space="preserve"> </w:t>
      </w:r>
      <w:r w:rsidR="004C4719">
        <w:t>work</w:t>
      </w:r>
      <w:r w:rsidR="008F7097">
        <w:t>,</w:t>
      </w:r>
      <w:r w:rsidR="003C7FB2">
        <w:t xml:space="preserve"> </w:t>
      </w:r>
      <w:r w:rsidR="00D53ACA">
        <w:t>adjusting</w:t>
      </w:r>
      <w:r w:rsidR="003C7FB2">
        <w:t xml:space="preserve"> </w:t>
      </w:r>
      <w:r w:rsidR="00D53ACA">
        <w:t>for</w:t>
      </w:r>
      <w:r w:rsidR="003C7FB2">
        <w:t xml:space="preserve"> </w:t>
      </w:r>
      <w:r w:rsidR="00F1224C">
        <w:t>m</w:t>
      </w:r>
      <w:r w:rsidR="00D53ACA">
        <w:t>odel</w:t>
      </w:r>
      <w:r w:rsidR="003C7FB2">
        <w:t xml:space="preserve"> </w:t>
      </w:r>
      <w:r w:rsidR="00D53ACA">
        <w:t>B</w:t>
      </w:r>
      <w:r w:rsidR="003C7FB2">
        <w:t xml:space="preserve"> </w:t>
      </w:r>
      <w:r w:rsidR="00D53ACA">
        <w:t>co-variates</w:t>
      </w:r>
      <w:r w:rsidR="003C7FB2">
        <w:t xml:space="preserve"> </w:t>
      </w:r>
      <w:r w:rsidR="00D53ACA">
        <w:t>and</w:t>
      </w:r>
      <w:r w:rsidR="003C7FB2">
        <w:t xml:space="preserve"> </w:t>
      </w:r>
      <w:r w:rsidR="00D53ACA">
        <w:t>sex</w:t>
      </w:r>
      <w:r w:rsidR="004C4719">
        <w:t>.</w:t>
      </w:r>
      <w:r w:rsidR="003C7FB2">
        <w:t xml:space="preserve"> </w:t>
      </w:r>
    </w:p>
    <w:bookmarkEnd w:id="5"/>
    <w:p w14:paraId="5EBAECCE" w14:textId="17A872DA" w:rsidR="009241AF" w:rsidRDefault="009241AF">
      <w:pPr>
        <w:rPr>
          <w:b/>
        </w:rPr>
      </w:pPr>
    </w:p>
    <w:p w14:paraId="1CCF9BA8" w14:textId="77777777" w:rsidR="008F7097" w:rsidRDefault="008F7097">
      <w:pPr>
        <w:rPr>
          <w:b/>
        </w:rPr>
      </w:pPr>
      <w:r>
        <w:rPr>
          <w:b/>
        </w:rPr>
        <w:br w:type="page"/>
      </w:r>
    </w:p>
    <w:p w14:paraId="4E32368C" w14:textId="13B283E1" w:rsidR="00264F30" w:rsidRPr="00264F30" w:rsidRDefault="00264F30" w:rsidP="00264F30">
      <w:pPr>
        <w:spacing w:after="0" w:line="240" w:lineRule="auto"/>
        <w:rPr>
          <w:b/>
        </w:rPr>
      </w:pPr>
      <w:r w:rsidRPr="00264F30">
        <w:rPr>
          <w:b/>
        </w:rPr>
        <w:t>Results</w:t>
      </w:r>
    </w:p>
    <w:p w14:paraId="77637BB0" w14:textId="77777777" w:rsidR="00D02203" w:rsidRDefault="00D02203" w:rsidP="00D02203">
      <w:pPr>
        <w:spacing w:after="0" w:line="240" w:lineRule="auto"/>
      </w:pPr>
    </w:p>
    <w:p w14:paraId="43064367" w14:textId="22299869" w:rsidR="00FB202E" w:rsidRDefault="005A520A" w:rsidP="00D02203">
      <w:pPr>
        <w:spacing w:after="0" w:line="240" w:lineRule="auto"/>
      </w:pPr>
      <w:r>
        <w:t>Descriptive</w:t>
      </w:r>
      <w:r w:rsidR="003C7FB2">
        <w:t xml:space="preserve"> </w:t>
      </w:r>
      <w:r>
        <w:t>characteristics</w:t>
      </w:r>
      <w:r w:rsidR="003C7FB2">
        <w:t xml:space="preserve"> </w:t>
      </w:r>
      <w:r>
        <w:t>of</w:t>
      </w:r>
      <w:r w:rsidR="003C7FB2">
        <w:t xml:space="preserve"> </w:t>
      </w:r>
      <w:r w:rsidR="00F31DBB">
        <w:t>the</w:t>
      </w:r>
      <w:r w:rsidR="003C7FB2">
        <w:t xml:space="preserve"> </w:t>
      </w:r>
      <w:r w:rsidR="00F31DBB">
        <w:t>sample</w:t>
      </w:r>
      <w:r w:rsidR="003C7FB2">
        <w:t xml:space="preserve"> </w:t>
      </w:r>
      <w:r w:rsidR="00F31DBB">
        <w:t>are</w:t>
      </w:r>
      <w:r w:rsidR="003C7FB2">
        <w:t xml:space="preserve"> </w:t>
      </w:r>
      <w:r w:rsidR="00F31DBB">
        <w:t>shown</w:t>
      </w:r>
      <w:r w:rsidR="003C7FB2">
        <w:t xml:space="preserve"> </w:t>
      </w:r>
      <w:r w:rsidR="00F31DBB">
        <w:t>in</w:t>
      </w:r>
      <w:r w:rsidR="003C7FB2">
        <w:t xml:space="preserve"> </w:t>
      </w:r>
      <w:r w:rsidR="00F31DBB">
        <w:t>Table</w:t>
      </w:r>
      <w:r w:rsidR="003C7FB2">
        <w:t xml:space="preserve"> </w:t>
      </w:r>
      <w:r w:rsidR="00F31DBB">
        <w:t>1</w:t>
      </w:r>
      <w:r>
        <w:t>.</w:t>
      </w:r>
      <w:r w:rsidR="003C7FB2">
        <w:t xml:space="preserve"> </w:t>
      </w:r>
      <w:r w:rsidR="00272EFC">
        <w:t>Compared</w:t>
      </w:r>
      <w:r w:rsidR="003C7FB2">
        <w:t xml:space="preserve"> </w:t>
      </w:r>
      <w:r w:rsidR="00272EFC">
        <w:t>to</w:t>
      </w:r>
      <w:r w:rsidR="003C7FB2">
        <w:t xml:space="preserve"> </w:t>
      </w:r>
      <w:r w:rsidR="00272EFC">
        <w:t>the</w:t>
      </w:r>
      <w:r w:rsidR="003C7FB2">
        <w:t xml:space="preserve"> </w:t>
      </w:r>
      <w:r w:rsidR="00272EFC">
        <w:t>UK</w:t>
      </w:r>
      <w:r w:rsidR="003C7FB2">
        <w:t xml:space="preserve"> </w:t>
      </w:r>
      <w:r w:rsidR="004A6D8B">
        <w:t>population</w:t>
      </w:r>
      <w:r w:rsidR="003C7FB2">
        <w:t xml:space="preserve"> </w:t>
      </w:r>
      <w:r w:rsidR="000B424A">
        <w:t>the</w:t>
      </w:r>
      <w:r w:rsidR="003C7FB2">
        <w:t xml:space="preserve"> </w:t>
      </w:r>
      <w:r w:rsidR="000B424A">
        <w:t>sample</w:t>
      </w:r>
      <w:r w:rsidR="003C7FB2">
        <w:t xml:space="preserve"> </w:t>
      </w:r>
      <w:r w:rsidR="000B424A">
        <w:t>was</w:t>
      </w:r>
      <w:r w:rsidR="003C7FB2">
        <w:t xml:space="preserve"> </w:t>
      </w:r>
      <w:r w:rsidR="000B424A">
        <w:t>relatively</w:t>
      </w:r>
      <w:r w:rsidR="003C7FB2">
        <w:t xml:space="preserve"> </w:t>
      </w:r>
      <w:r w:rsidR="000B424A">
        <w:t>educated,</w:t>
      </w:r>
      <w:r w:rsidR="003010AA">
        <w:fldChar w:fldCharType="begin" w:fldLock="1"/>
      </w:r>
      <w:r w:rsidR="000B07A6">
        <w:instrText>ADDIN CSL_CITATION { "citationItems" : [ { "id" : "ITEM-1", "itemData" : { "URL" : "https://www.nomisweb.co.uk/reports/lmp/la/1946157205/report.aspx?c1=2013265926&amp;c2=2092957699", "author" : [ { "dropping-particle" : "", "family" : "Office for National Statistics", "given" : "", "non-dropping-particle" : "", "parse-names" : false, "suffix" : "" } ], "container-title" : "Nomis", "id" : "ITEM-1", "issued" : { "date-parts" : [ [ "2016" ] ] }, "title" : "Labour market profile - Cambridge", "type" : "webpage" }, "uris" : [ "http://www.mendeley.com/documents/?uuid=5d15b55f-683d-4432-be20-421c404a0a98" ] } ], "mendeley" : { "formattedCitation" : "(Office for National Statistics, 2016)", "plainTextFormattedCitation" : "(Office for National Statistics, 2016)", "previouslyFormattedCitation" : "(Office for National Statistics, 2016)" }, "properties" : { "noteIndex" : 0 }, "schema" : "https://github.com/citation-style-language/schema/raw/master/csl-citation.json" }</w:instrText>
      </w:r>
      <w:r w:rsidR="003010AA">
        <w:fldChar w:fldCharType="separate"/>
      </w:r>
      <w:r w:rsidR="00B71669" w:rsidRPr="00B71669">
        <w:rPr>
          <w:noProof/>
        </w:rPr>
        <w:t>(Office for National Statistics, 2016)</w:t>
      </w:r>
      <w:r w:rsidR="003010AA">
        <w:fldChar w:fldCharType="end"/>
      </w:r>
      <w:r w:rsidR="003C7FB2">
        <w:t xml:space="preserve"> </w:t>
      </w:r>
      <w:r w:rsidR="003010AA">
        <w:t>healthy</w:t>
      </w:r>
      <w:r w:rsidR="003C7FB2">
        <w:t xml:space="preserve"> </w:t>
      </w:r>
      <w:r w:rsidR="003010AA">
        <w:t>(as</w:t>
      </w:r>
      <w:r w:rsidR="003C7FB2">
        <w:t xml:space="preserve"> </w:t>
      </w:r>
      <w:r w:rsidR="003010AA">
        <w:t>assessed</w:t>
      </w:r>
      <w:r w:rsidR="003C7FB2">
        <w:t xml:space="preserve"> </w:t>
      </w:r>
      <w:r w:rsidR="003010AA">
        <w:t>by</w:t>
      </w:r>
      <w:r w:rsidR="003C7FB2">
        <w:t xml:space="preserve"> </w:t>
      </w:r>
      <w:r w:rsidR="003010AA">
        <w:t>alcohol</w:t>
      </w:r>
      <w:r w:rsidR="003C7FB2">
        <w:t xml:space="preserve"> </w:t>
      </w:r>
      <w:r w:rsidR="003010AA">
        <w:t>consumption</w:t>
      </w:r>
      <w:r w:rsidR="003C7FB2">
        <w:t xml:space="preserve"> </w:t>
      </w:r>
      <w:r w:rsidR="003010AA">
        <w:t>and</w:t>
      </w:r>
      <w:r w:rsidR="003C7FB2">
        <w:t xml:space="preserve"> </w:t>
      </w:r>
      <w:r w:rsidR="003010AA">
        <w:t>smoking)</w:t>
      </w:r>
      <w:r w:rsidR="003010AA">
        <w:fldChar w:fldCharType="begin" w:fldLock="1"/>
      </w:r>
      <w:r w:rsidR="000B07A6">
        <w:instrText>ADDIN CSL_CITATION { "citationItems" : [ { "id" : "ITEM-1", "itemData" : { "author" : [ { "dropping-particle" : "", "family" : "Craig", "given" : "R", "non-dropping-particle" : "", "parse-names" : false, "suffix" : "" }, { "dropping-particle" : "", "family" : "Fuller", "given" : "E", "non-dropping-particle" : "", "parse-names" : false, "suffix" : "" }, { "dropping-particle" : "", "family" : "Mindell", "given" : "J", "non-dropping-particle" : "", "parse-names" : false, "suffix" : "" } ], "id" : "ITEM-1", "issued" : { "date-parts" : [ [ "2015" ] ] }, "publisher-place" : "Leeds", "title" : "Health Survey for England 2014", "type" : "report" }, "uris" : [ "http://www.mendeley.com/documents/?uuid=f6340d6b-6742-4e26-bbc1-61e8a9860eec" ] } ], "mendeley" : { "formattedCitation" : "(Craig et al., 2015)", "plainTextFormattedCitation" : "(Craig et al., 2015)", "previouslyFormattedCitation" : "(Craig et al., 2015)" }, "properties" : { "noteIndex" : 0 }, "schema" : "https://github.com/citation-style-language/schema/raw/master/csl-citation.json" }</w:instrText>
      </w:r>
      <w:r w:rsidR="003010AA">
        <w:fldChar w:fldCharType="separate"/>
      </w:r>
      <w:r w:rsidR="00B71669" w:rsidRPr="00B71669">
        <w:rPr>
          <w:noProof/>
        </w:rPr>
        <w:t>(Craig et al., 2015)</w:t>
      </w:r>
      <w:r w:rsidR="003010AA">
        <w:fldChar w:fldCharType="end"/>
      </w:r>
      <w:r w:rsidR="003C7FB2">
        <w:t xml:space="preserve"> </w:t>
      </w:r>
      <w:r w:rsidR="000B424A">
        <w:t>and</w:t>
      </w:r>
      <w:r w:rsidR="003C7FB2">
        <w:t xml:space="preserve"> </w:t>
      </w:r>
      <w:r w:rsidR="000B424A">
        <w:t>had</w:t>
      </w:r>
      <w:r w:rsidR="003C7FB2">
        <w:t xml:space="preserve"> </w:t>
      </w:r>
      <w:r w:rsidR="000B424A">
        <w:t>a</w:t>
      </w:r>
      <w:r w:rsidR="003C7FB2">
        <w:t xml:space="preserve"> </w:t>
      </w:r>
      <w:r w:rsidR="00E00887">
        <w:t>high</w:t>
      </w:r>
      <w:r w:rsidR="003C7FB2">
        <w:t xml:space="preserve"> </w:t>
      </w:r>
      <w:r w:rsidR="00E00887">
        <w:t>prevalence</w:t>
      </w:r>
      <w:r w:rsidR="003C7FB2">
        <w:t xml:space="preserve"> </w:t>
      </w:r>
      <w:r>
        <w:t>of</w:t>
      </w:r>
      <w:r w:rsidR="003C7FB2">
        <w:t xml:space="preserve"> </w:t>
      </w:r>
      <w:r>
        <w:t>cycling</w:t>
      </w:r>
      <w:r w:rsidR="003C7FB2">
        <w:t xml:space="preserve"> </w:t>
      </w:r>
      <w:r>
        <w:t>to</w:t>
      </w:r>
      <w:r w:rsidR="003C7FB2">
        <w:t xml:space="preserve"> </w:t>
      </w:r>
      <w:r>
        <w:t>work</w:t>
      </w:r>
      <w:r w:rsidR="000B424A">
        <w:t>.</w:t>
      </w:r>
      <w:r w:rsidR="003010AA">
        <w:fldChar w:fldCharType="begin" w:fldLock="1"/>
      </w:r>
      <w:r w:rsidR="000B07A6">
        <w:instrText>ADDIN CSL_CITATION { "citationItems" : [ { "id" : "ITEM-1", "itemData" : { "author" : [ { "dropping-particle" : "", "family" : "Office for National Statistics", "given" : "", "non-dropping-particle" : "", "parse-names" : false, "suffix" : "" } ], "id" : "ITEM-1", "issued" : { "date-parts" : [ [ "2014" ] ] }, "publisher-place" : "Newport, Wales", "title" : "2011 Census Analysis, Cycling to Work", "type" : "report" }, "uris" : [ "http://www.mendeley.com/documents/?uuid=5d14cef3-6e85-4d71-bc38-2578d81dd326" ] } ], "mendeley" : { "formattedCitation" : "(Office for National Statistics, 2014)", "plainTextFormattedCitation" : "(Office for National Statistics, 2014)", "previouslyFormattedCitation" : "(Office for National Statistics, 2014)" }, "properties" : { "noteIndex" : 0 }, "schema" : "https://github.com/citation-style-language/schema/raw/master/csl-citation.json" }</w:instrText>
      </w:r>
      <w:r w:rsidR="003010AA">
        <w:fldChar w:fldCharType="separate"/>
      </w:r>
      <w:r w:rsidR="00B71669" w:rsidRPr="00B71669">
        <w:rPr>
          <w:noProof/>
        </w:rPr>
        <w:t>(Office for National Statistics, 2014)</w:t>
      </w:r>
      <w:r w:rsidR="003010AA">
        <w:fldChar w:fldCharType="end"/>
      </w:r>
      <w:r w:rsidR="003C7FB2">
        <w:t xml:space="preserve"> </w:t>
      </w:r>
      <w:r w:rsidR="004A6D8B">
        <w:t>M</w:t>
      </w:r>
      <w:r w:rsidR="000B424A">
        <w:t>en</w:t>
      </w:r>
      <w:r w:rsidR="003C7FB2">
        <w:t xml:space="preserve"> </w:t>
      </w:r>
      <w:r w:rsidR="000B424A">
        <w:t>had</w:t>
      </w:r>
      <w:r w:rsidR="003C7FB2">
        <w:t xml:space="preserve"> </w:t>
      </w:r>
      <w:r w:rsidR="000B424A">
        <w:t>a</w:t>
      </w:r>
      <w:r w:rsidR="003C7FB2">
        <w:t xml:space="preserve"> </w:t>
      </w:r>
      <w:r w:rsidR="000B424A">
        <w:t>lowe</w:t>
      </w:r>
      <w:r w:rsidR="00154627">
        <w:t>r</w:t>
      </w:r>
      <w:r w:rsidR="003C7FB2">
        <w:t xml:space="preserve"> </w:t>
      </w:r>
      <w:r w:rsidR="004A6D8B">
        <w:t>average</w:t>
      </w:r>
      <w:r w:rsidR="003C7FB2">
        <w:t xml:space="preserve"> </w:t>
      </w:r>
      <w:r w:rsidR="00154627">
        <w:t>percentage</w:t>
      </w:r>
      <w:r w:rsidR="003C7FB2">
        <w:t xml:space="preserve"> </w:t>
      </w:r>
      <w:r w:rsidR="00154627">
        <w:t>body</w:t>
      </w:r>
      <w:r w:rsidR="003C7FB2">
        <w:t xml:space="preserve"> </w:t>
      </w:r>
      <w:r w:rsidR="00154627">
        <w:t>fat</w:t>
      </w:r>
      <w:r w:rsidR="003C7FB2">
        <w:t xml:space="preserve"> </w:t>
      </w:r>
      <w:r w:rsidR="00154627">
        <w:t>and</w:t>
      </w:r>
      <w:r w:rsidR="003C7FB2">
        <w:t xml:space="preserve"> </w:t>
      </w:r>
      <w:r w:rsidR="00154627">
        <w:t>greater</w:t>
      </w:r>
      <w:r w:rsidR="003C7FB2">
        <w:t xml:space="preserve"> </w:t>
      </w:r>
      <w:r w:rsidR="004A6D8B">
        <w:t>average</w:t>
      </w:r>
      <w:r w:rsidR="003C7FB2">
        <w:t xml:space="preserve"> </w:t>
      </w:r>
      <w:r w:rsidR="00154627">
        <w:t>volume</w:t>
      </w:r>
      <w:r w:rsidR="003C7FB2">
        <w:t xml:space="preserve"> </w:t>
      </w:r>
      <w:r w:rsidR="00154627">
        <w:t>of</w:t>
      </w:r>
      <w:r w:rsidR="003C7FB2">
        <w:t xml:space="preserve"> </w:t>
      </w:r>
      <w:r w:rsidR="00154627">
        <w:t>VAT</w:t>
      </w:r>
      <w:r w:rsidR="003C7FB2">
        <w:t xml:space="preserve"> </w:t>
      </w:r>
      <w:r w:rsidR="004A6D8B">
        <w:t>than</w:t>
      </w:r>
      <w:r w:rsidR="003C7FB2">
        <w:t xml:space="preserve"> </w:t>
      </w:r>
      <w:r w:rsidR="004A6D8B">
        <w:t>women</w:t>
      </w:r>
      <w:r w:rsidR="003C7FB2">
        <w:t xml:space="preserve"> </w:t>
      </w:r>
      <w:r w:rsidR="004A6D8B">
        <w:t>and</w:t>
      </w:r>
      <w:r w:rsidR="003C7FB2">
        <w:t xml:space="preserve"> </w:t>
      </w:r>
      <w:r w:rsidR="000B424A">
        <w:t>were</w:t>
      </w:r>
      <w:r w:rsidR="003C7FB2">
        <w:t xml:space="preserve"> </w:t>
      </w:r>
      <w:r w:rsidR="000B424A">
        <w:t>more</w:t>
      </w:r>
      <w:r w:rsidR="003C7FB2">
        <w:t xml:space="preserve"> </w:t>
      </w:r>
      <w:r w:rsidR="000B424A">
        <w:t>likely</w:t>
      </w:r>
      <w:r w:rsidR="003C7FB2">
        <w:t xml:space="preserve"> </w:t>
      </w:r>
      <w:r w:rsidR="000B424A">
        <w:t>to</w:t>
      </w:r>
      <w:r w:rsidR="003C7FB2">
        <w:t xml:space="preserve"> </w:t>
      </w:r>
      <w:r w:rsidR="000B424A">
        <w:t>travel</w:t>
      </w:r>
      <w:r w:rsidR="003C7FB2">
        <w:t xml:space="preserve"> </w:t>
      </w:r>
      <w:r w:rsidR="000B424A">
        <w:t>further</w:t>
      </w:r>
      <w:r w:rsidR="003C7FB2">
        <w:t xml:space="preserve"> </w:t>
      </w:r>
      <w:r w:rsidR="000B424A">
        <w:t>to</w:t>
      </w:r>
      <w:r w:rsidR="003C7FB2">
        <w:t xml:space="preserve"> </w:t>
      </w:r>
      <w:r w:rsidR="000B424A">
        <w:t>work,</w:t>
      </w:r>
      <w:r w:rsidR="003C7FB2">
        <w:t xml:space="preserve"> </w:t>
      </w:r>
      <w:r w:rsidR="000B424A">
        <w:t>to</w:t>
      </w:r>
      <w:r w:rsidR="003C7FB2">
        <w:t xml:space="preserve"> </w:t>
      </w:r>
      <w:r w:rsidR="000B424A">
        <w:t>have</w:t>
      </w:r>
      <w:r w:rsidR="003C7FB2">
        <w:t xml:space="preserve"> </w:t>
      </w:r>
      <w:r w:rsidR="000B424A">
        <w:t>a</w:t>
      </w:r>
      <w:r w:rsidR="003C7FB2">
        <w:t xml:space="preserve"> </w:t>
      </w:r>
      <w:r w:rsidR="000B424A">
        <w:t>manual</w:t>
      </w:r>
      <w:r w:rsidR="003C7FB2">
        <w:t xml:space="preserve"> </w:t>
      </w:r>
      <w:r w:rsidR="000B424A">
        <w:t>job</w:t>
      </w:r>
      <w:r w:rsidR="003C7FB2">
        <w:t xml:space="preserve"> </w:t>
      </w:r>
      <w:r w:rsidR="000B424A">
        <w:t>and</w:t>
      </w:r>
      <w:r w:rsidR="003C7FB2">
        <w:t xml:space="preserve"> </w:t>
      </w:r>
      <w:r w:rsidR="000B424A">
        <w:t>to</w:t>
      </w:r>
      <w:r w:rsidR="003C7FB2">
        <w:t xml:space="preserve"> </w:t>
      </w:r>
      <w:r w:rsidR="000B424A">
        <w:t>consume</w:t>
      </w:r>
      <w:r w:rsidR="003C7FB2">
        <w:t xml:space="preserve"> </w:t>
      </w:r>
      <w:r w:rsidR="000B424A">
        <w:t>excess</w:t>
      </w:r>
      <w:r w:rsidR="003C7FB2">
        <w:t xml:space="preserve"> </w:t>
      </w:r>
      <w:r w:rsidR="000B424A">
        <w:t>alcohol.</w:t>
      </w:r>
      <w:r w:rsidR="003C7FB2">
        <w:t xml:space="preserve"> </w:t>
      </w:r>
      <w:r w:rsidR="000B424A">
        <w:t>Participants</w:t>
      </w:r>
      <w:r w:rsidR="003C7FB2">
        <w:t xml:space="preserve"> </w:t>
      </w:r>
      <w:r w:rsidR="000B424A">
        <w:t>who</w:t>
      </w:r>
      <w:r w:rsidR="003C7FB2">
        <w:t xml:space="preserve"> </w:t>
      </w:r>
      <w:r w:rsidR="000B424A">
        <w:t>lived</w:t>
      </w:r>
      <w:r w:rsidR="003C7FB2">
        <w:t xml:space="preserve"> </w:t>
      </w:r>
      <w:r w:rsidR="00272EFC">
        <w:t>five</w:t>
      </w:r>
      <w:r w:rsidR="003C7FB2">
        <w:t xml:space="preserve"> </w:t>
      </w:r>
      <w:r w:rsidR="00272EFC">
        <w:t>miles</w:t>
      </w:r>
      <w:r w:rsidR="003C7FB2">
        <w:t xml:space="preserve"> </w:t>
      </w:r>
      <w:r w:rsidR="00272EFC">
        <w:t>or</w:t>
      </w:r>
      <w:r w:rsidR="003C7FB2">
        <w:t xml:space="preserve"> </w:t>
      </w:r>
      <w:r w:rsidR="000B424A">
        <w:t>further</w:t>
      </w:r>
      <w:r w:rsidR="003C7FB2">
        <w:t xml:space="preserve"> </w:t>
      </w:r>
      <w:r w:rsidR="000B424A">
        <w:t>from</w:t>
      </w:r>
      <w:r w:rsidR="003C7FB2">
        <w:t xml:space="preserve"> </w:t>
      </w:r>
      <w:r w:rsidR="000B424A">
        <w:t>work</w:t>
      </w:r>
      <w:r w:rsidR="003C7FB2">
        <w:t xml:space="preserve"> </w:t>
      </w:r>
      <w:r w:rsidR="000B424A">
        <w:t>were</w:t>
      </w:r>
      <w:r w:rsidR="003C7FB2">
        <w:t xml:space="preserve"> </w:t>
      </w:r>
      <w:r w:rsidR="000B424A">
        <w:t>more</w:t>
      </w:r>
      <w:r w:rsidR="003C7FB2">
        <w:t xml:space="preserve"> </w:t>
      </w:r>
      <w:r w:rsidR="000B424A">
        <w:t>likely</w:t>
      </w:r>
      <w:r w:rsidR="003C7FB2">
        <w:t xml:space="preserve"> </w:t>
      </w:r>
      <w:r w:rsidR="000B424A">
        <w:t>to</w:t>
      </w:r>
      <w:r w:rsidR="003C7FB2">
        <w:t xml:space="preserve"> </w:t>
      </w:r>
      <w:r w:rsidR="000B424A">
        <w:t>be</w:t>
      </w:r>
      <w:r w:rsidR="003C7FB2">
        <w:t xml:space="preserve"> </w:t>
      </w:r>
      <w:r w:rsidR="000B424A">
        <w:t>male,</w:t>
      </w:r>
      <w:r w:rsidR="003C7FB2">
        <w:t xml:space="preserve"> </w:t>
      </w:r>
      <w:r w:rsidR="004A6D8B">
        <w:t>to</w:t>
      </w:r>
      <w:r w:rsidR="003C7FB2">
        <w:t xml:space="preserve"> </w:t>
      </w:r>
      <w:r w:rsidR="000B424A">
        <w:t>have</w:t>
      </w:r>
      <w:r w:rsidR="003C7FB2">
        <w:t xml:space="preserve"> </w:t>
      </w:r>
      <w:r w:rsidR="000B424A">
        <w:t>a</w:t>
      </w:r>
      <w:r w:rsidR="003C7FB2">
        <w:t xml:space="preserve"> </w:t>
      </w:r>
      <w:r w:rsidR="000B424A">
        <w:t>degree,</w:t>
      </w:r>
      <w:r w:rsidR="003C7FB2">
        <w:t xml:space="preserve"> </w:t>
      </w:r>
      <w:r w:rsidR="000B424A">
        <w:t>and</w:t>
      </w:r>
      <w:r w:rsidR="003C7FB2">
        <w:t xml:space="preserve"> </w:t>
      </w:r>
      <w:r w:rsidR="004A6D8B">
        <w:t>to</w:t>
      </w:r>
      <w:r w:rsidR="003C7FB2">
        <w:t xml:space="preserve"> </w:t>
      </w:r>
      <w:r w:rsidR="000B424A">
        <w:t>use</w:t>
      </w:r>
      <w:r w:rsidR="003C7FB2">
        <w:t xml:space="preserve"> </w:t>
      </w:r>
      <w:r w:rsidR="000B424A">
        <w:t>the</w:t>
      </w:r>
      <w:r w:rsidR="003C7FB2">
        <w:t xml:space="preserve"> </w:t>
      </w:r>
      <w:r w:rsidR="000B424A">
        <w:t>car</w:t>
      </w:r>
      <w:r w:rsidR="003C7FB2">
        <w:t xml:space="preserve"> </w:t>
      </w:r>
      <w:r w:rsidR="000B424A">
        <w:t>than</w:t>
      </w:r>
      <w:r w:rsidR="003C7FB2">
        <w:t xml:space="preserve"> </w:t>
      </w:r>
      <w:r w:rsidR="008F7097">
        <w:t>other</w:t>
      </w:r>
      <w:r w:rsidR="003C7FB2">
        <w:t xml:space="preserve"> </w:t>
      </w:r>
      <w:r w:rsidR="008F7097">
        <w:t>mode</w:t>
      </w:r>
      <w:r w:rsidR="00093907">
        <w:t>s</w:t>
      </w:r>
      <w:r w:rsidR="003C7FB2">
        <w:t xml:space="preserve"> </w:t>
      </w:r>
      <w:r w:rsidR="008F7097">
        <w:t>of</w:t>
      </w:r>
      <w:r w:rsidR="003C7FB2">
        <w:t xml:space="preserve"> </w:t>
      </w:r>
      <w:r w:rsidR="008F7097">
        <w:t>tra</w:t>
      </w:r>
      <w:r w:rsidR="004A6D8B">
        <w:t>nsport</w:t>
      </w:r>
      <w:r w:rsidR="003C7FB2">
        <w:t xml:space="preserve"> </w:t>
      </w:r>
      <w:r w:rsidR="008F7097">
        <w:t>for</w:t>
      </w:r>
      <w:r w:rsidR="003C7FB2">
        <w:t xml:space="preserve"> </w:t>
      </w:r>
      <w:r w:rsidR="008F7097">
        <w:t>non-commuting</w:t>
      </w:r>
      <w:r w:rsidR="003C7FB2">
        <w:t xml:space="preserve"> </w:t>
      </w:r>
      <w:r w:rsidR="004A6D8B">
        <w:t>journeys</w:t>
      </w:r>
      <w:r w:rsidR="00272EFC">
        <w:t>.</w:t>
      </w:r>
      <w:r w:rsidR="003C7FB2">
        <w:t xml:space="preserve"> </w:t>
      </w:r>
      <w:r w:rsidR="00272EFC">
        <w:t>Men</w:t>
      </w:r>
      <w:r w:rsidR="003C7FB2">
        <w:t xml:space="preserve"> </w:t>
      </w:r>
      <w:r w:rsidR="00272EFC">
        <w:t>who</w:t>
      </w:r>
      <w:r w:rsidR="003C7FB2">
        <w:t xml:space="preserve"> </w:t>
      </w:r>
      <w:r w:rsidR="00272EFC">
        <w:t>lived</w:t>
      </w:r>
      <w:r w:rsidR="003C7FB2">
        <w:t xml:space="preserve"> </w:t>
      </w:r>
      <w:r w:rsidR="00272EFC">
        <w:t>five</w:t>
      </w:r>
      <w:r w:rsidR="003C7FB2">
        <w:t xml:space="preserve"> </w:t>
      </w:r>
      <w:r w:rsidR="00272EFC">
        <w:t>miles</w:t>
      </w:r>
      <w:r w:rsidR="003C7FB2">
        <w:t xml:space="preserve"> </w:t>
      </w:r>
      <w:r w:rsidR="00272EFC">
        <w:t>or</w:t>
      </w:r>
      <w:r w:rsidR="003C7FB2">
        <w:t xml:space="preserve"> </w:t>
      </w:r>
      <w:r w:rsidR="00272EFC">
        <w:t>further</w:t>
      </w:r>
      <w:r w:rsidR="003C7FB2">
        <w:t xml:space="preserve"> </w:t>
      </w:r>
      <w:r w:rsidR="00486578">
        <w:t>from</w:t>
      </w:r>
      <w:r w:rsidR="003C7FB2">
        <w:t xml:space="preserve"> </w:t>
      </w:r>
      <w:r w:rsidR="000B424A">
        <w:t>work</w:t>
      </w:r>
      <w:r w:rsidR="003C7FB2">
        <w:t xml:space="preserve"> </w:t>
      </w:r>
      <w:r w:rsidR="000B424A">
        <w:t>tended</w:t>
      </w:r>
      <w:r w:rsidR="003C7FB2">
        <w:t xml:space="preserve"> </w:t>
      </w:r>
      <w:r w:rsidR="000B424A">
        <w:t>to</w:t>
      </w:r>
      <w:r w:rsidR="003C7FB2">
        <w:t xml:space="preserve"> </w:t>
      </w:r>
      <w:r w:rsidR="000B424A">
        <w:t>have</w:t>
      </w:r>
      <w:r w:rsidR="003C7FB2">
        <w:t xml:space="preserve"> </w:t>
      </w:r>
      <w:r w:rsidR="000B424A">
        <w:t>higher</w:t>
      </w:r>
      <w:r w:rsidR="003C7FB2">
        <w:t xml:space="preserve"> </w:t>
      </w:r>
      <w:r w:rsidR="000B424A">
        <w:t>body</w:t>
      </w:r>
      <w:r w:rsidR="003C7FB2">
        <w:t xml:space="preserve"> </w:t>
      </w:r>
      <w:r w:rsidR="000B424A">
        <w:t>fat</w:t>
      </w:r>
      <w:r w:rsidR="003C7FB2">
        <w:t xml:space="preserve"> </w:t>
      </w:r>
      <w:r w:rsidR="000B424A">
        <w:t>and</w:t>
      </w:r>
      <w:r w:rsidR="003C7FB2">
        <w:t xml:space="preserve"> </w:t>
      </w:r>
      <w:r w:rsidR="000B424A">
        <w:t>more</w:t>
      </w:r>
      <w:r w:rsidR="003C7FB2">
        <w:t xml:space="preserve"> </w:t>
      </w:r>
      <w:r w:rsidR="00154627">
        <w:t>VAT</w:t>
      </w:r>
      <w:r w:rsidR="003C7FB2">
        <w:t xml:space="preserve"> </w:t>
      </w:r>
      <w:r w:rsidR="004A6D8B">
        <w:t>than</w:t>
      </w:r>
      <w:r w:rsidR="003C7FB2">
        <w:t xml:space="preserve"> </w:t>
      </w:r>
      <w:r w:rsidR="004A6D8B">
        <w:t>those</w:t>
      </w:r>
      <w:r w:rsidR="003C7FB2">
        <w:t xml:space="preserve"> </w:t>
      </w:r>
      <w:r w:rsidR="006A6B59">
        <w:t>who</w:t>
      </w:r>
      <w:r w:rsidR="003C7FB2">
        <w:t xml:space="preserve"> </w:t>
      </w:r>
      <w:r w:rsidR="00486578">
        <w:t>live</w:t>
      </w:r>
      <w:r w:rsidR="006A6B59">
        <w:t>d</w:t>
      </w:r>
      <w:r w:rsidR="003C7FB2">
        <w:t xml:space="preserve"> </w:t>
      </w:r>
      <w:r w:rsidR="004A6D8B">
        <w:t>closer</w:t>
      </w:r>
      <w:r w:rsidR="000B424A">
        <w:t>.</w:t>
      </w:r>
      <w:r w:rsidR="003C7FB2">
        <w:t xml:space="preserve"> </w:t>
      </w:r>
    </w:p>
    <w:p w14:paraId="0E8ED105" w14:textId="77777777" w:rsidR="00F971D8" w:rsidRDefault="00F971D8" w:rsidP="00D02203">
      <w:pPr>
        <w:spacing w:after="0" w:line="240" w:lineRule="auto"/>
      </w:pPr>
    </w:p>
    <w:p w14:paraId="283A2A0B" w14:textId="5E993FD8" w:rsidR="00F971D8" w:rsidRDefault="00F971D8" w:rsidP="00F971D8">
      <w:pPr>
        <w:spacing w:after="0" w:line="240" w:lineRule="auto"/>
      </w:pPr>
      <w:r>
        <w:t>The</w:t>
      </w:r>
      <w:r w:rsidR="003C7FB2">
        <w:t xml:space="preserve"> </w:t>
      </w:r>
      <w:r>
        <w:t>frequencies</w:t>
      </w:r>
      <w:r w:rsidR="003C7FB2">
        <w:t xml:space="preserve"> </w:t>
      </w:r>
      <w:r>
        <w:t>of</w:t>
      </w:r>
      <w:r w:rsidR="003C7FB2">
        <w:t xml:space="preserve"> </w:t>
      </w:r>
      <w:r>
        <w:t>using</w:t>
      </w:r>
      <w:r w:rsidR="003C7FB2">
        <w:t xml:space="preserve"> </w:t>
      </w:r>
      <w:r>
        <w:t>different</w:t>
      </w:r>
      <w:r w:rsidR="003C7FB2">
        <w:t xml:space="preserve"> </w:t>
      </w:r>
      <w:r>
        <w:t>modes</w:t>
      </w:r>
      <w:r w:rsidR="003C7FB2">
        <w:t xml:space="preserve"> </w:t>
      </w:r>
      <w:r>
        <w:t>of</w:t>
      </w:r>
      <w:r w:rsidR="003C7FB2">
        <w:t xml:space="preserve"> </w:t>
      </w:r>
      <w:r>
        <w:t>transport</w:t>
      </w:r>
      <w:r w:rsidR="003C7FB2">
        <w:t xml:space="preserve"> </w:t>
      </w:r>
      <w:r>
        <w:t>by</w:t>
      </w:r>
      <w:r w:rsidR="003C7FB2">
        <w:t xml:space="preserve"> </w:t>
      </w:r>
      <w:r>
        <w:t>the</w:t>
      </w:r>
      <w:r w:rsidR="003C7FB2">
        <w:t xml:space="preserve"> </w:t>
      </w:r>
      <w:r>
        <w:t>different</w:t>
      </w:r>
      <w:r w:rsidR="003C7FB2">
        <w:t xml:space="preserve"> </w:t>
      </w:r>
      <w:r>
        <w:t>commuting</w:t>
      </w:r>
      <w:r w:rsidR="003C7FB2">
        <w:t xml:space="preserve"> </w:t>
      </w:r>
      <w:r>
        <w:t>patterns</w:t>
      </w:r>
      <w:r w:rsidR="003C7FB2">
        <w:t xml:space="preserve"> </w:t>
      </w:r>
      <w:r>
        <w:t>are</w:t>
      </w:r>
      <w:r w:rsidR="003C7FB2">
        <w:t xml:space="preserve"> </w:t>
      </w:r>
      <w:r>
        <w:t>shown</w:t>
      </w:r>
      <w:r w:rsidR="003C7FB2">
        <w:t xml:space="preserve"> </w:t>
      </w:r>
      <w:r>
        <w:t>in</w:t>
      </w:r>
      <w:r w:rsidR="003C7FB2">
        <w:t xml:space="preserve"> </w:t>
      </w:r>
      <w:r>
        <w:t>the</w:t>
      </w:r>
      <w:r w:rsidR="003C7FB2">
        <w:t xml:space="preserve"> </w:t>
      </w:r>
      <w:r>
        <w:t>Results</w:t>
      </w:r>
      <w:r w:rsidR="003C7FB2">
        <w:t xml:space="preserve"> </w:t>
      </w:r>
      <w:r>
        <w:t>Appendix</w:t>
      </w:r>
      <w:r w:rsidR="003C7FB2">
        <w:t xml:space="preserve"> </w:t>
      </w:r>
      <w:r>
        <w:t>(Table</w:t>
      </w:r>
      <w:r w:rsidR="003C7FB2">
        <w:t xml:space="preserve"> </w:t>
      </w:r>
      <w:r>
        <w:t>A1</w:t>
      </w:r>
      <w:r w:rsidR="003C7FB2">
        <w:t xml:space="preserve"> </w:t>
      </w:r>
      <w:r>
        <w:t>and</w:t>
      </w:r>
      <w:r w:rsidR="003C7FB2">
        <w:t xml:space="preserve"> </w:t>
      </w:r>
      <w:r>
        <w:t>Table</w:t>
      </w:r>
      <w:r w:rsidR="003C7FB2">
        <w:t xml:space="preserve"> </w:t>
      </w:r>
      <w:r>
        <w:t>A2).</w:t>
      </w:r>
      <w:r w:rsidR="003C7FB2">
        <w:t xml:space="preserve"> </w:t>
      </w:r>
      <w:r>
        <w:t>People</w:t>
      </w:r>
      <w:r w:rsidR="003C7FB2">
        <w:t xml:space="preserve"> </w:t>
      </w:r>
      <w:r>
        <w:t>who</w:t>
      </w:r>
      <w:r w:rsidR="003C7FB2">
        <w:t xml:space="preserve"> </w:t>
      </w:r>
      <w:r>
        <w:t>reported</w:t>
      </w:r>
      <w:r w:rsidR="003C7FB2">
        <w:t xml:space="preserve"> </w:t>
      </w:r>
      <w:r>
        <w:t>walking</w:t>
      </w:r>
      <w:r w:rsidR="003C7FB2">
        <w:t xml:space="preserve"> </w:t>
      </w:r>
      <w:r>
        <w:t>or</w:t>
      </w:r>
      <w:r w:rsidR="003C7FB2">
        <w:t xml:space="preserve"> </w:t>
      </w:r>
      <w:r>
        <w:t>cycling</w:t>
      </w:r>
      <w:r w:rsidR="003C7FB2">
        <w:t xml:space="preserve"> </w:t>
      </w:r>
      <w:r>
        <w:t>regularly</w:t>
      </w:r>
      <w:r w:rsidR="003C7FB2">
        <w:t xml:space="preserve"> </w:t>
      </w:r>
      <w:r>
        <w:t>showed</w:t>
      </w:r>
      <w:r w:rsidR="003C7FB2">
        <w:t xml:space="preserve"> </w:t>
      </w:r>
      <w:r>
        <w:t>limited</w:t>
      </w:r>
      <w:r w:rsidR="003C7FB2">
        <w:t xml:space="preserve"> </w:t>
      </w:r>
      <w:r>
        <w:t>car</w:t>
      </w:r>
      <w:r w:rsidR="003C7FB2">
        <w:t xml:space="preserve"> </w:t>
      </w:r>
      <w:r>
        <w:t>and</w:t>
      </w:r>
      <w:r w:rsidR="003C7FB2">
        <w:t xml:space="preserve"> </w:t>
      </w:r>
      <w:r>
        <w:t>public</w:t>
      </w:r>
      <w:r w:rsidR="003C7FB2">
        <w:t xml:space="preserve"> </w:t>
      </w:r>
      <w:r>
        <w:t>transport</w:t>
      </w:r>
      <w:r w:rsidR="003C7FB2">
        <w:t xml:space="preserve"> </w:t>
      </w:r>
      <w:r>
        <w:t>use.</w:t>
      </w:r>
      <w:r w:rsidR="003C7FB2">
        <w:t xml:space="preserve"> </w:t>
      </w:r>
      <w:r>
        <w:t>People</w:t>
      </w:r>
      <w:r w:rsidR="003C7FB2">
        <w:t xml:space="preserve"> </w:t>
      </w:r>
      <w:r>
        <w:t>who</w:t>
      </w:r>
      <w:r w:rsidR="003C7FB2">
        <w:t xml:space="preserve"> </w:t>
      </w:r>
      <w:r>
        <w:t>used</w:t>
      </w:r>
      <w:r w:rsidR="003C7FB2">
        <w:t xml:space="preserve"> </w:t>
      </w:r>
      <w:r>
        <w:t>the</w:t>
      </w:r>
      <w:r w:rsidR="003C7FB2">
        <w:t xml:space="preserve"> </w:t>
      </w:r>
      <w:r>
        <w:t>car</w:t>
      </w:r>
      <w:r w:rsidR="003C7FB2">
        <w:t xml:space="preserve"> </w:t>
      </w:r>
      <w:r>
        <w:t>in</w:t>
      </w:r>
      <w:r w:rsidR="003C7FB2">
        <w:t xml:space="preserve"> </w:t>
      </w:r>
      <w:r>
        <w:t>combination</w:t>
      </w:r>
      <w:r w:rsidR="003C7FB2">
        <w:t xml:space="preserve"> </w:t>
      </w:r>
      <w:r>
        <w:t>with</w:t>
      </w:r>
      <w:r w:rsidR="003C7FB2">
        <w:t xml:space="preserve"> </w:t>
      </w:r>
      <w:r>
        <w:t>occasional</w:t>
      </w:r>
      <w:r w:rsidR="003C7FB2">
        <w:t xml:space="preserve"> </w:t>
      </w:r>
      <w:r>
        <w:t>walking</w:t>
      </w:r>
      <w:r w:rsidR="003C7FB2">
        <w:t xml:space="preserve"> </w:t>
      </w:r>
      <w:r>
        <w:t>or</w:t>
      </w:r>
      <w:r w:rsidR="003C7FB2">
        <w:t xml:space="preserve"> </w:t>
      </w:r>
      <w:r>
        <w:t>cycling</w:t>
      </w:r>
      <w:r w:rsidR="003C7FB2">
        <w:t xml:space="preserve"> </w:t>
      </w:r>
      <w:r>
        <w:t>used</w:t>
      </w:r>
      <w:r w:rsidR="003C7FB2">
        <w:t xml:space="preserve"> </w:t>
      </w:r>
      <w:r>
        <w:t>the</w:t>
      </w:r>
      <w:r w:rsidR="003C7FB2">
        <w:t xml:space="preserve"> </w:t>
      </w:r>
      <w:r>
        <w:t>car</w:t>
      </w:r>
      <w:r w:rsidR="003C7FB2">
        <w:t xml:space="preserve"> </w:t>
      </w:r>
      <w:r>
        <w:t>less</w:t>
      </w:r>
      <w:r w:rsidR="003C7FB2">
        <w:t xml:space="preserve"> </w:t>
      </w:r>
      <w:r>
        <w:t>frequently</w:t>
      </w:r>
      <w:r w:rsidR="003C7FB2">
        <w:t xml:space="preserve"> </w:t>
      </w:r>
      <w:r>
        <w:t>than</w:t>
      </w:r>
      <w:r w:rsidR="003C7FB2">
        <w:t xml:space="preserve"> </w:t>
      </w:r>
      <w:r>
        <w:t>those</w:t>
      </w:r>
      <w:r w:rsidR="003C7FB2">
        <w:t xml:space="preserve"> </w:t>
      </w:r>
      <w:r>
        <w:t>who</w:t>
      </w:r>
      <w:r w:rsidR="003C7FB2">
        <w:t xml:space="preserve"> </w:t>
      </w:r>
      <w:r>
        <w:t>reported</w:t>
      </w:r>
      <w:r w:rsidR="003C7FB2">
        <w:t xml:space="preserve"> </w:t>
      </w:r>
      <w:r>
        <w:t>only</w:t>
      </w:r>
      <w:r w:rsidR="003C7FB2">
        <w:t xml:space="preserve"> </w:t>
      </w:r>
      <w:r>
        <w:t>using</w:t>
      </w:r>
      <w:r w:rsidR="003C7FB2">
        <w:t xml:space="preserve"> </w:t>
      </w:r>
      <w:r>
        <w:t>the</w:t>
      </w:r>
      <w:r w:rsidR="003C7FB2">
        <w:t xml:space="preserve"> </w:t>
      </w:r>
      <w:r>
        <w:t>car.</w:t>
      </w:r>
    </w:p>
    <w:p w14:paraId="5A6BAEF4" w14:textId="77777777" w:rsidR="00F971D8" w:rsidRDefault="00F971D8" w:rsidP="00F971D8">
      <w:pPr>
        <w:spacing w:after="0" w:line="240" w:lineRule="auto"/>
      </w:pPr>
    </w:p>
    <w:p w14:paraId="7023A100" w14:textId="2532809A" w:rsidR="00F971D8" w:rsidRDefault="00F971D8" w:rsidP="00F971D8">
      <w:pPr>
        <w:spacing w:after="0" w:line="240" w:lineRule="auto"/>
      </w:pPr>
      <w:r>
        <w:t>Among</w:t>
      </w:r>
      <w:r w:rsidR="003C7FB2">
        <w:t xml:space="preserve"> </w:t>
      </w:r>
      <w:r>
        <w:t>those</w:t>
      </w:r>
      <w:r w:rsidR="003C7FB2">
        <w:t xml:space="preserve"> </w:t>
      </w:r>
      <w:r>
        <w:t>who</w:t>
      </w:r>
      <w:r w:rsidR="003C7FB2">
        <w:t xml:space="preserve"> </w:t>
      </w:r>
      <w:r>
        <w:t>lived</w:t>
      </w:r>
      <w:r w:rsidR="003C7FB2">
        <w:t xml:space="preserve"> </w:t>
      </w:r>
      <w:r>
        <w:t>five</w:t>
      </w:r>
      <w:r w:rsidR="003C7FB2">
        <w:t xml:space="preserve"> </w:t>
      </w:r>
      <w:r>
        <w:t>miles</w:t>
      </w:r>
      <w:r w:rsidR="003C7FB2">
        <w:t xml:space="preserve"> </w:t>
      </w:r>
      <w:r>
        <w:t>or</w:t>
      </w:r>
      <w:r w:rsidR="003C7FB2">
        <w:t xml:space="preserve"> </w:t>
      </w:r>
      <w:r>
        <w:t>further</w:t>
      </w:r>
      <w:r w:rsidR="003C7FB2">
        <w:t xml:space="preserve"> </w:t>
      </w:r>
      <w:r>
        <w:t>from</w:t>
      </w:r>
      <w:r w:rsidR="003C7FB2">
        <w:t xml:space="preserve"> </w:t>
      </w:r>
      <w:r>
        <w:t>work</w:t>
      </w:r>
      <w:r w:rsidR="003C7FB2">
        <w:t xml:space="preserve"> </w:t>
      </w:r>
      <w:r>
        <w:t>and</w:t>
      </w:r>
      <w:r w:rsidR="003C7FB2">
        <w:t xml:space="preserve"> </w:t>
      </w:r>
      <w:r>
        <w:t>who</w:t>
      </w:r>
      <w:r w:rsidR="003C7FB2">
        <w:t xml:space="preserve"> </w:t>
      </w:r>
      <w:r>
        <w:t>undertook</w:t>
      </w:r>
      <w:r w:rsidR="003C7FB2">
        <w:t xml:space="preserve"> </w:t>
      </w:r>
      <w:r>
        <w:t>active</w:t>
      </w:r>
      <w:r w:rsidR="003C7FB2">
        <w:t xml:space="preserve"> </w:t>
      </w:r>
      <w:r>
        <w:t>travel,</w:t>
      </w:r>
      <w:r w:rsidR="003C7FB2">
        <w:t xml:space="preserve"> </w:t>
      </w:r>
      <w:r>
        <w:t>walking</w:t>
      </w:r>
      <w:r w:rsidR="003C7FB2">
        <w:t xml:space="preserve"> </w:t>
      </w:r>
      <w:r>
        <w:t>tended</w:t>
      </w:r>
      <w:r w:rsidR="003C7FB2">
        <w:t xml:space="preserve"> </w:t>
      </w:r>
      <w:r>
        <w:t>to</w:t>
      </w:r>
      <w:r w:rsidR="003C7FB2">
        <w:t xml:space="preserve"> </w:t>
      </w:r>
      <w:r>
        <w:t>be</w:t>
      </w:r>
      <w:r w:rsidR="003C7FB2">
        <w:t xml:space="preserve"> </w:t>
      </w:r>
      <w:r>
        <w:t>undertaken</w:t>
      </w:r>
      <w:r w:rsidR="003C7FB2">
        <w:t xml:space="preserve"> </w:t>
      </w:r>
      <w:r>
        <w:t>regularly</w:t>
      </w:r>
      <w:r w:rsidR="003C7FB2">
        <w:t xml:space="preserve"> </w:t>
      </w:r>
      <w:r>
        <w:t>and</w:t>
      </w:r>
      <w:r w:rsidR="003C7FB2">
        <w:t xml:space="preserve"> </w:t>
      </w:r>
      <w:r>
        <w:t>was</w:t>
      </w:r>
      <w:r w:rsidR="003C7FB2">
        <w:t xml:space="preserve"> </w:t>
      </w:r>
      <w:r>
        <w:t>combined</w:t>
      </w:r>
      <w:r w:rsidR="003C7FB2">
        <w:t xml:space="preserve"> </w:t>
      </w:r>
      <w:r>
        <w:t>with</w:t>
      </w:r>
      <w:r w:rsidR="003C7FB2">
        <w:t xml:space="preserve"> </w:t>
      </w:r>
      <w:r>
        <w:t>either</w:t>
      </w:r>
      <w:r w:rsidR="003C7FB2">
        <w:t xml:space="preserve"> </w:t>
      </w:r>
      <w:r>
        <w:t>public</w:t>
      </w:r>
      <w:r w:rsidR="003C7FB2">
        <w:t xml:space="preserve"> </w:t>
      </w:r>
      <w:r>
        <w:t>transport</w:t>
      </w:r>
      <w:r w:rsidR="003C7FB2">
        <w:t xml:space="preserve"> </w:t>
      </w:r>
      <w:r>
        <w:t>or</w:t>
      </w:r>
      <w:r w:rsidR="003C7FB2">
        <w:t xml:space="preserve"> </w:t>
      </w:r>
      <w:r>
        <w:t>car-use.</w:t>
      </w:r>
      <w:r w:rsidR="003C7FB2">
        <w:t xml:space="preserve"> </w:t>
      </w:r>
      <w:r>
        <w:t>In</w:t>
      </w:r>
      <w:r w:rsidR="003C7FB2">
        <w:t xml:space="preserve"> </w:t>
      </w:r>
      <w:r>
        <w:t>contrast</w:t>
      </w:r>
      <w:r w:rsidR="003C7FB2">
        <w:t xml:space="preserve"> </w:t>
      </w:r>
      <w:r>
        <w:t>cycling</w:t>
      </w:r>
      <w:r w:rsidR="003C7FB2">
        <w:t xml:space="preserve"> </w:t>
      </w:r>
      <w:r>
        <w:t>tended</w:t>
      </w:r>
      <w:r w:rsidR="003C7FB2">
        <w:t xml:space="preserve"> </w:t>
      </w:r>
      <w:r>
        <w:t>to</w:t>
      </w:r>
      <w:r w:rsidR="003C7FB2">
        <w:t xml:space="preserve"> </w:t>
      </w:r>
      <w:r>
        <w:t>be</w:t>
      </w:r>
      <w:r w:rsidR="003C7FB2">
        <w:t xml:space="preserve"> </w:t>
      </w:r>
      <w:r>
        <w:t>undertaken</w:t>
      </w:r>
      <w:r w:rsidR="003C7FB2">
        <w:t xml:space="preserve"> </w:t>
      </w:r>
      <w:r>
        <w:t>occasionally</w:t>
      </w:r>
      <w:r w:rsidR="003C7FB2">
        <w:t xml:space="preserve"> </w:t>
      </w:r>
      <w:r>
        <w:t>and</w:t>
      </w:r>
      <w:r w:rsidR="003C7FB2">
        <w:t xml:space="preserve"> </w:t>
      </w:r>
      <w:r>
        <w:t>predominantly</w:t>
      </w:r>
      <w:r w:rsidR="003C7FB2">
        <w:t xml:space="preserve"> </w:t>
      </w:r>
      <w:r>
        <w:t>combined</w:t>
      </w:r>
      <w:r w:rsidR="003C7FB2">
        <w:t xml:space="preserve"> </w:t>
      </w:r>
      <w:r>
        <w:t>with</w:t>
      </w:r>
      <w:r w:rsidR="003C7FB2">
        <w:t xml:space="preserve"> </w:t>
      </w:r>
      <w:r>
        <w:t>car-use.</w:t>
      </w:r>
    </w:p>
    <w:p w14:paraId="21E47F74" w14:textId="77777777" w:rsidR="00F971D8" w:rsidRDefault="00F971D8" w:rsidP="00F971D8">
      <w:pPr>
        <w:spacing w:after="0" w:line="240" w:lineRule="auto"/>
      </w:pPr>
    </w:p>
    <w:p w14:paraId="55FA41C2" w14:textId="378B522D" w:rsidR="00F971D8" w:rsidRDefault="00F971D8" w:rsidP="00F971D8">
      <w:pPr>
        <w:spacing w:after="0" w:line="240" w:lineRule="auto"/>
      </w:pPr>
      <w:r>
        <w:t>Interaction</w:t>
      </w:r>
      <w:r w:rsidR="003C7FB2">
        <w:t xml:space="preserve"> </w:t>
      </w:r>
      <w:r>
        <w:t>terms</w:t>
      </w:r>
      <w:r w:rsidR="003C7FB2">
        <w:t xml:space="preserve"> </w:t>
      </w:r>
      <w:r>
        <w:t>for</w:t>
      </w:r>
      <w:r w:rsidR="003C7FB2">
        <w:t xml:space="preserve"> </w:t>
      </w:r>
      <w:r>
        <w:t>sex</w:t>
      </w:r>
      <w:r w:rsidR="003C7FB2">
        <w:t xml:space="preserve"> </w:t>
      </w:r>
      <w:r>
        <w:t>and</w:t>
      </w:r>
      <w:r w:rsidR="003C7FB2">
        <w:t xml:space="preserve"> </w:t>
      </w:r>
      <w:r>
        <w:t>adiposity</w:t>
      </w:r>
      <w:r w:rsidR="003C7FB2">
        <w:t xml:space="preserve"> </w:t>
      </w:r>
      <w:r>
        <w:t>were</w:t>
      </w:r>
      <w:r w:rsidR="003C7FB2">
        <w:t xml:space="preserve"> </w:t>
      </w:r>
      <w:r>
        <w:t>only</w:t>
      </w:r>
      <w:r w:rsidR="003C7FB2">
        <w:t xml:space="preserve"> </w:t>
      </w:r>
      <w:r>
        <w:t>significant</w:t>
      </w:r>
      <w:r w:rsidR="003C7FB2">
        <w:t xml:space="preserve"> </w:t>
      </w:r>
      <w:r>
        <w:t>for</w:t>
      </w:r>
      <w:r w:rsidR="003C7FB2">
        <w:t xml:space="preserve"> </w:t>
      </w:r>
      <w:r>
        <w:t>VAT</w:t>
      </w:r>
      <w:r w:rsidR="003C7FB2">
        <w:t xml:space="preserve"> </w:t>
      </w:r>
      <w:r>
        <w:t>amongst</w:t>
      </w:r>
      <w:r w:rsidR="003C7FB2">
        <w:t xml:space="preserve"> </w:t>
      </w:r>
      <w:r>
        <w:t>those</w:t>
      </w:r>
      <w:r w:rsidR="003C7FB2">
        <w:t xml:space="preserve"> </w:t>
      </w:r>
      <w:r>
        <w:t>living</w:t>
      </w:r>
      <w:r w:rsidR="003C7FB2">
        <w:t xml:space="preserve"> </w:t>
      </w:r>
      <w:r>
        <w:t>near</w:t>
      </w:r>
      <w:r w:rsidR="003C7FB2">
        <w:t xml:space="preserve"> </w:t>
      </w:r>
      <w:r>
        <w:t>to</w:t>
      </w:r>
      <w:r w:rsidR="003C7FB2">
        <w:t xml:space="preserve"> </w:t>
      </w:r>
      <w:r>
        <w:t>work</w:t>
      </w:r>
      <w:r w:rsidR="003C7FB2">
        <w:t xml:space="preserve"> </w:t>
      </w:r>
      <w:r>
        <w:t>(p=0.04,</w:t>
      </w:r>
      <w:r w:rsidR="003C7FB2">
        <w:t xml:space="preserve"> </w:t>
      </w:r>
      <w:r>
        <w:t>n=3171).</w:t>
      </w:r>
      <w:r w:rsidR="003C7FB2">
        <w:t xml:space="preserve"> </w:t>
      </w:r>
    </w:p>
    <w:p w14:paraId="7CB9874A" w14:textId="77777777" w:rsidR="00F971D8" w:rsidRDefault="00F971D8" w:rsidP="00F971D8">
      <w:pPr>
        <w:spacing w:after="0" w:line="240" w:lineRule="auto"/>
      </w:pPr>
    </w:p>
    <w:p w14:paraId="74881D96" w14:textId="7F3F8226" w:rsidR="00F971D8" w:rsidRDefault="00F971D8" w:rsidP="00F971D8">
      <w:pPr>
        <w:spacing w:after="0" w:line="240" w:lineRule="auto"/>
        <w:rPr>
          <w:u w:val="single"/>
        </w:rPr>
      </w:pPr>
      <w:r w:rsidRPr="00F119D2">
        <w:rPr>
          <w:u w:val="single"/>
        </w:rPr>
        <w:t>Body</w:t>
      </w:r>
      <w:r w:rsidR="003C7FB2">
        <w:rPr>
          <w:u w:val="single"/>
        </w:rPr>
        <w:t xml:space="preserve"> </w:t>
      </w:r>
      <w:r w:rsidRPr="00F119D2">
        <w:rPr>
          <w:u w:val="single"/>
        </w:rPr>
        <w:t>Fat</w:t>
      </w:r>
    </w:p>
    <w:p w14:paraId="24E3FF80" w14:textId="77777777" w:rsidR="00F971D8" w:rsidRDefault="00F971D8" w:rsidP="00F971D8">
      <w:pPr>
        <w:spacing w:after="0" w:line="240" w:lineRule="auto"/>
        <w:rPr>
          <w:u w:val="single"/>
        </w:rPr>
      </w:pPr>
    </w:p>
    <w:p w14:paraId="59CD9CA7" w14:textId="01D38FA0" w:rsidR="00F971D8" w:rsidRDefault="00F971D8" w:rsidP="00F971D8">
      <w:pPr>
        <w:rPr>
          <w:color w:val="000000"/>
        </w:rPr>
      </w:pPr>
      <w:r>
        <w:t>Associations</w:t>
      </w:r>
      <w:r w:rsidR="003C7FB2">
        <w:t xml:space="preserve"> </w:t>
      </w:r>
      <w:r>
        <w:t>between</w:t>
      </w:r>
      <w:r w:rsidR="003C7FB2">
        <w:t xml:space="preserve"> </w:t>
      </w:r>
      <w:r>
        <w:t>active</w:t>
      </w:r>
      <w:r w:rsidR="003C7FB2">
        <w:t xml:space="preserve"> </w:t>
      </w:r>
      <w:r>
        <w:t>commuting</w:t>
      </w:r>
      <w:r w:rsidR="003C7FB2">
        <w:t xml:space="preserve"> </w:t>
      </w:r>
      <w:r>
        <w:t>and</w:t>
      </w:r>
      <w:r w:rsidR="003C7FB2">
        <w:t xml:space="preserve"> </w:t>
      </w:r>
      <w:r>
        <w:t>body</w:t>
      </w:r>
      <w:r w:rsidR="003C7FB2">
        <w:t xml:space="preserve"> </w:t>
      </w:r>
      <w:r>
        <w:t>fat</w:t>
      </w:r>
      <w:r w:rsidR="003C7FB2">
        <w:t xml:space="preserve"> </w:t>
      </w:r>
      <w:r>
        <w:t>are</w:t>
      </w:r>
      <w:r w:rsidR="003C7FB2">
        <w:t xml:space="preserve"> </w:t>
      </w:r>
      <w:r>
        <w:t>shown</w:t>
      </w:r>
      <w:r w:rsidR="003C7FB2">
        <w:t xml:space="preserve"> </w:t>
      </w:r>
      <w:r>
        <w:t>in</w:t>
      </w:r>
      <w:r w:rsidR="003C7FB2">
        <w:t xml:space="preserve"> </w:t>
      </w:r>
      <w:r>
        <w:t>Table</w:t>
      </w:r>
      <w:r w:rsidR="003C7FB2">
        <w:t xml:space="preserve"> </w:t>
      </w:r>
      <w:r>
        <w:t>2.</w:t>
      </w:r>
      <w:r w:rsidR="003C7FB2">
        <w:t xml:space="preserve"> </w:t>
      </w:r>
      <w:r>
        <w:t>Among</w:t>
      </w:r>
      <w:r w:rsidR="003C7FB2">
        <w:t xml:space="preserve"> </w:t>
      </w:r>
      <w:r>
        <w:t>those</w:t>
      </w:r>
      <w:r w:rsidR="003C7FB2">
        <w:t xml:space="preserve"> </w:t>
      </w:r>
      <w:r>
        <w:t>living</w:t>
      </w:r>
      <w:r w:rsidR="003C7FB2">
        <w:t xml:space="preserve"> </w:t>
      </w:r>
      <w:r>
        <w:t>within</w:t>
      </w:r>
      <w:r w:rsidR="003C7FB2">
        <w:t xml:space="preserve"> </w:t>
      </w:r>
      <w:r>
        <w:t>five</w:t>
      </w:r>
      <w:r w:rsidR="003C7FB2">
        <w:t xml:space="preserve"> </w:t>
      </w:r>
      <w:r>
        <w:t>miles</w:t>
      </w:r>
      <w:r w:rsidR="003C7FB2">
        <w:t xml:space="preserve"> </w:t>
      </w:r>
      <w:r>
        <w:t>of</w:t>
      </w:r>
      <w:r w:rsidR="003C7FB2">
        <w:t xml:space="preserve"> </w:t>
      </w:r>
      <w:r>
        <w:t>work,</w:t>
      </w:r>
      <w:r w:rsidR="003C7FB2">
        <w:t xml:space="preserve"> </w:t>
      </w:r>
      <w:r>
        <w:t>people</w:t>
      </w:r>
      <w:r w:rsidR="003C7FB2">
        <w:t xml:space="preserve"> </w:t>
      </w:r>
      <w:r>
        <w:t>who</w:t>
      </w:r>
      <w:r w:rsidR="003C7FB2">
        <w:t xml:space="preserve"> </w:t>
      </w:r>
      <w:r>
        <w:t>reported</w:t>
      </w:r>
      <w:r w:rsidR="003C7FB2">
        <w:t xml:space="preserve"> </w:t>
      </w:r>
      <w:r>
        <w:t>regularly</w:t>
      </w:r>
      <w:r w:rsidR="003C7FB2">
        <w:t xml:space="preserve"> </w:t>
      </w:r>
      <w:r>
        <w:t>cycling</w:t>
      </w:r>
      <w:r w:rsidR="003C7FB2">
        <w:t xml:space="preserve"> </w:t>
      </w:r>
      <w:r>
        <w:t>had</w:t>
      </w:r>
      <w:r w:rsidR="003C7FB2">
        <w:t xml:space="preserve"> </w:t>
      </w:r>
      <w:r>
        <w:t>lower</w:t>
      </w:r>
      <w:r w:rsidR="003C7FB2">
        <w:t xml:space="preserve"> </w:t>
      </w:r>
      <w:r>
        <w:t>body</w:t>
      </w:r>
      <w:r w:rsidR="003C7FB2">
        <w:t xml:space="preserve"> </w:t>
      </w:r>
      <w:r>
        <w:t>fat</w:t>
      </w:r>
      <w:r w:rsidR="003C7FB2">
        <w:t xml:space="preserve"> </w:t>
      </w:r>
      <w:r>
        <w:t>than</w:t>
      </w:r>
      <w:r w:rsidR="003C7FB2">
        <w:t xml:space="preserve"> </w:t>
      </w:r>
      <w:r>
        <w:t>those</w:t>
      </w:r>
      <w:r w:rsidR="003C7FB2">
        <w:t xml:space="preserve"> </w:t>
      </w:r>
      <w:r>
        <w:t>who</w:t>
      </w:r>
      <w:r w:rsidR="003C7FB2">
        <w:t xml:space="preserve"> </w:t>
      </w:r>
      <w:r>
        <w:t>only</w:t>
      </w:r>
      <w:r w:rsidR="003C7FB2">
        <w:t xml:space="preserve"> </w:t>
      </w:r>
      <w:r>
        <w:t>used</w:t>
      </w:r>
      <w:r w:rsidR="003C7FB2">
        <w:t xml:space="preserve"> </w:t>
      </w:r>
      <w:r>
        <w:t>the</w:t>
      </w:r>
      <w:r w:rsidR="003C7FB2">
        <w:t xml:space="preserve"> </w:t>
      </w:r>
      <w:r>
        <w:t>car</w:t>
      </w:r>
      <w:r w:rsidR="003C7FB2">
        <w:t xml:space="preserve"> </w:t>
      </w:r>
      <w:r>
        <w:t>(Model</w:t>
      </w:r>
      <w:r w:rsidR="003C7FB2">
        <w:t xml:space="preserve"> </w:t>
      </w:r>
      <w:r>
        <w:t>B:</w:t>
      </w:r>
      <w:r w:rsidR="003C7FB2">
        <w:t xml:space="preserve"> </w:t>
      </w:r>
      <w:r>
        <w:t>women,</w:t>
      </w:r>
      <w:r w:rsidR="003C7FB2">
        <w:t xml:space="preserve"> </w:t>
      </w:r>
      <w:r>
        <w:t>-1.74%,</w:t>
      </w:r>
      <w:r w:rsidR="003C7FB2">
        <w:t xml:space="preserve"> </w:t>
      </w:r>
      <w:r>
        <w:t>95%</w:t>
      </w:r>
      <w:r w:rsidR="003C7FB2">
        <w:t xml:space="preserve"> </w:t>
      </w:r>
      <w:r>
        <w:t>CI:</w:t>
      </w:r>
      <w:r w:rsidR="003C7FB2">
        <w:t xml:space="preserve"> </w:t>
      </w:r>
      <w:r>
        <w:t>-2.27%</w:t>
      </w:r>
      <w:r w:rsidR="003C7FB2">
        <w:t xml:space="preserve"> </w:t>
      </w:r>
      <w:r>
        <w:t>to</w:t>
      </w:r>
      <w:r w:rsidR="003C7FB2">
        <w:t xml:space="preserve"> </w:t>
      </w:r>
      <w:r>
        <w:t>-0.76%;</w:t>
      </w:r>
      <w:r w:rsidR="003C7FB2">
        <w:t xml:space="preserve"> </w:t>
      </w:r>
      <w:r>
        <w:t>men</w:t>
      </w:r>
      <w:r w:rsidRPr="008208B4">
        <w:t>,</w:t>
      </w:r>
      <w:r w:rsidR="003C7FB2">
        <w:t xml:space="preserve"> </w:t>
      </w:r>
      <w:r>
        <w:t>-</w:t>
      </w:r>
      <w:r w:rsidRPr="008208B4">
        <w:rPr>
          <w:color w:val="000000"/>
        </w:rPr>
        <w:t>1.30</w:t>
      </w:r>
      <w:r>
        <w:rPr>
          <w:color w:val="000000"/>
        </w:rPr>
        <w:t>%,</w:t>
      </w:r>
      <w:r w:rsidR="003C7FB2">
        <w:rPr>
          <w:color w:val="000000"/>
        </w:rPr>
        <w:t xml:space="preserve"> </w:t>
      </w:r>
      <w:r>
        <w:rPr>
          <w:color w:val="000000"/>
        </w:rPr>
        <w:t>-2.26%</w:t>
      </w:r>
      <w:r w:rsidR="003C7FB2">
        <w:rPr>
          <w:color w:val="000000"/>
        </w:rPr>
        <w:t xml:space="preserve"> </w:t>
      </w:r>
      <w:r>
        <w:rPr>
          <w:color w:val="000000"/>
        </w:rPr>
        <w:t>to</w:t>
      </w:r>
      <w:r w:rsidR="003C7FB2">
        <w:rPr>
          <w:color w:val="000000"/>
        </w:rPr>
        <w:t xml:space="preserve"> </w:t>
      </w:r>
      <w:r>
        <w:rPr>
          <w:color w:val="000000"/>
        </w:rPr>
        <w:t>-0.33%).</w:t>
      </w:r>
      <w:r w:rsidR="003C7FB2">
        <w:t xml:space="preserve"> </w:t>
      </w:r>
      <w:r>
        <w:t>People</w:t>
      </w:r>
      <w:r w:rsidR="003C7FB2">
        <w:t xml:space="preserve"> </w:t>
      </w:r>
      <w:r>
        <w:t>who</w:t>
      </w:r>
      <w:r w:rsidR="003C7FB2">
        <w:t xml:space="preserve"> </w:t>
      </w:r>
      <w:r>
        <w:t>reported</w:t>
      </w:r>
      <w:r w:rsidR="003C7FB2">
        <w:t xml:space="preserve"> </w:t>
      </w:r>
      <w:r>
        <w:t>regularly</w:t>
      </w:r>
      <w:r w:rsidR="003C7FB2">
        <w:t xml:space="preserve"> </w:t>
      </w:r>
      <w:r>
        <w:t>walking</w:t>
      </w:r>
      <w:r w:rsidR="003C7FB2">
        <w:t xml:space="preserve"> </w:t>
      </w:r>
      <w:r>
        <w:t>did</w:t>
      </w:r>
      <w:r w:rsidR="003C7FB2">
        <w:t xml:space="preserve"> </w:t>
      </w:r>
      <w:r>
        <w:t>not</w:t>
      </w:r>
      <w:r w:rsidR="003C7FB2">
        <w:t xml:space="preserve"> </w:t>
      </w:r>
      <w:r>
        <w:t>have</w:t>
      </w:r>
      <w:r w:rsidR="003C7FB2">
        <w:t xml:space="preserve"> </w:t>
      </w:r>
      <w:r>
        <w:t>reduced</w:t>
      </w:r>
      <w:r w:rsidR="003C7FB2">
        <w:t xml:space="preserve"> </w:t>
      </w:r>
      <w:r>
        <w:t>body</w:t>
      </w:r>
      <w:r w:rsidR="003C7FB2">
        <w:t xml:space="preserve"> </w:t>
      </w:r>
      <w:r>
        <w:t>fat.</w:t>
      </w:r>
      <w:r w:rsidR="003C7FB2">
        <w:t xml:space="preserve"> </w:t>
      </w:r>
      <w:r>
        <w:t>Women</w:t>
      </w:r>
      <w:r w:rsidR="003C7FB2">
        <w:t xml:space="preserve"> </w:t>
      </w:r>
      <w:r>
        <w:t>who</w:t>
      </w:r>
      <w:r w:rsidR="003C7FB2">
        <w:t xml:space="preserve"> </w:t>
      </w:r>
      <w:r>
        <w:t>reported</w:t>
      </w:r>
      <w:r w:rsidR="003C7FB2">
        <w:t xml:space="preserve"> </w:t>
      </w:r>
      <w:r>
        <w:t>regular</w:t>
      </w:r>
      <w:r w:rsidR="003C7FB2">
        <w:t xml:space="preserve"> </w:t>
      </w:r>
      <w:r>
        <w:t>car-use</w:t>
      </w:r>
      <w:r w:rsidR="003C7FB2">
        <w:t xml:space="preserve"> </w:t>
      </w:r>
      <w:r>
        <w:t>combined</w:t>
      </w:r>
      <w:r w:rsidR="003C7FB2">
        <w:t xml:space="preserve"> </w:t>
      </w:r>
      <w:r>
        <w:t>with</w:t>
      </w:r>
      <w:r w:rsidR="003C7FB2">
        <w:t xml:space="preserve"> </w:t>
      </w:r>
      <w:r>
        <w:t>occasional</w:t>
      </w:r>
      <w:r w:rsidR="003C7FB2">
        <w:t xml:space="preserve"> </w:t>
      </w:r>
      <w:r>
        <w:t>walking</w:t>
      </w:r>
      <w:r w:rsidR="003C7FB2">
        <w:t xml:space="preserve"> </w:t>
      </w:r>
      <w:r>
        <w:t>had</w:t>
      </w:r>
      <w:r w:rsidR="003C7FB2">
        <w:t xml:space="preserve"> </w:t>
      </w:r>
      <w:r>
        <w:t>higher</w:t>
      </w:r>
      <w:r w:rsidR="003C7FB2">
        <w:t xml:space="preserve"> </w:t>
      </w:r>
      <w:r>
        <w:t>body</w:t>
      </w:r>
      <w:r w:rsidR="003C7FB2">
        <w:t xml:space="preserve"> </w:t>
      </w:r>
      <w:r>
        <w:t>fat</w:t>
      </w:r>
      <w:r w:rsidR="003C7FB2">
        <w:t xml:space="preserve"> </w:t>
      </w:r>
      <w:r>
        <w:t>than</w:t>
      </w:r>
      <w:r w:rsidR="003C7FB2">
        <w:t xml:space="preserve"> </w:t>
      </w:r>
      <w:r>
        <w:t>those</w:t>
      </w:r>
      <w:r w:rsidR="003C7FB2">
        <w:t xml:space="preserve"> </w:t>
      </w:r>
      <w:r>
        <w:t>who</w:t>
      </w:r>
      <w:r w:rsidR="003C7FB2">
        <w:t xml:space="preserve"> </w:t>
      </w:r>
      <w:r>
        <w:t>only</w:t>
      </w:r>
      <w:r w:rsidR="003C7FB2">
        <w:t xml:space="preserve"> </w:t>
      </w:r>
      <w:r>
        <w:t>used</w:t>
      </w:r>
      <w:r w:rsidR="003C7FB2">
        <w:t xml:space="preserve"> </w:t>
      </w:r>
      <w:r>
        <w:t>the</w:t>
      </w:r>
      <w:r w:rsidR="003C7FB2">
        <w:t xml:space="preserve"> </w:t>
      </w:r>
      <w:r>
        <w:t>car</w:t>
      </w:r>
      <w:r w:rsidR="003C7FB2">
        <w:t xml:space="preserve"> </w:t>
      </w:r>
      <w:r w:rsidRPr="008208B4">
        <w:t>(</w:t>
      </w:r>
      <w:r>
        <w:t>M</w:t>
      </w:r>
      <w:r w:rsidRPr="008208B4">
        <w:t>odel</w:t>
      </w:r>
      <w:r w:rsidR="003C7FB2">
        <w:t xml:space="preserve"> </w:t>
      </w:r>
      <w:r w:rsidRPr="008208B4">
        <w:t>B;</w:t>
      </w:r>
      <w:r w:rsidR="003C7FB2">
        <w:t xml:space="preserve"> </w:t>
      </w:r>
      <w:r w:rsidRPr="008208B4">
        <w:rPr>
          <w:color w:val="000000"/>
        </w:rPr>
        <w:t>1.34</w:t>
      </w:r>
      <w:r>
        <w:rPr>
          <w:color w:val="000000"/>
        </w:rPr>
        <w:t>%,</w:t>
      </w:r>
      <w:r w:rsidR="003C7FB2">
        <w:rPr>
          <w:color w:val="000000"/>
        </w:rPr>
        <w:t xml:space="preserve"> </w:t>
      </w:r>
      <w:r w:rsidRPr="008208B4">
        <w:rPr>
          <w:color w:val="000000"/>
        </w:rPr>
        <w:t>0.22</w:t>
      </w:r>
      <w:r>
        <w:rPr>
          <w:color w:val="000000"/>
        </w:rPr>
        <w:t>%</w:t>
      </w:r>
      <w:r w:rsidR="003C7FB2">
        <w:rPr>
          <w:color w:val="000000"/>
        </w:rPr>
        <w:t xml:space="preserve"> </w:t>
      </w:r>
      <w:r>
        <w:rPr>
          <w:color w:val="000000"/>
        </w:rPr>
        <w:t>to</w:t>
      </w:r>
      <w:r w:rsidR="003C7FB2">
        <w:rPr>
          <w:color w:val="000000"/>
        </w:rPr>
        <w:t xml:space="preserve"> </w:t>
      </w:r>
      <w:r w:rsidRPr="008208B4">
        <w:rPr>
          <w:color w:val="000000"/>
        </w:rPr>
        <w:t>2.47</w:t>
      </w:r>
      <w:r>
        <w:rPr>
          <w:color w:val="000000"/>
        </w:rPr>
        <w:t>%</w:t>
      </w:r>
      <w:r w:rsidRPr="008208B4">
        <w:rPr>
          <w:color w:val="000000"/>
        </w:rPr>
        <w:t>)</w:t>
      </w:r>
      <w:r>
        <w:rPr>
          <w:color w:val="000000"/>
        </w:rPr>
        <w:t>.</w:t>
      </w:r>
      <w:r w:rsidR="003C7FB2">
        <w:rPr>
          <w:color w:val="000000"/>
        </w:rPr>
        <w:t xml:space="preserve"> </w:t>
      </w:r>
    </w:p>
    <w:p w14:paraId="5C684D67" w14:textId="1559DDD8" w:rsidR="00F971D8" w:rsidRDefault="00F971D8" w:rsidP="00F971D8">
      <w:r>
        <w:t>Among</w:t>
      </w:r>
      <w:r w:rsidR="003C7FB2">
        <w:t xml:space="preserve"> </w:t>
      </w:r>
      <w:r>
        <w:t>those</w:t>
      </w:r>
      <w:r w:rsidR="003C7FB2">
        <w:t xml:space="preserve"> </w:t>
      </w:r>
      <w:r>
        <w:t>who</w:t>
      </w:r>
      <w:r w:rsidR="003C7FB2">
        <w:t xml:space="preserve"> </w:t>
      </w:r>
      <w:r>
        <w:t>lived</w:t>
      </w:r>
      <w:r w:rsidR="003C7FB2">
        <w:t xml:space="preserve"> </w:t>
      </w:r>
      <w:r>
        <w:t>five</w:t>
      </w:r>
      <w:r w:rsidR="003C7FB2">
        <w:t xml:space="preserve"> </w:t>
      </w:r>
      <w:r>
        <w:t>miles</w:t>
      </w:r>
      <w:r w:rsidR="003C7FB2">
        <w:t xml:space="preserve"> </w:t>
      </w:r>
      <w:r>
        <w:t>or</w:t>
      </w:r>
      <w:r w:rsidR="003C7FB2">
        <w:t xml:space="preserve"> </w:t>
      </w:r>
      <w:r>
        <w:t>further</w:t>
      </w:r>
      <w:r w:rsidR="003C7FB2">
        <w:t xml:space="preserve"> </w:t>
      </w:r>
      <w:r>
        <w:t>from</w:t>
      </w:r>
      <w:r w:rsidR="003C7FB2">
        <w:t xml:space="preserve"> </w:t>
      </w:r>
      <w:r>
        <w:t>work,</w:t>
      </w:r>
      <w:r w:rsidR="003C7FB2">
        <w:t xml:space="preserve"> </w:t>
      </w:r>
      <w:r>
        <w:t>people</w:t>
      </w:r>
      <w:r w:rsidR="003C7FB2">
        <w:t xml:space="preserve"> </w:t>
      </w:r>
      <w:r>
        <w:t>who</w:t>
      </w:r>
      <w:r w:rsidR="003C7FB2">
        <w:t xml:space="preserve"> </w:t>
      </w:r>
      <w:r>
        <w:t>reported</w:t>
      </w:r>
      <w:r w:rsidR="003C7FB2">
        <w:t xml:space="preserve"> </w:t>
      </w:r>
      <w:r>
        <w:t>regular</w:t>
      </w:r>
      <w:r w:rsidR="003C7FB2">
        <w:t xml:space="preserve"> </w:t>
      </w:r>
      <w:r>
        <w:t>car-use</w:t>
      </w:r>
      <w:r w:rsidR="003C7FB2">
        <w:t xml:space="preserve"> </w:t>
      </w:r>
      <w:r>
        <w:t>with</w:t>
      </w:r>
      <w:r w:rsidR="003C7FB2">
        <w:t xml:space="preserve"> </w:t>
      </w:r>
      <w:r>
        <w:t>active</w:t>
      </w:r>
      <w:r w:rsidR="003C7FB2">
        <w:t xml:space="preserve"> </w:t>
      </w:r>
      <w:r>
        <w:t>travel</w:t>
      </w:r>
      <w:r w:rsidR="003C7FB2">
        <w:t xml:space="preserve"> </w:t>
      </w:r>
      <w:r>
        <w:t>had</w:t>
      </w:r>
      <w:r w:rsidR="003C7FB2">
        <w:t xml:space="preserve"> </w:t>
      </w:r>
      <w:r>
        <w:t>lower</w:t>
      </w:r>
      <w:r w:rsidR="003C7FB2">
        <w:t xml:space="preserve"> </w:t>
      </w:r>
      <w:r>
        <w:t>body</w:t>
      </w:r>
      <w:r w:rsidR="003C7FB2">
        <w:t xml:space="preserve"> </w:t>
      </w:r>
      <w:r>
        <w:t>fat</w:t>
      </w:r>
      <w:r w:rsidR="003C7FB2">
        <w:t xml:space="preserve"> </w:t>
      </w:r>
      <w:r>
        <w:t>than</w:t>
      </w:r>
      <w:r w:rsidR="003C7FB2">
        <w:t xml:space="preserve"> </w:t>
      </w:r>
      <w:r>
        <w:t>those</w:t>
      </w:r>
      <w:r w:rsidR="003C7FB2">
        <w:t xml:space="preserve"> </w:t>
      </w:r>
      <w:r>
        <w:t>who</w:t>
      </w:r>
      <w:r w:rsidR="003C7FB2">
        <w:t xml:space="preserve"> </w:t>
      </w:r>
      <w:r>
        <w:t>only</w:t>
      </w:r>
      <w:r w:rsidR="003C7FB2">
        <w:t xml:space="preserve"> </w:t>
      </w:r>
      <w:r>
        <w:t>used</w:t>
      </w:r>
      <w:r w:rsidR="003C7FB2">
        <w:t xml:space="preserve"> </w:t>
      </w:r>
      <w:r>
        <w:t>the</w:t>
      </w:r>
      <w:r w:rsidR="003C7FB2">
        <w:t xml:space="preserve"> </w:t>
      </w:r>
      <w:r>
        <w:t>car</w:t>
      </w:r>
      <w:r w:rsidR="003C7FB2">
        <w:t xml:space="preserve"> </w:t>
      </w:r>
      <w:r>
        <w:t>(Model</w:t>
      </w:r>
      <w:r w:rsidR="003C7FB2">
        <w:t xml:space="preserve"> </w:t>
      </w:r>
      <w:r>
        <w:t>B:</w:t>
      </w:r>
      <w:r w:rsidR="003C7FB2">
        <w:t xml:space="preserve"> </w:t>
      </w:r>
      <w:r>
        <w:t>women;</w:t>
      </w:r>
      <w:r w:rsidR="003C7FB2">
        <w:t xml:space="preserve"> </w:t>
      </w:r>
      <w:r>
        <w:t>-1.18%,</w:t>
      </w:r>
      <w:r w:rsidR="003C7FB2">
        <w:t xml:space="preserve"> </w:t>
      </w:r>
      <w:r>
        <w:t>95%</w:t>
      </w:r>
      <w:r w:rsidR="003C7FB2">
        <w:t xml:space="preserve"> </w:t>
      </w:r>
      <w:r>
        <w:t>CI:</w:t>
      </w:r>
      <w:r w:rsidR="003C7FB2">
        <w:t xml:space="preserve"> </w:t>
      </w:r>
      <w:r>
        <w:t>-2.23%</w:t>
      </w:r>
      <w:r w:rsidR="003C7FB2">
        <w:t xml:space="preserve"> </w:t>
      </w:r>
      <w:r>
        <w:t>to</w:t>
      </w:r>
      <w:r w:rsidR="003C7FB2">
        <w:t xml:space="preserve"> </w:t>
      </w:r>
      <w:r>
        <w:t>-0.13%;</w:t>
      </w:r>
      <w:r w:rsidR="003C7FB2">
        <w:t xml:space="preserve"> </w:t>
      </w:r>
      <w:r>
        <w:t>men</w:t>
      </w:r>
      <w:r w:rsidRPr="008208B4">
        <w:t>,</w:t>
      </w:r>
      <w:r w:rsidR="003C7FB2">
        <w:t xml:space="preserve"> </w:t>
      </w:r>
      <w:r>
        <w:t>-</w:t>
      </w:r>
      <w:r w:rsidRPr="008208B4">
        <w:rPr>
          <w:color w:val="000000"/>
        </w:rPr>
        <w:t>1.</w:t>
      </w:r>
      <w:r>
        <w:rPr>
          <w:color w:val="000000"/>
        </w:rPr>
        <w:t>19%,</w:t>
      </w:r>
      <w:r w:rsidR="003C7FB2">
        <w:rPr>
          <w:color w:val="000000"/>
        </w:rPr>
        <w:t xml:space="preserve"> </w:t>
      </w:r>
      <w:r>
        <w:rPr>
          <w:color w:val="000000"/>
        </w:rPr>
        <w:t>-1</w:t>
      </w:r>
      <w:r w:rsidRPr="008208B4">
        <w:rPr>
          <w:color w:val="000000"/>
        </w:rPr>
        <w:t>.</w:t>
      </w:r>
      <w:r>
        <w:rPr>
          <w:color w:val="000000"/>
        </w:rPr>
        <w:t>93%</w:t>
      </w:r>
      <w:r w:rsidR="003C7FB2">
        <w:rPr>
          <w:color w:val="000000"/>
        </w:rPr>
        <w:t xml:space="preserve"> </w:t>
      </w:r>
      <w:r>
        <w:rPr>
          <w:color w:val="000000"/>
        </w:rPr>
        <w:t>to</w:t>
      </w:r>
      <w:r w:rsidR="003C7FB2">
        <w:rPr>
          <w:color w:val="000000"/>
        </w:rPr>
        <w:t xml:space="preserve"> </w:t>
      </w:r>
      <w:r>
        <w:rPr>
          <w:color w:val="000000"/>
        </w:rPr>
        <w:t>-0.44%)</w:t>
      </w:r>
      <w:r>
        <w:t>.</w:t>
      </w:r>
      <w:r w:rsidR="003C7FB2">
        <w:t xml:space="preserve"> </w:t>
      </w:r>
      <w:r>
        <w:t>Using</w:t>
      </w:r>
      <w:r w:rsidR="003C7FB2">
        <w:t xml:space="preserve"> </w:t>
      </w:r>
      <w:r>
        <w:t>the</w:t>
      </w:r>
      <w:r w:rsidR="003C7FB2">
        <w:t xml:space="preserve"> </w:t>
      </w:r>
      <w:r>
        <w:t>alternative</w:t>
      </w:r>
      <w:r w:rsidR="003C7FB2">
        <w:t xml:space="preserve"> </w:t>
      </w:r>
      <w:r>
        <w:t>four-category</w:t>
      </w:r>
      <w:r w:rsidR="003C7FB2">
        <w:t xml:space="preserve"> </w:t>
      </w:r>
      <w:r>
        <w:t>classification,</w:t>
      </w:r>
      <w:r w:rsidR="003C7FB2">
        <w:t xml:space="preserve"> </w:t>
      </w:r>
      <w:r>
        <w:t>only</w:t>
      </w:r>
      <w:r w:rsidR="003C7FB2">
        <w:t xml:space="preserve"> </w:t>
      </w:r>
      <w:r>
        <w:t>those</w:t>
      </w:r>
      <w:r w:rsidR="003C7FB2">
        <w:t xml:space="preserve"> </w:t>
      </w:r>
      <w:r>
        <w:t>who</w:t>
      </w:r>
      <w:r w:rsidR="003C7FB2">
        <w:t xml:space="preserve"> </w:t>
      </w:r>
      <w:r>
        <w:t>reported</w:t>
      </w:r>
      <w:r w:rsidR="003C7FB2">
        <w:t xml:space="preserve"> </w:t>
      </w:r>
      <w:r>
        <w:t>combining</w:t>
      </w:r>
      <w:r w:rsidR="003C7FB2">
        <w:t xml:space="preserve"> </w:t>
      </w:r>
      <w:r>
        <w:t>car</w:t>
      </w:r>
      <w:r w:rsidR="003C7FB2">
        <w:t xml:space="preserve"> </w:t>
      </w:r>
      <w:r>
        <w:t>or</w:t>
      </w:r>
      <w:r w:rsidR="003C7FB2">
        <w:t xml:space="preserve"> </w:t>
      </w:r>
      <w:r>
        <w:t>public</w:t>
      </w:r>
      <w:r w:rsidR="003C7FB2">
        <w:t xml:space="preserve"> </w:t>
      </w:r>
      <w:r>
        <w:t>transport</w:t>
      </w:r>
      <w:r w:rsidR="003C7FB2">
        <w:t xml:space="preserve"> </w:t>
      </w:r>
      <w:r>
        <w:t>with</w:t>
      </w:r>
      <w:r w:rsidR="003C7FB2">
        <w:t xml:space="preserve"> </w:t>
      </w:r>
      <w:r>
        <w:t>cycling</w:t>
      </w:r>
      <w:r w:rsidR="003C7FB2">
        <w:t xml:space="preserve"> </w:t>
      </w:r>
      <w:r>
        <w:t>had</w:t>
      </w:r>
      <w:r w:rsidR="003C7FB2">
        <w:t xml:space="preserve"> </w:t>
      </w:r>
      <w:r>
        <w:t>lower</w:t>
      </w:r>
      <w:r w:rsidR="003C7FB2">
        <w:t xml:space="preserve"> </w:t>
      </w:r>
      <w:r>
        <w:t>body</w:t>
      </w:r>
      <w:r w:rsidR="003C7FB2">
        <w:t xml:space="preserve"> </w:t>
      </w:r>
      <w:r>
        <w:t>fat</w:t>
      </w:r>
      <w:r w:rsidR="003C7FB2">
        <w:t xml:space="preserve"> </w:t>
      </w:r>
      <w:r>
        <w:t>than</w:t>
      </w:r>
      <w:r w:rsidR="003C7FB2">
        <w:t xml:space="preserve"> </w:t>
      </w:r>
      <w:r>
        <w:t>those</w:t>
      </w:r>
      <w:r w:rsidR="003C7FB2">
        <w:t xml:space="preserve"> </w:t>
      </w:r>
      <w:r>
        <w:t>who</w:t>
      </w:r>
      <w:r w:rsidR="003C7FB2">
        <w:t xml:space="preserve"> </w:t>
      </w:r>
      <w:r>
        <w:t>only</w:t>
      </w:r>
      <w:r w:rsidR="003C7FB2">
        <w:t xml:space="preserve"> </w:t>
      </w:r>
      <w:r>
        <w:t>used</w:t>
      </w:r>
      <w:r w:rsidR="003C7FB2">
        <w:t xml:space="preserve"> </w:t>
      </w:r>
      <w:r>
        <w:t>the</w:t>
      </w:r>
      <w:r w:rsidR="003C7FB2">
        <w:t xml:space="preserve"> </w:t>
      </w:r>
      <w:r>
        <w:t>car</w:t>
      </w:r>
      <w:r w:rsidR="003C7FB2">
        <w:t xml:space="preserve"> </w:t>
      </w:r>
      <w:r>
        <w:t>(Model</w:t>
      </w:r>
      <w:r w:rsidR="003C7FB2">
        <w:t xml:space="preserve"> </w:t>
      </w:r>
      <w:r>
        <w:t>B:</w:t>
      </w:r>
      <w:r w:rsidR="003C7FB2">
        <w:t xml:space="preserve"> </w:t>
      </w:r>
      <w:r>
        <w:t>women,</w:t>
      </w:r>
      <w:r w:rsidR="003C7FB2">
        <w:t xml:space="preserve"> </w:t>
      </w:r>
      <w:r>
        <w:t>-2.58%,</w:t>
      </w:r>
      <w:r w:rsidR="003C7FB2">
        <w:t xml:space="preserve"> </w:t>
      </w:r>
      <w:r>
        <w:t>-3.92%</w:t>
      </w:r>
      <w:r w:rsidR="003C7FB2">
        <w:t xml:space="preserve"> </w:t>
      </w:r>
      <w:r>
        <w:t>to</w:t>
      </w:r>
      <w:r w:rsidR="003C7FB2">
        <w:t xml:space="preserve"> </w:t>
      </w:r>
      <w:r>
        <w:t>-1.20%;</w:t>
      </w:r>
      <w:r w:rsidR="003C7FB2">
        <w:t xml:space="preserve"> </w:t>
      </w:r>
      <w:r>
        <w:t>men,</w:t>
      </w:r>
      <w:r w:rsidR="003C7FB2">
        <w:t xml:space="preserve"> </w:t>
      </w:r>
      <w:r>
        <w:t>-1.71%,</w:t>
      </w:r>
      <w:r w:rsidR="003C7FB2">
        <w:t xml:space="preserve"> </w:t>
      </w:r>
      <w:r>
        <w:t>-2.50%</w:t>
      </w:r>
      <w:r w:rsidR="003C7FB2">
        <w:t xml:space="preserve"> </w:t>
      </w:r>
      <w:r>
        <w:t>to</w:t>
      </w:r>
      <w:r w:rsidR="003C7FB2">
        <w:t xml:space="preserve"> </w:t>
      </w:r>
      <w:r>
        <w:t>-0.92%;</w:t>
      </w:r>
      <w:r w:rsidR="003C7FB2">
        <w:t xml:space="preserve"> </w:t>
      </w:r>
      <w:r>
        <w:t>Appendix,</w:t>
      </w:r>
      <w:r w:rsidR="003C7FB2">
        <w:t xml:space="preserve"> </w:t>
      </w:r>
      <w:r>
        <w:t>Table</w:t>
      </w:r>
      <w:r w:rsidR="003C7FB2">
        <w:t xml:space="preserve"> </w:t>
      </w:r>
      <w:r>
        <w:t>A4).</w:t>
      </w:r>
      <w:r w:rsidR="003C7FB2">
        <w:t xml:space="preserve"> </w:t>
      </w:r>
    </w:p>
    <w:p w14:paraId="286E3EE3" w14:textId="07EBCE66" w:rsidR="00F971D8" w:rsidRDefault="00F971D8" w:rsidP="00F971D8">
      <w:r>
        <w:t>Adjustment</w:t>
      </w:r>
      <w:r w:rsidR="003C7FB2">
        <w:t xml:space="preserve"> </w:t>
      </w:r>
      <w:r>
        <w:t>for</w:t>
      </w:r>
      <w:r w:rsidR="003C7FB2">
        <w:t xml:space="preserve"> </w:t>
      </w:r>
      <w:r>
        <w:t>self-reported</w:t>
      </w:r>
      <w:r w:rsidR="003C7FB2">
        <w:t xml:space="preserve"> </w:t>
      </w:r>
      <w:r>
        <w:t>physical</w:t>
      </w:r>
      <w:r w:rsidR="003C7FB2">
        <w:t xml:space="preserve"> </w:t>
      </w:r>
      <w:r>
        <w:t>activity</w:t>
      </w:r>
      <w:r w:rsidR="003C7FB2">
        <w:t xml:space="preserve"> </w:t>
      </w:r>
      <w:r>
        <w:t>(Model</w:t>
      </w:r>
      <w:r w:rsidR="003C7FB2">
        <w:t xml:space="preserve"> </w:t>
      </w:r>
      <w:r>
        <w:t>B</w:t>
      </w:r>
      <w:r w:rsidR="003C7FB2">
        <w:t xml:space="preserve"> </w:t>
      </w:r>
      <w:r>
        <w:t>vs</w:t>
      </w:r>
      <w:r w:rsidR="003C7FB2">
        <w:t xml:space="preserve"> </w:t>
      </w:r>
      <w:r>
        <w:t>Model</w:t>
      </w:r>
      <w:r w:rsidR="003C7FB2">
        <w:t xml:space="preserve"> </w:t>
      </w:r>
      <w:r>
        <w:t>A)</w:t>
      </w:r>
      <w:r w:rsidR="003C7FB2">
        <w:t xml:space="preserve"> </w:t>
      </w:r>
      <w:r>
        <w:t>and</w:t>
      </w:r>
      <w:r w:rsidR="003C7FB2">
        <w:t xml:space="preserve"> </w:t>
      </w:r>
      <w:r>
        <w:t>objective</w:t>
      </w:r>
      <w:r w:rsidR="003C7FB2">
        <w:t xml:space="preserve"> </w:t>
      </w:r>
      <w:r>
        <w:t>PAEE</w:t>
      </w:r>
      <w:r w:rsidR="003C7FB2">
        <w:t xml:space="preserve"> </w:t>
      </w:r>
      <w:r>
        <w:t>(Model</w:t>
      </w:r>
      <w:r w:rsidR="003C7FB2">
        <w:t xml:space="preserve"> </w:t>
      </w:r>
      <w:r>
        <w:t>B’</w:t>
      </w:r>
      <w:r w:rsidR="003C7FB2">
        <w:t xml:space="preserve"> </w:t>
      </w:r>
      <w:r>
        <w:t>vs</w:t>
      </w:r>
      <w:r w:rsidR="003C7FB2">
        <w:t xml:space="preserve"> </w:t>
      </w:r>
      <w:r>
        <w:t>Model</w:t>
      </w:r>
      <w:r w:rsidR="003C7FB2">
        <w:t xml:space="preserve"> </w:t>
      </w:r>
      <w:r>
        <w:t>A)</w:t>
      </w:r>
      <w:r w:rsidR="003C7FB2">
        <w:t xml:space="preserve"> </w:t>
      </w:r>
      <w:r>
        <w:t>tended</w:t>
      </w:r>
      <w:r w:rsidR="003C7FB2">
        <w:t xml:space="preserve"> </w:t>
      </w:r>
      <w:r>
        <w:t>to</w:t>
      </w:r>
      <w:r w:rsidR="003C7FB2">
        <w:t xml:space="preserve"> </w:t>
      </w:r>
      <w:r>
        <w:t>attenuate</w:t>
      </w:r>
      <w:r w:rsidR="003C7FB2">
        <w:t xml:space="preserve"> </w:t>
      </w:r>
      <w:r>
        <w:t>the</w:t>
      </w:r>
      <w:r w:rsidR="003C7FB2">
        <w:t xml:space="preserve"> </w:t>
      </w:r>
      <w:r>
        <w:t>reported</w:t>
      </w:r>
      <w:r w:rsidR="003C7FB2">
        <w:t xml:space="preserve"> </w:t>
      </w:r>
      <w:r>
        <w:t>associations</w:t>
      </w:r>
      <w:r w:rsidR="003C7FB2">
        <w:t xml:space="preserve"> </w:t>
      </w:r>
      <w:r>
        <w:t>but</w:t>
      </w:r>
      <w:r w:rsidR="003C7FB2">
        <w:t xml:space="preserve"> </w:t>
      </w:r>
      <w:r>
        <w:t>did</w:t>
      </w:r>
      <w:r w:rsidR="003C7FB2">
        <w:t xml:space="preserve"> </w:t>
      </w:r>
      <w:r>
        <w:t>not</w:t>
      </w:r>
      <w:r w:rsidR="003C7FB2">
        <w:t xml:space="preserve"> </w:t>
      </w:r>
      <w:r>
        <w:t>alter</w:t>
      </w:r>
      <w:r w:rsidR="003C7FB2">
        <w:t xml:space="preserve"> </w:t>
      </w:r>
      <w:r>
        <w:t>their</w:t>
      </w:r>
      <w:r w:rsidR="003C7FB2">
        <w:t xml:space="preserve"> </w:t>
      </w:r>
      <w:r>
        <w:t>statistical</w:t>
      </w:r>
      <w:r w:rsidR="003C7FB2">
        <w:t xml:space="preserve"> </w:t>
      </w:r>
      <w:r>
        <w:t>significance.</w:t>
      </w:r>
    </w:p>
    <w:p w14:paraId="0B552490" w14:textId="77777777" w:rsidR="00F971D8" w:rsidRDefault="00F971D8" w:rsidP="00F971D8">
      <w:pPr>
        <w:rPr>
          <w:color w:val="000000"/>
        </w:rPr>
      </w:pPr>
    </w:p>
    <w:p w14:paraId="5922030C" w14:textId="6FE11045" w:rsidR="00F971D8" w:rsidRDefault="00F971D8"/>
    <w:p w14:paraId="522EAF9D" w14:textId="77777777" w:rsidR="00F971D8" w:rsidRDefault="00F971D8">
      <w:pPr>
        <w:rPr>
          <w:b/>
        </w:rPr>
      </w:pPr>
      <w:r>
        <w:rPr>
          <w:b/>
        </w:rPr>
        <w:br w:type="page"/>
      </w:r>
    </w:p>
    <w:p w14:paraId="270AE552" w14:textId="2767AF5E" w:rsidR="00F971D8" w:rsidRPr="00136D4E" w:rsidRDefault="00F971D8" w:rsidP="00F971D8">
      <w:pPr>
        <w:rPr>
          <w:b/>
        </w:rPr>
      </w:pPr>
      <w:r>
        <w:rPr>
          <w:b/>
        </w:rPr>
        <w:t>Table</w:t>
      </w:r>
      <w:r w:rsidR="003C7FB2">
        <w:rPr>
          <w:b/>
        </w:rPr>
        <w:t xml:space="preserve"> </w:t>
      </w:r>
      <w:r>
        <w:rPr>
          <w:b/>
        </w:rPr>
        <w:t>1</w:t>
      </w:r>
      <w:r w:rsidRPr="00136D4E">
        <w:rPr>
          <w:b/>
        </w:rPr>
        <w:t>:</w:t>
      </w:r>
      <w:r w:rsidR="003C7FB2">
        <w:rPr>
          <w:b/>
        </w:rPr>
        <w:t xml:space="preserve"> </w:t>
      </w:r>
      <w:r w:rsidRPr="00136D4E">
        <w:rPr>
          <w:b/>
        </w:rPr>
        <w:t>Descriptive</w:t>
      </w:r>
      <w:r w:rsidR="003C7FB2">
        <w:rPr>
          <w:b/>
        </w:rPr>
        <w:t xml:space="preserve"> </w:t>
      </w:r>
      <w:r>
        <w:rPr>
          <w:b/>
        </w:rPr>
        <w:t>c</w:t>
      </w:r>
      <w:r w:rsidRPr="00136D4E">
        <w:rPr>
          <w:b/>
        </w:rPr>
        <w:t>haracteristics</w:t>
      </w:r>
      <w:r w:rsidR="003C7FB2">
        <w:rPr>
          <w:b/>
        </w:rPr>
        <w:t xml:space="preserve"> </w:t>
      </w:r>
      <w:r>
        <w:rPr>
          <w:b/>
        </w:rPr>
        <w:t>of</w:t>
      </w:r>
      <w:r w:rsidR="003C7FB2">
        <w:rPr>
          <w:b/>
        </w:rPr>
        <w:t xml:space="preserve"> </w:t>
      </w:r>
      <w:r>
        <w:rPr>
          <w:b/>
        </w:rPr>
        <w:t>participants</w:t>
      </w:r>
      <w:r w:rsidR="003C7FB2">
        <w:rPr>
          <w:b/>
        </w:rPr>
        <w:t xml:space="preserve"> </w:t>
      </w:r>
      <w:r>
        <w:rPr>
          <w:b/>
        </w:rPr>
        <w:t>included</w:t>
      </w:r>
      <w:r w:rsidR="003C7FB2">
        <w:rPr>
          <w:b/>
        </w:rPr>
        <w:t xml:space="preserve"> </w:t>
      </w:r>
      <w:r>
        <w:rPr>
          <w:b/>
        </w:rPr>
        <w:t>in</w:t>
      </w:r>
      <w:r w:rsidR="003C7FB2">
        <w:rPr>
          <w:b/>
        </w:rPr>
        <w:t xml:space="preserve"> </w:t>
      </w:r>
      <w:r>
        <w:rPr>
          <w:b/>
        </w:rPr>
        <w:t>the</w:t>
      </w:r>
      <w:r w:rsidR="003C7FB2">
        <w:rPr>
          <w:b/>
        </w:rPr>
        <w:t xml:space="preserve"> </w:t>
      </w:r>
      <w:r>
        <w:rPr>
          <w:b/>
        </w:rPr>
        <w:t>analysis</w:t>
      </w:r>
      <w:r w:rsidR="003C7FB2">
        <w:rPr>
          <w:b/>
        </w:rPr>
        <w:t xml:space="preserve"> </w:t>
      </w:r>
      <w:r>
        <w:rPr>
          <w:b/>
        </w:rPr>
        <w:t>of</w:t>
      </w:r>
      <w:r w:rsidR="003C7FB2">
        <w:rPr>
          <w:b/>
        </w:rPr>
        <w:t xml:space="preserve"> </w:t>
      </w:r>
      <w:r>
        <w:rPr>
          <w:b/>
        </w:rPr>
        <w:t>percentage</w:t>
      </w:r>
      <w:r w:rsidR="003C7FB2">
        <w:rPr>
          <w:b/>
        </w:rPr>
        <w:t xml:space="preserve"> </w:t>
      </w:r>
      <w:r>
        <w:rPr>
          <w:b/>
        </w:rPr>
        <w:t>body</w:t>
      </w:r>
      <w:r w:rsidR="003C7FB2">
        <w:rPr>
          <w:b/>
        </w:rPr>
        <w:t xml:space="preserve"> </w:t>
      </w:r>
      <w:r>
        <w:rPr>
          <w:b/>
        </w:rPr>
        <w:t>fat</w:t>
      </w:r>
      <w:r w:rsidR="003C7FB2">
        <w:rPr>
          <w:b/>
        </w:rPr>
        <w:t xml:space="preserve"> </w:t>
      </w:r>
      <w:r>
        <w:rPr>
          <w:b/>
        </w:rPr>
        <w:t>(n=7,680)</w:t>
      </w:r>
    </w:p>
    <w:tbl>
      <w:tblPr>
        <w:tblStyle w:val="TableGrid"/>
        <w:tblW w:w="0" w:type="auto"/>
        <w:tblLook w:val="04A0" w:firstRow="1" w:lastRow="0" w:firstColumn="1" w:lastColumn="0" w:noHBand="0" w:noVBand="1"/>
      </w:tblPr>
      <w:tblGrid>
        <w:gridCol w:w="1492"/>
        <w:gridCol w:w="1338"/>
        <w:gridCol w:w="1418"/>
        <w:gridCol w:w="1276"/>
        <w:gridCol w:w="1417"/>
        <w:gridCol w:w="1276"/>
      </w:tblGrid>
      <w:tr w:rsidR="00F971D8" w:rsidRPr="00BD307E" w14:paraId="0CBD7CAD" w14:textId="77777777" w:rsidTr="00D9387F">
        <w:tc>
          <w:tcPr>
            <w:tcW w:w="1492" w:type="dxa"/>
          </w:tcPr>
          <w:p w14:paraId="680C336F" w14:textId="77777777" w:rsidR="00F971D8" w:rsidRPr="00BD307E" w:rsidRDefault="00F971D8" w:rsidP="00D9387F">
            <w:pPr>
              <w:rPr>
                <w:sz w:val="14"/>
                <w:szCs w:val="14"/>
              </w:rPr>
            </w:pPr>
          </w:p>
        </w:tc>
        <w:tc>
          <w:tcPr>
            <w:tcW w:w="2756" w:type="dxa"/>
            <w:gridSpan w:val="2"/>
          </w:tcPr>
          <w:p w14:paraId="371E0F74" w14:textId="09EB18BE" w:rsidR="00F971D8" w:rsidRPr="00BD307E" w:rsidRDefault="00F971D8" w:rsidP="00D9387F">
            <w:pPr>
              <w:rPr>
                <w:b/>
                <w:sz w:val="14"/>
                <w:szCs w:val="14"/>
              </w:rPr>
            </w:pPr>
            <w:r w:rsidRPr="00BD307E">
              <w:rPr>
                <w:b/>
                <w:sz w:val="14"/>
                <w:szCs w:val="14"/>
              </w:rPr>
              <w:t>People</w:t>
            </w:r>
            <w:r w:rsidR="003C7FB2">
              <w:rPr>
                <w:b/>
                <w:sz w:val="14"/>
                <w:szCs w:val="14"/>
              </w:rPr>
              <w:t xml:space="preserve"> </w:t>
            </w:r>
            <w:r w:rsidRPr="00BD307E">
              <w:rPr>
                <w:b/>
                <w:sz w:val="14"/>
                <w:szCs w:val="14"/>
              </w:rPr>
              <w:t>living</w:t>
            </w:r>
            <w:r w:rsidR="003C7FB2">
              <w:rPr>
                <w:b/>
                <w:sz w:val="14"/>
                <w:szCs w:val="14"/>
              </w:rPr>
              <w:t xml:space="preserve"> </w:t>
            </w:r>
            <w:r w:rsidRPr="00BD307E">
              <w:rPr>
                <w:b/>
                <w:sz w:val="14"/>
                <w:szCs w:val="14"/>
              </w:rPr>
              <w:t>within</w:t>
            </w:r>
            <w:r w:rsidR="003C7FB2">
              <w:rPr>
                <w:b/>
                <w:sz w:val="14"/>
                <w:szCs w:val="14"/>
              </w:rPr>
              <w:t xml:space="preserve"> </w:t>
            </w:r>
            <w:r w:rsidRPr="00BD307E">
              <w:rPr>
                <w:b/>
                <w:sz w:val="14"/>
                <w:szCs w:val="14"/>
              </w:rPr>
              <w:t>5</w:t>
            </w:r>
            <w:r w:rsidR="003C7FB2">
              <w:rPr>
                <w:b/>
                <w:sz w:val="14"/>
                <w:szCs w:val="14"/>
              </w:rPr>
              <w:t xml:space="preserve"> </w:t>
            </w:r>
            <w:r w:rsidRPr="00BD307E">
              <w:rPr>
                <w:b/>
                <w:sz w:val="14"/>
                <w:szCs w:val="14"/>
              </w:rPr>
              <w:t>miles</w:t>
            </w:r>
            <w:r w:rsidR="003C7FB2">
              <w:rPr>
                <w:b/>
                <w:sz w:val="14"/>
                <w:szCs w:val="14"/>
              </w:rPr>
              <w:t xml:space="preserve"> </w:t>
            </w:r>
            <w:r w:rsidRPr="00BD307E">
              <w:rPr>
                <w:b/>
                <w:sz w:val="14"/>
                <w:szCs w:val="14"/>
              </w:rPr>
              <w:t>of</w:t>
            </w:r>
            <w:r w:rsidR="003C7FB2">
              <w:rPr>
                <w:b/>
                <w:sz w:val="14"/>
                <w:szCs w:val="14"/>
              </w:rPr>
              <w:t xml:space="preserve"> </w:t>
            </w:r>
            <w:r w:rsidRPr="00BD307E">
              <w:rPr>
                <w:b/>
                <w:sz w:val="14"/>
                <w:szCs w:val="14"/>
              </w:rPr>
              <w:t>work</w:t>
            </w:r>
          </w:p>
        </w:tc>
        <w:tc>
          <w:tcPr>
            <w:tcW w:w="2693" w:type="dxa"/>
            <w:gridSpan w:val="2"/>
          </w:tcPr>
          <w:p w14:paraId="17439EB9" w14:textId="372BEE4C" w:rsidR="00F971D8" w:rsidRPr="00BD307E" w:rsidRDefault="00F971D8" w:rsidP="00D9387F">
            <w:pPr>
              <w:rPr>
                <w:b/>
                <w:sz w:val="14"/>
                <w:szCs w:val="14"/>
              </w:rPr>
            </w:pPr>
            <w:r w:rsidRPr="00BD307E">
              <w:rPr>
                <w:b/>
                <w:sz w:val="14"/>
                <w:szCs w:val="14"/>
              </w:rPr>
              <w:t>People</w:t>
            </w:r>
            <w:r w:rsidR="003C7FB2">
              <w:rPr>
                <w:b/>
                <w:sz w:val="14"/>
                <w:szCs w:val="14"/>
              </w:rPr>
              <w:t xml:space="preserve"> </w:t>
            </w:r>
            <w:r w:rsidRPr="00BD307E">
              <w:rPr>
                <w:b/>
                <w:sz w:val="14"/>
                <w:szCs w:val="14"/>
              </w:rPr>
              <w:t>living</w:t>
            </w:r>
            <w:r w:rsidR="003C7FB2">
              <w:rPr>
                <w:b/>
                <w:sz w:val="14"/>
                <w:szCs w:val="14"/>
              </w:rPr>
              <w:t xml:space="preserve"> </w:t>
            </w:r>
            <w:r w:rsidRPr="00BD307E">
              <w:rPr>
                <w:b/>
                <w:sz w:val="14"/>
                <w:szCs w:val="14"/>
              </w:rPr>
              <w:t>5</w:t>
            </w:r>
            <w:r w:rsidR="003C7FB2">
              <w:rPr>
                <w:b/>
                <w:sz w:val="14"/>
                <w:szCs w:val="14"/>
              </w:rPr>
              <w:t xml:space="preserve"> </w:t>
            </w:r>
            <w:r w:rsidRPr="00BD307E">
              <w:rPr>
                <w:b/>
                <w:sz w:val="14"/>
                <w:szCs w:val="14"/>
              </w:rPr>
              <w:t>miles</w:t>
            </w:r>
            <w:r w:rsidR="003C7FB2">
              <w:rPr>
                <w:b/>
                <w:sz w:val="14"/>
                <w:szCs w:val="14"/>
              </w:rPr>
              <w:t xml:space="preserve"> </w:t>
            </w:r>
            <w:r w:rsidRPr="00BD307E">
              <w:rPr>
                <w:b/>
                <w:sz w:val="14"/>
                <w:szCs w:val="14"/>
              </w:rPr>
              <w:t>or</w:t>
            </w:r>
            <w:r w:rsidR="003C7FB2">
              <w:rPr>
                <w:b/>
                <w:sz w:val="14"/>
                <w:szCs w:val="14"/>
              </w:rPr>
              <w:t xml:space="preserve"> </w:t>
            </w:r>
            <w:r w:rsidRPr="00BD307E">
              <w:rPr>
                <w:b/>
                <w:sz w:val="14"/>
                <w:szCs w:val="14"/>
              </w:rPr>
              <w:t>further</w:t>
            </w:r>
            <w:r w:rsidR="003C7FB2">
              <w:rPr>
                <w:b/>
                <w:sz w:val="14"/>
                <w:szCs w:val="14"/>
              </w:rPr>
              <w:t xml:space="preserve"> </w:t>
            </w:r>
            <w:r w:rsidRPr="00BD307E">
              <w:rPr>
                <w:b/>
                <w:sz w:val="14"/>
                <w:szCs w:val="14"/>
              </w:rPr>
              <w:t>from</w:t>
            </w:r>
            <w:r w:rsidR="003C7FB2">
              <w:rPr>
                <w:b/>
                <w:sz w:val="14"/>
                <w:szCs w:val="14"/>
              </w:rPr>
              <w:t xml:space="preserve"> </w:t>
            </w:r>
            <w:r w:rsidRPr="00BD307E">
              <w:rPr>
                <w:b/>
                <w:sz w:val="14"/>
                <w:szCs w:val="14"/>
              </w:rPr>
              <w:t>work</w:t>
            </w:r>
          </w:p>
        </w:tc>
        <w:tc>
          <w:tcPr>
            <w:tcW w:w="1276" w:type="dxa"/>
          </w:tcPr>
          <w:p w14:paraId="182CE0EC" w14:textId="77777777" w:rsidR="00F971D8" w:rsidRPr="00BD307E" w:rsidRDefault="00F971D8" w:rsidP="00D9387F">
            <w:pPr>
              <w:rPr>
                <w:b/>
                <w:sz w:val="14"/>
                <w:szCs w:val="14"/>
              </w:rPr>
            </w:pPr>
            <w:r w:rsidRPr="00BD307E">
              <w:rPr>
                <w:b/>
                <w:sz w:val="14"/>
                <w:szCs w:val="14"/>
              </w:rPr>
              <w:t>Total</w:t>
            </w:r>
          </w:p>
        </w:tc>
      </w:tr>
      <w:tr w:rsidR="00F971D8" w:rsidRPr="00BD307E" w14:paraId="4B27ABB2" w14:textId="77777777" w:rsidTr="00D9387F">
        <w:tc>
          <w:tcPr>
            <w:tcW w:w="1492" w:type="dxa"/>
          </w:tcPr>
          <w:p w14:paraId="5C64C280" w14:textId="77777777" w:rsidR="00F971D8" w:rsidRPr="00BD307E" w:rsidRDefault="00F971D8" w:rsidP="00D9387F">
            <w:pPr>
              <w:rPr>
                <w:sz w:val="14"/>
                <w:szCs w:val="14"/>
              </w:rPr>
            </w:pPr>
          </w:p>
        </w:tc>
        <w:tc>
          <w:tcPr>
            <w:tcW w:w="1338" w:type="dxa"/>
          </w:tcPr>
          <w:p w14:paraId="2086978C" w14:textId="77777777" w:rsidR="00F971D8" w:rsidRPr="00BD307E" w:rsidRDefault="00F971D8" w:rsidP="00D9387F">
            <w:pPr>
              <w:rPr>
                <w:b/>
                <w:sz w:val="14"/>
                <w:szCs w:val="14"/>
              </w:rPr>
            </w:pPr>
            <w:r w:rsidRPr="00BD307E">
              <w:rPr>
                <w:b/>
                <w:sz w:val="14"/>
                <w:szCs w:val="14"/>
              </w:rPr>
              <w:t>Women</w:t>
            </w:r>
          </w:p>
          <w:p w14:paraId="667090AD" w14:textId="77777777" w:rsidR="00F971D8" w:rsidRPr="00BD307E" w:rsidRDefault="00F971D8" w:rsidP="00D9387F">
            <w:pPr>
              <w:rPr>
                <w:b/>
                <w:sz w:val="14"/>
                <w:szCs w:val="14"/>
              </w:rPr>
            </w:pPr>
            <w:r>
              <w:rPr>
                <w:b/>
                <w:sz w:val="14"/>
                <w:szCs w:val="14"/>
              </w:rPr>
              <w:t>(n=1,999</w:t>
            </w:r>
            <w:r w:rsidRPr="00BD307E">
              <w:rPr>
                <w:b/>
                <w:sz w:val="14"/>
                <w:szCs w:val="14"/>
              </w:rPr>
              <w:t>)</w:t>
            </w:r>
          </w:p>
        </w:tc>
        <w:tc>
          <w:tcPr>
            <w:tcW w:w="1418" w:type="dxa"/>
          </w:tcPr>
          <w:p w14:paraId="076B2D3E" w14:textId="77777777" w:rsidR="00F971D8" w:rsidRPr="00BD307E" w:rsidRDefault="00F971D8" w:rsidP="00D9387F">
            <w:pPr>
              <w:rPr>
                <w:b/>
                <w:sz w:val="14"/>
                <w:szCs w:val="14"/>
              </w:rPr>
            </w:pPr>
            <w:r w:rsidRPr="00BD307E">
              <w:rPr>
                <w:b/>
                <w:sz w:val="14"/>
                <w:szCs w:val="14"/>
              </w:rPr>
              <w:t>Men</w:t>
            </w:r>
          </w:p>
          <w:p w14:paraId="35B368AF" w14:textId="77777777" w:rsidR="00F971D8" w:rsidRPr="00BD307E" w:rsidRDefault="00F971D8" w:rsidP="00D9387F">
            <w:pPr>
              <w:rPr>
                <w:b/>
                <w:sz w:val="14"/>
                <w:szCs w:val="14"/>
              </w:rPr>
            </w:pPr>
            <w:r w:rsidRPr="00BD307E">
              <w:rPr>
                <w:b/>
                <w:sz w:val="14"/>
                <w:szCs w:val="14"/>
              </w:rPr>
              <w:t>(n=1,2</w:t>
            </w:r>
            <w:r>
              <w:rPr>
                <w:b/>
                <w:sz w:val="14"/>
                <w:szCs w:val="14"/>
              </w:rPr>
              <w:t>6</w:t>
            </w:r>
            <w:r w:rsidRPr="00BD307E">
              <w:rPr>
                <w:b/>
                <w:sz w:val="14"/>
                <w:szCs w:val="14"/>
              </w:rPr>
              <w:t>8)</w:t>
            </w:r>
          </w:p>
        </w:tc>
        <w:tc>
          <w:tcPr>
            <w:tcW w:w="1276" w:type="dxa"/>
          </w:tcPr>
          <w:p w14:paraId="3EC3CE27" w14:textId="77777777" w:rsidR="00F971D8" w:rsidRPr="00BD307E" w:rsidRDefault="00F971D8" w:rsidP="00D9387F">
            <w:pPr>
              <w:rPr>
                <w:b/>
                <w:sz w:val="14"/>
                <w:szCs w:val="14"/>
              </w:rPr>
            </w:pPr>
            <w:r w:rsidRPr="00BD307E">
              <w:rPr>
                <w:b/>
                <w:sz w:val="14"/>
                <w:szCs w:val="14"/>
              </w:rPr>
              <w:t>Women</w:t>
            </w:r>
          </w:p>
          <w:p w14:paraId="78C87A11" w14:textId="77777777" w:rsidR="00F971D8" w:rsidRPr="00BD307E" w:rsidRDefault="00F971D8" w:rsidP="00D9387F">
            <w:pPr>
              <w:rPr>
                <w:b/>
                <w:sz w:val="14"/>
                <w:szCs w:val="14"/>
              </w:rPr>
            </w:pPr>
            <w:r>
              <w:rPr>
                <w:b/>
                <w:sz w:val="14"/>
                <w:szCs w:val="14"/>
              </w:rPr>
              <w:t>(n=1,950</w:t>
            </w:r>
            <w:r w:rsidRPr="00BD307E">
              <w:rPr>
                <w:b/>
                <w:sz w:val="14"/>
                <w:szCs w:val="14"/>
              </w:rPr>
              <w:t>)</w:t>
            </w:r>
          </w:p>
        </w:tc>
        <w:tc>
          <w:tcPr>
            <w:tcW w:w="1417" w:type="dxa"/>
          </w:tcPr>
          <w:p w14:paraId="3DFFDE74" w14:textId="77777777" w:rsidR="00F971D8" w:rsidRPr="00BD307E" w:rsidRDefault="00F971D8" w:rsidP="00D9387F">
            <w:pPr>
              <w:rPr>
                <w:b/>
                <w:sz w:val="14"/>
                <w:szCs w:val="14"/>
              </w:rPr>
            </w:pPr>
            <w:r w:rsidRPr="00BD307E">
              <w:rPr>
                <w:b/>
                <w:sz w:val="14"/>
                <w:szCs w:val="14"/>
              </w:rPr>
              <w:t>Men</w:t>
            </w:r>
          </w:p>
          <w:p w14:paraId="1C05E0C9" w14:textId="77777777" w:rsidR="00F971D8" w:rsidRPr="00BD307E" w:rsidRDefault="00F971D8" w:rsidP="00D9387F">
            <w:pPr>
              <w:rPr>
                <w:b/>
                <w:sz w:val="14"/>
                <w:szCs w:val="14"/>
              </w:rPr>
            </w:pPr>
            <w:r>
              <w:rPr>
                <w:b/>
                <w:sz w:val="14"/>
                <w:szCs w:val="14"/>
              </w:rPr>
              <w:t>(n=2,463</w:t>
            </w:r>
            <w:r w:rsidRPr="00BD307E">
              <w:rPr>
                <w:b/>
                <w:sz w:val="14"/>
                <w:szCs w:val="14"/>
              </w:rPr>
              <w:t>)</w:t>
            </w:r>
          </w:p>
        </w:tc>
        <w:tc>
          <w:tcPr>
            <w:tcW w:w="1276" w:type="dxa"/>
          </w:tcPr>
          <w:p w14:paraId="288D2DED" w14:textId="77777777" w:rsidR="00F971D8" w:rsidRPr="00BD307E" w:rsidRDefault="00F971D8" w:rsidP="00D9387F">
            <w:pPr>
              <w:rPr>
                <w:b/>
                <w:sz w:val="14"/>
                <w:szCs w:val="14"/>
              </w:rPr>
            </w:pPr>
          </w:p>
        </w:tc>
      </w:tr>
      <w:tr w:rsidR="00F971D8" w:rsidRPr="00BD307E" w14:paraId="20BD5685" w14:textId="77777777" w:rsidTr="00D9387F">
        <w:tc>
          <w:tcPr>
            <w:tcW w:w="1492" w:type="dxa"/>
          </w:tcPr>
          <w:p w14:paraId="4BF2BA42" w14:textId="5C7EE7D9" w:rsidR="00F971D8" w:rsidRPr="00BD307E" w:rsidRDefault="00F971D8" w:rsidP="00D9387F">
            <w:pPr>
              <w:rPr>
                <w:b/>
                <w:sz w:val="14"/>
                <w:szCs w:val="14"/>
              </w:rPr>
            </w:pPr>
            <w:r w:rsidRPr="00BD307E">
              <w:rPr>
                <w:sz w:val="14"/>
                <w:szCs w:val="14"/>
              </w:rPr>
              <w:t>Car</w:t>
            </w:r>
            <w:r w:rsidR="003C7FB2">
              <w:rPr>
                <w:sz w:val="14"/>
                <w:szCs w:val="14"/>
              </w:rPr>
              <w:t xml:space="preserve"> </w:t>
            </w:r>
            <w:r w:rsidRPr="00BD307E">
              <w:rPr>
                <w:sz w:val="14"/>
                <w:szCs w:val="14"/>
              </w:rPr>
              <w:t>only</w:t>
            </w:r>
          </w:p>
        </w:tc>
        <w:tc>
          <w:tcPr>
            <w:tcW w:w="1338" w:type="dxa"/>
          </w:tcPr>
          <w:p w14:paraId="39E053B6" w14:textId="6059966E" w:rsidR="00F971D8" w:rsidRPr="00BD307E" w:rsidRDefault="00F971D8" w:rsidP="00D9387F">
            <w:pPr>
              <w:rPr>
                <w:sz w:val="14"/>
                <w:szCs w:val="14"/>
              </w:rPr>
            </w:pPr>
            <w:r>
              <w:rPr>
                <w:sz w:val="14"/>
                <w:szCs w:val="14"/>
              </w:rPr>
              <w:t>845</w:t>
            </w:r>
            <w:r w:rsidR="003C7FB2">
              <w:rPr>
                <w:sz w:val="14"/>
                <w:szCs w:val="14"/>
              </w:rPr>
              <w:t xml:space="preserve"> </w:t>
            </w:r>
            <w:r>
              <w:rPr>
                <w:sz w:val="14"/>
                <w:szCs w:val="14"/>
              </w:rPr>
              <w:t>(42.3</w:t>
            </w:r>
            <w:r w:rsidRPr="00BD307E">
              <w:rPr>
                <w:sz w:val="14"/>
                <w:szCs w:val="14"/>
              </w:rPr>
              <w:t>)</w:t>
            </w:r>
          </w:p>
        </w:tc>
        <w:tc>
          <w:tcPr>
            <w:tcW w:w="1418" w:type="dxa"/>
          </w:tcPr>
          <w:p w14:paraId="6DF84FDF" w14:textId="05D65682" w:rsidR="00F971D8" w:rsidRPr="00BD307E" w:rsidRDefault="00F971D8" w:rsidP="00D9387F">
            <w:pPr>
              <w:rPr>
                <w:sz w:val="14"/>
                <w:szCs w:val="14"/>
              </w:rPr>
            </w:pPr>
            <w:r>
              <w:rPr>
                <w:sz w:val="14"/>
                <w:szCs w:val="14"/>
              </w:rPr>
              <w:t>489</w:t>
            </w:r>
            <w:r w:rsidR="003C7FB2">
              <w:rPr>
                <w:sz w:val="14"/>
                <w:szCs w:val="14"/>
              </w:rPr>
              <w:t xml:space="preserve"> </w:t>
            </w:r>
            <w:r w:rsidRPr="00BD307E">
              <w:rPr>
                <w:sz w:val="14"/>
                <w:szCs w:val="14"/>
              </w:rPr>
              <w:t>(38.6)</w:t>
            </w:r>
          </w:p>
        </w:tc>
        <w:tc>
          <w:tcPr>
            <w:tcW w:w="1276" w:type="dxa"/>
          </w:tcPr>
          <w:p w14:paraId="6A1D0749" w14:textId="38A51060" w:rsidR="00F971D8" w:rsidRPr="00BD307E" w:rsidRDefault="00F971D8" w:rsidP="00D9387F">
            <w:pPr>
              <w:rPr>
                <w:sz w:val="14"/>
                <w:szCs w:val="14"/>
              </w:rPr>
            </w:pPr>
            <w:r>
              <w:rPr>
                <w:sz w:val="14"/>
                <w:szCs w:val="14"/>
              </w:rPr>
              <w:t>1639</w:t>
            </w:r>
            <w:r w:rsidR="003C7FB2">
              <w:rPr>
                <w:sz w:val="14"/>
                <w:szCs w:val="14"/>
              </w:rPr>
              <w:t xml:space="preserve"> </w:t>
            </w:r>
            <w:r w:rsidRPr="00BD307E">
              <w:rPr>
                <w:sz w:val="14"/>
                <w:szCs w:val="14"/>
              </w:rPr>
              <w:t>(84.</w:t>
            </w:r>
            <w:r>
              <w:rPr>
                <w:sz w:val="14"/>
                <w:szCs w:val="14"/>
              </w:rPr>
              <w:t>1</w:t>
            </w:r>
            <w:r w:rsidRPr="00BD307E">
              <w:rPr>
                <w:sz w:val="14"/>
                <w:szCs w:val="14"/>
              </w:rPr>
              <w:t>)</w:t>
            </w:r>
          </w:p>
        </w:tc>
        <w:tc>
          <w:tcPr>
            <w:tcW w:w="1417" w:type="dxa"/>
          </w:tcPr>
          <w:p w14:paraId="76AD5D4C" w14:textId="43C66C84" w:rsidR="00F971D8" w:rsidRPr="00BD307E" w:rsidRDefault="00F971D8" w:rsidP="00D9387F">
            <w:pPr>
              <w:rPr>
                <w:sz w:val="14"/>
                <w:szCs w:val="14"/>
              </w:rPr>
            </w:pPr>
            <w:r>
              <w:rPr>
                <w:sz w:val="14"/>
                <w:szCs w:val="14"/>
              </w:rPr>
              <w:t>1958</w:t>
            </w:r>
            <w:r w:rsidR="003C7FB2">
              <w:rPr>
                <w:sz w:val="14"/>
                <w:szCs w:val="14"/>
              </w:rPr>
              <w:t xml:space="preserve"> </w:t>
            </w:r>
            <w:r w:rsidRPr="00BD307E">
              <w:rPr>
                <w:sz w:val="14"/>
                <w:szCs w:val="14"/>
              </w:rPr>
              <w:t>(79.</w:t>
            </w:r>
            <w:r>
              <w:rPr>
                <w:sz w:val="14"/>
                <w:szCs w:val="14"/>
              </w:rPr>
              <w:t>5</w:t>
            </w:r>
            <w:r w:rsidRPr="00BD307E">
              <w:rPr>
                <w:sz w:val="14"/>
                <w:szCs w:val="14"/>
              </w:rPr>
              <w:t>)</w:t>
            </w:r>
          </w:p>
        </w:tc>
        <w:tc>
          <w:tcPr>
            <w:tcW w:w="1276" w:type="dxa"/>
          </w:tcPr>
          <w:p w14:paraId="73E12E62" w14:textId="17D6F662" w:rsidR="00F971D8" w:rsidRPr="005E622A" w:rsidRDefault="00F971D8" w:rsidP="00D9387F">
            <w:pPr>
              <w:rPr>
                <w:sz w:val="14"/>
                <w:szCs w:val="14"/>
              </w:rPr>
            </w:pPr>
            <w:r w:rsidRPr="005E622A">
              <w:rPr>
                <w:sz w:val="14"/>
                <w:szCs w:val="14"/>
              </w:rPr>
              <w:t>4931</w:t>
            </w:r>
            <w:r w:rsidR="003C7FB2">
              <w:rPr>
                <w:sz w:val="14"/>
                <w:szCs w:val="14"/>
              </w:rPr>
              <w:t xml:space="preserve"> </w:t>
            </w:r>
            <w:r w:rsidRPr="005E622A">
              <w:rPr>
                <w:sz w:val="14"/>
                <w:szCs w:val="14"/>
              </w:rPr>
              <w:t>(64.2)</w:t>
            </w:r>
          </w:p>
        </w:tc>
      </w:tr>
      <w:tr w:rsidR="00F971D8" w:rsidRPr="00BD307E" w14:paraId="0EC75D5A" w14:textId="77777777" w:rsidTr="00D9387F">
        <w:tc>
          <w:tcPr>
            <w:tcW w:w="1492" w:type="dxa"/>
            <w:vAlign w:val="center"/>
          </w:tcPr>
          <w:p w14:paraId="1AACFBF8" w14:textId="7DF101B4" w:rsidR="00F971D8" w:rsidRPr="00BD307E" w:rsidRDefault="00F971D8" w:rsidP="00D9387F">
            <w:pPr>
              <w:rPr>
                <w:sz w:val="14"/>
                <w:szCs w:val="14"/>
              </w:rPr>
            </w:pPr>
            <w:r w:rsidRPr="00BD307E">
              <w:rPr>
                <w:color w:val="000000"/>
                <w:sz w:val="14"/>
                <w:szCs w:val="14"/>
              </w:rPr>
              <w:t>Regular</w:t>
            </w:r>
            <w:r w:rsidR="003C7FB2">
              <w:rPr>
                <w:color w:val="000000"/>
                <w:sz w:val="14"/>
                <w:szCs w:val="14"/>
              </w:rPr>
              <w:t xml:space="preserve"> </w:t>
            </w:r>
            <w:r w:rsidRPr="00BD307E">
              <w:rPr>
                <w:color w:val="000000"/>
                <w:sz w:val="14"/>
                <w:szCs w:val="14"/>
              </w:rPr>
              <w:t>walking</w:t>
            </w:r>
          </w:p>
        </w:tc>
        <w:tc>
          <w:tcPr>
            <w:tcW w:w="1338" w:type="dxa"/>
          </w:tcPr>
          <w:p w14:paraId="794B0FCA" w14:textId="7805C669" w:rsidR="00F971D8" w:rsidRPr="00BD307E" w:rsidRDefault="00F971D8" w:rsidP="00D9387F">
            <w:pPr>
              <w:rPr>
                <w:sz w:val="14"/>
                <w:szCs w:val="14"/>
              </w:rPr>
            </w:pPr>
            <w:r>
              <w:rPr>
                <w:sz w:val="14"/>
                <w:szCs w:val="14"/>
              </w:rPr>
              <w:t>339</w:t>
            </w:r>
            <w:r w:rsidR="003C7FB2">
              <w:rPr>
                <w:sz w:val="14"/>
                <w:szCs w:val="14"/>
              </w:rPr>
              <w:t xml:space="preserve"> </w:t>
            </w:r>
            <w:r w:rsidRPr="00BD307E">
              <w:rPr>
                <w:sz w:val="14"/>
                <w:szCs w:val="14"/>
              </w:rPr>
              <w:t>(17.</w:t>
            </w:r>
            <w:r>
              <w:rPr>
                <w:sz w:val="14"/>
                <w:szCs w:val="14"/>
              </w:rPr>
              <w:t>0)</w:t>
            </w:r>
          </w:p>
        </w:tc>
        <w:tc>
          <w:tcPr>
            <w:tcW w:w="1418" w:type="dxa"/>
          </w:tcPr>
          <w:p w14:paraId="4FA9A926" w14:textId="6ED33090" w:rsidR="00F971D8" w:rsidRPr="00BD307E" w:rsidRDefault="00F971D8" w:rsidP="00D9387F">
            <w:pPr>
              <w:rPr>
                <w:sz w:val="14"/>
                <w:szCs w:val="14"/>
              </w:rPr>
            </w:pPr>
            <w:r>
              <w:rPr>
                <w:sz w:val="14"/>
                <w:szCs w:val="14"/>
              </w:rPr>
              <w:t>122</w:t>
            </w:r>
            <w:r w:rsidR="003C7FB2">
              <w:rPr>
                <w:sz w:val="14"/>
                <w:szCs w:val="14"/>
              </w:rPr>
              <w:t xml:space="preserve"> </w:t>
            </w:r>
            <w:r>
              <w:rPr>
                <w:sz w:val="14"/>
                <w:szCs w:val="14"/>
              </w:rPr>
              <w:t>(9.6</w:t>
            </w:r>
            <w:r w:rsidRPr="00BD307E">
              <w:rPr>
                <w:sz w:val="14"/>
                <w:szCs w:val="14"/>
              </w:rPr>
              <w:t>)</w:t>
            </w:r>
          </w:p>
        </w:tc>
        <w:tc>
          <w:tcPr>
            <w:tcW w:w="1276" w:type="dxa"/>
          </w:tcPr>
          <w:p w14:paraId="3ACAFEE1" w14:textId="77777777" w:rsidR="00F971D8" w:rsidRPr="00BD307E" w:rsidRDefault="00F971D8" w:rsidP="00D9387F">
            <w:pPr>
              <w:rPr>
                <w:sz w:val="14"/>
                <w:szCs w:val="14"/>
              </w:rPr>
            </w:pPr>
            <w:r w:rsidRPr="00507198">
              <w:rPr>
                <w:sz w:val="14"/>
                <w:szCs w:val="14"/>
              </w:rPr>
              <w:t>n/a</w:t>
            </w:r>
          </w:p>
        </w:tc>
        <w:tc>
          <w:tcPr>
            <w:tcW w:w="1417" w:type="dxa"/>
          </w:tcPr>
          <w:p w14:paraId="18A0E30B" w14:textId="77777777" w:rsidR="00F971D8" w:rsidRPr="00BD307E" w:rsidRDefault="00F971D8" w:rsidP="00D9387F">
            <w:pPr>
              <w:rPr>
                <w:sz w:val="14"/>
                <w:szCs w:val="14"/>
              </w:rPr>
            </w:pPr>
            <w:r w:rsidRPr="00507198">
              <w:rPr>
                <w:sz w:val="14"/>
                <w:szCs w:val="14"/>
              </w:rPr>
              <w:t>n/a</w:t>
            </w:r>
          </w:p>
        </w:tc>
        <w:tc>
          <w:tcPr>
            <w:tcW w:w="1276" w:type="dxa"/>
          </w:tcPr>
          <w:p w14:paraId="6F32E6A6" w14:textId="52A1DF0C" w:rsidR="00F971D8" w:rsidRPr="005E622A" w:rsidRDefault="00F971D8" w:rsidP="00D9387F">
            <w:pPr>
              <w:rPr>
                <w:sz w:val="14"/>
                <w:szCs w:val="14"/>
              </w:rPr>
            </w:pPr>
            <w:r w:rsidRPr="005E622A">
              <w:rPr>
                <w:sz w:val="14"/>
                <w:szCs w:val="14"/>
              </w:rPr>
              <w:t>461</w:t>
            </w:r>
            <w:r w:rsidR="003C7FB2">
              <w:rPr>
                <w:sz w:val="14"/>
                <w:szCs w:val="14"/>
              </w:rPr>
              <w:t xml:space="preserve"> </w:t>
            </w:r>
            <w:r w:rsidRPr="005E622A">
              <w:rPr>
                <w:sz w:val="14"/>
                <w:szCs w:val="14"/>
              </w:rPr>
              <w:t>(6.0)</w:t>
            </w:r>
          </w:p>
        </w:tc>
      </w:tr>
      <w:tr w:rsidR="00F971D8" w:rsidRPr="00BD307E" w14:paraId="7F8A2CFC" w14:textId="77777777" w:rsidTr="00D9387F">
        <w:tc>
          <w:tcPr>
            <w:tcW w:w="1492" w:type="dxa"/>
            <w:vAlign w:val="center"/>
          </w:tcPr>
          <w:p w14:paraId="115500AB" w14:textId="6160E8B4" w:rsidR="00F971D8" w:rsidRPr="00BD307E" w:rsidRDefault="00F971D8" w:rsidP="00D9387F">
            <w:pPr>
              <w:rPr>
                <w:sz w:val="14"/>
                <w:szCs w:val="14"/>
              </w:rPr>
            </w:pPr>
            <w:r w:rsidRPr="00BD307E">
              <w:rPr>
                <w:color w:val="000000"/>
                <w:sz w:val="14"/>
                <w:szCs w:val="14"/>
              </w:rPr>
              <w:t>Regular</w:t>
            </w:r>
            <w:r w:rsidR="003C7FB2">
              <w:rPr>
                <w:color w:val="000000"/>
                <w:sz w:val="14"/>
                <w:szCs w:val="14"/>
              </w:rPr>
              <w:t xml:space="preserve"> </w:t>
            </w:r>
            <w:r w:rsidRPr="00BD307E">
              <w:rPr>
                <w:color w:val="000000"/>
                <w:sz w:val="14"/>
                <w:szCs w:val="14"/>
              </w:rPr>
              <w:t>cycling</w:t>
            </w:r>
          </w:p>
        </w:tc>
        <w:tc>
          <w:tcPr>
            <w:tcW w:w="1338" w:type="dxa"/>
          </w:tcPr>
          <w:p w14:paraId="050751BA" w14:textId="7DD82E97" w:rsidR="00F971D8" w:rsidRPr="00BD307E" w:rsidRDefault="00F971D8" w:rsidP="00D9387F">
            <w:pPr>
              <w:rPr>
                <w:sz w:val="14"/>
                <w:szCs w:val="14"/>
              </w:rPr>
            </w:pPr>
            <w:r>
              <w:rPr>
                <w:sz w:val="14"/>
                <w:szCs w:val="14"/>
              </w:rPr>
              <w:t>48</w:t>
            </w:r>
            <w:r w:rsidRPr="00BD307E">
              <w:rPr>
                <w:sz w:val="14"/>
                <w:szCs w:val="14"/>
              </w:rPr>
              <w:t>0</w:t>
            </w:r>
            <w:r w:rsidR="003C7FB2">
              <w:rPr>
                <w:sz w:val="14"/>
                <w:szCs w:val="14"/>
              </w:rPr>
              <w:t xml:space="preserve"> </w:t>
            </w:r>
            <w:r w:rsidRPr="00BD307E">
              <w:rPr>
                <w:sz w:val="14"/>
                <w:szCs w:val="14"/>
              </w:rPr>
              <w:t>(24.0)</w:t>
            </w:r>
          </w:p>
        </w:tc>
        <w:tc>
          <w:tcPr>
            <w:tcW w:w="1418" w:type="dxa"/>
          </w:tcPr>
          <w:p w14:paraId="04D7097E" w14:textId="78C16CFD" w:rsidR="00F971D8" w:rsidRPr="00BD307E" w:rsidRDefault="00F971D8" w:rsidP="00D9387F">
            <w:pPr>
              <w:rPr>
                <w:sz w:val="14"/>
                <w:szCs w:val="14"/>
              </w:rPr>
            </w:pPr>
            <w:r>
              <w:rPr>
                <w:sz w:val="14"/>
                <w:szCs w:val="14"/>
              </w:rPr>
              <w:t>460</w:t>
            </w:r>
            <w:r w:rsidR="003C7FB2">
              <w:rPr>
                <w:sz w:val="14"/>
                <w:szCs w:val="14"/>
              </w:rPr>
              <w:t xml:space="preserve"> </w:t>
            </w:r>
            <w:r w:rsidRPr="00BD307E">
              <w:rPr>
                <w:sz w:val="14"/>
                <w:szCs w:val="14"/>
              </w:rPr>
              <w:t>(36.3)</w:t>
            </w:r>
          </w:p>
        </w:tc>
        <w:tc>
          <w:tcPr>
            <w:tcW w:w="1276" w:type="dxa"/>
          </w:tcPr>
          <w:p w14:paraId="4893CDBC" w14:textId="77777777" w:rsidR="00F971D8" w:rsidRPr="00BD307E" w:rsidRDefault="00F971D8" w:rsidP="00D9387F">
            <w:pPr>
              <w:rPr>
                <w:sz w:val="14"/>
                <w:szCs w:val="14"/>
              </w:rPr>
            </w:pPr>
            <w:r w:rsidRPr="00507198">
              <w:rPr>
                <w:sz w:val="14"/>
                <w:szCs w:val="14"/>
              </w:rPr>
              <w:t>n/a</w:t>
            </w:r>
          </w:p>
        </w:tc>
        <w:tc>
          <w:tcPr>
            <w:tcW w:w="1417" w:type="dxa"/>
          </w:tcPr>
          <w:p w14:paraId="69489084" w14:textId="77777777" w:rsidR="00F971D8" w:rsidRPr="00BD307E" w:rsidRDefault="00F971D8" w:rsidP="00D9387F">
            <w:pPr>
              <w:rPr>
                <w:sz w:val="14"/>
                <w:szCs w:val="14"/>
              </w:rPr>
            </w:pPr>
            <w:r w:rsidRPr="00507198">
              <w:rPr>
                <w:sz w:val="14"/>
                <w:szCs w:val="14"/>
              </w:rPr>
              <w:t>n/a</w:t>
            </w:r>
          </w:p>
        </w:tc>
        <w:tc>
          <w:tcPr>
            <w:tcW w:w="1276" w:type="dxa"/>
          </w:tcPr>
          <w:p w14:paraId="1FDD1563" w14:textId="39313786" w:rsidR="00F971D8" w:rsidRPr="005E622A" w:rsidRDefault="00F971D8" w:rsidP="00D9387F">
            <w:pPr>
              <w:rPr>
                <w:sz w:val="14"/>
                <w:szCs w:val="14"/>
              </w:rPr>
            </w:pPr>
            <w:r w:rsidRPr="005E622A">
              <w:rPr>
                <w:sz w:val="14"/>
                <w:szCs w:val="14"/>
              </w:rPr>
              <w:t>940</w:t>
            </w:r>
            <w:r w:rsidR="003C7FB2">
              <w:rPr>
                <w:sz w:val="14"/>
                <w:szCs w:val="14"/>
              </w:rPr>
              <w:t xml:space="preserve"> </w:t>
            </w:r>
            <w:r w:rsidRPr="005E622A">
              <w:rPr>
                <w:sz w:val="14"/>
                <w:szCs w:val="14"/>
              </w:rPr>
              <w:t>(12.2)</w:t>
            </w:r>
          </w:p>
        </w:tc>
      </w:tr>
      <w:tr w:rsidR="00F971D8" w:rsidRPr="00BD307E" w14:paraId="352710AD" w14:textId="77777777" w:rsidTr="00D9387F">
        <w:tc>
          <w:tcPr>
            <w:tcW w:w="1492" w:type="dxa"/>
            <w:vAlign w:val="center"/>
          </w:tcPr>
          <w:p w14:paraId="72ECBE53" w14:textId="7C08F69F" w:rsidR="00F971D8" w:rsidRPr="00BD307E" w:rsidRDefault="00F971D8" w:rsidP="00D9387F">
            <w:pPr>
              <w:rPr>
                <w:sz w:val="14"/>
                <w:szCs w:val="14"/>
              </w:rPr>
            </w:pPr>
            <w:r w:rsidRPr="00BD307E">
              <w:rPr>
                <w:color w:val="000000"/>
                <w:sz w:val="14"/>
                <w:szCs w:val="14"/>
              </w:rPr>
              <w:t>Car</w:t>
            </w:r>
            <w:r w:rsidR="003C7FB2">
              <w:rPr>
                <w:color w:val="000000"/>
                <w:sz w:val="14"/>
                <w:szCs w:val="14"/>
              </w:rPr>
              <w:t xml:space="preserve"> </w:t>
            </w:r>
            <w:r w:rsidRPr="00BD307E">
              <w:rPr>
                <w:color w:val="000000"/>
                <w:sz w:val="14"/>
                <w:szCs w:val="14"/>
              </w:rPr>
              <w:t>with</w:t>
            </w:r>
            <w:r w:rsidR="003C7FB2">
              <w:rPr>
                <w:color w:val="000000"/>
                <w:sz w:val="14"/>
                <w:szCs w:val="14"/>
              </w:rPr>
              <w:t xml:space="preserve"> </w:t>
            </w:r>
            <w:r w:rsidRPr="00BD307E">
              <w:rPr>
                <w:color w:val="000000"/>
                <w:sz w:val="14"/>
                <w:szCs w:val="14"/>
              </w:rPr>
              <w:t>occasional</w:t>
            </w:r>
            <w:r w:rsidR="003C7FB2">
              <w:rPr>
                <w:color w:val="000000"/>
                <w:sz w:val="14"/>
                <w:szCs w:val="14"/>
              </w:rPr>
              <w:t xml:space="preserve"> </w:t>
            </w:r>
            <w:r w:rsidRPr="00BD307E">
              <w:rPr>
                <w:color w:val="000000"/>
                <w:sz w:val="14"/>
                <w:szCs w:val="14"/>
              </w:rPr>
              <w:t>walking</w:t>
            </w:r>
          </w:p>
        </w:tc>
        <w:tc>
          <w:tcPr>
            <w:tcW w:w="1338" w:type="dxa"/>
          </w:tcPr>
          <w:p w14:paraId="7F4E5CE0" w14:textId="7AA275DB" w:rsidR="00F971D8" w:rsidRPr="00BD307E" w:rsidRDefault="00F971D8" w:rsidP="00D9387F">
            <w:pPr>
              <w:rPr>
                <w:sz w:val="14"/>
                <w:szCs w:val="14"/>
              </w:rPr>
            </w:pPr>
            <w:r w:rsidRPr="00BD307E">
              <w:rPr>
                <w:sz w:val="14"/>
                <w:szCs w:val="14"/>
              </w:rPr>
              <w:t>14</w:t>
            </w:r>
            <w:r>
              <w:rPr>
                <w:sz w:val="14"/>
                <w:szCs w:val="14"/>
              </w:rPr>
              <w:t>1</w:t>
            </w:r>
            <w:r w:rsidR="003C7FB2">
              <w:rPr>
                <w:sz w:val="14"/>
                <w:szCs w:val="14"/>
              </w:rPr>
              <w:t xml:space="preserve"> </w:t>
            </w:r>
            <w:r w:rsidRPr="00BD307E">
              <w:rPr>
                <w:sz w:val="14"/>
                <w:szCs w:val="14"/>
              </w:rPr>
              <w:t>(7.1)</w:t>
            </w:r>
          </w:p>
        </w:tc>
        <w:tc>
          <w:tcPr>
            <w:tcW w:w="1418" w:type="dxa"/>
          </w:tcPr>
          <w:p w14:paraId="7C4DFEC6" w14:textId="4A4B710A" w:rsidR="00F971D8" w:rsidRPr="00BD307E" w:rsidRDefault="00F971D8" w:rsidP="00D9387F">
            <w:pPr>
              <w:rPr>
                <w:sz w:val="14"/>
                <w:szCs w:val="14"/>
              </w:rPr>
            </w:pPr>
            <w:r>
              <w:rPr>
                <w:sz w:val="14"/>
                <w:szCs w:val="14"/>
              </w:rPr>
              <w:t>48</w:t>
            </w:r>
            <w:r w:rsidR="003C7FB2">
              <w:rPr>
                <w:sz w:val="14"/>
                <w:szCs w:val="14"/>
              </w:rPr>
              <w:t xml:space="preserve"> </w:t>
            </w:r>
            <w:r w:rsidRPr="00BD307E">
              <w:rPr>
                <w:sz w:val="14"/>
                <w:szCs w:val="14"/>
              </w:rPr>
              <w:t>(3.8)</w:t>
            </w:r>
          </w:p>
        </w:tc>
        <w:tc>
          <w:tcPr>
            <w:tcW w:w="1276" w:type="dxa"/>
          </w:tcPr>
          <w:p w14:paraId="5733E671" w14:textId="77777777" w:rsidR="00F971D8" w:rsidRPr="00BD307E" w:rsidRDefault="00F971D8" w:rsidP="00D9387F">
            <w:pPr>
              <w:rPr>
                <w:sz w:val="14"/>
                <w:szCs w:val="14"/>
              </w:rPr>
            </w:pPr>
            <w:r w:rsidRPr="00507198">
              <w:rPr>
                <w:sz w:val="14"/>
                <w:szCs w:val="14"/>
              </w:rPr>
              <w:t>n/a</w:t>
            </w:r>
          </w:p>
        </w:tc>
        <w:tc>
          <w:tcPr>
            <w:tcW w:w="1417" w:type="dxa"/>
          </w:tcPr>
          <w:p w14:paraId="7D1C6845" w14:textId="77777777" w:rsidR="00F971D8" w:rsidRPr="00BD307E" w:rsidRDefault="00F971D8" w:rsidP="00D9387F">
            <w:pPr>
              <w:rPr>
                <w:sz w:val="14"/>
                <w:szCs w:val="14"/>
              </w:rPr>
            </w:pPr>
            <w:r w:rsidRPr="00507198">
              <w:rPr>
                <w:sz w:val="14"/>
                <w:szCs w:val="14"/>
              </w:rPr>
              <w:t>n/a</w:t>
            </w:r>
          </w:p>
        </w:tc>
        <w:tc>
          <w:tcPr>
            <w:tcW w:w="1276" w:type="dxa"/>
          </w:tcPr>
          <w:p w14:paraId="45D91C7F" w14:textId="6611AEB0" w:rsidR="00F971D8" w:rsidRPr="005E622A" w:rsidRDefault="00F971D8" w:rsidP="00D9387F">
            <w:pPr>
              <w:rPr>
                <w:sz w:val="14"/>
                <w:szCs w:val="14"/>
              </w:rPr>
            </w:pPr>
            <w:r w:rsidRPr="005E622A">
              <w:rPr>
                <w:sz w:val="14"/>
                <w:szCs w:val="14"/>
              </w:rPr>
              <w:t>189</w:t>
            </w:r>
            <w:r w:rsidR="003C7FB2">
              <w:rPr>
                <w:sz w:val="14"/>
                <w:szCs w:val="14"/>
              </w:rPr>
              <w:t xml:space="preserve"> </w:t>
            </w:r>
            <w:r w:rsidRPr="005E622A">
              <w:rPr>
                <w:sz w:val="14"/>
                <w:szCs w:val="14"/>
              </w:rPr>
              <w:t>(2.5)</w:t>
            </w:r>
          </w:p>
        </w:tc>
      </w:tr>
      <w:tr w:rsidR="00F971D8" w:rsidRPr="00BD307E" w14:paraId="58A8CA25" w14:textId="77777777" w:rsidTr="00D9387F">
        <w:tc>
          <w:tcPr>
            <w:tcW w:w="1492" w:type="dxa"/>
            <w:vAlign w:val="center"/>
          </w:tcPr>
          <w:p w14:paraId="36B77CD6" w14:textId="29D4B31A" w:rsidR="00F971D8" w:rsidRPr="00BD307E" w:rsidRDefault="00F971D8" w:rsidP="00D9387F">
            <w:pPr>
              <w:rPr>
                <w:b/>
                <w:sz w:val="14"/>
                <w:szCs w:val="14"/>
              </w:rPr>
            </w:pPr>
            <w:r w:rsidRPr="00BD307E">
              <w:rPr>
                <w:color w:val="000000"/>
                <w:sz w:val="14"/>
                <w:szCs w:val="14"/>
              </w:rPr>
              <w:t>Car</w:t>
            </w:r>
            <w:r w:rsidR="003C7FB2">
              <w:rPr>
                <w:color w:val="000000"/>
                <w:sz w:val="14"/>
                <w:szCs w:val="14"/>
              </w:rPr>
              <w:t xml:space="preserve"> </w:t>
            </w:r>
            <w:r w:rsidRPr="00BD307E">
              <w:rPr>
                <w:color w:val="000000"/>
                <w:sz w:val="14"/>
                <w:szCs w:val="14"/>
              </w:rPr>
              <w:t>with</w:t>
            </w:r>
            <w:r w:rsidR="003C7FB2">
              <w:rPr>
                <w:color w:val="000000"/>
                <w:sz w:val="14"/>
                <w:szCs w:val="14"/>
              </w:rPr>
              <w:t xml:space="preserve"> </w:t>
            </w:r>
            <w:r w:rsidRPr="00BD307E">
              <w:rPr>
                <w:color w:val="000000"/>
                <w:sz w:val="14"/>
                <w:szCs w:val="14"/>
              </w:rPr>
              <w:t>occasional</w:t>
            </w:r>
            <w:r w:rsidR="003C7FB2">
              <w:rPr>
                <w:color w:val="000000"/>
                <w:sz w:val="14"/>
                <w:szCs w:val="14"/>
              </w:rPr>
              <w:t xml:space="preserve"> </w:t>
            </w:r>
            <w:r w:rsidRPr="00BD307E">
              <w:rPr>
                <w:color w:val="000000"/>
                <w:sz w:val="14"/>
                <w:szCs w:val="14"/>
              </w:rPr>
              <w:t>cycling</w:t>
            </w:r>
          </w:p>
        </w:tc>
        <w:tc>
          <w:tcPr>
            <w:tcW w:w="1338" w:type="dxa"/>
          </w:tcPr>
          <w:p w14:paraId="383CFC3A" w14:textId="54AF89BE" w:rsidR="00F971D8" w:rsidRPr="00BD307E" w:rsidRDefault="00F971D8" w:rsidP="00D9387F">
            <w:pPr>
              <w:rPr>
                <w:sz w:val="14"/>
                <w:szCs w:val="14"/>
              </w:rPr>
            </w:pPr>
            <w:r>
              <w:rPr>
                <w:sz w:val="14"/>
                <w:szCs w:val="14"/>
              </w:rPr>
              <w:t>194</w:t>
            </w:r>
            <w:r w:rsidR="003C7FB2">
              <w:rPr>
                <w:sz w:val="14"/>
                <w:szCs w:val="14"/>
              </w:rPr>
              <w:t xml:space="preserve"> </w:t>
            </w:r>
            <w:r w:rsidRPr="00BD307E">
              <w:rPr>
                <w:sz w:val="14"/>
                <w:szCs w:val="14"/>
              </w:rPr>
              <w:t>(9.</w:t>
            </w:r>
            <w:r>
              <w:rPr>
                <w:sz w:val="14"/>
                <w:szCs w:val="14"/>
              </w:rPr>
              <w:t>7</w:t>
            </w:r>
            <w:r w:rsidRPr="00BD307E">
              <w:rPr>
                <w:sz w:val="14"/>
                <w:szCs w:val="14"/>
              </w:rPr>
              <w:t>)</w:t>
            </w:r>
          </w:p>
        </w:tc>
        <w:tc>
          <w:tcPr>
            <w:tcW w:w="1418" w:type="dxa"/>
          </w:tcPr>
          <w:p w14:paraId="16A518C9" w14:textId="6720B8CB" w:rsidR="00F971D8" w:rsidRPr="00BD307E" w:rsidRDefault="00F971D8" w:rsidP="00D9387F">
            <w:pPr>
              <w:rPr>
                <w:sz w:val="14"/>
                <w:szCs w:val="14"/>
              </w:rPr>
            </w:pPr>
            <w:r>
              <w:rPr>
                <w:sz w:val="14"/>
                <w:szCs w:val="14"/>
              </w:rPr>
              <w:t>149</w:t>
            </w:r>
            <w:r w:rsidR="003C7FB2">
              <w:rPr>
                <w:sz w:val="14"/>
                <w:szCs w:val="14"/>
              </w:rPr>
              <w:t xml:space="preserve"> </w:t>
            </w:r>
            <w:r w:rsidRPr="00BD307E">
              <w:rPr>
                <w:sz w:val="14"/>
                <w:szCs w:val="14"/>
              </w:rPr>
              <w:t>(11.</w:t>
            </w:r>
            <w:r>
              <w:rPr>
                <w:sz w:val="14"/>
                <w:szCs w:val="14"/>
              </w:rPr>
              <w:t>8</w:t>
            </w:r>
            <w:r w:rsidRPr="00BD307E">
              <w:rPr>
                <w:sz w:val="14"/>
                <w:szCs w:val="14"/>
              </w:rPr>
              <w:t>)</w:t>
            </w:r>
          </w:p>
        </w:tc>
        <w:tc>
          <w:tcPr>
            <w:tcW w:w="1276" w:type="dxa"/>
          </w:tcPr>
          <w:p w14:paraId="56B49715" w14:textId="77777777" w:rsidR="00F971D8" w:rsidRPr="00BD307E" w:rsidRDefault="00F971D8" w:rsidP="00D9387F">
            <w:pPr>
              <w:rPr>
                <w:sz w:val="14"/>
                <w:szCs w:val="14"/>
              </w:rPr>
            </w:pPr>
            <w:r w:rsidRPr="00507198">
              <w:rPr>
                <w:sz w:val="14"/>
                <w:szCs w:val="14"/>
              </w:rPr>
              <w:t>n/a</w:t>
            </w:r>
          </w:p>
        </w:tc>
        <w:tc>
          <w:tcPr>
            <w:tcW w:w="1417" w:type="dxa"/>
          </w:tcPr>
          <w:p w14:paraId="6914E614" w14:textId="77777777" w:rsidR="00F971D8" w:rsidRPr="00BD307E" w:rsidRDefault="00F971D8" w:rsidP="00D9387F">
            <w:pPr>
              <w:rPr>
                <w:sz w:val="14"/>
                <w:szCs w:val="14"/>
              </w:rPr>
            </w:pPr>
            <w:r w:rsidRPr="00507198">
              <w:rPr>
                <w:sz w:val="14"/>
                <w:szCs w:val="14"/>
              </w:rPr>
              <w:t>n/a</w:t>
            </w:r>
          </w:p>
        </w:tc>
        <w:tc>
          <w:tcPr>
            <w:tcW w:w="1276" w:type="dxa"/>
          </w:tcPr>
          <w:p w14:paraId="61CB8B38" w14:textId="516AB517" w:rsidR="00F971D8" w:rsidRPr="005E622A" w:rsidRDefault="00F971D8" w:rsidP="00D9387F">
            <w:pPr>
              <w:rPr>
                <w:sz w:val="14"/>
                <w:szCs w:val="14"/>
              </w:rPr>
            </w:pPr>
            <w:r w:rsidRPr="005E622A">
              <w:rPr>
                <w:sz w:val="14"/>
                <w:szCs w:val="14"/>
              </w:rPr>
              <w:t>343</w:t>
            </w:r>
            <w:r w:rsidR="003C7FB2">
              <w:rPr>
                <w:sz w:val="14"/>
                <w:szCs w:val="14"/>
              </w:rPr>
              <w:t xml:space="preserve"> </w:t>
            </w:r>
            <w:r w:rsidRPr="005E622A">
              <w:rPr>
                <w:sz w:val="14"/>
                <w:szCs w:val="14"/>
              </w:rPr>
              <w:t>(4.5)</w:t>
            </w:r>
          </w:p>
        </w:tc>
      </w:tr>
      <w:tr w:rsidR="00F971D8" w:rsidRPr="00BD307E" w14:paraId="0A410EF6" w14:textId="77777777" w:rsidTr="00D9387F">
        <w:tc>
          <w:tcPr>
            <w:tcW w:w="1492" w:type="dxa"/>
            <w:vAlign w:val="center"/>
          </w:tcPr>
          <w:p w14:paraId="5E5FCF5F" w14:textId="1CB6718F" w:rsidR="00F971D8" w:rsidRPr="00BD307E" w:rsidRDefault="00F971D8" w:rsidP="00D9387F">
            <w:pPr>
              <w:rPr>
                <w:sz w:val="14"/>
                <w:szCs w:val="14"/>
              </w:rPr>
            </w:pPr>
            <w:r w:rsidRPr="00BD307E">
              <w:rPr>
                <w:sz w:val="14"/>
                <w:szCs w:val="14"/>
              </w:rPr>
              <w:t>Public</w:t>
            </w:r>
            <w:r w:rsidR="003C7FB2">
              <w:rPr>
                <w:sz w:val="14"/>
                <w:szCs w:val="14"/>
              </w:rPr>
              <w:t xml:space="preserve"> </w:t>
            </w:r>
            <w:r w:rsidRPr="00BD307E">
              <w:rPr>
                <w:sz w:val="14"/>
                <w:szCs w:val="14"/>
              </w:rPr>
              <w:t>Transport</w:t>
            </w:r>
          </w:p>
        </w:tc>
        <w:tc>
          <w:tcPr>
            <w:tcW w:w="1338" w:type="dxa"/>
          </w:tcPr>
          <w:p w14:paraId="1CA358DD" w14:textId="77777777" w:rsidR="00F971D8" w:rsidRPr="00BD307E" w:rsidRDefault="00F971D8" w:rsidP="00D9387F">
            <w:pPr>
              <w:rPr>
                <w:sz w:val="14"/>
                <w:szCs w:val="14"/>
              </w:rPr>
            </w:pPr>
            <w:r w:rsidRPr="003C1693">
              <w:rPr>
                <w:sz w:val="14"/>
                <w:szCs w:val="14"/>
              </w:rPr>
              <w:t>n/a</w:t>
            </w:r>
          </w:p>
        </w:tc>
        <w:tc>
          <w:tcPr>
            <w:tcW w:w="1418" w:type="dxa"/>
          </w:tcPr>
          <w:p w14:paraId="4194D899" w14:textId="77777777" w:rsidR="00F971D8" w:rsidRPr="00BD307E" w:rsidRDefault="00F971D8" w:rsidP="00D9387F">
            <w:pPr>
              <w:rPr>
                <w:sz w:val="14"/>
                <w:szCs w:val="14"/>
              </w:rPr>
            </w:pPr>
            <w:r w:rsidRPr="003C1693">
              <w:rPr>
                <w:sz w:val="14"/>
                <w:szCs w:val="14"/>
              </w:rPr>
              <w:t>n/a</w:t>
            </w:r>
          </w:p>
        </w:tc>
        <w:tc>
          <w:tcPr>
            <w:tcW w:w="1276" w:type="dxa"/>
          </w:tcPr>
          <w:p w14:paraId="064635E9" w14:textId="16D4F214" w:rsidR="00F971D8" w:rsidRPr="00BD307E" w:rsidRDefault="00F971D8" w:rsidP="00D9387F">
            <w:pPr>
              <w:rPr>
                <w:sz w:val="14"/>
                <w:szCs w:val="14"/>
              </w:rPr>
            </w:pPr>
            <w:r w:rsidRPr="00BD307E">
              <w:rPr>
                <w:sz w:val="14"/>
                <w:szCs w:val="14"/>
              </w:rPr>
              <w:t>15</w:t>
            </w:r>
            <w:r>
              <w:rPr>
                <w:sz w:val="14"/>
                <w:szCs w:val="14"/>
              </w:rPr>
              <w:t>4</w:t>
            </w:r>
            <w:r w:rsidR="003C7FB2">
              <w:rPr>
                <w:sz w:val="14"/>
                <w:szCs w:val="14"/>
              </w:rPr>
              <w:t xml:space="preserve"> </w:t>
            </w:r>
            <w:r w:rsidRPr="00BD307E">
              <w:rPr>
                <w:sz w:val="14"/>
                <w:szCs w:val="14"/>
              </w:rPr>
              <w:t>(7.9)</w:t>
            </w:r>
          </w:p>
        </w:tc>
        <w:tc>
          <w:tcPr>
            <w:tcW w:w="1417" w:type="dxa"/>
          </w:tcPr>
          <w:p w14:paraId="4E8ED454" w14:textId="76C5EF73" w:rsidR="00F971D8" w:rsidRPr="00BD307E" w:rsidRDefault="00F971D8" w:rsidP="00D9387F">
            <w:pPr>
              <w:rPr>
                <w:sz w:val="14"/>
                <w:szCs w:val="14"/>
              </w:rPr>
            </w:pPr>
            <w:r>
              <w:rPr>
                <w:sz w:val="14"/>
                <w:szCs w:val="14"/>
              </w:rPr>
              <w:t>265</w:t>
            </w:r>
            <w:r w:rsidR="003C7FB2">
              <w:rPr>
                <w:sz w:val="14"/>
                <w:szCs w:val="14"/>
              </w:rPr>
              <w:t xml:space="preserve"> </w:t>
            </w:r>
            <w:r w:rsidRPr="00BD307E">
              <w:rPr>
                <w:sz w:val="14"/>
                <w:szCs w:val="14"/>
              </w:rPr>
              <w:t>(10.</w:t>
            </w:r>
            <w:r>
              <w:rPr>
                <w:sz w:val="14"/>
                <w:szCs w:val="14"/>
              </w:rPr>
              <w:t>8</w:t>
            </w:r>
            <w:r w:rsidRPr="00BD307E">
              <w:rPr>
                <w:sz w:val="14"/>
                <w:szCs w:val="14"/>
              </w:rPr>
              <w:t>)</w:t>
            </w:r>
          </w:p>
        </w:tc>
        <w:tc>
          <w:tcPr>
            <w:tcW w:w="1276" w:type="dxa"/>
          </w:tcPr>
          <w:p w14:paraId="58748C8E" w14:textId="25A35DAC" w:rsidR="00F971D8" w:rsidRPr="005E622A" w:rsidRDefault="00F971D8" w:rsidP="00D9387F">
            <w:pPr>
              <w:rPr>
                <w:sz w:val="14"/>
                <w:szCs w:val="14"/>
              </w:rPr>
            </w:pPr>
            <w:r w:rsidRPr="005E622A">
              <w:rPr>
                <w:sz w:val="14"/>
                <w:szCs w:val="14"/>
              </w:rPr>
              <w:t>419</w:t>
            </w:r>
            <w:r w:rsidR="003C7FB2">
              <w:rPr>
                <w:sz w:val="14"/>
                <w:szCs w:val="14"/>
              </w:rPr>
              <w:t xml:space="preserve"> </w:t>
            </w:r>
            <w:r w:rsidRPr="005E622A">
              <w:rPr>
                <w:sz w:val="14"/>
                <w:szCs w:val="14"/>
              </w:rPr>
              <w:t>(5.5)</w:t>
            </w:r>
          </w:p>
        </w:tc>
      </w:tr>
      <w:tr w:rsidR="00F971D8" w:rsidRPr="00BD307E" w14:paraId="0DEE81BA" w14:textId="77777777" w:rsidTr="00D9387F">
        <w:tc>
          <w:tcPr>
            <w:tcW w:w="1492" w:type="dxa"/>
            <w:vAlign w:val="center"/>
          </w:tcPr>
          <w:p w14:paraId="7CE7B201" w14:textId="6297D77D" w:rsidR="00F971D8" w:rsidRPr="00BD307E" w:rsidRDefault="00F971D8" w:rsidP="00D9387F">
            <w:pPr>
              <w:rPr>
                <w:sz w:val="14"/>
                <w:szCs w:val="14"/>
              </w:rPr>
            </w:pPr>
            <w:r w:rsidRPr="00BD307E">
              <w:rPr>
                <w:sz w:val="14"/>
                <w:szCs w:val="14"/>
              </w:rPr>
              <w:t>Car</w:t>
            </w:r>
            <w:r w:rsidR="003C7FB2">
              <w:rPr>
                <w:sz w:val="14"/>
                <w:szCs w:val="14"/>
              </w:rPr>
              <w:t xml:space="preserve"> </w:t>
            </w:r>
            <w:r w:rsidRPr="00BD307E">
              <w:rPr>
                <w:sz w:val="14"/>
                <w:szCs w:val="14"/>
              </w:rPr>
              <w:t>with</w:t>
            </w:r>
            <w:r w:rsidR="003C7FB2">
              <w:rPr>
                <w:sz w:val="14"/>
                <w:szCs w:val="14"/>
              </w:rPr>
              <w:t xml:space="preserve"> </w:t>
            </w:r>
            <w:r w:rsidRPr="00BD307E">
              <w:rPr>
                <w:sz w:val="14"/>
                <w:szCs w:val="14"/>
              </w:rPr>
              <w:t>active</w:t>
            </w:r>
            <w:r w:rsidR="003C7FB2">
              <w:rPr>
                <w:sz w:val="14"/>
                <w:szCs w:val="14"/>
              </w:rPr>
              <w:t xml:space="preserve"> </w:t>
            </w:r>
            <w:r w:rsidRPr="00BD307E">
              <w:rPr>
                <w:sz w:val="14"/>
                <w:szCs w:val="14"/>
              </w:rPr>
              <w:t>travel</w:t>
            </w:r>
          </w:p>
        </w:tc>
        <w:tc>
          <w:tcPr>
            <w:tcW w:w="1338" w:type="dxa"/>
          </w:tcPr>
          <w:p w14:paraId="5FA4CADF" w14:textId="77777777" w:rsidR="00F971D8" w:rsidRPr="00BD307E" w:rsidRDefault="00F971D8" w:rsidP="00D9387F">
            <w:pPr>
              <w:rPr>
                <w:sz w:val="14"/>
                <w:szCs w:val="14"/>
              </w:rPr>
            </w:pPr>
            <w:r w:rsidRPr="003C1693">
              <w:rPr>
                <w:sz w:val="14"/>
                <w:szCs w:val="14"/>
              </w:rPr>
              <w:t>n/a</w:t>
            </w:r>
          </w:p>
        </w:tc>
        <w:tc>
          <w:tcPr>
            <w:tcW w:w="1418" w:type="dxa"/>
          </w:tcPr>
          <w:p w14:paraId="5007A640" w14:textId="77777777" w:rsidR="00F971D8" w:rsidRPr="00BD307E" w:rsidRDefault="00F971D8" w:rsidP="00D9387F">
            <w:pPr>
              <w:rPr>
                <w:sz w:val="14"/>
                <w:szCs w:val="14"/>
              </w:rPr>
            </w:pPr>
            <w:r w:rsidRPr="003C1693">
              <w:rPr>
                <w:sz w:val="14"/>
                <w:szCs w:val="14"/>
              </w:rPr>
              <w:t>n/a</w:t>
            </w:r>
          </w:p>
        </w:tc>
        <w:tc>
          <w:tcPr>
            <w:tcW w:w="1276" w:type="dxa"/>
          </w:tcPr>
          <w:p w14:paraId="5081CBE7" w14:textId="14F8F263" w:rsidR="00F971D8" w:rsidRPr="00BD307E" w:rsidRDefault="00F971D8" w:rsidP="00D9387F">
            <w:pPr>
              <w:rPr>
                <w:sz w:val="14"/>
                <w:szCs w:val="14"/>
              </w:rPr>
            </w:pPr>
            <w:r w:rsidRPr="00BD307E">
              <w:rPr>
                <w:sz w:val="14"/>
                <w:szCs w:val="14"/>
              </w:rPr>
              <w:t>1</w:t>
            </w:r>
            <w:r>
              <w:rPr>
                <w:sz w:val="14"/>
                <w:szCs w:val="14"/>
              </w:rPr>
              <w:t>57</w:t>
            </w:r>
            <w:r w:rsidR="003C7FB2">
              <w:rPr>
                <w:sz w:val="14"/>
                <w:szCs w:val="14"/>
              </w:rPr>
              <w:t xml:space="preserve"> </w:t>
            </w:r>
            <w:r w:rsidRPr="00BD307E">
              <w:rPr>
                <w:sz w:val="14"/>
                <w:szCs w:val="14"/>
              </w:rPr>
              <w:t>(8.1)</w:t>
            </w:r>
          </w:p>
        </w:tc>
        <w:tc>
          <w:tcPr>
            <w:tcW w:w="1417" w:type="dxa"/>
          </w:tcPr>
          <w:p w14:paraId="1E7830EA" w14:textId="5A720946" w:rsidR="00F971D8" w:rsidRPr="00BD307E" w:rsidRDefault="00F971D8" w:rsidP="00D9387F">
            <w:pPr>
              <w:rPr>
                <w:sz w:val="14"/>
                <w:szCs w:val="14"/>
              </w:rPr>
            </w:pPr>
            <w:r w:rsidRPr="00BD307E">
              <w:rPr>
                <w:sz w:val="14"/>
                <w:szCs w:val="14"/>
              </w:rPr>
              <w:t>24</w:t>
            </w:r>
            <w:r>
              <w:rPr>
                <w:sz w:val="14"/>
                <w:szCs w:val="14"/>
              </w:rPr>
              <w:t>0</w:t>
            </w:r>
            <w:r w:rsidR="003C7FB2">
              <w:rPr>
                <w:sz w:val="14"/>
                <w:szCs w:val="14"/>
              </w:rPr>
              <w:t xml:space="preserve"> </w:t>
            </w:r>
            <w:r w:rsidRPr="00BD307E">
              <w:rPr>
                <w:sz w:val="14"/>
                <w:szCs w:val="14"/>
              </w:rPr>
              <w:t>(9.</w:t>
            </w:r>
            <w:r>
              <w:rPr>
                <w:sz w:val="14"/>
                <w:szCs w:val="14"/>
              </w:rPr>
              <w:t>7</w:t>
            </w:r>
            <w:r w:rsidRPr="00BD307E">
              <w:rPr>
                <w:sz w:val="14"/>
                <w:szCs w:val="14"/>
              </w:rPr>
              <w:t>)</w:t>
            </w:r>
          </w:p>
        </w:tc>
        <w:tc>
          <w:tcPr>
            <w:tcW w:w="1276" w:type="dxa"/>
          </w:tcPr>
          <w:p w14:paraId="03F94C3D" w14:textId="5642025F" w:rsidR="00F971D8" w:rsidRPr="005E622A" w:rsidRDefault="00F971D8" w:rsidP="00D9387F">
            <w:pPr>
              <w:rPr>
                <w:sz w:val="14"/>
                <w:szCs w:val="14"/>
              </w:rPr>
            </w:pPr>
            <w:r w:rsidRPr="005E622A">
              <w:rPr>
                <w:sz w:val="14"/>
                <w:szCs w:val="14"/>
              </w:rPr>
              <w:t>397</w:t>
            </w:r>
            <w:r w:rsidR="003C7FB2">
              <w:rPr>
                <w:sz w:val="14"/>
                <w:szCs w:val="14"/>
              </w:rPr>
              <w:t xml:space="preserve"> </w:t>
            </w:r>
            <w:r w:rsidRPr="005E622A">
              <w:rPr>
                <w:sz w:val="14"/>
                <w:szCs w:val="14"/>
              </w:rPr>
              <w:t>(5.2)</w:t>
            </w:r>
          </w:p>
        </w:tc>
      </w:tr>
      <w:tr w:rsidR="00F971D8" w:rsidRPr="00BD307E" w14:paraId="2031F453" w14:textId="77777777" w:rsidTr="00D9387F">
        <w:tc>
          <w:tcPr>
            <w:tcW w:w="1492" w:type="dxa"/>
          </w:tcPr>
          <w:p w14:paraId="11F36D94" w14:textId="70BBADBD" w:rsidR="00F971D8" w:rsidRPr="00BD307E" w:rsidRDefault="00F971D8" w:rsidP="00D9387F">
            <w:pPr>
              <w:rPr>
                <w:sz w:val="14"/>
                <w:szCs w:val="14"/>
              </w:rPr>
            </w:pPr>
            <w:r w:rsidRPr="00BD307E">
              <w:rPr>
                <w:b/>
                <w:sz w:val="14"/>
                <w:szCs w:val="14"/>
              </w:rPr>
              <w:t>Age</w:t>
            </w:r>
            <w:r w:rsidR="003C7FB2">
              <w:rPr>
                <w:b/>
                <w:sz w:val="14"/>
                <w:szCs w:val="14"/>
              </w:rPr>
              <w:t xml:space="preserve"> </w:t>
            </w:r>
            <w:r w:rsidRPr="00BD307E">
              <w:rPr>
                <w:b/>
                <w:sz w:val="14"/>
                <w:szCs w:val="14"/>
              </w:rPr>
              <w:t>(years)</w:t>
            </w:r>
          </w:p>
        </w:tc>
        <w:tc>
          <w:tcPr>
            <w:tcW w:w="1338" w:type="dxa"/>
          </w:tcPr>
          <w:p w14:paraId="42BF724D" w14:textId="3E2069AC" w:rsidR="00F971D8" w:rsidRPr="00BD307E" w:rsidRDefault="00F971D8" w:rsidP="00D9387F">
            <w:pPr>
              <w:rPr>
                <w:sz w:val="14"/>
                <w:szCs w:val="14"/>
              </w:rPr>
            </w:pPr>
            <w:r w:rsidRPr="00BD307E">
              <w:rPr>
                <w:sz w:val="14"/>
                <w:szCs w:val="14"/>
              </w:rPr>
              <w:t>48.8</w:t>
            </w:r>
            <w:r w:rsidR="003C7FB2">
              <w:rPr>
                <w:sz w:val="14"/>
                <w:szCs w:val="14"/>
              </w:rPr>
              <w:t xml:space="preserve"> </w:t>
            </w:r>
            <w:r w:rsidRPr="00BD307E">
              <w:rPr>
                <w:sz w:val="14"/>
                <w:szCs w:val="14"/>
              </w:rPr>
              <w:t>(43.4-54.1)</w:t>
            </w:r>
          </w:p>
        </w:tc>
        <w:tc>
          <w:tcPr>
            <w:tcW w:w="1418" w:type="dxa"/>
          </w:tcPr>
          <w:p w14:paraId="4590BBE7" w14:textId="41937EE9" w:rsidR="00F971D8" w:rsidRPr="00BD307E" w:rsidRDefault="00F971D8" w:rsidP="00D9387F">
            <w:pPr>
              <w:rPr>
                <w:sz w:val="14"/>
                <w:szCs w:val="14"/>
              </w:rPr>
            </w:pPr>
            <w:r>
              <w:rPr>
                <w:sz w:val="14"/>
                <w:szCs w:val="14"/>
              </w:rPr>
              <w:t>48.2</w:t>
            </w:r>
            <w:r w:rsidR="003C7FB2">
              <w:rPr>
                <w:sz w:val="14"/>
                <w:szCs w:val="14"/>
              </w:rPr>
              <w:t xml:space="preserve"> </w:t>
            </w:r>
            <w:r w:rsidRPr="00BD307E">
              <w:rPr>
                <w:sz w:val="14"/>
                <w:szCs w:val="14"/>
              </w:rPr>
              <w:t>(42.2-54.5)</w:t>
            </w:r>
          </w:p>
        </w:tc>
        <w:tc>
          <w:tcPr>
            <w:tcW w:w="1276" w:type="dxa"/>
          </w:tcPr>
          <w:p w14:paraId="5C857524" w14:textId="72352D72" w:rsidR="00F971D8" w:rsidRPr="00BD307E" w:rsidRDefault="00F971D8" w:rsidP="00D9387F">
            <w:pPr>
              <w:rPr>
                <w:sz w:val="14"/>
                <w:szCs w:val="14"/>
              </w:rPr>
            </w:pPr>
            <w:r>
              <w:rPr>
                <w:sz w:val="14"/>
                <w:szCs w:val="14"/>
              </w:rPr>
              <w:t>48.2</w:t>
            </w:r>
            <w:r w:rsidR="003C7FB2">
              <w:rPr>
                <w:sz w:val="14"/>
                <w:szCs w:val="14"/>
              </w:rPr>
              <w:t xml:space="preserve"> </w:t>
            </w:r>
            <w:r>
              <w:rPr>
                <w:sz w:val="14"/>
                <w:szCs w:val="14"/>
              </w:rPr>
              <w:t>(42.5-53.8</w:t>
            </w:r>
            <w:r w:rsidRPr="00BD307E">
              <w:rPr>
                <w:sz w:val="14"/>
                <w:szCs w:val="14"/>
              </w:rPr>
              <w:t>)</w:t>
            </w:r>
          </w:p>
        </w:tc>
        <w:tc>
          <w:tcPr>
            <w:tcW w:w="1417" w:type="dxa"/>
          </w:tcPr>
          <w:p w14:paraId="06EBD952" w14:textId="6A43D682" w:rsidR="00F971D8" w:rsidRPr="00BD307E" w:rsidRDefault="00F971D8" w:rsidP="00D9387F">
            <w:pPr>
              <w:rPr>
                <w:sz w:val="14"/>
                <w:szCs w:val="14"/>
              </w:rPr>
            </w:pPr>
            <w:r w:rsidRPr="00BD307E">
              <w:rPr>
                <w:sz w:val="14"/>
                <w:szCs w:val="14"/>
              </w:rPr>
              <w:t>47.9</w:t>
            </w:r>
            <w:r w:rsidR="003C7FB2">
              <w:rPr>
                <w:sz w:val="14"/>
                <w:szCs w:val="14"/>
              </w:rPr>
              <w:t xml:space="preserve"> </w:t>
            </w:r>
            <w:r w:rsidRPr="00BD307E">
              <w:rPr>
                <w:sz w:val="14"/>
                <w:szCs w:val="14"/>
              </w:rPr>
              <w:t>(42.2-53.8)</w:t>
            </w:r>
          </w:p>
        </w:tc>
        <w:tc>
          <w:tcPr>
            <w:tcW w:w="1276" w:type="dxa"/>
          </w:tcPr>
          <w:p w14:paraId="20FCE034" w14:textId="5B722928" w:rsidR="00F971D8" w:rsidRPr="00BD307E" w:rsidRDefault="00F971D8" w:rsidP="00D9387F">
            <w:pPr>
              <w:rPr>
                <w:sz w:val="14"/>
                <w:szCs w:val="14"/>
              </w:rPr>
            </w:pPr>
            <w:r>
              <w:rPr>
                <w:sz w:val="14"/>
                <w:szCs w:val="14"/>
              </w:rPr>
              <w:t>48.3</w:t>
            </w:r>
            <w:r w:rsidR="003C7FB2">
              <w:rPr>
                <w:sz w:val="14"/>
                <w:szCs w:val="14"/>
              </w:rPr>
              <w:t xml:space="preserve"> </w:t>
            </w:r>
            <w:r>
              <w:rPr>
                <w:sz w:val="14"/>
                <w:szCs w:val="14"/>
              </w:rPr>
              <w:t>(42.6</w:t>
            </w:r>
            <w:r w:rsidR="003C7FB2">
              <w:rPr>
                <w:sz w:val="14"/>
                <w:szCs w:val="14"/>
              </w:rPr>
              <w:t xml:space="preserve"> </w:t>
            </w:r>
            <w:r>
              <w:rPr>
                <w:sz w:val="14"/>
                <w:szCs w:val="14"/>
              </w:rPr>
              <w:t>to</w:t>
            </w:r>
            <w:r w:rsidR="003C7FB2">
              <w:rPr>
                <w:sz w:val="14"/>
                <w:szCs w:val="14"/>
              </w:rPr>
              <w:t xml:space="preserve"> </w:t>
            </w:r>
            <w:r>
              <w:rPr>
                <w:sz w:val="14"/>
                <w:szCs w:val="14"/>
              </w:rPr>
              <w:t>54.0</w:t>
            </w:r>
            <w:r w:rsidRPr="00BD307E">
              <w:rPr>
                <w:sz w:val="14"/>
                <w:szCs w:val="14"/>
              </w:rPr>
              <w:t>)</w:t>
            </w:r>
          </w:p>
        </w:tc>
      </w:tr>
      <w:tr w:rsidR="00F971D8" w:rsidRPr="00BD307E" w14:paraId="07975797" w14:textId="77777777" w:rsidTr="00D9387F">
        <w:tc>
          <w:tcPr>
            <w:tcW w:w="1492" w:type="dxa"/>
          </w:tcPr>
          <w:p w14:paraId="3776C7EE" w14:textId="77777777" w:rsidR="00F971D8" w:rsidRPr="00BD307E" w:rsidRDefault="00F971D8" w:rsidP="00D9387F">
            <w:pPr>
              <w:rPr>
                <w:sz w:val="14"/>
                <w:szCs w:val="14"/>
              </w:rPr>
            </w:pPr>
            <w:r w:rsidRPr="00BD307E">
              <w:rPr>
                <w:b/>
                <w:sz w:val="14"/>
                <w:szCs w:val="14"/>
              </w:rPr>
              <w:t>Education</w:t>
            </w:r>
          </w:p>
        </w:tc>
        <w:tc>
          <w:tcPr>
            <w:tcW w:w="1338" w:type="dxa"/>
          </w:tcPr>
          <w:p w14:paraId="62E0BCA4" w14:textId="77777777" w:rsidR="00F971D8" w:rsidRPr="00BD307E" w:rsidRDefault="00F971D8" w:rsidP="00D9387F">
            <w:pPr>
              <w:rPr>
                <w:sz w:val="14"/>
                <w:szCs w:val="14"/>
              </w:rPr>
            </w:pPr>
          </w:p>
        </w:tc>
        <w:tc>
          <w:tcPr>
            <w:tcW w:w="1418" w:type="dxa"/>
          </w:tcPr>
          <w:p w14:paraId="62B1CED8" w14:textId="77777777" w:rsidR="00F971D8" w:rsidRPr="00BD307E" w:rsidRDefault="00F971D8" w:rsidP="00D9387F">
            <w:pPr>
              <w:rPr>
                <w:sz w:val="14"/>
                <w:szCs w:val="14"/>
              </w:rPr>
            </w:pPr>
          </w:p>
        </w:tc>
        <w:tc>
          <w:tcPr>
            <w:tcW w:w="1276" w:type="dxa"/>
          </w:tcPr>
          <w:p w14:paraId="5A592A8E" w14:textId="77777777" w:rsidR="00F971D8" w:rsidRPr="00BD307E" w:rsidRDefault="00F971D8" w:rsidP="00D9387F">
            <w:pPr>
              <w:rPr>
                <w:sz w:val="14"/>
                <w:szCs w:val="14"/>
              </w:rPr>
            </w:pPr>
          </w:p>
        </w:tc>
        <w:tc>
          <w:tcPr>
            <w:tcW w:w="1417" w:type="dxa"/>
          </w:tcPr>
          <w:p w14:paraId="29C26D9E" w14:textId="77777777" w:rsidR="00F971D8" w:rsidRPr="00BD307E" w:rsidRDefault="00F971D8" w:rsidP="00D9387F">
            <w:pPr>
              <w:rPr>
                <w:sz w:val="14"/>
                <w:szCs w:val="14"/>
              </w:rPr>
            </w:pPr>
          </w:p>
        </w:tc>
        <w:tc>
          <w:tcPr>
            <w:tcW w:w="1276" w:type="dxa"/>
          </w:tcPr>
          <w:p w14:paraId="22F40CAF" w14:textId="77777777" w:rsidR="00F971D8" w:rsidRPr="00BD307E" w:rsidRDefault="00F971D8" w:rsidP="00D9387F">
            <w:pPr>
              <w:rPr>
                <w:sz w:val="14"/>
                <w:szCs w:val="14"/>
              </w:rPr>
            </w:pPr>
          </w:p>
        </w:tc>
      </w:tr>
      <w:tr w:rsidR="00F971D8" w:rsidRPr="00BD307E" w14:paraId="148BA373" w14:textId="77777777" w:rsidTr="00D9387F">
        <w:tc>
          <w:tcPr>
            <w:tcW w:w="1492" w:type="dxa"/>
          </w:tcPr>
          <w:p w14:paraId="5407F04E" w14:textId="794F1097" w:rsidR="00F971D8" w:rsidRPr="00BD307E" w:rsidRDefault="00F971D8" w:rsidP="00D9387F">
            <w:pPr>
              <w:rPr>
                <w:sz w:val="14"/>
                <w:szCs w:val="14"/>
              </w:rPr>
            </w:pPr>
            <w:r w:rsidRPr="00BD307E">
              <w:rPr>
                <w:sz w:val="14"/>
                <w:szCs w:val="14"/>
              </w:rPr>
              <w:t>Degree</w:t>
            </w:r>
            <w:r w:rsidR="003C7FB2">
              <w:rPr>
                <w:sz w:val="14"/>
                <w:szCs w:val="14"/>
              </w:rPr>
              <w:t xml:space="preserve"> </w:t>
            </w:r>
            <w:r w:rsidRPr="00BD307E">
              <w:rPr>
                <w:sz w:val="14"/>
                <w:szCs w:val="14"/>
              </w:rPr>
              <w:t>or</w:t>
            </w:r>
            <w:r w:rsidR="003C7FB2">
              <w:rPr>
                <w:sz w:val="14"/>
                <w:szCs w:val="14"/>
              </w:rPr>
              <w:t xml:space="preserve"> </w:t>
            </w:r>
            <w:r w:rsidRPr="00BD307E">
              <w:rPr>
                <w:sz w:val="14"/>
                <w:szCs w:val="14"/>
              </w:rPr>
              <w:t>equivalent</w:t>
            </w:r>
            <w:r w:rsidR="003C7FB2">
              <w:rPr>
                <w:sz w:val="14"/>
                <w:szCs w:val="14"/>
              </w:rPr>
              <w:t xml:space="preserve"> </w:t>
            </w:r>
          </w:p>
        </w:tc>
        <w:tc>
          <w:tcPr>
            <w:tcW w:w="1338" w:type="dxa"/>
          </w:tcPr>
          <w:p w14:paraId="4F9ABFDE" w14:textId="4CB65632" w:rsidR="00F971D8" w:rsidRPr="00BD307E" w:rsidRDefault="00F971D8" w:rsidP="00D9387F">
            <w:pPr>
              <w:rPr>
                <w:sz w:val="14"/>
                <w:szCs w:val="14"/>
              </w:rPr>
            </w:pPr>
            <w:r>
              <w:rPr>
                <w:sz w:val="14"/>
                <w:szCs w:val="14"/>
              </w:rPr>
              <w:t>6</w:t>
            </w:r>
            <w:r w:rsidRPr="00BD307E">
              <w:rPr>
                <w:sz w:val="14"/>
                <w:szCs w:val="14"/>
              </w:rPr>
              <w:t>2</w:t>
            </w:r>
            <w:r>
              <w:rPr>
                <w:sz w:val="14"/>
                <w:szCs w:val="14"/>
              </w:rPr>
              <w:t>4</w:t>
            </w:r>
            <w:r w:rsidR="003C7FB2">
              <w:rPr>
                <w:sz w:val="14"/>
                <w:szCs w:val="14"/>
              </w:rPr>
              <w:t xml:space="preserve"> </w:t>
            </w:r>
            <w:r>
              <w:rPr>
                <w:sz w:val="14"/>
                <w:szCs w:val="14"/>
              </w:rPr>
              <w:t>(31.2</w:t>
            </w:r>
            <w:r w:rsidRPr="00BD307E">
              <w:rPr>
                <w:sz w:val="14"/>
                <w:szCs w:val="14"/>
              </w:rPr>
              <w:t>)</w:t>
            </w:r>
          </w:p>
        </w:tc>
        <w:tc>
          <w:tcPr>
            <w:tcW w:w="1418" w:type="dxa"/>
          </w:tcPr>
          <w:p w14:paraId="7EBF9830" w14:textId="7A730729" w:rsidR="00F971D8" w:rsidRPr="00BD307E" w:rsidRDefault="00F971D8" w:rsidP="00D9387F">
            <w:pPr>
              <w:rPr>
                <w:sz w:val="14"/>
                <w:szCs w:val="14"/>
              </w:rPr>
            </w:pPr>
            <w:r>
              <w:rPr>
                <w:sz w:val="14"/>
                <w:szCs w:val="14"/>
              </w:rPr>
              <w:t>556</w:t>
            </w:r>
            <w:r w:rsidR="003C7FB2">
              <w:rPr>
                <w:sz w:val="14"/>
                <w:szCs w:val="14"/>
              </w:rPr>
              <w:t xml:space="preserve"> </w:t>
            </w:r>
            <w:r>
              <w:rPr>
                <w:sz w:val="14"/>
                <w:szCs w:val="14"/>
              </w:rPr>
              <w:t>(43.9</w:t>
            </w:r>
            <w:r w:rsidRPr="00BD307E">
              <w:rPr>
                <w:sz w:val="14"/>
                <w:szCs w:val="14"/>
              </w:rPr>
              <w:t>)</w:t>
            </w:r>
          </w:p>
        </w:tc>
        <w:tc>
          <w:tcPr>
            <w:tcW w:w="1276" w:type="dxa"/>
          </w:tcPr>
          <w:p w14:paraId="173E62E6" w14:textId="0FE4F8F1" w:rsidR="00F971D8" w:rsidRPr="00BD307E" w:rsidRDefault="00F971D8" w:rsidP="00D9387F">
            <w:pPr>
              <w:rPr>
                <w:sz w:val="14"/>
                <w:szCs w:val="14"/>
              </w:rPr>
            </w:pPr>
            <w:r>
              <w:rPr>
                <w:sz w:val="14"/>
                <w:szCs w:val="14"/>
              </w:rPr>
              <w:t>790</w:t>
            </w:r>
            <w:r w:rsidR="003C7FB2">
              <w:rPr>
                <w:sz w:val="14"/>
                <w:szCs w:val="14"/>
              </w:rPr>
              <w:t xml:space="preserve"> </w:t>
            </w:r>
            <w:r>
              <w:rPr>
                <w:sz w:val="14"/>
                <w:szCs w:val="14"/>
              </w:rPr>
              <w:t>(40.5</w:t>
            </w:r>
            <w:r w:rsidRPr="00BD307E">
              <w:rPr>
                <w:sz w:val="14"/>
                <w:szCs w:val="14"/>
              </w:rPr>
              <w:t>)</w:t>
            </w:r>
          </w:p>
        </w:tc>
        <w:tc>
          <w:tcPr>
            <w:tcW w:w="1417" w:type="dxa"/>
          </w:tcPr>
          <w:p w14:paraId="4F64D5F7" w14:textId="491E9E2C" w:rsidR="00F971D8" w:rsidRPr="00BD307E" w:rsidRDefault="00F971D8" w:rsidP="00D9387F">
            <w:pPr>
              <w:rPr>
                <w:sz w:val="14"/>
                <w:szCs w:val="14"/>
              </w:rPr>
            </w:pPr>
            <w:r>
              <w:rPr>
                <w:sz w:val="14"/>
                <w:szCs w:val="14"/>
              </w:rPr>
              <w:t>1052</w:t>
            </w:r>
            <w:r w:rsidR="003C7FB2">
              <w:rPr>
                <w:sz w:val="14"/>
                <w:szCs w:val="14"/>
              </w:rPr>
              <w:t xml:space="preserve"> </w:t>
            </w:r>
            <w:r w:rsidRPr="00BD307E">
              <w:rPr>
                <w:sz w:val="14"/>
                <w:szCs w:val="14"/>
              </w:rPr>
              <w:t>(4</w:t>
            </w:r>
            <w:r>
              <w:rPr>
                <w:sz w:val="14"/>
                <w:szCs w:val="14"/>
              </w:rPr>
              <w:t>2.7</w:t>
            </w:r>
            <w:r w:rsidRPr="00BD307E">
              <w:rPr>
                <w:sz w:val="14"/>
                <w:szCs w:val="14"/>
              </w:rPr>
              <w:t>)</w:t>
            </w:r>
          </w:p>
        </w:tc>
        <w:tc>
          <w:tcPr>
            <w:tcW w:w="1276" w:type="dxa"/>
          </w:tcPr>
          <w:p w14:paraId="6A713859" w14:textId="388A78A5" w:rsidR="00F971D8" w:rsidRPr="00BD307E" w:rsidRDefault="00F971D8" w:rsidP="00D9387F">
            <w:pPr>
              <w:rPr>
                <w:sz w:val="14"/>
                <w:szCs w:val="14"/>
              </w:rPr>
            </w:pPr>
            <w:r>
              <w:rPr>
                <w:sz w:val="14"/>
                <w:szCs w:val="14"/>
              </w:rPr>
              <w:t>3022</w:t>
            </w:r>
            <w:r w:rsidR="003C7FB2">
              <w:rPr>
                <w:sz w:val="14"/>
                <w:szCs w:val="14"/>
              </w:rPr>
              <w:t xml:space="preserve"> </w:t>
            </w:r>
            <w:r w:rsidRPr="00BD307E">
              <w:rPr>
                <w:sz w:val="14"/>
                <w:szCs w:val="14"/>
              </w:rPr>
              <w:t>(39.</w:t>
            </w:r>
            <w:r>
              <w:rPr>
                <w:sz w:val="14"/>
                <w:szCs w:val="14"/>
              </w:rPr>
              <w:t>4</w:t>
            </w:r>
            <w:r w:rsidRPr="00BD307E">
              <w:rPr>
                <w:sz w:val="14"/>
                <w:szCs w:val="14"/>
              </w:rPr>
              <w:t>)</w:t>
            </w:r>
          </w:p>
        </w:tc>
      </w:tr>
      <w:tr w:rsidR="00F971D8" w:rsidRPr="00BD307E" w14:paraId="74B1CD06" w14:textId="77777777" w:rsidTr="00D9387F">
        <w:tc>
          <w:tcPr>
            <w:tcW w:w="1492" w:type="dxa"/>
          </w:tcPr>
          <w:p w14:paraId="4C0A2295" w14:textId="1F95CBFC" w:rsidR="00F971D8" w:rsidRPr="00BD307E" w:rsidRDefault="00F971D8" w:rsidP="00D9387F">
            <w:pPr>
              <w:rPr>
                <w:sz w:val="14"/>
                <w:szCs w:val="14"/>
              </w:rPr>
            </w:pPr>
            <w:r w:rsidRPr="00BD307E">
              <w:rPr>
                <w:sz w:val="14"/>
                <w:szCs w:val="14"/>
              </w:rPr>
              <w:t>A-Level</w:t>
            </w:r>
            <w:r w:rsidR="003C7FB2">
              <w:rPr>
                <w:sz w:val="14"/>
                <w:szCs w:val="14"/>
              </w:rPr>
              <w:t xml:space="preserve"> </w:t>
            </w:r>
            <w:r w:rsidRPr="00BD307E">
              <w:rPr>
                <w:sz w:val="14"/>
                <w:szCs w:val="14"/>
              </w:rPr>
              <w:t>or</w:t>
            </w:r>
            <w:r w:rsidR="003C7FB2">
              <w:rPr>
                <w:sz w:val="14"/>
                <w:szCs w:val="14"/>
              </w:rPr>
              <w:t xml:space="preserve"> </w:t>
            </w:r>
            <w:r w:rsidRPr="00BD307E">
              <w:rPr>
                <w:sz w:val="14"/>
                <w:szCs w:val="14"/>
              </w:rPr>
              <w:t>equivalent</w:t>
            </w:r>
          </w:p>
        </w:tc>
        <w:tc>
          <w:tcPr>
            <w:tcW w:w="1338" w:type="dxa"/>
          </w:tcPr>
          <w:p w14:paraId="3BDD839F" w14:textId="536B6BA2" w:rsidR="00F971D8" w:rsidRPr="00BD307E" w:rsidRDefault="00F971D8" w:rsidP="00D9387F">
            <w:pPr>
              <w:rPr>
                <w:sz w:val="14"/>
                <w:szCs w:val="14"/>
              </w:rPr>
            </w:pPr>
            <w:r>
              <w:rPr>
                <w:sz w:val="14"/>
                <w:szCs w:val="14"/>
              </w:rPr>
              <w:t>910</w:t>
            </w:r>
            <w:r w:rsidR="003C7FB2">
              <w:rPr>
                <w:sz w:val="14"/>
                <w:szCs w:val="14"/>
              </w:rPr>
              <w:t xml:space="preserve"> </w:t>
            </w:r>
            <w:r>
              <w:rPr>
                <w:sz w:val="14"/>
                <w:szCs w:val="14"/>
              </w:rPr>
              <w:t>(45.5</w:t>
            </w:r>
            <w:r w:rsidRPr="00BD307E">
              <w:rPr>
                <w:sz w:val="14"/>
                <w:szCs w:val="14"/>
              </w:rPr>
              <w:t>)</w:t>
            </w:r>
          </w:p>
        </w:tc>
        <w:tc>
          <w:tcPr>
            <w:tcW w:w="1418" w:type="dxa"/>
          </w:tcPr>
          <w:p w14:paraId="3C0F4E44" w14:textId="1F9CB9BD" w:rsidR="00F971D8" w:rsidRPr="00BD307E" w:rsidRDefault="00F971D8" w:rsidP="00D9387F">
            <w:pPr>
              <w:rPr>
                <w:sz w:val="14"/>
                <w:szCs w:val="14"/>
              </w:rPr>
            </w:pPr>
            <w:r>
              <w:rPr>
                <w:sz w:val="14"/>
                <w:szCs w:val="14"/>
              </w:rPr>
              <w:t>463</w:t>
            </w:r>
            <w:r w:rsidR="003C7FB2">
              <w:rPr>
                <w:sz w:val="14"/>
                <w:szCs w:val="14"/>
              </w:rPr>
              <w:t xml:space="preserve"> </w:t>
            </w:r>
            <w:r>
              <w:rPr>
                <w:sz w:val="14"/>
                <w:szCs w:val="14"/>
              </w:rPr>
              <w:t>(36.5</w:t>
            </w:r>
            <w:r w:rsidRPr="00BD307E">
              <w:rPr>
                <w:sz w:val="14"/>
                <w:szCs w:val="14"/>
              </w:rPr>
              <w:t>)</w:t>
            </w:r>
          </w:p>
        </w:tc>
        <w:tc>
          <w:tcPr>
            <w:tcW w:w="1276" w:type="dxa"/>
          </w:tcPr>
          <w:p w14:paraId="323A68EF" w14:textId="1FB0062C" w:rsidR="00F971D8" w:rsidRPr="00BD307E" w:rsidRDefault="00F971D8" w:rsidP="00D9387F">
            <w:pPr>
              <w:rPr>
                <w:sz w:val="14"/>
                <w:szCs w:val="14"/>
              </w:rPr>
            </w:pPr>
            <w:r>
              <w:rPr>
                <w:sz w:val="14"/>
                <w:szCs w:val="14"/>
              </w:rPr>
              <w:t>858</w:t>
            </w:r>
            <w:r w:rsidR="003C7FB2">
              <w:rPr>
                <w:sz w:val="14"/>
                <w:szCs w:val="14"/>
              </w:rPr>
              <w:t xml:space="preserve"> </w:t>
            </w:r>
            <w:r w:rsidRPr="00BD307E">
              <w:rPr>
                <w:sz w:val="14"/>
                <w:szCs w:val="14"/>
              </w:rPr>
              <w:t>(44.0)</w:t>
            </w:r>
          </w:p>
        </w:tc>
        <w:tc>
          <w:tcPr>
            <w:tcW w:w="1417" w:type="dxa"/>
          </w:tcPr>
          <w:p w14:paraId="05D877B0" w14:textId="1E21D2D3" w:rsidR="00F971D8" w:rsidRPr="00BD307E" w:rsidRDefault="00F971D8" w:rsidP="00D9387F">
            <w:pPr>
              <w:rPr>
                <w:sz w:val="14"/>
                <w:szCs w:val="14"/>
              </w:rPr>
            </w:pPr>
            <w:r w:rsidRPr="00BD307E">
              <w:rPr>
                <w:sz w:val="14"/>
                <w:szCs w:val="14"/>
              </w:rPr>
              <w:t>10</w:t>
            </w:r>
            <w:r>
              <w:rPr>
                <w:sz w:val="14"/>
                <w:szCs w:val="14"/>
              </w:rPr>
              <w:t>67</w:t>
            </w:r>
            <w:r w:rsidR="003C7FB2">
              <w:rPr>
                <w:sz w:val="14"/>
                <w:szCs w:val="14"/>
              </w:rPr>
              <w:t xml:space="preserve"> </w:t>
            </w:r>
            <w:r w:rsidRPr="00BD307E">
              <w:rPr>
                <w:sz w:val="14"/>
                <w:szCs w:val="14"/>
              </w:rPr>
              <w:t>(43.</w:t>
            </w:r>
            <w:r>
              <w:rPr>
                <w:sz w:val="14"/>
                <w:szCs w:val="14"/>
              </w:rPr>
              <w:t>3</w:t>
            </w:r>
            <w:r w:rsidRPr="00BD307E">
              <w:rPr>
                <w:sz w:val="14"/>
                <w:szCs w:val="14"/>
              </w:rPr>
              <w:t>)</w:t>
            </w:r>
          </w:p>
        </w:tc>
        <w:tc>
          <w:tcPr>
            <w:tcW w:w="1276" w:type="dxa"/>
          </w:tcPr>
          <w:p w14:paraId="5C744CC3" w14:textId="61255F29" w:rsidR="00F971D8" w:rsidRPr="00BD307E" w:rsidRDefault="00F971D8" w:rsidP="00D9387F">
            <w:pPr>
              <w:rPr>
                <w:sz w:val="14"/>
                <w:szCs w:val="14"/>
              </w:rPr>
            </w:pPr>
            <w:r>
              <w:rPr>
                <w:sz w:val="14"/>
                <w:szCs w:val="14"/>
              </w:rPr>
              <w:t>3298</w:t>
            </w:r>
            <w:r w:rsidR="003C7FB2">
              <w:rPr>
                <w:sz w:val="14"/>
                <w:szCs w:val="14"/>
              </w:rPr>
              <w:t xml:space="preserve"> </w:t>
            </w:r>
            <w:r>
              <w:rPr>
                <w:sz w:val="14"/>
                <w:szCs w:val="14"/>
              </w:rPr>
              <w:t>(42.9</w:t>
            </w:r>
            <w:r w:rsidRPr="00BD307E">
              <w:rPr>
                <w:sz w:val="14"/>
                <w:szCs w:val="14"/>
              </w:rPr>
              <w:t>)</w:t>
            </w:r>
          </w:p>
        </w:tc>
      </w:tr>
      <w:tr w:rsidR="00F971D8" w:rsidRPr="00BD307E" w14:paraId="7E9E0870" w14:textId="77777777" w:rsidTr="00D9387F">
        <w:tc>
          <w:tcPr>
            <w:tcW w:w="1492" w:type="dxa"/>
          </w:tcPr>
          <w:p w14:paraId="64134681" w14:textId="58DE9D57" w:rsidR="00F971D8" w:rsidRPr="00BD307E" w:rsidRDefault="00F971D8" w:rsidP="00D9387F">
            <w:pPr>
              <w:rPr>
                <w:sz w:val="14"/>
                <w:szCs w:val="14"/>
              </w:rPr>
            </w:pPr>
            <w:r w:rsidRPr="00BD307E">
              <w:rPr>
                <w:sz w:val="14"/>
                <w:szCs w:val="14"/>
              </w:rPr>
              <w:t>GCSE</w:t>
            </w:r>
            <w:r w:rsidR="003C7FB2">
              <w:rPr>
                <w:sz w:val="14"/>
                <w:szCs w:val="14"/>
              </w:rPr>
              <w:t xml:space="preserve"> </w:t>
            </w:r>
            <w:r w:rsidRPr="00BD307E">
              <w:rPr>
                <w:sz w:val="14"/>
                <w:szCs w:val="14"/>
              </w:rPr>
              <w:t>or</w:t>
            </w:r>
            <w:r w:rsidR="003C7FB2">
              <w:rPr>
                <w:sz w:val="14"/>
                <w:szCs w:val="14"/>
              </w:rPr>
              <w:t xml:space="preserve"> </w:t>
            </w:r>
            <w:r w:rsidRPr="00BD307E">
              <w:rPr>
                <w:sz w:val="14"/>
                <w:szCs w:val="14"/>
              </w:rPr>
              <w:t>equivalent</w:t>
            </w:r>
          </w:p>
        </w:tc>
        <w:tc>
          <w:tcPr>
            <w:tcW w:w="1338" w:type="dxa"/>
          </w:tcPr>
          <w:p w14:paraId="5284AF49" w14:textId="1122C97C" w:rsidR="00F971D8" w:rsidRPr="00BD307E" w:rsidRDefault="00F971D8" w:rsidP="00D9387F">
            <w:pPr>
              <w:rPr>
                <w:sz w:val="14"/>
                <w:szCs w:val="14"/>
              </w:rPr>
            </w:pPr>
            <w:r>
              <w:rPr>
                <w:sz w:val="14"/>
                <w:szCs w:val="14"/>
              </w:rPr>
              <w:t>465</w:t>
            </w:r>
            <w:r w:rsidR="003C7FB2">
              <w:rPr>
                <w:sz w:val="14"/>
                <w:szCs w:val="14"/>
              </w:rPr>
              <w:t xml:space="preserve"> </w:t>
            </w:r>
            <w:r w:rsidRPr="00BD307E">
              <w:rPr>
                <w:sz w:val="14"/>
                <w:szCs w:val="14"/>
              </w:rPr>
              <w:t>(23.</w:t>
            </w:r>
            <w:r>
              <w:rPr>
                <w:sz w:val="14"/>
                <w:szCs w:val="14"/>
              </w:rPr>
              <w:t>3</w:t>
            </w:r>
            <w:r w:rsidRPr="00BD307E">
              <w:rPr>
                <w:sz w:val="14"/>
                <w:szCs w:val="14"/>
              </w:rPr>
              <w:t>)</w:t>
            </w:r>
          </w:p>
        </w:tc>
        <w:tc>
          <w:tcPr>
            <w:tcW w:w="1418" w:type="dxa"/>
          </w:tcPr>
          <w:p w14:paraId="474556FD" w14:textId="3244F1FA" w:rsidR="00F971D8" w:rsidRPr="00BD307E" w:rsidRDefault="00F971D8" w:rsidP="00D9387F">
            <w:pPr>
              <w:rPr>
                <w:sz w:val="14"/>
                <w:szCs w:val="14"/>
              </w:rPr>
            </w:pPr>
            <w:r>
              <w:rPr>
                <w:sz w:val="14"/>
                <w:szCs w:val="14"/>
              </w:rPr>
              <w:t>249</w:t>
            </w:r>
            <w:r w:rsidR="003C7FB2">
              <w:rPr>
                <w:sz w:val="14"/>
                <w:szCs w:val="14"/>
              </w:rPr>
              <w:t xml:space="preserve"> </w:t>
            </w:r>
            <w:r w:rsidRPr="00BD307E">
              <w:rPr>
                <w:sz w:val="14"/>
                <w:szCs w:val="14"/>
              </w:rPr>
              <w:t>(19.</w:t>
            </w:r>
            <w:r>
              <w:rPr>
                <w:sz w:val="14"/>
                <w:szCs w:val="14"/>
              </w:rPr>
              <w:t>6</w:t>
            </w:r>
            <w:r w:rsidRPr="00BD307E">
              <w:rPr>
                <w:sz w:val="14"/>
                <w:szCs w:val="14"/>
              </w:rPr>
              <w:t>)</w:t>
            </w:r>
          </w:p>
        </w:tc>
        <w:tc>
          <w:tcPr>
            <w:tcW w:w="1276" w:type="dxa"/>
          </w:tcPr>
          <w:p w14:paraId="4A270F16" w14:textId="1E4211C3" w:rsidR="00F971D8" w:rsidRPr="00BD307E" w:rsidRDefault="00F971D8" w:rsidP="00D9387F">
            <w:pPr>
              <w:rPr>
                <w:sz w:val="14"/>
                <w:szCs w:val="14"/>
              </w:rPr>
            </w:pPr>
            <w:r>
              <w:rPr>
                <w:sz w:val="14"/>
                <w:szCs w:val="14"/>
              </w:rPr>
              <w:t>302</w:t>
            </w:r>
            <w:r w:rsidR="003C7FB2">
              <w:rPr>
                <w:sz w:val="14"/>
                <w:szCs w:val="14"/>
              </w:rPr>
              <w:t xml:space="preserve"> </w:t>
            </w:r>
            <w:r w:rsidRPr="00BD307E">
              <w:rPr>
                <w:sz w:val="14"/>
                <w:szCs w:val="14"/>
              </w:rPr>
              <w:t>(15.</w:t>
            </w:r>
            <w:r>
              <w:rPr>
                <w:sz w:val="14"/>
                <w:szCs w:val="14"/>
              </w:rPr>
              <w:t>5</w:t>
            </w:r>
            <w:r w:rsidRPr="00BD307E">
              <w:rPr>
                <w:sz w:val="14"/>
                <w:szCs w:val="14"/>
              </w:rPr>
              <w:t>)</w:t>
            </w:r>
          </w:p>
        </w:tc>
        <w:tc>
          <w:tcPr>
            <w:tcW w:w="1417" w:type="dxa"/>
          </w:tcPr>
          <w:p w14:paraId="577A9D67" w14:textId="6D711FEF" w:rsidR="00F971D8" w:rsidRPr="00BD307E" w:rsidRDefault="00F971D8" w:rsidP="00D9387F">
            <w:pPr>
              <w:rPr>
                <w:sz w:val="14"/>
                <w:szCs w:val="14"/>
              </w:rPr>
            </w:pPr>
            <w:r w:rsidRPr="00BD307E">
              <w:rPr>
                <w:sz w:val="14"/>
                <w:szCs w:val="14"/>
              </w:rPr>
              <w:t>34</w:t>
            </w:r>
            <w:r>
              <w:rPr>
                <w:sz w:val="14"/>
                <w:szCs w:val="14"/>
              </w:rPr>
              <w:t>4</w:t>
            </w:r>
            <w:r w:rsidR="003C7FB2">
              <w:rPr>
                <w:sz w:val="14"/>
                <w:szCs w:val="14"/>
              </w:rPr>
              <w:t xml:space="preserve"> </w:t>
            </w:r>
            <w:r>
              <w:rPr>
                <w:sz w:val="14"/>
                <w:szCs w:val="14"/>
              </w:rPr>
              <w:t>(14.0</w:t>
            </w:r>
            <w:r w:rsidRPr="00BD307E">
              <w:rPr>
                <w:sz w:val="14"/>
                <w:szCs w:val="14"/>
              </w:rPr>
              <w:t>)</w:t>
            </w:r>
          </w:p>
        </w:tc>
        <w:tc>
          <w:tcPr>
            <w:tcW w:w="1276" w:type="dxa"/>
          </w:tcPr>
          <w:p w14:paraId="15F54D2A" w14:textId="4D56245C" w:rsidR="00F971D8" w:rsidRPr="00BD307E" w:rsidRDefault="00F971D8" w:rsidP="00D9387F">
            <w:pPr>
              <w:rPr>
                <w:sz w:val="14"/>
                <w:szCs w:val="14"/>
              </w:rPr>
            </w:pPr>
            <w:r>
              <w:rPr>
                <w:sz w:val="14"/>
                <w:szCs w:val="14"/>
              </w:rPr>
              <w:t>1360</w:t>
            </w:r>
            <w:r w:rsidR="003C7FB2">
              <w:rPr>
                <w:sz w:val="14"/>
                <w:szCs w:val="14"/>
              </w:rPr>
              <w:t xml:space="preserve"> </w:t>
            </w:r>
            <w:r w:rsidRPr="00BD307E">
              <w:rPr>
                <w:sz w:val="14"/>
                <w:szCs w:val="14"/>
              </w:rPr>
              <w:t>(17.7)</w:t>
            </w:r>
          </w:p>
        </w:tc>
      </w:tr>
      <w:tr w:rsidR="00F971D8" w:rsidRPr="00BD307E" w14:paraId="21666897" w14:textId="77777777" w:rsidTr="00D9387F">
        <w:tc>
          <w:tcPr>
            <w:tcW w:w="1492" w:type="dxa"/>
          </w:tcPr>
          <w:p w14:paraId="0FB6BC22" w14:textId="14887E63" w:rsidR="00F971D8" w:rsidRPr="00BD307E" w:rsidRDefault="00F971D8" w:rsidP="00D9387F">
            <w:pPr>
              <w:rPr>
                <w:sz w:val="14"/>
                <w:szCs w:val="14"/>
              </w:rPr>
            </w:pPr>
            <w:r w:rsidRPr="00BD307E">
              <w:rPr>
                <w:b/>
                <w:sz w:val="14"/>
                <w:szCs w:val="14"/>
              </w:rPr>
              <w:t>Smoking</w:t>
            </w:r>
            <w:r w:rsidR="003C7FB2">
              <w:rPr>
                <w:b/>
                <w:sz w:val="14"/>
                <w:szCs w:val="14"/>
              </w:rPr>
              <w:t xml:space="preserve"> </w:t>
            </w:r>
            <w:r w:rsidRPr="00BD307E">
              <w:rPr>
                <w:b/>
                <w:sz w:val="14"/>
                <w:szCs w:val="14"/>
              </w:rPr>
              <w:t>status</w:t>
            </w:r>
          </w:p>
        </w:tc>
        <w:tc>
          <w:tcPr>
            <w:tcW w:w="1338" w:type="dxa"/>
          </w:tcPr>
          <w:p w14:paraId="705C192C" w14:textId="77777777" w:rsidR="00F971D8" w:rsidRPr="00BD307E" w:rsidRDefault="00F971D8" w:rsidP="00D9387F">
            <w:pPr>
              <w:rPr>
                <w:sz w:val="14"/>
                <w:szCs w:val="14"/>
              </w:rPr>
            </w:pPr>
          </w:p>
        </w:tc>
        <w:tc>
          <w:tcPr>
            <w:tcW w:w="1418" w:type="dxa"/>
          </w:tcPr>
          <w:p w14:paraId="183EAF5D" w14:textId="77777777" w:rsidR="00F971D8" w:rsidRPr="00BD307E" w:rsidRDefault="00F971D8" w:rsidP="00D9387F">
            <w:pPr>
              <w:rPr>
                <w:sz w:val="14"/>
                <w:szCs w:val="14"/>
              </w:rPr>
            </w:pPr>
          </w:p>
        </w:tc>
        <w:tc>
          <w:tcPr>
            <w:tcW w:w="1276" w:type="dxa"/>
          </w:tcPr>
          <w:p w14:paraId="37DA385C" w14:textId="77777777" w:rsidR="00F971D8" w:rsidRPr="00BD307E" w:rsidRDefault="00F971D8" w:rsidP="00D9387F">
            <w:pPr>
              <w:rPr>
                <w:sz w:val="14"/>
                <w:szCs w:val="14"/>
              </w:rPr>
            </w:pPr>
          </w:p>
        </w:tc>
        <w:tc>
          <w:tcPr>
            <w:tcW w:w="1417" w:type="dxa"/>
          </w:tcPr>
          <w:p w14:paraId="49B0F664" w14:textId="77777777" w:rsidR="00F971D8" w:rsidRPr="00BD307E" w:rsidRDefault="00F971D8" w:rsidP="00D9387F">
            <w:pPr>
              <w:rPr>
                <w:sz w:val="14"/>
                <w:szCs w:val="14"/>
              </w:rPr>
            </w:pPr>
          </w:p>
        </w:tc>
        <w:tc>
          <w:tcPr>
            <w:tcW w:w="1276" w:type="dxa"/>
          </w:tcPr>
          <w:p w14:paraId="24E9336B" w14:textId="77777777" w:rsidR="00F971D8" w:rsidRPr="00BD307E" w:rsidRDefault="00F971D8" w:rsidP="00D9387F">
            <w:pPr>
              <w:rPr>
                <w:sz w:val="14"/>
                <w:szCs w:val="14"/>
              </w:rPr>
            </w:pPr>
          </w:p>
        </w:tc>
      </w:tr>
      <w:tr w:rsidR="00F971D8" w:rsidRPr="00BD307E" w14:paraId="4CDE7F23" w14:textId="77777777" w:rsidTr="00D9387F">
        <w:tc>
          <w:tcPr>
            <w:tcW w:w="1492" w:type="dxa"/>
          </w:tcPr>
          <w:p w14:paraId="70C71EBA" w14:textId="77777777" w:rsidR="00F971D8" w:rsidRPr="00BD307E" w:rsidRDefault="00F971D8" w:rsidP="00D9387F">
            <w:pPr>
              <w:rPr>
                <w:sz w:val="14"/>
                <w:szCs w:val="14"/>
              </w:rPr>
            </w:pPr>
            <w:r w:rsidRPr="00BD307E">
              <w:rPr>
                <w:sz w:val="14"/>
                <w:szCs w:val="14"/>
              </w:rPr>
              <w:t>Never</w:t>
            </w:r>
          </w:p>
        </w:tc>
        <w:tc>
          <w:tcPr>
            <w:tcW w:w="1338" w:type="dxa"/>
          </w:tcPr>
          <w:p w14:paraId="21F2B66A" w14:textId="714C2C38" w:rsidR="00F971D8" w:rsidRPr="00BD307E" w:rsidRDefault="00F971D8" w:rsidP="00D9387F">
            <w:pPr>
              <w:rPr>
                <w:sz w:val="14"/>
                <w:szCs w:val="14"/>
              </w:rPr>
            </w:pPr>
            <w:r>
              <w:rPr>
                <w:sz w:val="14"/>
                <w:szCs w:val="14"/>
              </w:rPr>
              <w:t>1116</w:t>
            </w:r>
            <w:r w:rsidR="003C7FB2">
              <w:rPr>
                <w:sz w:val="14"/>
                <w:szCs w:val="14"/>
              </w:rPr>
              <w:t xml:space="preserve"> </w:t>
            </w:r>
            <w:r>
              <w:rPr>
                <w:sz w:val="14"/>
                <w:szCs w:val="14"/>
              </w:rPr>
              <w:t>(55.8</w:t>
            </w:r>
            <w:r w:rsidRPr="00BD307E">
              <w:rPr>
                <w:sz w:val="14"/>
                <w:szCs w:val="14"/>
              </w:rPr>
              <w:t>)</w:t>
            </w:r>
          </w:p>
        </w:tc>
        <w:tc>
          <w:tcPr>
            <w:tcW w:w="1418" w:type="dxa"/>
          </w:tcPr>
          <w:p w14:paraId="774CC943" w14:textId="22A53CA5" w:rsidR="00F971D8" w:rsidRPr="00BD307E" w:rsidRDefault="00F971D8" w:rsidP="00D9387F">
            <w:pPr>
              <w:rPr>
                <w:sz w:val="14"/>
                <w:szCs w:val="14"/>
              </w:rPr>
            </w:pPr>
            <w:r>
              <w:rPr>
                <w:sz w:val="14"/>
                <w:szCs w:val="14"/>
              </w:rPr>
              <w:t>671</w:t>
            </w:r>
            <w:r w:rsidR="003C7FB2">
              <w:rPr>
                <w:sz w:val="14"/>
                <w:szCs w:val="14"/>
              </w:rPr>
              <w:t xml:space="preserve"> </w:t>
            </w:r>
            <w:r w:rsidRPr="00BD307E">
              <w:rPr>
                <w:sz w:val="14"/>
                <w:szCs w:val="14"/>
              </w:rPr>
              <w:t>(52.9)</w:t>
            </w:r>
          </w:p>
        </w:tc>
        <w:tc>
          <w:tcPr>
            <w:tcW w:w="1276" w:type="dxa"/>
          </w:tcPr>
          <w:p w14:paraId="57D1F77D" w14:textId="77777777" w:rsidR="00F971D8" w:rsidRPr="00BD307E" w:rsidRDefault="00F971D8" w:rsidP="00D9387F">
            <w:pPr>
              <w:rPr>
                <w:sz w:val="14"/>
                <w:szCs w:val="14"/>
              </w:rPr>
            </w:pPr>
            <w:r>
              <w:rPr>
                <w:sz w:val="14"/>
                <w:szCs w:val="14"/>
              </w:rPr>
              <w:t>1106(56.7</w:t>
            </w:r>
            <w:r w:rsidRPr="00BD307E">
              <w:rPr>
                <w:sz w:val="14"/>
                <w:szCs w:val="14"/>
              </w:rPr>
              <w:t>)</w:t>
            </w:r>
          </w:p>
        </w:tc>
        <w:tc>
          <w:tcPr>
            <w:tcW w:w="1417" w:type="dxa"/>
          </w:tcPr>
          <w:p w14:paraId="2D1062D5" w14:textId="7DBD0F14" w:rsidR="00F971D8" w:rsidRPr="00BD307E" w:rsidRDefault="00F971D8" w:rsidP="00D9387F">
            <w:pPr>
              <w:rPr>
                <w:sz w:val="14"/>
                <w:szCs w:val="14"/>
              </w:rPr>
            </w:pPr>
            <w:r>
              <w:rPr>
                <w:sz w:val="14"/>
                <w:szCs w:val="14"/>
              </w:rPr>
              <w:t>1323</w:t>
            </w:r>
            <w:r w:rsidR="003C7FB2">
              <w:rPr>
                <w:sz w:val="14"/>
                <w:szCs w:val="14"/>
              </w:rPr>
              <w:t xml:space="preserve"> </w:t>
            </w:r>
            <w:r w:rsidRPr="00BD307E">
              <w:rPr>
                <w:sz w:val="14"/>
                <w:szCs w:val="14"/>
              </w:rPr>
              <w:t>(53.7)</w:t>
            </w:r>
          </w:p>
        </w:tc>
        <w:tc>
          <w:tcPr>
            <w:tcW w:w="1276" w:type="dxa"/>
          </w:tcPr>
          <w:p w14:paraId="68AC58D9" w14:textId="77777777" w:rsidR="00F971D8" w:rsidRDefault="00F971D8" w:rsidP="00D9387F">
            <w:pPr>
              <w:rPr>
                <w:sz w:val="14"/>
                <w:szCs w:val="14"/>
              </w:rPr>
            </w:pPr>
            <w:r w:rsidRPr="00BD307E">
              <w:rPr>
                <w:sz w:val="14"/>
                <w:szCs w:val="14"/>
              </w:rPr>
              <w:t>4293</w:t>
            </w:r>
          </w:p>
          <w:p w14:paraId="36D96402" w14:textId="4E719595" w:rsidR="00F971D8" w:rsidRPr="00BD307E" w:rsidRDefault="003C7FB2" w:rsidP="00D9387F">
            <w:pPr>
              <w:rPr>
                <w:sz w:val="14"/>
                <w:szCs w:val="14"/>
              </w:rPr>
            </w:pPr>
            <w:r>
              <w:rPr>
                <w:sz w:val="14"/>
                <w:szCs w:val="14"/>
              </w:rPr>
              <w:t xml:space="preserve"> </w:t>
            </w:r>
            <w:r w:rsidR="00F971D8" w:rsidRPr="00BD307E">
              <w:rPr>
                <w:sz w:val="14"/>
                <w:szCs w:val="14"/>
              </w:rPr>
              <w:t>(55.0)</w:t>
            </w:r>
          </w:p>
        </w:tc>
      </w:tr>
      <w:tr w:rsidR="00F971D8" w:rsidRPr="00BD307E" w14:paraId="378B7ED0" w14:textId="77777777" w:rsidTr="00D9387F">
        <w:tc>
          <w:tcPr>
            <w:tcW w:w="1492" w:type="dxa"/>
          </w:tcPr>
          <w:p w14:paraId="0EC03676" w14:textId="77777777" w:rsidR="00F971D8" w:rsidRPr="00BD307E" w:rsidRDefault="00F971D8" w:rsidP="00D9387F">
            <w:pPr>
              <w:rPr>
                <w:sz w:val="14"/>
                <w:szCs w:val="14"/>
              </w:rPr>
            </w:pPr>
            <w:r w:rsidRPr="00BD307E">
              <w:rPr>
                <w:sz w:val="14"/>
                <w:szCs w:val="14"/>
              </w:rPr>
              <w:t>Ex-smoker</w:t>
            </w:r>
          </w:p>
        </w:tc>
        <w:tc>
          <w:tcPr>
            <w:tcW w:w="1338" w:type="dxa"/>
          </w:tcPr>
          <w:p w14:paraId="7EF6110C" w14:textId="503D4A94" w:rsidR="00F971D8" w:rsidRPr="00BD307E" w:rsidRDefault="00F971D8" w:rsidP="00D9387F">
            <w:pPr>
              <w:rPr>
                <w:sz w:val="14"/>
                <w:szCs w:val="14"/>
              </w:rPr>
            </w:pPr>
            <w:r>
              <w:rPr>
                <w:sz w:val="14"/>
                <w:szCs w:val="14"/>
              </w:rPr>
              <w:t>654</w:t>
            </w:r>
            <w:r w:rsidR="003C7FB2">
              <w:rPr>
                <w:sz w:val="14"/>
                <w:szCs w:val="14"/>
              </w:rPr>
              <w:t xml:space="preserve"> </w:t>
            </w:r>
            <w:r>
              <w:rPr>
                <w:sz w:val="14"/>
                <w:szCs w:val="14"/>
              </w:rPr>
              <w:t>(32.7</w:t>
            </w:r>
            <w:r w:rsidRPr="00BD307E">
              <w:rPr>
                <w:sz w:val="14"/>
                <w:szCs w:val="14"/>
              </w:rPr>
              <w:t>)</w:t>
            </w:r>
          </w:p>
        </w:tc>
        <w:tc>
          <w:tcPr>
            <w:tcW w:w="1418" w:type="dxa"/>
          </w:tcPr>
          <w:p w14:paraId="40F904CD" w14:textId="223253C1" w:rsidR="00F971D8" w:rsidRPr="00BD307E" w:rsidRDefault="00F971D8" w:rsidP="00D9387F">
            <w:pPr>
              <w:rPr>
                <w:sz w:val="14"/>
                <w:szCs w:val="14"/>
              </w:rPr>
            </w:pPr>
            <w:r>
              <w:rPr>
                <w:sz w:val="14"/>
                <w:szCs w:val="14"/>
              </w:rPr>
              <w:t>437</w:t>
            </w:r>
            <w:r w:rsidR="003C7FB2">
              <w:rPr>
                <w:sz w:val="14"/>
                <w:szCs w:val="14"/>
              </w:rPr>
              <w:t xml:space="preserve"> </w:t>
            </w:r>
            <w:r w:rsidRPr="00BD307E">
              <w:rPr>
                <w:sz w:val="14"/>
                <w:szCs w:val="14"/>
              </w:rPr>
              <w:t>(34.5)</w:t>
            </w:r>
          </w:p>
        </w:tc>
        <w:tc>
          <w:tcPr>
            <w:tcW w:w="1276" w:type="dxa"/>
          </w:tcPr>
          <w:p w14:paraId="2C3A07A9" w14:textId="18BCB175" w:rsidR="00F971D8" w:rsidRPr="00BD307E" w:rsidRDefault="00F971D8" w:rsidP="00D9387F">
            <w:pPr>
              <w:rPr>
                <w:sz w:val="14"/>
                <w:szCs w:val="14"/>
              </w:rPr>
            </w:pPr>
            <w:r>
              <w:rPr>
                <w:sz w:val="14"/>
                <w:szCs w:val="14"/>
              </w:rPr>
              <w:t>653</w:t>
            </w:r>
            <w:r w:rsidR="003C7FB2">
              <w:rPr>
                <w:sz w:val="14"/>
                <w:szCs w:val="14"/>
              </w:rPr>
              <w:t xml:space="preserve"> </w:t>
            </w:r>
            <w:r w:rsidRPr="00BD307E">
              <w:rPr>
                <w:sz w:val="14"/>
                <w:szCs w:val="14"/>
              </w:rPr>
              <w:t>(33.</w:t>
            </w:r>
            <w:r>
              <w:rPr>
                <w:sz w:val="14"/>
                <w:szCs w:val="14"/>
              </w:rPr>
              <w:t>5</w:t>
            </w:r>
            <w:r w:rsidRPr="00BD307E">
              <w:rPr>
                <w:sz w:val="14"/>
                <w:szCs w:val="14"/>
              </w:rPr>
              <w:t>)</w:t>
            </w:r>
          </w:p>
        </w:tc>
        <w:tc>
          <w:tcPr>
            <w:tcW w:w="1417" w:type="dxa"/>
          </w:tcPr>
          <w:p w14:paraId="4944BA68" w14:textId="3B22DE19" w:rsidR="00F971D8" w:rsidRPr="00BD307E" w:rsidRDefault="00F971D8" w:rsidP="00D9387F">
            <w:pPr>
              <w:rPr>
                <w:sz w:val="14"/>
                <w:szCs w:val="14"/>
              </w:rPr>
            </w:pPr>
            <w:r>
              <w:rPr>
                <w:sz w:val="14"/>
                <w:szCs w:val="14"/>
              </w:rPr>
              <w:t>836</w:t>
            </w:r>
            <w:r w:rsidR="003C7FB2">
              <w:rPr>
                <w:sz w:val="14"/>
                <w:szCs w:val="14"/>
              </w:rPr>
              <w:t xml:space="preserve"> </w:t>
            </w:r>
            <w:r w:rsidRPr="00BD307E">
              <w:rPr>
                <w:sz w:val="14"/>
                <w:szCs w:val="14"/>
              </w:rPr>
              <w:t>(33.9)</w:t>
            </w:r>
          </w:p>
        </w:tc>
        <w:tc>
          <w:tcPr>
            <w:tcW w:w="1276" w:type="dxa"/>
          </w:tcPr>
          <w:p w14:paraId="6CB003B7" w14:textId="35137526" w:rsidR="00F971D8" w:rsidRPr="00BD307E" w:rsidRDefault="00F971D8" w:rsidP="00D9387F">
            <w:pPr>
              <w:rPr>
                <w:sz w:val="14"/>
                <w:szCs w:val="14"/>
              </w:rPr>
            </w:pPr>
            <w:r w:rsidRPr="00BD307E">
              <w:rPr>
                <w:sz w:val="14"/>
                <w:szCs w:val="14"/>
              </w:rPr>
              <w:t>2616</w:t>
            </w:r>
            <w:r w:rsidR="003C7FB2">
              <w:rPr>
                <w:sz w:val="14"/>
                <w:szCs w:val="14"/>
              </w:rPr>
              <w:t xml:space="preserve"> </w:t>
            </w:r>
            <w:r w:rsidRPr="00BD307E">
              <w:rPr>
                <w:sz w:val="14"/>
                <w:szCs w:val="14"/>
              </w:rPr>
              <w:t>(33.5)</w:t>
            </w:r>
          </w:p>
        </w:tc>
      </w:tr>
      <w:tr w:rsidR="00F971D8" w:rsidRPr="00BD307E" w14:paraId="48F542CE" w14:textId="77777777" w:rsidTr="00D9387F">
        <w:tc>
          <w:tcPr>
            <w:tcW w:w="1492" w:type="dxa"/>
          </w:tcPr>
          <w:p w14:paraId="7D8CCACC" w14:textId="04DE769E" w:rsidR="00F971D8" w:rsidRPr="00BD307E" w:rsidRDefault="00F971D8" w:rsidP="00D9387F">
            <w:pPr>
              <w:rPr>
                <w:sz w:val="14"/>
                <w:szCs w:val="14"/>
              </w:rPr>
            </w:pPr>
            <w:r w:rsidRPr="00BD307E">
              <w:rPr>
                <w:sz w:val="14"/>
                <w:szCs w:val="14"/>
              </w:rPr>
              <w:t>Current</w:t>
            </w:r>
            <w:r w:rsidR="003C7FB2">
              <w:rPr>
                <w:sz w:val="14"/>
                <w:szCs w:val="14"/>
              </w:rPr>
              <w:t xml:space="preserve"> </w:t>
            </w:r>
            <w:r w:rsidRPr="00BD307E">
              <w:rPr>
                <w:sz w:val="14"/>
                <w:szCs w:val="14"/>
              </w:rPr>
              <w:t>smoker</w:t>
            </w:r>
          </w:p>
        </w:tc>
        <w:tc>
          <w:tcPr>
            <w:tcW w:w="1338" w:type="dxa"/>
          </w:tcPr>
          <w:p w14:paraId="1D4D0120" w14:textId="7A030B4C" w:rsidR="00F971D8" w:rsidRPr="00BD307E" w:rsidRDefault="00F971D8" w:rsidP="00D9387F">
            <w:pPr>
              <w:rPr>
                <w:sz w:val="14"/>
                <w:szCs w:val="14"/>
              </w:rPr>
            </w:pPr>
            <w:r>
              <w:rPr>
                <w:sz w:val="14"/>
                <w:szCs w:val="14"/>
              </w:rPr>
              <w:t>229</w:t>
            </w:r>
            <w:r w:rsidR="003C7FB2">
              <w:rPr>
                <w:sz w:val="14"/>
                <w:szCs w:val="14"/>
              </w:rPr>
              <w:t xml:space="preserve"> </w:t>
            </w:r>
            <w:r w:rsidRPr="00BD307E">
              <w:rPr>
                <w:sz w:val="14"/>
                <w:szCs w:val="14"/>
              </w:rPr>
              <w:t>(11.</w:t>
            </w:r>
            <w:r>
              <w:rPr>
                <w:sz w:val="14"/>
                <w:szCs w:val="14"/>
              </w:rPr>
              <w:t>5</w:t>
            </w:r>
            <w:r w:rsidRPr="00BD307E">
              <w:rPr>
                <w:sz w:val="14"/>
                <w:szCs w:val="14"/>
              </w:rPr>
              <w:t>)</w:t>
            </w:r>
          </w:p>
        </w:tc>
        <w:tc>
          <w:tcPr>
            <w:tcW w:w="1418" w:type="dxa"/>
          </w:tcPr>
          <w:p w14:paraId="2E30FCC5" w14:textId="53DA84AF" w:rsidR="00F971D8" w:rsidRPr="00BD307E" w:rsidRDefault="00F971D8" w:rsidP="00D9387F">
            <w:pPr>
              <w:rPr>
                <w:sz w:val="14"/>
                <w:szCs w:val="14"/>
              </w:rPr>
            </w:pPr>
            <w:r>
              <w:rPr>
                <w:sz w:val="14"/>
                <w:szCs w:val="14"/>
              </w:rPr>
              <w:t>160</w:t>
            </w:r>
            <w:r w:rsidR="003C7FB2">
              <w:rPr>
                <w:sz w:val="14"/>
                <w:szCs w:val="14"/>
              </w:rPr>
              <w:t xml:space="preserve"> </w:t>
            </w:r>
            <w:r w:rsidRPr="00BD307E">
              <w:rPr>
                <w:sz w:val="14"/>
                <w:szCs w:val="14"/>
              </w:rPr>
              <w:t>(12.</w:t>
            </w:r>
            <w:r>
              <w:rPr>
                <w:sz w:val="14"/>
                <w:szCs w:val="14"/>
              </w:rPr>
              <w:t>6</w:t>
            </w:r>
            <w:r w:rsidRPr="00BD307E">
              <w:rPr>
                <w:sz w:val="14"/>
                <w:szCs w:val="14"/>
              </w:rPr>
              <w:t>)</w:t>
            </w:r>
          </w:p>
        </w:tc>
        <w:tc>
          <w:tcPr>
            <w:tcW w:w="1276" w:type="dxa"/>
          </w:tcPr>
          <w:p w14:paraId="285DEABC" w14:textId="6F2E30C0" w:rsidR="00F971D8" w:rsidRPr="00BD307E" w:rsidRDefault="00F971D8" w:rsidP="00D9387F">
            <w:pPr>
              <w:rPr>
                <w:sz w:val="14"/>
                <w:szCs w:val="14"/>
              </w:rPr>
            </w:pPr>
            <w:r>
              <w:rPr>
                <w:sz w:val="14"/>
                <w:szCs w:val="14"/>
              </w:rPr>
              <w:t>191</w:t>
            </w:r>
            <w:r w:rsidR="003C7FB2">
              <w:rPr>
                <w:sz w:val="14"/>
                <w:szCs w:val="14"/>
              </w:rPr>
              <w:t xml:space="preserve"> </w:t>
            </w:r>
            <w:r w:rsidRPr="00BD307E">
              <w:rPr>
                <w:sz w:val="14"/>
                <w:szCs w:val="14"/>
              </w:rPr>
              <w:t>(9.8)</w:t>
            </w:r>
          </w:p>
        </w:tc>
        <w:tc>
          <w:tcPr>
            <w:tcW w:w="1417" w:type="dxa"/>
          </w:tcPr>
          <w:p w14:paraId="3602E79E" w14:textId="5DFFB500" w:rsidR="00F971D8" w:rsidRPr="00BD307E" w:rsidRDefault="00F971D8" w:rsidP="00D9387F">
            <w:pPr>
              <w:rPr>
                <w:sz w:val="14"/>
                <w:szCs w:val="14"/>
              </w:rPr>
            </w:pPr>
            <w:r>
              <w:rPr>
                <w:sz w:val="14"/>
                <w:szCs w:val="14"/>
              </w:rPr>
              <w:t>304</w:t>
            </w:r>
            <w:r w:rsidR="003C7FB2">
              <w:rPr>
                <w:sz w:val="14"/>
                <w:szCs w:val="14"/>
              </w:rPr>
              <w:t xml:space="preserve"> </w:t>
            </w:r>
            <w:r w:rsidRPr="00BD307E">
              <w:rPr>
                <w:sz w:val="14"/>
                <w:szCs w:val="14"/>
              </w:rPr>
              <w:t>(12.3)</w:t>
            </w:r>
          </w:p>
        </w:tc>
        <w:tc>
          <w:tcPr>
            <w:tcW w:w="1276" w:type="dxa"/>
          </w:tcPr>
          <w:p w14:paraId="287C7084" w14:textId="7C3130B5" w:rsidR="00F971D8" w:rsidRPr="00BD307E" w:rsidRDefault="00F971D8" w:rsidP="00D9387F">
            <w:pPr>
              <w:rPr>
                <w:sz w:val="14"/>
                <w:szCs w:val="14"/>
              </w:rPr>
            </w:pPr>
            <w:r w:rsidRPr="00BD307E">
              <w:rPr>
                <w:sz w:val="14"/>
                <w:szCs w:val="14"/>
              </w:rPr>
              <w:t>897</w:t>
            </w:r>
            <w:r w:rsidR="003C7FB2">
              <w:rPr>
                <w:sz w:val="14"/>
                <w:szCs w:val="14"/>
              </w:rPr>
              <w:t xml:space="preserve"> </w:t>
            </w:r>
            <w:r w:rsidRPr="00BD307E">
              <w:rPr>
                <w:sz w:val="14"/>
                <w:szCs w:val="14"/>
              </w:rPr>
              <w:t>(11.5)</w:t>
            </w:r>
          </w:p>
        </w:tc>
      </w:tr>
      <w:tr w:rsidR="00F971D8" w:rsidRPr="00BD307E" w14:paraId="4E8E6F70" w14:textId="77777777" w:rsidTr="00D9387F">
        <w:tc>
          <w:tcPr>
            <w:tcW w:w="1492" w:type="dxa"/>
          </w:tcPr>
          <w:p w14:paraId="0410C449" w14:textId="11AC8D79" w:rsidR="00F971D8" w:rsidRPr="00BD307E" w:rsidRDefault="00F971D8" w:rsidP="00D9387F">
            <w:pPr>
              <w:rPr>
                <w:sz w:val="14"/>
                <w:szCs w:val="14"/>
              </w:rPr>
            </w:pPr>
            <w:r w:rsidRPr="00BD307E">
              <w:rPr>
                <w:b/>
                <w:sz w:val="14"/>
                <w:szCs w:val="14"/>
              </w:rPr>
              <w:t>Alcohol</w:t>
            </w:r>
            <w:r w:rsidR="003C7FB2">
              <w:rPr>
                <w:b/>
                <w:sz w:val="14"/>
                <w:szCs w:val="14"/>
              </w:rPr>
              <w:t xml:space="preserve"> </w:t>
            </w:r>
            <w:r w:rsidRPr="00BD307E">
              <w:rPr>
                <w:b/>
                <w:sz w:val="14"/>
                <w:szCs w:val="14"/>
              </w:rPr>
              <w:t>consumption</w:t>
            </w:r>
          </w:p>
        </w:tc>
        <w:tc>
          <w:tcPr>
            <w:tcW w:w="1338" w:type="dxa"/>
          </w:tcPr>
          <w:p w14:paraId="1246EA22" w14:textId="77777777" w:rsidR="00F971D8" w:rsidRPr="00BD307E" w:rsidRDefault="00F971D8" w:rsidP="00D9387F">
            <w:pPr>
              <w:rPr>
                <w:sz w:val="14"/>
                <w:szCs w:val="14"/>
              </w:rPr>
            </w:pPr>
          </w:p>
        </w:tc>
        <w:tc>
          <w:tcPr>
            <w:tcW w:w="1418" w:type="dxa"/>
          </w:tcPr>
          <w:p w14:paraId="4590C403" w14:textId="77777777" w:rsidR="00F971D8" w:rsidRPr="00BD307E" w:rsidRDefault="00F971D8" w:rsidP="00D9387F">
            <w:pPr>
              <w:rPr>
                <w:sz w:val="14"/>
                <w:szCs w:val="14"/>
              </w:rPr>
            </w:pPr>
          </w:p>
        </w:tc>
        <w:tc>
          <w:tcPr>
            <w:tcW w:w="1276" w:type="dxa"/>
          </w:tcPr>
          <w:p w14:paraId="5DBC80A1" w14:textId="77777777" w:rsidR="00F971D8" w:rsidRPr="00BD307E" w:rsidRDefault="00F971D8" w:rsidP="00D9387F">
            <w:pPr>
              <w:rPr>
                <w:sz w:val="14"/>
                <w:szCs w:val="14"/>
              </w:rPr>
            </w:pPr>
          </w:p>
        </w:tc>
        <w:tc>
          <w:tcPr>
            <w:tcW w:w="1417" w:type="dxa"/>
          </w:tcPr>
          <w:p w14:paraId="239F7CA7" w14:textId="77777777" w:rsidR="00F971D8" w:rsidRPr="00BD307E" w:rsidRDefault="00F971D8" w:rsidP="00D9387F">
            <w:pPr>
              <w:rPr>
                <w:sz w:val="14"/>
                <w:szCs w:val="14"/>
              </w:rPr>
            </w:pPr>
          </w:p>
        </w:tc>
        <w:tc>
          <w:tcPr>
            <w:tcW w:w="1276" w:type="dxa"/>
          </w:tcPr>
          <w:p w14:paraId="387DD62E" w14:textId="77777777" w:rsidR="00F971D8" w:rsidRPr="00BD307E" w:rsidRDefault="00F971D8" w:rsidP="00D9387F">
            <w:pPr>
              <w:rPr>
                <w:sz w:val="14"/>
                <w:szCs w:val="14"/>
              </w:rPr>
            </w:pPr>
          </w:p>
        </w:tc>
      </w:tr>
      <w:tr w:rsidR="00F971D8" w:rsidRPr="00BD307E" w14:paraId="0E49AEDE" w14:textId="77777777" w:rsidTr="00D9387F">
        <w:tc>
          <w:tcPr>
            <w:tcW w:w="1492" w:type="dxa"/>
          </w:tcPr>
          <w:p w14:paraId="4955F587" w14:textId="77777777" w:rsidR="00F971D8" w:rsidRPr="00BD307E" w:rsidRDefault="00F971D8" w:rsidP="00D9387F">
            <w:pPr>
              <w:rPr>
                <w:sz w:val="14"/>
                <w:szCs w:val="14"/>
              </w:rPr>
            </w:pPr>
            <w:r w:rsidRPr="00BD307E">
              <w:rPr>
                <w:sz w:val="14"/>
                <w:szCs w:val="14"/>
              </w:rPr>
              <w:t>None</w:t>
            </w:r>
          </w:p>
        </w:tc>
        <w:tc>
          <w:tcPr>
            <w:tcW w:w="1338" w:type="dxa"/>
          </w:tcPr>
          <w:p w14:paraId="01B90DB8" w14:textId="02F80DAE" w:rsidR="00F971D8" w:rsidRPr="00BD307E" w:rsidRDefault="00F971D8" w:rsidP="00D9387F">
            <w:pPr>
              <w:rPr>
                <w:sz w:val="14"/>
                <w:szCs w:val="14"/>
              </w:rPr>
            </w:pPr>
            <w:r>
              <w:rPr>
                <w:sz w:val="14"/>
                <w:szCs w:val="14"/>
              </w:rPr>
              <w:t>422</w:t>
            </w:r>
            <w:r w:rsidR="003C7FB2">
              <w:rPr>
                <w:sz w:val="14"/>
                <w:szCs w:val="14"/>
              </w:rPr>
              <w:t xml:space="preserve"> </w:t>
            </w:r>
            <w:r w:rsidRPr="00BD307E">
              <w:rPr>
                <w:sz w:val="14"/>
                <w:szCs w:val="14"/>
              </w:rPr>
              <w:t>(21.1)</w:t>
            </w:r>
          </w:p>
        </w:tc>
        <w:tc>
          <w:tcPr>
            <w:tcW w:w="1418" w:type="dxa"/>
          </w:tcPr>
          <w:p w14:paraId="334FFEDF" w14:textId="5FE5D82D" w:rsidR="00F971D8" w:rsidRPr="00BD307E" w:rsidRDefault="00F971D8" w:rsidP="00D9387F">
            <w:pPr>
              <w:rPr>
                <w:sz w:val="14"/>
                <w:szCs w:val="14"/>
              </w:rPr>
            </w:pPr>
            <w:r w:rsidRPr="00BD307E">
              <w:rPr>
                <w:sz w:val="14"/>
                <w:szCs w:val="14"/>
              </w:rPr>
              <w:t>14</w:t>
            </w:r>
            <w:r>
              <w:rPr>
                <w:sz w:val="14"/>
                <w:szCs w:val="14"/>
              </w:rPr>
              <w:t>1</w:t>
            </w:r>
            <w:r w:rsidR="003C7FB2">
              <w:rPr>
                <w:sz w:val="14"/>
                <w:szCs w:val="14"/>
              </w:rPr>
              <w:t xml:space="preserve"> </w:t>
            </w:r>
            <w:r w:rsidRPr="00BD307E">
              <w:rPr>
                <w:sz w:val="14"/>
                <w:szCs w:val="14"/>
              </w:rPr>
              <w:t>(11.1)</w:t>
            </w:r>
          </w:p>
        </w:tc>
        <w:tc>
          <w:tcPr>
            <w:tcW w:w="1276" w:type="dxa"/>
          </w:tcPr>
          <w:p w14:paraId="1EF17F3E" w14:textId="7E6E511A" w:rsidR="00F971D8" w:rsidRPr="00BD307E" w:rsidRDefault="00F971D8" w:rsidP="00D9387F">
            <w:pPr>
              <w:rPr>
                <w:sz w:val="14"/>
                <w:szCs w:val="14"/>
              </w:rPr>
            </w:pPr>
            <w:r>
              <w:rPr>
                <w:sz w:val="14"/>
                <w:szCs w:val="14"/>
              </w:rPr>
              <w:t>339</w:t>
            </w:r>
            <w:r w:rsidR="003C7FB2">
              <w:rPr>
                <w:sz w:val="14"/>
                <w:szCs w:val="14"/>
              </w:rPr>
              <w:t xml:space="preserve"> </w:t>
            </w:r>
            <w:r w:rsidRPr="00BD307E">
              <w:rPr>
                <w:sz w:val="14"/>
                <w:szCs w:val="14"/>
              </w:rPr>
              <w:t>(17.</w:t>
            </w:r>
            <w:r>
              <w:rPr>
                <w:sz w:val="14"/>
                <w:szCs w:val="14"/>
              </w:rPr>
              <w:t>4</w:t>
            </w:r>
            <w:r w:rsidRPr="00BD307E">
              <w:rPr>
                <w:sz w:val="14"/>
                <w:szCs w:val="14"/>
              </w:rPr>
              <w:t>)</w:t>
            </w:r>
          </w:p>
        </w:tc>
        <w:tc>
          <w:tcPr>
            <w:tcW w:w="1417" w:type="dxa"/>
          </w:tcPr>
          <w:p w14:paraId="31AB29EB" w14:textId="154777C9" w:rsidR="00F971D8" w:rsidRPr="00BD307E" w:rsidRDefault="00F971D8" w:rsidP="00D9387F">
            <w:pPr>
              <w:rPr>
                <w:sz w:val="14"/>
                <w:szCs w:val="14"/>
              </w:rPr>
            </w:pPr>
            <w:r>
              <w:rPr>
                <w:sz w:val="14"/>
                <w:szCs w:val="14"/>
              </w:rPr>
              <w:t>221</w:t>
            </w:r>
            <w:r w:rsidR="003C7FB2">
              <w:rPr>
                <w:sz w:val="14"/>
                <w:szCs w:val="14"/>
              </w:rPr>
              <w:t xml:space="preserve"> </w:t>
            </w:r>
            <w:r w:rsidRPr="00BD307E">
              <w:rPr>
                <w:sz w:val="14"/>
                <w:szCs w:val="14"/>
              </w:rPr>
              <w:t>(9</w:t>
            </w:r>
            <w:r>
              <w:rPr>
                <w:sz w:val="14"/>
                <w:szCs w:val="14"/>
              </w:rPr>
              <w:t>.0</w:t>
            </w:r>
            <w:r w:rsidRPr="00BD307E">
              <w:rPr>
                <w:sz w:val="14"/>
                <w:szCs w:val="14"/>
              </w:rPr>
              <w:t>)</w:t>
            </w:r>
          </w:p>
        </w:tc>
        <w:tc>
          <w:tcPr>
            <w:tcW w:w="1276" w:type="dxa"/>
          </w:tcPr>
          <w:p w14:paraId="0E73DF49" w14:textId="164D2D40" w:rsidR="00F971D8" w:rsidRPr="00BD307E" w:rsidRDefault="00F971D8" w:rsidP="00D9387F">
            <w:pPr>
              <w:rPr>
                <w:sz w:val="14"/>
                <w:szCs w:val="14"/>
              </w:rPr>
            </w:pPr>
            <w:r>
              <w:rPr>
                <w:sz w:val="14"/>
                <w:szCs w:val="14"/>
              </w:rPr>
              <w:t>1123</w:t>
            </w:r>
            <w:r w:rsidR="003C7FB2">
              <w:rPr>
                <w:sz w:val="14"/>
                <w:szCs w:val="14"/>
              </w:rPr>
              <w:t xml:space="preserve"> </w:t>
            </w:r>
            <w:r w:rsidRPr="00BD307E">
              <w:rPr>
                <w:sz w:val="14"/>
                <w:szCs w:val="14"/>
              </w:rPr>
              <w:t>(14.6)</w:t>
            </w:r>
          </w:p>
        </w:tc>
      </w:tr>
      <w:tr w:rsidR="00F971D8" w:rsidRPr="00BD307E" w14:paraId="60745E1E" w14:textId="77777777" w:rsidTr="00D9387F">
        <w:tc>
          <w:tcPr>
            <w:tcW w:w="1492" w:type="dxa"/>
          </w:tcPr>
          <w:p w14:paraId="3BC628BB" w14:textId="083DC2F3" w:rsidR="00F971D8" w:rsidRPr="00BD307E" w:rsidRDefault="00F971D8" w:rsidP="00D9387F">
            <w:pPr>
              <w:rPr>
                <w:b/>
                <w:sz w:val="14"/>
                <w:szCs w:val="14"/>
              </w:rPr>
            </w:pPr>
            <w:r w:rsidRPr="00BD307E">
              <w:rPr>
                <w:sz w:val="14"/>
                <w:szCs w:val="14"/>
              </w:rPr>
              <w:t>Within</w:t>
            </w:r>
            <w:r w:rsidR="003C7FB2">
              <w:rPr>
                <w:sz w:val="14"/>
                <w:szCs w:val="14"/>
              </w:rPr>
              <w:t xml:space="preserve"> </w:t>
            </w:r>
            <w:r w:rsidRPr="00BD307E">
              <w:rPr>
                <w:sz w:val="14"/>
                <w:szCs w:val="14"/>
              </w:rPr>
              <w:t>guidelines</w:t>
            </w:r>
            <w:r w:rsidR="003C7FB2">
              <w:rPr>
                <w:sz w:val="14"/>
                <w:szCs w:val="14"/>
              </w:rPr>
              <w:t xml:space="preserve"> </w:t>
            </w:r>
            <w:r w:rsidRPr="00BD307E">
              <w:rPr>
                <w:sz w:val="14"/>
                <w:szCs w:val="14"/>
              </w:rPr>
              <w:t>(&lt;16g</w:t>
            </w:r>
            <w:r w:rsidR="003C7FB2">
              <w:rPr>
                <w:sz w:val="14"/>
                <w:szCs w:val="14"/>
              </w:rPr>
              <w:t xml:space="preserve"> </w:t>
            </w:r>
            <w:r w:rsidRPr="00BD307E">
              <w:rPr>
                <w:sz w:val="14"/>
                <w:szCs w:val="14"/>
              </w:rPr>
              <w:t>per</w:t>
            </w:r>
            <w:r w:rsidR="003C7FB2">
              <w:rPr>
                <w:sz w:val="14"/>
                <w:szCs w:val="14"/>
              </w:rPr>
              <w:t xml:space="preserve"> </w:t>
            </w:r>
            <w:r w:rsidRPr="00BD307E">
              <w:rPr>
                <w:sz w:val="14"/>
                <w:szCs w:val="14"/>
              </w:rPr>
              <w:t>week)</w:t>
            </w:r>
          </w:p>
        </w:tc>
        <w:tc>
          <w:tcPr>
            <w:tcW w:w="1338" w:type="dxa"/>
          </w:tcPr>
          <w:p w14:paraId="3C155C9C" w14:textId="13013011" w:rsidR="00F971D8" w:rsidRPr="00BD307E" w:rsidRDefault="00F971D8" w:rsidP="00D9387F">
            <w:pPr>
              <w:rPr>
                <w:sz w:val="14"/>
                <w:szCs w:val="14"/>
              </w:rPr>
            </w:pPr>
            <w:r w:rsidRPr="00BD307E">
              <w:rPr>
                <w:sz w:val="14"/>
                <w:szCs w:val="14"/>
              </w:rPr>
              <w:t>14</w:t>
            </w:r>
            <w:r>
              <w:rPr>
                <w:sz w:val="14"/>
                <w:szCs w:val="14"/>
              </w:rPr>
              <w:t>20</w:t>
            </w:r>
            <w:r w:rsidR="003C7FB2">
              <w:rPr>
                <w:sz w:val="14"/>
                <w:szCs w:val="14"/>
              </w:rPr>
              <w:t xml:space="preserve"> </w:t>
            </w:r>
            <w:r w:rsidRPr="00BD307E">
              <w:rPr>
                <w:sz w:val="14"/>
                <w:szCs w:val="14"/>
              </w:rPr>
              <w:t>(71.0)</w:t>
            </w:r>
          </w:p>
        </w:tc>
        <w:tc>
          <w:tcPr>
            <w:tcW w:w="1418" w:type="dxa"/>
          </w:tcPr>
          <w:p w14:paraId="1A8E9BE0" w14:textId="514595DF" w:rsidR="00F971D8" w:rsidRPr="00BD307E" w:rsidRDefault="00F971D8" w:rsidP="00D9387F">
            <w:pPr>
              <w:rPr>
                <w:sz w:val="14"/>
                <w:szCs w:val="14"/>
              </w:rPr>
            </w:pPr>
            <w:r>
              <w:rPr>
                <w:sz w:val="14"/>
                <w:szCs w:val="14"/>
              </w:rPr>
              <w:t>84</w:t>
            </w:r>
            <w:r w:rsidRPr="00BD307E">
              <w:rPr>
                <w:sz w:val="14"/>
                <w:szCs w:val="14"/>
              </w:rPr>
              <w:t>0</w:t>
            </w:r>
            <w:r w:rsidR="003C7FB2">
              <w:rPr>
                <w:sz w:val="14"/>
                <w:szCs w:val="14"/>
              </w:rPr>
              <w:t xml:space="preserve"> </w:t>
            </w:r>
            <w:r w:rsidRPr="00BD307E">
              <w:rPr>
                <w:sz w:val="14"/>
                <w:szCs w:val="14"/>
              </w:rPr>
              <w:t>(66.</w:t>
            </w:r>
            <w:r>
              <w:rPr>
                <w:sz w:val="14"/>
                <w:szCs w:val="14"/>
              </w:rPr>
              <w:t>2</w:t>
            </w:r>
            <w:r w:rsidRPr="00BD307E">
              <w:rPr>
                <w:sz w:val="14"/>
                <w:szCs w:val="14"/>
              </w:rPr>
              <w:t>)</w:t>
            </w:r>
          </w:p>
        </w:tc>
        <w:tc>
          <w:tcPr>
            <w:tcW w:w="1276" w:type="dxa"/>
          </w:tcPr>
          <w:p w14:paraId="6BFE93A0" w14:textId="339D2386" w:rsidR="00F971D8" w:rsidRPr="00BD307E" w:rsidRDefault="00F971D8" w:rsidP="00D9387F">
            <w:pPr>
              <w:rPr>
                <w:sz w:val="14"/>
                <w:szCs w:val="14"/>
              </w:rPr>
            </w:pPr>
            <w:r>
              <w:rPr>
                <w:sz w:val="14"/>
                <w:szCs w:val="14"/>
              </w:rPr>
              <w:t>1459</w:t>
            </w:r>
            <w:r w:rsidR="003C7FB2">
              <w:rPr>
                <w:sz w:val="14"/>
                <w:szCs w:val="14"/>
              </w:rPr>
              <w:t xml:space="preserve"> </w:t>
            </w:r>
            <w:r w:rsidRPr="00BD307E">
              <w:rPr>
                <w:sz w:val="14"/>
                <w:szCs w:val="14"/>
              </w:rPr>
              <w:t>(74.8)</w:t>
            </w:r>
          </w:p>
        </w:tc>
        <w:tc>
          <w:tcPr>
            <w:tcW w:w="1417" w:type="dxa"/>
          </w:tcPr>
          <w:p w14:paraId="20724442" w14:textId="7C2D58D1" w:rsidR="00F971D8" w:rsidRPr="00BD307E" w:rsidRDefault="00F971D8" w:rsidP="00D9387F">
            <w:pPr>
              <w:rPr>
                <w:sz w:val="14"/>
                <w:szCs w:val="14"/>
              </w:rPr>
            </w:pPr>
            <w:r w:rsidRPr="00BD307E">
              <w:rPr>
                <w:sz w:val="14"/>
                <w:szCs w:val="14"/>
              </w:rPr>
              <w:t>17</w:t>
            </w:r>
            <w:r>
              <w:rPr>
                <w:sz w:val="14"/>
                <w:szCs w:val="14"/>
              </w:rPr>
              <w:t>11</w:t>
            </w:r>
            <w:r w:rsidR="003C7FB2">
              <w:rPr>
                <w:sz w:val="14"/>
                <w:szCs w:val="14"/>
              </w:rPr>
              <w:t xml:space="preserve"> </w:t>
            </w:r>
            <w:r w:rsidRPr="00BD307E">
              <w:rPr>
                <w:sz w:val="14"/>
                <w:szCs w:val="14"/>
              </w:rPr>
              <w:t>(69.</w:t>
            </w:r>
            <w:r>
              <w:rPr>
                <w:sz w:val="14"/>
                <w:szCs w:val="14"/>
              </w:rPr>
              <w:t>5</w:t>
            </w:r>
            <w:r w:rsidRPr="00BD307E">
              <w:rPr>
                <w:sz w:val="14"/>
                <w:szCs w:val="14"/>
              </w:rPr>
              <w:t>)</w:t>
            </w:r>
          </w:p>
        </w:tc>
        <w:tc>
          <w:tcPr>
            <w:tcW w:w="1276" w:type="dxa"/>
          </w:tcPr>
          <w:p w14:paraId="5AB15771" w14:textId="3056E0D2" w:rsidR="00F971D8" w:rsidRPr="00BD307E" w:rsidRDefault="00F971D8" w:rsidP="00D9387F">
            <w:pPr>
              <w:rPr>
                <w:sz w:val="14"/>
                <w:szCs w:val="14"/>
              </w:rPr>
            </w:pPr>
            <w:r>
              <w:rPr>
                <w:sz w:val="14"/>
                <w:szCs w:val="14"/>
              </w:rPr>
              <w:t>5430</w:t>
            </w:r>
            <w:r w:rsidR="003C7FB2">
              <w:rPr>
                <w:sz w:val="14"/>
                <w:szCs w:val="14"/>
              </w:rPr>
              <w:t xml:space="preserve"> </w:t>
            </w:r>
            <w:r w:rsidRPr="00BD307E">
              <w:rPr>
                <w:sz w:val="14"/>
                <w:szCs w:val="14"/>
              </w:rPr>
              <w:t>(70.7)</w:t>
            </w:r>
          </w:p>
        </w:tc>
      </w:tr>
      <w:tr w:rsidR="00F971D8" w:rsidRPr="00BD307E" w14:paraId="1098B809" w14:textId="77777777" w:rsidTr="00D9387F">
        <w:tc>
          <w:tcPr>
            <w:tcW w:w="1492" w:type="dxa"/>
          </w:tcPr>
          <w:p w14:paraId="6B4B9D75" w14:textId="75FE1F40" w:rsidR="00F971D8" w:rsidRPr="00BD307E" w:rsidRDefault="00F971D8" w:rsidP="00D9387F">
            <w:pPr>
              <w:rPr>
                <w:sz w:val="14"/>
                <w:szCs w:val="14"/>
              </w:rPr>
            </w:pPr>
            <w:r w:rsidRPr="00BD307E">
              <w:rPr>
                <w:sz w:val="14"/>
                <w:szCs w:val="14"/>
              </w:rPr>
              <w:t>Moderate</w:t>
            </w:r>
            <w:r w:rsidR="003C7FB2">
              <w:rPr>
                <w:sz w:val="14"/>
                <w:szCs w:val="14"/>
              </w:rPr>
              <w:t xml:space="preserve"> </w:t>
            </w:r>
            <w:r w:rsidRPr="00BD307E">
              <w:rPr>
                <w:sz w:val="14"/>
                <w:szCs w:val="14"/>
              </w:rPr>
              <w:t>(16-34.99g</w:t>
            </w:r>
            <w:r w:rsidR="003C7FB2">
              <w:rPr>
                <w:sz w:val="14"/>
                <w:szCs w:val="14"/>
              </w:rPr>
              <w:t xml:space="preserve"> </w:t>
            </w:r>
            <w:r w:rsidRPr="00BD307E">
              <w:rPr>
                <w:sz w:val="14"/>
                <w:szCs w:val="14"/>
              </w:rPr>
              <w:t>per</w:t>
            </w:r>
            <w:r w:rsidR="003C7FB2">
              <w:rPr>
                <w:sz w:val="14"/>
                <w:szCs w:val="14"/>
              </w:rPr>
              <w:t xml:space="preserve"> </w:t>
            </w:r>
            <w:r w:rsidRPr="00BD307E">
              <w:rPr>
                <w:sz w:val="14"/>
                <w:szCs w:val="14"/>
              </w:rPr>
              <w:t>week)</w:t>
            </w:r>
          </w:p>
        </w:tc>
        <w:tc>
          <w:tcPr>
            <w:tcW w:w="1338" w:type="dxa"/>
          </w:tcPr>
          <w:p w14:paraId="4EE4754F" w14:textId="2BDF0BA7" w:rsidR="00F971D8" w:rsidRPr="00BD307E" w:rsidRDefault="00F971D8" w:rsidP="00D9387F">
            <w:pPr>
              <w:rPr>
                <w:sz w:val="14"/>
                <w:szCs w:val="14"/>
              </w:rPr>
            </w:pPr>
            <w:r>
              <w:rPr>
                <w:sz w:val="14"/>
                <w:szCs w:val="14"/>
              </w:rPr>
              <w:t>132</w:t>
            </w:r>
            <w:r w:rsidR="003C7FB2">
              <w:rPr>
                <w:sz w:val="14"/>
                <w:szCs w:val="14"/>
              </w:rPr>
              <w:t xml:space="preserve"> </w:t>
            </w:r>
            <w:r w:rsidRPr="00BD307E">
              <w:rPr>
                <w:sz w:val="14"/>
                <w:szCs w:val="14"/>
              </w:rPr>
              <w:t>(6.6)</w:t>
            </w:r>
          </w:p>
        </w:tc>
        <w:tc>
          <w:tcPr>
            <w:tcW w:w="1418" w:type="dxa"/>
          </w:tcPr>
          <w:p w14:paraId="2D752F71" w14:textId="66B80E8C" w:rsidR="00F971D8" w:rsidRPr="00BD307E" w:rsidRDefault="00F971D8" w:rsidP="00D9387F">
            <w:pPr>
              <w:rPr>
                <w:sz w:val="14"/>
                <w:szCs w:val="14"/>
              </w:rPr>
            </w:pPr>
            <w:r w:rsidRPr="00BD307E">
              <w:rPr>
                <w:sz w:val="14"/>
                <w:szCs w:val="14"/>
              </w:rPr>
              <w:t>18</w:t>
            </w:r>
            <w:r>
              <w:rPr>
                <w:sz w:val="14"/>
                <w:szCs w:val="14"/>
              </w:rPr>
              <w:t>2</w:t>
            </w:r>
            <w:r w:rsidR="003C7FB2">
              <w:rPr>
                <w:sz w:val="14"/>
                <w:szCs w:val="14"/>
              </w:rPr>
              <w:t xml:space="preserve"> </w:t>
            </w:r>
            <w:r w:rsidRPr="00BD307E">
              <w:rPr>
                <w:sz w:val="14"/>
                <w:szCs w:val="14"/>
              </w:rPr>
              <w:t>(14.4)</w:t>
            </w:r>
          </w:p>
        </w:tc>
        <w:tc>
          <w:tcPr>
            <w:tcW w:w="1276" w:type="dxa"/>
          </w:tcPr>
          <w:p w14:paraId="03A9D06E" w14:textId="7954E915" w:rsidR="00F971D8" w:rsidRPr="00BD307E" w:rsidRDefault="00F971D8" w:rsidP="00D9387F">
            <w:pPr>
              <w:rPr>
                <w:sz w:val="14"/>
                <w:szCs w:val="14"/>
              </w:rPr>
            </w:pPr>
            <w:r>
              <w:rPr>
                <w:sz w:val="14"/>
                <w:szCs w:val="14"/>
              </w:rPr>
              <w:t>129</w:t>
            </w:r>
            <w:r w:rsidR="003C7FB2">
              <w:rPr>
                <w:sz w:val="14"/>
                <w:szCs w:val="14"/>
              </w:rPr>
              <w:t xml:space="preserve"> </w:t>
            </w:r>
            <w:r w:rsidRPr="00BD307E">
              <w:rPr>
                <w:sz w:val="14"/>
                <w:szCs w:val="14"/>
              </w:rPr>
              <w:t>(6.</w:t>
            </w:r>
            <w:r>
              <w:rPr>
                <w:sz w:val="14"/>
                <w:szCs w:val="14"/>
              </w:rPr>
              <w:t>6</w:t>
            </w:r>
            <w:r w:rsidRPr="00BD307E">
              <w:rPr>
                <w:sz w:val="14"/>
                <w:szCs w:val="14"/>
              </w:rPr>
              <w:t>)</w:t>
            </w:r>
          </w:p>
        </w:tc>
        <w:tc>
          <w:tcPr>
            <w:tcW w:w="1417" w:type="dxa"/>
          </w:tcPr>
          <w:p w14:paraId="24ADBF4A" w14:textId="1CB467AF" w:rsidR="00F971D8" w:rsidRPr="00BD307E" w:rsidRDefault="00F971D8" w:rsidP="00D9387F">
            <w:pPr>
              <w:rPr>
                <w:sz w:val="14"/>
                <w:szCs w:val="14"/>
              </w:rPr>
            </w:pPr>
            <w:r>
              <w:rPr>
                <w:sz w:val="14"/>
                <w:szCs w:val="14"/>
              </w:rPr>
              <w:t>346</w:t>
            </w:r>
            <w:r w:rsidR="003C7FB2">
              <w:rPr>
                <w:sz w:val="14"/>
                <w:szCs w:val="14"/>
              </w:rPr>
              <w:t xml:space="preserve"> </w:t>
            </w:r>
            <w:r w:rsidRPr="00BD307E">
              <w:rPr>
                <w:sz w:val="14"/>
                <w:szCs w:val="14"/>
              </w:rPr>
              <w:t>(14.1)</w:t>
            </w:r>
          </w:p>
        </w:tc>
        <w:tc>
          <w:tcPr>
            <w:tcW w:w="1276" w:type="dxa"/>
          </w:tcPr>
          <w:p w14:paraId="38903D9E" w14:textId="51EB5E13" w:rsidR="00F971D8" w:rsidRPr="00BD307E" w:rsidRDefault="00F971D8" w:rsidP="00D9387F">
            <w:pPr>
              <w:rPr>
                <w:sz w:val="14"/>
                <w:szCs w:val="14"/>
              </w:rPr>
            </w:pPr>
            <w:r>
              <w:rPr>
                <w:sz w:val="14"/>
                <w:szCs w:val="14"/>
              </w:rPr>
              <w:t>789</w:t>
            </w:r>
            <w:r w:rsidR="003C7FB2">
              <w:rPr>
                <w:sz w:val="14"/>
                <w:szCs w:val="14"/>
              </w:rPr>
              <w:t xml:space="preserve"> </w:t>
            </w:r>
            <w:r w:rsidRPr="00BD307E">
              <w:rPr>
                <w:sz w:val="14"/>
                <w:szCs w:val="14"/>
              </w:rPr>
              <w:t>(10.3)</w:t>
            </w:r>
          </w:p>
        </w:tc>
      </w:tr>
      <w:tr w:rsidR="00F971D8" w:rsidRPr="00BD307E" w14:paraId="36B7B56A" w14:textId="77777777" w:rsidTr="00D9387F">
        <w:tc>
          <w:tcPr>
            <w:tcW w:w="1492" w:type="dxa"/>
          </w:tcPr>
          <w:p w14:paraId="4DD8D862" w14:textId="52E67541" w:rsidR="00F971D8" w:rsidRPr="00BD307E" w:rsidRDefault="00F971D8" w:rsidP="00D9387F">
            <w:pPr>
              <w:rPr>
                <w:sz w:val="14"/>
                <w:szCs w:val="14"/>
              </w:rPr>
            </w:pPr>
            <w:r w:rsidRPr="00BD307E">
              <w:rPr>
                <w:sz w:val="14"/>
                <w:szCs w:val="14"/>
              </w:rPr>
              <w:t>Heavy</w:t>
            </w:r>
            <w:r w:rsidR="003C7FB2">
              <w:rPr>
                <w:sz w:val="14"/>
                <w:szCs w:val="14"/>
              </w:rPr>
              <w:t xml:space="preserve"> </w:t>
            </w:r>
            <w:r w:rsidRPr="00BD307E">
              <w:rPr>
                <w:sz w:val="14"/>
                <w:szCs w:val="14"/>
              </w:rPr>
              <w:t>(&gt;35g</w:t>
            </w:r>
            <w:r w:rsidR="003C7FB2">
              <w:rPr>
                <w:sz w:val="14"/>
                <w:szCs w:val="14"/>
              </w:rPr>
              <w:t xml:space="preserve"> </w:t>
            </w:r>
            <w:r w:rsidRPr="00BD307E">
              <w:rPr>
                <w:sz w:val="14"/>
                <w:szCs w:val="14"/>
              </w:rPr>
              <w:t>per</w:t>
            </w:r>
            <w:r w:rsidR="003C7FB2">
              <w:rPr>
                <w:sz w:val="14"/>
                <w:szCs w:val="14"/>
              </w:rPr>
              <w:t xml:space="preserve"> </w:t>
            </w:r>
            <w:r w:rsidRPr="00BD307E">
              <w:rPr>
                <w:sz w:val="14"/>
                <w:szCs w:val="14"/>
              </w:rPr>
              <w:t>week</w:t>
            </w:r>
            <w:r>
              <w:rPr>
                <w:sz w:val="14"/>
                <w:szCs w:val="14"/>
              </w:rPr>
              <w:t>)</w:t>
            </w:r>
          </w:p>
        </w:tc>
        <w:tc>
          <w:tcPr>
            <w:tcW w:w="1338" w:type="dxa"/>
          </w:tcPr>
          <w:p w14:paraId="12F1FA67" w14:textId="520A5795" w:rsidR="00F971D8" w:rsidRPr="00BD307E" w:rsidRDefault="00F971D8" w:rsidP="00D9387F">
            <w:pPr>
              <w:rPr>
                <w:sz w:val="14"/>
                <w:szCs w:val="14"/>
              </w:rPr>
            </w:pPr>
            <w:r>
              <w:rPr>
                <w:sz w:val="14"/>
                <w:szCs w:val="14"/>
              </w:rPr>
              <w:t>25</w:t>
            </w:r>
            <w:r w:rsidR="003C7FB2">
              <w:rPr>
                <w:sz w:val="14"/>
                <w:szCs w:val="14"/>
              </w:rPr>
              <w:t xml:space="preserve"> </w:t>
            </w:r>
            <w:r w:rsidRPr="00BD307E">
              <w:rPr>
                <w:sz w:val="14"/>
                <w:szCs w:val="14"/>
              </w:rPr>
              <w:t>(1.3)</w:t>
            </w:r>
          </w:p>
        </w:tc>
        <w:tc>
          <w:tcPr>
            <w:tcW w:w="1418" w:type="dxa"/>
          </w:tcPr>
          <w:p w14:paraId="681FE9E1" w14:textId="23A7B349" w:rsidR="00F971D8" w:rsidRPr="00BD307E" w:rsidRDefault="00F971D8" w:rsidP="00D9387F">
            <w:pPr>
              <w:rPr>
                <w:sz w:val="14"/>
                <w:szCs w:val="14"/>
              </w:rPr>
            </w:pPr>
            <w:r w:rsidRPr="00BD307E">
              <w:rPr>
                <w:sz w:val="14"/>
                <w:szCs w:val="14"/>
              </w:rPr>
              <w:t>105</w:t>
            </w:r>
            <w:r w:rsidR="003C7FB2">
              <w:rPr>
                <w:sz w:val="14"/>
                <w:szCs w:val="14"/>
              </w:rPr>
              <w:t xml:space="preserve"> </w:t>
            </w:r>
            <w:r w:rsidRPr="00BD307E">
              <w:rPr>
                <w:sz w:val="14"/>
                <w:szCs w:val="14"/>
              </w:rPr>
              <w:t>(8.2)</w:t>
            </w:r>
          </w:p>
        </w:tc>
        <w:tc>
          <w:tcPr>
            <w:tcW w:w="1276" w:type="dxa"/>
          </w:tcPr>
          <w:p w14:paraId="2B5C39E0" w14:textId="54E10FDA" w:rsidR="00F971D8" w:rsidRPr="00BD307E" w:rsidRDefault="00F971D8" w:rsidP="00D9387F">
            <w:pPr>
              <w:rPr>
                <w:sz w:val="14"/>
                <w:szCs w:val="14"/>
              </w:rPr>
            </w:pPr>
            <w:r>
              <w:rPr>
                <w:sz w:val="14"/>
                <w:szCs w:val="14"/>
              </w:rPr>
              <w:t>23</w:t>
            </w:r>
            <w:r w:rsidR="003C7FB2">
              <w:rPr>
                <w:sz w:val="14"/>
                <w:szCs w:val="14"/>
              </w:rPr>
              <w:t xml:space="preserve"> </w:t>
            </w:r>
            <w:r w:rsidRPr="00BD307E">
              <w:rPr>
                <w:sz w:val="14"/>
                <w:szCs w:val="14"/>
              </w:rPr>
              <w:t>(1.2)</w:t>
            </w:r>
          </w:p>
        </w:tc>
        <w:tc>
          <w:tcPr>
            <w:tcW w:w="1417" w:type="dxa"/>
          </w:tcPr>
          <w:p w14:paraId="0C2517C0" w14:textId="3CA125F9" w:rsidR="00F971D8" w:rsidRPr="00BD307E" w:rsidRDefault="00F971D8" w:rsidP="00D9387F">
            <w:pPr>
              <w:rPr>
                <w:sz w:val="14"/>
                <w:szCs w:val="14"/>
              </w:rPr>
            </w:pPr>
            <w:r>
              <w:rPr>
                <w:sz w:val="14"/>
                <w:szCs w:val="14"/>
              </w:rPr>
              <w:t>185</w:t>
            </w:r>
            <w:r w:rsidR="003C7FB2">
              <w:rPr>
                <w:sz w:val="14"/>
                <w:szCs w:val="14"/>
              </w:rPr>
              <w:t xml:space="preserve"> </w:t>
            </w:r>
            <w:r w:rsidRPr="00BD307E">
              <w:rPr>
                <w:sz w:val="14"/>
                <w:szCs w:val="14"/>
              </w:rPr>
              <w:t>(7.</w:t>
            </w:r>
            <w:r>
              <w:rPr>
                <w:sz w:val="14"/>
                <w:szCs w:val="14"/>
              </w:rPr>
              <w:t>5</w:t>
            </w:r>
            <w:r w:rsidRPr="00BD307E">
              <w:rPr>
                <w:sz w:val="14"/>
                <w:szCs w:val="14"/>
              </w:rPr>
              <w:t>)</w:t>
            </w:r>
          </w:p>
        </w:tc>
        <w:tc>
          <w:tcPr>
            <w:tcW w:w="1276" w:type="dxa"/>
          </w:tcPr>
          <w:p w14:paraId="060CDE45" w14:textId="1BF74933" w:rsidR="00F971D8" w:rsidRPr="00BD307E" w:rsidRDefault="00F971D8" w:rsidP="00D9387F">
            <w:pPr>
              <w:rPr>
                <w:sz w:val="14"/>
                <w:szCs w:val="14"/>
              </w:rPr>
            </w:pPr>
            <w:r>
              <w:rPr>
                <w:sz w:val="14"/>
                <w:szCs w:val="14"/>
              </w:rPr>
              <w:t>338</w:t>
            </w:r>
            <w:r w:rsidR="003C7FB2">
              <w:rPr>
                <w:sz w:val="14"/>
                <w:szCs w:val="14"/>
              </w:rPr>
              <w:t xml:space="preserve"> </w:t>
            </w:r>
            <w:r w:rsidRPr="00BD307E">
              <w:rPr>
                <w:sz w:val="14"/>
                <w:szCs w:val="14"/>
              </w:rPr>
              <w:t>(4.4)</w:t>
            </w:r>
          </w:p>
        </w:tc>
      </w:tr>
      <w:tr w:rsidR="00F971D8" w:rsidRPr="00BD307E" w14:paraId="1DF775D0" w14:textId="77777777" w:rsidTr="00D9387F">
        <w:tc>
          <w:tcPr>
            <w:tcW w:w="1492" w:type="dxa"/>
          </w:tcPr>
          <w:p w14:paraId="40B76DC3" w14:textId="2836BDDC" w:rsidR="00F971D8" w:rsidRPr="00BD307E" w:rsidRDefault="00F971D8" w:rsidP="00D9387F">
            <w:pPr>
              <w:rPr>
                <w:sz w:val="14"/>
                <w:szCs w:val="14"/>
              </w:rPr>
            </w:pPr>
            <w:r w:rsidRPr="00BD307E">
              <w:rPr>
                <w:b/>
                <w:sz w:val="14"/>
                <w:szCs w:val="14"/>
              </w:rPr>
              <w:t>Mediterranean</w:t>
            </w:r>
            <w:r w:rsidR="003C7FB2">
              <w:rPr>
                <w:b/>
                <w:sz w:val="14"/>
                <w:szCs w:val="14"/>
              </w:rPr>
              <w:t xml:space="preserve"> </w:t>
            </w:r>
            <w:r>
              <w:rPr>
                <w:b/>
                <w:sz w:val="14"/>
                <w:szCs w:val="14"/>
              </w:rPr>
              <w:t>d</w:t>
            </w:r>
            <w:r w:rsidRPr="00BD307E">
              <w:rPr>
                <w:b/>
                <w:sz w:val="14"/>
                <w:szCs w:val="14"/>
              </w:rPr>
              <w:t>iet</w:t>
            </w:r>
            <w:r w:rsidR="003C7FB2">
              <w:rPr>
                <w:b/>
                <w:sz w:val="14"/>
                <w:szCs w:val="14"/>
              </w:rPr>
              <w:t xml:space="preserve"> </w:t>
            </w:r>
            <w:r>
              <w:rPr>
                <w:b/>
                <w:sz w:val="14"/>
                <w:szCs w:val="14"/>
              </w:rPr>
              <w:t>s</w:t>
            </w:r>
            <w:r w:rsidRPr="00BD307E">
              <w:rPr>
                <w:b/>
                <w:sz w:val="14"/>
                <w:szCs w:val="14"/>
              </w:rPr>
              <w:t>core</w:t>
            </w:r>
            <w:r w:rsidR="003C7FB2">
              <w:rPr>
                <w:b/>
                <w:sz w:val="14"/>
                <w:szCs w:val="14"/>
              </w:rPr>
              <w:t xml:space="preserve"> </w:t>
            </w:r>
          </w:p>
        </w:tc>
        <w:tc>
          <w:tcPr>
            <w:tcW w:w="1338" w:type="dxa"/>
          </w:tcPr>
          <w:p w14:paraId="57FAABE7" w14:textId="46024BE7" w:rsidR="00F971D8" w:rsidRPr="00BD307E" w:rsidRDefault="00F971D8" w:rsidP="00D9387F">
            <w:pPr>
              <w:rPr>
                <w:sz w:val="14"/>
                <w:szCs w:val="14"/>
              </w:rPr>
            </w:pPr>
            <w:r w:rsidRPr="00BD307E">
              <w:rPr>
                <w:sz w:val="14"/>
                <w:szCs w:val="14"/>
              </w:rPr>
              <w:t>9</w:t>
            </w:r>
            <w:r w:rsidR="003C7FB2">
              <w:rPr>
                <w:sz w:val="14"/>
                <w:szCs w:val="14"/>
              </w:rPr>
              <w:t xml:space="preserve"> </w:t>
            </w:r>
            <w:r w:rsidRPr="00BD307E">
              <w:rPr>
                <w:sz w:val="14"/>
                <w:szCs w:val="14"/>
              </w:rPr>
              <w:t>(7-11)</w:t>
            </w:r>
          </w:p>
        </w:tc>
        <w:tc>
          <w:tcPr>
            <w:tcW w:w="1418" w:type="dxa"/>
          </w:tcPr>
          <w:p w14:paraId="46A1A37F" w14:textId="23EDB148" w:rsidR="00F971D8" w:rsidRPr="00BD307E" w:rsidRDefault="00F971D8" w:rsidP="00D9387F">
            <w:pPr>
              <w:rPr>
                <w:sz w:val="14"/>
                <w:szCs w:val="14"/>
              </w:rPr>
            </w:pPr>
            <w:r w:rsidRPr="00BD307E">
              <w:rPr>
                <w:sz w:val="14"/>
                <w:szCs w:val="14"/>
              </w:rPr>
              <w:t>9</w:t>
            </w:r>
            <w:r w:rsidR="003C7FB2">
              <w:rPr>
                <w:sz w:val="14"/>
                <w:szCs w:val="14"/>
              </w:rPr>
              <w:t xml:space="preserve"> </w:t>
            </w:r>
            <w:r w:rsidRPr="00BD307E">
              <w:rPr>
                <w:sz w:val="14"/>
                <w:szCs w:val="14"/>
              </w:rPr>
              <w:t>(7-11)</w:t>
            </w:r>
          </w:p>
        </w:tc>
        <w:tc>
          <w:tcPr>
            <w:tcW w:w="1276" w:type="dxa"/>
          </w:tcPr>
          <w:p w14:paraId="420A0C2A" w14:textId="32BBB5AB" w:rsidR="00F971D8" w:rsidRPr="00BD307E" w:rsidRDefault="00F971D8" w:rsidP="00D9387F">
            <w:pPr>
              <w:rPr>
                <w:sz w:val="14"/>
                <w:szCs w:val="14"/>
              </w:rPr>
            </w:pPr>
            <w:r w:rsidRPr="00BD307E">
              <w:rPr>
                <w:sz w:val="14"/>
                <w:szCs w:val="14"/>
              </w:rPr>
              <w:t>9</w:t>
            </w:r>
            <w:r w:rsidR="003C7FB2">
              <w:rPr>
                <w:sz w:val="14"/>
                <w:szCs w:val="14"/>
              </w:rPr>
              <w:t xml:space="preserve"> </w:t>
            </w:r>
            <w:r w:rsidRPr="00BD307E">
              <w:rPr>
                <w:sz w:val="14"/>
                <w:szCs w:val="14"/>
              </w:rPr>
              <w:t>(7-11)</w:t>
            </w:r>
          </w:p>
        </w:tc>
        <w:tc>
          <w:tcPr>
            <w:tcW w:w="1417" w:type="dxa"/>
          </w:tcPr>
          <w:p w14:paraId="1681769C" w14:textId="1F8BEA6D" w:rsidR="00F971D8" w:rsidRPr="00BD307E" w:rsidRDefault="00F971D8" w:rsidP="00D9387F">
            <w:pPr>
              <w:rPr>
                <w:sz w:val="14"/>
                <w:szCs w:val="14"/>
              </w:rPr>
            </w:pPr>
            <w:r w:rsidRPr="00BD307E">
              <w:rPr>
                <w:sz w:val="14"/>
                <w:szCs w:val="14"/>
              </w:rPr>
              <w:t>9</w:t>
            </w:r>
            <w:r w:rsidR="003C7FB2">
              <w:rPr>
                <w:sz w:val="14"/>
                <w:szCs w:val="14"/>
              </w:rPr>
              <w:t xml:space="preserve"> </w:t>
            </w:r>
            <w:r w:rsidRPr="00BD307E">
              <w:rPr>
                <w:sz w:val="14"/>
                <w:szCs w:val="14"/>
              </w:rPr>
              <w:t>(7-11)</w:t>
            </w:r>
          </w:p>
        </w:tc>
        <w:tc>
          <w:tcPr>
            <w:tcW w:w="1276" w:type="dxa"/>
          </w:tcPr>
          <w:p w14:paraId="7FAFFFDB" w14:textId="6CA55184" w:rsidR="00F971D8" w:rsidRPr="00BD307E" w:rsidRDefault="00F971D8" w:rsidP="00D9387F">
            <w:pPr>
              <w:rPr>
                <w:sz w:val="14"/>
                <w:szCs w:val="14"/>
              </w:rPr>
            </w:pPr>
            <w:r w:rsidRPr="00BD307E">
              <w:rPr>
                <w:sz w:val="14"/>
                <w:szCs w:val="14"/>
              </w:rPr>
              <w:t>9</w:t>
            </w:r>
            <w:r w:rsidR="003C7FB2">
              <w:rPr>
                <w:sz w:val="14"/>
                <w:szCs w:val="14"/>
              </w:rPr>
              <w:t xml:space="preserve"> </w:t>
            </w:r>
            <w:r w:rsidRPr="00BD307E">
              <w:rPr>
                <w:sz w:val="14"/>
                <w:szCs w:val="14"/>
              </w:rPr>
              <w:t>(7-11)</w:t>
            </w:r>
          </w:p>
        </w:tc>
      </w:tr>
      <w:tr w:rsidR="00F971D8" w:rsidRPr="00BD307E" w14:paraId="1D261FEA" w14:textId="77777777" w:rsidTr="00D9387F">
        <w:tc>
          <w:tcPr>
            <w:tcW w:w="1492" w:type="dxa"/>
          </w:tcPr>
          <w:p w14:paraId="396F6CC7" w14:textId="4E0B357B" w:rsidR="00F971D8" w:rsidRPr="00BD307E" w:rsidRDefault="00F971D8" w:rsidP="00D9387F">
            <w:pPr>
              <w:rPr>
                <w:b/>
                <w:sz w:val="14"/>
                <w:szCs w:val="14"/>
              </w:rPr>
            </w:pPr>
            <w:r w:rsidRPr="00BD307E">
              <w:rPr>
                <w:b/>
                <w:sz w:val="14"/>
                <w:szCs w:val="14"/>
              </w:rPr>
              <w:t>Usual</w:t>
            </w:r>
            <w:r w:rsidR="003C7FB2">
              <w:rPr>
                <w:b/>
                <w:sz w:val="14"/>
                <w:szCs w:val="14"/>
              </w:rPr>
              <w:t xml:space="preserve"> </w:t>
            </w:r>
            <w:r w:rsidRPr="00BD307E">
              <w:rPr>
                <w:b/>
                <w:sz w:val="14"/>
                <w:szCs w:val="14"/>
              </w:rPr>
              <w:t>method</w:t>
            </w:r>
            <w:r w:rsidR="003C7FB2">
              <w:rPr>
                <w:b/>
                <w:sz w:val="14"/>
                <w:szCs w:val="14"/>
              </w:rPr>
              <w:t xml:space="preserve"> </w:t>
            </w:r>
            <w:r w:rsidRPr="00BD307E">
              <w:rPr>
                <w:b/>
                <w:sz w:val="14"/>
                <w:szCs w:val="14"/>
              </w:rPr>
              <w:t>of</w:t>
            </w:r>
            <w:r w:rsidR="003C7FB2">
              <w:rPr>
                <w:b/>
                <w:sz w:val="14"/>
                <w:szCs w:val="14"/>
              </w:rPr>
              <w:t xml:space="preserve"> </w:t>
            </w:r>
            <w:r w:rsidRPr="00BD307E">
              <w:rPr>
                <w:b/>
                <w:sz w:val="14"/>
                <w:szCs w:val="14"/>
              </w:rPr>
              <w:t>getting</w:t>
            </w:r>
            <w:r w:rsidR="003C7FB2">
              <w:rPr>
                <w:b/>
                <w:sz w:val="14"/>
                <w:szCs w:val="14"/>
              </w:rPr>
              <w:t xml:space="preserve"> </w:t>
            </w:r>
            <w:r w:rsidRPr="00BD307E">
              <w:rPr>
                <w:b/>
                <w:sz w:val="14"/>
                <w:szCs w:val="14"/>
              </w:rPr>
              <w:t>about</w:t>
            </w:r>
          </w:p>
        </w:tc>
        <w:tc>
          <w:tcPr>
            <w:tcW w:w="1338" w:type="dxa"/>
          </w:tcPr>
          <w:p w14:paraId="02ACDB53" w14:textId="77777777" w:rsidR="00F971D8" w:rsidRPr="00BD307E" w:rsidRDefault="00F971D8" w:rsidP="00D9387F">
            <w:pPr>
              <w:rPr>
                <w:sz w:val="14"/>
                <w:szCs w:val="14"/>
              </w:rPr>
            </w:pPr>
          </w:p>
        </w:tc>
        <w:tc>
          <w:tcPr>
            <w:tcW w:w="1418" w:type="dxa"/>
          </w:tcPr>
          <w:p w14:paraId="3C66A823" w14:textId="77777777" w:rsidR="00F971D8" w:rsidRPr="00BD307E" w:rsidRDefault="00F971D8" w:rsidP="00D9387F">
            <w:pPr>
              <w:rPr>
                <w:sz w:val="14"/>
                <w:szCs w:val="14"/>
              </w:rPr>
            </w:pPr>
          </w:p>
        </w:tc>
        <w:tc>
          <w:tcPr>
            <w:tcW w:w="1276" w:type="dxa"/>
          </w:tcPr>
          <w:p w14:paraId="494D2E45" w14:textId="77777777" w:rsidR="00F971D8" w:rsidRPr="00BD307E" w:rsidRDefault="00F971D8" w:rsidP="00D9387F">
            <w:pPr>
              <w:rPr>
                <w:sz w:val="14"/>
                <w:szCs w:val="14"/>
              </w:rPr>
            </w:pPr>
          </w:p>
        </w:tc>
        <w:tc>
          <w:tcPr>
            <w:tcW w:w="1417" w:type="dxa"/>
          </w:tcPr>
          <w:p w14:paraId="30F4D898" w14:textId="77777777" w:rsidR="00F971D8" w:rsidRPr="00BD307E" w:rsidRDefault="00F971D8" w:rsidP="00D9387F">
            <w:pPr>
              <w:rPr>
                <w:sz w:val="14"/>
                <w:szCs w:val="14"/>
              </w:rPr>
            </w:pPr>
          </w:p>
        </w:tc>
        <w:tc>
          <w:tcPr>
            <w:tcW w:w="1276" w:type="dxa"/>
          </w:tcPr>
          <w:p w14:paraId="3C261CA8" w14:textId="77777777" w:rsidR="00F971D8" w:rsidRPr="00BD307E" w:rsidRDefault="00F971D8" w:rsidP="00D9387F">
            <w:pPr>
              <w:rPr>
                <w:sz w:val="14"/>
                <w:szCs w:val="14"/>
              </w:rPr>
            </w:pPr>
          </w:p>
        </w:tc>
      </w:tr>
      <w:tr w:rsidR="00F971D8" w:rsidRPr="00BD307E" w14:paraId="7FCA2505" w14:textId="77777777" w:rsidTr="00D9387F">
        <w:tc>
          <w:tcPr>
            <w:tcW w:w="1492" w:type="dxa"/>
          </w:tcPr>
          <w:p w14:paraId="5AA32767" w14:textId="30C2BADF" w:rsidR="00F971D8" w:rsidRPr="00BD307E" w:rsidRDefault="00F971D8" w:rsidP="00D9387F">
            <w:pPr>
              <w:rPr>
                <w:sz w:val="14"/>
                <w:szCs w:val="14"/>
              </w:rPr>
            </w:pPr>
            <w:r>
              <w:rPr>
                <w:sz w:val="14"/>
                <w:szCs w:val="14"/>
              </w:rPr>
              <w:t>Car/m</w:t>
            </w:r>
            <w:r w:rsidRPr="00BD307E">
              <w:rPr>
                <w:sz w:val="14"/>
                <w:szCs w:val="14"/>
              </w:rPr>
              <w:t>otor</w:t>
            </w:r>
            <w:r w:rsidR="003C7FB2">
              <w:rPr>
                <w:sz w:val="14"/>
                <w:szCs w:val="14"/>
              </w:rPr>
              <w:t xml:space="preserve"> </w:t>
            </w:r>
            <w:r w:rsidRPr="00BD307E">
              <w:rPr>
                <w:sz w:val="14"/>
                <w:szCs w:val="14"/>
              </w:rPr>
              <w:t>vehicle</w:t>
            </w:r>
          </w:p>
        </w:tc>
        <w:tc>
          <w:tcPr>
            <w:tcW w:w="1338" w:type="dxa"/>
          </w:tcPr>
          <w:p w14:paraId="402B7AA0" w14:textId="2A9802E3" w:rsidR="00F971D8" w:rsidRPr="00BD307E" w:rsidRDefault="00F971D8" w:rsidP="00D9387F">
            <w:pPr>
              <w:rPr>
                <w:sz w:val="14"/>
                <w:szCs w:val="14"/>
              </w:rPr>
            </w:pPr>
            <w:r>
              <w:rPr>
                <w:sz w:val="14"/>
                <w:szCs w:val="14"/>
              </w:rPr>
              <w:t>1194</w:t>
            </w:r>
            <w:r w:rsidR="003C7FB2">
              <w:rPr>
                <w:sz w:val="14"/>
                <w:szCs w:val="14"/>
              </w:rPr>
              <w:t xml:space="preserve"> </w:t>
            </w:r>
            <w:r w:rsidRPr="00BD307E">
              <w:rPr>
                <w:sz w:val="14"/>
                <w:szCs w:val="14"/>
              </w:rPr>
              <w:t>(59.</w:t>
            </w:r>
            <w:r>
              <w:rPr>
                <w:sz w:val="14"/>
                <w:szCs w:val="14"/>
              </w:rPr>
              <w:t>7</w:t>
            </w:r>
            <w:r w:rsidRPr="00BD307E">
              <w:rPr>
                <w:sz w:val="14"/>
                <w:szCs w:val="14"/>
              </w:rPr>
              <w:t>)</w:t>
            </w:r>
          </w:p>
        </w:tc>
        <w:tc>
          <w:tcPr>
            <w:tcW w:w="1418" w:type="dxa"/>
          </w:tcPr>
          <w:p w14:paraId="5F0C2EA7" w14:textId="16E1514A" w:rsidR="00F971D8" w:rsidRPr="00BD307E" w:rsidRDefault="00F971D8" w:rsidP="00D9387F">
            <w:pPr>
              <w:rPr>
                <w:sz w:val="14"/>
                <w:szCs w:val="14"/>
              </w:rPr>
            </w:pPr>
            <w:r>
              <w:rPr>
                <w:sz w:val="14"/>
                <w:szCs w:val="14"/>
              </w:rPr>
              <w:t>723</w:t>
            </w:r>
            <w:r w:rsidR="003C7FB2">
              <w:rPr>
                <w:sz w:val="14"/>
                <w:szCs w:val="14"/>
              </w:rPr>
              <w:t xml:space="preserve"> </w:t>
            </w:r>
            <w:r>
              <w:rPr>
                <w:sz w:val="14"/>
                <w:szCs w:val="14"/>
              </w:rPr>
              <w:t>(57.0</w:t>
            </w:r>
            <w:r w:rsidRPr="00BD307E">
              <w:rPr>
                <w:sz w:val="14"/>
                <w:szCs w:val="14"/>
              </w:rPr>
              <w:t>)</w:t>
            </w:r>
          </w:p>
        </w:tc>
        <w:tc>
          <w:tcPr>
            <w:tcW w:w="1276" w:type="dxa"/>
          </w:tcPr>
          <w:p w14:paraId="7166B766" w14:textId="3B4DC0A0" w:rsidR="00F971D8" w:rsidRPr="00BD307E" w:rsidRDefault="00F971D8" w:rsidP="00D9387F">
            <w:pPr>
              <w:rPr>
                <w:sz w:val="14"/>
                <w:szCs w:val="14"/>
              </w:rPr>
            </w:pPr>
            <w:r>
              <w:rPr>
                <w:sz w:val="14"/>
                <w:szCs w:val="14"/>
              </w:rPr>
              <w:t>1497</w:t>
            </w:r>
            <w:r w:rsidR="003C7FB2">
              <w:rPr>
                <w:sz w:val="14"/>
                <w:szCs w:val="14"/>
              </w:rPr>
              <w:t xml:space="preserve"> </w:t>
            </w:r>
            <w:r w:rsidRPr="00BD307E">
              <w:rPr>
                <w:sz w:val="14"/>
                <w:szCs w:val="14"/>
              </w:rPr>
              <w:t>(76.</w:t>
            </w:r>
            <w:r>
              <w:rPr>
                <w:sz w:val="14"/>
                <w:szCs w:val="14"/>
              </w:rPr>
              <w:t>8</w:t>
            </w:r>
            <w:r w:rsidRPr="00BD307E">
              <w:rPr>
                <w:sz w:val="14"/>
                <w:szCs w:val="14"/>
              </w:rPr>
              <w:t>)</w:t>
            </w:r>
          </w:p>
        </w:tc>
        <w:tc>
          <w:tcPr>
            <w:tcW w:w="1417" w:type="dxa"/>
          </w:tcPr>
          <w:p w14:paraId="0C96B221" w14:textId="2696320F" w:rsidR="00F971D8" w:rsidRPr="00BD307E" w:rsidRDefault="00F971D8" w:rsidP="00D9387F">
            <w:pPr>
              <w:rPr>
                <w:sz w:val="14"/>
                <w:szCs w:val="14"/>
              </w:rPr>
            </w:pPr>
            <w:r>
              <w:rPr>
                <w:sz w:val="14"/>
                <w:szCs w:val="14"/>
              </w:rPr>
              <w:t>1890</w:t>
            </w:r>
            <w:r w:rsidR="003C7FB2">
              <w:rPr>
                <w:sz w:val="14"/>
                <w:szCs w:val="14"/>
              </w:rPr>
              <w:t xml:space="preserve"> </w:t>
            </w:r>
            <w:r w:rsidRPr="00BD307E">
              <w:rPr>
                <w:sz w:val="14"/>
                <w:szCs w:val="14"/>
              </w:rPr>
              <w:t>(76.</w:t>
            </w:r>
            <w:r>
              <w:rPr>
                <w:sz w:val="14"/>
                <w:szCs w:val="14"/>
              </w:rPr>
              <w:t>7</w:t>
            </w:r>
            <w:r w:rsidRPr="00BD307E">
              <w:rPr>
                <w:sz w:val="14"/>
                <w:szCs w:val="14"/>
              </w:rPr>
              <w:t>)</w:t>
            </w:r>
          </w:p>
        </w:tc>
        <w:tc>
          <w:tcPr>
            <w:tcW w:w="1276" w:type="dxa"/>
          </w:tcPr>
          <w:p w14:paraId="0C3C4906" w14:textId="26A627A6" w:rsidR="00F971D8" w:rsidRPr="00BD307E" w:rsidRDefault="00F971D8" w:rsidP="00D9387F">
            <w:pPr>
              <w:rPr>
                <w:sz w:val="14"/>
                <w:szCs w:val="14"/>
              </w:rPr>
            </w:pPr>
            <w:r>
              <w:rPr>
                <w:sz w:val="14"/>
                <w:szCs w:val="14"/>
              </w:rPr>
              <w:t>5304</w:t>
            </w:r>
            <w:r w:rsidR="003C7FB2">
              <w:rPr>
                <w:sz w:val="14"/>
                <w:szCs w:val="14"/>
              </w:rPr>
              <w:t xml:space="preserve"> </w:t>
            </w:r>
            <w:r>
              <w:rPr>
                <w:sz w:val="14"/>
                <w:szCs w:val="14"/>
              </w:rPr>
              <w:t>(69.1</w:t>
            </w:r>
            <w:r w:rsidRPr="00BD307E">
              <w:rPr>
                <w:sz w:val="14"/>
                <w:szCs w:val="14"/>
              </w:rPr>
              <w:t>)</w:t>
            </w:r>
          </w:p>
        </w:tc>
      </w:tr>
      <w:tr w:rsidR="00F971D8" w:rsidRPr="00BD307E" w14:paraId="13DBA073" w14:textId="77777777" w:rsidTr="00D9387F">
        <w:tc>
          <w:tcPr>
            <w:tcW w:w="1492" w:type="dxa"/>
          </w:tcPr>
          <w:p w14:paraId="08FB39B7" w14:textId="298C3D31" w:rsidR="00F971D8" w:rsidRPr="00BD307E" w:rsidRDefault="00F971D8" w:rsidP="00D9387F">
            <w:pPr>
              <w:rPr>
                <w:sz w:val="14"/>
                <w:szCs w:val="14"/>
              </w:rPr>
            </w:pPr>
            <w:r w:rsidRPr="00BD307E">
              <w:rPr>
                <w:sz w:val="14"/>
                <w:szCs w:val="14"/>
              </w:rPr>
              <w:t>Public</w:t>
            </w:r>
            <w:r w:rsidR="003C7FB2">
              <w:rPr>
                <w:sz w:val="14"/>
                <w:szCs w:val="14"/>
              </w:rPr>
              <w:t xml:space="preserve"> </w:t>
            </w:r>
            <w:r>
              <w:rPr>
                <w:sz w:val="14"/>
                <w:szCs w:val="14"/>
              </w:rPr>
              <w:t>t</w:t>
            </w:r>
            <w:r w:rsidRPr="00BD307E">
              <w:rPr>
                <w:sz w:val="14"/>
                <w:szCs w:val="14"/>
              </w:rPr>
              <w:t>ransport</w:t>
            </w:r>
          </w:p>
        </w:tc>
        <w:tc>
          <w:tcPr>
            <w:tcW w:w="1338" w:type="dxa"/>
          </w:tcPr>
          <w:p w14:paraId="28E1CF90" w14:textId="16AA9385" w:rsidR="00F971D8" w:rsidRPr="00BD307E" w:rsidRDefault="00F971D8" w:rsidP="00D9387F">
            <w:pPr>
              <w:rPr>
                <w:sz w:val="14"/>
                <w:szCs w:val="14"/>
              </w:rPr>
            </w:pPr>
            <w:r>
              <w:rPr>
                <w:sz w:val="14"/>
                <w:szCs w:val="14"/>
              </w:rPr>
              <w:t>475</w:t>
            </w:r>
            <w:r w:rsidR="003C7FB2">
              <w:rPr>
                <w:sz w:val="14"/>
                <w:szCs w:val="14"/>
              </w:rPr>
              <w:t xml:space="preserve"> </w:t>
            </w:r>
            <w:r w:rsidRPr="00BD307E">
              <w:rPr>
                <w:sz w:val="14"/>
                <w:szCs w:val="14"/>
              </w:rPr>
              <w:t>(23.</w:t>
            </w:r>
            <w:r>
              <w:rPr>
                <w:sz w:val="14"/>
                <w:szCs w:val="14"/>
              </w:rPr>
              <w:t>8</w:t>
            </w:r>
            <w:r w:rsidRPr="00BD307E">
              <w:rPr>
                <w:sz w:val="14"/>
                <w:szCs w:val="14"/>
              </w:rPr>
              <w:t>)</w:t>
            </w:r>
          </w:p>
        </w:tc>
        <w:tc>
          <w:tcPr>
            <w:tcW w:w="1418" w:type="dxa"/>
          </w:tcPr>
          <w:p w14:paraId="79E495FC" w14:textId="35A52251" w:rsidR="00F971D8" w:rsidRPr="00BD307E" w:rsidRDefault="00F971D8" w:rsidP="00D9387F">
            <w:pPr>
              <w:rPr>
                <w:sz w:val="14"/>
                <w:szCs w:val="14"/>
              </w:rPr>
            </w:pPr>
            <w:r>
              <w:rPr>
                <w:sz w:val="14"/>
                <w:szCs w:val="14"/>
              </w:rPr>
              <w:t>237</w:t>
            </w:r>
            <w:r w:rsidR="003C7FB2">
              <w:rPr>
                <w:sz w:val="14"/>
                <w:szCs w:val="14"/>
              </w:rPr>
              <w:t xml:space="preserve"> </w:t>
            </w:r>
            <w:r>
              <w:rPr>
                <w:sz w:val="14"/>
                <w:szCs w:val="14"/>
              </w:rPr>
              <w:t>(18.7</w:t>
            </w:r>
            <w:r w:rsidRPr="00BD307E">
              <w:rPr>
                <w:sz w:val="14"/>
                <w:szCs w:val="14"/>
              </w:rPr>
              <w:t>)</w:t>
            </w:r>
          </w:p>
        </w:tc>
        <w:tc>
          <w:tcPr>
            <w:tcW w:w="1276" w:type="dxa"/>
          </w:tcPr>
          <w:p w14:paraId="515ADA1C" w14:textId="0C16846F" w:rsidR="00F971D8" w:rsidRPr="00BD307E" w:rsidRDefault="00F971D8" w:rsidP="00D9387F">
            <w:pPr>
              <w:rPr>
                <w:sz w:val="14"/>
                <w:szCs w:val="14"/>
              </w:rPr>
            </w:pPr>
            <w:r>
              <w:rPr>
                <w:sz w:val="14"/>
                <w:szCs w:val="14"/>
              </w:rPr>
              <w:t>356</w:t>
            </w:r>
            <w:r w:rsidR="003C7FB2">
              <w:rPr>
                <w:sz w:val="14"/>
                <w:szCs w:val="14"/>
              </w:rPr>
              <w:t xml:space="preserve"> </w:t>
            </w:r>
            <w:r w:rsidRPr="00BD307E">
              <w:rPr>
                <w:sz w:val="14"/>
                <w:szCs w:val="14"/>
              </w:rPr>
              <w:t>(18.</w:t>
            </w:r>
            <w:r>
              <w:rPr>
                <w:sz w:val="14"/>
                <w:szCs w:val="14"/>
              </w:rPr>
              <w:t>3</w:t>
            </w:r>
            <w:r w:rsidRPr="00BD307E">
              <w:rPr>
                <w:sz w:val="14"/>
                <w:szCs w:val="14"/>
              </w:rPr>
              <w:t>)</w:t>
            </w:r>
          </w:p>
        </w:tc>
        <w:tc>
          <w:tcPr>
            <w:tcW w:w="1417" w:type="dxa"/>
          </w:tcPr>
          <w:p w14:paraId="256E3DDD" w14:textId="6B0B72B1" w:rsidR="00F971D8" w:rsidRPr="00BD307E" w:rsidRDefault="00F971D8" w:rsidP="00D9387F">
            <w:pPr>
              <w:rPr>
                <w:sz w:val="14"/>
                <w:szCs w:val="14"/>
              </w:rPr>
            </w:pPr>
            <w:r>
              <w:rPr>
                <w:sz w:val="14"/>
                <w:szCs w:val="14"/>
              </w:rPr>
              <w:t>411</w:t>
            </w:r>
            <w:r w:rsidR="003C7FB2">
              <w:rPr>
                <w:sz w:val="14"/>
                <w:szCs w:val="14"/>
              </w:rPr>
              <w:t xml:space="preserve"> </w:t>
            </w:r>
            <w:r w:rsidRPr="00BD307E">
              <w:rPr>
                <w:sz w:val="14"/>
                <w:szCs w:val="14"/>
              </w:rPr>
              <w:t>(16.</w:t>
            </w:r>
            <w:r>
              <w:rPr>
                <w:sz w:val="14"/>
                <w:szCs w:val="14"/>
              </w:rPr>
              <w:t>7</w:t>
            </w:r>
            <w:r w:rsidRPr="00BD307E">
              <w:rPr>
                <w:sz w:val="14"/>
                <w:szCs w:val="14"/>
              </w:rPr>
              <w:t>)</w:t>
            </w:r>
          </w:p>
        </w:tc>
        <w:tc>
          <w:tcPr>
            <w:tcW w:w="1276" w:type="dxa"/>
          </w:tcPr>
          <w:p w14:paraId="11480B06" w14:textId="5FD1C149" w:rsidR="00F971D8" w:rsidRPr="00BD307E" w:rsidRDefault="00F971D8" w:rsidP="00D9387F">
            <w:pPr>
              <w:rPr>
                <w:sz w:val="14"/>
                <w:szCs w:val="14"/>
              </w:rPr>
            </w:pPr>
            <w:r>
              <w:rPr>
                <w:sz w:val="14"/>
                <w:szCs w:val="14"/>
              </w:rPr>
              <w:t>97</w:t>
            </w:r>
            <w:r w:rsidR="003C7FB2">
              <w:rPr>
                <w:sz w:val="14"/>
                <w:szCs w:val="14"/>
              </w:rPr>
              <w:t xml:space="preserve"> </w:t>
            </w:r>
            <w:r w:rsidRPr="00BD307E">
              <w:rPr>
                <w:sz w:val="14"/>
                <w:szCs w:val="14"/>
              </w:rPr>
              <w:t>(1.</w:t>
            </w:r>
            <w:r>
              <w:rPr>
                <w:sz w:val="14"/>
                <w:szCs w:val="14"/>
              </w:rPr>
              <w:t>2</w:t>
            </w:r>
            <w:r w:rsidRPr="00BD307E">
              <w:rPr>
                <w:sz w:val="14"/>
                <w:szCs w:val="14"/>
              </w:rPr>
              <w:t>)</w:t>
            </w:r>
          </w:p>
        </w:tc>
      </w:tr>
      <w:tr w:rsidR="00F971D8" w:rsidRPr="00BD307E" w14:paraId="000EA290" w14:textId="77777777" w:rsidTr="00D9387F">
        <w:tc>
          <w:tcPr>
            <w:tcW w:w="1492" w:type="dxa"/>
          </w:tcPr>
          <w:p w14:paraId="6BA72940" w14:textId="77777777" w:rsidR="00F971D8" w:rsidRPr="00BD307E" w:rsidRDefault="00F971D8" w:rsidP="00D9387F">
            <w:pPr>
              <w:rPr>
                <w:sz w:val="14"/>
                <w:szCs w:val="14"/>
              </w:rPr>
            </w:pPr>
            <w:r w:rsidRPr="00BD307E">
              <w:rPr>
                <w:sz w:val="14"/>
                <w:szCs w:val="14"/>
              </w:rPr>
              <w:t>Walking</w:t>
            </w:r>
          </w:p>
        </w:tc>
        <w:tc>
          <w:tcPr>
            <w:tcW w:w="1338" w:type="dxa"/>
          </w:tcPr>
          <w:p w14:paraId="06E6756A" w14:textId="1477BD1A" w:rsidR="00F971D8" w:rsidRPr="00BD307E" w:rsidRDefault="00F971D8" w:rsidP="00D9387F">
            <w:pPr>
              <w:rPr>
                <w:sz w:val="14"/>
                <w:szCs w:val="14"/>
              </w:rPr>
            </w:pPr>
            <w:r>
              <w:rPr>
                <w:sz w:val="14"/>
                <w:szCs w:val="14"/>
              </w:rPr>
              <w:t>21</w:t>
            </w:r>
            <w:r w:rsidR="003C7FB2">
              <w:rPr>
                <w:sz w:val="14"/>
                <w:szCs w:val="14"/>
              </w:rPr>
              <w:t xml:space="preserve"> </w:t>
            </w:r>
            <w:r>
              <w:rPr>
                <w:sz w:val="14"/>
                <w:szCs w:val="14"/>
              </w:rPr>
              <w:t>(1.1</w:t>
            </w:r>
            <w:r w:rsidRPr="00BD307E">
              <w:rPr>
                <w:sz w:val="14"/>
                <w:szCs w:val="14"/>
              </w:rPr>
              <w:t>)</w:t>
            </w:r>
          </w:p>
        </w:tc>
        <w:tc>
          <w:tcPr>
            <w:tcW w:w="1418" w:type="dxa"/>
          </w:tcPr>
          <w:p w14:paraId="52330C0B" w14:textId="61F4F0AC" w:rsidR="00F971D8" w:rsidRPr="00BD307E" w:rsidRDefault="00F971D8" w:rsidP="00D9387F">
            <w:pPr>
              <w:rPr>
                <w:sz w:val="14"/>
                <w:szCs w:val="14"/>
              </w:rPr>
            </w:pPr>
            <w:r w:rsidRPr="00BD307E">
              <w:rPr>
                <w:sz w:val="14"/>
                <w:szCs w:val="14"/>
              </w:rPr>
              <w:t>10</w:t>
            </w:r>
            <w:r w:rsidR="003C7FB2">
              <w:rPr>
                <w:sz w:val="14"/>
                <w:szCs w:val="14"/>
              </w:rPr>
              <w:t xml:space="preserve"> </w:t>
            </w:r>
            <w:r w:rsidRPr="00BD307E">
              <w:rPr>
                <w:sz w:val="14"/>
                <w:szCs w:val="14"/>
              </w:rPr>
              <w:t>(0.8)</w:t>
            </w:r>
          </w:p>
        </w:tc>
        <w:tc>
          <w:tcPr>
            <w:tcW w:w="1276" w:type="dxa"/>
          </w:tcPr>
          <w:p w14:paraId="0B61E61B" w14:textId="05728E86" w:rsidR="00F971D8" w:rsidRPr="00BD307E" w:rsidRDefault="00F971D8" w:rsidP="00D9387F">
            <w:pPr>
              <w:rPr>
                <w:sz w:val="14"/>
                <w:szCs w:val="14"/>
              </w:rPr>
            </w:pPr>
            <w:r w:rsidRPr="00BD307E">
              <w:rPr>
                <w:sz w:val="14"/>
                <w:szCs w:val="14"/>
              </w:rPr>
              <w:t>33</w:t>
            </w:r>
            <w:r w:rsidR="003C7FB2">
              <w:rPr>
                <w:sz w:val="14"/>
                <w:szCs w:val="14"/>
              </w:rPr>
              <w:t xml:space="preserve"> </w:t>
            </w:r>
            <w:r w:rsidRPr="00BD307E">
              <w:rPr>
                <w:sz w:val="14"/>
                <w:szCs w:val="14"/>
              </w:rPr>
              <w:t>(1.</w:t>
            </w:r>
            <w:r>
              <w:rPr>
                <w:sz w:val="14"/>
                <w:szCs w:val="14"/>
              </w:rPr>
              <w:t>7</w:t>
            </w:r>
            <w:r w:rsidRPr="00BD307E">
              <w:rPr>
                <w:sz w:val="14"/>
                <w:szCs w:val="14"/>
              </w:rPr>
              <w:t>)</w:t>
            </w:r>
          </w:p>
        </w:tc>
        <w:tc>
          <w:tcPr>
            <w:tcW w:w="1417" w:type="dxa"/>
          </w:tcPr>
          <w:p w14:paraId="45C540B2" w14:textId="1D81AC94" w:rsidR="00F971D8" w:rsidRPr="00BD307E" w:rsidRDefault="00F971D8" w:rsidP="00D9387F">
            <w:pPr>
              <w:rPr>
                <w:sz w:val="14"/>
                <w:szCs w:val="14"/>
              </w:rPr>
            </w:pPr>
            <w:r>
              <w:rPr>
                <w:sz w:val="14"/>
                <w:szCs w:val="14"/>
              </w:rPr>
              <w:t>33</w:t>
            </w:r>
            <w:r w:rsidR="003C7FB2">
              <w:rPr>
                <w:sz w:val="14"/>
                <w:szCs w:val="14"/>
              </w:rPr>
              <w:t xml:space="preserve"> </w:t>
            </w:r>
            <w:r>
              <w:rPr>
                <w:sz w:val="14"/>
                <w:szCs w:val="14"/>
              </w:rPr>
              <w:t>(1.3</w:t>
            </w:r>
            <w:r w:rsidRPr="00BD307E">
              <w:rPr>
                <w:sz w:val="14"/>
                <w:szCs w:val="14"/>
              </w:rPr>
              <w:t>)</w:t>
            </w:r>
          </w:p>
        </w:tc>
        <w:tc>
          <w:tcPr>
            <w:tcW w:w="1276" w:type="dxa"/>
          </w:tcPr>
          <w:p w14:paraId="3B4FD0EB" w14:textId="623E1F4D" w:rsidR="00F971D8" w:rsidRPr="00BD307E" w:rsidRDefault="00F971D8" w:rsidP="00D9387F">
            <w:pPr>
              <w:rPr>
                <w:sz w:val="14"/>
                <w:szCs w:val="14"/>
              </w:rPr>
            </w:pPr>
            <w:r w:rsidRPr="00BD307E">
              <w:rPr>
                <w:sz w:val="14"/>
                <w:szCs w:val="14"/>
              </w:rPr>
              <w:t>1</w:t>
            </w:r>
            <w:r>
              <w:rPr>
                <w:sz w:val="14"/>
                <w:szCs w:val="14"/>
              </w:rPr>
              <w:t>479</w:t>
            </w:r>
            <w:r w:rsidR="003C7FB2">
              <w:rPr>
                <w:sz w:val="14"/>
                <w:szCs w:val="14"/>
              </w:rPr>
              <w:t xml:space="preserve"> </w:t>
            </w:r>
            <w:r w:rsidRPr="00BD307E">
              <w:rPr>
                <w:sz w:val="14"/>
                <w:szCs w:val="14"/>
              </w:rPr>
              <w:t>(19.3)</w:t>
            </w:r>
          </w:p>
        </w:tc>
      </w:tr>
      <w:tr w:rsidR="00F971D8" w:rsidRPr="00BD307E" w14:paraId="1D5656B0" w14:textId="77777777" w:rsidTr="00D9387F">
        <w:tc>
          <w:tcPr>
            <w:tcW w:w="1492" w:type="dxa"/>
          </w:tcPr>
          <w:p w14:paraId="4C7F23F6" w14:textId="77777777" w:rsidR="00F971D8" w:rsidRPr="00BD307E" w:rsidRDefault="00F971D8" w:rsidP="00D9387F">
            <w:pPr>
              <w:rPr>
                <w:b/>
                <w:sz w:val="14"/>
                <w:szCs w:val="14"/>
              </w:rPr>
            </w:pPr>
            <w:r w:rsidRPr="00BD307E">
              <w:rPr>
                <w:sz w:val="14"/>
                <w:szCs w:val="14"/>
              </w:rPr>
              <w:t>Cycling</w:t>
            </w:r>
          </w:p>
        </w:tc>
        <w:tc>
          <w:tcPr>
            <w:tcW w:w="1338" w:type="dxa"/>
          </w:tcPr>
          <w:p w14:paraId="4493704E" w14:textId="35574939" w:rsidR="00F971D8" w:rsidRPr="00BD307E" w:rsidRDefault="00F971D8" w:rsidP="00D9387F">
            <w:pPr>
              <w:rPr>
                <w:sz w:val="14"/>
                <w:szCs w:val="14"/>
              </w:rPr>
            </w:pPr>
            <w:r>
              <w:rPr>
                <w:sz w:val="14"/>
                <w:szCs w:val="14"/>
              </w:rPr>
              <w:t>309</w:t>
            </w:r>
            <w:r w:rsidR="003C7FB2">
              <w:rPr>
                <w:sz w:val="14"/>
                <w:szCs w:val="14"/>
              </w:rPr>
              <w:t xml:space="preserve"> </w:t>
            </w:r>
            <w:r w:rsidRPr="00BD307E">
              <w:rPr>
                <w:sz w:val="14"/>
                <w:szCs w:val="14"/>
              </w:rPr>
              <w:t>(15.5)</w:t>
            </w:r>
          </w:p>
        </w:tc>
        <w:tc>
          <w:tcPr>
            <w:tcW w:w="1418" w:type="dxa"/>
          </w:tcPr>
          <w:p w14:paraId="674842F1" w14:textId="66A862FD" w:rsidR="00F971D8" w:rsidRPr="00BD307E" w:rsidRDefault="00F971D8" w:rsidP="00D9387F">
            <w:pPr>
              <w:rPr>
                <w:sz w:val="14"/>
                <w:szCs w:val="14"/>
              </w:rPr>
            </w:pPr>
            <w:r>
              <w:rPr>
                <w:sz w:val="14"/>
                <w:szCs w:val="14"/>
              </w:rPr>
              <w:t>298</w:t>
            </w:r>
            <w:r w:rsidR="003C7FB2">
              <w:rPr>
                <w:sz w:val="14"/>
                <w:szCs w:val="14"/>
              </w:rPr>
              <w:t xml:space="preserve"> </w:t>
            </w:r>
            <w:r w:rsidRPr="00BD307E">
              <w:rPr>
                <w:sz w:val="14"/>
                <w:szCs w:val="14"/>
              </w:rPr>
              <w:t>(23.</w:t>
            </w:r>
            <w:r>
              <w:rPr>
                <w:sz w:val="14"/>
                <w:szCs w:val="14"/>
              </w:rPr>
              <w:t>5</w:t>
            </w:r>
            <w:r w:rsidRPr="00BD307E">
              <w:rPr>
                <w:sz w:val="14"/>
                <w:szCs w:val="14"/>
              </w:rPr>
              <w:t>)</w:t>
            </w:r>
          </w:p>
        </w:tc>
        <w:tc>
          <w:tcPr>
            <w:tcW w:w="1276" w:type="dxa"/>
          </w:tcPr>
          <w:p w14:paraId="5A3CF2E3" w14:textId="10EFBFD6" w:rsidR="00F971D8" w:rsidRPr="00BD307E" w:rsidRDefault="00F971D8" w:rsidP="00D9387F">
            <w:pPr>
              <w:rPr>
                <w:sz w:val="14"/>
                <w:szCs w:val="14"/>
              </w:rPr>
            </w:pPr>
            <w:r>
              <w:rPr>
                <w:sz w:val="14"/>
                <w:szCs w:val="14"/>
              </w:rPr>
              <w:t>64</w:t>
            </w:r>
            <w:r w:rsidR="003C7FB2">
              <w:rPr>
                <w:sz w:val="14"/>
                <w:szCs w:val="14"/>
              </w:rPr>
              <w:t xml:space="preserve"> </w:t>
            </w:r>
            <w:r w:rsidRPr="00BD307E">
              <w:rPr>
                <w:sz w:val="14"/>
                <w:szCs w:val="14"/>
              </w:rPr>
              <w:t>(3.3)</w:t>
            </w:r>
          </w:p>
        </w:tc>
        <w:tc>
          <w:tcPr>
            <w:tcW w:w="1417" w:type="dxa"/>
          </w:tcPr>
          <w:p w14:paraId="6F3ED869" w14:textId="6C5E0372" w:rsidR="00F971D8" w:rsidRPr="00BD307E" w:rsidRDefault="00F971D8" w:rsidP="00D9387F">
            <w:pPr>
              <w:rPr>
                <w:sz w:val="14"/>
                <w:szCs w:val="14"/>
              </w:rPr>
            </w:pPr>
            <w:r>
              <w:rPr>
                <w:sz w:val="14"/>
                <w:szCs w:val="14"/>
              </w:rPr>
              <w:t>129</w:t>
            </w:r>
            <w:r w:rsidR="003C7FB2">
              <w:rPr>
                <w:sz w:val="14"/>
                <w:szCs w:val="14"/>
              </w:rPr>
              <w:t xml:space="preserve"> </w:t>
            </w:r>
            <w:r w:rsidRPr="00BD307E">
              <w:rPr>
                <w:sz w:val="14"/>
                <w:szCs w:val="14"/>
              </w:rPr>
              <w:t>(5.2)</w:t>
            </w:r>
          </w:p>
        </w:tc>
        <w:tc>
          <w:tcPr>
            <w:tcW w:w="1276" w:type="dxa"/>
          </w:tcPr>
          <w:p w14:paraId="59012E34" w14:textId="24579C41" w:rsidR="00F971D8" w:rsidRPr="00BD307E" w:rsidRDefault="00F971D8" w:rsidP="00D9387F">
            <w:pPr>
              <w:rPr>
                <w:sz w:val="14"/>
                <w:szCs w:val="14"/>
              </w:rPr>
            </w:pPr>
            <w:r>
              <w:rPr>
                <w:sz w:val="14"/>
                <w:szCs w:val="14"/>
              </w:rPr>
              <w:t>800</w:t>
            </w:r>
            <w:r w:rsidR="003C7FB2">
              <w:rPr>
                <w:sz w:val="14"/>
                <w:szCs w:val="14"/>
              </w:rPr>
              <w:t xml:space="preserve"> </w:t>
            </w:r>
            <w:r w:rsidRPr="00BD307E">
              <w:rPr>
                <w:sz w:val="14"/>
                <w:szCs w:val="14"/>
              </w:rPr>
              <w:t>(10.4)</w:t>
            </w:r>
          </w:p>
        </w:tc>
      </w:tr>
      <w:tr w:rsidR="00F971D8" w:rsidRPr="00BD307E" w14:paraId="6336D9E5" w14:textId="77777777" w:rsidTr="00D9387F">
        <w:tc>
          <w:tcPr>
            <w:tcW w:w="1492" w:type="dxa"/>
          </w:tcPr>
          <w:p w14:paraId="14485098" w14:textId="77777777" w:rsidR="00F971D8" w:rsidRPr="00BD307E" w:rsidRDefault="00F971D8" w:rsidP="00D9387F">
            <w:pPr>
              <w:rPr>
                <w:sz w:val="14"/>
                <w:szCs w:val="14"/>
              </w:rPr>
            </w:pPr>
            <w:r w:rsidRPr="00BD307E">
              <w:rPr>
                <w:b/>
                <w:sz w:val="14"/>
                <w:szCs w:val="14"/>
              </w:rPr>
              <w:t>Occupation</w:t>
            </w:r>
          </w:p>
        </w:tc>
        <w:tc>
          <w:tcPr>
            <w:tcW w:w="1338" w:type="dxa"/>
          </w:tcPr>
          <w:p w14:paraId="3548829A" w14:textId="77777777" w:rsidR="00F971D8" w:rsidRPr="00BD307E" w:rsidRDefault="00F971D8" w:rsidP="00D9387F">
            <w:pPr>
              <w:rPr>
                <w:sz w:val="14"/>
                <w:szCs w:val="14"/>
              </w:rPr>
            </w:pPr>
          </w:p>
        </w:tc>
        <w:tc>
          <w:tcPr>
            <w:tcW w:w="1418" w:type="dxa"/>
          </w:tcPr>
          <w:p w14:paraId="39C72E4E" w14:textId="77777777" w:rsidR="00F971D8" w:rsidRPr="00BD307E" w:rsidRDefault="00F971D8" w:rsidP="00D9387F">
            <w:pPr>
              <w:rPr>
                <w:sz w:val="14"/>
                <w:szCs w:val="14"/>
              </w:rPr>
            </w:pPr>
          </w:p>
        </w:tc>
        <w:tc>
          <w:tcPr>
            <w:tcW w:w="1276" w:type="dxa"/>
          </w:tcPr>
          <w:p w14:paraId="29483071" w14:textId="77777777" w:rsidR="00F971D8" w:rsidRPr="00BD307E" w:rsidRDefault="00F971D8" w:rsidP="00D9387F">
            <w:pPr>
              <w:rPr>
                <w:sz w:val="14"/>
                <w:szCs w:val="14"/>
              </w:rPr>
            </w:pPr>
          </w:p>
        </w:tc>
        <w:tc>
          <w:tcPr>
            <w:tcW w:w="1417" w:type="dxa"/>
          </w:tcPr>
          <w:p w14:paraId="51772B2D" w14:textId="77777777" w:rsidR="00F971D8" w:rsidRPr="00BD307E" w:rsidRDefault="00F971D8" w:rsidP="00D9387F">
            <w:pPr>
              <w:rPr>
                <w:sz w:val="14"/>
                <w:szCs w:val="14"/>
              </w:rPr>
            </w:pPr>
          </w:p>
        </w:tc>
        <w:tc>
          <w:tcPr>
            <w:tcW w:w="1276" w:type="dxa"/>
          </w:tcPr>
          <w:p w14:paraId="63C04C2A" w14:textId="77777777" w:rsidR="00F971D8" w:rsidRPr="00BD307E" w:rsidRDefault="00F971D8" w:rsidP="00D9387F">
            <w:pPr>
              <w:rPr>
                <w:sz w:val="14"/>
                <w:szCs w:val="14"/>
              </w:rPr>
            </w:pPr>
          </w:p>
        </w:tc>
      </w:tr>
      <w:tr w:rsidR="00F971D8" w:rsidRPr="00BD307E" w14:paraId="7DC95100" w14:textId="77777777" w:rsidTr="00D9387F">
        <w:tc>
          <w:tcPr>
            <w:tcW w:w="1492" w:type="dxa"/>
          </w:tcPr>
          <w:p w14:paraId="4A5222F2" w14:textId="77777777" w:rsidR="00F971D8" w:rsidRPr="00BD307E" w:rsidRDefault="00F971D8" w:rsidP="00D9387F">
            <w:pPr>
              <w:rPr>
                <w:sz w:val="14"/>
                <w:szCs w:val="14"/>
              </w:rPr>
            </w:pPr>
            <w:r w:rsidRPr="00BD307E">
              <w:rPr>
                <w:sz w:val="14"/>
                <w:szCs w:val="14"/>
              </w:rPr>
              <w:t>Sedentary</w:t>
            </w:r>
          </w:p>
        </w:tc>
        <w:tc>
          <w:tcPr>
            <w:tcW w:w="1338" w:type="dxa"/>
          </w:tcPr>
          <w:p w14:paraId="4C138850" w14:textId="65CFA08A" w:rsidR="00F971D8" w:rsidRPr="00BD307E" w:rsidRDefault="00F971D8" w:rsidP="00D9387F">
            <w:pPr>
              <w:rPr>
                <w:sz w:val="14"/>
                <w:szCs w:val="14"/>
              </w:rPr>
            </w:pPr>
            <w:r>
              <w:rPr>
                <w:sz w:val="14"/>
                <w:szCs w:val="14"/>
              </w:rPr>
              <w:t>986</w:t>
            </w:r>
            <w:r w:rsidR="003C7FB2">
              <w:rPr>
                <w:sz w:val="14"/>
                <w:szCs w:val="14"/>
              </w:rPr>
              <w:t xml:space="preserve"> </w:t>
            </w:r>
            <w:r>
              <w:rPr>
                <w:sz w:val="14"/>
                <w:szCs w:val="14"/>
              </w:rPr>
              <w:t>(49.3</w:t>
            </w:r>
            <w:r w:rsidRPr="00BD307E">
              <w:rPr>
                <w:sz w:val="14"/>
                <w:szCs w:val="14"/>
              </w:rPr>
              <w:t>)</w:t>
            </w:r>
          </w:p>
        </w:tc>
        <w:tc>
          <w:tcPr>
            <w:tcW w:w="1418" w:type="dxa"/>
          </w:tcPr>
          <w:p w14:paraId="24613C35" w14:textId="09C28ACE" w:rsidR="00F971D8" w:rsidRPr="00BD307E" w:rsidRDefault="00F971D8" w:rsidP="00D9387F">
            <w:pPr>
              <w:rPr>
                <w:sz w:val="14"/>
                <w:szCs w:val="14"/>
              </w:rPr>
            </w:pPr>
            <w:r>
              <w:rPr>
                <w:sz w:val="14"/>
                <w:szCs w:val="14"/>
              </w:rPr>
              <w:t>629</w:t>
            </w:r>
            <w:r w:rsidR="003C7FB2">
              <w:rPr>
                <w:sz w:val="14"/>
                <w:szCs w:val="14"/>
              </w:rPr>
              <w:t xml:space="preserve"> </w:t>
            </w:r>
            <w:r>
              <w:rPr>
                <w:sz w:val="14"/>
                <w:szCs w:val="14"/>
              </w:rPr>
              <w:t>(49.6</w:t>
            </w:r>
            <w:r w:rsidRPr="00BD307E">
              <w:rPr>
                <w:sz w:val="14"/>
                <w:szCs w:val="14"/>
              </w:rPr>
              <w:t>)</w:t>
            </w:r>
          </w:p>
        </w:tc>
        <w:tc>
          <w:tcPr>
            <w:tcW w:w="1276" w:type="dxa"/>
          </w:tcPr>
          <w:p w14:paraId="414F7A3F" w14:textId="3189AF1D" w:rsidR="00F971D8" w:rsidRPr="00BD307E" w:rsidRDefault="00F971D8" w:rsidP="00D9387F">
            <w:pPr>
              <w:rPr>
                <w:sz w:val="14"/>
                <w:szCs w:val="14"/>
              </w:rPr>
            </w:pPr>
            <w:r>
              <w:rPr>
                <w:sz w:val="14"/>
                <w:szCs w:val="14"/>
              </w:rPr>
              <w:t>1206</w:t>
            </w:r>
            <w:r w:rsidR="003C7FB2">
              <w:rPr>
                <w:sz w:val="14"/>
                <w:szCs w:val="14"/>
              </w:rPr>
              <w:t xml:space="preserve"> </w:t>
            </w:r>
            <w:r w:rsidRPr="00BD307E">
              <w:rPr>
                <w:sz w:val="14"/>
                <w:szCs w:val="14"/>
              </w:rPr>
              <w:t>(6</w:t>
            </w:r>
            <w:r>
              <w:rPr>
                <w:sz w:val="14"/>
                <w:szCs w:val="14"/>
              </w:rPr>
              <w:t>1.9</w:t>
            </w:r>
            <w:r w:rsidRPr="00BD307E">
              <w:rPr>
                <w:sz w:val="14"/>
                <w:szCs w:val="14"/>
              </w:rPr>
              <w:t>)</w:t>
            </w:r>
          </w:p>
        </w:tc>
        <w:tc>
          <w:tcPr>
            <w:tcW w:w="1417" w:type="dxa"/>
          </w:tcPr>
          <w:p w14:paraId="2111972F" w14:textId="19F706D8" w:rsidR="00F971D8" w:rsidRPr="00BD307E" w:rsidRDefault="00F971D8" w:rsidP="00D9387F">
            <w:pPr>
              <w:rPr>
                <w:sz w:val="14"/>
                <w:szCs w:val="14"/>
              </w:rPr>
            </w:pPr>
            <w:r>
              <w:rPr>
                <w:sz w:val="14"/>
                <w:szCs w:val="14"/>
              </w:rPr>
              <w:t>1391</w:t>
            </w:r>
            <w:r w:rsidR="003C7FB2">
              <w:rPr>
                <w:sz w:val="14"/>
                <w:szCs w:val="14"/>
              </w:rPr>
              <w:t xml:space="preserve"> </w:t>
            </w:r>
            <w:r w:rsidRPr="00BD307E">
              <w:rPr>
                <w:sz w:val="14"/>
                <w:szCs w:val="14"/>
              </w:rPr>
              <w:t>(56.</w:t>
            </w:r>
            <w:r>
              <w:rPr>
                <w:sz w:val="14"/>
                <w:szCs w:val="14"/>
              </w:rPr>
              <w:t>5</w:t>
            </w:r>
            <w:r w:rsidRPr="00BD307E">
              <w:rPr>
                <w:sz w:val="14"/>
                <w:szCs w:val="14"/>
              </w:rPr>
              <w:t>)</w:t>
            </w:r>
          </w:p>
        </w:tc>
        <w:tc>
          <w:tcPr>
            <w:tcW w:w="1276" w:type="dxa"/>
          </w:tcPr>
          <w:p w14:paraId="3AE1A6D0" w14:textId="67D3F472" w:rsidR="00F971D8" w:rsidRPr="00BD307E" w:rsidRDefault="00F971D8" w:rsidP="00D9387F">
            <w:pPr>
              <w:rPr>
                <w:sz w:val="14"/>
                <w:szCs w:val="14"/>
              </w:rPr>
            </w:pPr>
            <w:r>
              <w:rPr>
                <w:sz w:val="14"/>
                <w:szCs w:val="14"/>
              </w:rPr>
              <w:t>4212</w:t>
            </w:r>
            <w:r w:rsidR="003C7FB2">
              <w:rPr>
                <w:sz w:val="14"/>
                <w:szCs w:val="14"/>
              </w:rPr>
              <w:t xml:space="preserve"> </w:t>
            </w:r>
            <w:r w:rsidRPr="00BD307E">
              <w:rPr>
                <w:sz w:val="14"/>
                <w:szCs w:val="14"/>
              </w:rPr>
              <w:t>(54.</w:t>
            </w:r>
            <w:r>
              <w:rPr>
                <w:sz w:val="14"/>
                <w:szCs w:val="14"/>
              </w:rPr>
              <w:t>8</w:t>
            </w:r>
            <w:r w:rsidRPr="00BD307E">
              <w:rPr>
                <w:sz w:val="14"/>
                <w:szCs w:val="14"/>
              </w:rPr>
              <w:t>)</w:t>
            </w:r>
          </w:p>
        </w:tc>
      </w:tr>
      <w:tr w:rsidR="00F971D8" w:rsidRPr="00BD307E" w14:paraId="2D87B634" w14:textId="77777777" w:rsidTr="00D9387F">
        <w:tc>
          <w:tcPr>
            <w:tcW w:w="1492" w:type="dxa"/>
          </w:tcPr>
          <w:p w14:paraId="2F356C3B" w14:textId="77777777" w:rsidR="00F971D8" w:rsidRPr="00BD307E" w:rsidRDefault="00F971D8" w:rsidP="00D9387F">
            <w:pPr>
              <w:rPr>
                <w:sz w:val="14"/>
                <w:szCs w:val="14"/>
              </w:rPr>
            </w:pPr>
            <w:r w:rsidRPr="00BD307E">
              <w:rPr>
                <w:sz w:val="14"/>
                <w:szCs w:val="14"/>
              </w:rPr>
              <w:t>Standing</w:t>
            </w:r>
          </w:p>
        </w:tc>
        <w:tc>
          <w:tcPr>
            <w:tcW w:w="1338" w:type="dxa"/>
          </w:tcPr>
          <w:p w14:paraId="2F85D765" w14:textId="762991D0" w:rsidR="00F971D8" w:rsidRPr="00BD307E" w:rsidRDefault="00F971D8" w:rsidP="00D9387F">
            <w:pPr>
              <w:rPr>
                <w:sz w:val="14"/>
                <w:szCs w:val="14"/>
              </w:rPr>
            </w:pPr>
            <w:r>
              <w:rPr>
                <w:sz w:val="14"/>
                <w:szCs w:val="14"/>
              </w:rPr>
              <w:t>832</w:t>
            </w:r>
            <w:r w:rsidR="003C7FB2">
              <w:rPr>
                <w:sz w:val="14"/>
                <w:szCs w:val="14"/>
              </w:rPr>
              <w:t xml:space="preserve"> </w:t>
            </w:r>
            <w:r w:rsidRPr="00BD307E">
              <w:rPr>
                <w:sz w:val="14"/>
                <w:szCs w:val="14"/>
              </w:rPr>
              <w:t>(41.</w:t>
            </w:r>
            <w:r>
              <w:rPr>
                <w:sz w:val="14"/>
                <w:szCs w:val="14"/>
              </w:rPr>
              <w:t>6</w:t>
            </w:r>
            <w:r w:rsidRPr="00BD307E">
              <w:rPr>
                <w:sz w:val="14"/>
                <w:szCs w:val="14"/>
              </w:rPr>
              <w:t>)</w:t>
            </w:r>
          </w:p>
        </w:tc>
        <w:tc>
          <w:tcPr>
            <w:tcW w:w="1418" w:type="dxa"/>
          </w:tcPr>
          <w:p w14:paraId="3CA50DDD" w14:textId="2C873D20" w:rsidR="00F971D8" w:rsidRPr="00BD307E" w:rsidRDefault="00F971D8" w:rsidP="00D9387F">
            <w:pPr>
              <w:rPr>
                <w:sz w:val="14"/>
                <w:szCs w:val="14"/>
              </w:rPr>
            </w:pPr>
            <w:r>
              <w:rPr>
                <w:sz w:val="14"/>
                <w:szCs w:val="14"/>
              </w:rPr>
              <w:t>219</w:t>
            </w:r>
            <w:r w:rsidR="003C7FB2">
              <w:rPr>
                <w:sz w:val="14"/>
                <w:szCs w:val="14"/>
              </w:rPr>
              <w:t xml:space="preserve"> </w:t>
            </w:r>
            <w:r>
              <w:rPr>
                <w:sz w:val="14"/>
                <w:szCs w:val="14"/>
              </w:rPr>
              <w:t>(17.3</w:t>
            </w:r>
            <w:r w:rsidRPr="00BD307E">
              <w:rPr>
                <w:sz w:val="14"/>
                <w:szCs w:val="14"/>
              </w:rPr>
              <w:t>)</w:t>
            </w:r>
          </w:p>
        </w:tc>
        <w:tc>
          <w:tcPr>
            <w:tcW w:w="1276" w:type="dxa"/>
          </w:tcPr>
          <w:p w14:paraId="2311BEC3" w14:textId="5FD321B0" w:rsidR="00F971D8" w:rsidRPr="00BD307E" w:rsidRDefault="00F971D8" w:rsidP="00D9387F">
            <w:pPr>
              <w:rPr>
                <w:sz w:val="14"/>
                <w:szCs w:val="14"/>
              </w:rPr>
            </w:pPr>
            <w:r>
              <w:rPr>
                <w:sz w:val="14"/>
                <w:szCs w:val="14"/>
              </w:rPr>
              <w:t>61</w:t>
            </w:r>
            <w:r w:rsidRPr="00BD307E">
              <w:rPr>
                <w:sz w:val="14"/>
                <w:szCs w:val="14"/>
              </w:rPr>
              <w:t>6</w:t>
            </w:r>
            <w:r w:rsidR="003C7FB2">
              <w:rPr>
                <w:sz w:val="14"/>
                <w:szCs w:val="14"/>
              </w:rPr>
              <w:t xml:space="preserve"> </w:t>
            </w:r>
            <w:r w:rsidRPr="00BD307E">
              <w:rPr>
                <w:sz w:val="14"/>
                <w:szCs w:val="14"/>
              </w:rPr>
              <w:t>(31.6)</w:t>
            </w:r>
          </w:p>
        </w:tc>
        <w:tc>
          <w:tcPr>
            <w:tcW w:w="1417" w:type="dxa"/>
          </w:tcPr>
          <w:p w14:paraId="7AD012C2" w14:textId="05CBA46D" w:rsidR="00F971D8" w:rsidRPr="00BD307E" w:rsidRDefault="00F971D8" w:rsidP="00D9387F">
            <w:pPr>
              <w:rPr>
                <w:sz w:val="14"/>
                <w:szCs w:val="14"/>
              </w:rPr>
            </w:pPr>
            <w:r>
              <w:rPr>
                <w:sz w:val="14"/>
                <w:szCs w:val="14"/>
              </w:rPr>
              <w:t>337</w:t>
            </w:r>
            <w:r w:rsidR="003C7FB2">
              <w:rPr>
                <w:sz w:val="14"/>
                <w:szCs w:val="14"/>
              </w:rPr>
              <w:t xml:space="preserve"> </w:t>
            </w:r>
            <w:r w:rsidRPr="00BD307E">
              <w:rPr>
                <w:sz w:val="14"/>
                <w:szCs w:val="14"/>
              </w:rPr>
              <w:t>(13.7)</w:t>
            </w:r>
          </w:p>
        </w:tc>
        <w:tc>
          <w:tcPr>
            <w:tcW w:w="1276" w:type="dxa"/>
          </w:tcPr>
          <w:p w14:paraId="1B6C871A" w14:textId="0514D1A3" w:rsidR="00F971D8" w:rsidRPr="00BD307E" w:rsidRDefault="00F971D8" w:rsidP="00D9387F">
            <w:pPr>
              <w:rPr>
                <w:sz w:val="14"/>
                <w:szCs w:val="14"/>
              </w:rPr>
            </w:pPr>
            <w:r>
              <w:rPr>
                <w:sz w:val="14"/>
                <w:szCs w:val="14"/>
              </w:rPr>
              <w:t>2004</w:t>
            </w:r>
            <w:r w:rsidR="003C7FB2">
              <w:rPr>
                <w:sz w:val="14"/>
                <w:szCs w:val="14"/>
              </w:rPr>
              <w:t xml:space="preserve"> </w:t>
            </w:r>
            <w:r w:rsidRPr="00BD307E">
              <w:rPr>
                <w:sz w:val="14"/>
                <w:szCs w:val="14"/>
              </w:rPr>
              <w:t>(26.1)</w:t>
            </w:r>
          </w:p>
        </w:tc>
      </w:tr>
      <w:tr w:rsidR="00F971D8" w:rsidRPr="00BD307E" w14:paraId="4209BD4D" w14:textId="77777777" w:rsidTr="00D9387F">
        <w:tc>
          <w:tcPr>
            <w:tcW w:w="1492" w:type="dxa"/>
          </w:tcPr>
          <w:p w14:paraId="4A65C6DA" w14:textId="77777777" w:rsidR="00F971D8" w:rsidRPr="00BD307E" w:rsidRDefault="00F971D8" w:rsidP="00D9387F">
            <w:pPr>
              <w:rPr>
                <w:sz w:val="14"/>
                <w:szCs w:val="14"/>
              </w:rPr>
            </w:pPr>
            <w:r w:rsidRPr="00BD307E">
              <w:rPr>
                <w:sz w:val="14"/>
                <w:szCs w:val="14"/>
              </w:rPr>
              <w:t>Manual</w:t>
            </w:r>
          </w:p>
        </w:tc>
        <w:tc>
          <w:tcPr>
            <w:tcW w:w="1338" w:type="dxa"/>
          </w:tcPr>
          <w:p w14:paraId="3D8A6A7E" w14:textId="4736B7E2" w:rsidR="00F971D8" w:rsidRPr="00BD307E" w:rsidRDefault="00F971D8" w:rsidP="00D9387F">
            <w:pPr>
              <w:rPr>
                <w:sz w:val="14"/>
                <w:szCs w:val="14"/>
              </w:rPr>
            </w:pPr>
            <w:r>
              <w:rPr>
                <w:sz w:val="14"/>
                <w:szCs w:val="14"/>
              </w:rPr>
              <w:t>181</w:t>
            </w:r>
            <w:r w:rsidR="003C7FB2">
              <w:rPr>
                <w:sz w:val="14"/>
                <w:szCs w:val="14"/>
              </w:rPr>
              <w:t xml:space="preserve"> </w:t>
            </w:r>
            <w:r w:rsidRPr="00BD307E">
              <w:rPr>
                <w:sz w:val="14"/>
                <w:szCs w:val="14"/>
              </w:rPr>
              <w:t>(9.1)</w:t>
            </w:r>
          </w:p>
        </w:tc>
        <w:tc>
          <w:tcPr>
            <w:tcW w:w="1418" w:type="dxa"/>
          </w:tcPr>
          <w:p w14:paraId="022440B0" w14:textId="433E8F65" w:rsidR="00F971D8" w:rsidRPr="00BD307E" w:rsidRDefault="00F971D8" w:rsidP="00D9387F">
            <w:pPr>
              <w:rPr>
                <w:sz w:val="14"/>
                <w:szCs w:val="14"/>
              </w:rPr>
            </w:pPr>
            <w:r>
              <w:rPr>
                <w:sz w:val="14"/>
                <w:szCs w:val="14"/>
              </w:rPr>
              <w:t>420</w:t>
            </w:r>
            <w:r w:rsidR="003C7FB2">
              <w:rPr>
                <w:sz w:val="14"/>
                <w:szCs w:val="14"/>
              </w:rPr>
              <w:t xml:space="preserve"> </w:t>
            </w:r>
            <w:r w:rsidRPr="00BD307E">
              <w:rPr>
                <w:sz w:val="14"/>
                <w:szCs w:val="14"/>
              </w:rPr>
              <w:t>(33.</w:t>
            </w:r>
            <w:r>
              <w:rPr>
                <w:sz w:val="14"/>
                <w:szCs w:val="14"/>
              </w:rPr>
              <w:t>1</w:t>
            </w:r>
            <w:r w:rsidRPr="00BD307E">
              <w:rPr>
                <w:sz w:val="14"/>
                <w:szCs w:val="14"/>
              </w:rPr>
              <w:t>)</w:t>
            </w:r>
          </w:p>
        </w:tc>
        <w:tc>
          <w:tcPr>
            <w:tcW w:w="1276" w:type="dxa"/>
          </w:tcPr>
          <w:p w14:paraId="43D25C68" w14:textId="476251B8" w:rsidR="00F971D8" w:rsidRPr="00BD307E" w:rsidRDefault="00F971D8" w:rsidP="00D9387F">
            <w:pPr>
              <w:rPr>
                <w:sz w:val="14"/>
                <w:szCs w:val="14"/>
              </w:rPr>
            </w:pPr>
            <w:r w:rsidRPr="00BD307E">
              <w:rPr>
                <w:sz w:val="14"/>
                <w:szCs w:val="14"/>
              </w:rPr>
              <w:t>128</w:t>
            </w:r>
            <w:r w:rsidR="003C7FB2">
              <w:rPr>
                <w:sz w:val="14"/>
                <w:szCs w:val="14"/>
              </w:rPr>
              <w:t xml:space="preserve"> </w:t>
            </w:r>
            <w:r w:rsidRPr="00BD307E">
              <w:rPr>
                <w:sz w:val="14"/>
                <w:szCs w:val="14"/>
              </w:rPr>
              <w:t>(6.5)</w:t>
            </w:r>
          </w:p>
        </w:tc>
        <w:tc>
          <w:tcPr>
            <w:tcW w:w="1417" w:type="dxa"/>
          </w:tcPr>
          <w:p w14:paraId="782FCBA9" w14:textId="07E2F703" w:rsidR="00F971D8" w:rsidRPr="00BD307E" w:rsidRDefault="00F971D8" w:rsidP="00D9387F">
            <w:pPr>
              <w:rPr>
                <w:sz w:val="14"/>
                <w:szCs w:val="14"/>
              </w:rPr>
            </w:pPr>
            <w:r>
              <w:rPr>
                <w:sz w:val="14"/>
                <w:szCs w:val="14"/>
              </w:rPr>
              <w:t>735</w:t>
            </w:r>
            <w:r w:rsidR="003C7FB2">
              <w:rPr>
                <w:sz w:val="14"/>
                <w:szCs w:val="14"/>
              </w:rPr>
              <w:t xml:space="preserve"> </w:t>
            </w:r>
            <w:r w:rsidRPr="00BD307E">
              <w:rPr>
                <w:sz w:val="14"/>
                <w:szCs w:val="14"/>
              </w:rPr>
              <w:t>(29.</w:t>
            </w:r>
            <w:r>
              <w:rPr>
                <w:sz w:val="14"/>
                <w:szCs w:val="14"/>
              </w:rPr>
              <w:t>8</w:t>
            </w:r>
            <w:r w:rsidRPr="00BD307E">
              <w:rPr>
                <w:sz w:val="14"/>
                <w:szCs w:val="14"/>
              </w:rPr>
              <w:t>)</w:t>
            </w:r>
          </w:p>
        </w:tc>
        <w:tc>
          <w:tcPr>
            <w:tcW w:w="1276" w:type="dxa"/>
          </w:tcPr>
          <w:p w14:paraId="5CA506FB" w14:textId="6C811054" w:rsidR="00F971D8" w:rsidRPr="00BD307E" w:rsidRDefault="00F971D8" w:rsidP="00D9387F">
            <w:pPr>
              <w:rPr>
                <w:sz w:val="14"/>
                <w:szCs w:val="14"/>
              </w:rPr>
            </w:pPr>
            <w:r>
              <w:rPr>
                <w:sz w:val="14"/>
                <w:szCs w:val="14"/>
              </w:rPr>
              <w:t>1464</w:t>
            </w:r>
            <w:r w:rsidR="003C7FB2">
              <w:rPr>
                <w:sz w:val="14"/>
                <w:szCs w:val="14"/>
              </w:rPr>
              <w:t xml:space="preserve"> </w:t>
            </w:r>
            <w:r>
              <w:rPr>
                <w:sz w:val="14"/>
                <w:szCs w:val="14"/>
              </w:rPr>
              <w:t>(19.1</w:t>
            </w:r>
            <w:r w:rsidRPr="00BD307E">
              <w:rPr>
                <w:sz w:val="14"/>
                <w:szCs w:val="14"/>
              </w:rPr>
              <w:t>)</w:t>
            </w:r>
          </w:p>
        </w:tc>
      </w:tr>
      <w:tr w:rsidR="00F971D8" w:rsidRPr="00BD307E" w14:paraId="377E82FD" w14:textId="77777777" w:rsidTr="00D9387F">
        <w:tc>
          <w:tcPr>
            <w:tcW w:w="1492" w:type="dxa"/>
          </w:tcPr>
          <w:p w14:paraId="0AAFFEF4" w14:textId="4FAF2EF5" w:rsidR="00F971D8" w:rsidRPr="00BD307E" w:rsidRDefault="00F971D8" w:rsidP="00D9387F">
            <w:pPr>
              <w:rPr>
                <w:sz w:val="14"/>
                <w:szCs w:val="14"/>
              </w:rPr>
            </w:pPr>
            <w:r w:rsidRPr="00BD307E">
              <w:rPr>
                <w:b/>
                <w:sz w:val="14"/>
                <w:szCs w:val="14"/>
              </w:rPr>
              <w:t>Leisure</w:t>
            </w:r>
            <w:r w:rsidR="003C7FB2">
              <w:rPr>
                <w:b/>
                <w:sz w:val="14"/>
                <w:szCs w:val="14"/>
              </w:rPr>
              <w:t xml:space="preserve"> </w:t>
            </w:r>
            <w:r w:rsidRPr="00BD307E">
              <w:rPr>
                <w:b/>
                <w:sz w:val="14"/>
                <w:szCs w:val="14"/>
              </w:rPr>
              <w:t>time</w:t>
            </w:r>
            <w:r w:rsidR="003C7FB2">
              <w:rPr>
                <w:b/>
                <w:sz w:val="14"/>
                <w:szCs w:val="14"/>
              </w:rPr>
              <w:t xml:space="preserve"> </w:t>
            </w:r>
            <w:r w:rsidRPr="00BD307E">
              <w:rPr>
                <w:b/>
                <w:sz w:val="14"/>
                <w:szCs w:val="14"/>
              </w:rPr>
              <w:t>physical</w:t>
            </w:r>
            <w:r w:rsidR="003C7FB2">
              <w:rPr>
                <w:b/>
                <w:sz w:val="14"/>
                <w:szCs w:val="14"/>
              </w:rPr>
              <w:t xml:space="preserve"> </w:t>
            </w:r>
            <w:r w:rsidRPr="00BD307E">
              <w:rPr>
                <w:b/>
                <w:sz w:val="14"/>
                <w:szCs w:val="14"/>
              </w:rPr>
              <w:t>activity</w:t>
            </w:r>
            <w:r w:rsidR="003C7FB2">
              <w:rPr>
                <w:b/>
                <w:sz w:val="14"/>
                <w:szCs w:val="14"/>
              </w:rPr>
              <w:t xml:space="preserve"> </w:t>
            </w:r>
            <w:r w:rsidRPr="00BD307E">
              <w:rPr>
                <w:b/>
                <w:sz w:val="14"/>
                <w:szCs w:val="14"/>
              </w:rPr>
              <w:t>(MET-hours)</w:t>
            </w:r>
          </w:p>
        </w:tc>
        <w:tc>
          <w:tcPr>
            <w:tcW w:w="1338" w:type="dxa"/>
          </w:tcPr>
          <w:p w14:paraId="1CD49129" w14:textId="11C45EFA" w:rsidR="00F971D8" w:rsidRPr="00BD307E" w:rsidRDefault="00F971D8" w:rsidP="00D9387F">
            <w:pPr>
              <w:rPr>
                <w:sz w:val="14"/>
                <w:szCs w:val="14"/>
              </w:rPr>
            </w:pPr>
            <w:r>
              <w:rPr>
                <w:sz w:val="14"/>
                <w:szCs w:val="14"/>
              </w:rPr>
              <w:t>2.63</w:t>
            </w:r>
            <w:r w:rsidR="003C7FB2">
              <w:rPr>
                <w:sz w:val="14"/>
                <w:szCs w:val="14"/>
              </w:rPr>
              <w:t xml:space="preserve"> </w:t>
            </w:r>
            <w:r>
              <w:rPr>
                <w:sz w:val="14"/>
                <w:szCs w:val="14"/>
              </w:rPr>
              <w:t>(1.25-4.78</w:t>
            </w:r>
            <w:r w:rsidRPr="00BD307E">
              <w:rPr>
                <w:sz w:val="14"/>
                <w:szCs w:val="14"/>
              </w:rPr>
              <w:t>)</w:t>
            </w:r>
          </w:p>
        </w:tc>
        <w:tc>
          <w:tcPr>
            <w:tcW w:w="1418" w:type="dxa"/>
          </w:tcPr>
          <w:p w14:paraId="21D1A66A" w14:textId="7DB3DEAF" w:rsidR="00F971D8" w:rsidRPr="00BD307E" w:rsidRDefault="00F971D8" w:rsidP="00D9387F">
            <w:pPr>
              <w:rPr>
                <w:sz w:val="14"/>
                <w:szCs w:val="14"/>
              </w:rPr>
            </w:pPr>
            <w:r w:rsidRPr="00BD307E">
              <w:rPr>
                <w:sz w:val="14"/>
                <w:szCs w:val="14"/>
              </w:rPr>
              <w:t>3.99</w:t>
            </w:r>
            <w:r w:rsidR="003C7FB2">
              <w:rPr>
                <w:sz w:val="14"/>
                <w:szCs w:val="14"/>
              </w:rPr>
              <w:t xml:space="preserve"> </w:t>
            </w:r>
            <w:r w:rsidRPr="00BD307E">
              <w:rPr>
                <w:sz w:val="14"/>
                <w:szCs w:val="14"/>
              </w:rPr>
              <w:t>(2.0</w:t>
            </w:r>
            <w:r>
              <w:rPr>
                <w:sz w:val="14"/>
                <w:szCs w:val="14"/>
              </w:rPr>
              <w:t>2</w:t>
            </w:r>
            <w:r w:rsidRPr="00BD307E">
              <w:rPr>
                <w:sz w:val="14"/>
                <w:szCs w:val="14"/>
              </w:rPr>
              <w:t>-6.9</w:t>
            </w:r>
            <w:r>
              <w:rPr>
                <w:sz w:val="14"/>
                <w:szCs w:val="14"/>
              </w:rPr>
              <w:t>0</w:t>
            </w:r>
            <w:r w:rsidRPr="00BD307E">
              <w:rPr>
                <w:sz w:val="14"/>
                <w:szCs w:val="14"/>
              </w:rPr>
              <w:t>)</w:t>
            </w:r>
          </w:p>
        </w:tc>
        <w:tc>
          <w:tcPr>
            <w:tcW w:w="1276" w:type="dxa"/>
          </w:tcPr>
          <w:p w14:paraId="02EA0628" w14:textId="672E276C" w:rsidR="00F971D8" w:rsidRPr="00BD307E" w:rsidRDefault="00F971D8" w:rsidP="00D9387F">
            <w:pPr>
              <w:rPr>
                <w:sz w:val="14"/>
                <w:szCs w:val="14"/>
              </w:rPr>
            </w:pPr>
            <w:r>
              <w:rPr>
                <w:sz w:val="14"/>
                <w:szCs w:val="14"/>
              </w:rPr>
              <w:t>2.75</w:t>
            </w:r>
            <w:r w:rsidR="003C7FB2">
              <w:rPr>
                <w:sz w:val="14"/>
                <w:szCs w:val="14"/>
              </w:rPr>
              <w:t xml:space="preserve"> </w:t>
            </w:r>
            <w:r>
              <w:rPr>
                <w:sz w:val="14"/>
                <w:szCs w:val="14"/>
              </w:rPr>
              <w:t>(1.32-4.95</w:t>
            </w:r>
            <w:r w:rsidRPr="00BD307E">
              <w:rPr>
                <w:sz w:val="14"/>
                <w:szCs w:val="14"/>
              </w:rPr>
              <w:t>)</w:t>
            </w:r>
          </w:p>
        </w:tc>
        <w:tc>
          <w:tcPr>
            <w:tcW w:w="1417" w:type="dxa"/>
          </w:tcPr>
          <w:p w14:paraId="66FAD13E" w14:textId="78744F76" w:rsidR="00F971D8" w:rsidRPr="00BD307E" w:rsidRDefault="00F971D8" w:rsidP="00D9387F">
            <w:pPr>
              <w:rPr>
                <w:sz w:val="14"/>
                <w:szCs w:val="14"/>
              </w:rPr>
            </w:pPr>
            <w:r>
              <w:rPr>
                <w:sz w:val="14"/>
                <w:szCs w:val="14"/>
              </w:rPr>
              <w:t>4.11</w:t>
            </w:r>
            <w:r w:rsidR="003C7FB2">
              <w:rPr>
                <w:sz w:val="14"/>
                <w:szCs w:val="14"/>
              </w:rPr>
              <w:t xml:space="preserve"> </w:t>
            </w:r>
            <w:r w:rsidRPr="00BD307E">
              <w:rPr>
                <w:sz w:val="14"/>
                <w:szCs w:val="14"/>
              </w:rPr>
              <w:t>(2.28-7.27)</w:t>
            </w:r>
          </w:p>
        </w:tc>
        <w:tc>
          <w:tcPr>
            <w:tcW w:w="1276" w:type="dxa"/>
          </w:tcPr>
          <w:p w14:paraId="3F3A37E1" w14:textId="635BBABC" w:rsidR="00F971D8" w:rsidRPr="00BD307E" w:rsidRDefault="00F971D8" w:rsidP="00D9387F">
            <w:pPr>
              <w:rPr>
                <w:sz w:val="14"/>
                <w:szCs w:val="14"/>
              </w:rPr>
            </w:pPr>
            <w:r w:rsidRPr="00BD307E">
              <w:rPr>
                <w:sz w:val="14"/>
                <w:szCs w:val="14"/>
              </w:rPr>
              <w:t>3.3</w:t>
            </w:r>
            <w:r w:rsidR="003C7FB2">
              <w:rPr>
                <w:sz w:val="14"/>
                <w:szCs w:val="14"/>
              </w:rPr>
              <w:t xml:space="preserve"> </w:t>
            </w:r>
            <w:r w:rsidRPr="00BD307E">
              <w:rPr>
                <w:sz w:val="14"/>
                <w:szCs w:val="14"/>
              </w:rPr>
              <w:t>(1.7-6.0)</w:t>
            </w:r>
          </w:p>
        </w:tc>
      </w:tr>
      <w:tr w:rsidR="00F971D8" w:rsidRPr="00BD307E" w14:paraId="59235547" w14:textId="77777777" w:rsidTr="00D9387F">
        <w:tc>
          <w:tcPr>
            <w:tcW w:w="1492" w:type="dxa"/>
          </w:tcPr>
          <w:p w14:paraId="0B73EBFF" w14:textId="777D14AB" w:rsidR="00F971D8" w:rsidRPr="00BD307E" w:rsidRDefault="00F971D8" w:rsidP="00D9387F">
            <w:pPr>
              <w:rPr>
                <w:b/>
                <w:sz w:val="14"/>
                <w:szCs w:val="14"/>
              </w:rPr>
            </w:pPr>
            <w:r>
              <w:rPr>
                <w:b/>
                <w:sz w:val="14"/>
                <w:szCs w:val="14"/>
              </w:rPr>
              <w:t>Physical</w:t>
            </w:r>
            <w:r w:rsidR="003C7FB2">
              <w:rPr>
                <w:b/>
                <w:sz w:val="14"/>
                <w:szCs w:val="14"/>
              </w:rPr>
              <w:t xml:space="preserve"> </w:t>
            </w:r>
            <w:r>
              <w:rPr>
                <w:b/>
                <w:sz w:val="14"/>
                <w:szCs w:val="14"/>
              </w:rPr>
              <w:t>Activity</w:t>
            </w:r>
            <w:r w:rsidR="003C7FB2">
              <w:rPr>
                <w:b/>
                <w:sz w:val="14"/>
                <w:szCs w:val="14"/>
              </w:rPr>
              <w:t xml:space="preserve"> </w:t>
            </w:r>
            <w:r>
              <w:rPr>
                <w:b/>
                <w:sz w:val="14"/>
                <w:szCs w:val="14"/>
              </w:rPr>
              <w:t>Energy</w:t>
            </w:r>
            <w:r w:rsidR="003C7FB2">
              <w:rPr>
                <w:b/>
                <w:sz w:val="14"/>
                <w:szCs w:val="14"/>
              </w:rPr>
              <w:t xml:space="preserve"> </w:t>
            </w:r>
            <w:r>
              <w:rPr>
                <w:b/>
                <w:sz w:val="14"/>
                <w:szCs w:val="14"/>
              </w:rPr>
              <w:t>Expenditure</w:t>
            </w:r>
            <w:r w:rsidR="003C7FB2">
              <w:rPr>
                <w:b/>
                <w:sz w:val="14"/>
                <w:szCs w:val="14"/>
              </w:rPr>
              <w:t xml:space="preserve"> </w:t>
            </w:r>
            <w:r>
              <w:rPr>
                <w:b/>
                <w:sz w:val="14"/>
                <w:szCs w:val="14"/>
              </w:rPr>
              <w:t>(kJ/day/kg)</w:t>
            </w:r>
          </w:p>
        </w:tc>
        <w:tc>
          <w:tcPr>
            <w:tcW w:w="1338" w:type="dxa"/>
          </w:tcPr>
          <w:p w14:paraId="79313F12" w14:textId="499AAD4F" w:rsidR="00F971D8" w:rsidRDefault="00F971D8" w:rsidP="00D9387F">
            <w:pPr>
              <w:rPr>
                <w:sz w:val="14"/>
                <w:szCs w:val="14"/>
              </w:rPr>
            </w:pPr>
            <w:r>
              <w:rPr>
                <w:sz w:val="14"/>
                <w:szCs w:val="14"/>
              </w:rPr>
              <w:t>48.1</w:t>
            </w:r>
            <w:r w:rsidR="003C7FB2">
              <w:rPr>
                <w:sz w:val="14"/>
                <w:szCs w:val="14"/>
              </w:rPr>
              <w:t xml:space="preserve"> </w:t>
            </w:r>
            <w:r>
              <w:rPr>
                <w:sz w:val="14"/>
                <w:szCs w:val="14"/>
              </w:rPr>
              <w:t>(36.1-61.8)</w:t>
            </w:r>
          </w:p>
        </w:tc>
        <w:tc>
          <w:tcPr>
            <w:tcW w:w="1418" w:type="dxa"/>
          </w:tcPr>
          <w:p w14:paraId="714D8089" w14:textId="2D475A97" w:rsidR="00F971D8" w:rsidRPr="00BD307E" w:rsidRDefault="00F971D8" w:rsidP="00D9387F">
            <w:pPr>
              <w:rPr>
                <w:sz w:val="14"/>
                <w:szCs w:val="14"/>
              </w:rPr>
            </w:pPr>
            <w:r>
              <w:rPr>
                <w:sz w:val="14"/>
                <w:szCs w:val="14"/>
              </w:rPr>
              <w:t>58.9</w:t>
            </w:r>
            <w:r w:rsidR="003C7FB2">
              <w:rPr>
                <w:sz w:val="14"/>
                <w:szCs w:val="14"/>
              </w:rPr>
              <w:t xml:space="preserve"> </w:t>
            </w:r>
            <w:r>
              <w:rPr>
                <w:sz w:val="14"/>
                <w:szCs w:val="14"/>
              </w:rPr>
              <w:t>(44.0-75.7)</w:t>
            </w:r>
          </w:p>
        </w:tc>
        <w:tc>
          <w:tcPr>
            <w:tcW w:w="1276" w:type="dxa"/>
          </w:tcPr>
          <w:p w14:paraId="4548F04B" w14:textId="18C17B51" w:rsidR="00F971D8" w:rsidRDefault="00F971D8" w:rsidP="00D9387F">
            <w:pPr>
              <w:rPr>
                <w:sz w:val="14"/>
                <w:szCs w:val="14"/>
              </w:rPr>
            </w:pPr>
            <w:r>
              <w:rPr>
                <w:sz w:val="14"/>
                <w:szCs w:val="14"/>
              </w:rPr>
              <w:t>45.6</w:t>
            </w:r>
            <w:r w:rsidR="003C7FB2">
              <w:rPr>
                <w:sz w:val="14"/>
                <w:szCs w:val="14"/>
              </w:rPr>
              <w:t xml:space="preserve"> </w:t>
            </w:r>
            <w:r>
              <w:rPr>
                <w:sz w:val="14"/>
                <w:szCs w:val="14"/>
              </w:rPr>
              <w:t>(35.1-58.4)</w:t>
            </w:r>
          </w:p>
        </w:tc>
        <w:tc>
          <w:tcPr>
            <w:tcW w:w="1417" w:type="dxa"/>
          </w:tcPr>
          <w:p w14:paraId="1A375613" w14:textId="31E2475F" w:rsidR="00F971D8" w:rsidRDefault="00F971D8" w:rsidP="00D9387F">
            <w:pPr>
              <w:rPr>
                <w:sz w:val="14"/>
                <w:szCs w:val="14"/>
              </w:rPr>
            </w:pPr>
            <w:r>
              <w:rPr>
                <w:sz w:val="14"/>
                <w:szCs w:val="14"/>
              </w:rPr>
              <w:t>56.4</w:t>
            </w:r>
            <w:r w:rsidR="003C7FB2">
              <w:rPr>
                <w:sz w:val="14"/>
                <w:szCs w:val="14"/>
              </w:rPr>
              <w:t xml:space="preserve"> </w:t>
            </w:r>
            <w:r>
              <w:rPr>
                <w:sz w:val="14"/>
                <w:szCs w:val="14"/>
              </w:rPr>
              <w:t>(42.1-73.2)</w:t>
            </w:r>
          </w:p>
        </w:tc>
        <w:tc>
          <w:tcPr>
            <w:tcW w:w="1276" w:type="dxa"/>
          </w:tcPr>
          <w:p w14:paraId="57EDCECC" w14:textId="2B8668A7" w:rsidR="00F971D8" w:rsidRPr="00BD307E" w:rsidRDefault="00F971D8" w:rsidP="00D9387F">
            <w:pPr>
              <w:rPr>
                <w:sz w:val="14"/>
                <w:szCs w:val="14"/>
              </w:rPr>
            </w:pPr>
            <w:r>
              <w:rPr>
                <w:sz w:val="14"/>
                <w:szCs w:val="14"/>
              </w:rPr>
              <w:t>51.4</w:t>
            </w:r>
            <w:r w:rsidR="003C7FB2">
              <w:rPr>
                <w:sz w:val="14"/>
                <w:szCs w:val="14"/>
              </w:rPr>
              <w:t xml:space="preserve"> </w:t>
            </w:r>
            <w:r>
              <w:rPr>
                <w:sz w:val="14"/>
                <w:szCs w:val="14"/>
              </w:rPr>
              <w:t>(38.5-66.9)</w:t>
            </w:r>
          </w:p>
        </w:tc>
      </w:tr>
      <w:tr w:rsidR="00F971D8" w:rsidRPr="00BD307E" w14:paraId="1C1379E8" w14:textId="77777777" w:rsidTr="00D9387F">
        <w:tc>
          <w:tcPr>
            <w:tcW w:w="1492" w:type="dxa"/>
          </w:tcPr>
          <w:p w14:paraId="3B8B7795" w14:textId="14E8869E" w:rsidR="00F971D8" w:rsidRPr="00BD307E" w:rsidRDefault="00F971D8" w:rsidP="00D9387F">
            <w:pPr>
              <w:rPr>
                <w:b/>
                <w:sz w:val="14"/>
                <w:szCs w:val="14"/>
              </w:rPr>
            </w:pPr>
            <w:r w:rsidRPr="00BD307E">
              <w:rPr>
                <w:b/>
                <w:sz w:val="14"/>
                <w:szCs w:val="14"/>
              </w:rPr>
              <w:t>Difficultly</w:t>
            </w:r>
            <w:r w:rsidR="003C7FB2">
              <w:rPr>
                <w:b/>
                <w:sz w:val="14"/>
                <w:szCs w:val="14"/>
              </w:rPr>
              <w:t xml:space="preserve"> </w:t>
            </w:r>
            <w:r w:rsidRPr="00BD307E">
              <w:rPr>
                <w:b/>
                <w:sz w:val="14"/>
                <w:szCs w:val="14"/>
              </w:rPr>
              <w:t>walking</w:t>
            </w:r>
          </w:p>
        </w:tc>
        <w:tc>
          <w:tcPr>
            <w:tcW w:w="1338" w:type="dxa"/>
          </w:tcPr>
          <w:p w14:paraId="70777375" w14:textId="77777777" w:rsidR="00F971D8" w:rsidRPr="00BD307E" w:rsidRDefault="00F971D8" w:rsidP="00D9387F">
            <w:pPr>
              <w:rPr>
                <w:sz w:val="14"/>
                <w:szCs w:val="14"/>
              </w:rPr>
            </w:pPr>
          </w:p>
        </w:tc>
        <w:tc>
          <w:tcPr>
            <w:tcW w:w="1418" w:type="dxa"/>
          </w:tcPr>
          <w:p w14:paraId="319531A9" w14:textId="77777777" w:rsidR="00F971D8" w:rsidRPr="00BD307E" w:rsidRDefault="00F971D8" w:rsidP="00D9387F">
            <w:pPr>
              <w:rPr>
                <w:sz w:val="14"/>
                <w:szCs w:val="14"/>
              </w:rPr>
            </w:pPr>
          </w:p>
        </w:tc>
        <w:tc>
          <w:tcPr>
            <w:tcW w:w="1276" w:type="dxa"/>
          </w:tcPr>
          <w:p w14:paraId="439EF86F" w14:textId="77777777" w:rsidR="00F971D8" w:rsidRPr="00BD307E" w:rsidRDefault="00F971D8" w:rsidP="00D9387F">
            <w:pPr>
              <w:rPr>
                <w:sz w:val="14"/>
                <w:szCs w:val="14"/>
              </w:rPr>
            </w:pPr>
          </w:p>
        </w:tc>
        <w:tc>
          <w:tcPr>
            <w:tcW w:w="1417" w:type="dxa"/>
          </w:tcPr>
          <w:p w14:paraId="44ADA493" w14:textId="77777777" w:rsidR="00F971D8" w:rsidRPr="00BD307E" w:rsidRDefault="00F971D8" w:rsidP="00D9387F">
            <w:pPr>
              <w:rPr>
                <w:sz w:val="14"/>
                <w:szCs w:val="14"/>
              </w:rPr>
            </w:pPr>
          </w:p>
        </w:tc>
        <w:tc>
          <w:tcPr>
            <w:tcW w:w="1276" w:type="dxa"/>
          </w:tcPr>
          <w:p w14:paraId="548F649B" w14:textId="77777777" w:rsidR="00F971D8" w:rsidRPr="00BD307E" w:rsidRDefault="00F971D8" w:rsidP="00D9387F">
            <w:pPr>
              <w:rPr>
                <w:sz w:val="14"/>
                <w:szCs w:val="14"/>
              </w:rPr>
            </w:pPr>
          </w:p>
        </w:tc>
      </w:tr>
      <w:tr w:rsidR="00F971D8" w:rsidRPr="00BD307E" w14:paraId="4B2E894C" w14:textId="77777777" w:rsidTr="00D9387F">
        <w:tc>
          <w:tcPr>
            <w:tcW w:w="1492" w:type="dxa"/>
          </w:tcPr>
          <w:p w14:paraId="32388CD4" w14:textId="77777777" w:rsidR="00F971D8" w:rsidRPr="00BD307E" w:rsidRDefault="00F971D8" w:rsidP="00D9387F">
            <w:pPr>
              <w:rPr>
                <w:sz w:val="14"/>
                <w:szCs w:val="14"/>
              </w:rPr>
            </w:pPr>
            <w:r w:rsidRPr="00BD307E">
              <w:rPr>
                <w:sz w:val="14"/>
                <w:szCs w:val="14"/>
              </w:rPr>
              <w:t>None</w:t>
            </w:r>
          </w:p>
        </w:tc>
        <w:tc>
          <w:tcPr>
            <w:tcW w:w="1338" w:type="dxa"/>
          </w:tcPr>
          <w:p w14:paraId="3E7F68CC" w14:textId="71322A5C" w:rsidR="00F971D8" w:rsidRPr="00BD307E" w:rsidRDefault="00F971D8" w:rsidP="00D9387F">
            <w:pPr>
              <w:rPr>
                <w:sz w:val="14"/>
                <w:szCs w:val="14"/>
              </w:rPr>
            </w:pPr>
            <w:r>
              <w:rPr>
                <w:sz w:val="14"/>
                <w:szCs w:val="14"/>
              </w:rPr>
              <w:t>1385</w:t>
            </w:r>
            <w:r w:rsidR="003C7FB2">
              <w:rPr>
                <w:sz w:val="14"/>
                <w:szCs w:val="14"/>
              </w:rPr>
              <w:t xml:space="preserve"> </w:t>
            </w:r>
            <w:r>
              <w:rPr>
                <w:sz w:val="14"/>
                <w:szCs w:val="14"/>
              </w:rPr>
              <w:t>(69.3</w:t>
            </w:r>
            <w:r w:rsidRPr="00BD307E">
              <w:rPr>
                <w:sz w:val="14"/>
                <w:szCs w:val="14"/>
              </w:rPr>
              <w:t>)</w:t>
            </w:r>
          </w:p>
        </w:tc>
        <w:tc>
          <w:tcPr>
            <w:tcW w:w="1418" w:type="dxa"/>
          </w:tcPr>
          <w:p w14:paraId="38E43466" w14:textId="288E9F53" w:rsidR="00F971D8" w:rsidRPr="00BD307E" w:rsidRDefault="00F971D8" w:rsidP="00D9387F">
            <w:pPr>
              <w:rPr>
                <w:sz w:val="14"/>
                <w:szCs w:val="14"/>
              </w:rPr>
            </w:pPr>
            <w:r>
              <w:rPr>
                <w:sz w:val="14"/>
                <w:szCs w:val="14"/>
              </w:rPr>
              <w:t>93</w:t>
            </w:r>
            <w:r w:rsidRPr="00BD307E">
              <w:rPr>
                <w:sz w:val="14"/>
                <w:szCs w:val="14"/>
              </w:rPr>
              <w:t>3</w:t>
            </w:r>
            <w:r w:rsidR="003C7FB2">
              <w:rPr>
                <w:sz w:val="14"/>
                <w:szCs w:val="14"/>
              </w:rPr>
              <w:t xml:space="preserve"> </w:t>
            </w:r>
            <w:r w:rsidRPr="00BD307E">
              <w:rPr>
                <w:sz w:val="14"/>
                <w:szCs w:val="14"/>
              </w:rPr>
              <w:t>(73.6)</w:t>
            </w:r>
          </w:p>
        </w:tc>
        <w:tc>
          <w:tcPr>
            <w:tcW w:w="1276" w:type="dxa"/>
          </w:tcPr>
          <w:p w14:paraId="25BB022D" w14:textId="77C46762" w:rsidR="00F971D8" w:rsidRPr="00BD307E" w:rsidRDefault="00F971D8" w:rsidP="00D9387F">
            <w:pPr>
              <w:rPr>
                <w:sz w:val="14"/>
                <w:szCs w:val="14"/>
              </w:rPr>
            </w:pPr>
            <w:r>
              <w:rPr>
                <w:sz w:val="14"/>
                <w:szCs w:val="14"/>
              </w:rPr>
              <w:t>1334</w:t>
            </w:r>
            <w:r w:rsidR="003C7FB2">
              <w:rPr>
                <w:sz w:val="14"/>
                <w:szCs w:val="14"/>
              </w:rPr>
              <w:t xml:space="preserve"> </w:t>
            </w:r>
            <w:r w:rsidRPr="00BD307E">
              <w:rPr>
                <w:sz w:val="14"/>
                <w:szCs w:val="14"/>
              </w:rPr>
              <w:t>(68.4)</w:t>
            </w:r>
          </w:p>
        </w:tc>
        <w:tc>
          <w:tcPr>
            <w:tcW w:w="1417" w:type="dxa"/>
          </w:tcPr>
          <w:p w14:paraId="124F3904" w14:textId="717A24D6" w:rsidR="00F971D8" w:rsidRPr="00BD307E" w:rsidRDefault="00F971D8" w:rsidP="00D9387F">
            <w:pPr>
              <w:rPr>
                <w:sz w:val="14"/>
                <w:szCs w:val="14"/>
              </w:rPr>
            </w:pPr>
            <w:r>
              <w:rPr>
                <w:sz w:val="14"/>
                <w:szCs w:val="14"/>
              </w:rPr>
              <w:t>1757</w:t>
            </w:r>
            <w:r w:rsidR="003C7FB2">
              <w:rPr>
                <w:sz w:val="14"/>
                <w:szCs w:val="14"/>
              </w:rPr>
              <w:t xml:space="preserve"> </w:t>
            </w:r>
            <w:r w:rsidRPr="00BD307E">
              <w:rPr>
                <w:sz w:val="14"/>
                <w:szCs w:val="14"/>
              </w:rPr>
              <w:t>(71.3)</w:t>
            </w:r>
          </w:p>
        </w:tc>
        <w:tc>
          <w:tcPr>
            <w:tcW w:w="1276" w:type="dxa"/>
          </w:tcPr>
          <w:p w14:paraId="044AF891" w14:textId="486BD675" w:rsidR="00F971D8" w:rsidRPr="00BD307E" w:rsidRDefault="00F971D8" w:rsidP="00D9387F">
            <w:pPr>
              <w:rPr>
                <w:sz w:val="14"/>
                <w:szCs w:val="14"/>
              </w:rPr>
            </w:pPr>
            <w:r>
              <w:rPr>
                <w:sz w:val="14"/>
                <w:szCs w:val="14"/>
              </w:rPr>
              <w:t>5409</w:t>
            </w:r>
            <w:r w:rsidR="003C7FB2">
              <w:rPr>
                <w:sz w:val="14"/>
                <w:szCs w:val="14"/>
              </w:rPr>
              <w:t xml:space="preserve"> </w:t>
            </w:r>
            <w:r>
              <w:rPr>
                <w:sz w:val="14"/>
                <w:szCs w:val="14"/>
              </w:rPr>
              <w:t>(70.4</w:t>
            </w:r>
            <w:r w:rsidRPr="00BD307E">
              <w:rPr>
                <w:sz w:val="14"/>
                <w:szCs w:val="14"/>
              </w:rPr>
              <w:t>)</w:t>
            </w:r>
          </w:p>
        </w:tc>
      </w:tr>
      <w:tr w:rsidR="00F971D8" w:rsidRPr="00BD307E" w14:paraId="03399661" w14:textId="77777777" w:rsidTr="00D9387F">
        <w:tc>
          <w:tcPr>
            <w:tcW w:w="1492" w:type="dxa"/>
          </w:tcPr>
          <w:p w14:paraId="53561268" w14:textId="1B4D2229" w:rsidR="00F971D8" w:rsidRPr="00BD307E" w:rsidRDefault="00F971D8" w:rsidP="00D9387F">
            <w:pPr>
              <w:rPr>
                <w:sz w:val="14"/>
                <w:szCs w:val="14"/>
              </w:rPr>
            </w:pPr>
            <w:r w:rsidRPr="00BD307E">
              <w:rPr>
                <w:sz w:val="14"/>
                <w:szCs w:val="14"/>
              </w:rPr>
              <w:t>Very</w:t>
            </w:r>
            <w:r w:rsidR="003C7FB2">
              <w:rPr>
                <w:sz w:val="14"/>
                <w:szCs w:val="14"/>
              </w:rPr>
              <w:t xml:space="preserve"> </w:t>
            </w:r>
            <w:r>
              <w:rPr>
                <w:sz w:val="14"/>
                <w:szCs w:val="14"/>
              </w:rPr>
              <w:t>l</w:t>
            </w:r>
            <w:r w:rsidRPr="00BD307E">
              <w:rPr>
                <w:sz w:val="14"/>
                <w:szCs w:val="14"/>
              </w:rPr>
              <w:t>ittle</w:t>
            </w:r>
          </w:p>
        </w:tc>
        <w:tc>
          <w:tcPr>
            <w:tcW w:w="1338" w:type="dxa"/>
          </w:tcPr>
          <w:p w14:paraId="280D0BE8" w14:textId="7F1A1C3F" w:rsidR="00F971D8" w:rsidRPr="00BD307E" w:rsidRDefault="00F971D8" w:rsidP="00D9387F">
            <w:pPr>
              <w:rPr>
                <w:sz w:val="14"/>
                <w:szCs w:val="14"/>
              </w:rPr>
            </w:pPr>
            <w:r>
              <w:rPr>
                <w:sz w:val="14"/>
                <w:szCs w:val="14"/>
              </w:rPr>
              <w:t>395</w:t>
            </w:r>
            <w:r w:rsidR="003C7FB2">
              <w:rPr>
                <w:sz w:val="14"/>
                <w:szCs w:val="14"/>
              </w:rPr>
              <w:t xml:space="preserve"> </w:t>
            </w:r>
            <w:r w:rsidRPr="00BD307E">
              <w:rPr>
                <w:sz w:val="14"/>
                <w:szCs w:val="14"/>
              </w:rPr>
              <w:t>(19.</w:t>
            </w:r>
            <w:r>
              <w:rPr>
                <w:sz w:val="14"/>
                <w:szCs w:val="14"/>
              </w:rPr>
              <w:t>8</w:t>
            </w:r>
            <w:r w:rsidRPr="00BD307E">
              <w:rPr>
                <w:sz w:val="14"/>
                <w:szCs w:val="14"/>
              </w:rPr>
              <w:t>)</w:t>
            </w:r>
          </w:p>
        </w:tc>
        <w:tc>
          <w:tcPr>
            <w:tcW w:w="1418" w:type="dxa"/>
          </w:tcPr>
          <w:p w14:paraId="178E7AE1" w14:textId="3BF2DB12" w:rsidR="00F971D8" w:rsidRPr="00BD307E" w:rsidRDefault="00F971D8" w:rsidP="00D9387F">
            <w:pPr>
              <w:rPr>
                <w:sz w:val="14"/>
                <w:szCs w:val="14"/>
              </w:rPr>
            </w:pPr>
            <w:r w:rsidRPr="00BD307E">
              <w:rPr>
                <w:sz w:val="14"/>
                <w:szCs w:val="14"/>
              </w:rPr>
              <w:t>21</w:t>
            </w:r>
            <w:r>
              <w:rPr>
                <w:sz w:val="14"/>
                <w:szCs w:val="14"/>
              </w:rPr>
              <w:t>4</w:t>
            </w:r>
            <w:r w:rsidR="003C7FB2">
              <w:rPr>
                <w:sz w:val="14"/>
                <w:szCs w:val="14"/>
              </w:rPr>
              <w:t xml:space="preserve"> </w:t>
            </w:r>
            <w:r w:rsidRPr="00BD307E">
              <w:rPr>
                <w:sz w:val="14"/>
                <w:szCs w:val="14"/>
              </w:rPr>
              <w:t>(16.9)</w:t>
            </w:r>
          </w:p>
        </w:tc>
        <w:tc>
          <w:tcPr>
            <w:tcW w:w="1276" w:type="dxa"/>
          </w:tcPr>
          <w:p w14:paraId="500CDB09" w14:textId="7F95D90A" w:rsidR="00F971D8" w:rsidRPr="00BD307E" w:rsidRDefault="00F971D8" w:rsidP="00D9387F">
            <w:pPr>
              <w:rPr>
                <w:sz w:val="14"/>
                <w:szCs w:val="14"/>
              </w:rPr>
            </w:pPr>
            <w:r>
              <w:rPr>
                <w:sz w:val="14"/>
                <w:szCs w:val="14"/>
              </w:rPr>
              <w:t>389</w:t>
            </w:r>
            <w:r w:rsidR="003C7FB2">
              <w:rPr>
                <w:sz w:val="14"/>
                <w:szCs w:val="14"/>
              </w:rPr>
              <w:t xml:space="preserve"> </w:t>
            </w:r>
            <w:r>
              <w:rPr>
                <w:sz w:val="14"/>
                <w:szCs w:val="14"/>
              </w:rPr>
              <w:t>(20.0</w:t>
            </w:r>
            <w:r w:rsidRPr="00BD307E">
              <w:rPr>
                <w:sz w:val="14"/>
                <w:szCs w:val="14"/>
              </w:rPr>
              <w:t>)</w:t>
            </w:r>
          </w:p>
        </w:tc>
        <w:tc>
          <w:tcPr>
            <w:tcW w:w="1417" w:type="dxa"/>
          </w:tcPr>
          <w:p w14:paraId="183BC52F" w14:textId="489DC4B7" w:rsidR="00F971D8" w:rsidRPr="00BD307E" w:rsidRDefault="00F971D8" w:rsidP="00D9387F">
            <w:pPr>
              <w:rPr>
                <w:sz w:val="14"/>
                <w:szCs w:val="14"/>
              </w:rPr>
            </w:pPr>
            <w:r w:rsidRPr="00BD307E">
              <w:rPr>
                <w:sz w:val="14"/>
                <w:szCs w:val="14"/>
              </w:rPr>
              <w:t>45</w:t>
            </w:r>
            <w:r>
              <w:rPr>
                <w:sz w:val="14"/>
                <w:szCs w:val="14"/>
              </w:rPr>
              <w:t>1</w:t>
            </w:r>
            <w:r w:rsidR="003C7FB2">
              <w:rPr>
                <w:sz w:val="14"/>
                <w:szCs w:val="14"/>
              </w:rPr>
              <w:t xml:space="preserve"> </w:t>
            </w:r>
            <w:r w:rsidRPr="00BD307E">
              <w:rPr>
                <w:sz w:val="14"/>
                <w:szCs w:val="14"/>
              </w:rPr>
              <w:t>(18.3)</w:t>
            </w:r>
          </w:p>
        </w:tc>
        <w:tc>
          <w:tcPr>
            <w:tcW w:w="1276" w:type="dxa"/>
          </w:tcPr>
          <w:p w14:paraId="4808588B" w14:textId="2F43AFD9" w:rsidR="00F971D8" w:rsidRPr="00BD307E" w:rsidRDefault="00F971D8" w:rsidP="00D9387F">
            <w:pPr>
              <w:rPr>
                <w:sz w:val="14"/>
                <w:szCs w:val="14"/>
              </w:rPr>
            </w:pPr>
            <w:r>
              <w:rPr>
                <w:sz w:val="14"/>
                <w:szCs w:val="14"/>
              </w:rPr>
              <w:t>1449</w:t>
            </w:r>
            <w:r w:rsidR="003C7FB2">
              <w:rPr>
                <w:sz w:val="14"/>
                <w:szCs w:val="14"/>
              </w:rPr>
              <w:t xml:space="preserve"> </w:t>
            </w:r>
            <w:r w:rsidRPr="00BD307E">
              <w:rPr>
                <w:sz w:val="14"/>
                <w:szCs w:val="14"/>
              </w:rPr>
              <w:t>(18.</w:t>
            </w:r>
            <w:r>
              <w:rPr>
                <w:sz w:val="14"/>
                <w:szCs w:val="14"/>
              </w:rPr>
              <w:t>9</w:t>
            </w:r>
            <w:r w:rsidRPr="00BD307E">
              <w:rPr>
                <w:sz w:val="14"/>
                <w:szCs w:val="14"/>
              </w:rPr>
              <w:t>)</w:t>
            </w:r>
          </w:p>
        </w:tc>
      </w:tr>
      <w:tr w:rsidR="00F971D8" w:rsidRPr="00BD307E" w14:paraId="5E752244" w14:textId="77777777" w:rsidTr="00D9387F">
        <w:tc>
          <w:tcPr>
            <w:tcW w:w="1492" w:type="dxa"/>
          </w:tcPr>
          <w:p w14:paraId="534ABE76" w14:textId="77777777" w:rsidR="00F971D8" w:rsidRPr="00BD307E" w:rsidRDefault="00F971D8" w:rsidP="00D9387F">
            <w:pPr>
              <w:rPr>
                <w:sz w:val="14"/>
                <w:szCs w:val="14"/>
              </w:rPr>
            </w:pPr>
            <w:r w:rsidRPr="00BD307E">
              <w:rPr>
                <w:sz w:val="14"/>
                <w:szCs w:val="14"/>
              </w:rPr>
              <w:t>Somewhat</w:t>
            </w:r>
          </w:p>
        </w:tc>
        <w:tc>
          <w:tcPr>
            <w:tcW w:w="1338" w:type="dxa"/>
          </w:tcPr>
          <w:p w14:paraId="757989AF" w14:textId="58696DA2" w:rsidR="00F971D8" w:rsidRPr="00BD307E" w:rsidRDefault="00F971D8" w:rsidP="00D9387F">
            <w:pPr>
              <w:rPr>
                <w:sz w:val="14"/>
                <w:szCs w:val="14"/>
              </w:rPr>
            </w:pPr>
            <w:r>
              <w:rPr>
                <w:sz w:val="14"/>
                <w:szCs w:val="14"/>
              </w:rPr>
              <w:t>147</w:t>
            </w:r>
            <w:r w:rsidR="003C7FB2">
              <w:rPr>
                <w:sz w:val="14"/>
                <w:szCs w:val="14"/>
              </w:rPr>
              <w:t xml:space="preserve"> </w:t>
            </w:r>
            <w:r w:rsidRPr="00BD307E">
              <w:rPr>
                <w:sz w:val="14"/>
                <w:szCs w:val="14"/>
              </w:rPr>
              <w:t>(7.</w:t>
            </w:r>
            <w:r>
              <w:rPr>
                <w:sz w:val="14"/>
                <w:szCs w:val="14"/>
              </w:rPr>
              <w:t>4</w:t>
            </w:r>
            <w:r w:rsidRPr="00BD307E">
              <w:rPr>
                <w:sz w:val="14"/>
                <w:szCs w:val="14"/>
              </w:rPr>
              <w:t>)</w:t>
            </w:r>
          </w:p>
        </w:tc>
        <w:tc>
          <w:tcPr>
            <w:tcW w:w="1418" w:type="dxa"/>
          </w:tcPr>
          <w:p w14:paraId="52A40718" w14:textId="1127447F" w:rsidR="00F971D8" w:rsidRPr="00BD307E" w:rsidRDefault="00F971D8" w:rsidP="00D9387F">
            <w:pPr>
              <w:rPr>
                <w:sz w:val="14"/>
                <w:szCs w:val="14"/>
              </w:rPr>
            </w:pPr>
            <w:r w:rsidRPr="00BD307E">
              <w:rPr>
                <w:sz w:val="14"/>
                <w:szCs w:val="14"/>
              </w:rPr>
              <w:t>89</w:t>
            </w:r>
            <w:r w:rsidR="003C7FB2">
              <w:rPr>
                <w:sz w:val="14"/>
                <w:szCs w:val="14"/>
              </w:rPr>
              <w:t xml:space="preserve"> </w:t>
            </w:r>
            <w:r w:rsidRPr="00BD307E">
              <w:rPr>
                <w:sz w:val="14"/>
                <w:szCs w:val="14"/>
              </w:rPr>
              <w:t>(7.0)</w:t>
            </w:r>
          </w:p>
        </w:tc>
        <w:tc>
          <w:tcPr>
            <w:tcW w:w="1276" w:type="dxa"/>
          </w:tcPr>
          <w:p w14:paraId="79B0FBC2" w14:textId="5E8F3386" w:rsidR="00F971D8" w:rsidRPr="00BD307E" w:rsidRDefault="00F971D8" w:rsidP="00D9387F">
            <w:pPr>
              <w:rPr>
                <w:sz w:val="14"/>
                <w:szCs w:val="14"/>
              </w:rPr>
            </w:pPr>
            <w:r w:rsidRPr="00BD307E">
              <w:rPr>
                <w:sz w:val="14"/>
                <w:szCs w:val="14"/>
              </w:rPr>
              <w:t>14</w:t>
            </w:r>
            <w:r>
              <w:rPr>
                <w:sz w:val="14"/>
                <w:szCs w:val="14"/>
              </w:rPr>
              <w:t>7</w:t>
            </w:r>
            <w:r w:rsidR="003C7FB2">
              <w:rPr>
                <w:sz w:val="14"/>
                <w:szCs w:val="14"/>
              </w:rPr>
              <w:t xml:space="preserve"> </w:t>
            </w:r>
            <w:r w:rsidRPr="00BD307E">
              <w:rPr>
                <w:sz w:val="14"/>
                <w:szCs w:val="14"/>
              </w:rPr>
              <w:t>(7.1)</w:t>
            </w:r>
          </w:p>
        </w:tc>
        <w:tc>
          <w:tcPr>
            <w:tcW w:w="1417" w:type="dxa"/>
          </w:tcPr>
          <w:p w14:paraId="15B72BBA" w14:textId="5CEEA795" w:rsidR="00F971D8" w:rsidRPr="00BD307E" w:rsidRDefault="00F971D8" w:rsidP="00D9387F">
            <w:pPr>
              <w:rPr>
                <w:sz w:val="14"/>
                <w:szCs w:val="14"/>
              </w:rPr>
            </w:pPr>
            <w:r>
              <w:rPr>
                <w:sz w:val="14"/>
                <w:szCs w:val="14"/>
              </w:rPr>
              <w:t>134</w:t>
            </w:r>
            <w:r w:rsidR="003C7FB2">
              <w:rPr>
                <w:sz w:val="14"/>
                <w:szCs w:val="14"/>
              </w:rPr>
              <w:t xml:space="preserve"> </w:t>
            </w:r>
            <w:r>
              <w:rPr>
                <w:sz w:val="14"/>
                <w:szCs w:val="14"/>
              </w:rPr>
              <w:t>(5.4</w:t>
            </w:r>
            <w:r w:rsidRPr="00BD307E">
              <w:rPr>
                <w:sz w:val="14"/>
                <w:szCs w:val="14"/>
              </w:rPr>
              <w:t>)</w:t>
            </w:r>
          </w:p>
        </w:tc>
        <w:tc>
          <w:tcPr>
            <w:tcW w:w="1276" w:type="dxa"/>
          </w:tcPr>
          <w:p w14:paraId="2F1547ED" w14:textId="740274DB" w:rsidR="00F971D8" w:rsidRPr="00BD307E" w:rsidRDefault="00F971D8" w:rsidP="00D9387F">
            <w:pPr>
              <w:rPr>
                <w:sz w:val="14"/>
                <w:szCs w:val="14"/>
              </w:rPr>
            </w:pPr>
            <w:r>
              <w:rPr>
                <w:sz w:val="14"/>
                <w:szCs w:val="14"/>
              </w:rPr>
              <w:t>508</w:t>
            </w:r>
            <w:r w:rsidR="003C7FB2">
              <w:rPr>
                <w:sz w:val="14"/>
                <w:szCs w:val="14"/>
              </w:rPr>
              <w:t xml:space="preserve"> </w:t>
            </w:r>
            <w:r>
              <w:rPr>
                <w:sz w:val="14"/>
                <w:szCs w:val="14"/>
              </w:rPr>
              <w:t>(6.6</w:t>
            </w:r>
            <w:r w:rsidRPr="00BD307E">
              <w:rPr>
                <w:sz w:val="14"/>
                <w:szCs w:val="14"/>
              </w:rPr>
              <w:t>)</w:t>
            </w:r>
          </w:p>
        </w:tc>
      </w:tr>
      <w:tr w:rsidR="00F971D8" w:rsidRPr="00BD307E" w14:paraId="10BB7AF1" w14:textId="77777777" w:rsidTr="00D9387F">
        <w:tc>
          <w:tcPr>
            <w:tcW w:w="1492" w:type="dxa"/>
          </w:tcPr>
          <w:p w14:paraId="4EB07C5E" w14:textId="5EB6693C" w:rsidR="00F971D8" w:rsidRPr="00BD307E" w:rsidRDefault="00F971D8" w:rsidP="00D9387F">
            <w:pPr>
              <w:rPr>
                <w:sz w:val="14"/>
                <w:szCs w:val="14"/>
              </w:rPr>
            </w:pPr>
            <w:r w:rsidRPr="00BD307E">
              <w:rPr>
                <w:sz w:val="14"/>
                <w:szCs w:val="14"/>
              </w:rPr>
              <w:t>Question</w:t>
            </w:r>
            <w:r w:rsidR="003C7FB2">
              <w:rPr>
                <w:sz w:val="14"/>
                <w:szCs w:val="14"/>
              </w:rPr>
              <w:t xml:space="preserve"> </w:t>
            </w:r>
            <w:r w:rsidRPr="00BD307E">
              <w:rPr>
                <w:sz w:val="14"/>
                <w:szCs w:val="14"/>
              </w:rPr>
              <w:t>not</w:t>
            </w:r>
            <w:r w:rsidR="003C7FB2">
              <w:rPr>
                <w:sz w:val="14"/>
                <w:szCs w:val="14"/>
              </w:rPr>
              <w:t xml:space="preserve"> </w:t>
            </w:r>
            <w:r w:rsidRPr="00BD307E">
              <w:rPr>
                <w:sz w:val="14"/>
                <w:szCs w:val="14"/>
              </w:rPr>
              <w:t>asked</w:t>
            </w:r>
          </w:p>
        </w:tc>
        <w:tc>
          <w:tcPr>
            <w:tcW w:w="1338" w:type="dxa"/>
          </w:tcPr>
          <w:p w14:paraId="63A0110A" w14:textId="14A3F260" w:rsidR="00F971D8" w:rsidRPr="00BD307E" w:rsidRDefault="00F971D8" w:rsidP="00D9387F">
            <w:pPr>
              <w:rPr>
                <w:sz w:val="14"/>
                <w:szCs w:val="14"/>
              </w:rPr>
            </w:pPr>
            <w:r>
              <w:rPr>
                <w:sz w:val="14"/>
                <w:szCs w:val="14"/>
              </w:rPr>
              <w:t>72</w:t>
            </w:r>
            <w:r w:rsidR="003C7FB2">
              <w:rPr>
                <w:sz w:val="14"/>
                <w:szCs w:val="14"/>
              </w:rPr>
              <w:t xml:space="preserve"> </w:t>
            </w:r>
            <w:r w:rsidRPr="00BD307E">
              <w:rPr>
                <w:sz w:val="14"/>
                <w:szCs w:val="14"/>
              </w:rPr>
              <w:t>(3.</w:t>
            </w:r>
            <w:r>
              <w:rPr>
                <w:sz w:val="14"/>
                <w:szCs w:val="14"/>
              </w:rPr>
              <w:t>6</w:t>
            </w:r>
            <w:r w:rsidRPr="00BD307E">
              <w:rPr>
                <w:sz w:val="14"/>
                <w:szCs w:val="14"/>
              </w:rPr>
              <w:t>)</w:t>
            </w:r>
          </w:p>
        </w:tc>
        <w:tc>
          <w:tcPr>
            <w:tcW w:w="1418" w:type="dxa"/>
          </w:tcPr>
          <w:p w14:paraId="0EBAA63F" w14:textId="45DA6B65" w:rsidR="00F971D8" w:rsidRPr="00BD307E" w:rsidRDefault="00F971D8" w:rsidP="00D9387F">
            <w:pPr>
              <w:rPr>
                <w:sz w:val="14"/>
                <w:szCs w:val="14"/>
              </w:rPr>
            </w:pPr>
            <w:r w:rsidRPr="00BD307E">
              <w:rPr>
                <w:sz w:val="14"/>
                <w:szCs w:val="14"/>
              </w:rPr>
              <w:t>32</w:t>
            </w:r>
            <w:r w:rsidR="003C7FB2">
              <w:rPr>
                <w:sz w:val="14"/>
                <w:szCs w:val="14"/>
              </w:rPr>
              <w:t xml:space="preserve"> </w:t>
            </w:r>
            <w:r w:rsidRPr="00BD307E">
              <w:rPr>
                <w:sz w:val="14"/>
                <w:szCs w:val="14"/>
              </w:rPr>
              <w:t>(2.5)</w:t>
            </w:r>
          </w:p>
        </w:tc>
        <w:tc>
          <w:tcPr>
            <w:tcW w:w="1276" w:type="dxa"/>
          </w:tcPr>
          <w:p w14:paraId="29886ACC" w14:textId="076DA1E5" w:rsidR="00F971D8" w:rsidRPr="00BD307E" w:rsidRDefault="00F971D8" w:rsidP="00D9387F">
            <w:pPr>
              <w:rPr>
                <w:sz w:val="14"/>
                <w:szCs w:val="14"/>
              </w:rPr>
            </w:pPr>
            <w:r>
              <w:rPr>
                <w:sz w:val="14"/>
                <w:szCs w:val="14"/>
              </w:rPr>
              <w:t>72</w:t>
            </w:r>
            <w:r w:rsidR="003C7FB2">
              <w:rPr>
                <w:sz w:val="14"/>
                <w:szCs w:val="14"/>
              </w:rPr>
              <w:t xml:space="preserve"> </w:t>
            </w:r>
            <w:r w:rsidRPr="00BD307E">
              <w:rPr>
                <w:sz w:val="14"/>
                <w:szCs w:val="14"/>
              </w:rPr>
              <w:t>(4.</w:t>
            </w:r>
            <w:r>
              <w:rPr>
                <w:sz w:val="14"/>
                <w:szCs w:val="14"/>
              </w:rPr>
              <w:t>6</w:t>
            </w:r>
            <w:r w:rsidRPr="00BD307E">
              <w:rPr>
                <w:sz w:val="14"/>
                <w:szCs w:val="14"/>
              </w:rPr>
              <w:t>)</w:t>
            </w:r>
          </w:p>
        </w:tc>
        <w:tc>
          <w:tcPr>
            <w:tcW w:w="1417" w:type="dxa"/>
          </w:tcPr>
          <w:p w14:paraId="7175D884" w14:textId="5C24B360" w:rsidR="00F971D8" w:rsidRPr="00BD307E" w:rsidRDefault="00F971D8" w:rsidP="00D9387F">
            <w:pPr>
              <w:rPr>
                <w:sz w:val="14"/>
                <w:szCs w:val="14"/>
              </w:rPr>
            </w:pPr>
            <w:r>
              <w:rPr>
                <w:sz w:val="14"/>
                <w:szCs w:val="14"/>
              </w:rPr>
              <w:t>121</w:t>
            </w:r>
            <w:r w:rsidR="003C7FB2">
              <w:rPr>
                <w:sz w:val="14"/>
                <w:szCs w:val="14"/>
              </w:rPr>
              <w:t xml:space="preserve"> </w:t>
            </w:r>
            <w:r w:rsidRPr="00BD307E">
              <w:rPr>
                <w:sz w:val="14"/>
                <w:szCs w:val="14"/>
              </w:rPr>
              <w:t>(</w:t>
            </w:r>
            <w:r>
              <w:rPr>
                <w:sz w:val="14"/>
                <w:szCs w:val="14"/>
              </w:rPr>
              <w:t>4.9</w:t>
            </w:r>
            <w:r w:rsidRPr="00BD307E">
              <w:rPr>
                <w:sz w:val="14"/>
                <w:szCs w:val="14"/>
              </w:rPr>
              <w:t>)</w:t>
            </w:r>
          </w:p>
        </w:tc>
        <w:tc>
          <w:tcPr>
            <w:tcW w:w="1276" w:type="dxa"/>
          </w:tcPr>
          <w:p w14:paraId="510039F0" w14:textId="7E28C6EC" w:rsidR="00F971D8" w:rsidRPr="00BD307E" w:rsidRDefault="00F971D8" w:rsidP="00D9387F">
            <w:pPr>
              <w:rPr>
                <w:sz w:val="14"/>
                <w:szCs w:val="14"/>
              </w:rPr>
            </w:pPr>
            <w:r>
              <w:rPr>
                <w:sz w:val="14"/>
                <w:szCs w:val="14"/>
              </w:rPr>
              <w:t>314</w:t>
            </w:r>
            <w:r w:rsidR="003C7FB2">
              <w:rPr>
                <w:sz w:val="14"/>
                <w:szCs w:val="14"/>
              </w:rPr>
              <w:t xml:space="preserve"> </w:t>
            </w:r>
            <w:r>
              <w:rPr>
                <w:sz w:val="14"/>
                <w:szCs w:val="14"/>
              </w:rPr>
              <w:t>(4.1</w:t>
            </w:r>
            <w:r w:rsidRPr="00BD307E">
              <w:rPr>
                <w:sz w:val="14"/>
                <w:szCs w:val="14"/>
              </w:rPr>
              <w:t>)</w:t>
            </w:r>
          </w:p>
        </w:tc>
      </w:tr>
      <w:tr w:rsidR="00F971D8" w:rsidRPr="00BD307E" w14:paraId="551E5C5C" w14:textId="77777777" w:rsidTr="00D9387F">
        <w:tc>
          <w:tcPr>
            <w:tcW w:w="1492" w:type="dxa"/>
          </w:tcPr>
          <w:p w14:paraId="03681F5C" w14:textId="0F77EC64" w:rsidR="00F971D8" w:rsidRPr="00BD307E" w:rsidRDefault="00F971D8" w:rsidP="00D9387F">
            <w:pPr>
              <w:rPr>
                <w:b/>
                <w:sz w:val="14"/>
                <w:szCs w:val="14"/>
              </w:rPr>
            </w:pPr>
            <w:r w:rsidRPr="00BD307E">
              <w:rPr>
                <w:b/>
                <w:sz w:val="14"/>
                <w:szCs w:val="14"/>
              </w:rPr>
              <w:t>Home</w:t>
            </w:r>
            <w:r w:rsidR="003C7FB2">
              <w:rPr>
                <w:b/>
                <w:sz w:val="14"/>
                <w:szCs w:val="14"/>
              </w:rPr>
              <w:t xml:space="preserve"> </w:t>
            </w:r>
            <w:r w:rsidRPr="00BD307E">
              <w:rPr>
                <w:b/>
                <w:sz w:val="14"/>
                <w:szCs w:val="14"/>
              </w:rPr>
              <w:t>to</w:t>
            </w:r>
            <w:r w:rsidR="003C7FB2">
              <w:rPr>
                <w:b/>
                <w:sz w:val="14"/>
                <w:szCs w:val="14"/>
              </w:rPr>
              <w:t xml:space="preserve"> </w:t>
            </w:r>
            <w:r w:rsidRPr="00BD307E">
              <w:rPr>
                <w:b/>
                <w:sz w:val="14"/>
                <w:szCs w:val="14"/>
              </w:rPr>
              <w:t>work</w:t>
            </w:r>
            <w:r w:rsidR="003C7FB2">
              <w:rPr>
                <w:b/>
                <w:sz w:val="14"/>
                <w:szCs w:val="14"/>
              </w:rPr>
              <w:t xml:space="preserve"> </w:t>
            </w:r>
            <w:r w:rsidRPr="00BD307E">
              <w:rPr>
                <w:b/>
                <w:sz w:val="14"/>
                <w:szCs w:val="14"/>
              </w:rPr>
              <w:t>distance</w:t>
            </w:r>
            <w:r w:rsidR="003C7FB2">
              <w:rPr>
                <w:b/>
                <w:sz w:val="14"/>
                <w:szCs w:val="14"/>
              </w:rPr>
              <w:t xml:space="preserve"> </w:t>
            </w:r>
            <w:r w:rsidRPr="00BD307E">
              <w:rPr>
                <w:b/>
                <w:sz w:val="14"/>
                <w:szCs w:val="14"/>
              </w:rPr>
              <w:t>(miles)</w:t>
            </w:r>
          </w:p>
        </w:tc>
        <w:tc>
          <w:tcPr>
            <w:tcW w:w="1338" w:type="dxa"/>
          </w:tcPr>
          <w:p w14:paraId="4C87BB8D" w14:textId="5378C56B" w:rsidR="00F971D8" w:rsidRPr="00BD307E" w:rsidRDefault="00F971D8" w:rsidP="00D9387F">
            <w:pPr>
              <w:rPr>
                <w:sz w:val="14"/>
                <w:szCs w:val="14"/>
              </w:rPr>
            </w:pPr>
            <w:r w:rsidRPr="00BD307E">
              <w:rPr>
                <w:sz w:val="14"/>
                <w:szCs w:val="14"/>
              </w:rPr>
              <w:t>2.0</w:t>
            </w:r>
            <w:r w:rsidR="003C7FB2">
              <w:rPr>
                <w:sz w:val="14"/>
                <w:szCs w:val="14"/>
              </w:rPr>
              <w:t xml:space="preserve"> </w:t>
            </w:r>
            <w:r w:rsidRPr="00BD307E">
              <w:rPr>
                <w:sz w:val="14"/>
                <w:szCs w:val="14"/>
              </w:rPr>
              <w:t>(1.0-3.0)</w:t>
            </w:r>
          </w:p>
        </w:tc>
        <w:tc>
          <w:tcPr>
            <w:tcW w:w="1418" w:type="dxa"/>
          </w:tcPr>
          <w:p w14:paraId="0E32F3BB" w14:textId="6FF6B670" w:rsidR="00F971D8" w:rsidRPr="00BD307E" w:rsidRDefault="00F971D8" w:rsidP="00D9387F">
            <w:pPr>
              <w:rPr>
                <w:sz w:val="14"/>
                <w:szCs w:val="14"/>
              </w:rPr>
            </w:pPr>
            <w:r w:rsidRPr="00BD307E">
              <w:rPr>
                <w:sz w:val="14"/>
                <w:szCs w:val="14"/>
              </w:rPr>
              <w:t>2.0</w:t>
            </w:r>
            <w:r w:rsidR="003C7FB2">
              <w:rPr>
                <w:sz w:val="14"/>
                <w:szCs w:val="14"/>
              </w:rPr>
              <w:t xml:space="preserve"> </w:t>
            </w:r>
            <w:r w:rsidRPr="00BD307E">
              <w:rPr>
                <w:sz w:val="14"/>
                <w:szCs w:val="14"/>
              </w:rPr>
              <w:t>(2.0-3.0)</w:t>
            </w:r>
          </w:p>
        </w:tc>
        <w:tc>
          <w:tcPr>
            <w:tcW w:w="1276" w:type="dxa"/>
          </w:tcPr>
          <w:p w14:paraId="53BD08CD" w14:textId="34BB6D7E" w:rsidR="00F971D8" w:rsidRPr="00BD307E" w:rsidRDefault="00F971D8" w:rsidP="00D9387F">
            <w:pPr>
              <w:rPr>
                <w:sz w:val="14"/>
                <w:szCs w:val="14"/>
              </w:rPr>
            </w:pPr>
            <w:r w:rsidRPr="00BD307E">
              <w:rPr>
                <w:sz w:val="14"/>
                <w:szCs w:val="14"/>
              </w:rPr>
              <w:t>14.0</w:t>
            </w:r>
            <w:r w:rsidR="003C7FB2">
              <w:rPr>
                <w:sz w:val="14"/>
                <w:szCs w:val="14"/>
              </w:rPr>
              <w:t xml:space="preserve"> </w:t>
            </w:r>
            <w:r w:rsidRPr="00BD307E">
              <w:rPr>
                <w:sz w:val="14"/>
                <w:szCs w:val="14"/>
              </w:rPr>
              <w:t>(9.0-20.0)</w:t>
            </w:r>
          </w:p>
        </w:tc>
        <w:tc>
          <w:tcPr>
            <w:tcW w:w="1417" w:type="dxa"/>
          </w:tcPr>
          <w:p w14:paraId="16077F56" w14:textId="460EB132" w:rsidR="00F971D8" w:rsidRPr="00BD307E" w:rsidRDefault="00F971D8" w:rsidP="00D9387F">
            <w:pPr>
              <w:rPr>
                <w:sz w:val="14"/>
                <w:szCs w:val="14"/>
              </w:rPr>
            </w:pPr>
            <w:r w:rsidRPr="00BD307E">
              <w:rPr>
                <w:sz w:val="14"/>
                <w:szCs w:val="14"/>
              </w:rPr>
              <w:t>17.0</w:t>
            </w:r>
            <w:r w:rsidR="003C7FB2">
              <w:rPr>
                <w:sz w:val="14"/>
                <w:szCs w:val="14"/>
              </w:rPr>
              <w:t xml:space="preserve"> </w:t>
            </w:r>
            <w:r w:rsidRPr="00BD307E">
              <w:rPr>
                <w:sz w:val="14"/>
                <w:szCs w:val="14"/>
              </w:rPr>
              <w:t>(11.0-30.0)</w:t>
            </w:r>
          </w:p>
        </w:tc>
        <w:tc>
          <w:tcPr>
            <w:tcW w:w="1276" w:type="dxa"/>
          </w:tcPr>
          <w:p w14:paraId="38ACB812" w14:textId="622C6CB6" w:rsidR="00F971D8" w:rsidRPr="00BD307E" w:rsidRDefault="00F971D8" w:rsidP="00D9387F">
            <w:pPr>
              <w:rPr>
                <w:sz w:val="14"/>
                <w:szCs w:val="14"/>
              </w:rPr>
            </w:pPr>
            <w:r>
              <w:rPr>
                <w:sz w:val="14"/>
                <w:szCs w:val="14"/>
              </w:rPr>
              <w:t>8.0</w:t>
            </w:r>
            <w:r w:rsidR="003C7FB2">
              <w:rPr>
                <w:sz w:val="14"/>
                <w:szCs w:val="14"/>
              </w:rPr>
              <w:t xml:space="preserve"> </w:t>
            </w:r>
            <w:r w:rsidRPr="00BD307E">
              <w:rPr>
                <w:sz w:val="14"/>
                <w:szCs w:val="14"/>
              </w:rPr>
              <w:t>(3.0-17.0)</w:t>
            </w:r>
          </w:p>
        </w:tc>
      </w:tr>
      <w:tr w:rsidR="00F971D8" w:rsidRPr="00BD307E" w14:paraId="105B1198" w14:textId="77777777" w:rsidTr="00D9387F">
        <w:tc>
          <w:tcPr>
            <w:tcW w:w="1492" w:type="dxa"/>
          </w:tcPr>
          <w:p w14:paraId="08CA1CC0" w14:textId="64A4D906" w:rsidR="00F971D8" w:rsidRPr="00BD307E" w:rsidRDefault="00F971D8" w:rsidP="00D9387F">
            <w:pPr>
              <w:rPr>
                <w:b/>
                <w:sz w:val="14"/>
                <w:szCs w:val="14"/>
              </w:rPr>
            </w:pPr>
            <w:r w:rsidRPr="00BD307E">
              <w:rPr>
                <w:b/>
                <w:sz w:val="14"/>
                <w:szCs w:val="14"/>
              </w:rPr>
              <w:t>Test</w:t>
            </w:r>
            <w:r w:rsidR="003C7FB2">
              <w:rPr>
                <w:b/>
                <w:sz w:val="14"/>
                <w:szCs w:val="14"/>
              </w:rPr>
              <w:t xml:space="preserve"> </w:t>
            </w:r>
            <w:r w:rsidRPr="00BD307E">
              <w:rPr>
                <w:b/>
                <w:sz w:val="14"/>
                <w:szCs w:val="14"/>
              </w:rPr>
              <w:t>Site</w:t>
            </w:r>
          </w:p>
        </w:tc>
        <w:tc>
          <w:tcPr>
            <w:tcW w:w="1338" w:type="dxa"/>
          </w:tcPr>
          <w:p w14:paraId="4CBDB7BC" w14:textId="77777777" w:rsidR="00F971D8" w:rsidRPr="00BD307E" w:rsidRDefault="00F971D8" w:rsidP="00D9387F">
            <w:pPr>
              <w:rPr>
                <w:sz w:val="14"/>
                <w:szCs w:val="14"/>
              </w:rPr>
            </w:pPr>
          </w:p>
        </w:tc>
        <w:tc>
          <w:tcPr>
            <w:tcW w:w="1418" w:type="dxa"/>
          </w:tcPr>
          <w:p w14:paraId="253E73CD" w14:textId="77777777" w:rsidR="00F971D8" w:rsidRPr="00BD307E" w:rsidRDefault="00F971D8" w:rsidP="00D9387F">
            <w:pPr>
              <w:rPr>
                <w:sz w:val="14"/>
                <w:szCs w:val="14"/>
              </w:rPr>
            </w:pPr>
          </w:p>
        </w:tc>
        <w:tc>
          <w:tcPr>
            <w:tcW w:w="1276" w:type="dxa"/>
          </w:tcPr>
          <w:p w14:paraId="67ED4468" w14:textId="77777777" w:rsidR="00F971D8" w:rsidRPr="00BD307E" w:rsidRDefault="00F971D8" w:rsidP="00D9387F">
            <w:pPr>
              <w:rPr>
                <w:sz w:val="14"/>
                <w:szCs w:val="14"/>
              </w:rPr>
            </w:pPr>
          </w:p>
        </w:tc>
        <w:tc>
          <w:tcPr>
            <w:tcW w:w="1417" w:type="dxa"/>
          </w:tcPr>
          <w:p w14:paraId="146627D2" w14:textId="77777777" w:rsidR="00F971D8" w:rsidRPr="00BD307E" w:rsidRDefault="00F971D8" w:rsidP="00D9387F">
            <w:pPr>
              <w:rPr>
                <w:sz w:val="14"/>
                <w:szCs w:val="14"/>
              </w:rPr>
            </w:pPr>
          </w:p>
        </w:tc>
        <w:tc>
          <w:tcPr>
            <w:tcW w:w="1276" w:type="dxa"/>
          </w:tcPr>
          <w:p w14:paraId="2E125531" w14:textId="77777777" w:rsidR="00F971D8" w:rsidRPr="00BD307E" w:rsidRDefault="00F971D8" w:rsidP="00D9387F">
            <w:pPr>
              <w:rPr>
                <w:sz w:val="14"/>
                <w:szCs w:val="14"/>
              </w:rPr>
            </w:pPr>
          </w:p>
        </w:tc>
      </w:tr>
      <w:tr w:rsidR="00F971D8" w:rsidRPr="00BD307E" w14:paraId="4DE67C57" w14:textId="77777777" w:rsidTr="00D9387F">
        <w:tc>
          <w:tcPr>
            <w:tcW w:w="1492" w:type="dxa"/>
          </w:tcPr>
          <w:p w14:paraId="10BEB110" w14:textId="77777777" w:rsidR="00F971D8" w:rsidRPr="00BD307E" w:rsidRDefault="00F971D8" w:rsidP="00D9387F">
            <w:pPr>
              <w:rPr>
                <w:sz w:val="14"/>
                <w:szCs w:val="14"/>
              </w:rPr>
            </w:pPr>
            <w:r w:rsidRPr="00BD307E">
              <w:rPr>
                <w:sz w:val="14"/>
                <w:szCs w:val="14"/>
              </w:rPr>
              <w:t>Cambridge</w:t>
            </w:r>
          </w:p>
        </w:tc>
        <w:tc>
          <w:tcPr>
            <w:tcW w:w="1338" w:type="dxa"/>
          </w:tcPr>
          <w:p w14:paraId="7E9B792B" w14:textId="1D3AAF72" w:rsidR="00F971D8" w:rsidRPr="00BD307E" w:rsidRDefault="00F971D8" w:rsidP="00D9387F">
            <w:pPr>
              <w:rPr>
                <w:sz w:val="14"/>
                <w:szCs w:val="14"/>
              </w:rPr>
            </w:pPr>
            <w:r>
              <w:rPr>
                <w:sz w:val="14"/>
                <w:szCs w:val="14"/>
              </w:rPr>
              <w:t>818</w:t>
            </w:r>
            <w:r w:rsidR="003C7FB2">
              <w:rPr>
                <w:sz w:val="14"/>
                <w:szCs w:val="14"/>
              </w:rPr>
              <w:t xml:space="preserve"> </w:t>
            </w:r>
            <w:r>
              <w:rPr>
                <w:sz w:val="14"/>
                <w:szCs w:val="14"/>
              </w:rPr>
              <w:t>(40.9</w:t>
            </w:r>
            <w:r w:rsidRPr="00BD307E">
              <w:rPr>
                <w:sz w:val="14"/>
                <w:szCs w:val="14"/>
              </w:rPr>
              <w:t>)</w:t>
            </w:r>
          </w:p>
        </w:tc>
        <w:tc>
          <w:tcPr>
            <w:tcW w:w="1418" w:type="dxa"/>
          </w:tcPr>
          <w:p w14:paraId="2D8455F7" w14:textId="3741F3A6" w:rsidR="00F971D8" w:rsidRPr="00BD307E" w:rsidRDefault="00F971D8" w:rsidP="00D9387F">
            <w:pPr>
              <w:rPr>
                <w:sz w:val="14"/>
                <w:szCs w:val="14"/>
              </w:rPr>
            </w:pPr>
            <w:r>
              <w:rPr>
                <w:sz w:val="14"/>
                <w:szCs w:val="14"/>
              </w:rPr>
              <w:t>660</w:t>
            </w:r>
            <w:r w:rsidR="003C7FB2">
              <w:rPr>
                <w:sz w:val="14"/>
                <w:szCs w:val="14"/>
              </w:rPr>
              <w:t xml:space="preserve"> </w:t>
            </w:r>
            <w:r>
              <w:rPr>
                <w:sz w:val="14"/>
                <w:szCs w:val="14"/>
              </w:rPr>
              <w:t>(52.1</w:t>
            </w:r>
            <w:r w:rsidRPr="00BD307E">
              <w:rPr>
                <w:sz w:val="14"/>
                <w:szCs w:val="14"/>
              </w:rPr>
              <w:t>)</w:t>
            </w:r>
          </w:p>
        </w:tc>
        <w:tc>
          <w:tcPr>
            <w:tcW w:w="1276" w:type="dxa"/>
          </w:tcPr>
          <w:p w14:paraId="48E2BB92" w14:textId="702D4A26" w:rsidR="00F971D8" w:rsidRPr="00BD307E" w:rsidRDefault="00F971D8" w:rsidP="00D9387F">
            <w:pPr>
              <w:rPr>
                <w:sz w:val="14"/>
                <w:szCs w:val="14"/>
              </w:rPr>
            </w:pPr>
            <w:r>
              <w:rPr>
                <w:sz w:val="14"/>
                <w:szCs w:val="14"/>
              </w:rPr>
              <w:t>591</w:t>
            </w:r>
            <w:r w:rsidR="003C7FB2">
              <w:rPr>
                <w:sz w:val="14"/>
                <w:szCs w:val="14"/>
              </w:rPr>
              <w:t xml:space="preserve"> </w:t>
            </w:r>
            <w:r>
              <w:rPr>
                <w:sz w:val="14"/>
                <w:szCs w:val="14"/>
              </w:rPr>
              <w:t>(30.3</w:t>
            </w:r>
            <w:r w:rsidRPr="00BD307E">
              <w:rPr>
                <w:sz w:val="14"/>
                <w:szCs w:val="14"/>
              </w:rPr>
              <w:t>)</w:t>
            </w:r>
          </w:p>
        </w:tc>
        <w:tc>
          <w:tcPr>
            <w:tcW w:w="1417" w:type="dxa"/>
          </w:tcPr>
          <w:p w14:paraId="3D42BDE2" w14:textId="6C810FFE" w:rsidR="00F971D8" w:rsidRPr="00BD307E" w:rsidRDefault="00F971D8" w:rsidP="00D9387F">
            <w:pPr>
              <w:rPr>
                <w:sz w:val="14"/>
                <w:szCs w:val="14"/>
              </w:rPr>
            </w:pPr>
            <w:r>
              <w:rPr>
                <w:sz w:val="14"/>
                <w:szCs w:val="14"/>
              </w:rPr>
              <w:t>735</w:t>
            </w:r>
            <w:r w:rsidR="003C7FB2">
              <w:rPr>
                <w:sz w:val="14"/>
                <w:szCs w:val="14"/>
              </w:rPr>
              <w:t xml:space="preserve"> </w:t>
            </w:r>
            <w:r w:rsidRPr="00BD307E">
              <w:rPr>
                <w:sz w:val="14"/>
                <w:szCs w:val="14"/>
              </w:rPr>
              <w:t>(29</w:t>
            </w:r>
            <w:r>
              <w:rPr>
                <w:sz w:val="14"/>
                <w:szCs w:val="14"/>
              </w:rPr>
              <w:t>.8</w:t>
            </w:r>
            <w:r w:rsidRPr="00BD307E">
              <w:rPr>
                <w:sz w:val="14"/>
                <w:szCs w:val="14"/>
              </w:rPr>
              <w:t>)</w:t>
            </w:r>
          </w:p>
        </w:tc>
        <w:tc>
          <w:tcPr>
            <w:tcW w:w="1276" w:type="dxa"/>
          </w:tcPr>
          <w:p w14:paraId="447B6BE1" w14:textId="3B59D24E" w:rsidR="00F971D8" w:rsidRPr="00BD307E" w:rsidRDefault="00F971D8" w:rsidP="00D9387F">
            <w:pPr>
              <w:rPr>
                <w:sz w:val="14"/>
                <w:szCs w:val="14"/>
              </w:rPr>
            </w:pPr>
            <w:r>
              <w:rPr>
                <w:sz w:val="14"/>
                <w:szCs w:val="14"/>
              </w:rPr>
              <w:t>2804</w:t>
            </w:r>
            <w:r w:rsidR="003C7FB2">
              <w:rPr>
                <w:sz w:val="14"/>
                <w:szCs w:val="14"/>
              </w:rPr>
              <w:t xml:space="preserve"> </w:t>
            </w:r>
            <w:r w:rsidRPr="00BD307E">
              <w:rPr>
                <w:sz w:val="14"/>
                <w:szCs w:val="14"/>
              </w:rPr>
              <w:t>(36.5)</w:t>
            </w:r>
          </w:p>
        </w:tc>
      </w:tr>
      <w:tr w:rsidR="00F971D8" w:rsidRPr="00BD307E" w14:paraId="61322279" w14:textId="77777777" w:rsidTr="00D9387F">
        <w:tc>
          <w:tcPr>
            <w:tcW w:w="1492" w:type="dxa"/>
          </w:tcPr>
          <w:p w14:paraId="1E3CFB23" w14:textId="77777777" w:rsidR="00F971D8" w:rsidRPr="00BD307E" w:rsidRDefault="00F971D8" w:rsidP="00D9387F">
            <w:pPr>
              <w:rPr>
                <w:sz w:val="14"/>
                <w:szCs w:val="14"/>
              </w:rPr>
            </w:pPr>
            <w:r w:rsidRPr="00BD307E">
              <w:rPr>
                <w:sz w:val="14"/>
                <w:szCs w:val="14"/>
              </w:rPr>
              <w:t>Ely</w:t>
            </w:r>
          </w:p>
        </w:tc>
        <w:tc>
          <w:tcPr>
            <w:tcW w:w="1338" w:type="dxa"/>
          </w:tcPr>
          <w:p w14:paraId="247B25EA" w14:textId="30DE1EF1" w:rsidR="00F971D8" w:rsidRPr="00BD307E" w:rsidRDefault="00F971D8" w:rsidP="00D9387F">
            <w:pPr>
              <w:rPr>
                <w:sz w:val="14"/>
                <w:szCs w:val="14"/>
              </w:rPr>
            </w:pPr>
            <w:r>
              <w:rPr>
                <w:sz w:val="14"/>
                <w:szCs w:val="14"/>
              </w:rPr>
              <w:t>613</w:t>
            </w:r>
            <w:r w:rsidR="003C7FB2">
              <w:rPr>
                <w:sz w:val="14"/>
                <w:szCs w:val="14"/>
              </w:rPr>
              <w:t xml:space="preserve"> </w:t>
            </w:r>
            <w:r w:rsidRPr="00BD307E">
              <w:rPr>
                <w:sz w:val="14"/>
                <w:szCs w:val="14"/>
              </w:rPr>
              <w:t>(30.7)</w:t>
            </w:r>
          </w:p>
        </w:tc>
        <w:tc>
          <w:tcPr>
            <w:tcW w:w="1418" w:type="dxa"/>
          </w:tcPr>
          <w:p w14:paraId="236A3E54" w14:textId="7A1E7966" w:rsidR="00F971D8" w:rsidRPr="00BD307E" w:rsidRDefault="00F971D8" w:rsidP="00D9387F">
            <w:pPr>
              <w:rPr>
                <w:sz w:val="14"/>
                <w:szCs w:val="14"/>
              </w:rPr>
            </w:pPr>
            <w:r>
              <w:rPr>
                <w:sz w:val="14"/>
                <w:szCs w:val="14"/>
              </w:rPr>
              <w:t>246</w:t>
            </w:r>
            <w:r w:rsidR="003C7FB2">
              <w:rPr>
                <w:sz w:val="14"/>
                <w:szCs w:val="14"/>
              </w:rPr>
              <w:t xml:space="preserve"> </w:t>
            </w:r>
            <w:r w:rsidRPr="00BD307E">
              <w:rPr>
                <w:sz w:val="14"/>
                <w:szCs w:val="14"/>
              </w:rPr>
              <w:t>(19.4)</w:t>
            </w:r>
          </w:p>
        </w:tc>
        <w:tc>
          <w:tcPr>
            <w:tcW w:w="1276" w:type="dxa"/>
          </w:tcPr>
          <w:p w14:paraId="3DE5D875" w14:textId="4CF158B1" w:rsidR="00F971D8" w:rsidRPr="00BD307E" w:rsidRDefault="00F971D8" w:rsidP="00D9387F">
            <w:pPr>
              <w:rPr>
                <w:sz w:val="14"/>
                <w:szCs w:val="14"/>
              </w:rPr>
            </w:pPr>
            <w:r>
              <w:rPr>
                <w:sz w:val="14"/>
                <w:szCs w:val="14"/>
              </w:rPr>
              <w:t>976</w:t>
            </w:r>
            <w:r w:rsidR="003C7FB2">
              <w:rPr>
                <w:sz w:val="14"/>
                <w:szCs w:val="14"/>
              </w:rPr>
              <w:t xml:space="preserve"> </w:t>
            </w:r>
            <w:r>
              <w:rPr>
                <w:sz w:val="14"/>
                <w:szCs w:val="14"/>
              </w:rPr>
              <w:t>(50.1</w:t>
            </w:r>
            <w:r w:rsidRPr="00BD307E">
              <w:rPr>
                <w:sz w:val="14"/>
                <w:szCs w:val="14"/>
              </w:rPr>
              <w:t>)</w:t>
            </w:r>
          </w:p>
        </w:tc>
        <w:tc>
          <w:tcPr>
            <w:tcW w:w="1417" w:type="dxa"/>
          </w:tcPr>
          <w:p w14:paraId="35ADE655" w14:textId="77777777" w:rsidR="00F971D8" w:rsidRPr="00BD307E" w:rsidRDefault="00F971D8" w:rsidP="00D9387F">
            <w:pPr>
              <w:rPr>
                <w:sz w:val="14"/>
                <w:szCs w:val="14"/>
              </w:rPr>
            </w:pPr>
            <w:r>
              <w:rPr>
                <w:sz w:val="14"/>
                <w:szCs w:val="14"/>
              </w:rPr>
              <w:t>1182</w:t>
            </w:r>
            <w:r w:rsidRPr="00BD307E">
              <w:rPr>
                <w:sz w:val="14"/>
                <w:szCs w:val="14"/>
              </w:rPr>
              <w:t>(48.0)</w:t>
            </w:r>
          </w:p>
        </w:tc>
        <w:tc>
          <w:tcPr>
            <w:tcW w:w="1276" w:type="dxa"/>
          </w:tcPr>
          <w:p w14:paraId="6B6A1EF2" w14:textId="116F1F3C" w:rsidR="00F971D8" w:rsidRPr="00BD307E" w:rsidRDefault="00F971D8" w:rsidP="00D9387F">
            <w:pPr>
              <w:rPr>
                <w:sz w:val="14"/>
                <w:szCs w:val="14"/>
              </w:rPr>
            </w:pPr>
            <w:r>
              <w:rPr>
                <w:sz w:val="14"/>
                <w:szCs w:val="14"/>
              </w:rPr>
              <w:t>30</w:t>
            </w:r>
            <w:r w:rsidRPr="00BD307E">
              <w:rPr>
                <w:sz w:val="14"/>
                <w:szCs w:val="14"/>
              </w:rPr>
              <w:t>1</w:t>
            </w:r>
            <w:r>
              <w:rPr>
                <w:sz w:val="14"/>
                <w:szCs w:val="14"/>
              </w:rPr>
              <w:t>7</w:t>
            </w:r>
            <w:r w:rsidR="003C7FB2">
              <w:rPr>
                <w:sz w:val="14"/>
                <w:szCs w:val="14"/>
              </w:rPr>
              <w:t xml:space="preserve"> </w:t>
            </w:r>
            <w:r w:rsidRPr="00BD307E">
              <w:rPr>
                <w:sz w:val="14"/>
                <w:szCs w:val="14"/>
              </w:rPr>
              <w:t>(39.3)</w:t>
            </w:r>
          </w:p>
        </w:tc>
      </w:tr>
      <w:tr w:rsidR="00F971D8" w:rsidRPr="00BD307E" w14:paraId="3DE2BDDD" w14:textId="77777777" w:rsidTr="00D9387F">
        <w:tc>
          <w:tcPr>
            <w:tcW w:w="1492" w:type="dxa"/>
          </w:tcPr>
          <w:p w14:paraId="5B615FD6" w14:textId="77777777" w:rsidR="00F971D8" w:rsidRPr="00BD307E" w:rsidRDefault="00F971D8" w:rsidP="00D9387F">
            <w:pPr>
              <w:rPr>
                <w:sz w:val="14"/>
                <w:szCs w:val="14"/>
              </w:rPr>
            </w:pPr>
            <w:r w:rsidRPr="00BD307E">
              <w:rPr>
                <w:sz w:val="14"/>
                <w:szCs w:val="14"/>
              </w:rPr>
              <w:t>Wisbech</w:t>
            </w:r>
          </w:p>
        </w:tc>
        <w:tc>
          <w:tcPr>
            <w:tcW w:w="1338" w:type="dxa"/>
          </w:tcPr>
          <w:p w14:paraId="41A67374" w14:textId="05F0ACA4" w:rsidR="00F971D8" w:rsidRPr="00BD307E" w:rsidRDefault="00F971D8" w:rsidP="00D9387F">
            <w:pPr>
              <w:rPr>
                <w:sz w:val="14"/>
                <w:szCs w:val="14"/>
              </w:rPr>
            </w:pPr>
            <w:r>
              <w:rPr>
                <w:sz w:val="14"/>
                <w:szCs w:val="14"/>
              </w:rPr>
              <w:t>568</w:t>
            </w:r>
            <w:r w:rsidR="003C7FB2">
              <w:rPr>
                <w:sz w:val="14"/>
                <w:szCs w:val="14"/>
              </w:rPr>
              <w:t xml:space="preserve"> </w:t>
            </w:r>
            <w:r w:rsidRPr="00BD307E">
              <w:rPr>
                <w:sz w:val="14"/>
                <w:szCs w:val="14"/>
              </w:rPr>
              <w:t>(28.</w:t>
            </w:r>
            <w:r>
              <w:rPr>
                <w:sz w:val="14"/>
                <w:szCs w:val="14"/>
              </w:rPr>
              <w:t>4</w:t>
            </w:r>
            <w:r w:rsidRPr="00BD307E">
              <w:rPr>
                <w:sz w:val="14"/>
                <w:szCs w:val="14"/>
              </w:rPr>
              <w:t>)</w:t>
            </w:r>
          </w:p>
        </w:tc>
        <w:tc>
          <w:tcPr>
            <w:tcW w:w="1418" w:type="dxa"/>
          </w:tcPr>
          <w:p w14:paraId="29A7F365" w14:textId="2AE35B1B" w:rsidR="00F971D8" w:rsidRPr="00BD307E" w:rsidRDefault="00F971D8" w:rsidP="00D9387F">
            <w:pPr>
              <w:rPr>
                <w:sz w:val="14"/>
                <w:szCs w:val="14"/>
              </w:rPr>
            </w:pPr>
            <w:r>
              <w:rPr>
                <w:sz w:val="14"/>
                <w:szCs w:val="14"/>
              </w:rPr>
              <w:t>362</w:t>
            </w:r>
            <w:r w:rsidR="003C7FB2">
              <w:rPr>
                <w:sz w:val="14"/>
                <w:szCs w:val="14"/>
              </w:rPr>
              <w:t xml:space="preserve"> </w:t>
            </w:r>
            <w:r w:rsidRPr="00BD307E">
              <w:rPr>
                <w:sz w:val="14"/>
                <w:szCs w:val="14"/>
              </w:rPr>
              <w:t>(28.</w:t>
            </w:r>
            <w:r>
              <w:rPr>
                <w:sz w:val="14"/>
                <w:szCs w:val="14"/>
              </w:rPr>
              <w:t>6</w:t>
            </w:r>
            <w:r w:rsidRPr="00BD307E">
              <w:rPr>
                <w:sz w:val="14"/>
                <w:szCs w:val="14"/>
              </w:rPr>
              <w:t>)</w:t>
            </w:r>
          </w:p>
        </w:tc>
        <w:tc>
          <w:tcPr>
            <w:tcW w:w="1276" w:type="dxa"/>
          </w:tcPr>
          <w:p w14:paraId="2B3143C2" w14:textId="5E3D52DF" w:rsidR="00F971D8" w:rsidRPr="00BD307E" w:rsidRDefault="00F971D8" w:rsidP="00D9387F">
            <w:pPr>
              <w:rPr>
                <w:sz w:val="14"/>
                <w:szCs w:val="14"/>
              </w:rPr>
            </w:pPr>
            <w:r>
              <w:rPr>
                <w:sz w:val="14"/>
                <w:szCs w:val="14"/>
              </w:rPr>
              <w:t>383</w:t>
            </w:r>
            <w:r w:rsidR="003C7FB2">
              <w:rPr>
                <w:sz w:val="14"/>
                <w:szCs w:val="14"/>
              </w:rPr>
              <w:t xml:space="preserve"> </w:t>
            </w:r>
            <w:r w:rsidRPr="00BD307E">
              <w:rPr>
                <w:sz w:val="14"/>
                <w:szCs w:val="14"/>
              </w:rPr>
              <w:t>(19.</w:t>
            </w:r>
            <w:r>
              <w:rPr>
                <w:sz w:val="14"/>
                <w:szCs w:val="14"/>
              </w:rPr>
              <w:t>6</w:t>
            </w:r>
            <w:r w:rsidRPr="00BD307E">
              <w:rPr>
                <w:sz w:val="14"/>
                <w:szCs w:val="14"/>
              </w:rPr>
              <w:t>)</w:t>
            </w:r>
          </w:p>
        </w:tc>
        <w:tc>
          <w:tcPr>
            <w:tcW w:w="1417" w:type="dxa"/>
          </w:tcPr>
          <w:p w14:paraId="1C0129B1" w14:textId="4D24F773" w:rsidR="00F971D8" w:rsidRPr="00BD307E" w:rsidRDefault="00F971D8" w:rsidP="00D9387F">
            <w:pPr>
              <w:rPr>
                <w:sz w:val="14"/>
                <w:szCs w:val="14"/>
              </w:rPr>
            </w:pPr>
            <w:r>
              <w:rPr>
                <w:sz w:val="14"/>
                <w:szCs w:val="14"/>
              </w:rPr>
              <w:t>546</w:t>
            </w:r>
            <w:r w:rsidR="003C7FB2">
              <w:rPr>
                <w:sz w:val="14"/>
                <w:szCs w:val="14"/>
              </w:rPr>
              <w:t xml:space="preserve"> </w:t>
            </w:r>
            <w:r w:rsidRPr="00BD307E">
              <w:rPr>
                <w:sz w:val="14"/>
                <w:szCs w:val="14"/>
              </w:rPr>
              <w:t>(22.</w:t>
            </w:r>
            <w:r>
              <w:rPr>
                <w:sz w:val="14"/>
                <w:szCs w:val="14"/>
              </w:rPr>
              <w:t>2</w:t>
            </w:r>
            <w:r w:rsidRPr="00BD307E">
              <w:rPr>
                <w:sz w:val="14"/>
                <w:szCs w:val="14"/>
              </w:rPr>
              <w:t>)</w:t>
            </w:r>
          </w:p>
        </w:tc>
        <w:tc>
          <w:tcPr>
            <w:tcW w:w="1276" w:type="dxa"/>
          </w:tcPr>
          <w:p w14:paraId="73A93853" w14:textId="12D30097" w:rsidR="00F971D8" w:rsidRPr="00BD307E" w:rsidRDefault="00F971D8" w:rsidP="00D9387F">
            <w:pPr>
              <w:rPr>
                <w:sz w:val="14"/>
                <w:szCs w:val="14"/>
              </w:rPr>
            </w:pPr>
            <w:r>
              <w:rPr>
                <w:sz w:val="14"/>
                <w:szCs w:val="14"/>
              </w:rPr>
              <w:t>1859</w:t>
            </w:r>
            <w:r w:rsidR="003C7FB2">
              <w:rPr>
                <w:sz w:val="14"/>
                <w:szCs w:val="14"/>
              </w:rPr>
              <w:t xml:space="preserve"> </w:t>
            </w:r>
            <w:r w:rsidRPr="00BD307E">
              <w:rPr>
                <w:sz w:val="14"/>
                <w:szCs w:val="14"/>
              </w:rPr>
              <w:t>(24.2)</w:t>
            </w:r>
          </w:p>
        </w:tc>
      </w:tr>
      <w:tr w:rsidR="00F971D8" w:rsidRPr="00BD307E" w14:paraId="1860E0F1" w14:textId="77777777" w:rsidTr="00D9387F">
        <w:tc>
          <w:tcPr>
            <w:tcW w:w="1492" w:type="dxa"/>
          </w:tcPr>
          <w:p w14:paraId="3E9AAEE9" w14:textId="6396B3D4" w:rsidR="00F971D8" w:rsidRPr="00BD307E" w:rsidRDefault="00F971D8" w:rsidP="00D9387F">
            <w:pPr>
              <w:rPr>
                <w:b/>
                <w:sz w:val="14"/>
                <w:szCs w:val="14"/>
              </w:rPr>
            </w:pPr>
            <w:r w:rsidRPr="00BD307E">
              <w:rPr>
                <w:b/>
                <w:sz w:val="14"/>
                <w:szCs w:val="14"/>
              </w:rPr>
              <w:t>Percentage</w:t>
            </w:r>
            <w:r w:rsidR="003C7FB2">
              <w:rPr>
                <w:b/>
                <w:sz w:val="14"/>
                <w:szCs w:val="14"/>
              </w:rPr>
              <w:t xml:space="preserve"> </w:t>
            </w:r>
            <w:r w:rsidRPr="00BD307E">
              <w:rPr>
                <w:b/>
                <w:sz w:val="14"/>
                <w:szCs w:val="14"/>
              </w:rPr>
              <w:t>Body</w:t>
            </w:r>
            <w:r w:rsidR="003C7FB2">
              <w:rPr>
                <w:b/>
                <w:sz w:val="14"/>
                <w:szCs w:val="14"/>
              </w:rPr>
              <w:t xml:space="preserve"> </w:t>
            </w:r>
            <w:r w:rsidRPr="00BD307E">
              <w:rPr>
                <w:b/>
                <w:sz w:val="14"/>
                <w:szCs w:val="14"/>
              </w:rPr>
              <w:t>Fat</w:t>
            </w:r>
            <w:r w:rsidR="003C7FB2">
              <w:rPr>
                <w:b/>
                <w:sz w:val="14"/>
                <w:szCs w:val="14"/>
              </w:rPr>
              <w:t xml:space="preserve"> </w:t>
            </w:r>
            <w:r w:rsidRPr="00BD307E">
              <w:rPr>
                <w:b/>
                <w:sz w:val="14"/>
                <w:szCs w:val="14"/>
              </w:rPr>
              <w:t>(%)</w:t>
            </w:r>
          </w:p>
        </w:tc>
        <w:tc>
          <w:tcPr>
            <w:tcW w:w="1338" w:type="dxa"/>
          </w:tcPr>
          <w:p w14:paraId="4F350280" w14:textId="1BFFC0D6" w:rsidR="00F971D8" w:rsidRPr="00BD307E" w:rsidRDefault="00F971D8" w:rsidP="00D9387F">
            <w:pPr>
              <w:rPr>
                <w:sz w:val="14"/>
                <w:szCs w:val="14"/>
              </w:rPr>
            </w:pPr>
            <w:r w:rsidRPr="00BD307E">
              <w:rPr>
                <w:sz w:val="14"/>
                <w:szCs w:val="14"/>
              </w:rPr>
              <w:t>37.5</w:t>
            </w:r>
            <w:r w:rsidR="003C7FB2">
              <w:rPr>
                <w:sz w:val="14"/>
                <w:szCs w:val="14"/>
              </w:rPr>
              <w:t xml:space="preserve"> </w:t>
            </w:r>
            <w:r w:rsidRPr="00BD307E">
              <w:rPr>
                <w:sz w:val="14"/>
                <w:szCs w:val="14"/>
              </w:rPr>
              <w:t>(32.4-42.3)</w:t>
            </w:r>
          </w:p>
        </w:tc>
        <w:tc>
          <w:tcPr>
            <w:tcW w:w="1418" w:type="dxa"/>
          </w:tcPr>
          <w:p w14:paraId="3FADCAE2" w14:textId="2B6C8F4B" w:rsidR="00F971D8" w:rsidRPr="00BD307E" w:rsidRDefault="00F971D8" w:rsidP="00D9387F">
            <w:pPr>
              <w:rPr>
                <w:sz w:val="14"/>
                <w:szCs w:val="14"/>
              </w:rPr>
            </w:pPr>
            <w:r>
              <w:rPr>
                <w:sz w:val="14"/>
                <w:szCs w:val="14"/>
              </w:rPr>
              <w:t>28.8</w:t>
            </w:r>
            <w:r w:rsidR="003C7FB2">
              <w:rPr>
                <w:sz w:val="14"/>
                <w:szCs w:val="14"/>
              </w:rPr>
              <w:t xml:space="preserve"> </w:t>
            </w:r>
            <w:r>
              <w:rPr>
                <w:sz w:val="14"/>
                <w:szCs w:val="14"/>
              </w:rPr>
              <w:t>(24.8-32.6</w:t>
            </w:r>
            <w:r w:rsidRPr="00BD307E">
              <w:rPr>
                <w:sz w:val="14"/>
                <w:szCs w:val="14"/>
              </w:rPr>
              <w:t>)</w:t>
            </w:r>
          </w:p>
        </w:tc>
        <w:tc>
          <w:tcPr>
            <w:tcW w:w="1276" w:type="dxa"/>
          </w:tcPr>
          <w:p w14:paraId="094D068A" w14:textId="744088B7" w:rsidR="00F971D8" w:rsidRPr="00BD307E" w:rsidRDefault="00F971D8" w:rsidP="00D9387F">
            <w:pPr>
              <w:rPr>
                <w:sz w:val="14"/>
                <w:szCs w:val="14"/>
              </w:rPr>
            </w:pPr>
            <w:r w:rsidRPr="00BD307E">
              <w:rPr>
                <w:sz w:val="14"/>
                <w:szCs w:val="14"/>
              </w:rPr>
              <w:t>37.4</w:t>
            </w:r>
            <w:r w:rsidR="003C7FB2">
              <w:rPr>
                <w:sz w:val="14"/>
                <w:szCs w:val="14"/>
              </w:rPr>
              <w:t xml:space="preserve"> </w:t>
            </w:r>
            <w:r w:rsidRPr="00BD307E">
              <w:rPr>
                <w:sz w:val="14"/>
                <w:szCs w:val="14"/>
              </w:rPr>
              <w:t>(32.5-42.2)</w:t>
            </w:r>
          </w:p>
        </w:tc>
        <w:tc>
          <w:tcPr>
            <w:tcW w:w="1417" w:type="dxa"/>
          </w:tcPr>
          <w:p w14:paraId="6B0085B7" w14:textId="591CAFE9" w:rsidR="00F971D8" w:rsidRPr="00BD307E" w:rsidRDefault="00F971D8" w:rsidP="00D9387F">
            <w:pPr>
              <w:rPr>
                <w:sz w:val="14"/>
                <w:szCs w:val="14"/>
              </w:rPr>
            </w:pPr>
            <w:r w:rsidRPr="00BD307E">
              <w:rPr>
                <w:sz w:val="14"/>
                <w:szCs w:val="14"/>
              </w:rPr>
              <w:t>29.3</w:t>
            </w:r>
            <w:r w:rsidR="003C7FB2">
              <w:rPr>
                <w:sz w:val="14"/>
                <w:szCs w:val="14"/>
              </w:rPr>
              <w:t xml:space="preserve"> </w:t>
            </w:r>
            <w:r w:rsidRPr="00BD307E">
              <w:rPr>
                <w:sz w:val="14"/>
                <w:szCs w:val="14"/>
              </w:rPr>
              <w:t>(25.6-32.7)</w:t>
            </w:r>
          </w:p>
        </w:tc>
        <w:tc>
          <w:tcPr>
            <w:tcW w:w="1276" w:type="dxa"/>
          </w:tcPr>
          <w:p w14:paraId="0E16B66B" w14:textId="49AE71AF" w:rsidR="00F971D8" w:rsidRPr="00BD307E" w:rsidRDefault="00F971D8" w:rsidP="00D9387F">
            <w:pPr>
              <w:rPr>
                <w:sz w:val="14"/>
                <w:szCs w:val="14"/>
              </w:rPr>
            </w:pPr>
            <w:r w:rsidRPr="00BD307E">
              <w:rPr>
                <w:sz w:val="14"/>
                <w:szCs w:val="14"/>
              </w:rPr>
              <w:t>32.7</w:t>
            </w:r>
            <w:r w:rsidR="003C7FB2">
              <w:rPr>
                <w:sz w:val="14"/>
                <w:szCs w:val="14"/>
              </w:rPr>
              <w:t xml:space="preserve"> </w:t>
            </w:r>
            <w:r w:rsidRPr="00BD307E">
              <w:rPr>
                <w:sz w:val="14"/>
                <w:szCs w:val="14"/>
              </w:rPr>
              <w:t>(28.1-38.5)</w:t>
            </w:r>
          </w:p>
        </w:tc>
      </w:tr>
      <w:tr w:rsidR="00F971D8" w:rsidRPr="00BD307E" w14:paraId="7826FF03" w14:textId="77777777" w:rsidTr="00D9387F">
        <w:tc>
          <w:tcPr>
            <w:tcW w:w="1492" w:type="dxa"/>
          </w:tcPr>
          <w:p w14:paraId="57A24E9F" w14:textId="5DC7610B" w:rsidR="00F971D8" w:rsidRPr="00BD307E" w:rsidRDefault="00F971D8" w:rsidP="00D9387F">
            <w:pPr>
              <w:rPr>
                <w:b/>
                <w:sz w:val="14"/>
                <w:szCs w:val="14"/>
              </w:rPr>
            </w:pPr>
            <w:r w:rsidRPr="00BD307E">
              <w:rPr>
                <w:b/>
                <w:sz w:val="14"/>
                <w:szCs w:val="14"/>
              </w:rPr>
              <w:t>Visceral</w:t>
            </w:r>
            <w:r w:rsidR="003C7FB2">
              <w:rPr>
                <w:b/>
                <w:sz w:val="14"/>
                <w:szCs w:val="14"/>
              </w:rPr>
              <w:t xml:space="preserve"> </w:t>
            </w:r>
            <w:r w:rsidRPr="00BD307E">
              <w:rPr>
                <w:b/>
                <w:sz w:val="14"/>
                <w:szCs w:val="14"/>
              </w:rPr>
              <w:t>Adipose</w:t>
            </w:r>
            <w:r w:rsidR="003C7FB2">
              <w:rPr>
                <w:b/>
                <w:sz w:val="14"/>
                <w:szCs w:val="14"/>
              </w:rPr>
              <w:t xml:space="preserve"> </w:t>
            </w:r>
            <w:r w:rsidRPr="00BD307E">
              <w:rPr>
                <w:b/>
                <w:sz w:val="14"/>
                <w:szCs w:val="14"/>
              </w:rPr>
              <w:t>Tissue</w:t>
            </w:r>
            <w:r w:rsidR="003C7FB2">
              <w:rPr>
                <w:b/>
                <w:sz w:val="14"/>
                <w:szCs w:val="14"/>
              </w:rPr>
              <w:t xml:space="preserve"> </w:t>
            </w:r>
            <w:r w:rsidRPr="00BD307E">
              <w:rPr>
                <w:b/>
                <w:sz w:val="14"/>
                <w:szCs w:val="14"/>
              </w:rPr>
              <w:t>(cm</w:t>
            </w:r>
            <w:r w:rsidRPr="00BD307E">
              <w:rPr>
                <w:b/>
                <w:sz w:val="14"/>
                <w:szCs w:val="14"/>
                <w:vertAlign w:val="superscript"/>
              </w:rPr>
              <w:t>3</w:t>
            </w:r>
            <w:r w:rsidRPr="00BD307E">
              <w:rPr>
                <w:b/>
                <w:sz w:val="14"/>
                <w:szCs w:val="14"/>
              </w:rPr>
              <w:t>)</w:t>
            </w:r>
            <w:r w:rsidRPr="00BD307E">
              <w:rPr>
                <w:b/>
                <w:sz w:val="14"/>
                <w:szCs w:val="14"/>
                <w:vertAlign w:val="superscript"/>
              </w:rPr>
              <w:t>±</w:t>
            </w:r>
          </w:p>
        </w:tc>
        <w:tc>
          <w:tcPr>
            <w:tcW w:w="1338" w:type="dxa"/>
          </w:tcPr>
          <w:p w14:paraId="08AF1823" w14:textId="48C6B72C" w:rsidR="00F971D8" w:rsidRPr="00BD307E" w:rsidRDefault="00F971D8" w:rsidP="00D9387F">
            <w:pPr>
              <w:rPr>
                <w:sz w:val="14"/>
                <w:szCs w:val="14"/>
              </w:rPr>
            </w:pPr>
            <w:r>
              <w:rPr>
                <w:sz w:val="14"/>
                <w:szCs w:val="14"/>
              </w:rPr>
              <w:t>514</w:t>
            </w:r>
            <w:r w:rsidR="003C7FB2">
              <w:rPr>
                <w:sz w:val="14"/>
                <w:szCs w:val="14"/>
              </w:rPr>
              <w:t xml:space="preserve"> </w:t>
            </w:r>
            <w:r>
              <w:rPr>
                <w:sz w:val="14"/>
                <w:szCs w:val="14"/>
              </w:rPr>
              <w:t>(226-948</w:t>
            </w:r>
            <w:r w:rsidRPr="00BD307E">
              <w:rPr>
                <w:sz w:val="14"/>
                <w:szCs w:val="14"/>
              </w:rPr>
              <w:t>)</w:t>
            </w:r>
          </w:p>
        </w:tc>
        <w:tc>
          <w:tcPr>
            <w:tcW w:w="1418" w:type="dxa"/>
          </w:tcPr>
          <w:p w14:paraId="403D992F" w14:textId="38A14F9D" w:rsidR="00F971D8" w:rsidRPr="00BD307E" w:rsidRDefault="00F971D8" w:rsidP="00D9387F">
            <w:pPr>
              <w:rPr>
                <w:sz w:val="14"/>
                <w:szCs w:val="14"/>
              </w:rPr>
            </w:pPr>
            <w:r w:rsidRPr="00BD307E">
              <w:rPr>
                <w:sz w:val="14"/>
                <w:szCs w:val="14"/>
              </w:rPr>
              <w:t>1229</w:t>
            </w:r>
            <w:r w:rsidR="003C7FB2">
              <w:rPr>
                <w:sz w:val="14"/>
                <w:szCs w:val="14"/>
              </w:rPr>
              <w:t xml:space="preserve"> </w:t>
            </w:r>
            <w:r w:rsidRPr="00BD307E">
              <w:rPr>
                <w:sz w:val="14"/>
                <w:szCs w:val="14"/>
              </w:rPr>
              <w:t>(70</w:t>
            </w:r>
            <w:r>
              <w:rPr>
                <w:sz w:val="14"/>
                <w:szCs w:val="14"/>
              </w:rPr>
              <w:t>0</w:t>
            </w:r>
            <w:r w:rsidRPr="00BD307E">
              <w:rPr>
                <w:sz w:val="14"/>
                <w:szCs w:val="14"/>
              </w:rPr>
              <w:t>-1880)</w:t>
            </w:r>
          </w:p>
        </w:tc>
        <w:tc>
          <w:tcPr>
            <w:tcW w:w="1276" w:type="dxa"/>
          </w:tcPr>
          <w:p w14:paraId="162A68D5" w14:textId="5D6E40BC" w:rsidR="00F971D8" w:rsidRPr="00BD307E" w:rsidRDefault="00F971D8" w:rsidP="00D9387F">
            <w:pPr>
              <w:rPr>
                <w:sz w:val="14"/>
                <w:szCs w:val="14"/>
              </w:rPr>
            </w:pPr>
            <w:r w:rsidRPr="00BD307E">
              <w:rPr>
                <w:sz w:val="14"/>
                <w:szCs w:val="14"/>
              </w:rPr>
              <w:t>49</w:t>
            </w:r>
            <w:r>
              <w:rPr>
                <w:sz w:val="14"/>
                <w:szCs w:val="14"/>
              </w:rPr>
              <w:t>2</w:t>
            </w:r>
            <w:r w:rsidR="003C7FB2">
              <w:rPr>
                <w:sz w:val="14"/>
                <w:szCs w:val="14"/>
              </w:rPr>
              <w:t xml:space="preserve"> </w:t>
            </w:r>
            <w:r w:rsidRPr="00BD307E">
              <w:rPr>
                <w:sz w:val="14"/>
                <w:szCs w:val="14"/>
              </w:rPr>
              <w:t>(22</w:t>
            </w:r>
            <w:r>
              <w:rPr>
                <w:sz w:val="14"/>
                <w:szCs w:val="14"/>
              </w:rPr>
              <w:t>0-949</w:t>
            </w:r>
            <w:r w:rsidRPr="00BD307E">
              <w:rPr>
                <w:sz w:val="14"/>
                <w:szCs w:val="14"/>
              </w:rPr>
              <w:t>)</w:t>
            </w:r>
          </w:p>
        </w:tc>
        <w:tc>
          <w:tcPr>
            <w:tcW w:w="1417" w:type="dxa"/>
          </w:tcPr>
          <w:p w14:paraId="7404752A" w14:textId="12232D94" w:rsidR="00F971D8" w:rsidRPr="00BD307E" w:rsidRDefault="00F971D8" w:rsidP="00D9387F">
            <w:pPr>
              <w:rPr>
                <w:sz w:val="14"/>
                <w:szCs w:val="14"/>
              </w:rPr>
            </w:pPr>
            <w:r w:rsidRPr="00BD307E">
              <w:rPr>
                <w:sz w:val="14"/>
                <w:szCs w:val="14"/>
              </w:rPr>
              <w:t>1</w:t>
            </w:r>
            <w:r>
              <w:rPr>
                <w:sz w:val="14"/>
                <w:szCs w:val="14"/>
              </w:rPr>
              <w:t>348</w:t>
            </w:r>
            <w:r w:rsidR="003C7FB2">
              <w:rPr>
                <w:sz w:val="14"/>
                <w:szCs w:val="14"/>
              </w:rPr>
              <w:t xml:space="preserve"> </w:t>
            </w:r>
            <w:r>
              <w:rPr>
                <w:sz w:val="14"/>
                <w:szCs w:val="14"/>
              </w:rPr>
              <w:t>(798</w:t>
            </w:r>
            <w:r w:rsidRPr="00BD307E">
              <w:rPr>
                <w:sz w:val="14"/>
                <w:szCs w:val="14"/>
              </w:rPr>
              <w:t>-198</w:t>
            </w:r>
            <w:r>
              <w:rPr>
                <w:sz w:val="14"/>
                <w:szCs w:val="14"/>
              </w:rPr>
              <w:t>5</w:t>
            </w:r>
            <w:r w:rsidRPr="00BD307E">
              <w:rPr>
                <w:sz w:val="14"/>
                <w:szCs w:val="14"/>
              </w:rPr>
              <w:t>)</w:t>
            </w:r>
          </w:p>
        </w:tc>
        <w:tc>
          <w:tcPr>
            <w:tcW w:w="1276" w:type="dxa"/>
          </w:tcPr>
          <w:p w14:paraId="6A0FB887" w14:textId="6D21ACA4" w:rsidR="00F971D8" w:rsidRPr="00BD307E" w:rsidRDefault="00F971D8" w:rsidP="00D9387F">
            <w:pPr>
              <w:rPr>
                <w:sz w:val="14"/>
                <w:szCs w:val="14"/>
              </w:rPr>
            </w:pPr>
            <w:r>
              <w:rPr>
                <w:sz w:val="14"/>
                <w:szCs w:val="14"/>
              </w:rPr>
              <w:t>848</w:t>
            </w:r>
            <w:r w:rsidR="003C7FB2">
              <w:rPr>
                <w:sz w:val="14"/>
                <w:szCs w:val="14"/>
              </w:rPr>
              <w:t xml:space="preserve"> </w:t>
            </w:r>
            <w:r w:rsidRPr="00BD307E">
              <w:rPr>
                <w:sz w:val="14"/>
                <w:szCs w:val="14"/>
              </w:rPr>
              <w:t>(376-1520)</w:t>
            </w:r>
          </w:p>
        </w:tc>
      </w:tr>
      <w:tr w:rsidR="00F971D8" w:rsidRPr="00BD307E" w14:paraId="500CD156" w14:textId="77777777" w:rsidTr="00D9387F">
        <w:tc>
          <w:tcPr>
            <w:tcW w:w="1492" w:type="dxa"/>
          </w:tcPr>
          <w:p w14:paraId="0B120C7B" w14:textId="69549151" w:rsidR="00F971D8" w:rsidRPr="00BD307E" w:rsidRDefault="00F971D8" w:rsidP="00D9387F">
            <w:pPr>
              <w:rPr>
                <w:b/>
                <w:sz w:val="14"/>
                <w:szCs w:val="14"/>
              </w:rPr>
            </w:pPr>
            <w:r w:rsidRPr="00BD307E">
              <w:rPr>
                <w:b/>
                <w:sz w:val="14"/>
                <w:szCs w:val="14"/>
              </w:rPr>
              <w:t>BMI</w:t>
            </w:r>
            <w:r w:rsidR="003C7FB2">
              <w:rPr>
                <w:b/>
                <w:sz w:val="14"/>
                <w:szCs w:val="14"/>
              </w:rPr>
              <w:t xml:space="preserve"> </w:t>
            </w:r>
            <w:r w:rsidRPr="00BD307E">
              <w:rPr>
                <w:b/>
                <w:sz w:val="14"/>
                <w:szCs w:val="14"/>
              </w:rPr>
              <w:t>(kg/m</w:t>
            </w:r>
            <w:r w:rsidRPr="00BD307E">
              <w:rPr>
                <w:b/>
                <w:sz w:val="14"/>
                <w:szCs w:val="14"/>
                <w:vertAlign w:val="superscript"/>
              </w:rPr>
              <w:t>2</w:t>
            </w:r>
            <w:r w:rsidRPr="00BD307E">
              <w:rPr>
                <w:b/>
                <w:sz w:val="14"/>
                <w:szCs w:val="14"/>
              </w:rPr>
              <w:t>)</w:t>
            </w:r>
          </w:p>
        </w:tc>
        <w:tc>
          <w:tcPr>
            <w:tcW w:w="1338" w:type="dxa"/>
          </w:tcPr>
          <w:p w14:paraId="4E757DDC" w14:textId="7E44F52B" w:rsidR="00F971D8" w:rsidRPr="00BD307E" w:rsidRDefault="00F971D8" w:rsidP="00D9387F">
            <w:pPr>
              <w:rPr>
                <w:sz w:val="14"/>
                <w:szCs w:val="14"/>
              </w:rPr>
            </w:pPr>
            <w:r>
              <w:rPr>
                <w:sz w:val="14"/>
                <w:szCs w:val="14"/>
              </w:rPr>
              <w:t>25.2</w:t>
            </w:r>
            <w:r w:rsidR="003C7FB2">
              <w:rPr>
                <w:sz w:val="14"/>
                <w:szCs w:val="14"/>
              </w:rPr>
              <w:t xml:space="preserve"> </w:t>
            </w:r>
            <w:r>
              <w:rPr>
                <w:sz w:val="14"/>
                <w:szCs w:val="14"/>
              </w:rPr>
              <w:t>(22.7-29.1</w:t>
            </w:r>
            <w:r w:rsidRPr="00BD307E">
              <w:rPr>
                <w:sz w:val="14"/>
                <w:szCs w:val="14"/>
              </w:rPr>
              <w:t>)</w:t>
            </w:r>
          </w:p>
        </w:tc>
        <w:tc>
          <w:tcPr>
            <w:tcW w:w="1418" w:type="dxa"/>
          </w:tcPr>
          <w:p w14:paraId="0C6A3D16" w14:textId="2AC5E8E3" w:rsidR="00F971D8" w:rsidRPr="00BD307E" w:rsidRDefault="00F971D8" w:rsidP="00D9387F">
            <w:pPr>
              <w:rPr>
                <w:sz w:val="14"/>
                <w:szCs w:val="14"/>
              </w:rPr>
            </w:pPr>
            <w:r w:rsidRPr="00BD307E">
              <w:rPr>
                <w:sz w:val="14"/>
                <w:szCs w:val="14"/>
              </w:rPr>
              <w:t>26.4</w:t>
            </w:r>
            <w:r w:rsidR="003C7FB2">
              <w:rPr>
                <w:sz w:val="14"/>
                <w:szCs w:val="14"/>
              </w:rPr>
              <w:t xml:space="preserve"> </w:t>
            </w:r>
            <w:r w:rsidRPr="00BD307E">
              <w:rPr>
                <w:sz w:val="14"/>
                <w:szCs w:val="14"/>
              </w:rPr>
              <w:t>(24.1-28.9</w:t>
            </w:r>
            <w:r>
              <w:rPr>
                <w:sz w:val="14"/>
                <w:szCs w:val="14"/>
              </w:rPr>
              <w:t>)</w:t>
            </w:r>
          </w:p>
        </w:tc>
        <w:tc>
          <w:tcPr>
            <w:tcW w:w="1276" w:type="dxa"/>
          </w:tcPr>
          <w:p w14:paraId="62B63880" w14:textId="3526A4E7" w:rsidR="00F971D8" w:rsidRPr="00BD307E" w:rsidRDefault="00F971D8" w:rsidP="00D9387F">
            <w:pPr>
              <w:jc w:val="center"/>
              <w:rPr>
                <w:sz w:val="14"/>
                <w:szCs w:val="14"/>
              </w:rPr>
            </w:pPr>
            <w:r w:rsidRPr="00BD307E">
              <w:rPr>
                <w:sz w:val="14"/>
                <w:szCs w:val="14"/>
              </w:rPr>
              <w:t>25.3</w:t>
            </w:r>
            <w:r w:rsidR="003C7FB2">
              <w:rPr>
                <w:sz w:val="14"/>
                <w:szCs w:val="14"/>
              </w:rPr>
              <w:t xml:space="preserve"> </w:t>
            </w:r>
            <w:r w:rsidRPr="00BD307E">
              <w:rPr>
                <w:sz w:val="14"/>
                <w:szCs w:val="14"/>
              </w:rPr>
              <w:t>(22.8-28.9)</w:t>
            </w:r>
          </w:p>
        </w:tc>
        <w:tc>
          <w:tcPr>
            <w:tcW w:w="1417" w:type="dxa"/>
          </w:tcPr>
          <w:p w14:paraId="03A27998" w14:textId="250CC832" w:rsidR="00F971D8" w:rsidRPr="00BD307E" w:rsidRDefault="00F971D8" w:rsidP="00D9387F">
            <w:pPr>
              <w:rPr>
                <w:sz w:val="14"/>
                <w:szCs w:val="14"/>
              </w:rPr>
            </w:pPr>
            <w:r w:rsidRPr="00BD307E">
              <w:rPr>
                <w:sz w:val="14"/>
                <w:szCs w:val="14"/>
              </w:rPr>
              <w:t>26.9</w:t>
            </w:r>
            <w:r w:rsidR="003C7FB2">
              <w:rPr>
                <w:sz w:val="14"/>
                <w:szCs w:val="14"/>
              </w:rPr>
              <w:t xml:space="preserve"> </w:t>
            </w:r>
            <w:r w:rsidRPr="00BD307E">
              <w:rPr>
                <w:sz w:val="14"/>
                <w:szCs w:val="14"/>
              </w:rPr>
              <w:t>(24.7-29.6)</w:t>
            </w:r>
          </w:p>
        </w:tc>
        <w:tc>
          <w:tcPr>
            <w:tcW w:w="1276" w:type="dxa"/>
          </w:tcPr>
          <w:p w14:paraId="0B1F6FB3" w14:textId="3077CE7C" w:rsidR="00F971D8" w:rsidRPr="00BD307E" w:rsidRDefault="00F971D8" w:rsidP="00D9387F">
            <w:pPr>
              <w:rPr>
                <w:sz w:val="14"/>
                <w:szCs w:val="14"/>
              </w:rPr>
            </w:pPr>
            <w:r w:rsidRPr="00BD307E">
              <w:rPr>
                <w:sz w:val="14"/>
                <w:szCs w:val="14"/>
              </w:rPr>
              <w:t>26.1</w:t>
            </w:r>
            <w:r w:rsidR="003C7FB2">
              <w:rPr>
                <w:sz w:val="14"/>
                <w:szCs w:val="14"/>
              </w:rPr>
              <w:t xml:space="preserve"> </w:t>
            </w:r>
            <w:r w:rsidRPr="00BD307E">
              <w:rPr>
                <w:sz w:val="14"/>
                <w:szCs w:val="14"/>
              </w:rPr>
              <w:t>(23.6-29.2)</w:t>
            </w:r>
          </w:p>
        </w:tc>
      </w:tr>
    </w:tbl>
    <w:p w14:paraId="16C7A9A2" w14:textId="15050020" w:rsidR="00F971D8" w:rsidRPr="00322A7F" w:rsidRDefault="00F971D8" w:rsidP="00F971D8">
      <w:pPr>
        <w:spacing w:after="0" w:line="240" w:lineRule="auto"/>
        <w:rPr>
          <w:sz w:val="14"/>
          <w:szCs w:val="14"/>
        </w:rPr>
      </w:pPr>
      <w:r w:rsidRPr="00322A7F">
        <w:rPr>
          <w:sz w:val="14"/>
          <w:szCs w:val="14"/>
        </w:rPr>
        <w:t>Median</w:t>
      </w:r>
      <w:r w:rsidR="003C7FB2">
        <w:rPr>
          <w:sz w:val="14"/>
          <w:szCs w:val="14"/>
        </w:rPr>
        <w:t xml:space="preserve"> </w:t>
      </w:r>
      <w:r w:rsidRPr="00322A7F">
        <w:rPr>
          <w:sz w:val="14"/>
          <w:szCs w:val="14"/>
        </w:rPr>
        <w:t>and</w:t>
      </w:r>
      <w:r w:rsidR="003C7FB2">
        <w:rPr>
          <w:sz w:val="14"/>
          <w:szCs w:val="14"/>
        </w:rPr>
        <w:t xml:space="preserve"> </w:t>
      </w:r>
      <w:r w:rsidRPr="00322A7F">
        <w:rPr>
          <w:sz w:val="14"/>
          <w:szCs w:val="14"/>
        </w:rPr>
        <w:t>inter-quartile</w:t>
      </w:r>
      <w:r w:rsidR="003C7FB2">
        <w:rPr>
          <w:sz w:val="14"/>
          <w:szCs w:val="14"/>
        </w:rPr>
        <w:t xml:space="preserve"> </w:t>
      </w:r>
      <w:r w:rsidRPr="00322A7F">
        <w:rPr>
          <w:sz w:val="14"/>
          <w:szCs w:val="14"/>
        </w:rPr>
        <w:t>range</w:t>
      </w:r>
      <w:r w:rsidR="003C7FB2">
        <w:rPr>
          <w:sz w:val="14"/>
          <w:szCs w:val="14"/>
        </w:rPr>
        <w:t xml:space="preserve"> </w:t>
      </w:r>
      <w:r w:rsidRPr="00322A7F">
        <w:rPr>
          <w:sz w:val="14"/>
          <w:szCs w:val="14"/>
        </w:rPr>
        <w:t>shown</w:t>
      </w:r>
      <w:r w:rsidR="003C7FB2">
        <w:rPr>
          <w:sz w:val="14"/>
          <w:szCs w:val="14"/>
        </w:rPr>
        <w:t xml:space="preserve"> </w:t>
      </w:r>
      <w:r w:rsidRPr="00322A7F">
        <w:rPr>
          <w:sz w:val="14"/>
          <w:szCs w:val="14"/>
        </w:rPr>
        <w:t>for</w:t>
      </w:r>
      <w:r w:rsidR="003C7FB2">
        <w:rPr>
          <w:sz w:val="14"/>
          <w:szCs w:val="14"/>
        </w:rPr>
        <w:t xml:space="preserve"> </w:t>
      </w:r>
      <w:r w:rsidRPr="00322A7F">
        <w:rPr>
          <w:sz w:val="14"/>
          <w:szCs w:val="14"/>
        </w:rPr>
        <w:t>continuous</w:t>
      </w:r>
      <w:r w:rsidR="003C7FB2">
        <w:rPr>
          <w:sz w:val="14"/>
          <w:szCs w:val="14"/>
        </w:rPr>
        <w:t xml:space="preserve"> </w:t>
      </w:r>
      <w:r w:rsidRPr="00322A7F">
        <w:rPr>
          <w:sz w:val="14"/>
          <w:szCs w:val="14"/>
        </w:rPr>
        <w:t>variables;</w:t>
      </w:r>
      <w:r w:rsidR="003C7FB2">
        <w:rPr>
          <w:sz w:val="14"/>
          <w:szCs w:val="14"/>
        </w:rPr>
        <w:t xml:space="preserve"> </w:t>
      </w:r>
      <w:r w:rsidRPr="00322A7F">
        <w:rPr>
          <w:sz w:val="14"/>
          <w:szCs w:val="14"/>
        </w:rPr>
        <w:t>counts</w:t>
      </w:r>
      <w:r w:rsidR="003C7FB2">
        <w:rPr>
          <w:sz w:val="14"/>
          <w:szCs w:val="14"/>
        </w:rPr>
        <w:t xml:space="preserve"> </w:t>
      </w:r>
      <w:r w:rsidRPr="00322A7F">
        <w:rPr>
          <w:sz w:val="14"/>
          <w:szCs w:val="14"/>
        </w:rPr>
        <w:t>(n)</w:t>
      </w:r>
      <w:r w:rsidR="003C7FB2">
        <w:rPr>
          <w:sz w:val="14"/>
          <w:szCs w:val="14"/>
        </w:rPr>
        <w:t xml:space="preserve"> </w:t>
      </w:r>
      <w:r w:rsidRPr="00322A7F">
        <w:rPr>
          <w:sz w:val="14"/>
          <w:szCs w:val="14"/>
        </w:rPr>
        <w:t>and</w:t>
      </w:r>
      <w:r w:rsidR="003C7FB2">
        <w:rPr>
          <w:sz w:val="14"/>
          <w:szCs w:val="14"/>
        </w:rPr>
        <w:t xml:space="preserve"> </w:t>
      </w:r>
      <w:r w:rsidRPr="00322A7F">
        <w:rPr>
          <w:sz w:val="14"/>
          <w:szCs w:val="14"/>
        </w:rPr>
        <w:t>frequency</w:t>
      </w:r>
      <w:r w:rsidR="003C7FB2">
        <w:rPr>
          <w:sz w:val="14"/>
          <w:szCs w:val="14"/>
        </w:rPr>
        <w:t xml:space="preserve"> </w:t>
      </w:r>
      <w:r w:rsidRPr="00322A7F">
        <w:rPr>
          <w:sz w:val="14"/>
          <w:szCs w:val="14"/>
        </w:rPr>
        <w:t>(%)</w:t>
      </w:r>
      <w:r w:rsidR="003C7FB2">
        <w:rPr>
          <w:sz w:val="14"/>
          <w:szCs w:val="14"/>
        </w:rPr>
        <w:t xml:space="preserve"> </w:t>
      </w:r>
      <w:r w:rsidRPr="00322A7F">
        <w:rPr>
          <w:sz w:val="14"/>
          <w:szCs w:val="14"/>
        </w:rPr>
        <w:t>for</w:t>
      </w:r>
      <w:r w:rsidR="003C7FB2">
        <w:rPr>
          <w:sz w:val="14"/>
          <w:szCs w:val="14"/>
        </w:rPr>
        <w:t xml:space="preserve"> </w:t>
      </w:r>
      <w:r w:rsidRPr="00322A7F">
        <w:rPr>
          <w:sz w:val="14"/>
          <w:szCs w:val="14"/>
        </w:rPr>
        <w:t>categorical</w:t>
      </w:r>
      <w:r w:rsidR="003C7FB2">
        <w:rPr>
          <w:sz w:val="14"/>
          <w:szCs w:val="14"/>
        </w:rPr>
        <w:t xml:space="preserve"> </w:t>
      </w:r>
      <w:r w:rsidRPr="00322A7F">
        <w:rPr>
          <w:sz w:val="14"/>
          <w:szCs w:val="14"/>
        </w:rPr>
        <w:t>variables;</w:t>
      </w:r>
      <w:r w:rsidR="003C7FB2">
        <w:rPr>
          <w:b/>
          <w:sz w:val="14"/>
          <w:szCs w:val="14"/>
          <w:vertAlign w:val="superscript"/>
        </w:rPr>
        <w:t xml:space="preserve"> </w:t>
      </w:r>
      <w:r w:rsidRPr="00322A7F">
        <w:rPr>
          <w:b/>
          <w:sz w:val="14"/>
          <w:szCs w:val="14"/>
          <w:vertAlign w:val="superscript"/>
        </w:rPr>
        <w:t>±</w:t>
      </w:r>
      <w:r w:rsidRPr="00322A7F">
        <w:rPr>
          <w:sz w:val="14"/>
          <w:szCs w:val="14"/>
        </w:rPr>
        <w:t>for</w:t>
      </w:r>
      <w:r w:rsidR="003C7FB2">
        <w:rPr>
          <w:sz w:val="14"/>
          <w:szCs w:val="14"/>
        </w:rPr>
        <w:t xml:space="preserve"> </w:t>
      </w:r>
      <w:r w:rsidRPr="00322A7F">
        <w:rPr>
          <w:sz w:val="14"/>
          <w:szCs w:val="14"/>
        </w:rPr>
        <w:t>visce</w:t>
      </w:r>
      <w:r>
        <w:rPr>
          <w:sz w:val="14"/>
          <w:szCs w:val="14"/>
        </w:rPr>
        <w:t>ral</w:t>
      </w:r>
      <w:r w:rsidR="003C7FB2">
        <w:rPr>
          <w:sz w:val="14"/>
          <w:szCs w:val="14"/>
        </w:rPr>
        <w:t xml:space="preserve"> </w:t>
      </w:r>
      <w:r>
        <w:rPr>
          <w:sz w:val="14"/>
          <w:szCs w:val="14"/>
        </w:rPr>
        <w:t>adipose</w:t>
      </w:r>
      <w:r w:rsidR="003C7FB2">
        <w:rPr>
          <w:sz w:val="14"/>
          <w:szCs w:val="14"/>
        </w:rPr>
        <w:t xml:space="preserve"> </w:t>
      </w:r>
      <w:r>
        <w:rPr>
          <w:sz w:val="14"/>
          <w:szCs w:val="14"/>
        </w:rPr>
        <w:t>tissue,</w:t>
      </w:r>
      <w:r w:rsidR="003C7FB2">
        <w:rPr>
          <w:sz w:val="14"/>
          <w:szCs w:val="14"/>
        </w:rPr>
        <w:t xml:space="preserve"> </w:t>
      </w:r>
      <w:r>
        <w:rPr>
          <w:sz w:val="14"/>
          <w:szCs w:val="14"/>
        </w:rPr>
        <w:t>n=7,504</w:t>
      </w:r>
      <w:r w:rsidRPr="00322A7F">
        <w:rPr>
          <w:sz w:val="14"/>
          <w:szCs w:val="14"/>
        </w:rPr>
        <w:t>;</w:t>
      </w:r>
      <w:r w:rsidR="003C7FB2">
        <w:rPr>
          <w:sz w:val="14"/>
          <w:szCs w:val="14"/>
        </w:rPr>
        <w:t xml:space="preserve"> </w:t>
      </w:r>
      <w:r w:rsidRPr="00322A7F">
        <w:rPr>
          <w:sz w:val="14"/>
          <w:szCs w:val="14"/>
        </w:rPr>
        <w:t>n/a</w:t>
      </w:r>
      <w:r w:rsidR="003C7FB2">
        <w:rPr>
          <w:sz w:val="14"/>
          <w:szCs w:val="14"/>
        </w:rPr>
        <w:t xml:space="preserve"> </w:t>
      </w:r>
      <w:r w:rsidRPr="00322A7F">
        <w:rPr>
          <w:sz w:val="14"/>
          <w:szCs w:val="14"/>
        </w:rPr>
        <w:t>=</w:t>
      </w:r>
      <w:r w:rsidR="003C7FB2">
        <w:rPr>
          <w:sz w:val="14"/>
          <w:szCs w:val="14"/>
        </w:rPr>
        <w:t xml:space="preserve"> </w:t>
      </w:r>
      <w:r>
        <w:rPr>
          <w:sz w:val="14"/>
          <w:szCs w:val="14"/>
        </w:rPr>
        <w:t>not</w:t>
      </w:r>
      <w:r w:rsidR="003C7FB2">
        <w:rPr>
          <w:sz w:val="14"/>
          <w:szCs w:val="14"/>
        </w:rPr>
        <w:t xml:space="preserve"> </w:t>
      </w:r>
      <w:r>
        <w:rPr>
          <w:sz w:val="14"/>
          <w:szCs w:val="14"/>
        </w:rPr>
        <w:t>applicable;</w:t>
      </w:r>
      <w:r w:rsidR="003C7FB2">
        <w:rPr>
          <w:sz w:val="14"/>
          <w:szCs w:val="14"/>
        </w:rPr>
        <w:t xml:space="preserve"> </w:t>
      </w:r>
      <w:r>
        <w:rPr>
          <w:sz w:val="14"/>
          <w:szCs w:val="14"/>
        </w:rPr>
        <w:t>BMI</w:t>
      </w:r>
      <w:r w:rsidR="003C7FB2">
        <w:rPr>
          <w:sz w:val="14"/>
          <w:szCs w:val="14"/>
        </w:rPr>
        <w:t xml:space="preserve"> </w:t>
      </w:r>
      <w:r>
        <w:rPr>
          <w:sz w:val="14"/>
          <w:szCs w:val="14"/>
        </w:rPr>
        <w:t>=</w:t>
      </w:r>
      <w:r w:rsidR="003C7FB2">
        <w:rPr>
          <w:sz w:val="14"/>
          <w:szCs w:val="14"/>
        </w:rPr>
        <w:t xml:space="preserve"> </w:t>
      </w:r>
      <w:r>
        <w:rPr>
          <w:sz w:val="14"/>
          <w:szCs w:val="14"/>
        </w:rPr>
        <w:t>body</w:t>
      </w:r>
      <w:r w:rsidR="003C7FB2">
        <w:rPr>
          <w:sz w:val="14"/>
          <w:szCs w:val="14"/>
        </w:rPr>
        <w:t xml:space="preserve"> </w:t>
      </w:r>
      <w:r>
        <w:rPr>
          <w:sz w:val="14"/>
          <w:szCs w:val="14"/>
        </w:rPr>
        <w:t>mass</w:t>
      </w:r>
      <w:r w:rsidR="003C7FB2">
        <w:rPr>
          <w:sz w:val="14"/>
          <w:szCs w:val="14"/>
        </w:rPr>
        <w:t xml:space="preserve"> </w:t>
      </w:r>
      <w:r>
        <w:rPr>
          <w:sz w:val="14"/>
          <w:szCs w:val="14"/>
        </w:rPr>
        <w:t>index</w:t>
      </w:r>
      <w:r w:rsidR="003C7FB2">
        <w:rPr>
          <w:sz w:val="14"/>
          <w:szCs w:val="14"/>
        </w:rPr>
        <w:t xml:space="preserve"> </w:t>
      </w:r>
      <w:r>
        <w:rPr>
          <w:sz w:val="14"/>
          <w:szCs w:val="14"/>
        </w:rPr>
        <w:t>and</w:t>
      </w:r>
      <w:r w:rsidR="003C7FB2">
        <w:rPr>
          <w:sz w:val="14"/>
          <w:szCs w:val="14"/>
        </w:rPr>
        <w:t xml:space="preserve"> </w:t>
      </w:r>
      <w:r>
        <w:rPr>
          <w:sz w:val="14"/>
          <w:szCs w:val="14"/>
        </w:rPr>
        <w:t>was</w:t>
      </w:r>
      <w:r w:rsidR="003C7FB2">
        <w:rPr>
          <w:sz w:val="14"/>
          <w:szCs w:val="14"/>
        </w:rPr>
        <w:t xml:space="preserve"> </w:t>
      </w:r>
      <w:r>
        <w:rPr>
          <w:sz w:val="14"/>
          <w:szCs w:val="14"/>
        </w:rPr>
        <w:t>measured</w:t>
      </w:r>
      <w:r w:rsidR="003C7FB2">
        <w:rPr>
          <w:sz w:val="14"/>
          <w:szCs w:val="14"/>
        </w:rPr>
        <w:t xml:space="preserve"> </w:t>
      </w:r>
      <w:r>
        <w:rPr>
          <w:sz w:val="14"/>
          <w:szCs w:val="14"/>
        </w:rPr>
        <w:t>objectively</w:t>
      </w:r>
      <w:r w:rsidR="003C7FB2">
        <w:rPr>
          <w:sz w:val="14"/>
          <w:szCs w:val="14"/>
        </w:rPr>
        <w:t xml:space="preserve"> </w:t>
      </w:r>
      <w:r>
        <w:rPr>
          <w:sz w:val="14"/>
          <w:szCs w:val="14"/>
        </w:rPr>
        <w:t>at</w:t>
      </w:r>
      <w:r w:rsidR="003C7FB2">
        <w:rPr>
          <w:sz w:val="14"/>
          <w:szCs w:val="14"/>
        </w:rPr>
        <w:t xml:space="preserve"> </w:t>
      </w:r>
      <w:r>
        <w:rPr>
          <w:sz w:val="14"/>
          <w:szCs w:val="14"/>
        </w:rPr>
        <w:t>one</w:t>
      </w:r>
      <w:r w:rsidR="003C7FB2">
        <w:rPr>
          <w:sz w:val="14"/>
          <w:szCs w:val="14"/>
        </w:rPr>
        <w:t xml:space="preserve"> </w:t>
      </w:r>
      <w:r>
        <w:rPr>
          <w:sz w:val="14"/>
          <w:szCs w:val="14"/>
        </w:rPr>
        <w:t>of</w:t>
      </w:r>
      <w:r w:rsidR="003C7FB2">
        <w:rPr>
          <w:sz w:val="14"/>
          <w:szCs w:val="14"/>
        </w:rPr>
        <w:t xml:space="preserve"> </w:t>
      </w:r>
      <w:r>
        <w:rPr>
          <w:sz w:val="14"/>
          <w:szCs w:val="14"/>
        </w:rPr>
        <w:t>three</w:t>
      </w:r>
      <w:r w:rsidR="003C7FB2">
        <w:rPr>
          <w:sz w:val="14"/>
          <w:szCs w:val="14"/>
        </w:rPr>
        <w:t xml:space="preserve"> </w:t>
      </w:r>
      <w:r>
        <w:rPr>
          <w:sz w:val="14"/>
          <w:szCs w:val="14"/>
        </w:rPr>
        <w:t>research</w:t>
      </w:r>
      <w:r w:rsidR="003C7FB2">
        <w:rPr>
          <w:sz w:val="14"/>
          <w:szCs w:val="14"/>
        </w:rPr>
        <w:t xml:space="preserve"> </w:t>
      </w:r>
      <w:r w:rsidR="00B71669">
        <w:rPr>
          <w:sz w:val="14"/>
          <w:szCs w:val="14"/>
        </w:rPr>
        <w:t>facilities; study population from Cambridgeshire, UK (2005-15).</w:t>
      </w:r>
    </w:p>
    <w:p w14:paraId="04C37A15" w14:textId="77777777" w:rsidR="00F971D8" w:rsidRDefault="00F971D8" w:rsidP="00F971D8">
      <w:pPr>
        <w:rPr>
          <w:sz w:val="16"/>
          <w:szCs w:val="16"/>
        </w:rPr>
      </w:pPr>
      <w:r>
        <w:rPr>
          <w:sz w:val="16"/>
          <w:szCs w:val="16"/>
        </w:rPr>
        <w:br w:type="page"/>
      </w:r>
    </w:p>
    <w:p w14:paraId="088A8AD0" w14:textId="2B4B13F8" w:rsidR="00F971D8" w:rsidRPr="00136D4E" w:rsidRDefault="00F971D8" w:rsidP="00F971D8">
      <w:pPr>
        <w:spacing w:after="0" w:line="240" w:lineRule="auto"/>
        <w:rPr>
          <w:b/>
        </w:rPr>
      </w:pPr>
      <w:r>
        <w:rPr>
          <w:b/>
        </w:rPr>
        <w:t>Table</w:t>
      </w:r>
      <w:r w:rsidR="003C7FB2">
        <w:rPr>
          <w:b/>
        </w:rPr>
        <w:t xml:space="preserve"> </w:t>
      </w:r>
      <w:r>
        <w:rPr>
          <w:b/>
        </w:rPr>
        <w:t>2</w:t>
      </w:r>
      <w:r w:rsidRPr="00136D4E">
        <w:rPr>
          <w:b/>
        </w:rPr>
        <w:t>:</w:t>
      </w:r>
      <w:r w:rsidR="003C7FB2">
        <w:rPr>
          <w:b/>
        </w:rPr>
        <w:t xml:space="preserve"> </w:t>
      </w:r>
      <w:r w:rsidRPr="00136D4E">
        <w:rPr>
          <w:b/>
        </w:rPr>
        <w:t>Associations</w:t>
      </w:r>
      <w:r w:rsidR="003C7FB2">
        <w:rPr>
          <w:b/>
        </w:rPr>
        <w:t xml:space="preserve"> </w:t>
      </w:r>
      <w:r w:rsidRPr="00136D4E">
        <w:rPr>
          <w:b/>
        </w:rPr>
        <w:t>between</w:t>
      </w:r>
      <w:r w:rsidR="003C7FB2">
        <w:rPr>
          <w:b/>
        </w:rPr>
        <w:t xml:space="preserve"> </w:t>
      </w:r>
      <w:r>
        <w:rPr>
          <w:b/>
        </w:rPr>
        <w:t>active</w:t>
      </w:r>
      <w:r w:rsidR="003C7FB2">
        <w:rPr>
          <w:b/>
        </w:rPr>
        <w:t xml:space="preserve"> </w:t>
      </w:r>
      <w:r w:rsidRPr="00136D4E">
        <w:rPr>
          <w:b/>
        </w:rPr>
        <w:t>commuting</w:t>
      </w:r>
      <w:r w:rsidR="003C7FB2">
        <w:rPr>
          <w:b/>
        </w:rPr>
        <w:t xml:space="preserve"> </w:t>
      </w:r>
      <w:r w:rsidRPr="00136D4E">
        <w:rPr>
          <w:b/>
        </w:rPr>
        <w:t>and</w:t>
      </w:r>
      <w:r w:rsidR="003C7FB2">
        <w:rPr>
          <w:b/>
        </w:rPr>
        <w:t xml:space="preserve"> </w:t>
      </w:r>
      <w:r w:rsidRPr="00136D4E">
        <w:rPr>
          <w:b/>
        </w:rPr>
        <w:t>percentage</w:t>
      </w:r>
      <w:r w:rsidR="003C7FB2">
        <w:rPr>
          <w:b/>
        </w:rPr>
        <w:t xml:space="preserve"> </w:t>
      </w:r>
      <w:r w:rsidRPr="00136D4E">
        <w:rPr>
          <w:b/>
        </w:rPr>
        <w:t>body</w:t>
      </w:r>
      <w:r w:rsidR="003C7FB2">
        <w:rPr>
          <w:b/>
        </w:rPr>
        <w:t xml:space="preserve"> </w:t>
      </w:r>
      <w:r w:rsidRPr="00136D4E">
        <w:rPr>
          <w:b/>
        </w:rPr>
        <w:t>fat</w:t>
      </w:r>
      <w:r w:rsidR="003C7FB2">
        <w:rPr>
          <w:b/>
        </w:rPr>
        <w:t xml:space="preserve"> </w:t>
      </w:r>
      <w:r>
        <w:rPr>
          <w:b/>
        </w:rPr>
        <w:t>stratified</w:t>
      </w:r>
      <w:r w:rsidR="003C7FB2">
        <w:rPr>
          <w:b/>
        </w:rPr>
        <w:t xml:space="preserve"> </w:t>
      </w:r>
      <w:r>
        <w:rPr>
          <w:b/>
        </w:rPr>
        <w:t>by</w:t>
      </w:r>
      <w:r w:rsidR="003C7FB2">
        <w:rPr>
          <w:b/>
        </w:rPr>
        <w:t xml:space="preserve"> </w:t>
      </w:r>
      <w:r>
        <w:rPr>
          <w:b/>
        </w:rPr>
        <w:t>home-work</w:t>
      </w:r>
      <w:r w:rsidR="003C7FB2">
        <w:rPr>
          <w:b/>
        </w:rPr>
        <w:t xml:space="preserve"> </w:t>
      </w:r>
      <w:r>
        <w:rPr>
          <w:b/>
        </w:rPr>
        <w:t>distance</w:t>
      </w:r>
      <w:r w:rsidR="003C7FB2">
        <w:rPr>
          <w:b/>
        </w:rPr>
        <w:t xml:space="preserve"> </w:t>
      </w:r>
      <w:r>
        <w:rPr>
          <w:b/>
        </w:rPr>
        <w:t>and</w:t>
      </w:r>
      <w:r w:rsidR="003C7FB2">
        <w:rPr>
          <w:b/>
        </w:rPr>
        <w:t xml:space="preserve"> </w:t>
      </w:r>
      <w:r>
        <w:rPr>
          <w:b/>
        </w:rPr>
        <w:t>by</w:t>
      </w:r>
      <w:r w:rsidR="003C7FB2">
        <w:rPr>
          <w:b/>
        </w:rPr>
        <w:t xml:space="preserve"> </w:t>
      </w:r>
      <w:r>
        <w:rPr>
          <w:b/>
        </w:rPr>
        <w:t>sex</w:t>
      </w:r>
      <w:r w:rsidR="003C7FB2">
        <w:rPr>
          <w:b/>
        </w:rPr>
        <w:t xml:space="preserve"> </w:t>
      </w:r>
      <w:r>
        <w:rPr>
          <w:b/>
        </w:rPr>
        <w:t>(n=7,680)</w:t>
      </w:r>
    </w:p>
    <w:tbl>
      <w:tblPr>
        <w:tblStyle w:val="TableGrid"/>
        <w:tblW w:w="9351" w:type="dxa"/>
        <w:tblLook w:val="04A0" w:firstRow="1" w:lastRow="0" w:firstColumn="1" w:lastColumn="0" w:noHBand="0" w:noVBand="1"/>
      </w:tblPr>
      <w:tblGrid>
        <w:gridCol w:w="1857"/>
        <w:gridCol w:w="1871"/>
        <w:gridCol w:w="1848"/>
        <w:gridCol w:w="1848"/>
        <w:gridCol w:w="1927"/>
      </w:tblGrid>
      <w:tr w:rsidR="00F971D8" w14:paraId="3F3C2ABF" w14:textId="77777777" w:rsidTr="00D9387F">
        <w:tc>
          <w:tcPr>
            <w:tcW w:w="1857" w:type="dxa"/>
          </w:tcPr>
          <w:p w14:paraId="45FC13B2" w14:textId="77777777" w:rsidR="00F971D8" w:rsidRPr="00F71324" w:rsidRDefault="00F971D8" w:rsidP="00D9387F">
            <w:pPr>
              <w:rPr>
                <w:b/>
                <w:sz w:val="18"/>
                <w:szCs w:val="18"/>
              </w:rPr>
            </w:pPr>
          </w:p>
        </w:tc>
        <w:tc>
          <w:tcPr>
            <w:tcW w:w="1871" w:type="dxa"/>
          </w:tcPr>
          <w:p w14:paraId="728C6E1A" w14:textId="77777777" w:rsidR="00F971D8" w:rsidRPr="00F71324" w:rsidRDefault="00F971D8" w:rsidP="00D9387F">
            <w:pPr>
              <w:rPr>
                <w:b/>
                <w:sz w:val="18"/>
                <w:szCs w:val="18"/>
              </w:rPr>
            </w:pPr>
            <w:r w:rsidRPr="00F71324">
              <w:rPr>
                <w:b/>
                <w:sz w:val="18"/>
                <w:szCs w:val="18"/>
              </w:rPr>
              <w:t>Unadjusted</w:t>
            </w:r>
          </w:p>
        </w:tc>
        <w:tc>
          <w:tcPr>
            <w:tcW w:w="1848" w:type="dxa"/>
          </w:tcPr>
          <w:p w14:paraId="1068BE81" w14:textId="7E767F22" w:rsidR="00F971D8" w:rsidRPr="00F71324" w:rsidRDefault="00F971D8" w:rsidP="00D9387F">
            <w:pPr>
              <w:rPr>
                <w:b/>
                <w:sz w:val="18"/>
                <w:szCs w:val="18"/>
              </w:rPr>
            </w:pPr>
            <w:r w:rsidRPr="00F71324">
              <w:rPr>
                <w:b/>
                <w:sz w:val="18"/>
                <w:szCs w:val="18"/>
              </w:rPr>
              <w:t>Model</w:t>
            </w:r>
            <w:r w:rsidR="003C7FB2">
              <w:rPr>
                <w:b/>
                <w:sz w:val="18"/>
                <w:szCs w:val="18"/>
              </w:rPr>
              <w:t xml:space="preserve"> </w:t>
            </w:r>
            <w:r w:rsidRPr="00F71324">
              <w:rPr>
                <w:b/>
                <w:sz w:val="18"/>
                <w:szCs w:val="18"/>
              </w:rPr>
              <w:t>A</w:t>
            </w:r>
          </w:p>
        </w:tc>
        <w:tc>
          <w:tcPr>
            <w:tcW w:w="1848" w:type="dxa"/>
          </w:tcPr>
          <w:p w14:paraId="1D611370" w14:textId="28BE0093" w:rsidR="00F971D8" w:rsidRPr="00F71324" w:rsidRDefault="00F971D8" w:rsidP="00D9387F">
            <w:pPr>
              <w:rPr>
                <w:b/>
                <w:sz w:val="18"/>
                <w:szCs w:val="18"/>
              </w:rPr>
            </w:pPr>
            <w:r w:rsidRPr="00F71324">
              <w:rPr>
                <w:b/>
                <w:sz w:val="18"/>
                <w:szCs w:val="18"/>
              </w:rPr>
              <w:t>Model</w:t>
            </w:r>
            <w:r w:rsidR="003C7FB2">
              <w:rPr>
                <w:b/>
                <w:sz w:val="18"/>
                <w:szCs w:val="18"/>
              </w:rPr>
              <w:t xml:space="preserve"> </w:t>
            </w:r>
            <w:r w:rsidRPr="00F71324">
              <w:rPr>
                <w:b/>
                <w:sz w:val="18"/>
                <w:szCs w:val="18"/>
              </w:rPr>
              <w:t>B</w:t>
            </w:r>
          </w:p>
        </w:tc>
        <w:tc>
          <w:tcPr>
            <w:tcW w:w="1927" w:type="dxa"/>
          </w:tcPr>
          <w:p w14:paraId="3033687C" w14:textId="65C08B6E" w:rsidR="00F971D8" w:rsidRPr="00F71324" w:rsidRDefault="00F971D8" w:rsidP="00D9387F">
            <w:pPr>
              <w:rPr>
                <w:b/>
                <w:sz w:val="18"/>
                <w:szCs w:val="18"/>
              </w:rPr>
            </w:pPr>
            <w:r>
              <w:rPr>
                <w:b/>
                <w:sz w:val="18"/>
                <w:szCs w:val="18"/>
              </w:rPr>
              <w:t>Model</w:t>
            </w:r>
            <w:r w:rsidR="003C7FB2">
              <w:rPr>
                <w:b/>
                <w:sz w:val="18"/>
                <w:szCs w:val="18"/>
              </w:rPr>
              <w:t xml:space="preserve"> </w:t>
            </w:r>
            <w:r>
              <w:rPr>
                <w:b/>
                <w:sz w:val="18"/>
                <w:szCs w:val="18"/>
              </w:rPr>
              <w:t>B’</w:t>
            </w:r>
          </w:p>
        </w:tc>
      </w:tr>
      <w:tr w:rsidR="00F971D8" w14:paraId="6809E530" w14:textId="77777777" w:rsidTr="00D9387F">
        <w:tc>
          <w:tcPr>
            <w:tcW w:w="7424" w:type="dxa"/>
            <w:gridSpan w:val="4"/>
            <w:vAlign w:val="center"/>
          </w:tcPr>
          <w:p w14:paraId="0240C917" w14:textId="2083FE1D" w:rsidR="00F971D8" w:rsidRPr="00F71324" w:rsidRDefault="00F971D8" w:rsidP="00D9387F">
            <w:pPr>
              <w:rPr>
                <w:b/>
                <w:sz w:val="18"/>
                <w:szCs w:val="18"/>
              </w:rPr>
            </w:pPr>
            <w:r>
              <w:rPr>
                <w:b/>
                <w:bCs/>
                <w:color w:val="000000"/>
                <w:sz w:val="18"/>
                <w:szCs w:val="18"/>
              </w:rPr>
              <w:t>Participants</w:t>
            </w:r>
            <w:r w:rsidR="003C7FB2">
              <w:rPr>
                <w:b/>
                <w:bCs/>
                <w:color w:val="000000"/>
                <w:sz w:val="18"/>
                <w:szCs w:val="18"/>
              </w:rPr>
              <w:t xml:space="preserve"> </w:t>
            </w:r>
            <w:r>
              <w:rPr>
                <w:b/>
                <w:bCs/>
                <w:color w:val="000000"/>
                <w:sz w:val="18"/>
                <w:szCs w:val="18"/>
              </w:rPr>
              <w:t>living</w:t>
            </w:r>
            <w:r w:rsidR="003C7FB2">
              <w:rPr>
                <w:b/>
                <w:bCs/>
                <w:color w:val="000000"/>
                <w:sz w:val="18"/>
                <w:szCs w:val="18"/>
              </w:rPr>
              <w:t xml:space="preserve"> </w:t>
            </w:r>
            <w:r>
              <w:rPr>
                <w:b/>
                <w:bCs/>
                <w:color w:val="000000"/>
                <w:sz w:val="18"/>
                <w:szCs w:val="18"/>
              </w:rPr>
              <w:t>within</w:t>
            </w:r>
            <w:r w:rsidR="003C7FB2">
              <w:rPr>
                <w:b/>
                <w:bCs/>
                <w:color w:val="000000"/>
                <w:sz w:val="18"/>
                <w:szCs w:val="18"/>
              </w:rPr>
              <w:t xml:space="preserve"> </w:t>
            </w:r>
            <w:r>
              <w:rPr>
                <w:b/>
                <w:bCs/>
                <w:color w:val="000000"/>
                <w:sz w:val="18"/>
                <w:szCs w:val="18"/>
              </w:rPr>
              <w:t>five</w:t>
            </w:r>
            <w:r w:rsidR="003C7FB2">
              <w:rPr>
                <w:b/>
                <w:bCs/>
                <w:color w:val="000000"/>
                <w:sz w:val="18"/>
                <w:szCs w:val="18"/>
              </w:rPr>
              <w:t xml:space="preserve"> </w:t>
            </w:r>
            <w:r>
              <w:rPr>
                <w:b/>
                <w:bCs/>
                <w:color w:val="000000"/>
                <w:sz w:val="18"/>
                <w:szCs w:val="18"/>
              </w:rPr>
              <w:t>miles</w:t>
            </w:r>
            <w:r w:rsidR="003C7FB2">
              <w:rPr>
                <w:b/>
                <w:bCs/>
                <w:color w:val="000000"/>
                <w:sz w:val="18"/>
                <w:szCs w:val="18"/>
              </w:rPr>
              <w:t xml:space="preserve"> </w:t>
            </w:r>
            <w:r>
              <w:rPr>
                <w:b/>
                <w:bCs/>
                <w:color w:val="000000"/>
                <w:sz w:val="18"/>
                <w:szCs w:val="18"/>
              </w:rPr>
              <w:t>of</w:t>
            </w:r>
            <w:r w:rsidR="003C7FB2">
              <w:rPr>
                <w:b/>
                <w:bCs/>
                <w:color w:val="000000"/>
                <w:sz w:val="18"/>
                <w:szCs w:val="18"/>
              </w:rPr>
              <w:t xml:space="preserve"> </w:t>
            </w:r>
            <w:r>
              <w:rPr>
                <w:b/>
                <w:bCs/>
                <w:color w:val="000000"/>
                <w:sz w:val="18"/>
                <w:szCs w:val="18"/>
              </w:rPr>
              <w:t>work</w:t>
            </w:r>
            <w:r w:rsidR="003C7FB2">
              <w:rPr>
                <w:b/>
                <w:bCs/>
                <w:color w:val="000000"/>
                <w:sz w:val="18"/>
                <w:szCs w:val="18"/>
              </w:rPr>
              <w:t xml:space="preserve"> </w:t>
            </w:r>
            <w:r>
              <w:rPr>
                <w:b/>
                <w:bCs/>
                <w:color w:val="000000"/>
                <w:sz w:val="18"/>
                <w:szCs w:val="18"/>
              </w:rPr>
              <w:t>(n=3267</w:t>
            </w:r>
            <w:r w:rsidRPr="00F71324">
              <w:rPr>
                <w:b/>
                <w:bCs/>
                <w:color w:val="000000"/>
                <w:sz w:val="18"/>
                <w:szCs w:val="18"/>
              </w:rPr>
              <w:t>)</w:t>
            </w:r>
          </w:p>
        </w:tc>
        <w:tc>
          <w:tcPr>
            <w:tcW w:w="1927" w:type="dxa"/>
          </w:tcPr>
          <w:p w14:paraId="0A6F39D2" w14:textId="77777777" w:rsidR="00F971D8" w:rsidRPr="00F71324" w:rsidRDefault="00F971D8" w:rsidP="00D9387F">
            <w:pPr>
              <w:rPr>
                <w:b/>
                <w:bCs/>
                <w:color w:val="000000"/>
                <w:sz w:val="18"/>
                <w:szCs w:val="18"/>
              </w:rPr>
            </w:pPr>
          </w:p>
        </w:tc>
      </w:tr>
      <w:tr w:rsidR="00F971D8" w14:paraId="36218785" w14:textId="77777777" w:rsidTr="00D9387F">
        <w:tc>
          <w:tcPr>
            <w:tcW w:w="1857" w:type="dxa"/>
            <w:vAlign w:val="center"/>
          </w:tcPr>
          <w:p w14:paraId="5EAA403D" w14:textId="74FB2594" w:rsidR="00F971D8" w:rsidRPr="00F71324" w:rsidRDefault="00F971D8" w:rsidP="00D9387F">
            <w:pPr>
              <w:rPr>
                <w:b/>
                <w:sz w:val="18"/>
                <w:szCs w:val="18"/>
              </w:rPr>
            </w:pPr>
            <w:r>
              <w:rPr>
                <w:b/>
                <w:bCs/>
                <w:color w:val="000000"/>
                <w:sz w:val="18"/>
                <w:szCs w:val="18"/>
              </w:rPr>
              <w:t>Women</w:t>
            </w:r>
            <w:r w:rsidR="003C7FB2">
              <w:rPr>
                <w:b/>
                <w:bCs/>
                <w:color w:val="000000"/>
                <w:sz w:val="18"/>
                <w:szCs w:val="18"/>
              </w:rPr>
              <w:t xml:space="preserve"> </w:t>
            </w:r>
            <w:r>
              <w:rPr>
                <w:b/>
                <w:bCs/>
                <w:color w:val="000000"/>
                <w:sz w:val="18"/>
                <w:szCs w:val="18"/>
              </w:rPr>
              <w:t>(n=1999</w:t>
            </w:r>
            <w:r w:rsidRPr="00F71324">
              <w:rPr>
                <w:b/>
                <w:bCs/>
                <w:color w:val="000000"/>
                <w:sz w:val="18"/>
                <w:szCs w:val="18"/>
              </w:rPr>
              <w:t>)</w:t>
            </w:r>
          </w:p>
        </w:tc>
        <w:tc>
          <w:tcPr>
            <w:tcW w:w="1871" w:type="dxa"/>
            <w:vAlign w:val="center"/>
          </w:tcPr>
          <w:p w14:paraId="446F3E99" w14:textId="0A7C8323" w:rsidR="00F971D8" w:rsidRPr="00F71324" w:rsidRDefault="003C7FB2" w:rsidP="00D9387F">
            <w:pPr>
              <w:rPr>
                <w:b/>
                <w:sz w:val="18"/>
                <w:szCs w:val="18"/>
              </w:rPr>
            </w:pPr>
            <w:r>
              <w:rPr>
                <w:b/>
                <w:bCs/>
                <w:color w:val="000000"/>
                <w:sz w:val="18"/>
                <w:szCs w:val="18"/>
              </w:rPr>
              <w:t xml:space="preserve"> </w:t>
            </w:r>
          </w:p>
        </w:tc>
        <w:tc>
          <w:tcPr>
            <w:tcW w:w="1848" w:type="dxa"/>
            <w:vAlign w:val="center"/>
          </w:tcPr>
          <w:p w14:paraId="7AC156A2" w14:textId="00580A78" w:rsidR="00F971D8" w:rsidRPr="00F71324" w:rsidRDefault="003C7FB2" w:rsidP="00D9387F">
            <w:pPr>
              <w:rPr>
                <w:b/>
                <w:sz w:val="18"/>
                <w:szCs w:val="18"/>
              </w:rPr>
            </w:pPr>
            <w:r>
              <w:rPr>
                <w:b/>
                <w:bCs/>
                <w:color w:val="000000"/>
                <w:sz w:val="18"/>
                <w:szCs w:val="18"/>
              </w:rPr>
              <w:t xml:space="preserve"> </w:t>
            </w:r>
          </w:p>
        </w:tc>
        <w:tc>
          <w:tcPr>
            <w:tcW w:w="1848" w:type="dxa"/>
            <w:vAlign w:val="center"/>
          </w:tcPr>
          <w:p w14:paraId="662589FF" w14:textId="3BB9E7D8" w:rsidR="00F971D8" w:rsidRPr="00F71324" w:rsidRDefault="003C7FB2" w:rsidP="00D9387F">
            <w:pPr>
              <w:rPr>
                <w:b/>
                <w:sz w:val="18"/>
                <w:szCs w:val="18"/>
              </w:rPr>
            </w:pPr>
            <w:r>
              <w:rPr>
                <w:b/>
                <w:bCs/>
                <w:color w:val="000000"/>
                <w:sz w:val="18"/>
                <w:szCs w:val="18"/>
              </w:rPr>
              <w:t xml:space="preserve"> </w:t>
            </w:r>
          </w:p>
        </w:tc>
        <w:tc>
          <w:tcPr>
            <w:tcW w:w="1927" w:type="dxa"/>
          </w:tcPr>
          <w:p w14:paraId="492BF34C" w14:textId="77777777" w:rsidR="00F971D8" w:rsidRPr="00F71324" w:rsidRDefault="00F971D8" w:rsidP="00D9387F">
            <w:pPr>
              <w:rPr>
                <w:b/>
                <w:bCs/>
                <w:color w:val="000000"/>
                <w:sz w:val="18"/>
                <w:szCs w:val="18"/>
              </w:rPr>
            </w:pPr>
          </w:p>
        </w:tc>
      </w:tr>
      <w:tr w:rsidR="00F971D8" w14:paraId="5AC82DE2" w14:textId="77777777" w:rsidTr="00D9387F">
        <w:tc>
          <w:tcPr>
            <w:tcW w:w="1857" w:type="dxa"/>
          </w:tcPr>
          <w:p w14:paraId="3F58DC26" w14:textId="4F9EA4F9" w:rsidR="00F971D8" w:rsidRPr="00F71324" w:rsidRDefault="00F971D8" w:rsidP="00D9387F">
            <w:pPr>
              <w:rPr>
                <w:sz w:val="18"/>
                <w:szCs w:val="18"/>
              </w:rPr>
            </w:pPr>
            <w:r w:rsidRPr="00F71324">
              <w:rPr>
                <w:color w:val="000000"/>
                <w:sz w:val="18"/>
                <w:szCs w:val="18"/>
              </w:rPr>
              <w:t>Car</w:t>
            </w:r>
            <w:r w:rsidR="003C7FB2">
              <w:rPr>
                <w:color w:val="000000"/>
                <w:sz w:val="18"/>
                <w:szCs w:val="18"/>
              </w:rPr>
              <w:t xml:space="preserve"> </w:t>
            </w:r>
            <w:r w:rsidRPr="00F71324">
              <w:rPr>
                <w:color w:val="000000"/>
                <w:sz w:val="18"/>
                <w:szCs w:val="18"/>
              </w:rPr>
              <w:t>only</w:t>
            </w:r>
            <w:r w:rsidR="003C7FB2">
              <w:rPr>
                <w:color w:val="000000"/>
                <w:sz w:val="18"/>
                <w:szCs w:val="18"/>
              </w:rPr>
              <w:t xml:space="preserve"> </w:t>
            </w:r>
            <w:r w:rsidRPr="00F71324">
              <w:rPr>
                <w:color w:val="000000"/>
                <w:sz w:val="18"/>
                <w:szCs w:val="18"/>
              </w:rPr>
              <w:t>(reference)</w:t>
            </w:r>
          </w:p>
        </w:tc>
        <w:tc>
          <w:tcPr>
            <w:tcW w:w="1871" w:type="dxa"/>
            <w:vAlign w:val="center"/>
          </w:tcPr>
          <w:p w14:paraId="4F0267AF" w14:textId="6D445A60" w:rsidR="00F971D8" w:rsidRPr="00F71324" w:rsidRDefault="003C7FB2" w:rsidP="00D9387F">
            <w:pPr>
              <w:rPr>
                <w:sz w:val="18"/>
                <w:szCs w:val="18"/>
              </w:rPr>
            </w:pPr>
            <w:r>
              <w:rPr>
                <w:color w:val="000000"/>
                <w:sz w:val="18"/>
                <w:szCs w:val="18"/>
              </w:rPr>
              <w:t xml:space="preserve"> </w:t>
            </w:r>
          </w:p>
        </w:tc>
        <w:tc>
          <w:tcPr>
            <w:tcW w:w="1848" w:type="dxa"/>
            <w:vAlign w:val="center"/>
          </w:tcPr>
          <w:p w14:paraId="2A508229" w14:textId="676D8480" w:rsidR="00F971D8" w:rsidRPr="00F71324" w:rsidRDefault="003C7FB2" w:rsidP="00D9387F">
            <w:pPr>
              <w:rPr>
                <w:sz w:val="18"/>
                <w:szCs w:val="18"/>
              </w:rPr>
            </w:pPr>
            <w:r>
              <w:rPr>
                <w:color w:val="000000"/>
                <w:sz w:val="18"/>
                <w:szCs w:val="18"/>
              </w:rPr>
              <w:t xml:space="preserve"> </w:t>
            </w:r>
          </w:p>
        </w:tc>
        <w:tc>
          <w:tcPr>
            <w:tcW w:w="1848" w:type="dxa"/>
            <w:vAlign w:val="center"/>
          </w:tcPr>
          <w:p w14:paraId="6D9E33B6" w14:textId="4811A594" w:rsidR="00F971D8" w:rsidRPr="00F71324" w:rsidRDefault="003C7FB2" w:rsidP="00D9387F">
            <w:pPr>
              <w:rPr>
                <w:sz w:val="18"/>
                <w:szCs w:val="18"/>
              </w:rPr>
            </w:pPr>
            <w:r>
              <w:rPr>
                <w:color w:val="000000"/>
                <w:sz w:val="18"/>
                <w:szCs w:val="18"/>
              </w:rPr>
              <w:t xml:space="preserve"> </w:t>
            </w:r>
          </w:p>
        </w:tc>
        <w:tc>
          <w:tcPr>
            <w:tcW w:w="1927" w:type="dxa"/>
          </w:tcPr>
          <w:p w14:paraId="6932BEA2" w14:textId="77777777" w:rsidR="00F971D8" w:rsidRPr="00F71324" w:rsidRDefault="00F971D8" w:rsidP="00D9387F">
            <w:pPr>
              <w:rPr>
                <w:color w:val="000000"/>
                <w:sz w:val="18"/>
                <w:szCs w:val="18"/>
              </w:rPr>
            </w:pPr>
          </w:p>
        </w:tc>
      </w:tr>
      <w:tr w:rsidR="00F971D8" w14:paraId="768BAE5B" w14:textId="77777777" w:rsidTr="00D9387F">
        <w:tc>
          <w:tcPr>
            <w:tcW w:w="1857" w:type="dxa"/>
            <w:vAlign w:val="center"/>
          </w:tcPr>
          <w:p w14:paraId="4C95198F" w14:textId="6400080B" w:rsidR="00F971D8" w:rsidRPr="00F71324" w:rsidRDefault="00F971D8" w:rsidP="00D9387F">
            <w:pPr>
              <w:rPr>
                <w:sz w:val="18"/>
                <w:szCs w:val="18"/>
              </w:rPr>
            </w:pPr>
            <w:r w:rsidRPr="00F71324">
              <w:rPr>
                <w:color w:val="000000"/>
                <w:sz w:val="18"/>
                <w:szCs w:val="18"/>
              </w:rPr>
              <w:t>Regular</w:t>
            </w:r>
            <w:r w:rsidR="003C7FB2">
              <w:rPr>
                <w:color w:val="000000"/>
                <w:sz w:val="18"/>
                <w:szCs w:val="18"/>
              </w:rPr>
              <w:t xml:space="preserve"> </w:t>
            </w:r>
            <w:r w:rsidRPr="00F71324">
              <w:rPr>
                <w:color w:val="000000"/>
                <w:sz w:val="18"/>
                <w:szCs w:val="18"/>
              </w:rPr>
              <w:t>walking</w:t>
            </w:r>
          </w:p>
        </w:tc>
        <w:tc>
          <w:tcPr>
            <w:tcW w:w="1871" w:type="dxa"/>
            <w:vAlign w:val="bottom"/>
          </w:tcPr>
          <w:p w14:paraId="0F02505A" w14:textId="6BCB644A" w:rsidR="00F971D8" w:rsidRPr="0011095F" w:rsidRDefault="00F971D8" w:rsidP="00D9387F">
            <w:pPr>
              <w:jc w:val="both"/>
              <w:rPr>
                <w:sz w:val="18"/>
                <w:szCs w:val="18"/>
              </w:rPr>
            </w:pPr>
            <w:r w:rsidRPr="0011095F">
              <w:rPr>
                <w:color w:val="000000"/>
                <w:sz w:val="18"/>
                <w:szCs w:val="18"/>
              </w:rPr>
              <w:t>-0.59</w:t>
            </w:r>
            <w:r w:rsidR="003C7FB2">
              <w:rPr>
                <w:color w:val="000000"/>
                <w:sz w:val="18"/>
                <w:szCs w:val="18"/>
              </w:rPr>
              <w:t xml:space="preserve"> </w:t>
            </w:r>
            <w:r>
              <w:rPr>
                <w:color w:val="000000"/>
                <w:sz w:val="18"/>
                <w:szCs w:val="18"/>
              </w:rPr>
              <w:t>(</w:t>
            </w:r>
            <w:r w:rsidRPr="0011095F">
              <w:rPr>
                <w:color w:val="000000"/>
                <w:sz w:val="18"/>
                <w:szCs w:val="18"/>
              </w:rPr>
              <w:t>-1.44,</w:t>
            </w:r>
            <w:r w:rsidR="003C7FB2">
              <w:rPr>
                <w:color w:val="000000"/>
                <w:sz w:val="18"/>
                <w:szCs w:val="18"/>
              </w:rPr>
              <w:t xml:space="preserve"> </w:t>
            </w:r>
            <w:r w:rsidRPr="0011095F">
              <w:rPr>
                <w:color w:val="000000"/>
                <w:sz w:val="18"/>
                <w:szCs w:val="18"/>
              </w:rPr>
              <w:t>0.25</w:t>
            </w:r>
            <w:r>
              <w:rPr>
                <w:color w:val="000000"/>
                <w:sz w:val="18"/>
                <w:szCs w:val="18"/>
              </w:rPr>
              <w:t>)</w:t>
            </w:r>
          </w:p>
        </w:tc>
        <w:tc>
          <w:tcPr>
            <w:tcW w:w="1848" w:type="dxa"/>
            <w:vAlign w:val="bottom"/>
          </w:tcPr>
          <w:p w14:paraId="66D15885" w14:textId="3C3F90E3" w:rsidR="00F971D8" w:rsidRPr="0011095F" w:rsidRDefault="00F971D8" w:rsidP="00D9387F">
            <w:pPr>
              <w:jc w:val="both"/>
              <w:rPr>
                <w:sz w:val="18"/>
                <w:szCs w:val="18"/>
              </w:rPr>
            </w:pPr>
            <w:r w:rsidRPr="0011095F">
              <w:rPr>
                <w:color w:val="000000"/>
                <w:sz w:val="18"/>
                <w:szCs w:val="18"/>
              </w:rPr>
              <w:t>-0.14</w:t>
            </w:r>
            <w:r w:rsidR="003C7FB2">
              <w:rPr>
                <w:color w:val="000000"/>
                <w:sz w:val="18"/>
                <w:szCs w:val="18"/>
              </w:rPr>
              <w:t xml:space="preserve"> </w:t>
            </w:r>
            <w:r>
              <w:rPr>
                <w:color w:val="000000"/>
                <w:sz w:val="18"/>
                <w:szCs w:val="18"/>
              </w:rPr>
              <w:t>(</w:t>
            </w:r>
            <w:r w:rsidRPr="0011095F">
              <w:rPr>
                <w:color w:val="000000"/>
                <w:sz w:val="18"/>
                <w:szCs w:val="18"/>
              </w:rPr>
              <w:t>-0.95,</w:t>
            </w:r>
            <w:r w:rsidR="003C7FB2">
              <w:rPr>
                <w:color w:val="000000"/>
                <w:sz w:val="18"/>
                <w:szCs w:val="18"/>
              </w:rPr>
              <w:t xml:space="preserve"> </w:t>
            </w:r>
            <w:r w:rsidRPr="0011095F">
              <w:rPr>
                <w:color w:val="000000"/>
                <w:sz w:val="18"/>
                <w:szCs w:val="18"/>
              </w:rPr>
              <w:t>0.66</w:t>
            </w:r>
            <w:r>
              <w:rPr>
                <w:color w:val="000000"/>
                <w:sz w:val="18"/>
                <w:szCs w:val="18"/>
              </w:rPr>
              <w:t>)</w:t>
            </w:r>
          </w:p>
        </w:tc>
        <w:tc>
          <w:tcPr>
            <w:tcW w:w="1848" w:type="dxa"/>
            <w:vAlign w:val="bottom"/>
          </w:tcPr>
          <w:p w14:paraId="083DDFA1" w14:textId="11FF4320" w:rsidR="00F971D8" w:rsidRPr="0011095F" w:rsidRDefault="00F971D8" w:rsidP="00D9387F">
            <w:pPr>
              <w:jc w:val="both"/>
              <w:rPr>
                <w:sz w:val="18"/>
                <w:szCs w:val="18"/>
              </w:rPr>
            </w:pPr>
            <w:r w:rsidRPr="0011095F">
              <w:rPr>
                <w:color w:val="000000"/>
                <w:sz w:val="18"/>
                <w:szCs w:val="18"/>
              </w:rPr>
              <w:t>-0.05</w:t>
            </w:r>
            <w:r w:rsidR="003C7FB2">
              <w:rPr>
                <w:color w:val="000000"/>
                <w:sz w:val="18"/>
                <w:szCs w:val="18"/>
              </w:rPr>
              <w:t xml:space="preserve"> </w:t>
            </w:r>
            <w:r>
              <w:rPr>
                <w:color w:val="000000"/>
                <w:sz w:val="18"/>
                <w:szCs w:val="18"/>
              </w:rPr>
              <w:t>(</w:t>
            </w:r>
            <w:r w:rsidRPr="0011095F">
              <w:rPr>
                <w:color w:val="000000"/>
                <w:sz w:val="18"/>
                <w:szCs w:val="18"/>
              </w:rPr>
              <w:t>-0.94,</w:t>
            </w:r>
            <w:r w:rsidR="003C7FB2">
              <w:rPr>
                <w:color w:val="000000"/>
                <w:sz w:val="18"/>
                <w:szCs w:val="18"/>
              </w:rPr>
              <w:t xml:space="preserve"> </w:t>
            </w:r>
            <w:r w:rsidRPr="0011095F">
              <w:rPr>
                <w:color w:val="000000"/>
                <w:sz w:val="18"/>
                <w:szCs w:val="18"/>
              </w:rPr>
              <w:t>0.85</w:t>
            </w:r>
            <w:r>
              <w:rPr>
                <w:color w:val="000000"/>
                <w:sz w:val="18"/>
                <w:szCs w:val="18"/>
              </w:rPr>
              <w:t>)</w:t>
            </w:r>
          </w:p>
        </w:tc>
        <w:tc>
          <w:tcPr>
            <w:tcW w:w="1927" w:type="dxa"/>
            <w:vAlign w:val="bottom"/>
          </w:tcPr>
          <w:p w14:paraId="48B8D9E3" w14:textId="38912857" w:rsidR="00F971D8" w:rsidRPr="0011095F" w:rsidRDefault="00F971D8" w:rsidP="00D9387F">
            <w:pPr>
              <w:jc w:val="both"/>
              <w:rPr>
                <w:color w:val="000000"/>
                <w:sz w:val="18"/>
                <w:szCs w:val="18"/>
              </w:rPr>
            </w:pPr>
            <w:r w:rsidRPr="0011095F">
              <w:rPr>
                <w:color w:val="000000"/>
                <w:sz w:val="18"/>
                <w:szCs w:val="18"/>
              </w:rPr>
              <w:t>-0.21</w:t>
            </w:r>
            <w:r w:rsidR="003C7FB2">
              <w:rPr>
                <w:color w:val="000000"/>
                <w:sz w:val="18"/>
                <w:szCs w:val="18"/>
              </w:rPr>
              <w:t xml:space="preserve"> </w:t>
            </w:r>
            <w:r>
              <w:rPr>
                <w:color w:val="000000"/>
                <w:sz w:val="18"/>
                <w:szCs w:val="18"/>
              </w:rPr>
              <w:t>(</w:t>
            </w:r>
            <w:r w:rsidRPr="0011095F">
              <w:rPr>
                <w:color w:val="000000"/>
                <w:sz w:val="18"/>
                <w:szCs w:val="18"/>
              </w:rPr>
              <w:t>-0.96,</w:t>
            </w:r>
            <w:r w:rsidR="003C7FB2">
              <w:rPr>
                <w:color w:val="000000"/>
                <w:sz w:val="18"/>
                <w:szCs w:val="18"/>
              </w:rPr>
              <w:t xml:space="preserve"> </w:t>
            </w:r>
            <w:r w:rsidRPr="0011095F">
              <w:rPr>
                <w:color w:val="000000"/>
                <w:sz w:val="18"/>
                <w:szCs w:val="18"/>
              </w:rPr>
              <w:t>0.54</w:t>
            </w:r>
            <w:r>
              <w:rPr>
                <w:color w:val="000000"/>
                <w:sz w:val="18"/>
                <w:szCs w:val="18"/>
              </w:rPr>
              <w:t>)</w:t>
            </w:r>
          </w:p>
        </w:tc>
      </w:tr>
      <w:tr w:rsidR="00F971D8" w14:paraId="31E03473" w14:textId="77777777" w:rsidTr="00D9387F">
        <w:tc>
          <w:tcPr>
            <w:tcW w:w="1857" w:type="dxa"/>
            <w:vAlign w:val="center"/>
          </w:tcPr>
          <w:p w14:paraId="67ACD18B" w14:textId="3602D9BF" w:rsidR="00F971D8" w:rsidRPr="00F71324" w:rsidRDefault="00F971D8" w:rsidP="00D9387F">
            <w:pPr>
              <w:rPr>
                <w:sz w:val="18"/>
                <w:szCs w:val="18"/>
              </w:rPr>
            </w:pPr>
            <w:r w:rsidRPr="00F71324">
              <w:rPr>
                <w:color w:val="000000"/>
                <w:sz w:val="18"/>
                <w:szCs w:val="18"/>
              </w:rPr>
              <w:t>Regular</w:t>
            </w:r>
            <w:r w:rsidR="003C7FB2">
              <w:rPr>
                <w:color w:val="000000"/>
                <w:sz w:val="18"/>
                <w:szCs w:val="18"/>
              </w:rPr>
              <w:t xml:space="preserve"> </w:t>
            </w:r>
            <w:r w:rsidRPr="00F71324">
              <w:rPr>
                <w:color w:val="000000"/>
                <w:sz w:val="18"/>
                <w:szCs w:val="18"/>
              </w:rPr>
              <w:t>cycling</w:t>
            </w:r>
          </w:p>
        </w:tc>
        <w:tc>
          <w:tcPr>
            <w:tcW w:w="1871" w:type="dxa"/>
            <w:vAlign w:val="bottom"/>
          </w:tcPr>
          <w:p w14:paraId="6BEF9E54" w14:textId="06464F75" w:rsidR="00F971D8" w:rsidRPr="0011095F" w:rsidRDefault="00F971D8" w:rsidP="00D9387F">
            <w:pPr>
              <w:jc w:val="both"/>
              <w:rPr>
                <w:sz w:val="18"/>
                <w:szCs w:val="18"/>
              </w:rPr>
            </w:pPr>
            <w:r w:rsidRPr="0011095F">
              <w:rPr>
                <w:color w:val="000000"/>
                <w:sz w:val="18"/>
                <w:szCs w:val="18"/>
              </w:rPr>
              <w:t>-3.01</w:t>
            </w:r>
            <w:r w:rsidR="003C7FB2">
              <w:rPr>
                <w:color w:val="000000"/>
                <w:sz w:val="18"/>
                <w:szCs w:val="18"/>
              </w:rPr>
              <w:t xml:space="preserve"> </w:t>
            </w:r>
            <w:r>
              <w:rPr>
                <w:color w:val="000000"/>
                <w:sz w:val="18"/>
                <w:szCs w:val="18"/>
              </w:rPr>
              <w:t>(</w:t>
            </w:r>
            <w:r w:rsidRPr="0011095F">
              <w:rPr>
                <w:color w:val="000000"/>
                <w:sz w:val="18"/>
                <w:szCs w:val="18"/>
              </w:rPr>
              <w:t>-3.76,</w:t>
            </w:r>
            <w:r w:rsidR="003C7FB2">
              <w:rPr>
                <w:color w:val="000000"/>
                <w:sz w:val="18"/>
                <w:szCs w:val="18"/>
              </w:rPr>
              <w:t xml:space="preserve"> </w:t>
            </w:r>
            <w:r w:rsidRPr="0011095F">
              <w:rPr>
                <w:color w:val="000000"/>
                <w:sz w:val="18"/>
                <w:szCs w:val="18"/>
              </w:rPr>
              <w:t>-2.26</w:t>
            </w:r>
            <w:r>
              <w:rPr>
                <w:color w:val="000000"/>
                <w:sz w:val="18"/>
                <w:szCs w:val="18"/>
              </w:rPr>
              <w:t>)</w:t>
            </w:r>
          </w:p>
        </w:tc>
        <w:tc>
          <w:tcPr>
            <w:tcW w:w="1848" w:type="dxa"/>
            <w:vAlign w:val="bottom"/>
          </w:tcPr>
          <w:p w14:paraId="6299FEBD" w14:textId="5262F4D3" w:rsidR="00F971D8" w:rsidRPr="0011095F" w:rsidRDefault="00F971D8" w:rsidP="00D9387F">
            <w:pPr>
              <w:jc w:val="both"/>
              <w:rPr>
                <w:sz w:val="18"/>
                <w:szCs w:val="18"/>
              </w:rPr>
            </w:pPr>
            <w:r w:rsidRPr="0011095F">
              <w:rPr>
                <w:color w:val="000000"/>
                <w:sz w:val="18"/>
                <w:szCs w:val="18"/>
              </w:rPr>
              <w:t>-2.08</w:t>
            </w:r>
            <w:r w:rsidR="003C7FB2">
              <w:rPr>
                <w:color w:val="000000"/>
                <w:sz w:val="18"/>
                <w:szCs w:val="18"/>
              </w:rPr>
              <w:t xml:space="preserve"> </w:t>
            </w:r>
            <w:r>
              <w:rPr>
                <w:color w:val="000000"/>
                <w:sz w:val="18"/>
                <w:szCs w:val="18"/>
              </w:rPr>
              <w:t>(</w:t>
            </w:r>
            <w:r w:rsidRPr="0011095F">
              <w:rPr>
                <w:color w:val="000000"/>
                <w:sz w:val="18"/>
                <w:szCs w:val="18"/>
              </w:rPr>
              <w:t>-2.85,</w:t>
            </w:r>
            <w:r w:rsidR="003C7FB2">
              <w:rPr>
                <w:color w:val="000000"/>
                <w:sz w:val="18"/>
                <w:szCs w:val="18"/>
              </w:rPr>
              <w:t xml:space="preserve"> </w:t>
            </w:r>
            <w:r w:rsidRPr="0011095F">
              <w:rPr>
                <w:color w:val="000000"/>
                <w:sz w:val="18"/>
                <w:szCs w:val="18"/>
              </w:rPr>
              <w:t>-1.30</w:t>
            </w:r>
            <w:r>
              <w:rPr>
                <w:color w:val="000000"/>
                <w:sz w:val="18"/>
                <w:szCs w:val="18"/>
              </w:rPr>
              <w:t>)</w:t>
            </w:r>
          </w:p>
        </w:tc>
        <w:tc>
          <w:tcPr>
            <w:tcW w:w="1848" w:type="dxa"/>
            <w:vAlign w:val="bottom"/>
          </w:tcPr>
          <w:p w14:paraId="48CE8D2C" w14:textId="39571AC5" w:rsidR="00F971D8" w:rsidRPr="0011095F" w:rsidRDefault="00F971D8" w:rsidP="00D9387F">
            <w:pPr>
              <w:jc w:val="both"/>
              <w:rPr>
                <w:sz w:val="18"/>
                <w:szCs w:val="18"/>
              </w:rPr>
            </w:pPr>
            <w:r w:rsidRPr="0011095F">
              <w:rPr>
                <w:color w:val="000000"/>
                <w:sz w:val="18"/>
                <w:szCs w:val="18"/>
              </w:rPr>
              <w:t>-1.74</w:t>
            </w:r>
            <w:r w:rsidR="003C7FB2">
              <w:rPr>
                <w:color w:val="000000"/>
                <w:sz w:val="18"/>
                <w:szCs w:val="18"/>
              </w:rPr>
              <w:t xml:space="preserve"> </w:t>
            </w:r>
            <w:r>
              <w:rPr>
                <w:color w:val="000000"/>
                <w:sz w:val="18"/>
                <w:szCs w:val="18"/>
              </w:rPr>
              <w:t>(</w:t>
            </w:r>
            <w:r w:rsidRPr="0011095F">
              <w:rPr>
                <w:color w:val="000000"/>
                <w:sz w:val="18"/>
                <w:szCs w:val="18"/>
              </w:rPr>
              <w:t>-2.72,</w:t>
            </w:r>
            <w:r w:rsidR="003C7FB2">
              <w:rPr>
                <w:color w:val="000000"/>
                <w:sz w:val="18"/>
                <w:szCs w:val="18"/>
              </w:rPr>
              <w:t xml:space="preserve"> </w:t>
            </w:r>
            <w:r w:rsidRPr="0011095F">
              <w:rPr>
                <w:color w:val="000000"/>
                <w:sz w:val="18"/>
                <w:szCs w:val="18"/>
              </w:rPr>
              <w:t>-0.76</w:t>
            </w:r>
            <w:r>
              <w:rPr>
                <w:color w:val="000000"/>
                <w:sz w:val="18"/>
                <w:szCs w:val="18"/>
              </w:rPr>
              <w:t>)</w:t>
            </w:r>
          </w:p>
        </w:tc>
        <w:tc>
          <w:tcPr>
            <w:tcW w:w="1927" w:type="dxa"/>
            <w:vAlign w:val="bottom"/>
          </w:tcPr>
          <w:p w14:paraId="370ABC22" w14:textId="5DAAC26B" w:rsidR="00F971D8" w:rsidRPr="0011095F" w:rsidRDefault="00F971D8" w:rsidP="00D9387F">
            <w:pPr>
              <w:jc w:val="both"/>
              <w:rPr>
                <w:color w:val="000000"/>
                <w:sz w:val="18"/>
                <w:szCs w:val="18"/>
              </w:rPr>
            </w:pPr>
            <w:r w:rsidRPr="0011095F">
              <w:rPr>
                <w:color w:val="000000"/>
                <w:sz w:val="18"/>
                <w:szCs w:val="18"/>
              </w:rPr>
              <w:t>-1.37</w:t>
            </w:r>
            <w:r w:rsidR="003C7FB2">
              <w:rPr>
                <w:color w:val="000000"/>
                <w:sz w:val="18"/>
                <w:szCs w:val="18"/>
              </w:rPr>
              <w:t xml:space="preserve"> </w:t>
            </w:r>
            <w:r>
              <w:rPr>
                <w:color w:val="000000"/>
                <w:sz w:val="18"/>
                <w:szCs w:val="18"/>
              </w:rPr>
              <w:t>(</w:t>
            </w:r>
            <w:r w:rsidRPr="0011095F">
              <w:rPr>
                <w:color w:val="000000"/>
                <w:sz w:val="18"/>
                <w:szCs w:val="18"/>
              </w:rPr>
              <w:t>-2.10,</w:t>
            </w:r>
            <w:r w:rsidR="003C7FB2">
              <w:rPr>
                <w:color w:val="000000"/>
                <w:sz w:val="18"/>
                <w:szCs w:val="18"/>
              </w:rPr>
              <w:t xml:space="preserve"> </w:t>
            </w:r>
            <w:r w:rsidRPr="0011095F">
              <w:rPr>
                <w:color w:val="000000"/>
                <w:sz w:val="18"/>
                <w:szCs w:val="18"/>
              </w:rPr>
              <w:t>-0.64</w:t>
            </w:r>
            <w:r>
              <w:rPr>
                <w:color w:val="000000"/>
                <w:sz w:val="18"/>
                <w:szCs w:val="18"/>
              </w:rPr>
              <w:t>)</w:t>
            </w:r>
          </w:p>
        </w:tc>
      </w:tr>
      <w:tr w:rsidR="00F971D8" w14:paraId="0041A03A" w14:textId="77777777" w:rsidTr="00D9387F">
        <w:tc>
          <w:tcPr>
            <w:tcW w:w="1857" w:type="dxa"/>
            <w:vAlign w:val="center"/>
          </w:tcPr>
          <w:p w14:paraId="0149004A" w14:textId="14A0A61C" w:rsidR="00F971D8" w:rsidRPr="00F71324" w:rsidRDefault="00F971D8" w:rsidP="00D9387F">
            <w:pPr>
              <w:rPr>
                <w:sz w:val="18"/>
                <w:szCs w:val="18"/>
              </w:rPr>
            </w:pPr>
            <w:r w:rsidRPr="00F71324">
              <w:rPr>
                <w:color w:val="000000"/>
                <w:sz w:val="18"/>
                <w:szCs w:val="18"/>
              </w:rPr>
              <w:t>Car</w:t>
            </w:r>
            <w:r w:rsidR="003C7FB2">
              <w:rPr>
                <w:color w:val="000000"/>
                <w:sz w:val="18"/>
                <w:szCs w:val="18"/>
              </w:rPr>
              <w:t xml:space="preserve"> </w:t>
            </w:r>
            <w:r w:rsidRPr="00F71324">
              <w:rPr>
                <w:color w:val="000000"/>
                <w:sz w:val="18"/>
                <w:szCs w:val="18"/>
              </w:rPr>
              <w:t>with</w:t>
            </w:r>
            <w:r w:rsidR="003C7FB2">
              <w:rPr>
                <w:color w:val="000000"/>
                <w:sz w:val="18"/>
                <w:szCs w:val="18"/>
              </w:rPr>
              <w:t xml:space="preserve"> </w:t>
            </w:r>
            <w:r w:rsidRPr="00F71324">
              <w:rPr>
                <w:color w:val="000000"/>
                <w:sz w:val="18"/>
                <w:szCs w:val="18"/>
              </w:rPr>
              <w:t>occasional</w:t>
            </w:r>
            <w:r w:rsidR="003C7FB2">
              <w:rPr>
                <w:color w:val="000000"/>
                <w:sz w:val="18"/>
                <w:szCs w:val="18"/>
              </w:rPr>
              <w:t xml:space="preserve"> </w:t>
            </w:r>
            <w:r w:rsidRPr="00F71324">
              <w:rPr>
                <w:color w:val="000000"/>
                <w:sz w:val="18"/>
                <w:szCs w:val="18"/>
              </w:rPr>
              <w:t>walking</w:t>
            </w:r>
          </w:p>
        </w:tc>
        <w:tc>
          <w:tcPr>
            <w:tcW w:w="1871" w:type="dxa"/>
            <w:vAlign w:val="bottom"/>
          </w:tcPr>
          <w:p w14:paraId="689CC88F" w14:textId="7AF16E51" w:rsidR="00F971D8" w:rsidRPr="0011095F" w:rsidRDefault="00F971D8" w:rsidP="00D9387F">
            <w:pPr>
              <w:jc w:val="both"/>
              <w:rPr>
                <w:sz w:val="18"/>
                <w:szCs w:val="18"/>
              </w:rPr>
            </w:pPr>
            <w:r w:rsidRPr="0011095F">
              <w:rPr>
                <w:color w:val="000000"/>
                <w:sz w:val="18"/>
                <w:szCs w:val="18"/>
              </w:rPr>
              <w:t>1.73</w:t>
            </w:r>
            <w:r w:rsidR="003C7FB2">
              <w:rPr>
                <w:color w:val="000000"/>
                <w:sz w:val="18"/>
                <w:szCs w:val="18"/>
              </w:rPr>
              <w:t xml:space="preserve"> </w:t>
            </w:r>
            <w:r>
              <w:rPr>
                <w:color w:val="000000"/>
                <w:sz w:val="18"/>
                <w:szCs w:val="18"/>
              </w:rPr>
              <w:t>(</w:t>
            </w:r>
            <w:r w:rsidRPr="0011095F">
              <w:rPr>
                <w:color w:val="000000"/>
                <w:sz w:val="18"/>
                <w:szCs w:val="18"/>
              </w:rPr>
              <w:t>0.53,</w:t>
            </w:r>
            <w:r w:rsidR="003C7FB2">
              <w:rPr>
                <w:color w:val="000000"/>
                <w:sz w:val="18"/>
                <w:szCs w:val="18"/>
              </w:rPr>
              <w:t xml:space="preserve"> </w:t>
            </w:r>
            <w:r w:rsidRPr="0011095F">
              <w:rPr>
                <w:color w:val="000000"/>
                <w:sz w:val="18"/>
                <w:szCs w:val="18"/>
              </w:rPr>
              <w:t>2.93</w:t>
            </w:r>
            <w:r>
              <w:rPr>
                <w:color w:val="000000"/>
                <w:sz w:val="18"/>
                <w:szCs w:val="18"/>
              </w:rPr>
              <w:t>)</w:t>
            </w:r>
          </w:p>
        </w:tc>
        <w:tc>
          <w:tcPr>
            <w:tcW w:w="1848" w:type="dxa"/>
            <w:vAlign w:val="bottom"/>
          </w:tcPr>
          <w:p w14:paraId="61C70032" w14:textId="1B220566" w:rsidR="00F971D8" w:rsidRPr="0011095F" w:rsidRDefault="00F971D8" w:rsidP="00D9387F">
            <w:pPr>
              <w:jc w:val="both"/>
              <w:rPr>
                <w:sz w:val="18"/>
                <w:szCs w:val="18"/>
              </w:rPr>
            </w:pPr>
            <w:r w:rsidRPr="0011095F">
              <w:rPr>
                <w:color w:val="000000"/>
                <w:sz w:val="18"/>
                <w:szCs w:val="18"/>
              </w:rPr>
              <w:t>1.37</w:t>
            </w:r>
            <w:r w:rsidR="003C7FB2">
              <w:rPr>
                <w:color w:val="000000"/>
                <w:sz w:val="18"/>
                <w:szCs w:val="18"/>
              </w:rPr>
              <w:t xml:space="preserve"> </w:t>
            </w:r>
            <w:r>
              <w:rPr>
                <w:color w:val="000000"/>
                <w:sz w:val="18"/>
                <w:szCs w:val="18"/>
              </w:rPr>
              <w:t>(</w:t>
            </w:r>
            <w:r w:rsidRPr="0011095F">
              <w:rPr>
                <w:color w:val="000000"/>
                <w:sz w:val="18"/>
                <w:szCs w:val="18"/>
              </w:rPr>
              <w:t>0.24,</w:t>
            </w:r>
            <w:r w:rsidR="003C7FB2">
              <w:rPr>
                <w:color w:val="000000"/>
                <w:sz w:val="18"/>
                <w:szCs w:val="18"/>
              </w:rPr>
              <w:t xml:space="preserve"> </w:t>
            </w:r>
            <w:r w:rsidRPr="0011095F">
              <w:rPr>
                <w:color w:val="000000"/>
                <w:sz w:val="18"/>
                <w:szCs w:val="18"/>
              </w:rPr>
              <w:t>2.50</w:t>
            </w:r>
            <w:r>
              <w:rPr>
                <w:color w:val="000000"/>
                <w:sz w:val="18"/>
                <w:szCs w:val="18"/>
              </w:rPr>
              <w:t>)</w:t>
            </w:r>
          </w:p>
        </w:tc>
        <w:tc>
          <w:tcPr>
            <w:tcW w:w="1848" w:type="dxa"/>
            <w:vAlign w:val="bottom"/>
          </w:tcPr>
          <w:p w14:paraId="2A5F7933" w14:textId="0335EA28" w:rsidR="00F971D8" w:rsidRPr="0011095F" w:rsidRDefault="00F971D8" w:rsidP="00D9387F">
            <w:pPr>
              <w:jc w:val="both"/>
              <w:rPr>
                <w:sz w:val="18"/>
                <w:szCs w:val="18"/>
              </w:rPr>
            </w:pPr>
            <w:r w:rsidRPr="0011095F">
              <w:rPr>
                <w:color w:val="000000"/>
                <w:sz w:val="18"/>
                <w:szCs w:val="18"/>
              </w:rPr>
              <w:t>1.34</w:t>
            </w:r>
            <w:r w:rsidR="003C7FB2">
              <w:rPr>
                <w:color w:val="000000"/>
                <w:sz w:val="18"/>
                <w:szCs w:val="18"/>
              </w:rPr>
              <w:t xml:space="preserve"> </w:t>
            </w:r>
            <w:r>
              <w:rPr>
                <w:color w:val="000000"/>
                <w:sz w:val="18"/>
                <w:szCs w:val="18"/>
              </w:rPr>
              <w:t>(</w:t>
            </w:r>
            <w:r w:rsidRPr="0011095F">
              <w:rPr>
                <w:color w:val="000000"/>
                <w:sz w:val="18"/>
                <w:szCs w:val="18"/>
              </w:rPr>
              <w:t>0.22,2.47</w:t>
            </w:r>
            <w:r>
              <w:rPr>
                <w:color w:val="000000"/>
                <w:sz w:val="18"/>
                <w:szCs w:val="18"/>
              </w:rPr>
              <w:t>)</w:t>
            </w:r>
          </w:p>
        </w:tc>
        <w:tc>
          <w:tcPr>
            <w:tcW w:w="1927" w:type="dxa"/>
            <w:vAlign w:val="bottom"/>
          </w:tcPr>
          <w:p w14:paraId="2BB956BF" w14:textId="1D6254C5" w:rsidR="00F971D8" w:rsidRPr="0011095F" w:rsidRDefault="00F971D8" w:rsidP="00D9387F">
            <w:pPr>
              <w:jc w:val="both"/>
              <w:rPr>
                <w:color w:val="000000"/>
                <w:sz w:val="18"/>
                <w:szCs w:val="18"/>
              </w:rPr>
            </w:pPr>
            <w:r w:rsidRPr="0011095F">
              <w:rPr>
                <w:color w:val="000000"/>
                <w:sz w:val="18"/>
                <w:szCs w:val="18"/>
              </w:rPr>
              <w:t>0.93</w:t>
            </w:r>
            <w:r w:rsidR="003C7FB2">
              <w:rPr>
                <w:color w:val="000000"/>
                <w:sz w:val="18"/>
                <w:szCs w:val="18"/>
              </w:rPr>
              <w:t xml:space="preserve"> </w:t>
            </w:r>
            <w:r>
              <w:rPr>
                <w:color w:val="000000"/>
                <w:sz w:val="18"/>
                <w:szCs w:val="18"/>
              </w:rPr>
              <w:t>(</w:t>
            </w:r>
            <w:r w:rsidRPr="0011095F">
              <w:rPr>
                <w:color w:val="000000"/>
                <w:sz w:val="18"/>
                <w:szCs w:val="18"/>
              </w:rPr>
              <w:t>-0.12,</w:t>
            </w:r>
            <w:r w:rsidR="003C7FB2">
              <w:rPr>
                <w:color w:val="000000"/>
                <w:sz w:val="18"/>
                <w:szCs w:val="18"/>
              </w:rPr>
              <w:t xml:space="preserve"> </w:t>
            </w:r>
            <w:r w:rsidRPr="0011095F">
              <w:rPr>
                <w:color w:val="000000"/>
                <w:sz w:val="18"/>
                <w:szCs w:val="18"/>
              </w:rPr>
              <w:t>1.99</w:t>
            </w:r>
            <w:r>
              <w:rPr>
                <w:color w:val="000000"/>
                <w:sz w:val="18"/>
                <w:szCs w:val="18"/>
              </w:rPr>
              <w:t>)</w:t>
            </w:r>
          </w:p>
        </w:tc>
      </w:tr>
      <w:tr w:rsidR="00F971D8" w14:paraId="5F98C46C" w14:textId="77777777" w:rsidTr="00D9387F">
        <w:tc>
          <w:tcPr>
            <w:tcW w:w="1857" w:type="dxa"/>
            <w:vAlign w:val="center"/>
          </w:tcPr>
          <w:p w14:paraId="70AC8571" w14:textId="4B015D69" w:rsidR="00F971D8" w:rsidRPr="00F71324" w:rsidRDefault="00F971D8" w:rsidP="00D9387F">
            <w:pPr>
              <w:rPr>
                <w:color w:val="000000"/>
                <w:sz w:val="18"/>
                <w:szCs w:val="18"/>
              </w:rPr>
            </w:pPr>
            <w:r w:rsidRPr="00F71324">
              <w:rPr>
                <w:color w:val="000000"/>
                <w:sz w:val="18"/>
                <w:szCs w:val="18"/>
              </w:rPr>
              <w:t>Car</w:t>
            </w:r>
            <w:r w:rsidR="003C7FB2">
              <w:rPr>
                <w:color w:val="000000"/>
                <w:sz w:val="18"/>
                <w:szCs w:val="18"/>
              </w:rPr>
              <w:t xml:space="preserve"> </w:t>
            </w:r>
            <w:r w:rsidRPr="00F71324">
              <w:rPr>
                <w:color w:val="000000"/>
                <w:sz w:val="18"/>
                <w:szCs w:val="18"/>
              </w:rPr>
              <w:t>with</w:t>
            </w:r>
            <w:r w:rsidR="003C7FB2">
              <w:rPr>
                <w:color w:val="000000"/>
                <w:sz w:val="18"/>
                <w:szCs w:val="18"/>
              </w:rPr>
              <w:t xml:space="preserve"> </w:t>
            </w:r>
            <w:r w:rsidRPr="00F71324">
              <w:rPr>
                <w:color w:val="000000"/>
                <w:sz w:val="18"/>
                <w:szCs w:val="18"/>
              </w:rPr>
              <w:t>occasional</w:t>
            </w:r>
            <w:r w:rsidR="003C7FB2">
              <w:rPr>
                <w:color w:val="000000"/>
                <w:sz w:val="18"/>
                <w:szCs w:val="18"/>
              </w:rPr>
              <w:t xml:space="preserve"> </w:t>
            </w:r>
            <w:r w:rsidRPr="00F71324">
              <w:rPr>
                <w:color w:val="000000"/>
                <w:sz w:val="18"/>
                <w:szCs w:val="18"/>
              </w:rPr>
              <w:t>cycling</w:t>
            </w:r>
          </w:p>
        </w:tc>
        <w:tc>
          <w:tcPr>
            <w:tcW w:w="1871" w:type="dxa"/>
            <w:vAlign w:val="bottom"/>
          </w:tcPr>
          <w:p w14:paraId="25883EFC" w14:textId="3EE9F9D7" w:rsidR="00F971D8" w:rsidRPr="0011095F" w:rsidRDefault="00F971D8" w:rsidP="00D9387F">
            <w:pPr>
              <w:jc w:val="both"/>
              <w:rPr>
                <w:bCs/>
                <w:color w:val="000000"/>
                <w:sz w:val="18"/>
                <w:szCs w:val="18"/>
              </w:rPr>
            </w:pPr>
            <w:r w:rsidRPr="0011095F">
              <w:rPr>
                <w:color w:val="000000"/>
                <w:sz w:val="18"/>
                <w:szCs w:val="18"/>
              </w:rPr>
              <w:t>-0.89</w:t>
            </w:r>
            <w:r w:rsidR="003C7FB2">
              <w:rPr>
                <w:color w:val="000000"/>
                <w:sz w:val="18"/>
                <w:szCs w:val="18"/>
              </w:rPr>
              <w:t xml:space="preserve"> </w:t>
            </w:r>
            <w:r>
              <w:rPr>
                <w:color w:val="000000"/>
                <w:sz w:val="18"/>
                <w:szCs w:val="18"/>
              </w:rPr>
              <w:t>(</w:t>
            </w:r>
            <w:r w:rsidRPr="0011095F">
              <w:rPr>
                <w:color w:val="000000"/>
                <w:sz w:val="18"/>
                <w:szCs w:val="18"/>
              </w:rPr>
              <w:t>-1.94,</w:t>
            </w:r>
            <w:r w:rsidR="003C7FB2">
              <w:rPr>
                <w:color w:val="000000"/>
                <w:sz w:val="18"/>
                <w:szCs w:val="18"/>
              </w:rPr>
              <w:t xml:space="preserve"> </w:t>
            </w:r>
            <w:r w:rsidRPr="0011095F">
              <w:rPr>
                <w:color w:val="000000"/>
                <w:sz w:val="18"/>
                <w:szCs w:val="18"/>
              </w:rPr>
              <w:t>0.16</w:t>
            </w:r>
            <w:r>
              <w:rPr>
                <w:color w:val="000000"/>
                <w:sz w:val="18"/>
                <w:szCs w:val="18"/>
              </w:rPr>
              <w:t>)</w:t>
            </w:r>
          </w:p>
        </w:tc>
        <w:tc>
          <w:tcPr>
            <w:tcW w:w="1848" w:type="dxa"/>
            <w:vAlign w:val="bottom"/>
          </w:tcPr>
          <w:p w14:paraId="76E4FFDE" w14:textId="1E806238" w:rsidR="00F971D8" w:rsidRPr="0011095F" w:rsidRDefault="00F971D8" w:rsidP="00D9387F">
            <w:pPr>
              <w:jc w:val="both"/>
              <w:rPr>
                <w:bCs/>
                <w:color w:val="000000"/>
                <w:sz w:val="18"/>
                <w:szCs w:val="18"/>
              </w:rPr>
            </w:pPr>
            <w:r w:rsidRPr="0011095F">
              <w:rPr>
                <w:color w:val="000000"/>
                <w:sz w:val="18"/>
                <w:szCs w:val="18"/>
              </w:rPr>
              <w:t>-0.2</w:t>
            </w:r>
            <w:r>
              <w:rPr>
                <w:color w:val="000000"/>
                <w:sz w:val="18"/>
                <w:szCs w:val="18"/>
              </w:rPr>
              <w:t>0</w:t>
            </w:r>
            <w:r w:rsidR="003C7FB2">
              <w:rPr>
                <w:color w:val="000000"/>
                <w:sz w:val="18"/>
                <w:szCs w:val="18"/>
              </w:rPr>
              <w:t xml:space="preserve"> </w:t>
            </w:r>
            <w:r>
              <w:rPr>
                <w:color w:val="000000"/>
                <w:sz w:val="18"/>
                <w:szCs w:val="18"/>
              </w:rPr>
              <w:t>(</w:t>
            </w:r>
            <w:r w:rsidRPr="0011095F">
              <w:rPr>
                <w:color w:val="000000"/>
                <w:sz w:val="18"/>
                <w:szCs w:val="18"/>
              </w:rPr>
              <w:t>-1.20,</w:t>
            </w:r>
            <w:r w:rsidR="003C7FB2">
              <w:rPr>
                <w:color w:val="000000"/>
                <w:sz w:val="18"/>
                <w:szCs w:val="18"/>
              </w:rPr>
              <w:t xml:space="preserve"> </w:t>
            </w:r>
            <w:r w:rsidRPr="0011095F">
              <w:rPr>
                <w:color w:val="000000"/>
                <w:sz w:val="18"/>
                <w:szCs w:val="18"/>
              </w:rPr>
              <w:t>0.80</w:t>
            </w:r>
            <w:r>
              <w:rPr>
                <w:color w:val="000000"/>
                <w:sz w:val="18"/>
                <w:szCs w:val="18"/>
              </w:rPr>
              <w:t>)</w:t>
            </w:r>
          </w:p>
        </w:tc>
        <w:tc>
          <w:tcPr>
            <w:tcW w:w="1848" w:type="dxa"/>
            <w:vAlign w:val="bottom"/>
          </w:tcPr>
          <w:p w14:paraId="4A38DBF0" w14:textId="6E9CDD7B" w:rsidR="00F971D8" w:rsidRPr="0011095F" w:rsidRDefault="00F971D8" w:rsidP="00D9387F">
            <w:pPr>
              <w:jc w:val="both"/>
              <w:rPr>
                <w:bCs/>
                <w:color w:val="000000"/>
                <w:sz w:val="18"/>
                <w:szCs w:val="18"/>
              </w:rPr>
            </w:pPr>
            <w:r w:rsidRPr="0011095F">
              <w:rPr>
                <w:color w:val="000000"/>
                <w:sz w:val="18"/>
                <w:szCs w:val="18"/>
              </w:rPr>
              <w:t>-0.15</w:t>
            </w:r>
            <w:r w:rsidR="003C7FB2">
              <w:rPr>
                <w:color w:val="000000"/>
                <w:sz w:val="18"/>
                <w:szCs w:val="18"/>
              </w:rPr>
              <w:t xml:space="preserve"> </w:t>
            </w:r>
            <w:r>
              <w:rPr>
                <w:color w:val="000000"/>
                <w:sz w:val="18"/>
                <w:szCs w:val="18"/>
              </w:rPr>
              <w:t>(</w:t>
            </w:r>
            <w:r w:rsidRPr="0011095F">
              <w:rPr>
                <w:color w:val="000000"/>
                <w:sz w:val="18"/>
                <w:szCs w:val="18"/>
              </w:rPr>
              <w:t>-1.15,0.84</w:t>
            </w:r>
            <w:r>
              <w:rPr>
                <w:color w:val="000000"/>
                <w:sz w:val="18"/>
                <w:szCs w:val="18"/>
              </w:rPr>
              <w:t>)</w:t>
            </w:r>
          </w:p>
        </w:tc>
        <w:tc>
          <w:tcPr>
            <w:tcW w:w="1927" w:type="dxa"/>
            <w:vAlign w:val="bottom"/>
          </w:tcPr>
          <w:p w14:paraId="025A5C6F" w14:textId="37851CC5" w:rsidR="00F971D8" w:rsidRPr="0011095F" w:rsidRDefault="00F971D8" w:rsidP="00D9387F">
            <w:pPr>
              <w:jc w:val="both"/>
              <w:rPr>
                <w:color w:val="000000"/>
                <w:sz w:val="18"/>
                <w:szCs w:val="18"/>
              </w:rPr>
            </w:pPr>
            <w:r w:rsidRPr="0011095F">
              <w:rPr>
                <w:color w:val="000000"/>
                <w:sz w:val="18"/>
                <w:szCs w:val="18"/>
              </w:rPr>
              <w:t>0.26</w:t>
            </w:r>
            <w:r w:rsidR="003C7FB2">
              <w:rPr>
                <w:color w:val="000000"/>
                <w:sz w:val="18"/>
                <w:szCs w:val="18"/>
              </w:rPr>
              <w:t xml:space="preserve"> </w:t>
            </w:r>
            <w:r>
              <w:rPr>
                <w:color w:val="000000"/>
                <w:sz w:val="18"/>
                <w:szCs w:val="18"/>
              </w:rPr>
              <w:t>(</w:t>
            </w:r>
            <w:r w:rsidRPr="0011095F">
              <w:rPr>
                <w:color w:val="000000"/>
                <w:sz w:val="18"/>
                <w:szCs w:val="18"/>
              </w:rPr>
              <w:t>-0.67,</w:t>
            </w:r>
            <w:r w:rsidR="003C7FB2">
              <w:rPr>
                <w:color w:val="000000"/>
                <w:sz w:val="18"/>
                <w:szCs w:val="18"/>
              </w:rPr>
              <w:t xml:space="preserve"> </w:t>
            </w:r>
            <w:r w:rsidRPr="0011095F">
              <w:rPr>
                <w:color w:val="000000"/>
                <w:sz w:val="18"/>
                <w:szCs w:val="18"/>
              </w:rPr>
              <w:t>1.19</w:t>
            </w:r>
            <w:r>
              <w:rPr>
                <w:color w:val="000000"/>
                <w:sz w:val="18"/>
                <w:szCs w:val="18"/>
              </w:rPr>
              <w:t>)</w:t>
            </w:r>
          </w:p>
        </w:tc>
      </w:tr>
      <w:tr w:rsidR="00F971D8" w14:paraId="2FDF0D63" w14:textId="77777777" w:rsidTr="00D9387F">
        <w:tc>
          <w:tcPr>
            <w:tcW w:w="1857" w:type="dxa"/>
            <w:vAlign w:val="center"/>
          </w:tcPr>
          <w:p w14:paraId="02B442A0" w14:textId="03C4523A" w:rsidR="00F971D8" w:rsidRPr="00F71324" w:rsidRDefault="00F971D8" w:rsidP="00D9387F">
            <w:pPr>
              <w:rPr>
                <w:b/>
                <w:sz w:val="18"/>
                <w:szCs w:val="18"/>
              </w:rPr>
            </w:pPr>
            <w:r>
              <w:rPr>
                <w:b/>
                <w:sz w:val="18"/>
                <w:szCs w:val="18"/>
              </w:rPr>
              <w:t>Men</w:t>
            </w:r>
            <w:r w:rsidR="003C7FB2">
              <w:rPr>
                <w:b/>
                <w:sz w:val="18"/>
                <w:szCs w:val="18"/>
              </w:rPr>
              <w:t xml:space="preserve"> </w:t>
            </w:r>
            <w:r>
              <w:rPr>
                <w:b/>
                <w:sz w:val="18"/>
                <w:szCs w:val="18"/>
              </w:rPr>
              <w:t>(n=1268</w:t>
            </w:r>
            <w:r w:rsidRPr="00F71324">
              <w:rPr>
                <w:b/>
                <w:sz w:val="18"/>
                <w:szCs w:val="18"/>
              </w:rPr>
              <w:t>)</w:t>
            </w:r>
          </w:p>
        </w:tc>
        <w:tc>
          <w:tcPr>
            <w:tcW w:w="1871" w:type="dxa"/>
            <w:vAlign w:val="bottom"/>
          </w:tcPr>
          <w:p w14:paraId="586CA102" w14:textId="77777777" w:rsidR="00F971D8" w:rsidRPr="0011095F" w:rsidRDefault="00F971D8" w:rsidP="00D9387F">
            <w:pPr>
              <w:jc w:val="both"/>
              <w:rPr>
                <w:sz w:val="18"/>
                <w:szCs w:val="18"/>
              </w:rPr>
            </w:pPr>
          </w:p>
        </w:tc>
        <w:tc>
          <w:tcPr>
            <w:tcW w:w="1848" w:type="dxa"/>
            <w:vAlign w:val="bottom"/>
          </w:tcPr>
          <w:p w14:paraId="5A699C00" w14:textId="77777777" w:rsidR="00F971D8" w:rsidRPr="0011095F" w:rsidRDefault="00F971D8" w:rsidP="00D9387F">
            <w:pPr>
              <w:jc w:val="both"/>
              <w:rPr>
                <w:sz w:val="18"/>
                <w:szCs w:val="18"/>
              </w:rPr>
            </w:pPr>
          </w:p>
        </w:tc>
        <w:tc>
          <w:tcPr>
            <w:tcW w:w="1848" w:type="dxa"/>
            <w:vAlign w:val="bottom"/>
          </w:tcPr>
          <w:p w14:paraId="2092876A" w14:textId="77777777" w:rsidR="00F971D8" w:rsidRPr="0011095F" w:rsidRDefault="00F971D8" w:rsidP="00D9387F">
            <w:pPr>
              <w:jc w:val="both"/>
              <w:rPr>
                <w:sz w:val="18"/>
                <w:szCs w:val="18"/>
              </w:rPr>
            </w:pPr>
          </w:p>
        </w:tc>
        <w:tc>
          <w:tcPr>
            <w:tcW w:w="1927" w:type="dxa"/>
          </w:tcPr>
          <w:p w14:paraId="3061B810" w14:textId="77777777" w:rsidR="00F971D8" w:rsidRPr="0011095F" w:rsidRDefault="00F971D8" w:rsidP="00D9387F">
            <w:pPr>
              <w:jc w:val="both"/>
              <w:rPr>
                <w:sz w:val="18"/>
                <w:szCs w:val="18"/>
              </w:rPr>
            </w:pPr>
          </w:p>
        </w:tc>
      </w:tr>
      <w:tr w:rsidR="00F971D8" w14:paraId="1B7C3265" w14:textId="77777777" w:rsidTr="00D9387F">
        <w:tc>
          <w:tcPr>
            <w:tcW w:w="1857" w:type="dxa"/>
          </w:tcPr>
          <w:p w14:paraId="1B11650F" w14:textId="44BC9BCD" w:rsidR="00F971D8" w:rsidRPr="00F71324" w:rsidRDefault="00F971D8" w:rsidP="00D9387F">
            <w:pPr>
              <w:rPr>
                <w:sz w:val="18"/>
                <w:szCs w:val="18"/>
              </w:rPr>
            </w:pPr>
            <w:r w:rsidRPr="00F71324">
              <w:rPr>
                <w:color w:val="000000"/>
                <w:sz w:val="18"/>
                <w:szCs w:val="18"/>
              </w:rPr>
              <w:t>Car</w:t>
            </w:r>
            <w:r w:rsidR="003C7FB2">
              <w:rPr>
                <w:color w:val="000000"/>
                <w:sz w:val="18"/>
                <w:szCs w:val="18"/>
              </w:rPr>
              <w:t xml:space="preserve"> </w:t>
            </w:r>
            <w:r w:rsidRPr="00F71324">
              <w:rPr>
                <w:color w:val="000000"/>
                <w:sz w:val="18"/>
                <w:szCs w:val="18"/>
              </w:rPr>
              <w:t>only</w:t>
            </w:r>
            <w:r w:rsidR="003C7FB2">
              <w:rPr>
                <w:color w:val="000000"/>
                <w:sz w:val="18"/>
                <w:szCs w:val="18"/>
              </w:rPr>
              <w:t xml:space="preserve"> </w:t>
            </w:r>
            <w:r w:rsidRPr="00F71324">
              <w:rPr>
                <w:color w:val="000000"/>
                <w:sz w:val="18"/>
                <w:szCs w:val="18"/>
              </w:rPr>
              <w:t>(reference)</w:t>
            </w:r>
          </w:p>
        </w:tc>
        <w:tc>
          <w:tcPr>
            <w:tcW w:w="1871" w:type="dxa"/>
            <w:vAlign w:val="bottom"/>
          </w:tcPr>
          <w:p w14:paraId="055EBEFA" w14:textId="77777777" w:rsidR="00F971D8" w:rsidRPr="0011095F" w:rsidRDefault="00F971D8" w:rsidP="00D9387F">
            <w:pPr>
              <w:jc w:val="both"/>
              <w:rPr>
                <w:sz w:val="18"/>
                <w:szCs w:val="18"/>
              </w:rPr>
            </w:pPr>
          </w:p>
        </w:tc>
        <w:tc>
          <w:tcPr>
            <w:tcW w:w="1848" w:type="dxa"/>
            <w:vAlign w:val="bottom"/>
          </w:tcPr>
          <w:p w14:paraId="1ED13E16" w14:textId="77777777" w:rsidR="00F971D8" w:rsidRPr="0011095F" w:rsidRDefault="00F971D8" w:rsidP="00D9387F">
            <w:pPr>
              <w:jc w:val="both"/>
              <w:rPr>
                <w:sz w:val="18"/>
                <w:szCs w:val="18"/>
              </w:rPr>
            </w:pPr>
          </w:p>
        </w:tc>
        <w:tc>
          <w:tcPr>
            <w:tcW w:w="1848" w:type="dxa"/>
            <w:vAlign w:val="bottom"/>
          </w:tcPr>
          <w:p w14:paraId="5C478D7C" w14:textId="77777777" w:rsidR="00F971D8" w:rsidRPr="0011095F" w:rsidRDefault="00F971D8" w:rsidP="00D9387F">
            <w:pPr>
              <w:jc w:val="both"/>
              <w:rPr>
                <w:sz w:val="18"/>
                <w:szCs w:val="18"/>
              </w:rPr>
            </w:pPr>
          </w:p>
        </w:tc>
        <w:tc>
          <w:tcPr>
            <w:tcW w:w="1927" w:type="dxa"/>
          </w:tcPr>
          <w:p w14:paraId="400BB06E" w14:textId="77777777" w:rsidR="00F971D8" w:rsidRPr="0011095F" w:rsidRDefault="00F971D8" w:rsidP="00D9387F">
            <w:pPr>
              <w:jc w:val="both"/>
              <w:rPr>
                <w:sz w:val="18"/>
                <w:szCs w:val="18"/>
              </w:rPr>
            </w:pPr>
          </w:p>
        </w:tc>
      </w:tr>
      <w:tr w:rsidR="00F971D8" w14:paraId="6D2F0142" w14:textId="77777777" w:rsidTr="00D9387F">
        <w:tc>
          <w:tcPr>
            <w:tcW w:w="1857" w:type="dxa"/>
            <w:vAlign w:val="center"/>
          </w:tcPr>
          <w:p w14:paraId="06A61CA5" w14:textId="4B9F3CEF" w:rsidR="00F971D8" w:rsidRPr="00F71324" w:rsidRDefault="00F971D8" w:rsidP="00D9387F">
            <w:pPr>
              <w:rPr>
                <w:sz w:val="18"/>
                <w:szCs w:val="18"/>
              </w:rPr>
            </w:pPr>
            <w:r w:rsidRPr="00F71324">
              <w:rPr>
                <w:color w:val="000000"/>
                <w:sz w:val="18"/>
                <w:szCs w:val="18"/>
              </w:rPr>
              <w:t>Regular</w:t>
            </w:r>
            <w:r w:rsidR="003C7FB2">
              <w:rPr>
                <w:color w:val="000000"/>
                <w:sz w:val="18"/>
                <w:szCs w:val="18"/>
              </w:rPr>
              <w:t xml:space="preserve"> </w:t>
            </w:r>
            <w:r w:rsidRPr="00F71324">
              <w:rPr>
                <w:color w:val="000000"/>
                <w:sz w:val="18"/>
                <w:szCs w:val="18"/>
              </w:rPr>
              <w:t>walking</w:t>
            </w:r>
          </w:p>
        </w:tc>
        <w:tc>
          <w:tcPr>
            <w:tcW w:w="1871" w:type="dxa"/>
            <w:vAlign w:val="bottom"/>
          </w:tcPr>
          <w:p w14:paraId="2DA59227" w14:textId="24BF8983" w:rsidR="00F971D8" w:rsidRPr="0011095F" w:rsidRDefault="00F971D8" w:rsidP="00D9387F">
            <w:pPr>
              <w:jc w:val="both"/>
              <w:rPr>
                <w:color w:val="000000"/>
                <w:sz w:val="18"/>
                <w:szCs w:val="18"/>
              </w:rPr>
            </w:pPr>
            <w:r w:rsidRPr="0011095F">
              <w:rPr>
                <w:color w:val="000000"/>
                <w:sz w:val="18"/>
                <w:szCs w:val="18"/>
              </w:rPr>
              <w:t>0.37</w:t>
            </w:r>
            <w:r w:rsidR="003C7FB2">
              <w:rPr>
                <w:color w:val="000000"/>
                <w:sz w:val="18"/>
                <w:szCs w:val="18"/>
              </w:rPr>
              <w:t xml:space="preserve"> </w:t>
            </w:r>
            <w:r>
              <w:rPr>
                <w:color w:val="000000"/>
                <w:sz w:val="18"/>
                <w:szCs w:val="18"/>
              </w:rPr>
              <w:t>(</w:t>
            </w:r>
            <w:r w:rsidRPr="0011095F">
              <w:rPr>
                <w:color w:val="000000"/>
                <w:sz w:val="18"/>
                <w:szCs w:val="18"/>
              </w:rPr>
              <w:t>-0.77,</w:t>
            </w:r>
            <w:r w:rsidR="003C7FB2">
              <w:rPr>
                <w:color w:val="000000"/>
                <w:sz w:val="18"/>
                <w:szCs w:val="18"/>
              </w:rPr>
              <w:t xml:space="preserve"> </w:t>
            </w:r>
            <w:r w:rsidRPr="0011095F">
              <w:rPr>
                <w:color w:val="000000"/>
                <w:sz w:val="18"/>
                <w:szCs w:val="18"/>
              </w:rPr>
              <w:t>1.51</w:t>
            </w:r>
            <w:r>
              <w:rPr>
                <w:color w:val="000000"/>
                <w:sz w:val="18"/>
                <w:szCs w:val="18"/>
              </w:rPr>
              <w:t>)</w:t>
            </w:r>
          </w:p>
        </w:tc>
        <w:tc>
          <w:tcPr>
            <w:tcW w:w="1848" w:type="dxa"/>
            <w:vAlign w:val="bottom"/>
          </w:tcPr>
          <w:p w14:paraId="43E49C16" w14:textId="45FF9D82" w:rsidR="00F971D8" w:rsidRPr="0011095F" w:rsidRDefault="00F971D8" w:rsidP="00D9387F">
            <w:pPr>
              <w:jc w:val="both"/>
              <w:rPr>
                <w:color w:val="000000"/>
                <w:sz w:val="18"/>
                <w:szCs w:val="18"/>
              </w:rPr>
            </w:pPr>
            <w:r w:rsidRPr="0011095F">
              <w:rPr>
                <w:color w:val="000000"/>
                <w:sz w:val="18"/>
                <w:szCs w:val="18"/>
              </w:rPr>
              <w:t>0.82</w:t>
            </w:r>
            <w:r w:rsidR="003C7FB2">
              <w:rPr>
                <w:color w:val="000000"/>
                <w:sz w:val="18"/>
                <w:szCs w:val="18"/>
              </w:rPr>
              <w:t xml:space="preserve"> </w:t>
            </w:r>
            <w:r>
              <w:rPr>
                <w:color w:val="000000"/>
                <w:sz w:val="18"/>
                <w:szCs w:val="18"/>
              </w:rPr>
              <w:t>(</w:t>
            </w:r>
            <w:r w:rsidRPr="0011095F">
              <w:rPr>
                <w:color w:val="000000"/>
                <w:sz w:val="18"/>
                <w:szCs w:val="18"/>
              </w:rPr>
              <w:t>-0.34,</w:t>
            </w:r>
            <w:r w:rsidR="003C7FB2">
              <w:rPr>
                <w:color w:val="000000"/>
                <w:sz w:val="18"/>
                <w:szCs w:val="18"/>
              </w:rPr>
              <w:t xml:space="preserve"> </w:t>
            </w:r>
            <w:r w:rsidRPr="0011095F">
              <w:rPr>
                <w:color w:val="000000"/>
                <w:sz w:val="18"/>
                <w:szCs w:val="18"/>
              </w:rPr>
              <w:t>1.97</w:t>
            </w:r>
            <w:r>
              <w:rPr>
                <w:color w:val="000000"/>
                <w:sz w:val="18"/>
                <w:szCs w:val="18"/>
              </w:rPr>
              <w:t>)</w:t>
            </w:r>
          </w:p>
        </w:tc>
        <w:tc>
          <w:tcPr>
            <w:tcW w:w="1848" w:type="dxa"/>
            <w:vAlign w:val="bottom"/>
          </w:tcPr>
          <w:p w14:paraId="3444E17E" w14:textId="2904E187" w:rsidR="00F971D8" w:rsidRPr="0011095F" w:rsidRDefault="00F971D8" w:rsidP="00D9387F">
            <w:pPr>
              <w:jc w:val="both"/>
              <w:rPr>
                <w:color w:val="000000"/>
                <w:sz w:val="18"/>
                <w:szCs w:val="18"/>
              </w:rPr>
            </w:pPr>
            <w:r w:rsidRPr="0011095F">
              <w:rPr>
                <w:color w:val="000000"/>
                <w:sz w:val="18"/>
                <w:szCs w:val="18"/>
              </w:rPr>
              <w:t>0.91</w:t>
            </w:r>
            <w:r w:rsidR="003C7FB2">
              <w:rPr>
                <w:color w:val="000000"/>
                <w:sz w:val="18"/>
                <w:szCs w:val="18"/>
              </w:rPr>
              <w:t xml:space="preserve"> </w:t>
            </w:r>
            <w:r>
              <w:rPr>
                <w:color w:val="000000"/>
                <w:sz w:val="18"/>
                <w:szCs w:val="18"/>
              </w:rPr>
              <w:t>(</w:t>
            </w:r>
            <w:r w:rsidRPr="0011095F">
              <w:rPr>
                <w:color w:val="000000"/>
                <w:sz w:val="18"/>
                <w:szCs w:val="18"/>
              </w:rPr>
              <w:t>-0.32,</w:t>
            </w:r>
            <w:r w:rsidR="003C7FB2">
              <w:rPr>
                <w:color w:val="000000"/>
                <w:sz w:val="18"/>
                <w:szCs w:val="18"/>
              </w:rPr>
              <w:t xml:space="preserve"> </w:t>
            </w:r>
            <w:r w:rsidRPr="0011095F">
              <w:rPr>
                <w:color w:val="000000"/>
                <w:sz w:val="18"/>
                <w:szCs w:val="18"/>
              </w:rPr>
              <w:t>2.15</w:t>
            </w:r>
            <w:r>
              <w:rPr>
                <w:color w:val="000000"/>
                <w:sz w:val="18"/>
                <w:szCs w:val="18"/>
              </w:rPr>
              <w:t>)</w:t>
            </w:r>
          </w:p>
        </w:tc>
        <w:tc>
          <w:tcPr>
            <w:tcW w:w="1927" w:type="dxa"/>
            <w:vAlign w:val="bottom"/>
          </w:tcPr>
          <w:p w14:paraId="518B6F05" w14:textId="2D216EB6" w:rsidR="00F971D8" w:rsidRPr="0011095F" w:rsidRDefault="00F971D8" w:rsidP="00D9387F">
            <w:pPr>
              <w:jc w:val="both"/>
              <w:rPr>
                <w:color w:val="000000"/>
                <w:sz w:val="18"/>
                <w:szCs w:val="18"/>
              </w:rPr>
            </w:pPr>
            <w:r w:rsidRPr="0011095F">
              <w:rPr>
                <w:color w:val="000000"/>
                <w:sz w:val="18"/>
                <w:szCs w:val="18"/>
              </w:rPr>
              <w:t>0.26</w:t>
            </w:r>
            <w:r w:rsidR="003C7FB2">
              <w:rPr>
                <w:color w:val="000000"/>
                <w:sz w:val="18"/>
                <w:szCs w:val="18"/>
              </w:rPr>
              <w:t xml:space="preserve"> </w:t>
            </w:r>
            <w:r>
              <w:rPr>
                <w:color w:val="000000"/>
                <w:sz w:val="18"/>
                <w:szCs w:val="18"/>
              </w:rPr>
              <w:t>(</w:t>
            </w:r>
            <w:r w:rsidRPr="0011095F">
              <w:rPr>
                <w:color w:val="000000"/>
                <w:sz w:val="18"/>
                <w:szCs w:val="18"/>
              </w:rPr>
              <w:t>-0.85,</w:t>
            </w:r>
            <w:r w:rsidR="003C7FB2">
              <w:rPr>
                <w:color w:val="000000"/>
                <w:sz w:val="18"/>
                <w:szCs w:val="18"/>
              </w:rPr>
              <w:t xml:space="preserve"> </w:t>
            </w:r>
            <w:r w:rsidRPr="0011095F">
              <w:rPr>
                <w:color w:val="000000"/>
                <w:sz w:val="18"/>
                <w:szCs w:val="18"/>
              </w:rPr>
              <w:t>1.37</w:t>
            </w:r>
            <w:r>
              <w:rPr>
                <w:color w:val="000000"/>
                <w:sz w:val="18"/>
                <w:szCs w:val="18"/>
              </w:rPr>
              <w:t>)</w:t>
            </w:r>
          </w:p>
        </w:tc>
      </w:tr>
      <w:tr w:rsidR="00F971D8" w14:paraId="06E3E680" w14:textId="77777777" w:rsidTr="00D9387F">
        <w:tc>
          <w:tcPr>
            <w:tcW w:w="1857" w:type="dxa"/>
            <w:vAlign w:val="center"/>
          </w:tcPr>
          <w:p w14:paraId="3F503724" w14:textId="1B477B86" w:rsidR="00F971D8" w:rsidRPr="00F71324" w:rsidRDefault="00F971D8" w:rsidP="00D9387F">
            <w:pPr>
              <w:rPr>
                <w:b/>
                <w:sz w:val="18"/>
                <w:szCs w:val="18"/>
              </w:rPr>
            </w:pPr>
            <w:r w:rsidRPr="00F71324">
              <w:rPr>
                <w:color w:val="000000"/>
                <w:sz w:val="18"/>
                <w:szCs w:val="18"/>
              </w:rPr>
              <w:t>Regular</w:t>
            </w:r>
            <w:r w:rsidR="003C7FB2">
              <w:rPr>
                <w:color w:val="000000"/>
                <w:sz w:val="18"/>
                <w:szCs w:val="18"/>
              </w:rPr>
              <w:t xml:space="preserve"> </w:t>
            </w:r>
            <w:r w:rsidRPr="00F71324">
              <w:rPr>
                <w:color w:val="000000"/>
                <w:sz w:val="18"/>
                <w:szCs w:val="18"/>
              </w:rPr>
              <w:t>cycling</w:t>
            </w:r>
          </w:p>
        </w:tc>
        <w:tc>
          <w:tcPr>
            <w:tcW w:w="1871" w:type="dxa"/>
            <w:vAlign w:val="bottom"/>
          </w:tcPr>
          <w:p w14:paraId="036024CB" w14:textId="4664BAAD" w:rsidR="00F971D8" w:rsidRPr="0011095F" w:rsidRDefault="00F971D8" w:rsidP="00D9387F">
            <w:pPr>
              <w:jc w:val="both"/>
              <w:rPr>
                <w:sz w:val="18"/>
                <w:szCs w:val="18"/>
              </w:rPr>
            </w:pPr>
            <w:r w:rsidRPr="0011095F">
              <w:rPr>
                <w:color w:val="000000"/>
                <w:sz w:val="18"/>
                <w:szCs w:val="18"/>
              </w:rPr>
              <w:t>-2.31</w:t>
            </w:r>
            <w:r w:rsidR="003C7FB2">
              <w:rPr>
                <w:color w:val="000000"/>
                <w:sz w:val="18"/>
                <w:szCs w:val="18"/>
              </w:rPr>
              <w:t xml:space="preserve"> </w:t>
            </w:r>
            <w:r>
              <w:rPr>
                <w:color w:val="000000"/>
                <w:sz w:val="18"/>
                <w:szCs w:val="18"/>
              </w:rPr>
              <w:t>(</w:t>
            </w:r>
            <w:r w:rsidRPr="0011095F">
              <w:rPr>
                <w:color w:val="000000"/>
                <w:sz w:val="18"/>
                <w:szCs w:val="18"/>
              </w:rPr>
              <w:t>-3.05,</w:t>
            </w:r>
            <w:r w:rsidR="003C7FB2">
              <w:rPr>
                <w:color w:val="000000"/>
                <w:sz w:val="18"/>
                <w:szCs w:val="18"/>
              </w:rPr>
              <w:t xml:space="preserve"> </w:t>
            </w:r>
            <w:r w:rsidRPr="0011095F">
              <w:rPr>
                <w:color w:val="000000"/>
                <w:sz w:val="18"/>
                <w:szCs w:val="18"/>
              </w:rPr>
              <w:t>-1.58</w:t>
            </w:r>
            <w:r>
              <w:rPr>
                <w:color w:val="000000"/>
                <w:sz w:val="18"/>
                <w:szCs w:val="18"/>
              </w:rPr>
              <w:t>)</w:t>
            </w:r>
            <w:r w:rsidR="003C7FB2">
              <w:rPr>
                <w:color w:val="000000"/>
                <w:sz w:val="18"/>
                <w:szCs w:val="18"/>
              </w:rPr>
              <w:t xml:space="preserve">        </w:t>
            </w:r>
          </w:p>
        </w:tc>
        <w:tc>
          <w:tcPr>
            <w:tcW w:w="1848" w:type="dxa"/>
            <w:vAlign w:val="bottom"/>
          </w:tcPr>
          <w:p w14:paraId="1A702284" w14:textId="215A56E5" w:rsidR="00F971D8" w:rsidRPr="0011095F" w:rsidRDefault="00F971D8" w:rsidP="00D9387F">
            <w:pPr>
              <w:jc w:val="both"/>
              <w:rPr>
                <w:sz w:val="18"/>
                <w:szCs w:val="18"/>
              </w:rPr>
            </w:pPr>
            <w:r>
              <w:rPr>
                <w:color w:val="000000"/>
                <w:sz w:val="18"/>
                <w:szCs w:val="18"/>
              </w:rPr>
              <w:t>-</w:t>
            </w:r>
            <w:r w:rsidRPr="0011095F">
              <w:rPr>
                <w:color w:val="000000"/>
                <w:sz w:val="18"/>
                <w:szCs w:val="18"/>
              </w:rPr>
              <w:t>1.59</w:t>
            </w:r>
            <w:r w:rsidR="003C7FB2">
              <w:rPr>
                <w:color w:val="000000"/>
                <w:sz w:val="18"/>
                <w:szCs w:val="18"/>
              </w:rPr>
              <w:t xml:space="preserve"> </w:t>
            </w:r>
            <w:r>
              <w:rPr>
                <w:color w:val="000000"/>
                <w:sz w:val="18"/>
                <w:szCs w:val="18"/>
              </w:rPr>
              <w:t>(</w:t>
            </w:r>
            <w:r w:rsidRPr="0011095F">
              <w:rPr>
                <w:color w:val="000000"/>
                <w:sz w:val="18"/>
                <w:szCs w:val="18"/>
              </w:rPr>
              <w:t>-2.42,</w:t>
            </w:r>
            <w:r w:rsidR="003C7FB2">
              <w:rPr>
                <w:color w:val="000000"/>
                <w:sz w:val="18"/>
                <w:szCs w:val="18"/>
              </w:rPr>
              <w:t xml:space="preserve"> </w:t>
            </w:r>
            <w:r w:rsidRPr="0011095F">
              <w:rPr>
                <w:color w:val="000000"/>
                <w:sz w:val="18"/>
                <w:szCs w:val="18"/>
              </w:rPr>
              <w:t>-0.77</w:t>
            </w:r>
            <w:r>
              <w:rPr>
                <w:color w:val="000000"/>
                <w:sz w:val="18"/>
                <w:szCs w:val="18"/>
              </w:rPr>
              <w:t>)</w:t>
            </w:r>
          </w:p>
        </w:tc>
        <w:tc>
          <w:tcPr>
            <w:tcW w:w="1848" w:type="dxa"/>
            <w:vAlign w:val="bottom"/>
          </w:tcPr>
          <w:p w14:paraId="5AE8E038" w14:textId="21C443B8" w:rsidR="00F971D8" w:rsidRPr="0011095F" w:rsidRDefault="00F971D8" w:rsidP="00D9387F">
            <w:pPr>
              <w:jc w:val="both"/>
              <w:rPr>
                <w:sz w:val="18"/>
                <w:szCs w:val="18"/>
              </w:rPr>
            </w:pPr>
            <w:r w:rsidRPr="0011095F">
              <w:rPr>
                <w:color w:val="000000"/>
                <w:sz w:val="18"/>
                <w:szCs w:val="18"/>
              </w:rPr>
              <w:t>-1.30</w:t>
            </w:r>
            <w:r w:rsidR="003C7FB2">
              <w:rPr>
                <w:color w:val="000000"/>
                <w:sz w:val="18"/>
                <w:szCs w:val="18"/>
              </w:rPr>
              <w:t xml:space="preserve"> </w:t>
            </w:r>
            <w:r>
              <w:rPr>
                <w:color w:val="000000"/>
                <w:sz w:val="18"/>
                <w:szCs w:val="18"/>
              </w:rPr>
              <w:t>(</w:t>
            </w:r>
            <w:r w:rsidRPr="0011095F">
              <w:rPr>
                <w:color w:val="000000"/>
                <w:sz w:val="18"/>
                <w:szCs w:val="18"/>
              </w:rPr>
              <w:t>-2.26,</w:t>
            </w:r>
            <w:r w:rsidR="003C7FB2">
              <w:rPr>
                <w:color w:val="000000"/>
                <w:sz w:val="18"/>
                <w:szCs w:val="18"/>
              </w:rPr>
              <w:t xml:space="preserve"> </w:t>
            </w:r>
            <w:r w:rsidRPr="0011095F">
              <w:rPr>
                <w:color w:val="000000"/>
                <w:sz w:val="18"/>
                <w:szCs w:val="18"/>
              </w:rPr>
              <w:t>-0.33</w:t>
            </w:r>
            <w:r>
              <w:rPr>
                <w:color w:val="000000"/>
                <w:sz w:val="18"/>
                <w:szCs w:val="18"/>
              </w:rPr>
              <w:t>)</w:t>
            </w:r>
          </w:p>
        </w:tc>
        <w:tc>
          <w:tcPr>
            <w:tcW w:w="1927" w:type="dxa"/>
            <w:vAlign w:val="bottom"/>
          </w:tcPr>
          <w:p w14:paraId="32EE9C03" w14:textId="0166A9FD" w:rsidR="00F971D8" w:rsidRPr="0011095F" w:rsidRDefault="00F971D8" w:rsidP="00D9387F">
            <w:pPr>
              <w:jc w:val="both"/>
              <w:rPr>
                <w:color w:val="000000"/>
                <w:sz w:val="18"/>
                <w:szCs w:val="18"/>
              </w:rPr>
            </w:pPr>
            <w:r w:rsidRPr="0011095F">
              <w:rPr>
                <w:color w:val="000000"/>
                <w:sz w:val="18"/>
                <w:szCs w:val="18"/>
              </w:rPr>
              <w:t>-1.42</w:t>
            </w:r>
            <w:r w:rsidR="003C7FB2">
              <w:rPr>
                <w:color w:val="000000"/>
                <w:sz w:val="18"/>
                <w:szCs w:val="18"/>
              </w:rPr>
              <w:t xml:space="preserve"> </w:t>
            </w:r>
            <w:r>
              <w:rPr>
                <w:color w:val="000000"/>
                <w:sz w:val="18"/>
                <w:szCs w:val="18"/>
              </w:rPr>
              <w:t>(</w:t>
            </w:r>
            <w:r w:rsidRPr="0011095F">
              <w:rPr>
                <w:color w:val="000000"/>
                <w:sz w:val="18"/>
                <w:szCs w:val="18"/>
              </w:rPr>
              <w:t>-2.20,</w:t>
            </w:r>
            <w:r w:rsidR="003C7FB2">
              <w:rPr>
                <w:color w:val="000000"/>
                <w:sz w:val="18"/>
                <w:szCs w:val="18"/>
              </w:rPr>
              <w:t xml:space="preserve"> </w:t>
            </w:r>
            <w:r w:rsidRPr="0011095F">
              <w:rPr>
                <w:color w:val="000000"/>
                <w:sz w:val="18"/>
                <w:szCs w:val="18"/>
              </w:rPr>
              <w:t>-0.63</w:t>
            </w:r>
            <w:r>
              <w:rPr>
                <w:color w:val="000000"/>
                <w:sz w:val="18"/>
                <w:szCs w:val="18"/>
              </w:rPr>
              <w:t>)</w:t>
            </w:r>
          </w:p>
        </w:tc>
      </w:tr>
      <w:tr w:rsidR="00F971D8" w14:paraId="399FCBBC" w14:textId="77777777" w:rsidTr="00D9387F">
        <w:tc>
          <w:tcPr>
            <w:tcW w:w="1857" w:type="dxa"/>
            <w:vAlign w:val="center"/>
          </w:tcPr>
          <w:p w14:paraId="700E73F2" w14:textId="70036E05" w:rsidR="00F971D8" w:rsidRPr="00F71324" w:rsidRDefault="00F971D8" w:rsidP="00D9387F">
            <w:pPr>
              <w:rPr>
                <w:sz w:val="18"/>
                <w:szCs w:val="18"/>
              </w:rPr>
            </w:pPr>
            <w:r w:rsidRPr="00F71324">
              <w:rPr>
                <w:color w:val="000000"/>
                <w:sz w:val="18"/>
                <w:szCs w:val="18"/>
              </w:rPr>
              <w:t>Car</w:t>
            </w:r>
            <w:r w:rsidR="003C7FB2">
              <w:rPr>
                <w:color w:val="000000"/>
                <w:sz w:val="18"/>
                <w:szCs w:val="18"/>
              </w:rPr>
              <w:t xml:space="preserve"> </w:t>
            </w:r>
            <w:r w:rsidRPr="00F71324">
              <w:rPr>
                <w:color w:val="000000"/>
                <w:sz w:val="18"/>
                <w:szCs w:val="18"/>
              </w:rPr>
              <w:t>with</w:t>
            </w:r>
            <w:r w:rsidR="003C7FB2">
              <w:rPr>
                <w:color w:val="000000"/>
                <w:sz w:val="18"/>
                <w:szCs w:val="18"/>
              </w:rPr>
              <w:t xml:space="preserve"> </w:t>
            </w:r>
            <w:r w:rsidRPr="00F71324">
              <w:rPr>
                <w:color w:val="000000"/>
                <w:sz w:val="18"/>
                <w:szCs w:val="18"/>
              </w:rPr>
              <w:t>occasional</w:t>
            </w:r>
            <w:r w:rsidR="003C7FB2">
              <w:rPr>
                <w:color w:val="000000"/>
                <w:sz w:val="18"/>
                <w:szCs w:val="18"/>
              </w:rPr>
              <w:t xml:space="preserve"> </w:t>
            </w:r>
            <w:r w:rsidRPr="00F71324">
              <w:rPr>
                <w:color w:val="000000"/>
                <w:sz w:val="18"/>
                <w:szCs w:val="18"/>
              </w:rPr>
              <w:t>walking</w:t>
            </w:r>
          </w:p>
        </w:tc>
        <w:tc>
          <w:tcPr>
            <w:tcW w:w="1871" w:type="dxa"/>
            <w:vAlign w:val="bottom"/>
          </w:tcPr>
          <w:p w14:paraId="7582F4A3" w14:textId="09BA7675" w:rsidR="00F971D8" w:rsidRPr="0011095F" w:rsidRDefault="00F971D8" w:rsidP="00D9387F">
            <w:pPr>
              <w:jc w:val="both"/>
              <w:rPr>
                <w:sz w:val="18"/>
                <w:szCs w:val="18"/>
              </w:rPr>
            </w:pPr>
            <w:r w:rsidRPr="0011095F">
              <w:rPr>
                <w:color w:val="000000"/>
                <w:sz w:val="18"/>
                <w:szCs w:val="18"/>
              </w:rPr>
              <w:t>-0.26</w:t>
            </w:r>
            <w:r w:rsidR="003C7FB2">
              <w:rPr>
                <w:color w:val="000000"/>
                <w:sz w:val="18"/>
                <w:szCs w:val="18"/>
              </w:rPr>
              <w:t xml:space="preserve"> </w:t>
            </w:r>
            <w:r>
              <w:rPr>
                <w:color w:val="000000"/>
                <w:sz w:val="18"/>
                <w:szCs w:val="18"/>
              </w:rPr>
              <w:t>(</w:t>
            </w:r>
            <w:r w:rsidRPr="0011095F">
              <w:rPr>
                <w:color w:val="000000"/>
                <w:sz w:val="18"/>
                <w:szCs w:val="18"/>
              </w:rPr>
              <w:t>-1.96,</w:t>
            </w:r>
            <w:r w:rsidR="003C7FB2">
              <w:rPr>
                <w:color w:val="000000"/>
                <w:sz w:val="18"/>
                <w:szCs w:val="18"/>
              </w:rPr>
              <w:t xml:space="preserve"> </w:t>
            </w:r>
            <w:r w:rsidRPr="0011095F">
              <w:rPr>
                <w:color w:val="000000"/>
                <w:sz w:val="18"/>
                <w:szCs w:val="18"/>
              </w:rPr>
              <w:t>1.45</w:t>
            </w:r>
            <w:r>
              <w:rPr>
                <w:color w:val="000000"/>
                <w:sz w:val="18"/>
                <w:szCs w:val="18"/>
              </w:rPr>
              <w:t>)</w:t>
            </w:r>
            <w:r w:rsidR="003C7FB2">
              <w:rPr>
                <w:color w:val="000000"/>
                <w:sz w:val="18"/>
                <w:szCs w:val="18"/>
              </w:rPr>
              <w:t xml:space="preserve">       </w:t>
            </w:r>
          </w:p>
        </w:tc>
        <w:tc>
          <w:tcPr>
            <w:tcW w:w="1848" w:type="dxa"/>
            <w:vAlign w:val="bottom"/>
          </w:tcPr>
          <w:p w14:paraId="3BEFF672" w14:textId="5F5CC548" w:rsidR="00F971D8" w:rsidRPr="0011095F" w:rsidRDefault="00F971D8" w:rsidP="00D9387F">
            <w:pPr>
              <w:jc w:val="both"/>
              <w:rPr>
                <w:sz w:val="18"/>
                <w:szCs w:val="18"/>
              </w:rPr>
            </w:pPr>
            <w:r>
              <w:rPr>
                <w:color w:val="000000"/>
                <w:sz w:val="18"/>
                <w:szCs w:val="18"/>
              </w:rPr>
              <w:t>-</w:t>
            </w:r>
            <w:r w:rsidRPr="0011095F">
              <w:rPr>
                <w:color w:val="000000"/>
                <w:sz w:val="18"/>
                <w:szCs w:val="18"/>
              </w:rPr>
              <w:t>0.09</w:t>
            </w:r>
            <w:r w:rsidR="003C7FB2">
              <w:rPr>
                <w:color w:val="000000"/>
                <w:sz w:val="18"/>
                <w:szCs w:val="18"/>
              </w:rPr>
              <w:t xml:space="preserve"> </w:t>
            </w:r>
            <w:r>
              <w:rPr>
                <w:color w:val="000000"/>
                <w:sz w:val="18"/>
                <w:szCs w:val="18"/>
              </w:rPr>
              <w:t>(</w:t>
            </w:r>
            <w:r w:rsidRPr="0011095F">
              <w:rPr>
                <w:color w:val="000000"/>
                <w:sz w:val="18"/>
                <w:szCs w:val="18"/>
              </w:rPr>
              <w:t>-1.75,</w:t>
            </w:r>
            <w:r w:rsidR="003C7FB2">
              <w:rPr>
                <w:color w:val="000000"/>
                <w:sz w:val="18"/>
                <w:szCs w:val="18"/>
              </w:rPr>
              <w:t xml:space="preserve"> </w:t>
            </w:r>
            <w:r w:rsidRPr="0011095F">
              <w:rPr>
                <w:color w:val="000000"/>
                <w:sz w:val="18"/>
                <w:szCs w:val="18"/>
              </w:rPr>
              <w:t>1.57</w:t>
            </w:r>
            <w:r>
              <w:rPr>
                <w:color w:val="000000"/>
                <w:sz w:val="18"/>
                <w:szCs w:val="18"/>
              </w:rPr>
              <w:t>)</w:t>
            </w:r>
          </w:p>
        </w:tc>
        <w:tc>
          <w:tcPr>
            <w:tcW w:w="1848" w:type="dxa"/>
            <w:vAlign w:val="bottom"/>
          </w:tcPr>
          <w:p w14:paraId="7FCE362C" w14:textId="1B5BBA26" w:rsidR="00F971D8" w:rsidRPr="0011095F" w:rsidRDefault="00F971D8" w:rsidP="00D9387F">
            <w:pPr>
              <w:jc w:val="both"/>
              <w:rPr>
                <w:sz w:val="18"/>
                <w:szCs w:val="18"/>
              </w:rPr>
            </w:pPr>
            <w:r w:rsidRPr="0011095F">
              <w:rPr>
                <w:color w:val="000000"/>
                <w:sz w:val="18"/>
                <w:szCs w:val="18"/>
              </w:rPr>
              <w:t>-0.35</w:t>
            </w:r>
            <w:r w:rsidR="003C7FB2">
              <w:rPr>
                <w:color w:val="000000"/>
                <w:sz w:val="18"/>
                <w:szCs w:val="18"/>
              </w:rPr>
              <w:t xml:space="preserve"> </w:t>
            </w:r>
            <w:r>
              <w:rPr>
                <w:color w:val="000000"/>
                <w:sz w:val="18"/>
                <w:szCs w:val="18"/>
              </w:rPr>
              <w:t>(</w:t>
            </w:r>
            <w:r w:rsidRPr="0011095F">
              <w:rPr>
                <w:color w:val="000000"/>
                <w:sz w:val="18"/>
                <w:szCs w:val="18"/>
              </w:rPr>
              <w:t>-2.01,</w:t>
            </w:r>
            <w:r w:rsidR="003C7FB2">
              <w:rPr>
                <w:color w:val="000000"/>
                <w:sz w:val="18"/>
                <w:szCs w:val="18"/>
              </w:rPr>
              <w:t xml:space="preserve"> </w:t>
            </w:r>
            <w:r w:rsidRPr="0011095F">
              <w:rPr>
                <w:color w:val="000000"/>
                <w:sz w:val="18"/>
                <w:szCs w:val="18"/>
              </w:rPr>
              <w:t>1.31</w:t>
            </w:r>
            <w:r>
              <w:rPr>
                <w:color w:val="000000"/>
                <w:sz w:val="18"/>
                <w:szCs w:val="18"/>
              </w:rPr>
              <w:t>)</w:t>
            </w:r>
          </w:p>
        </w:tc>
        <w:tc>
          <w:tcPr>
            <w:tcW w:w="1927" w:type="dxa"/>
            <w:vAlign w:val="bottom"/>
          </w:tcPr>
          <w:p w14:paraId="2501301F" w14:textId="6CD01C3F" w:rsidR="00F971D8" w:rsidRPr="0011095F" w:rsidRDefault="00F971D8" w:rsidP="00D9387F">
            <w:pPr>
              <w:jc w:val="both"/>
              <w:rPr>
                <w:color w:val="000000"/>
                <w:sz w:val="18"/>
                <w:szCs w:val="18"/>
              </w:rPr>
            </w:pPr>
            <w:r w:rsidRPr="0011095F">
              <w:rPr>
                <w:color w:val="000000"/>
                <w:sz w:val="18"/>
                <w:szCs w:val="18"/>
              </w:rPr>
              <w:t>-0.31</w:t>
            </w:r>
            <w:r w:rsidR="003C7FB2">
              <w:rPr>
                <w:color w:val="000000"/>
                <w:sz w:val="18"/>
                <w:szCs w:val="18"/>
              </w:rPr>
              <w:t xml:space="preserve"> </w:t>
            </w:r>
            <w:r>
              <w:rPr>
                <w:color w:val="000000"/>
                <w:sz w:val="18"/>
                <w:szCs w:val="18"/>
              </w:rPr>
              <w:t>(</w:t>
            </w:r>
            <w:r w:rsidRPr="0011095F">
              <w:rPr>
                <w:color w:val="000000"/>
                <w:sz w:val="18"/>
                <w:szCs w:val="18"/>
              </w:rPr>
              <w:t>-1.90,</w:t>
            </w:r>
            <w:r w:rsidR="003C7FB2">
              <w:rPr>
                <w:color w:val="000000"/>
                <w:sz w:val="18"/>
                <w:szCs w:val="18"/>
              </w:rPr>
              <w:t xml:space="preserve"> </w:t>
            </w:r>
            <w:r w:rsidRPr="0011095F">
              <w:rPr>
                <w:color w:val="000000"/>
                <w:sz w:val="18"/>
                <w:szCs w:val="18"/>
              </w:rPr>
              <w:t>1.27</w:t>
            </w:r>
            <w:r>
              <w:rPr>
                <w:color w:val="000000"/>
                <w:sz w:val="18"/>
                <w:szCs w:val="18"/>
              </w:rPr>
              <w:t>)</w:t>
            </w:r>
          </w:p>
        </w:tc>
      </w:tr>
      <w:tr w:rsidR="00F971D8" w14:paraId="40F638E2" w14:textId="77777777" w:rsidTr="00D9387F">
        <w:tc>
          <w:tcPr>
            <w:tcW w:w="1857" w:type="dxa"/>
            <w:vAlign w:val="center"/>
          </w:tcPr>
          <w:p w14:paraId="4257C729" w14:textId="15F6FCF5" w:rsidR="00F971D8" w:rsidRPr="00F71324" w:rsidRDefault="00F971D8" w:rsidP="00D9387F">
            <w:pPr>
              <w:rPr>
                <w:color w:val="000000"/>
                <w:sz w:val="18"/>
                <w:szCs w:val="18"/>
              </w:rPr>
            </w:pPr>
            <w:r w:rsidRPr="00F71324">
              <w:rPr>
                <w:color w:val="000000"/>
                <w:sz w:val="18"/>
                <w:szCs w:val="18"/>
              </w:rPr>
              <w:t>Car</w:t>
            </w:r>
            <w:r w:rsidR="003C7FB2">
              <w:rPr>
                <w:color w:val="000000"/>
                <w:sz w:val="18"/>
                <w:szCs w:val="18"/>
              </w:rPr>
              <w:t xml:space="preserve"> </w:t>
            </w:r>
            <w:r w:rsidRPr="00F71324">
              <w:rPr>
                <w:color w:val="000000"/>
                <w:sz w:val="18"/>
                <w:szCs w:val="18"/>
              </w:rPr>
              <w:t>with</w:t>
            </w:r>
            <w:r w:rsidR="003C7FB2">
              <w:rPr>
                <w:color w:val="000000"/>
                <w:sz w:val="18"/>
                <w:szCs w:val="18"/>
              </w:rPr>
              <w:t xml:space="preserve"> </w:t>
            </w:r>
            <w:r w:rsidRPr="00F71324">
              <w:rPr>
                <w:color w:val="000000"/>
                <w:sz w:val="18"/>
                <w:szCs w:val="18"/>
              </w:rPr>
              <w:t>occasional</w:t>
            </w:r>
            <w:r w:rsidR="003C7FB2">
              <w:rPr>
                <w:color w:val="000000"/>
                <w:sz w:val="18"/>
                <w:szCs w:val="18"/>
              </w:rPr>
              <w:t xml:space="preserve"> </w:t>
            </w:r>
            <w:r w:rsidRPr="00F71324">
              <w:rPr>
                <w:color w:val="000000"/>
                <w:sz w:val="18"/>
                <w:szCs w:val="18"/>
              </w:rPr>
              <w:t>cycling</w:t>
            </w:r>
          </w:p>
        </w:tc>
        <w:tc>
          <w:tcPr>
            <w:tcW w:w="1871" w:type="dxa"/>
            <w:vAlign w:val="bottom"/>
          </w:tcPr>
          <w:p w14:paraId="3C803DE5" w14:textId="5A93EE9B" w:rsidR="00F971D8" w:rsidRPr="0011095F" w:rsidRDefault="00F971D8" w:rsidP="00D9387F">
            <w:pPr>
              <w:rPr>
                <w:color w:val="000000"/>
                <w:sz w:val="18"/>
                <w:szCs w:val="18"/>
              </w:rPr>
            </w:pPr>
            <w:r w:rsidRPr="0011095F">
              <w:rPr>
                <w:rFonts w:ascii="Calibri" w:hAnsi="Calibri"/>
                <w:color w:val="000000"/>
                <w:sz w:val="18"/>
                <w:szCs w:val="18"/>
              </w:rPr>
              <w:t>-1.39</w:t>
            </w:r>
            <w:r w:rsidR="003C7FB2">
              <w:rPr>
                <w:rFonts w:ascii="Calibri" w:hAnsi="Calibri"/>
                <w:color w:val="000000"/>
                <w:sz w:val="18"/>
                <w:szCs w:val="18"/>
              </w:rPr>
              <w:t xml:space="preserve"> </w:t>
            </w:r>
            <w:r>
              <w:rPr>
                <w:rFonts w:ascii="Calibri" w:hAnsi="Calibri"/>
                <w:color w:val="000000"/>
                <w:sz w:val="18"/>
                <w:szCs w:val="18"/>
              </w:rPr>
              <w:t>(</w:t>
            </w:r>
            <w:r w:rsidRPr="0011095F">
              <w:rPr>
                <w:rFonts w:ascii="Calibri" w:hAnsi="Calibri"/>
                <w:color w:val="000000"/>
                <w:sz w:val="18"/>
                <w:szCs w:val="18"/>
              </w:rPr>
              <w:t>-2.44,</w:t>
            </w:r>
            <w:r w:rsidR="003C7FB2">
              <w:rPr>
                <w:rFonts w:ascii="Calibri" w:hAnsi="Calibri"/>
                <w:color w:val="000000"/>
                <w:sz w:val="18"/>
                <w:szCs w:val="18"/>
              </w:rPr>
              <w:t xml:space="preserve"> </w:t>
            </w:r>
            <w:r w:rsidRPr="0011095F">
              <w:rPr>
                <w:rFonts w:ascii="Calibri" w:hAnsi="Calibri"/>
                <w:color w:val="000000"/>
                <w:sz w:val="18"/>
                <w:szCs w:val="18"/>
              </w:rPr>
              <w:t>-0.33</w:t>
            </w:r>
            <w:r>
              <w:rPr>
                <w:rFonts w:ascii="Calibri" w:hAnsi="Calibri"/>
                <w:color w:val="000000"/>
                <w:sz w:val="18"/>
                <w:szCs w:val="18"/>
              </w:rPr>
              <w:t>)</w:t>
            </w:r>
            <w:r w:rsidR="003C7FB2">
              <w:rPr>
                <w:rFonts w:ascii="Calibri" w:hAnsi="Calibri"/>
                <w:color w:val="000000"/>
                <w:sz w:val="18"/>
                <w:szCs w:val="18"/>
              </w:rPr>
              <w:t xml:space="preserve">        </w:t>
            </w:r>
          </w:p>
        </w:tc>
        <w:tc>
          <w:tcPr>
            <w:tcW w:w="1848" w:type="dxa"/>
            <w:vAlign w:val="bottom"/>
          </w:tcPr>
          <w:p w14:paraId="1ED35768" w14:textId="53C28BCA" w:rsidR="00F971D8" w:rsidRPr="0011095F" w:rsidRDefault="00F971D8" w:rsidP="00D9387F">
            <w:pPr>
              <w:rPr>
                <w:color w:val="000000"/>
                <w:sz w:val="18"/>
                <w:szCs w:val="18"/>
              </w:rPr>
            </w:pPr>
            <w:r w:rsidRPr="0011095F">
              <w:rPr>
                <w:rFonts w:ascii="Calibri" w:hAnsi="Calibri"/>
                <w:color w:val="000000"/>
                <w:sz w:val="18"/>
                <w:szCs w:val="18"/>
              </w:rPr>
              <w:t>0.99</w:t>
            </w:r>
            <w:r w:rsidR="003C7FB2">
              <w:rPr>
                <w:rFonts w:ascii="Calibri" w:hAnsi="Calibri"/>
                <w:color w:val="000000"/>
                <w:sz w:val="18"/>
                <w:szCs w:val="18"/>
              </w:rPr>
              <w:t xml:space="preserve"> </w:t>
            </w:r>
            <w:r>
              <w:rPr>
                <w:rFonts w:ascii="Calibri" w:hAnsi="Calibri"/>
                <w:color w:val="000000"/>
                <w:sz w:val="18"/>
                <w:szCs w:val="18"/>
              </w:rPr>
              <w:t>(</w:t>
            </w:r>
            <w:r w:rsidRPr="0011095F">
              <w:rPr>
                <w:rFonts w:ascii="Calibri" w:hAnsi="Calibri"/>
                <w:color w:val="000000"/>
                <w:sz w:val="18"/>
                <w:szCs w:val="18"/>
              </w:rPr>
              <w:t>-2.04,</w:t>
            </w:r>
            <w:r w:rsidR="003C7FB2">
              <w:rPr>
                <w:rFonts w:ascii="Calibri" w:hAnsi="Calibri"/>
                <w:color w:val="000000"/>
                <w:sz w:val="18"/>
                <w:szCs w:val="18"/>
              </w:rPr>
              <w:t xml:space="preserve"> </w:t>
            </w:r>
            <w:r w:rsidRPr="0011095F">
              <w:rPr>
                <w:rFonts w:ascii="Calibri" w:hAnsi="Calibri"/>
                <w:color w:val="000000"/>
                <w:sz w:val="18"/>
                <w:szCs w:val="18"/>
              </w:rPr>
              <w:t>0.05</w:t>
            </w:r>
            <w:r>
              <w:rPr>
                <w:rFonts w:ascii="Calibri" w:hAnsi="Calibri"/>
                <w:color w:val="000000"/>
                <w:sz w:val="18"/>
                <w:szCs w:val="18"/>
              </w:rPr>
              <w:t>)</w:t>
            </w:r>
          </w:p>
        </w:tc>
        <w:tc>
          <w:tcPr>
            <w:tcW w:w="1848" w:type="dxa"/>
            <w:vAlign w:val="bottom"/>
          </w:tcPr>
          <w:p w14:paraId="2CCCE2C3" w14:textId="11C38358" w:rsidR="00F971D8" w:rsidRPr="0011095F" w:rsidRDefault="00F971D8" w:rsidP="00D9387F">
            <w:pPr>
              <w:rPr>
                <w:color w:val="000000"/>
                <w:sz w:val="18"/>
                <w:szCs w:val="18"/>
              </w:rPr>
            </w:pPr>
            <w:r w:rsidRPr="0011095F">
              <w:rPr>
                <w:rFonts w:ascii="Calibri" w:hAnsi="Calibri"/>
                <w:color w:val="000000"/>
                <w:sz w:val="18"/>
                <w:szCs w:val="18"/>
              </w:rPr>
              <w:t>-0.88</w:t>
            </w:r>
            <w:r w:rsidR="003C7FB2">
              <w:rPr>
                <w:rFonts w:ascii="Calibri" w:hAnsi="Calibri"/>
                <w:color w:val="000000"/>
                <w:sz w:val="18"/>
                <w:szCs w:val="18"/>
              </w:rPr>
              <w:t xml:space="preserve"> </w:t>
            </w:r>
            <w:r>
              <w:rPr>
                <w:rFonts w:ascii="Calibri" w:hAnsi="Calibri"/>
                <w:color w:val="000000"/>
                <w:sz w:val="18"/>
                <w:szCs w:val="18"/>
              </w:rPr>
              <w:t>(</w:t>
            </w:r>
            <w:r w:rsidRPr="0011095F">
              <w:rPr>
                <w:rFonts w:ascii="Calibri" w:hAnsi="Calibri"/>
                <w:color w:val="000000"/>
                <w:sz w:val="18"/>
                <w:szCs w:val="18"/>
              </w:rPr>
              <w:t>-1.92,</w:t>
            </w:r>
            <w:r w:rsidR="003C7FB2">
              <w:rPr>
                <w:rFonts w:ascii="Calibri" w:hAnsi="Calibri"/>
                <w:color w:val="000000"/>
                <w:sz w:val="18"/>
                <w:szCs w:val="18"/>
              </w:rPr>
              <w:t xml:space="preserve"> </w:t>
            </w:r>
            <w:r w:rsidRPr="0011095F">
              <w:rPr>
                <w:rFonts w:ascii="Calibri" w:hAnsi="Calibri"/>
                <w:color w:val="000000"/>
                <w:sz w:val="18"/>
                <w:szCs w:val="18"/>
              </w:rPr>
              <w:t>0.16</w:t>
            </w:r>
            <w:r>
              <w:rPr>
                <w:rFonts w:ascii="Calibri" w:hAnsi="Calibri"/>
                <w:color w:val="000000"/>
                <w:sz w:val="18"/>
                <w:szCs w:val="18"/>
              </w:rPr>
              <w:t>)</w:t>
            </w:r>
          </w:p>
        </w:tc>
        <w:tc>
          <w:tcPr>
            <w:tcW w:w="1927" w:type="dxa"/>
            <w:vAlign w:val="bottom"/>
          </w:tcPr>
          <w:p w14:paraId="4B240C3C" w14:textId="711DAF12" w:rsidR="00F971D8" w:rsidRPr="0011095F" w:rsidRDefault="00F971D8" w:rsidP="00D9387F">
            <w:pPr>
              <w:rPr>
                <w:color w:val="000000"/>
                <w:sz w:val="18"/>
                <w:szCs w:val="18"/>
              </w:rPr>
            </w:pPr>
            <w:r w:rsidRPr="0011095F">
              <w:rPr>
                <w:rFonts w:ascii="Calibri" w:hAnsi="Calibri"/>
                <w:color w:val="000000"/>
                <w:sz w:val="18"/>
                <w:szCs w:val="18"/>
              </w:rPr>
              <w:t>-0.81</w:t>
            </w:r>
            <w:r w:rsidR="003C7FB2">
              <w:rPr>
                <w:rFonts w:ascii="Calibri" w:hAnsi="Calibri"/>
                <w:color w:val="000000"/>
                <w:sz w:val="18"/>
                <w:szCs w:val="18"/>
              </w:rPr>
              <w:t xml:space="preserve"> </w:t>
            </w:r>
            <w:r>
              <w:rPr>
                <w:rFonts w:ascii="Calibri" w:hAnsi="Calibri"/>
                <w:color w:val="000000"/>
                <w:sz w:val="18"/>
                <w:szCs w:val="18"/>
              </w:rPr>
              <w:t>(</w:t>
            </w:r>
            <w:r w:rsidRPr="0011095F">
              <w:rPr>
                <w:rFonts w:ascii="Calibri" w:hAnsi="Calibri"/>
                <w:color w:val="000000"/>
                <w:sz w:val="18"/>
                <w:szCs w:val="18"/>
              </w:rPr>
              <w:t>-1.81,</w:t>
            </w:r>
            <w:r w:rsidR="003C7FB2">
              <w:rPr>
                <w:rFonts w:ascii="Calibri" w:hAnsi="Calibri"/>
                <w:color w:val="000000"/>
                <w:sz w:val="18"/>
                <w:szCs w:val="18"/>
              </w:rPr>
              <w:t xml:space="preserve"> </w:t>
            </w:r>
            <w:r w:rsidRPr="0011095F">
              <w:rPr>
                <w:rFonts w:ascii="Calibri" w:hAnsi="Calibri"/>
                <w:color w:val="000000"/>
                <w:sz w:val="18"/>
                <w:szCs w:val="18"/>
              </w:rPr>
              <w:t>0.19</w:t>
            </w:r>
            <w:r>
              <w:rPr>
                <w:rFonts w:ascii="Calibri" w:hAnsi="Calibri"/>
                <w:color w:val="000000"/>
                <w:sz w:val="18"/>
                <w:szCs w:val="18"/>
              </w:rPr>
              <w:t>)</w:t>
            </w:r>
          </w:p>
        </w:tc>
      </w:tr>
      <w:tr w:rsidR="00F971D8" w14:paraId="0D8A83FB" w14:textId="77777777" w:rsidTr="00D9387F">
        <w:tc>
          <w:tcPr>
            <w:tcW w:w="7424" w:type="dxa"/>
            <w:gridSpan w:val="4"/>
            <w:vAlign w:val="center"/>
          </w:tcPr>
          <w:p w14:paraId="40F0FCD6" w14:textId="10B52377" w:rsidR="00F971D8" w:rsidRPr="0011095F" w:rsidRDefault="00F971D8" w:rsidP="00D9387F">
            <w:pPr>
              <w:jc w:val="both"/>
              <w:rPr>
                <w:b/>
                <w:color w:val="000000"/>
                <w:sz w:val="18"/>
                <w:szCs w:val="18"/>
              </w:rPr>
            </w:pPr>
            <w:r>
              <w:rPr>
                <w:b/>
                <w:bCs/>
                <w:color w:val="000000"/>
                <w:sz w:val="18"/>
                <w:szCs w:val="18"/>
              </w:rPr>
              <w:t>Participants</w:t>
            </w:r>
            <w:r w:rsidR="003C7FB2">
              <w:rPr>
                <w:b/>
                <w:bCs/>
                <w:color w:val="000000"/>
                <w:sz w:val="18"/>
                <w:szCs w:val="18"/>
              </w:rPr>
              <w:t xml:space="preserve"> </w:t>
            </w:r>
            <w:r>
              <w:rPr>
                <w:b/>
                <w:bCs/>
                <w:color w:val="000000"/>
                <w:sz w:val="18"/>
                <w:szCs w:val="18"/>
              </w:rPr>
              <w:t>living</w:t>
            </w:r>
            <w:r w:rsidR="003C7FB2">
              <w:rPr>
                <w:b/>
                <w:bCs/>
                <w:color w:val="000000"/>
                <w:sz w:val="18"/>
                <w:szCs w:val="18"/>
              </w:rPr>
              <w:t xml:space="preserve"> </w:t>
            </w:r>
            <w:r>
              <w:rPr>
                <w:b/>
                <w:bCs/>
                <w:color w:val="000000"/>
                <w:sz w:val="18"/>
                <w:szCs w:val="18"/>
              </w:rPr>
              <w:t>five</w:t>
            </w:r>
            <w:r w:rsidR="003C7FB2">
              <w:rPr>
                <w:b/>
                <w:bCs/>
                <w:color w:val="000000"/>
                <w:sz w:val="18"/>
                <w:szCs w:val="18"/>
              </w:rPr>
              <w:t xml:space="preserve"> </w:t>
            </w:r>
            <w:r>
              <w:rPr>
                <w:b/>
                <w:bCs/>
                <w:color w:val="000000"/>
                <w:sz w:val="18"/>
                <w:szCs w:val="18"/>
              </w:rPr>
              <w:t>miles</w:t>
            </w:r>
            <w:r w:rsidR="003C7FB2">
              <w:rPr>
                <w:b/>
                <w:bCs/>
                <w:color w:val="000000"/>
                <w:sz w:val="18"/>
                <w:szCs w:val="18"/>
              </w:rPr>
              <w:t xml:space="preserve"> </w:t>
            </w:r>
            <w:r>
              <w:rPr>
                <w:b/>
                <w:bCs/>
                <w:color w:val="000000"/>
                <w:sz w:val="18"/>
                <w:szCs w:val="18"/>
              </w:rPr>
              <w:t>or</w:t>
            </w:r>
            <w:r w:rsidR="003C7FB2">
              <w:rPr>
                <w:b/>
                <w:bCs/>
                <w:color w:val="000000"/>
                <w:sz w:val="18"/>
                <w:szCs w:val="18"/>
              </w:rPr>
              <w:t xml:space="preserve"> </w:t>
            </w:r>
            <w:r>
              <w:rPr>
                <w:b/>
                <w:bCs/>
                <w:color w:val="000000"/>
                <w:sz w:val="18"/>
                <w:szCs w:val="18"/>
              </w:rPr>
              <w:t>further</w:t>
            </w:r>
            <w:r w:rsidR="003C7FB2">
              <w:rPr>
                <w:b/>
                <w:bCs/>
                <w:color w:val="000000"/>
                <w:sz w:val="18"/>
                <w:szCs w:val="18"/>
              </w:rPr>
              <w:t xml:space="preserve"> </w:t>
            </w:r>
            <w:r>
              <w:rPr>
                <w:b/>
                <w:bCs/>
                <w:color w:val="000000"/>
                <w:sz w:val="18"/>
                <w:szCs w:val="18"/>
              </w:rPr>
              <w:t>from</w:t>
            </w:r>
            <w:r w:rsidR="003C7FB2">
              <w:rPr>
                <w:b/>
                <w:bCs/>
                <w:color w:val="000000"/>
                <w:sz w:val="18"/>
                <w:szCs w:val="18"/>
              </w:rPr>
              <w:t xml:space="preserve"> </w:t>
            </w:r>
            <w:r>
              <w:rPr>
                <w:b/>
                <w:bCs/>
                <w:color w:val="000000"/>
                <w:sz w:val="18"/>
                <w:szCs w:val="18"/>
              </w:rPr>
              <w:t>work</w:t>
            </w:r>
            <w:r w:rsidR="003C7FB2">
              <w:rPr>
                <w:b/>
                <w:bCs/>
                <w:color w:val="000000"/>
                <w:sz w:val="18"/>
                <w:szCs w:val="18"/>
              </w:rPr>
              <w:t xml:space="preserve"> </w:t>
            </w:r>
            <w:r>
              <w:rPr>
                <w:b/>
                <w:bCs/>
                <w:color w:val="000000"/>
                <w:sz w:val="18"/>
                <w:szCs w:val="18"/>
              </w:rPr>
              <w:t>(n=4413</w:t>
            </w:r>
            <w:r w:rsidRPr="0011095F">
              <w:rPr>
                <w:b/>
                <w:bCs/>
                <w:color w:val="000000"/>
                <w:sz w:val="18"/>
                <w:szCs w:val="18"/>
              </w:rPr>
              <w:t>)</w:t>
            </w:r>
          </w:p>
        </w:tc>
        <w:tc>
          <w:tcPr>
            <w:tcW w:w="1927" w:type="dxa"/>
          </w:tcPr>
          <w:p w14:paraId="78206333" w14:textId="77777777" w:rsidR="00F971D8" w:rsidRPr="0011095F" w:rsidRDefault="00F971D8" w:rsidP="00D9387F">
            <w:pPr>
              <w:jc w:val="both"/>
              <w:rPr>
                <w:b/>
                <w:bCs/>
                <w:color w:val="000000"/>
                <w:sz w:val="18"/>
                <w:szCs w:val="18"/>
              </w:rPr>
            </w:pPr>
          </w:p>
        </w:tc>
      </w:tr>
      <w:tr w:rsidR="00F971D8" w14:paraId="3125C25C" w14:textId="77777777" w:rsidTr="00D9387F">
        <w:tc>
          <w:tcPr>
            <w:tcW w:w="1857" w:type="dxa"/>
            <w:vAlign w:val="center"/>
          </w:tcPr>
          <w:p w14:paraId="15F5EFC1" w14:textId="7630B562" w:rsidR="00F971D8" w:rsidRPr="00F71324" w:rsidRDefault="00F971D8" w:rsidP="00D9387F">
            <w:pPr>
              <w:rPr>
                <w:sz w:val="18"/>
                <w:szCs w:val="18"/>
              </w:rPr>
            </w:pPr>
            <w:r>
              <w:rPr>
                <w:b/>
                <w:bCs/>
                <w:color w:val="000000"/>
                <w:sz w:val="18"/>
                <w:szCs w:val="18"/>
              </w:rPr>
              <w:t>Women</w:t>
            </w:r>
            <w:r w:rsidR="003C7FB2">
              <w:rPr>
                <w:b/>
                <w:bCs/>
                <w:color w:val="000000"/>
                <w:sz w:val="18"/>
                <w:szCs w:val="18"/>
              </w:rPr>
              <w:t xml:space="preserve"> </w:t>
            </w:r>
            <w:r>
              <w:rPr>
                <w:b/>
                <w:bCs/>
                <w:color w:val="000000"/>
                <w:sz w:val="18"/>
                <w:szCs w:val="18"/>
              </w:rPr>
              <w:t>(n=1950</w:t>
            </w:r>
            <w:r w:rsidRPr="00F71324">
              <w:rPr>
                <w:b/>
                <w:bCs/>
                <w:color w:val="000000"/>
                <w:sz w:val="18"/>
                <w:szCs w:val="18"/>
              </w:rPr>
              <w:t>)</w:t>
            </w:r>
          </w:p>
        </w:tc>
        <w:tc>
          <w:tcPr>
            <w:tcW w:w="1871" w:type="dxa"/>
            <w:vAlign w:val="center"/>
          </w:tcPr>
          <w:p w14:paraId="16FB821A" w14:textId="5E4412DF" w:rsidR="00F971D8" w:rsidRPr="0011095F" w:rsidRDefault="003C7FB2" w:rsidP="00D9387F">
            <w:pPr>
              <w:jc w:val="both"/>
              <w:rPr>
                <w:sz w:val="18"/>
                <w:szCs w:val="18"/>
              </w:rPr>
            </w:pPr>
            <w:r>
              <w:rPr>
                <w:color w:val="000000"/>
                <w:sz w:val="18"/>
                <w:szCs w:val="18"/>
              </w:rPr>
              <w:t xml:space="preserve"> </w:t>
            </w:r>
          </w:p>
        </w:tc>
        <w:tc>
          <w:tcPr>
            <w:tcW w:w="1848" w:type="dxa"/>
            <w:vAlign w:val="center"/>
          </w:tcPr>
          <w:p w14:paraId="49BAE1C2" w14:textId="1050FF03" w:rsidR="00F971D8" w:rsidRPr="0011095F" w:rsidRDefault="003C7FB2" w:rsidP="00D9387F">
            <w:pPr>
              <w:jc w:val="both"/>
              <w:rPr>
                <w:sz w:val="18"/>
                <w:szCs w:val="18"/>
              </w:rPr>
            </w:pPr>
            <w:r>
              <w:rPr>
                <w:color w:val="000000"/>
                <w:sz w:val="18"/>
                <w:szCs w:val="18"/>
              </w:rPr>
              <w:t xml:space="preserve"> </w:t>
            </w:r>
          </w:p>
        </w:tc>
        <w:tc>
          <w:tcPr>
            <w:tcW w:w="1848" w:type="dxa"/>
            <w:vAlign w:val="center"/>
          </w:tcPr>
          <w:p w14:paraId="21739FCD" w14:textId="3EEA170A" w:rsidR="00F971D8" w:rsidRPr="0011095F" w:rsidRDefault="003C7FB2" w:rsidP="00D9387F">
            <w:pPr>
              <w:jc w:val="both"/>
              <w:rPr>
                <w:sz w:val="18"/>
                <w:szCs w:val="18"/>
              </w:rPr>
            </w:pPr>
            <w:r>
              <w:rPr>
                <w:color w:val="000000"/>
                <w:sz w:val="18"/>
                <w:szCs w:val="18"/>
              </w:rPr>
              <w:t xml:space="preserve"> </w:t>
            </w:r>
          </w:p>
        </w:tc>
        <w:tc>
          <w:tcPr>
            <w:tcW w:w="1927" w:type="dxa"/>
          </w:tcPr>
          <w:p w14:paraId="6BC64A85" w14:textId="77777777" w:rsidR="00F971D8" w:rsidRPr="0011095F" w:rsidRDefault="00F971D8" w:rsidP="00D9387F">
            <w:pPr>
              <w:jc w:val="both"/>
              <w:rPr>
                <w:color w:val="000000"/>
                <w:sz w:val="18"/>
                <w:szCs w:val="18"/>
              </w:rPr>
            </w:pPr>
          </w:p>
        </w:tc>
      </w:tr>
      <w:tr w:rsidR="00F971D8" w14:paraId="35841DDB" w14:textId="77777777" w:rsidTr="00D9387F">
        <w:tc>
          <w:tcPr>
            <w:tcW w:w="1857" w:type="dxa"/>
            <w:vAlign w:val="center"/>
          </w:tcPr>
          <w:p w14:paraId="109E0895" w14:textId="08EE8C70" w:rsidR="00F971D8" w:rsidRPr="00F71324" w:rsidRDefault="00F971D8" w:rsidP="00D9387F">
            <w:pPr>
              <w:rPr>
                <w:sz w:val="18"/>
                <w:szCs w:val="18"/>
              </w:rPr>
            </w:pPr>
            <w:r w:rsidRPr="00F71324">
              <w:rPr>
                <w:color w:val="000000"/>
                <w:sz w:val="18"/>
                <w:szCs w:val="18"/>
              </w:rPr>
              <w:t>Car</w:t>
            </w:r>
            <w:r w:rsidR="003C7FB2">
              <w:rPr>
                <w:color w:val="000000"/>
                <w:sz w:val="18"/>
                <w:szCs w:val="18"/>
              </w:rPr>
              <w:t xml:space="preserve"> </w:t>
            </w:r>
            <w:r w:rsidRPr="00F71324">
              <w:rPr>
                <w:color w:val="000000"/>
                <w:sz w:val="18"/>
                <w:szCs w:val="18"/>
              </w:rPr>
              <w:t>only</w:t>
            </w:r>
            <w:r w:rsidR="003C7FB2">
              <w:rPr>
                <w:color w:val="000000"/>
                <w:sz w:val="18"/>
                <w:szCs w:val="18"/>
              </w:rPr>
              <w:t xml:space="preserve"> </w:t>
            </w:r>
            <w:r w:rsidRPr="00F71324">
              <w:rPr>
                <w:color w:val="000000"/>
                <w:sz w:val="18"/>
                <w:szCs w:val="18"/>
              </w:rPr>
              <w:t>(reference)</w:t>
            </w:r>
          </w:p>
        </w:tc>
        <w:tc>
          <w:tcPr>
            <w:tcW w:w="1871" w:type="dxa"/>
            <w:vAlign w:val="center"/>
          </w:tcPr>
          <w:p w14:paraId="19BC08B5" w14:textId="77777777" w:rsidR="00F971D8" w:rsidRPr="0011095F" w:rsidRDefault="00F971D8" w:rsidP="00D9387F">
            <w:pPr>
              <w:jc w:val="both"/>
              <w:rPr>
                <w:sz w:val="18"/>
                <w:szCs w:val="18"/>
              </w:rPr>
            </w:pPr>
          </w:p>
        </w:tc>
        <w:tc>
          <w:tcPr>
            <w:tcW w:w="1848" w:type="dxa"/>
            <w:vAlign w:val="center"/>
          </w:tcPr>
          <w:p w14:paraId="5DA6D3A8" w14:textId="77777777" w:rsidR="00F971D8" w:rsidRPr="0011095F" w:rsidRDefault="00F971D8" w:rsidP="00D9387F">
            <w:pPr>
              <w:jc w:val="both"/>
              <w:rPr>
                <w:sz w:val="18"/>
                <w:szCs w:val="18"/>
              </w:rPr>
            </w:pPr>
          </w:p>
        </w:tc>
        <w:tc>
          <w:tcPr>
            <w:tcW w:w="1848" w:type="dxa"/>
            <w:vAlign w:val="center"/>
          </w:tcPr>
          <w:p w14:paraId="6412ADF1" w14:textId="77777777" w:rsidR="00F971D8" w:rsidRPr="0011095F" w:rsidRDefault="00F971D8" w:rsidP="00D9387F">
            <w:pPr>
              <w:jc w:val="both"/>
              <w:rPr>
                <w:sz w:val="18"/>
                <w:szCs w:val="18"/>
              </w:rPr>
            </w:pPr>
          </w:p>
        </w:tc>
        <w:tc>
          <w:tcPr>
            <w:tcW w:w="1927" w:type="dxa"/>
          </w:tcPr>
          <w:p w14:paraId="3BA7F58E" w14:textId="77777777" w:rsidR="00F971D8" w:rsidRPr="0011095F" w:rsidRDefault="00F971D8" w:rsidP="00D9387F">
            <w:pPr>
              <w:jc w:val="both"/>
              <w:rPr>
                <w:sz w:val="18"/>
                <w:szCs w:val="18"/>
              </w:rPr>
            </w:pPr>
          </w:p>
        </w:tc>
      </w:tr>
      <w:tr w:rsidR="00F971D8" w14:paraId="1AA8955D" w14:textId="77777777" w:rsidTr="00D9387F">
        <w:tc>
          <w:tcPr>
            <w:tcW w:w="1857" w:type="dxa"/>
            <w:vAlign w:val="center"/>
          </w:tcPr>
          <w:p w14:paraId="287A2929" w14:textId="6B1B0671" w:rsidR="00F971D8" w:rsidRPr="00F71324" w:rsidRDefault="00F971D8" w:rsidP="00D9387F">
            <w:pPr>
              <w:rPr>
                <w:sz w:val="18"/>
                <w:szCs w:val="18"/>
              </w:rPr>
            </w:pPr>
            <w:r w:rsidRPr="00F71324">
              <w:rPr>
                <w:color w:val="000000"/>
                <w:sz w:val="18"/>
                <w:szCs w:val="18"/>
              </w:rPr>
              <w:t>Public</w:t>
            </w:r>
            <w:r w:rsidR="003C7FB2">
              <w:rPr>
                <w:color w:val="000000"/>
                <w:sz w:val="18"/>
                <w:szCs w:val="18"/>
              </w:rPr>
              <w:t xml:space="preserve"> </w:t>
            </w:r>
            <w:r>
              <w:rPr>
                <w:color w:val="000000"/>
                <w:sz w:val="18"/>
                <w:szCs w:val="18"/>
              </w:rPr>
              <w:t>t</w:t>
            </w:r>
            <w:r w:rsidRPr="00F71324">
              <w:rPr>
                <w:color w:val="000000"/>
                <w:sz w:val="18"/>
                <w:szCs w:val="18"/>
              </w:rPr>
              <w:t>ransport</w:t>
            </w:r>
          </w:p>
        </w:tc>
        <w:tc>
          <w:tcPr>
            <w:tcW w:w="1871" w:type="dxa"/>
            <w:vAlign w:val="bottom"/>
          </w:tcPr>
          <w:p w14:paraId="7189D21F" w14:textId="783583C7" w:rsidR="00F971D8" w:rsidRPr="0011095F" w:rsidRDefault="00F971D8" w:rsidP="00D9387F">
            <w:pPr>
              <w:jc w:val="both"/>
              <w:rPr>
                <w:sz w:val="18"/>
                <w:szCs w:val="18"/>
              </w:rPr>
            </w:pPr>
            <w:r>
              <w:rPr>
                <w:color w:val="000000"/>
                <w:sz w:val="18"/>
                <w:szCs w:val="18"/>
              </w:rPr>
              <w:t>-1.32</w:t>
            </w:r>
            <w:r w:rsidR="003C7FB2">
              <w:rPr>
                <w:color w:val="000000"/>
                <w:sz w:val="18"/>
                <w:szCs w:val="18"/>
              </w:rPr>
              <w:t xml:space="preserve"> </w:t>
            </w:r>
            <w:r>
              <w:rPr>
                <w:color w:val="000000"/>
                <w:sz w:val="18"/>
                <w:szCs w:val="18"/>
              </w:rPr>
              <w:t>(</w:t>
            </w:r>
            <w:r w:rsidRPr="0011095F">
              <w:rPr>
                <w:color w:val="000000"/>
                <w:sz w:val="18"/>
                <w:szCs w:val="18"/>
              </w:rPr>
              <w:t>-2.45,</w:t>
            </w:r>
            <w:r w:rsidR="003C7FB2">
              <w:rPr>
                <w:color w:val="000000"/>
                <w:sz w:val="18"/>
                <w:szCs w:val="18"/>
              </w:rPr>
              <w:t xml:space="preserve"> </w:t>
            </w:r>
            <w:r w:rsidRPr="0011095F">
              <w:rPr>
                <w:color w:val="000000"/>
                <w:sz w:val="18"/>
                <w:szCs w:val="18"/>
              </w:rPr>
              <w:t>-</w:t>
            </w:r>
            <w:r>
              <w:rPr>
                <w:color w:val="000000"/>
                <w:sz w:val="18"/>
                <w:szCs w:val="18"/>
              </w:rPr>
              <w:t>0</w:t>
            </w:r>
            <w:r w:rsidRPr="0011095F">
              <w:rPr>
                <w:color w:val="000000"/>
                <w:sz w:val="18"/>
                <w:szCs w:val="18"/>
              </w:rPr>
              <w:t>.19</w:t>
            </w:r>
            <w:r>
              <w:rPr>
                <w:color w:val="000000"/>
                <w:sz w:val="18"/>
                <w:szCs w:val="18"/>
              </w:rPr>
              <w:t>)</w:t>
            </w:r>
          </w:p>
        </w:tc>
        <w:tc>
          <w:tcPr>
            <w:tcW w:w="1848" w:type="dxa"/>
            <w:vAlign w:val="bottom"/>
          </w:tcPr>
          <w:p w14:paraId="4F4EF35C" w14:textId="20876675" w:rsidR="00F971D8" w:rsidRPr="0011095F" w:rsidRDefault="00F971D8" w:rsidP="00D9387F">
            <w:pPr>
              <w:jc w:val="both"/>
              <w:rPr>
                <w:sz w:val="18"/>
                <w:szCs w:val="18"/>
              </w:rPr>
            </w:pPr>
            <w:r w:rsidRPr="0011095F">
              <w:rPr>
                <w:color w:val="000000"/>
                <w:sz w:val="18"/>
                <w:szCs w:val="18"/>
              </w:rPr>
              <w:t>-0.59</w:t>
            </w:r>
            <w:r w:rsidR="003C7FB2">
              <w:rPr>
                <w:color w:val="000000"/>
                <w:sz w:val="18"/>
                <w:szCs w:val="18"/>
              </w:rPr>
              <w:t xml:space="preserve"> </w:t>
            </w:r>
            <w:r>
              <w:rPr>
                <w:color w:val="000000"/>
                <w:sz w:val="18"/>
                <w:szCs w:val="18"/>
              </w:rPr>
              <w:t>(</w:t>
            </w:r>
            <w:r w:rsidRPr="0011095F">
              <w:rPr>
                <w:color w:val="000000"/>
                <w:sz w:val="18"/>
                <w:szCs w:val="18"/>
              </w:rPr>
              <w:t>-1.66,</w:t>
            </w:r>
            <w:r w:rsidR="003C7FB2">
              <w:rPr>
                <w:color w:val="000000"/>
                <w:sz w:val="18"/>
                <w:szCs w:val="18"/>
              </w:rPr>
              <w:t xml:space="preserve"> </w:t>
            </w:r>
            <w:r w:rsidRPr="0011095F">
              <w:rPr>
                <w:color w:val="000000"/>
                <w:sz w:val="18"/>
                <w:szCs w:val="18"/>
              </w:rPr>
              <w:t>0.49</w:t>
            </w:r>
            <w:r>
              <w:rPr>
                <w:color w:val="000000"/>
                <w:sz w:val="18"/>
                <w:szCs w:val="18"/>
              </w:rPr>
              <w:t>)</w:t>
            </w:r>
          </w:p>
        </w:tc>
        <w:tc>
          <w:tcPr>
            <w:tcW w:w="1848" w:type="dxa"/>
            <w:vAlign w:val="bottom"/>
          </w:tcPr>
          <w:p w14:paraId="22DAF341" w14:textId="2716EFAE" w:rsidR="00F971D8" w:rsidRPr="0011095F" w:rsidRDefault="00F971D8" w:rsidP="00D9387F">
            <w:pPr>
              <w:jc w:val="both"/>
              <w:rPr>
                <w:sz w:val="18"/>
                <w:szCs w:val="18"/>
              </w:rPr>
            </w:pPr>
            <w:r w:rsidRPr="0011095F">
              <w:rPr>
                <w:color w:val="000000"/>
                <w:sz w:val="18"/>
                <w:szCs w:val="18"/>
              </w:rPr>
              <w:t>-0.38</w:t>
            </w:r>
            <w:r w:rsidR="003C7FB2">
              <w:rPr>
                <w:color w:val="000000"/>
                <w:sz w:val="18"/>
                <w:szCs w:val="18"/>
              </w:rPr>
              <w:t xml:space="preserve"> </w:t>
            </w:r>
            <w:r>
              <w:rPr>
                <w:color w:val="000000"/>
                <w:sz w:val="18"/>
                <w:szCs w:val="18"/>
              </w:rPr>
              <w:t>(</w:t>
            </w:r>
            <w:r w:rsidRPr="0011095F">
              <w:rPr>
                <w:color w:val="000000"/>
                <w:sz w:val="18"/>
                <w:szCs w:val="18"/>
              </w:rPr>
              <w:t>-1.52,</w:t>
            </w:r>
            <w:r w:rsidR="003C7FB2">
              <w:rPr>
                <w:color w:val="000000"/>
                <w:sz w:val="18"/>
                <w:szCs w:val="18"/>
              </w:rPr>
              <w:t xml:space="preserve"> </w:t>
            </w:r>
            <w:r w:rsidRPr="0011095F">
              <w:rPr>
                <w:color w:val="000000"/>
                <w:sz w:val="18"/>
                <w:szCs w:val="18"/>
              </w:rPr>
              <w:t>0.76</w:t>
            </w:r>
            <w:r>
              <w:rPr>
                <w:color w:val="000000"/>
                <w:sz w:val="18"/>
                <w:szCs w:val="18"/>
              </w:rPr>
              <w:t>)</w:t>
            </w:r>
          </w:p>
        </w:tc>
        <w:tc>
          <w:tcPr>
            <w:tcW w:w="1927" w:type="dxa"/>
            <w:vAlign w:val="bottom"/>
          </w:tcPr>
          <w:p w14:paraId="44B2CE7E" w14:textId="3E613400" w:rsidR="00F971D8" w:rsidRPr="0011095F" w:rsidRDefault="00F971D8" w:rsidP="00D9387F">
            <w:pPr>
              <w:jc w:val="both"/>
              <w:rPr>
                <w:color w:val="000000"/>
                <w:sz w:val="18"/>
                <w:szCs w:val="18"/>
              </w:rPr>
            </w:pPr>
            <w:r w:rsidRPr="0011095F">
              <w:rPr>
                <w:color w:val="000000"/>
                <w:sz w:val="18"/>
                <w:szCs w:val="18"/>
              </w:rPr>
              <w:t>-0.47</w:t>
            </w:r>
            <w:r w:rsidR="003C7FB2">
              <w:rPr>
                <w:color w:val="000000"/>
                <w:sz w:val="18"/>
                <w:szCs w:val="18"/>
              </w:rPr>
              <w:t xml:space="preserve"> </w:t>
            </w:r>
            <w:r>
              <w:rPr>
                <w:color w:val="000000"/>
                <w:sz w:val="18"/>
                <w:szCs w:val="18"/>
              </w:rPr>
              <w:t>(</w:t>
            </w:r>
            <w:r w:rsidRPr="0011095F">
              <w:rPr>
                <w:color w:val="000000"/>
                <w:sz w:val="18"/>
                <w:szCs w:val="18"/>
              </w:rPr>
              <w:t>-1.47,</w:t>
            </w:r>
            <w:r w:rsidR="003C7FB2">
              <w:rPr>
                <w:color w:val="000000"/>
                <w:sz w:val="18"/>
                <w:szCs w:val="18"/>
              </w:rPr>
              <w:t xml:space="preserve"> </w:t>
            </w:r>
            <w:r w:rsidRPr="0011095F">
              <w:rPr>
                <w:color w:val="000000"/>
                <w:sz w:val="18"/>
                <w:szCs w:val="18"/>
              </w:rPr>
              <w:t>0.54</w:t>
            </w:r>
            <w:r>
              <w:rPr>
                <w:color w:val="000000"/>
                <w:sz w:val="18"/>
                <w:szCs w:val="18"/>
              </w:rPr>
              <w:t>)</w:t>
            </w:r>
          </w:p>
        </w:tc>
      </w:tr>
      <w:tr w:rsidR="00F971D8" w14:paraId="65C42C14" w14:textId="77777777" w:rsidTr="00D9387F">
        <w:tc>
          <w:tcPr>
            <w:tcW w:w="1857" w:type="dxa"/>
            <w:vAlign w:val="center"/>
          </w:tcPr>
          <w:p w14:paraId="5076BF3D" w14:textId="11D352D4" w:rsidR="00F971D8" w:rsidRPr="00F71324" w:rsidRDefault="00F971D8" w:rsidP="00D9387F">
            <w:pPr>
              <w:rPr>
                <w:sz w:val="18"/>
                <w:szCs w:val="18"/>
              </w:rPr>
            </w:pPr>
            <w:r w:rsidRPr="00F71324">
              <w:rPr>
                <w:sz w:val="18"/>
                <w:szCs w:val="18"/>
              </w:rPr>
              <w:t>Car</w:t>
            </w:r>
            <w:r w:rsidR="003C7FB2">
              <w:rPr>
                <w:sz w:val="18"/>
                <w:szCs w:val="18"/>
              </w:rPr>
              <w:t xml:space="preserve"> </w:t>
            </w:r>
            <w:r w:rsidRPr="00F71324">
              <w:rPr>
                <w:sz w:val="18"/>
                <w:szCs w:val="18"/>
              </w:rPr>
              <w:t>with</w:t>
            </w:r>
            <w:r w:rsidR="003C7FB2">
              <w:rPr>
                <w:sz w:val="18"/>
                <w:szCs w:val="18"/>
              </w:rPr>
              <w:t xml:space="preserve"> </w:t>
            </w:r>
            <w:r w:rsidRPr="00F71324">
              <w:rPr>
                <w:sz w:val="18"/>
                <w:szCs w:val="18"/>
              </w:rPr>
              <w:t>active</w:t>
            </w:r>
            <w:r w:rsidR="003C7FB2">
              <w:rPr>
                <w:sz w:val="18"/>
                <w:szCs w:val="18"/>
              </w:rPr>
              <w:t xml:space="preserve"> </w:t>
            </w:r>
            <w:r w:rsidRPr="00F71324">
              <w:rPr>
                <w:sz w:val="18"/>
                <w:szCs w:val="18"/>
              </w:rPr>
              <w:t>travel</w:t>
            </w:r>
          </w:p>
        </w:tc>
        <w:tc>
          <w:tcPr>
            <w:tcW w:w="1871" w:type="dxa"/>
            <w:vAlign w:val="bottom"/>
          </w:tcPr>
          <w:p w14:paraId="769378AC" w14:textId="380D5BEF" w:rsidR="00F971D8" w:rsidRPr="0011095F" w:rsidRDefault="00F971D8" w:rsidP="00D9387F">
            <w:pPr>
              <w:jc w:val="both"/>
              <w:rPr>
                <w:sz w:val="18"/>
                <w:szCs w:val="18"/>
              </w:rPr>
            </w:pPr>
            <w:r w:rsidRPr="0011095F">
              <w:rPr>
                <w:color w:val="000000"/>
                <w:sz w:val="18"/>
                <w:szCs w:val="18"/>
              </w:rPr>
              <w:t>-2.11</w:t>
            </w:r>
            <w:r w:rsidR="003C7FB2">
              <w:rPr>
                <w:color w:val="000000"/>
                <w:sz w:val="18"/>
                <w:szCs w:val="18"/>
              </w:rPr>
              <w:t xml:space="preserve"> </w:t>
            </w:r>
            <w:r>
              <w:rPr>
                <w:color w:val="000000"/>
                <w:sz w:val="18"/>
                <w:szCs w:val="18"/>
              </w:rPr>
              <w:t>(</w:t>
            </w:r>
            <w:r w:rsidRPr="0011095F">
              <w:rPr>
                <w:color w:val="000000"/>
                <w:sz w:val="18"/>
                <w:szCs w:val="18"/>
              </w:rPr>
              <w:t>-3.23,</w:t>
            </w:r>
            <w:r w:rsidR="003C7FB2">
              <w:rPr>
                <w:color w:val="000000"/>
                <w:sz w:val="18"/>
                <w:szCs w:val="18"/>
              </w:rPr>
              <w:t xml:space="preserve"> </w:t>
            </w:r>
            <w:r w:rsidRPr="0011095F">
              <w:rPr>
                <w:color w:val="000000"/>
                <w:sz w:val="18"/>
                <w:szCs w:val="18"/>
              </w:rPr>
              <w:t>-0.98</w:t>
            </w:r>
            <w:r>
              <w:rPr>
                <w:color w:val="000000"/>
                <w:sz w:val="18"/>
                <w:szCs w:val="18"/>
              </w:rPr>
              <w:t>)</w:t>
            </w:r>
          </w:p>
        </w:tc>
        <w:tc>
          <w:tcPr>
            <w:tcW w:w="1848" w:type="dxa"/>
            <w:vAlign w:val="bottom"/>
          </w:tcPr>
          <w:p w14:paraId="128965CF" w14:textId="738CB65D" w:rsidR="00F971D8" w:rsidRPr="0011095F" w:rsidRDefault="00F971D8" w:rsidP="00D9387F">
            <w:pPr>
              <w:jc w:val="both"/>
              <w:rPr>
                <w:sz w:val="18"/>
                <w:szCs w:val="18"/>
              </w:rPr>
            </w:pPr>
            <w:r w:rsidRPr="0011095F">
              <w:rPr>
                <w:color w:val="000000"/>
                <w:sz w:val="18"/>
                <w:szCs w:val="18"/>
              </w:rPr>
              <w:t>-1.55</w:t>
            </w:r>
            <w:r w:rsidR="003C7FB2">
              <w:rPr>
                <w:color w:val="000000"/>
                <w:sz w:val="18"/>
                <w:szCs w:val="18"/>
              </w:rPr>
              <w:t xml:space="preserve"> </w:t>
            </w:r>
            <w:r>
              <w:rPr>
                <w:color w:val="000000"/>
                <w:sz w:val="18"/>
                <w:szCs w:val="18"/>
              </w:rPr>
              <w:t>(</w:t>
            </w:r>
            <w:r w:rsidRPr="0011095F">
              <w:rPr>
                <w:color w:val="000000"/>
                <w:sz w:val="18"/>
                <w:szCs w:val="18"/>
              </w:rPr>
              <w:t>-2.62,</w:t>
            </w:r>
            <w:r w:rsidR="003C7FB2">
              <w:rPr>
                <w:color w:val="000000"/>
                <w:sz w:val="18"/>
                <w:szCs w:val="18"/>
              </w:rPr>
              <w:t xml:space="preserve"> </w:t>
            </w:r>
            <w:r w:rsidRPr="0011095F">
              <w:rPr>
                <w:color w:val="000000"/>
                <w:sz w:val="18"/>
                <w:szCs w:val="18"/>
              </w:rPr>
              <w:t>-0.49</w:t>
            </w:r>
            <w:r>
              <w:rPr>
                <w:color w:val="000000"/>
                <w:sz w:val="18"/>
                <w:szCs w:val="18"/>
              </w:rPr>
              <w:t>)</w:t>
            </w:r>
          </w:p>
        </w:tc>
        <w:tc>
          <w:tcPr>
            <w:tcW w:w="1848" w:type="dxa"/>
            <w:vAlign w:val="bottom"/>
          </w:tcPr>
          <w:p w14:paraId="3C136B79" w14:textId="783D061E" w:rsidR="00F971D8" w:rsidRPr="0011095F" w:rsidRDefault="00F971D8" w:rsidP="00D9387F">
            <w:pPr>
              <w:jc w:val="both"/>
              <w:rPr>
                <w:sz w:val="18"/>
                <w:szCs w:val="18"/>
              </w:rPr>
            </w:pPr>
            <w:r w:rsidRPr="0011095F">
              <w:rPr>
                <w:color w:val="000000"/>
                <w:sz w:val="18"/>
                <w:szCs w:val="18"/>
              </w:rPr>
              <w:t>-1.18</w:t>
            </w:r>
            <w:r w:rsidR="003C7FB2">
              <w:rPr>
                <w:color w:val="000000"/>
                <w:sz w:val="18"/>
                <w:szCs w:val="18"/>
              </w:rPr>
              <w:t xml:space="preserve"> </w:t>
            </w:r>
            <w:r>
              <w:rPr>
                <w:color w:val="000000"/>
                <w:sz w:val="18"/>
                <w:szCs w:val="18"/>
              </w:rPr>
              <w:t>(</w:t>
            </w:r>
            <w:r w:rsidRPr="0011095F">
              <w:rPr>
                <w:color w:val="000000"/>
                <w:sz w:val="18"/>
                <w:szCs w:val="18"/>
              </w:rPr>
              <w:t>-2.23,</w:t>
            </w:r>
            <w:r w:rsidR="003C7FB2">
              <w:rPr>
                <w:color w:val="000000"/>
                <w:sz w:val="18"/>
                <w:szCs w:val="18"/>
              </w:rPr>
              <w:t xml:space="preserve"> </w:t>
            </w:r>
            <w:r w:rsidRPr="0011095F">
              <w:rPr>
                <w:color w:val="000000"/>
                <w:sz w:val="18"/>
                <w:szCs w:val="18"/>
              </w:rPr>
              <w:t>-0.13</w:t>
            </w:r>
            <w:r>
              <w:rPr>
                <w:color w:val="000000"/>
                <w:sz w:val="18"/>
                <w:szCs w:val="18"/>
              </w:rPr>
              <w:t>)</w:t>
            </w:r>
          </w:p>
        </w:tc>
        <w:tc>
          <w:tcPr>
            <w:tcW w:w="1927" w:type="dxa"/>
            <w:vAlign w:val="bottom"/>
          </w:tcPr>
          <w:p w14:paraId="500EE06A" w14:textId="5820A24F" w:rsidR="00F971D8" w:rsidRPr="0011095F" w:rsidRDefault="00F971D8" w:rsidP="00D9387F">
            <w:pPr>
              <w:jc w:val="both"/>
              <w:rPr>
                <w:color w:val="000000"/>
                <w:sz w:val="18"/>
                <w:szCs w:val="18"/>
              </w:rPr>
            </w:pPr>
            <w:r w:rsidRPr="0011095F">
              <w:rPr>
                <w:color w:val="000000"/>
                <w:sz w:val="18"/>
                <w:szCs w:val="18"/>
              </w:rPr>
              <w:t>-1.30</w:t>
            </w:r>
            <w:r w:rsidR="003C7FB2">
              <w:rPr>
                <w:color w:val="000000"/>
                <w:sz w:val="18"/>
                <w:szCs w:val="18"/>
              </w:rPr>
              <w:t xml:space="preserve"> </w:t>
            </w:r>
            <w:r>
              <w:rPr>
                <w:color w:val="000000"/>
                <w:sz w:val="18"/>
                <w:szCs w:val="18"/>
              </w:rPr>
              <w:t>(</w:t>
            </w:r>
            <w:r w:rsidRPr="0011095F">
              <w:rPr>
                <w:color w:val="000000"/>
                <w:sz w:val="18"/>
                <w:szCs w:val="18"/>
              </w:rPr>
              <w:t>-2.30,</w:t>
            </w:r>
            <w:r w:rsidR="003C7FB2">
              <w:rPr>
                <w:color w:val="000000"/>
                <w:sz w:val="18"/>
                <w:szCs w:val="18"/>
              </w:rPr>
              <w:t xml:space="preserve"> </w:t>
            </w:r>
            <w:r w:rsidRPr="0011095F">
              <w:rPr>
                <w:color w:val="000000"/>
                <w:sz w:val="18"/>
                <w:szCs w:val="18"/>
              </w:rPr>
              <w:t>-0.31</w:t>
            </w:r>
            <w:r>
              <w:rPr>
                <w:color w:val="000000"/>
                <w:sz w:val="18"/>
                <w:szCs w:val="18"/>
              </w:rPr>
              <w:t>)</w:t>
            </w:r>
          </w:p>
        </w:tc>
      </w:tr>
      <w:tr w:rsidR="00F971D8" w14:paraId="1044BD60" w14:textId="77777777" w:rsidTr="00D9387F">
        <w:tc>
          <w:tcPr>
            <w:tcW w:w="1857" w:type="dxa"/>
            <w:vAlign w:val="center"/>
          </w:tcPr>
          <w:p w14:paraId="31DBF8D9" w14:textId="7956F0E9" w:rsidR="00F971D8" w:rsidRPr="00F71324" w:rsidRDefault="00F971D8" w:rsidP="00D9387F">
            <w:pPr>
              <w:rPr>
                <w:sz w:val="18"/>
                <w:szCs w:val="18"/>
              </w:rPr>
            </w:pPr>
            <w:r>
              <w:rPr>
                <w:b/>
                <w:bCs/>
                <w:color w:val="000000"/>
                <w:sz w:val="18"/>
                <w:szCs w:val="18"/>
              </w:rPr>
              <w:t>Men</w:t>
            </w:r>
            <w:r w:rsidR="003C7FB2">
              <w:rPr>
                <w:b/>
                <w:bCs/>
                <w:color w:val="000000"/>
                <w:sz w:val="18"/>
                <w:szCs w:val="18"/>
              </w:rPr>
              <w:t xml:space="preserve"> </w:t>
            </w:r>
            <w:r>
              <w:rPr>
                <w:b/>
                <w:bCs/>
                <w:color w:val="000000"/>
                <w:sz w:val="18"/>
                <w:szCs w:val="18"/>
              </w:rPr>
              <w:t>(n=2463</w:t>
            </w:r>
            <w:r w:rsidRPr="00F71324">
              <w:rPr>
                <w:b/>
                <w:bCs/>
                <w:color w:val="000000"/>
                <w:sz w:val="18"/>
                <w:szCs w:val="18"/>
              </w:rPr>
              <w:t>)</w:t>
            </w:r>
          </w:p>
        </w:tc>
        <w:tc>
          <w:tcPr>
            <w:tcW w:w="1871" w:type="dxa"/>
            <w:vAlign w:val="bottom"/>
          </w:tcPr>
          <w:p w14:paraId="5EE660CA" w14:textId="77777777" w:rsidR="00F971D8" w:rsidRPr="0011095F" w:rsidRDefault="00F971D8" w:rsidP="00D9387F">
            <w:pPr>
              <w:jc w:val="both"/>
              <w:rPr>
                <w:sz w:val="18"/>
                <w:szCs w:val="18"/>
              </w:rPr>
            </w:pPr>
          </w:p>
        </w:tc>
        <w:tc>
          <w:tcPr>
            <w:tcW w:w="1848" w:type="dxa"/>
            <w:vAlign w:val="bottom"/>
          </w:tcPr>
          <w:p w14:paraId="471C1BEB" w14:textId="77777777" w:rsidR="00F971D8" w:rsidRPr="0011095F" w:rsidRDefault="00F971D8" w:rsidP="00D9387F">
            <w:pPr>
              <w:jc w:val="both"/>
              <w:rPr>
                <w:sz w:val="18"/>
                <w:szCs w:val="18"/>
              </w:rPr>
            </w:pPr>
          </w:p>
        </w:tc>
        <w:tc>
          <w:tcPr>
            <w:tcW w:w="1848" w:type="dxa"/>
            <w:vAlign w:val="bottom"/>
          </w:tcPr>
          <w:p w14:paraId="1C67EDD9" w14:textId="77777777" w:rsidR="00F971D8" w:rsidRPr="0011095F" w:rsidRDefault="00F971D8" w:rsidP="00D9387F">
            <w:pPr>
              <w:jc w:val="both"/>
              <w:rPr>
                <w:sz w:val="18"/>
                <w:szCs w:val="18"/>
              </w:rPr>
            </w:pPr>
          </w:p>
        </w:tc>
        <w:tc>
          <w:tcPr>
            <w:tcW w:w="1927" w:type="dxa"/>
          </w:tcPr>
          <w:p w14:paraId="5A1C71C0" w14:textId="77777777" w:rsidR="00F971D8" w:rsidRPr="0011095F" w:rsidRDefault="00F971D8" w:rsidP="00D9387F">
            <w:pPr>
              <w:jc w:val="both"/>
              <w:rPr>
                <w:sz w:val="18"/>
                <w:szCs w:val="18"/>
              </w:rPr>
            </w:pPr>
          </w:p>
        </w:tc>
      </w:tr>
      <w:tr w:rsidR="00F971D8" w14:paraId="3F5DB597" w14:textId="77777777" w:rsidTr="00D9387F">
        <w:tc>
          <w:tcPr>
            <w:tcW w:w="1857" w:type="dxa"/>
            <w:vAlign w:val="center"/>
          </w:tcPr>
          <w:p w14:paraId="3821D18F" w14:textId="26E48355" w:rsidR="00F971D8" w:rsidRPr="00F71324" w:rsidRDefault="00F971D8" w:rsidP="00D9387F">
            <w:pPr>
              <w:rPr>
                <w:sz w:val="18"/>
                <w:szCs w:val="18"/>
              </w:rPr>
            </w:pPr>
            <w:r w:rsidRPr="00F71324">
              <w:rPr>
                <w:color w:val="000000"/>
                <w:sz w:val="18"/>
                <w:szCs w:val="18"/>
              </w:rPr>
              <w:t>Car</w:t>
            </w:r>
            <w:r w:rsidR="003C7FB2">
              <w:rPr>
                <w:color w:val="000000"/>
                <w:sz w:val="18"/>
                <w:szCs w:val="18"/>
              </w:rPr>
              <w:t xml:space="preserve"> </w:t>
            </w:r>
            <w:r w:rsidRPr="00F71324">
              <w:rPr>
                <w:color w:val="000000"/>
                <w:sz w:val="18"/>
                <w:szCs w:val="18"/>
              </w:rPr>
              <w:t>only</w:t>
            </w:r>
            <w:r w:rsidR="003C7FB2">
              <w:rPr>
                <w:color w:val="000000"/>
                <w:sz w:val="18"/>
                <w:szCs w:val="18"/>
              </w:rPr>
              <w:t xml:space="preserve"> </w:t>
            </w:r>
            <w:r w:rsidRPr="00F71324">
              <w:rPr>
                <w:color w:val="000000"/>
                <w:sz w:val="18"/>
                <w:szCs w:val="18"/>
              </w:rPr>
              <w:t>(reference)</w:t>
            </w:r>
          </w:p>
        </w:tc>
        <w:tc>
          <w:tcPr>
            <w:tcW w:w="1871" w:type="dxa"/>
            <w:vAlign w:val="bottom"/>
          </w:tcPr>
          <w:p w14:paraId="047131F2" w14:textId="77777777" w:rsidR="00F971D8" w:rsidRPr="0011095F" w:rsidRDefault="00F971D8" w:rsidP="00D9387F">
            <w:pPr>
              <w:jc w:val="both"/>
              <w:rPr>
                <w:color w:val="000000"/>
                <w:sz w:val="18"/>
                <w:szCs w:val="18"/>
              </w:rPr>
            </w:pPr>
          </w:p>
        </w:tc>
        <w:tc>
          <w:tcPr>
            <w:tcW w:w="1848" w:type="dxa"/>
            <w:vAlign w:val="bottom"/>
          </w:tcPr>
          <w:p w14:paraId="0595BFF9" w14:textId="77777777" w:rsidR="00F971D8" w:rsidRPr="0011095F" w:rsidRDefault="00F971D8" w:rsidP="00D9387F">
            <w:pPr>
              <w:jc w:val="both"/>
              <w:rPr>
                <w:color w:val="000000"/>
                <w:sz w:val="18"/>
                <w:szCs w:val="18"/>
              </w:rPr>
            </w:pPr>
          </w:p>
        </w:tc>
        <w:tc>
          <w:tcPr>
            <w:tcW w:w="1848" w:type="dxa"/>
            <w:vAlign w:val="bottom"/>
          </w:tcPr>
          <w:p w14:paraId="5CF269A1" w14:textId="77777777" w:rsidR="00F971D8" w:rsidRPr="0011095F" w:rsidRDefault="00F971D8" w:rsidP="00D9387F">
            <w:pPr>
              <w:jc w:val="both"/>
              <w:rPr>
                <w:color w:val="000000"/>
                <w:sz w:val="18"/>
                <w:szCs w:val="18"/>
              </w:rPr>
            </w:pPr>
          </w:p>
        </w:tc>
        <w:tc>
          <w:tcPr>
            <w:tcW w:w="1927" w:type="dxa"/>
          </w:tcPr>
          <w:p w14:paraId="5ACB2BD7" w14:textId="77777777" w:rsidR="00F971D8" w:rsidRPr="0011095F" w:rsidRDefault="00F971D8" w:rsidP="00D9387F">
            <w:pPr>
              <w:jc w:val="both"/>
              <w:rPr>
                <w:color w:val="000000"/>
                <w:sz w:val="18"/>
                <w:szCs w:val="18"/>
              </w:rPr>
            </w:pPr>
          </w:p>
        </w:tc>
      </w:tr>
      <w:tr w:rsidR="00F971D8" w14:paraId="107E7975" w14:textId="77777777" w:rsidTr="00D9387F">
        <w:tc>
          <w:tcPr>
            <w:tcW w:w="1857" w:type="dxa"/>
            <w:vAlign w:val="center"/>
          </w:tcPr>
          <w:p w14:paraId="090C3D92" w14:textId="39D42949" w:rsidR="00F971D8" w:rsidRPr="00F71324" w:rsidRDefault="00F971D8" w:rsidP="00D9387F">
            <w:pPr>
              <w:rPr>
                <w:sz w:val="18"/>
                <w:szCs w:val="18"/>
              </w:rPr>
            </w:pPr>
            <w:r w:rsidRPr="00F71324">
              <w:rPr>
                <w:color w:val="000000"/>
                <w:sz w:val="18"/>
                <w:szCs w:val="18"/>
              </w:rPr>
              <w:t>Public</w:t>
            </w:r>
            <w:r w:rsidR="003C7FB2">
              <w:rPr>
                <w:color w:val="000000"/>
                <w:sz w:val="18"/>
                <w:szCs w:val="18"/>
              </w:rPr>
              <w:t xml:space="preserve"> </w:t>
            </w:r>
            <w:r>
              <w:rPr>
                <w:color w:val="000000"/>
                <w:sz w:val="18"/>
                <w:szCs w:val="18"/>
              </w:rPr>
              <w:t>t</w:t>
            </w:r>
            <w:r w:rsidRPr="00F71324">
              <w:rPr>
                <w:color w:val="000000"/>
                <w:sz w:val="18"/>
                <w:szCs w:val="18"/>
              </w:rPr>
              <w:t>ransport</w:t>
            </w:r>
          </w:p>
        </w:tc>
        <w:tc>
          <w:tcPr>
            <w:tcW w:w="1871" w:type="dxa"/>
            <w:vAlign w:val="bottom"/>
          </w:tcPr>
          <w:p w14:paraId="35A2CA1B" w14:textId="31329FDD" w:rsidR="00F971D8" w:rsidRPr="0011095F" w:rsidRDefault="00F971D8" w:rsidP="00D9387F">
            <w:pPr>
              <w:jc w:val="both"/>
              <w:rPr>
                <w:color w:val="000000"/>
                <w:sz w:val="18"/>
                <w:szCs w:val="18"/>
              </w:rPr>
            </w:pPr>
            <w:r w:rsidRPr="0011095F">
              <w:rPr>
                <w:color w:val="000000"/>
                <w:sz w:val="18"/>
                <w:szCs w:val="18"/>
              </w:rPr>
              <w:t>-0.64</w:t>
            </w:r>
            <w:r w:rsidR="003C7FB2">
              <w:rPr>
                <w:color w:val="000000"/>
                <w:sz w:val="18"/>
                <w:szCs w:val="18"/>
              </w:rPr>
              <w:t xml:space="preserve"> </w:t>
            </w:r>
            <w:r>
              <w:rPr>
                <w:color w:val="000000"/>
                <w:sz w:val="18"/>
                <w:szCs w:val="18"/>
              </w:rPr>
              <w:t>(</w:t>
            </w:r>
            <w:r w:rsidRPr="0011095F">
              <w:rPr>
                <w:color w:val="000000"/>
                <w:sz w:val="18"/>
                <w:szCs w:val="18"/>
              </w:rPr>
              <w:t>-1.37,</w:t>
            </w:r>
            <w:r w:rsidR="003C7FB2">
              <w:rPr>
                <w:color w:val="000000"/>
                <w:sz w:val="18"/>
                <w:szCs w:val="18"/>
              </w:rPr>
              <w:t xml:space="preserve"> </w:t>
            </w:r>
            <w:r w:rsidRPr="0011095F">
              <w:rPr>
                <w:color w:val="000000"/>
                <w:sz w:val="18"/>
                <w:szCs w:val="18"/>
              </w:rPr>
              <w:t>0.10</w:t>
            </w:r>
            <w:r>
              <w:rPr>
                <w:color w:val="000000"/>
                <w:sz w:val="18"/>
                <w:szCs w:val="18"/>
              </w:rPr>
              <w:t>)</w:t>
            </w:r>
          </w:p>
        </w:tc>
        <w:tc>
          <w:tcPr>
            <w:tcW w:w="1848" w:type="dxa"/>
            <w:vAlign w:val="bottom"/>
          </w:tcPr>
          <w:p w14:paraId="41302CE6" w14:textId="7F454846" w:rsidR="00F971D8" w:rsidRPr="0011095F" w:rsidRDefault="00F971D8" w:rsidP="00D9387F">
            <w:pPr>
              <w:jc w:val="both"/>
              <w:rPr>
                <w:color w:val="000000"/>
                <w:sz w:val="18"/>
                <w:szCs w:val="18"/>
              </w:rPr>
            </w:pPr>
            <w:r w:rsidRPr="0011095F">
              <w:rPr>
                <w:color w:val="000000"/>
                <w:sz w:val="18"/>
                <w:szCs w:val="18"/>
              </w:rPr>
              <w:t>-0.13</w:t>
            </w:r>
            <w:r w:rsidR="003C7FB2">
              <w:rPr>
                <w:color w:val="000000"/>
                <w:sz w:val="18"/>
                <w:szCs w:val="18"/>
              </w:rPr>
              <w:t xml:space="preserve"> </w:t>
            </w:r>
            <w:r>
              <w:rPr>
                <w:color w:val="000000"/>
                <w:sz w:val="18"/>
                <w:szCs w:val="18"/>
              </w:rPr>
              <w:t>(</w:t>
            </w:r>
            <w:r w:rsidRPr="0011095F">
              <w:rPr>
                <w:color w:val="000000"/>
                <w:sz w:val="18"/>
                <w:szCs w:val="18"/>
              </w:rPr>
              <w:t>-0.86,</w:t>
            </w:r>
            <w:r w:rsidR="003C7FB2">
              <w:rPr>
                <w:color w:val="000000"/>
                <w:sz w:val="18"/>
                <w:szCs w:val="18"/>
              </w:rPr>
              <w:t xml:space="preserve"> </w:t>
            </w:r>
            <w:r w:rsidRPr="0011095F">
              <w:rPr>
                <w:color w:val="000000"/>
                <w:sz w:val="18"/>
                <w:szCs w:val="18"/>
              </w:rPr>
              <w:t>0.61</w:t>
            </w:r>
            <w:r>
              <w:rPr>
                <w:color w:val="000000"/>
                <w:sz w:val="18"/>
                <w:szCs w:val="18"/>
              </w:rPr>
              <w:t>)</w:t>
            </w:r>
          </w:p>
        </w:tc>
        <w:tc>
          <w:tcPr>
            <w:tcW w:w="1848" w:type="dxa"/>
            <w:vAlign w:val="bottom"/>
          </w:tcPr>
          <w:p w14:paraId="70374B25" w14:textId="222A6E26" w:rsidR="00F971D8" w:rsidRPr="0011095F" w:rsidRDefault="00F971D8" w:rsidP="00D9387F">
            <w:pPr>
              <w:jc w:val="both"/>
              <w:rPr>
                <w:color w:val="000000"/>
                <w:sz w:val="18"/>
                <w:szCs w:val="18"/>
              </w:rPr>
            </w:pPr>
            <w:r w:rsidRPr="0011095F">
              <w:rPr>
                <w:color w:val="000000"/>
                <w:sz w:val="18"/>
                <w:szCs w:val="18"/>
              </w:rPr>
              <w:t>-0.17</w:t>
            </w:r>
            <w:r w:rsidR="003C7FB2">
              <w:rPr>
                <w:color w:val="000000"/>
                <w:sz w:val="18"/>
                <w:szCs w:val="18"/>
              </w:rPr>
              <w:t xml:space="preserve"> </w:t>
            </w:r>
            <w:r>
              <w:rPr>
                <w:color w:val="000000"/>
                <w:sz w:val="18"/>
                <w:szCs w:val="18"/>
              </w:rPr>
              <w:t>(</w:t>
            </w:r>
            <w:r w:rsidRPr="0011095F">
              <w:rPr>
                <w:color w:val="000000"/>
                <w:sz w:val="18"/>
                <w:szCs w:val="18"/>
              </w:rPr>
              <w:t>-0.95,</w:t>
            </w:r>
            <w:r w:rsidR="003C7FB2">
              <w:rPr>
                <w:color w:val="000000"/>
                <w:sz w:val="18"/>
                <w:szCs w:val="18"/>
              </w:rPr>
              <w:t xml:space="preserve"> </w:t>
            </w:r>
            <w:r w:rsidRPr="0011095F">
              <w:rPr>
                <w:color w:val="000000"/>
                <w:sz w:val="18"/>
                <w:szCs w:val="18"/>
              </w:rPr>
              <w:t>0.60</w:t>
            </w:r>
            <w:r>
              <w:rPr>
                <w:color w:val="000000"/>
                <w:sz w:val="18"/>
                <w:szCs w:val="18"/>
              </w:rPr>
              <w:t>)</w:t>
            </w:r>
          </w:p>
        </w:tc>
        <w:tc>
          <w:tcPr>
            <w:tcW w:w="1927" w:type="dxa"/>
            <w:vAlign w:val="bottom"/>
          </w:tcPr>
          <w:p w14:paraId="144AB13F" w14:textId="0F3D5028" w:rsidR="00F971D8" w:rsidRPr="0011095F" w:rsidRDefault="00F971D8" w:rsidP="00D9387F">
            <w:pPr>
              <w:jc w:val="both"/>
              <w:rPr>
                <w:color w:val="000000"/>
                <w:sz w:val="18"/>
                <w:szCs w:val="18"/>
              </w:rPr>
            </w:pPr>
            <w:r w:rsidRPr="0011095F">
              <w:rPr>
                <w:color w:val="000000"/>
                <w:sz w:val="18"/>
                <w:szCs w:val="18"/>
              </w:rPr>
              <w:t>-0.02</w:t>
            </w:r>
            <w:r w:rsidR="003C7FB2">
              <w:rPr>
                <w:color w:val="000000"/>
                <w:sz w:val="18"/>
                <w:szCs w:val="18"/>
              </w:rPr>
              <w:t xml:space="preserve"> </w:t>
            </w:r>
            <w:r>
              <w:rPr>
                <w:color w:val="000000"/>
                <w:sz w:val="18"/>
                <w:szCs w:val="18"/>
              </w:rPr>
              <w:t>(</w:t>
            </w:r>
            <w:r w:rsidRPr="0011095F">
              <w:rPr>
                <w:color w:val="000000"/>
                <w:sz w:val="18"/>
                <w:szCs w:val="18"/>
              </w:rPr>
              <w:t>-0.72,</w:t>
            </w:r>
            <w:r w:rsidR="003C7FB2">
              <w:rPr>
                <w:color w:val="000000"/>
                <w:sz w:val="18"/>
                <w:szCs w:val="18"/>
              </w:rPr>
              <w:t xml:space="preserve"> </w:t>
            </w:r>
            <w:r w:rsidRPr="0011095F">
              <w:rPr>
                <w:color w:val="000000"/>
                <w:sz w:val="18"/>
                <w:szCs w:val="18"/>
              </w:rPr>
              <w:t>0.68</w:t>
            </w:r>
            <w:r>
              <w:rPr>
                <w:color w:val="000000"/>
                <w:sz w:val="18"/>
                <w:szCs w:val="18"/>
              </w:rPr>
              <w:t>)</w:t>
            </w:r>
          </w:p>
        </w:tc>
      </w:tr>
      <w:tr w:rsidR="00F971D8" w14:paraId="7259BB02" w14:textId="77777777" w:rsidTr="00D9387F">
        <w:tc>
          <w:tcPr>
            <w:tcW w:w="1857" w:type="dxa"/>
            <w:vAlign w:val="center"/>
          </w:tcPr>
          <w:p w14:paraId="5F06407D" w14:textId="63417C72" w:rsidR="00F971D8" w:rsidRPr="00F71324" w:rsidRDefault="00F971D8" w:rsidP="00D9387F">
            <w:pPr>
              <w:rPr>
                <w:sz w:val="18"/>
                <w:szCs w:val="18"/>
              </w:rPr>
            </w:pPr>
            <w:r w:rsidRPr="00F71324">
              <w:rPr>
                <w:sz w:val="18"/>
                <w:szCs w:val="18"/>
              </w:rPr>
              <w:t>Car</w:t>
            </w:r>
            <w:r w:rsidR="003C7FB2">
              <w:rPr>
                <w:sz w:val="18"/>
                <w:szCs w:val="18"/>
              </w:rPr>
              <w:t xml:space="preserve"> </w:t>
            </w:r>
            <w:r w:rsidRPr="00F71324">
              <w:rPr>
                <w:sz w:val="18"/>
                <w:szCs w:val="18"/>
              </w:rPr>
              <w:t>with</w:t>
            </w:r>
            <w:r w:rsidR="003C7FB2">
              <w:rPr>
                <w:sz w:val="18"/>
                <w:szCs w:val="18"/>
              </w:rPr>
              <w:t xml:space="preserve"> </w:t>
            </w:r>
            <w:r w:rsidRPr="00F71324">
              <w:rPr>
                <w:sz w:val="18"/>
                <w:szCs w:val="18"/>
              </w:rPr>
              <w:t>active</w:t>
            </w:r>
            <w:r w:rsidR="003C7FB2">
              <w:rPr>
                <w:sz w:val="18"/>
                <w:szCs w:val="18"/>
              </w:rPr>
              <w:t xml:space="preserve"> </w:t>
            </w:r>
            <w:r w:rsidRPr="00F71324">
              <w:rPr>
                <w:sz w:val="18"/>
                <w:szCs w:val="18"/>
              </w:rPr>
              <w:t>travel</w:t>
            </w:r>
          </w:p>
        </w:tc>
        <w:tc>
          <w:tcPr>
            <w:tcW w:w="1871" w:type="dxa"/>
            <w:vAlign w:val="bottom"/>
          </w:tcPr>
          <w:p w14:paraId="0DE4E417" w14:textId="76FFA2D0" w:rsidR="00F971D8" w:rsidRPr="0011095F" w:rsidRDefault="00F971D8" w:rsidP="00D9387F">
            <w:pPr>
              <w:jc w:val="both"/>
              <w:rPr>
                <w:color w:val="000000"/>
                <w:sz w:val="18"/>
                <w:szCs w:val="18"/>
              </w:rPr>
            </w:pPr>
            <w:r w:rsidRPr="0011095F">
              <w:rPr>
                <w:color w:val="000000"/>
                <w:sz w:val="18"/>
                <w:szCs w:val="18"/>
              </w:rPr>
              <w:t>-1.63</w:t>
            </w:r>
            <w:r w:rsidR="003C7FB2">
              <w:rPr>
                <w:color w:val="000000"/>
                <w:sz w:val="18"/>
                <w:szCs w:val="18"/>
              </w:rPr>
              <w:t xml:space="preserve"> </w:t>
            </w:r>
            <w:r>
              <w:rPr>
                <w:color w:val="000000"/>
                <w:sz w:val="18"/>
                <w:szCs w:val="18"/>
              </w:rPr>
              <w:t>(</w:t>
            </w:r>
            <w:r w:rsidRPr="0011095F">
              <w:rPr>
                <w:color w:val="000000"/>
                <w:sz w:val="18"/>
                <w:szCs w:val="18"/>
              </w:rPr>
              <w:t>-2.40,</w:t>
            </w:r>
            <w:r w:rsidR="003C7FB2">
              <w:rPr>
                <w:color w:val="000000"/>
                <w:sz w:val="18"/>
                <w:szCs w:val="18"/>
              </w:rPr>
              <w:t xml:space="preserve"> </w:t>
            </w:r>
            <w:r w:rsidRPr="0011095F">
              <w:rPr>
                <w:color w:val="000000"/>
                <w:sz w:val="18"/>
                <w:szCs w:val="18"/>
              </w:rPr>
              <w:t>-0.87</w:t>
            </w:r>
            <w:r>
              <w:rPr>
                <w:color w:val="000000"/>
                <w:sz w:val="18"/>
                <w:szCs w:val="18"/>
              </w:rPr>
              <w:t>)</w:t>
            </w:r>
          </w:p>
        </w:tc>
        <w:tc>
          <w:tcPr>
            <w:tcW w:w="1848" w:type="dxa"/>
            <w:vAlign w:val="bottom"/>
          </w:tcPr>
          <w:p w14:paraId="210EF051" w14:textId="4815F7E7" w:rsidR="00F971D8" w:rsidRPr="0011095F" w:rsidRDefault="00F971D8" w:rsidP="00D9387F">
            <w:pPr>
              <w:jc w:val="both"/>
              <w:rPr>
                <w:color w:val="000000"/>
                <w:sz w:val="18"/>
                <w:szCs w:val="18"/>
              </w:rPr>
            </w:pPr>
            <w:r w:rsidRPr="0011095F">
              <w:rPr>
                <w:color w:val="000000"/>
                <w:sz w:val="18"/>
                <w:szCs w:val="18"/>
              </w:rPr>
              <w:t>-1.38</w:t>
            </w:r>
            <w:r w:rsidR="003C7FB2">
              <w:rPr>
                <w:color w:val="000000"/>
                <w:sz w:val="18"/>
                <w:szCs w:val="18"/>
              </w:rPr>
              <w:t xml:space="preserve"> </w:t>
            </w:r>
            <w:r>
              <w:rPr>
                <w:color w:val="000000"/>
                <w:sz w:val="18"/>
                <w:szCs w:val="18"/>
              </w:rPr>
              <w:t>(</w:t>
            </w:r>
            <w:r w:rsidRPr="0011095F">
              <w:rPr>
                <w:color w:val="000000"/>
                <w:sz w:val="18"/>
                <w:szCs w:val="18"/>
              </w:rPr>
              <w:t>-2.13,</w:t>
            </w:r>
            <w:r w:rsidR="003C7FB2">
              <w:rPr>
                <w:color w:val="000000"/>
                <w:sz w:val="18"/>
                <w:szCs w:val="18"/>
              </w:rPr>
              <w:t xml:space="preserve"> </w:t>
            </w:r>
            <w:r w:rsidRPr="0011095F">
              <w:rPr>
                <w:color w:val="000000"/>
                <w:sz w:val="18"/>
                <w:szCs w:val="18"/>
              </w:rPr>
              <w:t>-0.62</w:t>
            </w:r>
            <w:r>
              <w:rPr>
                <w:color w:val="000000"/>
                <w:sz w:val="18"/>
                <w:szCs w:val="18"/>
              </w:rPr>
              <w:t>)</w:t>
            </w:r>
          </w:p>
        </w:tc>
        <w:tc>
          <w:tcPr>
            <w:tcW w:w="1848" w:type="dxa"/>
            <w:vAlign w:val="bottom"/>
          </w:tcPr>
          <w:p w14:paraId="55262279" w14:textId="0DD439F4" w:rsidR="00F971D8" w:rsidRPr="0011095F" w:rsidRDefault="00F971D8" w:rsidP="00D9387F">
            <w:pPr>
              <w:jc w:val="both"/>
              <w:rPr>
                <w:color w:val="000000"/>
                <w:sz w:val="18"/>
                <w:szCs w:val="18"/>
              </w:rPr>
            </w:pPr>
            <w:r w:rsidRPr="0011095F">
              <w:rPr>
                <w:color w:val="000000"/>
                <w:sz w:val="18"/>
                <w:szCs w:val="18"/>
              </w:rPr>
              <w:t>-1.19</w:t>
            </w:r>
            <w:r w:rsidR="003C7FB2">
              <w:rPr>
                <w:color w:val="000000"/>
                <w:sz w:val="18"/>
                <w:szCs w:val="18"/>
              </w:rPr>
              <w:t xml:space="preserve"> </w:t>
            </w:r>
            <w:r>
              <w:rPr>
                <w:color w:val="000000"/>
                <w:sz w:val="18"/>
                <w:szCs w:val="18"/>
              </w:rPr>
              <w:t>(</w:t>
            </w:r>
            <w:r w:rsidRPr="0011095F">
              <w:rPr>
                <w:color w:val="000000"/>
                <w:sz w:val="18"/>
                <w:szCs w:val="18"/>
              </w:rPr>
              <w:t>-1.93,</w:t>
            </w:r>
            <w:r w:rsidR="003C7FB2">
              <w:rPr>
                <w:color w:val="000000"/>
                <w:sz w:val="18"/>
                <w:szCs w:val="18"/>
              </w:rPr>
              <w:t xml:space="preserve"> </w:t>
            </w:r>
            <w:r w:rsidRPr="0011095F">
              <w:rPr>
                <w:color w:val="000000"/>
                <w:sz w:val="18"/>
                <w:szCs w:val="18"/>
              </w:rPr>
              <w:t>-0.44</w:t>
            </w:r>
            <w:r>
              <w:rPr>
                <w:color w:val="000000"/>
                <w:sz w:val="18"/>
                <w:szCs w:val="18"/>
              </w:rPr>
              <w:t>)</w:t>
            </w:r>
          </w:p>
        </w:tc>
        <w:tc>
          <w:tcPr>
            <w:tcW w:w="1927" w:type="dxa"/>
            <w:vAlign w:val="bottom"/>
          </w:tcPr>
          <w:p w14:paraId="33056E00" w14:textId="21C001BC" w:rsidR="00F971D8" w:rsidRPr="0011095F" w:rsidRDefault="00F971D8" w:rsidP="00D9387F">
            <w:pPr>
              <w:jc w:val="both"/>
              <w:rPr>
                <w:color w:val="000000"/>
                <w:sz w:val="18"/>
                <w:szCs w:val="18"/>
              </w:rPr>
            </w:pPr>
            <w:r w:rsidRPr="0011095F">
              <w:rPr>
                <w:color w:val="000000"/>
                <w:sz w:val="18"/>
                <w:szCs w:val="18"/>
              </w:rPr>
              <w:t>-1.20</w:t>
            </w:r>
            <w:r w:rsidR="003C7FB2">
              <w:rPr>
                <w:color w:val="000000"/>
                <w:sz w:val="18"/>
                <w:szCs w:val="18"/>
              </w:rPr>
              <w:t xml:space="preserve"> </w:t>
            </w:r>
            <w:r>
              <w:rPr>
                <w:color w:val="000000"/>
                <w:sz w:val="18"/>
                <w:szCs w:val="18"/>
              </w:rPr>
              <w:t>(</w:t>
            </w:r>
            <w:r w:rsidRPr="0011095F">
              <w:rPr>
                <w:color w:val="000000"/>
                <w:sz w:val="18"/>
                <w:szCs w:val="18"/>
              </w:rPr>
              <w:t>-1.92,</w:t>
            </w:r>
            <w:r w:rsidR="003C7FB2">
              <w:rPr>
                <w:color w:val="000000"/>
                <w:sz w:val="18"/>
                <w:szCs w:val="18"/>
              </w:rPr>
              <w:t xml:space="preserve"> </w:t>
            </w:r>
            <w:r w:rsidRPr="0011095F">
              <w:rPr>
                <w:color w:val="000000"/>
                <w:sz w:val="18"/>
                <w:szCs w:val="18"/>
              </w:rPr>
              <w:t>-0.48</w:t>
            </w:r>
            <w:r>
              <w:rPr>
                <w:color w:val="000000"/>
                <w:sz w:val="18"/>
                <w:szCs w:val="18"/>
              </w:rPr>
              <w:t>)</w:t>
            </w:r>
          </w:p>
        </w:tc>
      </w:tr>
    </w:tbl>
    <w:p w14:paraId="3F9571FA" w14:textId="1A9F1EAA" w:rsidR="00B71669" w:rsidRPr="00322A7F" w:rsidRDefault="00F971D8" w:rsidP="00B71669">
      <w:pPr>
        <w:spacing w:after="0" w:line="240" w:lineRule="auto"/>
        <w:rPr>
          <w:sz w:val="14"/>
          <w:szCs w:val="14"/>
        </w:rPr>
      </w:pPr>
      <w:r>
        <w:rPr>
          <w:sz w:val="16"/>
          <w:szCs w:val="16"/>
        </w:rPr>
        <w:t>Model</w:t>
      </w:r>
      <w:r w:rsidR="003C7FB2">
        <w:rPr>
          <w:sz w:val="16"/>
          <w:szCs w:val="16"/>
        </w:rPr>
        <w:t xml:space="preserve"> </w:t>
      </w:r>
      <w:r>
        <w:rPr>
          <w:sz w:val="16"/>
          <w:szCs w:val="16"/>
        </w:rPr>
        <w:t>A</w:t>
      </w:r>
      <w:r w:rsidR="003C7FB2">
        <w:rPr>
          <w:sz w:val="16"/>
          <w:szCs w:val="16"/>
        </w:rPr>
        <w:t xml:space="preserve"> </w:t>
      </w:r>
      <w:r>
        <w:rPr>
          <w:sz w:val="16"/>
          <w:szCs w:val="16"/>
        </w:rPr>
        <w:t>adjusted</w:t>
      </w:r>
      <w:r w:rsidR="003C7FB2">
        <w:rPr>
          <w:sz w:val="16"/>
          <w:szCs w:val="16"/>
        </w:rPr>
        <w:t xml:space="preserve"> </w:t>
      </w:r>
      <w:r>
        <w:rPr>
          <w:sz w:val="16"/>
          <w:szCs w:val="16"/>
        </w:rPr>
        <w:t>for</w:t>
      </w:r>
      <w:r w:rsidR="003C7FB2">
        <w:rPr>
          <w:sz w:val="16"/>
          <w:szCs w:val="16"/>
        </w:rPr>
        <w:t xml:space="preserve"> </w:t>
      </w:r>
      <w:r>
        <w:rPr>
          <w:sz w:val="16"/>
          <w:szCs w:val="16"/>
        </w:rPr>
        <w:t>age</w:t>
      </w:r>
      <w:r w:rsidRPr="005364B7">
        <w:rPr>
          <w:sz w:val="16"/>
          <w:szCs w:val="16"/>
        </w:rPr>
        <w:t>,</w:t>
      </w:r>
      <w:r w:rsidR="003C7FB2">
        <w:rPr>
          <w:sz w:val="16"/>
          <w:szCs w:val="16"/>
        </w:rPr>
        <w:t xml:space="preserve"> </w:t>
      </w:r>
      <w:r w:rsidRPr="005364B7">
        <w:rPr>
          <w:sz w:val="16"/>
          <w:szCs w:val="16"/>
        </w:rPr>
        <w:t>education,</w:t>
      </w:r>
      <w:r w:rsidR="003C7FB2">
        <w:rPr>
          <w:sz w:val="16"/>
          <w:szCs w:val="16"/>
        </w:rPr>
        <w:t xml:space="preserve"> </w:t>
      </w:r>
      <w:r w:rsidRPr="005364B7">
        <w:rPr>
          <w:sz w:val="16"/>
          <w:szCs w:val="16"/>
        </w:rPr>
        <w:t>difficulty</w:t>
      </w:r>
      <w:r w:rsidR="003C7FB2">
        <w:rPr>
          <w:sz w:val="16"/>
          <w:szCs w:val="16"/>
        </w:rPr>
        <w:t xml:space="preserve"> </w:t>
      </w:r>
      <w:r w:rsidRPr="005364B7">
        <w:rPr>
          <w:sz w:val="16"/>
          <w:szCs w:val="16"/>
        </w:rPr>
        <w:t>walking,</w:t>
      </w:r>
      <w:r w:rsidR="003C7FB2">
        <w:rPr>
          <w:sz w:val="16"/>
          <w:szCs w:val="16"/>
        </w:rPr>
        <w:t xml:space="preserve"> </w:t>
      </w:r>
      <w:r w:rsidRPr="005364B7">
        <w:rPr>
          <w:sz w:val="16"/>
          <w:szCs w:val="16"/>
        </w:rPr>
        <w:t>alcohol</w:t>
      </w:r>
      <w:r w:rsidR="003C7FB2">
        <w:rPr>
          <w:sz w:val="16"/>
          <w:szCs w:val="16"/>
        </w:rPr>
        <w:t xml:space="preserve"> </w:t>
      </w:r>
      <w:r w:rsidRPr="005364B7">
        <w:rPr>
          <w:sz w:val="16"/>
          <w:szCs w:val="16"/>
        </w:rPr>
        <w:t>consumptio</w:t>
      </w:r>
      <w:r>
        <w:rPr>
          <w:sz w:val="16"/>
          <w:szCs w:val="16"/>
        </w:rPr>
        <w:t>n,</w:t>
      </w:r>
      <w:r w:rsidR="003C7FB2">
        <w:rPr>
          <w:sz w:val="16"/>
          <w:szCs w:val="16"/>
        </w:rPr>
        <w:t xml:space="preserve"> </w:t>
      </w:r>
      <w:r>
        <w:rPr>
          <w:sz w:val="16"/>
          <w:szCs w:val="16"/>
        </w:rPr>
        <w:t>Mediterranean</w:t>
      </w:r>
      <w:r w:rsidR="003C7FB2">
        <w:rPr>
          <w:sz w:val="16"/>
          <w:szCs w:val="16"/>
        </w:rPr>
        <w:t xml:space="preserve"> </w:t>
      </w:r>
      <w:r>
        <w:rPr>
          <w:sz w:val="16"/>
          <w:szCs w:val="16"/>
        </w:rPr>
        <w:t>diet</w:t>
      </w:r>
      <w:r w:rsidR="003C7FB2">
        <w:rPr>
          <w:sz w:val="16"/>
          <w:szCs w:val="16"/>
        </w:rPr>
        <w:t xml:space="preserve"> </w:t>
      </w:r>
      <w:r>
        <w:rPr>
          <w:sz w:val="16"/>
          <w:szCs w:val="16"/>
        </w:rPr>
        <w:t>score,</w:t>
      </w:r>
      <w:r w:rsidR="003C7FB2">
        <w:rPr>
          <w:sz w:val="16"/>
          <w:szCs w:val="16"/>
        </w:rPr>
        <w:t xml:space="preserve"> </w:t>
      </w:r>
      <w:r w:rsidRPr="005364B7">
        <w:rPr>
          <w:sz w:val="16"/>
          <w:szCs w:val="16"/>
        </w:rPr>
        <w:t>smoking</w:t>
      </w:r>
      <w:r w:rsidR="003C7FB2">
        <w:rPr>
          <w:sz w:val="16"/>
          <w:szCs w:val="16"/>
        </w:rPr>
        <w:t xml:space="preserve"> </w:t>
      </w:r>
      <w:r w:rsidRPr="005364B7">
        <w:rPr>
          <w:sz w:val="16"/>
          <w:szCs w:val="16"/>
        </w:rPr>
        <w:t>status</w:t>
      </w:r>
      <w:r w:rsidR="003C7FB2">
        <w:rPr>
          <w:sz w:val="16"/>
          <w:szCs w:val="16"/>
        </w:rPr>
        <w:t xml:space="preserve"> </w:t>
      </w:r>
      <w:r>
        <w:rPr>
          <w:sz w:val="16"/>
          <w:szCs w:val="16"/>
        </w:rPr>
        <w:t>and</w:t>
      </w:r>
      <w:r w:rsidR="003C7FB2">
        <w:rPr>
          <w:sz w:val="16"/>
          <w:szCs w:val="16"/>
        </w:rPr>
        <w:t xml:space="preserve"> </w:t>
      </w:r>
      <w:r>
        <w:rPr>
          <w:sz w:val="16"/>
          <w:szCs w:val="16"/>
        </w:rPr>
        <w:t>site</w:t>
      </w:r>
      <w:r w:rsidRPr="005364B7">
        <w:rPr>
          <w:sz w:val="16"/>
          <w:szCs w:val="16"/>
        </w:rPr>
        <w:t>;</w:t>
      </w:r>
      <w:r w:rsidR="003C7FB2">
        <w:rPr>
          <w:sz w:val="16"/>
          <w:szCs w:val="16"/>
        </w:rPr>
        <w:t xml:space="preserve"> </w:t>
      </w:r>
      <w:r w:rsidRPr="005364B7">
        <w:rPr>
          <w:sz w:val="16"/>
          <w:szCs w:val="16"/>
        </w:rPr>
        <w:t>Model</w:t>
      </w:r>
      <w:r w:rsidR="003C7FB2">
        <w:rPr>
          <w:sz w:val="16"/>
          <w:szCs w:val="16"/>
        </w:rPr>
        <w:t xml:space="preserve"> </w:t>
      </w:r>
      <w:r w:rsidRPr="005364B7">
        <w:rPr>
          <w:sz w:val="16"/>
          <w:szCs w:val="16"/>
        </w:rPr>
        <w:t>B</w:t>
      </w:r>
      <w:r w:rsidR="003C7FB2">
        <w:rPr>
          <w:sz w:val="16"/>
          <w:szCs w:val="16"/>
        </w:rPr>
        <w:t xml:space="preserve"> </w:t>
      </w:r>
      <w:r w:rsidRPr="005364B7">
        <w:rPr>
          <w:sz w:val="16"/>
          <w:szCs w:val="16"/>
        </w:rPr>
        <w:t>adjusted</w:t>
      </w:r>
      <w:r w:rsidR="003C7FB2">
        <w:rPr>
          <w:sz w:val="16"/>
          <w:szCs w:val="16"/>
        </w:rPr>
        <w:t xml:space="preserve"> </w:t>
      </w:r>
      <w:r w:rsidRPr="005364B7">
        <w:rPr>
          <w:sz w:val="16"/>
          <w:szCs w:val="16"/>
        </w:rPr>
        <w:t>for</w:t>
      </w:r>
      <w:r w:rsidR="003C7FB2">
        <w:rPr>
          <w:sz w:val="16"/>
          <w:szCs w:val="16"/>
        </w:rPr>
        <w:t xml:space="preserve"> </w:t>
      </w:r>
      <w:r>
        <w:rPr>
          <w:sz w:val="16"/>
          <w:szCs w:val="16"/>
        </w:rPr>
        <w:t>all</w:t>
      </w:r>
      <w:r w:rsidR="003C7FB2">
        <w:rPr>
          <w:sz w:val="16"/>
          <w:szCs w:val="16"/>
        </w:rPr>
        <w:t xml:space="preserve"> </w:t>
      </w:r>
      <w:r>
        <w:rPr>
          <w:sz w:val="16"/>
          <w:szCs w:val="16"/>
        </w:rPr>
        <w:t>co-variates</w:t>
      </w:r>
      <w:r w:rsidR="003C7FB2">
        <w:rPr>
          <w:sz w:val="16"/>
          <w:szCs w:val="16"/>
        </w:rPr>
        <w:t xml:space="preserve"> </w:t>
      </w:r>
      <w:r>
        <w:rPr>
          <w:sz w:val="16"/>
          <w:szCs w:val="16"/>
        </w:rPr>
        <w:t>in</w:t>
      </w:r>
      <w:r w:rsidR="003C7FB2">
        <w:rPr>
          <w:sz w:val="16"/>
          <w:szCs w:val="16"/>
        </w:rPr>
        <w:t xml:space="preserve"> </w:t>
      </w:r>
      <w:r>
        <w:rPr>
          <w:sz w:val="16"/>
          <w:szCs w:val="16"/>
        </w:rPr>
        <w:t>Model</w:t>
      </w:r>
      <w:r w:rsidR="003C7FB2">
        <w:rPr>
          <w:sz w:val="16"/>
          <w:szCs w:val="16"/>
        </w:rPr>
        <w:t xml:space="preserve"> </w:t>
      </w:r>
      <w:r>
        <w:rPr>
          <w:sz w:val="16"/>
          <w:szCs w:val="16"/>
        </w:rPr>
        <w:t>A</w:t>
      </w:r>
      <w:r w:rsidR="003C7FB2">
        <w:rPr>
          <w:sz w:val="16"/>
          <w:szCs w:val="16"/>
        </w:rPr>
        <w:t xml:space="preserve"> </w:t>
      </w:r>
      <w:r>
        <w:rPr>
          <w:sz w:val="16"/>
          <w:szCs w:val="16"/>
        </w:rPr>
        <w:t>and</w:t>
      </w:r>
      <w:r w:rsidR="003C7FB2">
        <w:rPr>
          <w:sz w:val="16"/>
          <w:szCs w:val="16"/>
        </w:rPr>
        <w:t xml:space="preserve"> </w:t>
      </w:r>
      <w:r w:rsidRPr="005364B7">
        <w:rPr>
          <w:sz w:val="16"/>
          <w:szCs w:val="16"/>
        </w:rPr>
        <w:t>leisure</w:t>
      </w:r>
      <w:r w:rsidR="003C7FB2">
        <w:rPr>
          <w:sz w:val="16"/>
          <w:szCs w:val="16"/>
        </w:rPr>
        <w:t xml:space="preserve"> </w:t>
      </w:r>
      <w:r w:rsidRPr="005364B7">
        <w:rPr>
          <w:sz w:val="16"/>
          <w:szCs w:val="16"/>
        </w:rPr>
        <w:t>time</w:t>
      </w:r>
      <w:r w:rsidR="003C7FB2">
        <w:rPr>
          <w:sz w:val="16"/>
          <w:szCs w:val="16"/>
        </w:rPr>
        <w:t xml:space="preserve"> </w:t>
      </w:r>
      <w:r w:rsidRPr="005364B7">
        <w:rPr>
          <w:sz w:val="16"/>
          <w:szCs w:val="16"/>
        </w:rPr>
        <w:t>physical</w:t>
      </w:r>
      <w:r w:rsidR="003C7FB2">
        <w:rPr>
          <w:sz w:val="16"/>
          <w:szCs w:val="16"/>
        </w:rPr>
        <w:t xml:space="preserve"> </w:t>
      </w:r>
      <w:r w:rsidRPr="005364B7">
        <w:rPr>
          <w:sz w:val="16"/>
          <w:szCs w:val="16"/>
        </w:rPr>
        <w:t>activity,</w:t>
      </w:r>
      <w:r w:rsidR="003C7FB2">
        <w:rPr>
          <w:sz w:val="16"/>
          <w:szCs w:val="16"/>
        </w:rPr>
        <w:t xml:space="preserve"> </w:t>
      </w:r>
      <w:r w:rsidRPr="005364B7">
        <w:rPr>
          <w:sz w:val="16"/>
          <w:szCs w:val="16"/>
        </w:rPr>
        <w:t>usual</w:t>
      </w:r>
      <w:r w:rsidR="003C7FB2">
        <w:rPr>
          <w:sz w:val="16"/>
          <w:szCs w:val="16"/>
        </w:rPr>
        <w:t xml:space="preserve"> </w:t>
      </w:r>
      <w:r w:rsidRPr="005364B7">
        <w:rPr>
          <w:sz w:val="16"/>
          <w:szCs w:val="16"/>
        </w:rPr>
        <w:t>method</w:t>
      </w:r>
      <w:r w:rsidR="003C7FB2">
        <w:rPr>
          <w:sz w:val="16"/>
          <w:szCs w:val="16"/>
        </w:rPr>
        <w:t xml:space="preserve"> </w:t>
      </w:r>
      <w:r>
        <w:rPr>
          <w:sz w:val="16"/>
          <w:szCs w:val="16"/>
        </w:rPr>
        <w:t>for</w:t>
      </w:r>
      <w:r w:rsidR="003C7FB2">
        <w:rPr>
          <w:sz w:val="16"/>
          <w:szCs w:val="16"/>
        </w:rPr>
        <w:t xml:space="preserve"> </w:t>
      </w:r>
      <w:r>
        <w:rPr>
          <w:sz w:val="16"/>
          <w:szCs w:val="16"/>
        </w:rPr>
        <w:t>getting</w:t>
      </w:r>
      <w:r w:rsidR="003C7FB2">
        <w:rPr>
          <w:sz w:val="16"/>
          <w:szCs w:val="16"/>
        </w:rPr>
        <w:t xml:space="preserve"> </w:t>
      </w:r>
      <w:r>
        <w:rPr>
          <w:sz w:val="16"/>
          <w:szCs w:val="16"/>
        </w:rPr>
        <w:t>about</w:t>
      </w:r>
      <w:r w:rsidR="003C7FB2">
        <w:rPr>
          <w:sz w:val="16"/>
          <w:szCs w:val="16"/>
        </w:rPr>
        <w:t xml:space="preserve"> </w:t>
      </w:r>
      <w:r>
        <w:rPr>
          <w:sz w:val="16"/>
          <w:szCs w:val="16"/>
        </w:rPr>
        <w:t>and</w:t>
      </w:r>
      <w:r w:rsidR="003C7FB2">
        <w:rPr>
          <w:sz w:val="16"/>
          <w:szCs w:val="16"/>
        </w:rPr>
        <w:t xml:space="preserve"> </w:t>
      </w:r>
      <w:r>
        <w:rPr>
          <w:sz w:val="16"/>
          <w:szCs w:val="16"/>
        </w:rPr>
        <w:t>work</w:t>
      </w:r>
      <w:r w:rsidR="003C7FB2">
        <w:rPr>
          <w:sz w:val="16"/>
          <w:szCs w:val="16"/>
        </w:rPr>
        <w:t xml:space="preserve"> </w:t>
      </w:r>
      <w:r>
        <w:rPr>
          <w:sz w:val="16"/>
          <w:szCs w:val="16"/>
        </w:rPr>
        <w:t>type;</w:t>
      </w:r>
      <w:r w:rsidR="003C7FB2">
        <w:rPr>
          <w:sz w:val="16"/>
          <w:szCs w:val="16"/>
        </w:rPr>
        <w:t xml:space="preserve"> </w:t>
      </w:r>
      <w:r>
        <w:rPr>
          <w:sz w:val="16"/>
          <w:szCs w:val="16"/>
        </w:rPr>
        <w:t>Model</w:t>
      </w:r>
      <w:r w:rsidR="003C7FB2">
        <w:rPr>
          <w:sz w:val="16"/>
          <w:szCs w:val="16"/>
        </w:rPr>
        <w:t xml:space="preserve"> </w:t>
      </w:r>
      <w:r>
        <w:rPr>
          <w:sz w:val="16"/>
          <w:szCs w:val="16"/>
        </w:rPr>
        <w:t>C</w:t>
      </w:r>
      <w:r w:rsidR="003C7FB2">
        <w:rPr>
          <w:sz w:val="16"/>
          <w:szCs w:val="16"/>
        </w:rPr>
        <w:t xml:space="preserve"> </w:t>
      </w:r>
      <w:r>
        <w:rPr>
          <w:sz w:val="16"/>
          <w:szCs w:val="16"/>
        </w:rPr>
        <w:t>adjusted</w:t>
      </w:r>
      <w:r w:rsidR="003C7FB2">
        <w:rPr>
          <w:sz w:val="16"/>
          <w:szCs w:val="16"/>
        </w:rPr>
        <w:t xml:space="preserve"> </w:t>
      </w:r>
      <w:r>
        <w:rPr>
          <w:sz w:val="16"/>
          <w:szCs w:val="16"/>
        </w:rPr>
        <w:t>for</w:t>
      </w:r>
      <w:r w:rsidR="003C7FB2">
        <w:rPr>
          <w:sz w:val="16"/>
          <w:szCs w:val="16"/>
        </w:rPr>
        <w:t xml:space="preserve"> </w:t>
      </w:r>
      <w:r>
        <w:rPr>
          <w:sz w:val="16"/>
          <w:szCs w:val="16"/>
        </w:rPr>
        <w:t>all</w:t>
      </w:r>
      <w:r w:rsidR="003C7FB2">
        <w:rPr>
          <w:sz w:val="16"/>
          <w:szCs w:val="16"/>
        </w:rPr>
        <w:t xml:space="preserve"> </w:t>
      </w:r>
      <w:r>
        <w:rPr>
          <w:sz w:val="16"/>
          <w:szCs w:val="16"/>
        </w:rPr>
        <w:t>co-variates</w:t>
      </w:r>
      <w:r w:rsidR="003C7FB2">
        <w:rPr>
          <w:sz w:val="16"/>
          <w:szCs w:val="16"/>
        </w:rPr>
        <w:t xml:space="preserve"> </w:t>
      </w:r>
      <w:r>
        <w:rPr>
          <w:sz w:val="16"/>
          <w:szCs w:val="16"/>
        </w:rPr>
        <w:t>in</w:t>
      </w:r>
      <w:r w:rsidR="003C7FB2">
        <w:rPr>
          <w:sz w:val="16"/>
          <w:szCs w:val="16"/>
        </w:rPr>
        <w:t xml:space="preserve"> </w:t>
      </w:r>
      <w:r>
        <w:rPr>
          <w:sz w:val="16"/>
          <w:szCs w:val="16"/>
        </w:rPr>
        <w:t>Model</w:t>
      </w:r>
      <w:r w:rsidR="003C7FB2">
        <w:rPr>
          <w:sz w:val="16"/>
          <w:szCs w:val="16"/>
        </w:rPr>
        <w:t xml:space="preserve"> </w:t>
      </w:r>
      <w:r>
        <w:rPr>
          <w:sz w:val="16"/>
          <w:szCs w:val="16"/>
        </w:rPr>
        <w:t>A</w:t>
      </w:r>
      <w:r w:rsidR="003C7FB2">
        <w:rPr>
          <w:sz w:val="16"/>
          <w:szCs w:val="16"/>
        </w:rPr>
        <w:t xml:space="preserve"> </w:t>
      </w:r>
      <w:r>
        <w:rPr>
          <w:sz w:val="16"/>
          <w:szCs w:val="16"/>
        </w:rPr>
        <w:t>and</w:t>
      </w:r>
      <w:r w:rsidR="003C7FB2">
        <w:rPr>
          <w:sz w:val="16"/>
          <w:szCs w:val="16"/>
        </w:rPr>
        <w:t xml:space="preserve"> </w:t>
      </w:r>
      <w:r>
        <w:rPr>
          <w:sz w:val="16"/>
          <w:szCs w:val="16"/>
        </w:rPr>
        <w:t>physical</w:t>
      </w:r>
      <w:r w:rsidR="003C7FB2">
        <w:rPr>
          <w:sz w:val="16"/>
          <w:szCs w:val="16"/>
        </w:rPr>
        <w:t xml:space="preserve"> </w:t>
      </w:r>
      <w:r>
        <w:rPr>
          <w:sz w:val="16"/>
          <w:szCs w:val="16"/>
        </w:rPr>
        <w:t>activity</w:t>
      </w:r>
      <w:r w:rsidR="003C7FB2">
        <w:rPr>
          <w:sz w:val="16"/>
          <w:szCs w:val="16"/>
        </w:rPr>
        <w:t xml:space="preserve"> </w:t>
      </w:r>
      <w:r>
        <w:rPr>
          <w:sz w:val="16"/>
          <w:szCs w:val="16"/>
        </w:rPr>
        <w:t>energy</w:t>
      </w:r>
      <w:r w:rsidR="003C7FB2">
        <w:rPr>
          <w:sz w:val="16"/>
          <w:szCs w:val="16"/>
        </w:rPr>
        <w:t xml:space="preserve"> </w:t>
      </w:r>
      <w:r>
        <w:rPr>
          <w:sz w:val="16"/>
          <w:szCs w:val="16"/>
        </w:rPr>
        <w:t>expenditure.;</w:t>
      </w:r>
      <w:r w:rsidR="003C7FB2">
        <w:rPr>
          <w:sz w:val="16"/>
          <w:szCs w:val="16"/>
        </w:rPr>
        <w:t xml:space="preserve"> </w:t>
      </w:r>
      <w:r>
        <w:rPr>
          <w:sz w:val="16"/>
          <w:szCs w:val="16"/>
        </w:rPr>
        <w:t>adjusted</w:t>
      </w:r>
      <w:r w:rsidR="003C7FB2">
        <w:rPr>
          <w:sz w:val="16"/>
          <w:szCs w:val="16"/>
        </w:rPr>
        <w:t xml:space="preserve"> </w:t>
      </w:r>
      <w:r>
        <w:rPr>
          <w:sz w:val="16"/>
          <w:szCs w:val="16"/>
        </w:rPr>
        <w:t>co-efficient</w:t>
      </w:r>
      <w:r w:rsidR="003C7FB2">
        <w:rPr>
          <w:sz w:val="16"/>
          <w:szCs w:val="16"/>
        </w:rPr>
        <w:t xml:space="preserve"> </w:t>
      </w:r>
      <w:r>
        <w:rPr>
          <w:sz w:val="16"/>
          <w:szCs w:val="16"/>
        </w:rPr>
        <w:t>shown</w:t>
      </w:r>
      <w:r w:rsidR="003C7FB2">
        <w:rPr>
          <w:sz w:val="16"/>
          <w:szCs w:val="16"/>
        </w:rPr>
        <w:t xml:space="preserve"> </w:t>
      </w:r>
      <w:r>
        <w:rPr>
          <w:sz w:val="16"/>
          <w:szCs w:val="16"/>
        </w:rPr>
        <w:t>that</w:t>
      </w:r>
      <w:r w:rsidR="003C7FB2">
        <w:rPr>
          <w:sz w:val="16"/>
          <w:szCs w:val="16"/>
        </w:rPr>
        <w:t xml:space="preserve"> </w:t>
      </w:r>
      <w:r>
        <w:rPr>
          <w:sz w:val="16"/>
          <w:szCs w:val="16"/>
        </w:rPr>
        <w:t>represent</w:t>
      </w:r>
      <w:r w:rsidR="003C7FB2">
        <w:rPr>
          <w:sz w:val="16"/>
          <w:szCs w:val="16"/>
        </w:rPr>
        <w:t xml:space="preserve"> </w:t>
      </w:r>
      <w:r>
        <w:rPr>
          <w:sz w:val="16"/>
          <w:szCs w:val="16"/>
        </w:rPr>
        <w:t>difference</w:t>
      </w:r>
      <w:r w:rsidR="003C7FB2">
        <w:rPr>
          <w:sz w:val="16"/>
          <w:szCs w:val="16"/>
        </w:rPr>
        <w:t xml:space="preserve"> </w:t>
      </w:r>
      <w:r>
        <w:rPr>
          <w:sz w:val="16"/>
          <w:szCs w:val="16"/>
        </w:rPr>
        <w:t>in</w:t>
      </w:r>
      <w:r w:rsidR="003C7FB2">
        <w:rPr>
          <w:sz w:val="16"/>
          <w:szCs w:val="16"/>
        </w:rPr>
        <w:t xml:space="preserve"> </w:t>
      </w:r>
      <w:r>
        <w:rPr>
          <w:sz w:val="16"/>
          <w:szCs w:val="16"/>
        </w:rPr>
        <w:t>percentage</w:t>
      </w:r>
      <w:r w:rsidR="003C7FB2">
        <w:rPr>
          <w:sz w:val="16"/>
          <w:szCs w:val="16"/>
        </w:rPr>
        <w:t xml:space="preserve"> </w:t>
      </w:r>
      <w:r>
        <w:rPr>
          <w:sz w:val="16"/>
          <w:szCs w:val="16"/>
        </w:rPr>
        <w:t>body</w:t>
      </w:r>
      <w:r w:rsidR="003C7FB2">
        <w:rPr>
          <w:sz w:val="16"/>
          <w:szCs w:val="16"/>
        </w:rPr>
        <w:t xml:space="preserve"> </w:t>
      </w:r>
      <w:r>
        <w:rPr>
          <w:sz w:val="16"/>
          <w:szCs w:val="16"/>
        </w:rPr>
        <w:t>fat</w:t>
      </w:r>
      <w:r w:rsidR="003C7FB2">
        <w:rPr>
          <w:sz w:val="16"/>
          <w:szCs w:val="16"/>
        </w:rPr>
        <w:t xml:space="preserve"> </w:t>
      </w:r>
      <w:r>
        <w:rPr>
          <w:sz w:val="16"/>
          <w:szCs w:val="16"/>
        </w:rPr>
        <w:t>(%)</w:t>
      </w:r>
      <w:r w:rsidR="003C7FB2">
        <w:rPr>
          <w:sz w:val="16"/>
          <w:szCs w:val="16"/>
        </w:rPr>
        <w:t xml:space="preserve"> </w:t>
      </w:r>
      <w:r>
        <w:rPr>
          <w:sz w:val="16"/>
          <w:szCs w:val="16"/>
        </w:rPr>
        <w:t>for</w:t>
      </w:r>
      <w:r w:rsidR="003C7FB2">
        <w:rPr>
          <w:sz w:val="16"/>
          <w:szCs w:val="16"/>
        </w:rPr>
        <w:t xml:space="preserve"> </w:t>
      </w:r>
      <w:r>
        <w:rPr>
          <w:sz w:val="16"/>
          <w:szCs w:val="16"/>
        </w:rPr>
        <w:t>given</w:t>
      </w:r>
      <w:r w:rsidR="003C7FB2">
        <w:rPr>
          <w:sz w:val="16"/>
          <w:szCs w:val="16"/>
        </w:rPr>
        <w:t xml:space="preserve"> </w:t>
      </w:r>
      <w:r>
        <w:rPr>
          <w:sz w:val="16"/>
          <w:szCs w:val="16"/>
        </w:rPr>
        <w:t>commuting</w:t>
      </w:r>
      <w:r w:rsidR="003C7FB2">
        <w:rPr>
          <w:sz w:val="16"/>
          <w:szCs w:val="16"/>
        </w:rPr>
        <w:t xml:space="preserve"> </w:t>
      </w:r>
      <w:r>
        <w:rPr>
          <w:sz w:val="16"/>
          <w:szCs w:val="16"/>
        </w:rPr>
        <w:t>pattern</w:t>
      </w:r>
      <w:r w:rsidR="003C7FB2">
        <w:rPr>
          <w:sz w:val="16"/>
          <w:szCs w:val="16"/>
        </w:rPr>
        <w:t xml:space="preserve"> </w:t>
      </w:r>
      <w:r>
        <w:rPr>
          <w:sz w:val="16"/>
          <w:szCs w:val="16"/>
        </w:rPr>
        <w:t>relative</w:t>
      </w:r>
      <w:r w:rsidR="003C7FB2">
        <w:rPr>
          <w:sz w:val="16"/>
          <w:szCs w:val="16"/>
        </w:rPr>
        <w:t xml:space="preserve"> </w:t>
      </w:r>
      <w:r>
        <w:rPr>
          <w:sz w:val="16"/>
          <w:szCs w:val="16"/>
        </w:rPr>
        <w:t>to</w:t>
      </w:r>
      <w:r w:rsidR="003C7FB2">
        <w:rPr>
          <w:sz w:val="16"/>
          <w:szCs w:val="16"/>
        </w:rPr>
        <w:t xml:space="preserve"> </w:t>
      </w:r>
      <w:r w:rsidR="00B71669">
        <w:rPr>
          <w:sz w:val="16"/>
          <w:szCs w:val="16"/>
        </w:rPr>
        <w:t xml:space="preserve">reference; </w:t>
      </w:r>
      <w:r w:rsidR="00B71669">
        <w:rPr>
          <w:sz w:val="14"/>
          <w:szCs w:val="14"/>
        </w:rPr>
        <w:t>; study population from Cambridgeshire, UK (2005-15).</w:t>
      </w:r>
    </w:p>
    <w:p w14:paraId="776820BA" w14:textId="666EB152" w:rsidR="00F971D8" w:rsidRPr="005364B7" w:rsidRDefault="00F971D8" w:rsidP="00F971D8">
      <w:pPr>
        <w:spacing w:after="0" w:line="240" w:lineRule="auto"/>
        <w:rPr>
          <w:sz w:val="16"/>
          <w:szCs w:val="16"/>
        </w:rPr>
      </w:pPr>
    </w:p>
    <w:p w14:paraId="70BC7A13" w14:textId="77777777" w:rsidR="00F971D8" w:rsidRDefault="00F971D8" w:rsidP="00F971D8">
      <w:pPr>
        <w:spacing w:after="0" w:line="240" w:lineRule="auto"/>
      </w:pPr>
    </w:p>
    <w:p w14:paraId="09A42A82" w14:textId="77777777" w:rsidR="00F971D8" w:rsidRDefault="00F971D8" w:rsidP="00F971D8">
      <w:pPr>
        <w:rPr>
          <w:b/>
        </w:rPr>
      </w:pPr>
      <w:r>
        <w:rPr>
          <w:b/>
        </w:rPr>
        <w:br w:type="page"/>
      </w:r>
    </w:p>
    <w:p w14:paraId="7EB45C3D" w14:textId="56CA1B93" w:rsidR="00F119D2" w:rsidRDefault="00F119D2" w:rsidP="00D02203">
      <w:pPr>
        <w:spacing w:after="0" w:line="240" w:lineRule="auto"/>
        <w:rPr>
          <w:u w:val="single"/>
        </w:rPr>
      </w:pPr>
      <w:r w:rsidRPr="003D0EE5">
        <w:rPr>
          <w:u w:val="single"/>
        </w:rPr>
        <w:t>Visceral</w:t>
      </w:r>
      <w:r w:rsidR="003C7FB2">
        <w:rPr>
          <w:u w:val="single"/>
        </w:rPr>
        <w:t xml:space="preserve"> </w:t>
      </w:r>
      <w:r w:rsidRPr="003D0EE5">
        <w:rPr>
          <w:u w:val="single"/>
        </w:rPr>
        <w:t>Adipose</w:t>
      </w:r>
      <w:r w:rsidR="003C7FB2">
        <w:rPr>
          <w:u w:val="single"/>
        </w:rPr>
        <w:t xml:space="preserve"> </w:t>
      </w:r>
      <w:r w:rsidRPr="003D0EE5">
        <w:rPr>
          <w:u w:val="single"/>
        </w:rPr>
        <w:t>Tissue</w:t>
      </w:r>
    </w:p>
    <w:p w14:paraId="02E952D4" w14:textId="77777777" w:rsidR="00F119D2" w:rsidRDefault="00F119D2" w:rsidP="00D02203">
      <w:pPr>
        <w:spacing w:after="0" w:line="240" w:lineRule="auto"/>
        <w:rPr>
          <w:u w:val="single"/>
        </w:rPr>
      </w:pPr>
    </w:p>
    <w:p w14:paraId="09C6125D" w14:textId="4FD4A460" w:rsidR="00E74386" w:rsidRDefault="00976D8C" w:rsidP="00910CE6">
      <w:r>
        <w:t>The</w:t>
      </w:r>
      <w:r w:rsidR="003C7FB2">
        <w:t xml:space="preserve"> </w:t>
      </w:r>
      <w:r>
        <w:t>pattern</w:t>
      </w:r>
      <w:r w:rsidR="003C7FB2">
        <w:t xml:space="preserve"> </w:t>
      </w:r>
      <w:r>
        <w:t>of</w:t>
      </w:r>
      <w:r w:rsidR="003C7FB2">
        <w:t xml:space="preserve"> </w:t>
      </w:r>
      <w:r>
        <w:t>a</w:t>
      </w:r>
      <w:r w:rsidR="00222358">
        <w:t>ssociations</w:t>
      </w:r>
      <w:r w:rsidR="003C7FB2">
        <w:t xml:space="preserve"> </w:t>
      </w:r>
      <w:r>
        <w:t>for</w:t>
      </w:r>
      <w:r w:rsidR="003C7FB2">
        <w:t xml:space="preserve"> </w:t>
      </w:r>
      <w:r w:rsidR="00154627">
        <w:t>VAT</w:t>
      </w:r>
      <w:r w:rsidR="003C7FB2">
        <w:t xml:space="preserve"> </w:t>
      </w:r>
      <w:r w:rsidR="00F31DBB">
        <w:t>(Table</w:t>
      </w:r>
      <w:r w:rsidR="003C7FB2">
        <w:t xml:space="preserve"> </w:t>
      </w:r>
      <w:r w:rsidR="00F31DBB">
        <w:t>3</w:t>
      </w:r>
      <w:r w:rsidR="00AF4DA5">
        <w:t>)</w:t>
      </w:r>
      <w:r w:rsidR="003C7FB2">
        <w:t xml:space="preserve"> </w:t>
      </w:r>
      <w:r>
        <w:t>was</w:t>
      </w:r>
      <w:r w:rsidR="003C7FB2">
        <w:t xml:space="preserve"> </w:t>
      </w:r>
      <w:r>
        <w:t>very</w:t>
      </w:r>
      <w:r w:rsidR="003C7FB2">
        <w:t xml:space="preserve"> </w:t>
      </w:r>
      <w:r>
        <w:t>similar</w:t>
      </w:r>
      <w:r w:rsidR="003C7FB2">
        <w:t xml:space="preserve"> </w:t>
      </w:r>
      <w:r w:rsidR="006964E9">
        <w:t>to</w:t>
      </w:r>
      <w:r w:rsidR="003C7FB2">
        <w:t xml:space="preserve"> </w:t>
      </w:r>
      <w:r w:rsidR="006964E9">
        <w:t>that</w:t>
      </w:r>
      <w:r w:rsidR="003C7FB2">
        <w:t xml:space="preserve"> </w:t>
      </w:r>
      <w:r w:rsidR="00322A7F">
        <w:t>ob</w:t>
      </w:r>
      <w:r w:rsidR="006964E9">
        <w:t>served</w:t>
      </w:r>
      <w:r w:rsidR="003C7FB2">
        <w:t xml:space="preserve"> </w:t>
      </w:r>
      <w:r w:rsidR="006964E9">
        <w:t>for</w:t>
      </w:r>
      <w:r w:rsidR="003C7FB2">
        <w:t xml:space="preserve"> </w:t>
      </w:r>
      <w:r w:rsidR="00AF4DA5">
        <w:t>body</w:t>
      </w:r>
      <w:r w:rsidR="003C7FB2">
        <w:t xml:space="preserve"> </w:t>
      </w:r>
      <w:r w:rsidR="00AF4DA5">
        <w:t>fat,</w:t>
      </w:r>
      <w:r w:rsidR="003C7FB2">
        <w:t xml:space="preserve"> </w:t>
      </w:r>
      <w:r w:rsidR="00AF4DA5">
        <w:t>although</w:t>
      </w:r>
      <w:r w:rsidR="003C7FB2">
        <w:t xml:space="preserve"> </w:t>
      </w:r>
      <w:r w:rsidR="00DD3B71">
        <w:t>the</w:t>
      </w:r>
      <w:r w:rsidR="003C7FB2">
        <w:t xml:space="preserve"> </w:t>
      </w:r>
      <w:r w:rsidR="00DD3B71">
        <w:t>association</w:t>
      </w:r>
      <w:r w:rsidR="003C7FB2">
        <w:t xml:space="preserve"> </w:t>
      </w:r>
      <w:r w:rsidR="00DD3B71">
        <w:t>for</w:t>
      </w:r>
      <w:r w:rsidR="003C7FB2">
        <w:t xml:space="preserve"> </w:t>
      </w:r>
      <w:r w:rsidR="00E74386">
        <w:t>women</w:t>
      </w:r>
      <w:r w:rsidR="003C7FB2">
        <w:t xml:space="preserve"> </w:t>
      </w:r>
      <w:r w:rsidR="0020618B">
        <w:t>living</w:t>
      </w:r>
      <w:r w:rsidR="003C7FB2">
        <w:t xml:space="preserve"> </w:t>
      </w:r>
      <w:r w:rsidR="0020618B">
        <w:t>far</w:t>
      </w:r>
      <w:r w:rsidR="003C7FB2">
        <w:t xml:space="preserve"> </w:t>
      </w:r>
      <w:r w:rsidR="0020618B">
        <w:t>from</w:t>
      </w:r>
      <w:r w:rsidR="003C7FB2">
        <w:t xml:space="preserve"> </w:t>
      </w:r>
      <w:r w:rsidR="0020618B">
        <w:t>work</w:t>
      </w:r>
      <w:r w:rsidR="003C7FB2">
        <w:t xml:space="preserve"> </w:t>
      </w:r>
      <w:r w:rsidR="00DD3B71">
        <w:t>who</w:t>
      </w:r>
      <w:r w:rsidR="003C7FB2">
        <w:t xml:space="preserve"> </w:t>
      </w:r>
      <w:r w:rsidR="00DD3B71">
        <w:t>reported</w:t>
      </w:r>
      <w:r w:rsidR="003C7FB2">
        <w:t xml:space="preserve"> </w:t>
      </w:r>
      <w:r w:rsidR="00DD3B71">
        <w:t>regular</w:t>
      </w:r>
      <w:r w:rsidR="003C7FB2">
        <w:t xml:space="preserve"> </w:t>
      </w:r>
      <w:r w:rsidR="00DD3B71">
        <w:t>car-use</w:t>
      </w:r>
      <w:r w:rsidR="003C7FB2">
        <w:t xml:space="preserve"> </w:t>
      </w:r>
      <w:r w:rsidR="00DD3B71">
        <w:t>was</w:t>
      </w:r>
      <w:r w:rsidR="003C7FB2">
        <w:t xml:space="preserve"> </w:t>
      </w:r>
      <w:r w:rsidR="00DD3B71">
        <w:t>(marginally)</w:t>
      </w:r>
      <w:r w:rsidR="003C7FB2">
        <w:t xml:space="preserve"> </w:t>
      </w:r>
      <w:r w:rsidR="00DD3B71">
        <w:t>not</w:t>
      </w:r>
      <w:r w:rsidR="003C7FB2">
        <w:t xml:space="preserve"> </w:t>
      </w:r>
      <w:r w:rsidR="00DD3B71">
        <w:t>significant</w:t>
      </w:r>
      <w:r w:rsidR="003C7FB2">
        <w:t xml:space="preserve"> </w:t>
      </w:r>
      <w:r w:rsidR="00910CE6">
        <w:t>when</w:t>
      </w:r>
      <w:r w:rsidR="003C7FB2">
        <w:t xml:space="preserve"> </w:t>
      </w:r>
      <w:r w:rsidR="00910CE6">
        <w:t>adjusting</w:t>
      </w:r>
      <w:r w:rsidR="003C7FB2">
        <w:t xml:space="preserve"> </w:t>
      </w:r>
      <w:r w:rsidR="00910CE6">
        <w:t>for</w:t>
      </w:r>
      <w:r w:rsidR="003C7FB2">
        <w:t xml:space="preserve"> </w:t>
      </w:r>
      <w:r w:rsidR="00910CE6">
        <w:t>other</w:t>
      </w:r>
      <w:r w:rsidR="003C7FB2">
        <w:t xml:space="preserve"> </w:t>
      </w:r>
      <w:r w:rsidR="00910CE6">
        <w:t>self-repo</w:t>
      </w:r>
      <w:r w:rsidR="006964E9">
        <w:t>rted</w:t>
      </w:r>
      <w:r w:rsidR="003C7FB2">
        <w:t xml:space="preserve"> </w:t>
      </w:r>
      <w:r w:rsidR="006964E9">
        <w:t>physical</w:t>
      </w:r>
      <w:r w:rsidR="003C7FB2">
        <w:t xml:space="preserve"> </w:t>
      </w:r>
      <w:r w:rsidR="006964E9">
        <w:t>activity</w:t>
      </w:r>
      <w:r w:rsidR="00DD3B71">
        <w:t>.</w:t>
      </w:r>
      <w:r w:rsidR="003C7FB2">
        <w:t xml:space="preserve"> </w:t>
      </w:r>
    </w:p>
    <w:p w14:paraId="2337A52D" w14:textId="7599C7F3" w:rsidR="00F971D8" w:rsidRDefault="00F971D8" w:rsidP="00F971D8">
      <w:pPr>
        <w:spacing w:after="0" w:line="240" w:lineRule="auto"/>
        <w:rPr>
          <w:b/>
        </w:rPr>
      </w:pPr>
      <w:r>
        <w:rPr>
          <w:b/>
        </w:rPr>
        <w:t>Table</w:t>
      </w:r>
      <w:r w:rsidR="003C7FB2">
        <w:rPr>
          <w:b/>
        </w:rPr>
        <w:t xml:space="preserve"> </w:t>
      </w:r>
      <w:r>
        <w:rPr>
          <w:b/>
        </w:rPr>
        <w:t>3</w:t>
      </w:r>
      <w:r w:rsidRPr="00136D4E">
        <w:rPr>
          <w:b/>
        </w:rPr>
        <w:t>:</w:t>
      </w:r>
      <w:r w:rsidR="003C7FB2">
        <w:rPr>
          <w:b/>
        </w:rPr>
        <w:t xml:space="preserve"> </w:t>
      </w:r>
      <w:r w:rsidRPr="00136D4E">
        <w:rPr>
          <w:b/>
        </w:rPr>
        <w:t>Associations</w:t>
      </w:r>
      <w:r w:rsidR="003C7FB2">
        <w:rPr>
          <w:b/>
        </w:rPr>
        <w:t xml:space="preserve"> </w:t>
      </w:r>
      <w:r w:rsidRPr="00136D4E">
        <w:rPr>
          <w:b/>
        </w:rPr>
        <w:t>between</w:t>
      </w:r>
      <w:r w:rsidR="003C7FB2">
        <w:rPr>
          <w:b/>
        </w:rPr>
        <w:t xml:space="preserve"> </w:t>
      </w:r>
      <w:r>
        <w:rPr>
          <w:b/>
        </w:rPr>
        <w:t>active</w:t>
      </w:r>
      <w:r w:rsidR="003C7FB2">
        <w:rPr>
          <w:b/>
        </w:rPr>
        <w:t xml:space="preserve"> </w:t>
      </w:r>
      <w:r w:rsidRPr="00136D4E">
        <w:rPr>
          <w:b/>
        </w:rPr>
        <w:t>commuting</w:t>
      </w:r>
      <w:r w:rsidR="003C7FB2">
        <w:rPr>
          <w:b/>
        </w:rPr>
        <w:t xml:space="preserve"> </w:t>
      </w:r>
      <w:r w:rsidRPr="00136D4E">
        <w:rPr>
          <w:b/>
        </w:rPr>
        <w:t>and</w:t>
      </w:r>
      <w:r w:rsidR="003C7FB2">
        <w:rPr>
          <w:b/>
        </w:rPr>
        <w:t xml:space="preserve"> </w:t>
      </w:r>
      <w:r>
        <w:rPr>
          <w:b/>
        </w:rPr>
        <w:t>visceral</w:t>
      </w:r>
      <w:r w:rsidR="003C7FB2">
        <w:rPr>
          <w:b/>
        </w:rPr>
        <w:t xml:space="preserve"> </w:t>
      </w:r>
      <w:r>
        <w:rPr>
          <w:b/>
        </w:rPr>
        <w:t>adipose</w:t>
      </w:r>
      <w:r w:rsidR="003C7FB2">
        <w:rPr>
          <w:b/>
        </w:rPr>
        <w:t xml:space="preserve"> </w:t>
      </w:r>
      <w:r>
        <w:rPr>
          <w:b/>
        </w:rPr>
        <w:t>tissue</w:t>
      </w:r>
      <w:r w:rsidR="003C7FB2">
        <w:rPr>
          <w:b/>
        </w:rPr>
        <w:t xml:space="preserve"> </w:t>
      </w:r>
      <w:r>
        <w:rPr>
          <w:b/>
        </w:rPr>
        <w:t>stratified</w:t>
      </w:r>
      <w:r w:rsidR="003C7FB2">
        <w:rPr>
          <w:b/>
        </w:rPr>
        <w:t xml:space="preserve"> </w:t>
      </w:r>
      <w:r>
        <w:rPr>
          <w:b/>
        </w:rPr>
        <w:t>by</w:t>
      </w:r>
      <w:r w:rsidR="003C7FB2">
        <w:rPr>
          <w:b/>
        </w:rPr>
        <w:t xml:space="preserve"> </w:t>
      </w:r>
      <w:r>
        <w:rPr>
          <w:b/>
        </w:rPr>
        <w:t>home-work</w:t>
      </w:r>
      <w:r w:rsidR="003C7FB2">
        <w:rPr>
          <w:b/>
        </w:rPr>
        <w:t xml:space="preserve"> </w:t>
      </w:r>
      <w:r>
        <w:rPr>
          <w:b/>
        </w:rPr>
        <w:t>distance</w:t>
      </w:r>
      <w:r w:rsidR="003C7FB2">
        <w:rPr>
          <w:b/>
        </w:rPr>
        <w:t xml:space="preserve"> </w:t>
      </w:r>
      <w:r>
        <w:rPr>
          <w:b/>
        </w:rPr>
        <w:t>and</w:t>
      </w:r>
      <w:r w:rsidR="003C7FB2">
        <w:rPr>
          <w:b/>
        </w:rPr>
        <w:t xml:space="preserve"> </w:t>
      </w:r>
      <w:r>
        <w:rPr>
          <w:b/>
        </w:rPr>
        <w:t>by</w:t>
      </w:r>
      <w:r w:rsidR="003C7FB2">
        <w:rPr>
          <w:b/>
        </w:rPr>
        <w:t xml:space="preserve"> </w:t>
      </w:r>
      <w:r>
        <w:rPr>
          <w:b/>
        </w:rPr>
        <w:t>sex</w:t>
      </w:r>
      <w:r w:rsidR="003C7FB2">
        <w:rPr>
          <w:b/>
        </w:rPr>
        <w:t xml:space="preserve"> </w:t>
      </w:r>
      <w:r>
        <w:rPr>
          <w:b/>
        </w:rPr>
        <w:t>(n=7,504)</w:t>
      </w:r>
    </w:p>
    <w:tbl>
      <w:tblPr>
        <w:tblStyle w:val="TableGrid"/>
        <w:tblW w:w="9351" w:type="dxa"/>
        <w:tblLook w:val="04A0" w:firstRow="1" w:lastRow="0" w:firstColumn="1" w:lastColumn="0" w:noHBand="0" w:noVBand="1"/>
      </w:tblPr>
      <w:tblGrid>
        <w:gridCol w:w="1862"/>
        <w:gridCol w:w="1852"/>
        <w:gridCol w:w="1852"/>
        <w:gridCol w:w="1852"/>
        <w:gridCol w:w="1933"/>
      </w:tblGrid>
      <w:tr w:rsidR="00F971D8" w14:paraId="736BBD7E" w14:textId="77777777" w:rsidTr="00D9387F">
        <w:tc>
          <w:tcPr>
            <w:tcW w:w="1862" w:type="dxa"/>
          </w:tcPr>
          <w:p w14:paraId="28C8685F" w14:textId="77777777" w:rsidR="00F971D8" w:rsidRPr="00A10601" w:rsidRDefault="00F971D8" w:rsidP="00D9387F">
            <w:pPr>
              <w:rPr>
                <w:b/>
                <w:sz w:val="16"/>
                <w:szCs w:val="16"/>
              </w:rPr>
            </w:pPr>
          </w:p>
        </w:tc>
        <w:tc>
          <w:tcPr>
            <w:tcW w:w="1852" w:type="dxa"/>
          </w:tcPr>
          <w:p w14:paraId="2B58C0C1" w14:textId="77777777" w:rsidR="00F971D8" w:rsidRPr="00A10601" w:rsidRDefault="00F971D8" w:rsidP="00D9387F">
            <w:pPr>
              <w:rPr>
                <w:b/>
                <w:sz w:val="16"/>
                <w:szCs w:val="16"/>
              </w:rPr>
            </w:pPr>
            <w:r w:rsidRPr="00A10601">
              <w:rPr>
                <w:b/>
                <w:sz w:val="16"/>
                <w:szCs w:val="16"/>
              </w:rPr>
              <w:t>Unadjusted</w:t>
            </w:r>
          </w:p>
        </w:tc>
        <w:tc>
          <w:tcPr>
            <w:tcW w:w="1852" w:type="dxa"/>
          </w:tcPr>
          <w:p w14:paraId="06E78774" w14:textId="2973F60D" w:rsidR="00F971D8" w:rsidRPr="00A10601" w:rsidRDefault="00F971D8" w:rsidP="00D9387F">
            <w:pPr>
              <w:rPr>
                <w:b/>
                <w:sz w:val="16"/>
                <w:szCs w:val="16"/>
              </w:rPr>
            </w:pPr>
            <w:r w:rsidRPr="00A10601">
              <w:rPr>
                <w:b/>
                <w:sz w:val="16"/>
                <w:szCs w:val="16"/>
              </w:rPr>
              <w:t>Model</w:t>
            </w:r>
            <w:r w:rsidR="003C7FB2">
              <w:rPr>
                <w:b/>
                <w:sz w:val="16"/>
                <w:szCs w:val="16"/>
              </w:rPr>
              <w:t xml:space="preserve"> </w:t>
            </w:r>
            <w:r w:rsidRPr="00A10601">
              <w:rPr>
                <w:b/>
                <w:sz w:val="16"/>
                <w:szCs w:val="16"/>
              </w:rPr>
              <w:t>A</w:t>
            </w:r>
          </w:p>
        </w:tc>
        <w:tc>
          <w:tcPr>
            <w:tcW w:w="1852" w:type="dxa"/>
          </w:tcPr>
          <w:p w14:paraId="7B4430B9" w14:textId="52D3DABC" w:rsidR="00F971D8" w:rsidRPr="00A10601" w:rsidRDefault="00F971D8" w:rsidP="00D9387F">
            <w:pPr>
              <w:rPr>
                <w:b/>
                <w:sz w:val="16"/>
                <w:szCs w:val="16"/>
              </w:rPr>
            </w:pPr>
            <w:r w:rsidRPr="00A10601">
              <w:rPr>
                <w:b/>
                <w:sz w:val="16"/>
                <w:szCs w:val="16"/>
              </w:rPr>
              <w:t>Model</w:t>
            </w:r>
            <w:r w:rsidR="003C7FB2">
              <w:rPr>
                <w:b/>
                <w:sz w:val="16"/>
                <w:szCs w:val="16"/>
              </w:rPr>
              <w:t xml:space="preserve"> </w:t>
            </w:r>
            <w:r w:rsidRPr="00A10601">
              <w:rPr>
                <w:b/>
                <w:sz w:val="16"/>
                <w:szCs w:val="16"/>
              </w:rPr>
              <w:t>B</w:t>
            </w:r>
          </w:p>
        </w:tc>
        <w:tc>
          <w:tcPr>
            <w:tcW w:w="1933" w:type="dxa"/>
          </w:tcPr>
          <w:p w14:paraId="020E2345" w14:textId="29642303" w:rsidR="00F971D8" w:rsidRPr="00A10601" w:rsidRDefault="00F971D8" w:rsidP="00D9387F">
            <w:pPr>
              <w:rPr>
                <w:b/>
                <w:sz w:val="16"/>
                <w:szCs w:val="16"/>
              </w:rPr>
            </w:pPr>
            <w:r>
              <w:rPr>
                <w:b/>
                <w:sz w:val="16"/>
                <w:szCs w:val="16"/>
              </w:rPr>
              <w:t>Model</w:t>
            </w:r>
            <w:r w:rsidR="003C7FB2">
              <w:rPr>
                <w:b/>
                <w:sz w:val="16"/>
                <w:szCs w:val="16"/>
              </w:rPr>
              <w:t xml:space="preserve"> </w:t>
            </w:r>
            <w:r>
              <w:rPr>
                <w:b/>
                <w:sz w:val="16"/>
                <w:szCs w:val="16"/>
              </w:rPr>
              <w:t>B’</w:t>
            </w:r>
          </w:p>
        </w:tc>
      </w:tr>
      <w:tr w:rsidR="00F971D8" w14:paraId="216A0889" w14:textId="77777777" w:rsidTr="00D9387F">
        <w:tc>
          <w:tcPr>
            <w:tcW w:w="7418" w:type="dxa"/>
            <w:gridSpan w:val="4"/>
            <w:vAlign w:val="center"/>
          </w:tcPr>
          <w:p w14:paraId="07518A28" w14:textId="68B80325" w:rsidR="00F971D8" w:rsidRPr="00A10601" w:rsidRDefault="00F971D8" w:rsidP="00D9387F">
            <w:pPr>
              <w:rPr>
                <w:b/>
                <w:sz w:val="16"/>
                <w:szCs w:val="16"/>
              </w:rPr>
            </w:pPr>
            <w:r>
              <w:rPr>
                <w:b/>
                <w:bCs/>
                <w:color w:val="000000"/>
                <w:sz w:val="16"/>
                <w:szCs w:val="16"/>
              </w:rPr>
              <w:t>Participants</w:t>
            </w:r>
            <w:r w:rsidR="003C7FB2">
              <w:rPr>
                <w:b/>
                <w:bCs/>
                <w:color w:val="000000"/>
                <w:sz w:val="16"/>
                <w:szCs w:val="16"/>
              </w:rPr>
              <w:t xml:space="preserve"> </w:t>
            </w:r>
            <w:r>
              <w:rPr>
                <w:b/>
                <w:bCs/>
                <w:color w:val="000000"/>
                <w:sz w:val="16"/>
                <w:szCs w:val="16"/>
              </w:rPr>
              <w:t>living</w:t>
            </w:r>
            <w:r w:rsidR="003C7FB2">
              <w:rPr>
                <w:b/>
                <w:bCs/>
                <w:color w:val="000000"/>
                <w:sz w:val="16"/>
                <w:szCs w:val="16"/>
              </w:rPr>
              <w:t xml:space="preserve"> </w:t>
            </w:r>
            <w:r>
              <w:rPr>
                <w:b/>
                <w:bCs/>
                <w:color w:val="000000"/>
                <w:sz w:val="16"/>
                <w:szCs w:val="16"/>
              </w:rPr>
              <w:t>within</w:t>
            </w:r>
            <w:r w:rsidR="003C7FB2">
              <w:rPr>
                <w:b/>
                <w:bCs/>
                <w:color w:val="000000"/>
                <w:sz w:val="16"/>
                <w:szCs w:val="16"/>
              </w:rPr>
              <w:t xml:space="preserve"> </w:t>
            </w:r>
            <w:r>
              <w:rPr>
                <w:b/>
                <w:bCs/>
                <w:color w:val="000000"/>
                <w:sz w:val="16"/>
                <w:szCs w:val="16"/>
              </w:rPr>
              <w:t>five</w:t>
            </w:r>
            <w:r w:rsidR="003C7FB2">
              <w:rPr>
                <w:b/>
                <w:bCs/>
                <w:color w:val="000000"/>
                <w:sz w:val="16"/>
                <w:szCs w:val="16"/>
              </w:rPr>
              <w:t xml:space="preserve"> </w:t>
            </w:r>
            <w:r>
              <w:rPr>
                <w:b/>
                <w:bCs/>
                <w:color w:val="000000"/>
                <w:sz w:val="16"/>
                <w:szCs w:val="16"/>
              </w:rPr>
              <w:t>miles</w:t>
            </w:r>
            <w:r w:rsidR="003C7FB2">
              <w:rPr>
                <w:b/>
                <w:bCs/>
                <w:color w:val="000000"/>
                <w:sz w:val="16"/>
                <w:szCs w:val="16"/>
              </w:rPr>
              <w:t xml:space="preserve"> </w:t>
            </w:r>
            <w:r>
              <w:rPr>
                <w:b/>
                <w:bCs/>
                <w:color w:val="000000"/>
                <w:sz w:val="16"/>
                <w:szCs w:val="16"/>
              </w:rPr>
              <w:t>of</w:t>
            </w:r>
            <w:r w:rsidR="003C7FB2">
              <w:rPr>
                <w:b/>
                <w:bCs/>
                <w:color w:val="000000"/>
                <w:sz w:val="16"/>
                <w:szCs w:val="16"/>
              </w:rPr>
              <w:t xml:space="preserve"> </w:t>
            </w:r>
            <w:r>
              <w:rPr>
                <w:b/>
                <w:bCs/>
                <w:color w:val="000000"/>
                <w:sz w:val="16"/>
                <w:szCs w:val="16"/>
              </w:rPr>
              <w:t>work</w:t>
            </w:r>
            <w:r w:rsidR="003C7FB2">
              <w:rPr>
                <w:b/>
                <w:bCs/>
                <w:color w:val="000000"/>
                <w:sz w:val="16"/>
                <w:szCs w:val="16"/>
              </w:rPr>
              <w:t xml:space="preserve"> </w:t>
            </w:r>
            <w:r w:rsidRPr="00A10601">
              <w:rPr>
                <w:b/>
                <w:bCs/>
                <w:color w:val="000000"/>
                <w:sz w:val="16"/>
                <w:szCs w:val="16"/>
              </w:rPr>
              <w:t>(n=3</w:t>
            </w:r>
            <w:r>
              <w:rPr>
                <w:b/>
                <w:bCs/>
                <w:color w:val="000000"/>
                <w:sz w:val="16"/>
                <w:szCs w:val="16"/>
              </w:rPr>
              <w:t>171</w:t>
            </w:r>
            <w:r w:rsidRPr="00A10601">
              <w:rPr>
                <w:b/>
                <w:bCs/>
                <w:color w:val="000000"/>
                <w:sz w:val="16"/>
                <w:szCs w:val="16"/>
              </w:rPr>
              <w:t>)</w:t>
            </w:r>
          </w:p>
        </w:tc>
        <w:tc>
          <w:tcPr>
            <w:tcW w:w="1933" w:type="dxa"/>
          </w:tcPr>
          <w:p w14:paraId="5E2DE2FE" w14:textId="77777777" w:rsidR="00F971D8" w:rsidRPr="00A10601" w:rsidRDefault="00F971D8" w:rsidP="00D9387F">
            <w:pPr>
              <w:rPr>
                <w:b/>
                <w:bCs/>
                <w:color w:val="000000"/>
                <w:sz w:val="16"/>
                <w:szCs w:val="16"/>
              </w:rPr>
            </w:pPr>
          </w:p>
        </w:tc>
      </w:tr>
      <w:tr w:rsidR="00F971D8" w14:paraId="2F5E4831" w14:textId="77777777" w:rsidTr="00D9387F">
        <w:tc>
          <w:tcPr>
            <w:tcW w:w="1862" w:type="dxa"/>
            <w:vAlign w:val="center"/>
          </w:tcPr>
          <w:p w14:paraId="7BD63693" w14:textId="7E610633" w:rsidR="00F971D8" w:rsidRPr="00A10601" w:rsidRDefault="00F971D8" w:rsidP="00D9387F">
            <w:pPr>
              <w:rPr>
                <w:b/>
                <w:sz w:val="16"/>
                <w:szCs w:val="16"/>
              </w:rPr>
            </w:pPr>
            <w:r>
              <w:rPr>
                <w:b/>
                <w:bCs/>
                <w:color w:val="000000"/>
                <w:sz w:val="16"/>
                <w:szCs w:val="16"/>
              </w:rPr>
              <w:t>Women</w:t>
            </w:r>
            <w:r w:rsidR="003C7FB2">
              <w:rPr>
                <w:b/>
                <w:bCs/>
                <w:color w:val="000000"/>
                <w:sz w:val="16"/>
                <w:szCs w:val="16"/>
              </w:rPr>
              <w:t xml:space="preserve"> </w:t>
            </w:r>
            <w:r>
              <w:rPr>
                <w:b/>
                <w:bCs/>
                <w:color w:val="000000"/>
                <w:sz w:val="16"/>
                <w:szCs w:val="16"/>
              </w:rPr>
              <w:t>(n=1904</w:t>
            </w:r>
            <w:r w:rsidRPr="00A10601">
              <w:rPr>
                <w:b/>
                <w:bCs/>
                <w:color w:val="000000"/>
                <w:sz w:val="16"/>
                <w:szCs w:val="16"/>
              </w:rPr>
              <w:t>)</w:t>
            </w:r>
          </w:p>
        </w:tc>
        <w:tc>
          <w:tcPr>
            <w:tcW w:w="1852" w:type="dxa"/>
            <w:vAlign w:val="center"/>
          </w:tcPr>
          <w:p w14:paraId="63F89831" w14:textId="57F81D8A" w:rsidR="00F971D8" w:rsidRPr="00A10601" w:rsidRDefault="003C7FB2" w:rsidP="00D9387F">
            <w:pPr>
              <w:rPr>
                <w:b/>
                <w:sz w:val="16"/>
                <w:szCs w:val="16"/>
              </w:rPr>
            </w:pPr>
            <w:r>
              <w:rPr>
                <w:b/>
                <w:bCs/>
                <w:color w:val="000000"/>
                <w:sz w:val="16"/>
                <w:szCs w:val="16"/>
              </w:rPr>
              <w:t xml:space="preserve"> </w:t>
            </w:r>
          </w:p>
        </w:tc>
        <w:tc>
          <w:tcPr>
            <w:tcW w:w="1852" w:type="dxa"/>
            <w:vAlign w:val="center"/>
          </w:tcPr>
          <w:p w14:paraId="52F37421" w14:textId="56DAC180" w:rsidR="00F971D8" w:rsidRPr="00A10601" w:rsidRDefault="003C7FB2" w:rsidP="00D9387F">
            <w:pPr>
              <w:rPr>
                <w:b/>
                <w:sz w:val="16"/>
                <w:szCs w:val="16"/>
              </w:rPr>
            </w:pPr>
            <w:r>
              <w:rPr>
                <w:b/>
                <w:bCs/>
                <w:color w:val="000000"/>
                <w:sz w:val="16"/>
                <w:szCs w:val="16"/>
              </w:rPr>
              <w:t xml:space="preserve"> </w:t>
            </w:r>
          </w:p>
        </w:tc>
        <w:tc>
          <w:tcPr>
            <w:tcW w:w="1852" w:type="dxa"/>
            <w:vAlign w:val="center"/>
          </w:tcPr>
          <w:p w14:paraId="60BAF825" w14:textId="6B9AE4B4" w:rsidR="00F971D8" w:rsidRPr="00A10601" w:rsidRDefault="003C7FB2" w:rsidP="00D9387F">
            <w:pPr>
              <w:rPr>
                <w:b/>
                <w:sz w:val="16"/>
                <w:szCs w:val="16"/>
              </w:rPr>
            </w:pPr>
            <w:r>
              <w:rPr>
                <w:b/>
                <w:bCs/>
                <w:color w:val="000000"/>
                <w:sz w:val="16"/>
                <w:szCs w:val="16"/>
              </w:rPr>
              <w:t xml:space="preserve"> </w:t>
            </w:r>
          </w:p>
        </w:tc>
        <w:tc>
          <w:tcPr>
            <w:tcW w:w="1933" w:type="dxa"/>
          </w:tcPr>
          <w:p w14:paraId="7FCE7B54" w14:textId="77777777" w:rsidR="00F971D8" w:rsidRPr="00A10601" w:rsidRDefault="00F971D8" w:rsidP="00D9387F">
            <w:pPr>
              <w:rPr>
                <w:b/>
                <w:bCs/>
                <w:color w:val="000000"/>
                <w:sz w:val="16"/>
                <w:szCs w:val="16"/>
              </w:rPr>
            </w:pPr>
          </w:p>
        </w:tc>
      </w:tr>
      <w:tr w:rsidR="00F971D8" w14:paraId="093B6614" w14:textId="77777777" w:rsidTr="00D9387F">
        <w:tc>
          <w:tcPr>
            <w:tcW w:w="1862" w:type="dxa"/>
          </w:tcPr>
          <w:p w14:paraId="4F04513F" w14:textId="37F4CDCF" w:rsidR="00F971D8" w:rsidRPr="00A10601" w:rsidRDefault="00F971D8" w:rsidP="00D9387F">
            <w:pPr>
              <w:rPr>
                <w:sz w:val="16"/>
                <w:szCs w:val="16"/>
              </w:rPr>
            </w:pPr>
            <w:r w:rsidRPr="00F71324">
              <w:rPr>
                <w:color w:val="000000"/>
                <w:sz w:val="18"/>
                <w:szCs w:val="18"/>
              </w:rPr>
              <w:t>Car</w:t>
            </w:r>
            <w:r w:rsidR="003C7FB2">
              <w:rPr>
                <w:color w:val="000000"/>
                <w:sz w:val="18"/>
                <w:szCs w:val="18"/>
              </w:rPr>
              <w:t xml:space="preserve"> </w:t>
            </w:r>
            <w:r w:rsidRPr="00F71324">
              <w:rPr>
                <w:color w:val="000000"/>
                <w:sz w:val="18"/>
                <w:szCs w:val="18"/>
              </w:rPr>
              <w:t>only</w:t>
            </w:r>
            <w:r w:rsidR="003C7FB2">
              <w:rPr>
                <w:color w:val="000000"/>
                <w:sz w:val="18"/>
                <w:szCs w:val="18"/>
              </w:rPr>
              <w:t xml:space="preserve"> </w:t>
            </w:r>
            <w:r w:rsidRPr="00F71324">
              <w:rPr>
                <w:color w:val="000000"/>
                <w:sz w:val="18"/>
                <w:szCs w:val="18"/>
              </w:rPr>
              <w:t>(reference)</w:t>
            </w:r>
          </w:p>
        </w:tc>
        <w:tc>
          <w:tcPr>
            <w:tcW w:w="1852" w:type="dxa"/>
            <w:vAlign w:val="center"/>
          </w:tcPr>
          <w:p w14:paraId="73ADC8BB" w14:textId="1B6CA062" w:rsidR="00F971D8" w:rsidRPr="0011095F" w:rsidRDefault="003C7FB2" w:rsidP="00D9387F">
            <w:pPr>
              <w:rPr>
                <w:sz w:val="18"/>
                <w:szCs w:val="18"/>
              </w:rPr>
            </w:pPr>
            <w:r>
              <w:rPr>
                <w:color w:val="000000"/>
                <w:sz w:val="18"/>
                <w:szCs w:val="18"/>
              </w:rPr>
              <w:t xml:space="preserve"> </w:t>
            </w:r>
          </w:p>
        </w:tc>
        <w:tc>
          <w:tcPr>
            <w:tcW w:w="1852" w:type="dxa"/>
            <w:vAlign w:val="center"/>
          </w:tcPr>
          <w:p w14:paraId="6CFAAEE2" w14:textId="226E61CA" w:rsidR="00F971D8" w:rsidRPr="0011095F" w:rsidRDefault="003C7FB2" w:rsidP="00D9387F">
            <w:pPr>
              <w:rPr>
                <w:sz w:val="18"/>
                <w:szCs w:val="18"/>
              </w:rPr>
            </w:pPr>
            <w:r>
              <w:rPr>
                <w:color w:val="000000"/>
                <w:sz w:val="18"/>
                <w:szCs w:val="18"/>
              </w:rPr>
              <w:t xml:space="preserve"> </w:t>
            </w:r>
          </w:p>
        </w:tc>
        <w:tc>
          <w:tcPr>
            <w:tcW w:w="1852" w:type="dxa"/>
            <w:vAlign w:val="center"/>
          </w:tcPr>
          <w:p w14:paraId="6814052B" w14:textId="4198D6CF" w:rsidR="00F971D8" w:rsidRPr="0011095F" w:rsidRDefault="003C7FB2" w:rsidP="00D9387F">
            <w:pPr>
              <w:rPr>
                <w:sz w:val="18"/>
                <w:szCs w:val="18"/>
              </w:rPr>
            </w:pPr>
            <w:r>
              <w:rPr>
                <w:color w:val="000000"/>
                <w:sz w:val="18"/>
                <w:szCs w:val="18"/>
              </w:rPr>
              <w:t xml:space="preserve"> </w:t>
            </w:r>
          </w:p>
        </w:tc>
        <w:tc>
          <w:tcPr>
            <w:tcW w:w="1933" w:type="dxa"/>
          </w:tcPr>
          <w:p w14:paraId="63172034" w14:textId="77777777" w:rsidR="00F971D8" w:rsidRPr="0011095F" w:rsidRDefault="00F971D8" w:rsidP="00D9387F">
            <w:pPr>
              <w:rPr>
                <w:color w:val="000000"/>
                <w:sz w:val="18"/>
                <w:szCs w:val="18"/>
              </w:rPr>
            </w:pPr>
          </w:p>
        </w:tc>
      </w:tr>
      <w:tr w:rsidR="00F971D8" w14:paraId="54F6FD00" w14:textId="77777777" w:rsidTr="00D9387F">
        <w:tc>
          <w:tcPr>
            <w:tcW w:w="1862" w:type="dxa"/>
            <w:vAlign w:val="center"/>
          </w:tcPr>
          <w:p w14:paraId="46C7B20E" w14:textId="7B86F7CA" w:rsidR="00F971D8" w:rsidRPr="00A10601" w:rsidRDefault="00F971D8" w:rsidP="00D9387F">
            <w:pPr>
              <w:rPr>
                <w:sz w:val="16"/>
                <w:szCs w:val="16"/>
              </w:rPr>
            </w:pPr>
            <w:r w:rsidRPr="00F71324">
              <w:rPr>
                <w:color w:val="000000"/>
                <w:sz w:val="18"/>
                <w:szCs w:val="18"/>
              </w:rPr>
              <w:t>Regular</w:t>
            </w:r>
            <w:r w:rsidR="003C7FB2">
              <w:rPr>
                <w:color w:val="000000"/>
                <w:sz w:val="18"/>
                <w:szCs w:val="18"/>
              </w:rPr>
              <w:t xml:space="preserve"> </w:t>
            </w:r>
            <w:r w:rsidRPr="00F71324">
              <w:rPr>
                <w:color w:val="000000"/>
                <w:sz w:val="18"/>
                <w:szCs w:val="18"/>
              </w:rPr>
              <w:t>walking</w:t>
            </w:r>
          </w:p>
        </w:tc>
        <w:tc>
          <w:tcPr>
            <w:tcW w:w="1852" w:type="dxa"/>
            <w:vAlign w:val="bottom"/>
          </w:tcPr>
          <w:p w14:paraId="7606A40A" w14:textId="1690827D" w:rsidR="00F971D8" w:rsidRPr="0011095F" w:rsidRDefault="00F971D8" w:rsidP="00D9387F">
            <w:pPr>
              <w:rPr>
                <w:sz w:val="18"/>
                <w:szCs w:val="18"/>
              </w:rPr>
            </w:pPr>
            <w:r w:rsidRPr="0011095F">
              <w:rPr>
                <w:color w:val="000000"/>
                <w:sz w:val="18"/>
                <w:szCs w:val="18"/>
              </w:rPr>
              <w:t>-0.79</w:t>
            </w:r>
            <w:r w:rsidR="003C7FB2">
              <w:rPr>
                <w:color w:val="000000"/>
                <w:sz w:val="18"/>
                <w:szCs w:val="18"/>
              </w:rPr>
              <w:t xml:space="preserve"> </w:t>
            </w:r>
            <w:r>
              <w:rPr>
                <w:color w:val="000000"/>
                <w:sz w:val="18"/>
                <w:szCs w:val="18"/>
              </w:rPr>
              <w:t>(</w:t>
            </w:r>
            <w:r w:rsidRPr="0011095F">
              <w:rPr>
                <w:color w:val="000000"/>
                <w:sz w:val="18"/>
                <w:szCs w:val="18"/>
              </w:rPr>
              <w:t>-2.14,</w:t>
            </w:r>
            <w:r w:rsidR="003C7FB2">
              <w:rPr>
                <w:color w:val="000000"/>
                <w:sz w:val="18"/>
                <w:szCs w:val="18"/>
              </w:rPr>
              <w:t xml:space="preserve"> </w:t>
            </w:r>
            <w:r w:rsidRPr="0011095F">
              <w:rPr>
                <w:color w:val="000000"/>
                <w:sz w:val="18"/>
                <w:szCs w:val="18"/>
              </w:rPr>
              <w:t>0.57</w:t>
            </w:r>
            <w:r>
              <w:rPr>
                <w:color w:val="000000"/>
                <w:sz w:val="18"/>
                <w:szCs w:val="18"/>
              </w:rPr>
              <w:t>)</w:t>
            </w:r>
          </w:p>
        </w:tc>
        <w:tc>
          <w:tcPr>
            <w:tcW w:w="1852" w:type="dxa"/>
            <w:vAlign w:val="bottom"/>
          </w:tcPr>
          <w:p w14:paraId="77D0157B" w14:textId="2C0A9652" w:rsidR="00F971D8" w:rsidRPr="0011095F" w:rsidRDefault="00F971D8" w:rsidP="00D9387F">
            <w:pPr>
              <w:rPr>
                <w:sz w:val="18"/>
                <w:szCs w:val="18"/>
              </w:rPr>
            </w:pPr>
            <w:r w:rsidRPr="0011095F">
              <w:rPr>
                <w:color w:val="000000"/>
                <w:sz w:val="18"/>
                <w:szCs w:val="18"/>
              </w:rPr>
              <w:t>-0.08</w:t>
            </w:r>
            <w:r w:rsidR="003C7FB2">
              <w:rPr>
                <w:color w:val="000000"/>
                <w:sz w:val="18"/>
                <w:szCs w:val="18"/>
              </w:rPr>
              <w:t xml:space="preserve"> </w:t>
            </w:r>
            <w:r>
              <w:rPr>
                <w:color w:val="000000"/>
                <w:sz w:val="18"/>
                <w:szCs w:val="18"/>
              </w:rPr>
              <w:t>(</w:t>
            </w:r>
            <w:r w:rsidRPr="0011095F">
              <w:rPr>
                <w:color w:val="000000"/>
                <w:sz w:val="18"/>
                <w:szCs w:val="18"/>
              </w:rPr>
              <w:t>-1.38</w:t>
            </w:r>
            <w:r>
              <w:rPr>
                <w:color w:val="000000"/>
                <w:sz w:val="18"/>
                <w:szCs w:val="18"/>
              </w:rPr>
              <w:t>,</w:t>
            </w:r>
            <w:r w:rsidR="003C7FB2">
              <w:rPr>
                <w:color w:val="000000"/>
                <w:sz w:val="18"/>
                <w:szCs w:val="18"/>
              </w:rPr>
              <w:t xml:space="preserve"> </w:t>
            </w:r>
            <w:r w:rsidRPr="0011095F">
              <w:rPr>
                <w:color w:val="000000"/>
                <w:sz w:val="18"/>
                <w:szCs w:val="18"/>
              </w:rPr>
              <w:t>1.21</w:t>
            </w:r>
            <w:r>
              <w:rPr>
                <w:color w:val="000000"/>
                <w:sz w:val="18"/>
                <w:szCs w:val="18"/>
              </w:rPr>
              <w:t>)</w:t>
            </w:r>
          </w:p>
        </w:tc>
        <w:tc>
          <w:tcPr>
            <w:tcW w:w="1852" w:type="dxa"/>
            <w:vAlign w:val="bottom"/>
          </w:tcPr>
          <w:p w14:paraId="04D507A6" w14:textId="7AB405A4" w:rsidR="00F971D8" w:rsidRPr="0011095F" w:rsidRDefault="00F971D8" w:rsidP="00D9387F">
            <w:pPr>
              <w:rPr>
                <w:sz w:val="18"/>
                <w:szCs w:val="18"/>
              </w:rPr>
            </w:pPr>
            <w:r w:rsidRPr="0011095F">
              <w:rPr>
                <w:color w:val="000000"/>
                <w:sz w:val="18"/>
                <w:szCs w:val="18"/>
              </w:rPr>
              <w:t>0.3</w:t>
            </w:r>
            <w:r>
              <w:rPr>
                <w:color w:val="000000"/>
                <w:sz w:val="18"/>
                <w:szCs w:val="18"/>
              </w:rPr>
              <w:t>0</w:t>
            </w:r>
            <w:r w:rsidR="003C7FB2">
              <w:rPr>
                <w:color w:val="000000"/>
                <w:sz w:val="18"/>
                <w:szCs w:val="18"/>
              </w:rPr>
              <w:t xml:space="preserve"> </w:t>
            </w:r>
            <w:r>
              <w:rPr>
                <w:color w:val="000000"/>
                <w:sz w:val="18"/>
                <w:szCs w:val="18"/>
              </w:rPr>
              <w:t>(</w:t>
            </w:r>
            <w:r w:rsidRPr="0011095F">
              <w:rPr>
                <w:color w:val="000000"/>
                <w:sz w:val="18"/>
                <w:szCs w:val="18"/>
              </w:rPr>
              <w:t>-1.17</w:t>
            </w:r>
            <w:r>
              <w:rPr>
                <w:color w:val="000000"/>
                <w:sz w:val="18"/>
                <w:szCs w:val="18"/>
              </w:rPr>
              <w:t>,</w:t>
            </w:r>
            <w:r w:rsidR="003C7FB2">
              <w:rPr>
                <w:color w:val="000000"/>
                <w:sz w:val="18"/>
                <w:szCs w:val="18"/>
              </w:rPr>
              <w:t xml:space="preserve"> </w:t>
            </w:r>
            <w:r w:rsidRPr="0011095F">
              <w:rPr>
                <w:color w:val="000000"/>
                <w:sz w:val="18"/>
                <w:szCs w:val="18"/>
              </w:rPr>
              <w:t>1.76</w:t>
            </w:r>
            <w:r>
              <w:rPr>
                <w:color w:val="000000"/>
                <w:sz w:val="18"/>
                <w:szCs w:val="18"/>
              </w:rPr>
              <w:t>)</w:t>
            </w:r>
          </w:p>
        </w:tc>
        <w:tc>
          <w:tcPr>
            <w:tcW w:w="1933" w:type="dxa"/>
            <w:vAlign w:val="bottom"/>
          </w:tcPr>
          <w:p w14:paraId="7B93176F" w14:textId="1C9751C7" w:rsidR="00F971D8" w:rsidRPr="0011095F" w:rsidRDefault="00F971D8" w:rsidP="00D9387F">
            <w:pPr>
              <w:rPr>
                <w:color w:val="000000"/>
                <w:sz w:val="18"/>
                <w:szCs w:val="18"/>
              </w:rPr>
            </w:pPr>
            <w:r w:rsidRPr="0011095F">
              <w:rPr>
                <w:color w:val="000000"/>
                <w:sz w:val="18"/>
                <w:szCs w:val="18"/>
              </w:rPr>
              <w:t>-0.21</w:t>
            </w:r>
            <w:r w:rsidR="003C7FB2">
              <w:rPr>
                <w:color w:val="000000"/>
                <w:sz w:val="18"/>
                <w:szCs w:val="18"/>
              </w:rPr>
              <w:t xml:space="preserve"> </w:t>
            </w:r>
            <w:r>
              <w:rPr>
                <w:color w:val="000000"/>
                <w:sz w:val="18"/>
                <w:szCs w:val="18"/>
              </w:rPr>
              <w:t>(</w:t>
            </w:r>
            <w:r w:rsidRPr="0011095F">
              <w:rPr>
                <w:color w:val="000000"/>
                <w:sz w:val="18"/>
                <w:szCs w:val="18"/>
              </w:rPr>
              <w:t>-1.45</w:t>
            </w:r>
            <w:r>
              <w:rPr>
                <w:color w:val="000000"/>
                <w:sz w:val="18"/>
                <w:szCs w:val="18"/>
              </w:rPr>
              <w:t>,</w:t>
            </w:r>
            <w:r w:rsidR="003C7FB2">
              <w:rPr>
                <w:color w:val="000000"/>
                <w:sz w:val="18"/>
                <w:szCs w:val="18"/>
              </w:rPr>
              <w:t xml:space="preserve"> </w:t>
            </w:r>
            <w:r w:rsidRPr="0011095F">
              <w:rPr>
                <w:color w:val="000000"/>
                <w:sz w:val="18"/>
                <w:szCs w:val="18"/>
              </w:rPr>
              <w:t>1.03</w:t>
            </w:r>
            <w:r>
              <w:rPr>
                <w:color w:val="000000"/>
                <w:sz w:val="18"/>
                <w:szCs w:val="18"/>
              </w:rPr>
              <w:t>)</w:t>
            </w:r>
          </w:p>
        </w:tc>
      </w:tr>
      <w:tr w:rsidR="00F971D8" w14:paraId="1381395A" w14:textId="77777777" w:rsidTr="00D9387F">
        <w:tc>
          <w:tcPr>
            <w:tcW w:w="1862" w:type="dxa"/>
            <w:vAlign w:val="center"/>
          </w:tcPr>
          <w:p w14:paraId="2254D69F" w14:textId="659C7735" w:rsidR="00F971D8" w:rsidRPr="00A10601" w:rsidRDefault="00F971D8" w:rsidP="00D9387F">
            <w:pPr>
              <w:rPr>
                <w:sz w:val="16"/>
                <w:szCs w:val="16"/>
              </w:rPr>
            </w:pPr>
            <w:r w:rsidRPr="00F71324">
              <w:rPr>
                <w:color w:val="000000"/>
                <w:sz w:val="18"/>
                <w:szCs w:val="18"/>
              </w:rPr>
              <w:t>Regular</w:t>
            </w:r>
            <w:r w:rsidR="003C7FB2">
              <w:rPr>
                <w:color w:val="000000"/>
                <w:sz w:val="18"/>
                <w:szCs w:val="18"/>
              </w:rPr>
              <w:t xml:space="preserve"> </w:t>
            </w:r>
            <w:r w:rsidRPr="00F71324">
              <w:rPr>
                <w:color w:val="000000"/>
                <w:sz w:val="18"/>
                <w:szCs w:val="18"/>
              </w:rPr>
              <w:t>cycling</w:t>
            </w:r>
          </w:p>
        </w:tc>
        <w:tc>
          <w:tcPr>
            <w:tcW w:w="1852" w:type="dxa"/>
            <w:vAlign w:val="bottom"/>
          </w:tcPr>
          <w:p w14:paraId="2BBA61A3" w14:textId="65681122" w:rsidR="00F971D8" w:rsidRPr="0011095F" w:rsidRDefault="00F971D8" w:rsidP="00D9387F">
            <w:pPr>
              <w:rPr>
                <w:sz w:val="18"/>
                <w:szCs w:val="18"/>
              </w:rPr>
            </w:pPr>
            <w:r w:rsidRPr="0011095F">
              <w:rPr>
                <w:color w:val="000000"/>
                <w:sz w:val="18"/>
                <w:szCs w:val="18"/>
              </w:rPr>
              <w:t>-3.44</w:t>
            </w:r>
            <w:r w:rsidR="003C7FB2">
              <w:rPr>
                <w:color w:val="000000"/>
                <w:sz w:val="18"/>
                <w:szCs w:val="18"/>
              </w:rPr>
              <w:t xml:space="preserve"> </w:t>
            </w:r>
            <w:r>
              <w:rPr>
                <w:color w:val="000000"/>
                <w:sz w:val="18"/>
                <w:szCs w:val="18"/>
              </w:rPr>
              <w:t>(</w:t>
            </w:r>
            <w:r w:rsidRPr="0011095F">
              <w:rPr>
                <w:color w:val="000000"/>
                <w:sz w:val="18"/>
                <w:szCs w:val="18"/>
              </w:rPr>
              <w:t>-4.66,</w:t>
            </w:r>
            <w:r w:rsidR="003C7FB2">
              <w:rPr>
                <w:color w:val="000000"/>
                <w:sz w:val="18"/>
                <w:szCs w:val="18"/>
              </w:rPr>
              <w:t xml:space="preserve"> </w:t>
            </w:r>
            <w:r w:rsidRPr="0011095F">
              <w:rPr>
                <w:color w:val="000000"/>
                <w:sz w:val="18"/>
                <w:szCs w:val="18"/>
              </w:rPr>
              <w:t>-2.23</w:t>
            </w:r>
            <w:r>
              <w:rPr>
                <w:color w:val="000000"/>
                <w:sz w:val="18"/>
                <w:szCs w:val="18"/>
              </w:rPr>
              <w:t>)</w:t>
            </w:r>
          </w:p>
        </w:tc>
        <w:tc>
          <w:tcPr>
            <w:tcW w:w="1852" w:type="dxa"/>
            <w:vAlign w:val="bottom"/>
          </w:tcPr>
          <w:p w14:paraId="284075D2" w14:textId="64663A17" w:rsidR="00F971D8" w:rsidRPr="0011095F" w:rsidRDefault="00F971D8" w:rsidP="00D9387F">
            <w:pPr>
              <w:rPr>
                <w:sz w:val="18"/>
                <w:szCs w:val="18"/>
              </w:rPr>
            </w:pPr>
            <w:r w:rsidRPr="0011095F">
              <w:rPr>
                <w:color w:val="000000"/>
                <w:sz w:val="18"/>
                <w:szCs w:val="18"/>
              </w:rPr>
              <w:t>-1.81</w:t>
            </w:r>
            <w:r w:rsidR="003C7FB2">
              <w:rPr>
                <w:color w:val="000000"/>
                <w:sz w:val="18"/>
                <w:szCs w:val="18"/>
              </w:rPr>
              <w:t xml:space="preserve"> </w:t>
            </w:r>
            <w:r>
              <w:rPr>
                <w:color w:val="000000"/>
                <w:sz w:val="18"/>
                <w:szCs w:val="18"/>
              </w:rPr>
              <w:t>(</w:t>
            </w:r>
            <w:r w:rsidRPr="0011095F">
              <w:rPr>
                <w:color w:val="000000"/>
                <w:sz w:val="18"/>
                <w:szCs w:val="18"/>
              </w:rPr>
              <w:t>-3.08</w:t>
            </w:r>
            <w:r>
              <w:rPr>
                <w:color w:val="000000"/>
                <w:sz w:val="18"/>
                <w:szCs w:val="18"/>
              </w:rPr>
              <w:t>,</w:t>
            </w:r>
            <w:r w:rsidR="003C7FB2">
              <w:rPr>
                <w:color w:val="000000"/>
                <w:sz w:val="18"/>
                <w:szCs w:val="18"/>
              </w:rPr>
              <w:t xml:space="preserve"> </w:t>
            </w:r>
            <w:r w:rsidRPr="0011095F">
              <w:rPr>
                <w:color w:val="000000"/>
                <w:sz w:val="18"/>
                <w:szCs w:val="18"/>
              </w:rPr>
              <w:t>-0.55</w:t>
            </w:r>
            <w:r>
              <w:rPr>
                <w:color w:val="000000"/>
                <w:sz w:val="18"/>
                <w:szCs w:val="18"/>
              </w:rPr>
              <w:t>)</w:t>
            </w:r>
          </w:p>
        </w:tc>
        <w:tc>
          <w:tcPr>
            <w:tcW w:w="1852" w:type="dxa"/>
            <w:vAlign w:val="bottom"/>
          </w:tcPr>
          <w:p w14:paraId="4BF4B754" w14:textId="40CF5E0B" w:rsidR="00F971D8" w:rsidRPr="0011095F" w:rsidRDefault="00F971D8" w:rsidP="00D9387F">
            <w:pPr>
              <w:rPr>
                <w:sz w:val="18"/>
                <w:szCs w:val="18"/>
              </w:rPr>
            </w:pPr>
            <w:r w:rsidRPr="0011095F">
              <w:rPr>
                <w:color w:val="000000"/>
                <w:sz w:val="18"/>
                <w:szCs w:val="18"/>
              </w:rPr>
              <w:t>-1.92</w:t>
            </w:r>
            <w:r w:rsidR="003C7FB2">
              <w:rPr>
                <w:color w:val="000000"/>
                <w:sz w:val="18"/>
                <w:szCs w:val="18"/>
              </w:rPr>
              <w:t xml:space="preserve"> </w:t>
            </w:r>
            <w:r>
              <w:rPr>
                <w:color w:val="000000"/>
                <w:sz w:val="18"/>
                <w:szCs w:val="18"/>
              </w:rPr>
              <w:t>(</w:t>
            </w:r>
            <w:r w:rsidRPr="0011095F">
              <w:rPr>
                <w:color w:val="000000"/>
                <w:sz w:val="18"/>
                <w:szCs w:val="18"/>
              </w:rPr>
              <w:t>-3.51</w:t>
            </w:r>
            <w:r>
              <w:rPr>
                <w:color w:val="000000"/>
                <w:sz w:val="18"/>
                <w:szCs w:val="18"/>
              </w:rPr>
              <w:t>,</w:t>
            </w:r>
            <w:r w:rsidR="003C7FB2">
              <w:rPr>
                <w:color w:val="000000"/>
                <w:sz w:val="18"/>
                <w:szCs w:val="18"/>
              </w:rPr>
              <w:t xml:space="preserve"> </w:t>
            </w:r>
            <w:r w:rsidRPr="0011095F">
              <w:rPr>
                <w:color w:val="000000"/>
                <w:sz w:val="18"/>
                <w:szCs w:val="18"/>
              </w:rPr>
              <w:t>-0.33</w:t>
            </w:r>
            <w:r>
              <w:rPr>
                <w:color w:val="000000"/>
                <w:sz w:val="18"/>
                <w:szCs w:val="18"/>
              </w:rPr>
              <w:t>)</w:t>
            </w:r>
          </w:p>
        </w:tc>
        <w:tc>
          <w:tcPr>
            <w:tcW w:w="1933" w:type="dxa"/>
            <w:vAlign w:val="bottom"/>
          </w:tcPr>
          <w:p w14:paraId="0629FAA5" w14:textId="62BC8563" w:rsidR="00F971D8" w:rsidRPr="0011095F" w:rsidRDefault="00F971D8" w:rsidP="00D9387F">
            <w:pPr>
              <w:rPr>
                <w:color w:val="000000"/>
                <w:sz w:val="18"/>
                <w:szCs w:val="18"/>
              </w:rPr>
            </w:pPr>
            <w:r w:rsidRPr="0011095F">
              <w:rPr>
                <w:color w:val="000000"/>
                <w:sz w:val="18"/>
                <w:szCs w:val="18"/>
              </w:rPr>
              <w:t>-0.93</w:t>
            </w:r>
            <w:r w:rsidR="003C7FB2">
              <w:rPr>
                <w:color w:val="000000"/>
                <w:sz w:val="18"/>
                <w:szCs w:val="18"/>
              </w:rPr>
              <w:t xml:space="preserve"> </w:t>
            </w:r>
            <w:r>
              <w:rPr>
                <w:color w:val="000000"/>
                <w:sz w:val="18"/>
                <w:szCs w:val="18"/>
              </w:rPr>
              <w:t>(</w:t>
            </w:r>
            <w:r w:rsidRPr="0011095F">
              <w:rPr>
                <w:color w:val="000000"/>
                <w:sz w:val="18"/>
                <w:szCs w:val="18"/>
              </w:rPr>
              <w:t>-2.14</w:t>
            </w:r>
            <w:r>
              <w:rPr>
                <w:color w:val="000000"/>
                <w:sz w:val="18"/>
                <w:szCs w:val="18"/>
              </w:rPr>
              <w:t>,</w:t>
            </w:r>
            <w:r w:rsidR="003C7FB2">
              <w:rPr>
                <w:color w:val="000000"/>
                <w:sz w:val="18"/>
                <w:szCs w:val="18"/>
              </w:rPr>
              <w:t xml:space="preserve"> </w:t>
            </w:r>
            <w:r w:rsidRPr="0011095F">
              <w:rPr>
                <w:color w:val="000000"/>
                <w:sz w:val="18"/>
                <w:szCs w:val="18"/>
              </w:rPr>
              <w:t>0.29</w:t>
            </w:r>
            <w:r>
              <w:rPr>
                <w:color w:val="000000"/>
                <w:sz w:val="18"/>
                <w:szCs w:val="18"/>
              </w:rPr>
              <w:t>)</w:t>
            </w:r>
          </w:p>
        </w:tc>
      </w:tr>
      <w:tr w:rsidR="00F971D8" w14:paraId="5C051CEC" w14:textId="77777777" w:rsidTr="00D9387F">
        <w:tc>
          <w:tcPr>
            <w:tcW w:w="1862" w:type="dxa"/>
            <w:vAlign w:val="center"/>
          </w:tcPr>
          <w:p w14:paraId="5F81E804" w14:textId="6A6CF64A" w:rsidR="00F971D8" w:rsidRPr="00A10601" w:rsidRDefault="00F971D8" w:rsidP="00D9387F">
            <w:pPr>
              <w:rPr>
                <w:sz w:val="16"/>
                <w:szCs w:val="16"/>
              </w:rPr>
            </w:pPr>
            <w:r w:rsidRPr="00F71324">
              <w:rPr>
                <w:color w:val="000000"/>
                <w:sz w:val="18"/>
                <w:szCs w:val="18"/>
              </w:rPr>
              <w:t>Car</w:t>
            </w:r>
            <w:r w:rsidR="003C7FB2">
              <w:rPr>
                <w:color w:val="000000"/>
                <w:sz w:val="18"/>
                <w:szCs w:val="18"/>
              </w:rPr>
              <w:t xml:space="preserve"> </w:t>
            </w:r>
            <w:r w:rsidRPr="00F71324">
              <w:rPr>
                <w:color w:val="000000"/>
                <w:sz w:val="18"/>
                <w:szCs w:val="18"/>
              </w:rPr>
              <w:t>with</w:t>
            </w:r>
            <w:r w:rsidR="003C7FB2">
              <w:rPr>
                <w:color w:val="000000"/>
                <w:sz w:val="18"/>
                <w:szCs w:val="18"/>
              </w:rPr>
              <w:t xml:space="preserve"> </w:t>
            </w:r>
            <w:r w:rsidRPr="00F71324">
              <w:rPr>
                <w:color w:val="000000"/>
                <w:sz w:val="18"/>
                <w:szCs w:val="18"/>
              </w:rPr>
              <w:t>occasional</w:t>
            </w:r>
            <w:r w:rsidR="003C7FB2">
              <w:rPr>
                <w:color w:val="000000"/>
                <w:sz w:val="18"/>
                <w:szCs w:val="18"/>
              </w:rPr>
              <w:t xml:space="preserve"> </w:t>
            </w:r>
            <w:r w:rsidRPr="00F71324">
              <w:rPr>
                <w:color w:val="000000"/>
                <w:sz w:val="18"/>
                <w:szCs w:val="18"/>
              </w:rPr>
              <w:t>walking</w:t>
            </w:r>
          </w:p>
        </w:tc>
        <w:tc>
          <w:tcPr>
            <w:tcW w:w="1852" w:type="dxa"/>
            <w:vAlign w:val="bottom"/>
          </w:tcPr>
          <w:p w14:paraId="15AED5BF" w14:textId="6E57B618" w:rsidR="00F971D8" w:rsidRPr="0011095F" w:rsidRDefault="00F971D8" w:rsidP="00D9387F">
            <w:pPr>
              <w:rPr>
                <w:sz w:val="18"/>
                <w:szCs w:val="18"/>
              </w:rPr>
            </w:pPr>
            <w:r w:rsidRPr="0011095F">
              <w:rPr>
                <w:color w:val="000000"/>
                <w:sz w:val="18"/>
                <w:szCs w:val="18"/>
              </w:rPr>
              <w:t>3.19</w:t>
            </w:r>
            <w:r w:rsidR="003C7FB2">
              <w:rPr>
                <w:color w:val="000000"/>
                <w:sz w:val="18"/>
                <w:szCs w:val="18"/>
              </w:rPr>
              <w:t xml:space="preserve"> </w:t>
            </w:r>
            <w:r>
              <w:rPr>
                <w:color w:val="000000"/>
                <w:sz w:val="18"/>
                <w:szCs w:val="18"/>
              </w:rPr>
              <w:t>(</w:t>
            </w:r>
            <w:r w:rsidRPr="0011095F">
              <w:rPr>
                <w:color w:val="000000"/>
                <w:sz w:val="18"/>
                <w:szCs w:val="18"/>
              </w:rPr>
              <w:t>1.28,</w:t>
            </w:r>
            <w:r w:rsidR="003C7FB2">
              <w:rPr>
                <w:color w:val="000000"/>
                <w:sz w:val="18"/>
                <w:szCs w:val="18"/>
              </w:rPr>
              <w:t xml:space="preserve"> </w:t>
            </w:r>
            <w:r w:rsidRPr="0011095F">
              <w:rPr>
                <w:color w:val="000000"/>
                <w:sz w:val="18"/>
                <w:szCs w:val="18"/>
              </w:rPr>
              <w:t>5.10</w:t>
            </w:r>
            <w:r>
              <w:rPr>
                <w:color w:val="000000"/>
                <w:sz w:val="18"/>
                <w:szCs w:val="18"/>
              </w:rPr>
              <w:t>)</w:t>
            </w:r>
          </w:p>
        </w:tc>
        <w:tc>
          <w:tcPr>
            <w:tcW w:w="1852" w:type="dxa"/>
            <w:vAlign w:val="bottom"/>
          </w:tcPr>
          <w:p w14:paraId="6F4AB043" w14:textId="35F1985A" w:rsidR="00F971D8" w:rsidRPr="0011095F" w:rsidRDefault="00F971D8" w:rsidP="00D9387F">
            <w:pPr>
              <w:rPr>
                <w:sz w:val="18"/>
                <w:szCs w:val="18"/>
              </w:rPr>
            </w:pPr>
            <w:r w:rsidRPr="0011095F">
              <w:rPr>
                <w:color w:val="000000"/>
                <w:sz w:val="18"/>
                <w:szCs w:val="18"/>
              </w:rPr>
              <w:t>2.85</w:t>
            </w:r>
            <w:r w:rsidR="003C7FB2">
              <w:rPr>
                <w:color w:val="000000"/>
                <w:sz w:val="18"/>
                <w:szCs w:val="18"/>
              </w:rPr>
              <w:t xml:space="preserve"> </w:t>
            </w:r>
            <w:r>
              <w:rPr>
                <w:color w:val="000000"/>
                <w:sz w:val="18"/>
                <w:szCs w:val="18"/>
              </w:rPr>
              <w:t>(</w:t>
            </w:r>
            <w:r w:rsidRPr="0011095F">
              <w:rPr>
                <w:color w:val="000000"/>
                <w:sz w:val="18"/>
                <w:szCs w:val="18"/>
              </w:rPr>
              <w:t>1.04</w:t>
            </w:r>
            <w:r>
              <w:rPr>
                <w:color w:val="000000"/>
                <w:sz w:val="18"/>
                <w:szCs w:val="18"/>
              </w:rPr>
              <w:t>,</w:t>
            </w:r>
            <w:r w:rsidR="003C7FB2">
              <w:rPr>
                <w:color w:val="000000"/>
                <w:sz w:val="18"/>
                <w:szCs w:val="18"/>
              </w:rPr>
              <w:t xml:space="preserve"> </w:t>
            </w:r>
            <w:r w:rsidRPr="0011095F">
              <w:rPr>
                <w:color w:val="000000"/>
                <w:sz w:val="18"/>
                <w:szCs w:val="18"/>
              </w:rPr>
              <w:t>4.67</w:t>
            </w:r>
            <w:r>
              <w:rPr>
                <w:color w:val="000000"/>
                <w:sz w:val="18"/>
                <w:szCs w:val="18"/>
              </w:rPr>
              <w:t>)</w:t>
            </w:r>
          </w:p>
        </w:tc>
        <w:tc>
          <w:tcPr>
            <w:tcW w:w="1852" w:type="dxa"/>
            <w:vAlign w:val="bottom"/>
          </w:tcPr>
          <w:p w14:paraId="1F58FD2B" w14:textId="106E8240" w:rsidR="00F971D8" w:rsidRPr="0011095F" w:rsidRDefault="00F971D8" w:rsidP="00D9387F">
            <w:pPr>
              <w:rPr>
                <w:sz w:val="18"/>
                <w:szCs w:val="18"/>
              </w:rPr>
            </w:pPr>
            <w:r w:rsidRPr="0011095F">
              <w:rPr>
                <w:color w:val="000000"/>
                <w:sz w:val="18"/>
                <w:szCs w:val="18"/>
              </w:rPr>
              <w:t>2.89</w:t>
            </w:r>
            <w:r w:rsidR="003C7FB2">
              <w:rPr>
                <w:color w:val="000000"/>
                <w:sz w:val="18"/>
                <w:szCs w:val="18"/>
              </w:rPr>
              <w:t xml:space="preserve"> </w:t>
            </w:r>
            <w:r>
              <w:rPr>
                <w:color w:val="000000"/>
                <w:sz w:val="18"/>
                <w:szCs w:val="18"/>
              </w:rPr>
              <w:t>(</w:t>
            </w:r>
            <w:r w:rsidRPr="0011095F">
              <w:rPr>
                <w:color w:val="000000"/>
                <w:sz w:val="18"/>
                <w:szCs w:val="18"/>
              </w:rPr>
              <w:t>1.07</w:t>
            </w:r>
            <w:r>
              <w:rPr>
                <w:color w:val="000000"/>
                <w:sz w:val="18"/>
                <w:szCs w:val="18"/>
              </w:rPr>
              <w:t>,</w:t>
            </w:r>
            <w:r w:rsidR="003C7FB2">
              <w:rPr>
                <w:color w:val="000000"/>
                <w:sz w:val="18"/>
                <w:szCs w:val="18"/>
              </w:rPr>
              <w:t xml:space="preserve"> </w:t>
            </w:r>
            <w:r w:rsidRPr="0011095F">
              <w:rPr>
                <w:color w:val="000000"/>
                <w:sz w:val="18"/>
                <w:szCs w:val="18"/>
              </w:rPr>
              <w:t>4.71</w:t>
            </w:r>
            <w:r>
              <w:rPr>
                <w:color w:val="000000"/>
                <w:sz w:val="18"/>
                <w:szCs w:val="18"/>
              </w:rPr>
              <w:t>)</w:t>
            </w:r>
          </w:p>
        </w:tc>
        <w:tc>
          <w:tcPr>
            <w:tcW w:w="1933" w:type="dxa"/>
            <w:vAlign w:val="bottom"/>
          </w:tcPr>
          <w:p w14:paraId="33F513CB" w14:textId="7A8784A6" w:rsidR="00F971D8" w:rsidRPr="0011095F" w:rsidRDefault="00F971D8" w:rsidP="00D9387F">
            <w:pPr>
              <w:rPr>
                <w:color w:val="000000"/>
                <w:sz w:val="18"/>
                <w:szCs w:val="18"/>
              </w:rPr>
            </w:pPr>
            <w:r w:rsidRPr="0011095F">
              <w:rPr>
                <w:color w:val="000000"/>
                <w:sz w:val="18"/>
                <w:szCs w:val="18"/>
              </w:rPr>
              <w:t>2.28</w:t>
            </w:r>
            <w:r w:rsidR="003C7FB2">
              <w:rPr>
                <w:color w:val="000000"/>
                <w:sz w:val="18"/>
                <w:szCs w:val="18"/>
              </w:rPr>
              <w:t xml:space="preserve"> </w:t>
            </w:r>
            <w:r>
              <w:rPr>
                <w:color w:val="000000"/>
                <w:sz w:val="18"/>
                <w:szCs w:val="18"/>
              </w:rPr>
              <w:t>(</w:t>
            </w:r>
            <w:r w:rsidRPr="0011095F">
              <w:rPr>
                <w:color w:val="000000"/>
                <w:sz w:val="18"/>
                <w:szCs w:val="18"/>
              </w:rPr>
              <w:t>0.54</w:t>
            </w:r>
            <w:r>
              <w:rPr>
                <w:color w:val="000000"/>
                <w:sz w:val="18"/>
                <w:szCs w:val="18"/>
              </w:rPr>
              <w:t>,</w:t>
            </w:r>
            <w:r w:rsidR="003C7FB2">
              <w:rPr>
                <w:color w:val="000000"/>
                <w:sz w:val="18"/>
                <w:szCs w:val="18"/>
              </w:rPr>
              <w:t xml:space="preserve"> </w:t>
            </w:r>
            <w:r w:rsidRPr="0011095F">
              <w:rPr>
                <w:color w:val="000000"/>
                <w:sz w:val="18"/>
                <w:szCs w:val="18"/>
              </w:rPr>
              <w:t>4.02</w:t>
            </w:r>
            <w:r>
              <w:rPr>
                <w:color w:val="000000"/>
                <w:sz w:val="18"/>
                <w:szCs w:val="18"/>
              </w:rPr>
              <w:t>)</w:t>
            </w:r>
          </w:p>
        </w:tc>
      </w:tr>
      <w:tr w:rsidR="00F971D8" w14:paraId="128B629E" w14:textId="77777777" w:rsidTr="00D9387F">
        <w:tc>
          <w:tcPr>
            <w:tcW w:w="1862" w:type="dxa"/>
            <w:vAlign w:val="center"/>
          </w:tcPr>
          <w:p w14:paraId="4B338331" w14:textId="660937A8" w:rsidR="00F971D8" w:rsidRPr="00B05AE7" w:rsidRDefault="00F971D8" w:rsidP="00D9387F">
            <w:pPr>
              <w:rPr>
                <w:color w:val="000000"/>
                <w:sz w:val="18"/>
                <w:szCs w:val="18"/>
              </w:rPr>
            </w:pPr>
            <w:r w:rsidRPr="00F71324">
              <w:rPr>
                <w:color w:val="000000"/>
                <w:sz w:val="18"/>
                <w:szCs w:val="18"/>
              </w:rPr>
              <w:t>Car</w:t>
            </w:r>
            <w:r w:rsidR="003C7FB2">
              <w:rPr>
                <w:color w:val="000000"/>
                <w:sz w:val="18"/>
                <w:szCs w:val="18"/>
              </w:rPr>
              <w:t xml:space="preserve"> </w:t>
            </w:r>
            <w:r w:rsidRPr="00F71324">
              <w:rPr>
                <w:color w:val="000000"/>
                <w:sz w:val="18"/>
                <w:szCs w:val="18"/>
              </w:rPr>
              <w:t>with</w:t>
            </w:r>
            <w:r w:rsidR="003C7FB2">
              <w:rPr>
                <w:color w:val="000000"/>
                <w:sz w:val="18"/>
                <w:szCs w:val="18"/>
              </w:rPr>
              <w:t xml:space="preserve"> </w:t>
            </w:r>
            <w:r w:rsidRPr="00F71324">
              <w:rPr>
                <w:color w:val="000000"/>
                <w:sz w:val="18"/>
                <w:szCs w:val="18"/>
              </w:rPr>
              <w:t>occasional</w:t>
            </w:r>
            <w:r w:rsidR="003C7FB2">
              <w:rPr>
                <w:color w:val="000000"/>
                <w:sz w:val="18"/>
                <w:szCs w:val="18"/>
              </w:rPr>
              <w:t xml:space="preserve"> </w:t>
            </w:r>
            <w:r w:rsidRPr="00F71324">
              <w:rPr>
                <w:color w:val="000000"/>
                <w:sz w:val="18"/>
                <w:szCs w:val="18"/>
              </w:rPr>
              <w:t>cycling</w:t>
            </w:r>
          </w:p>
        </w:tc>
        <w:tc>
          <w:tcPr>
            <w:tcW w:w="1852" w:type="dxa"/>
            <w:vAlign w:val="bottom"/>
          </w:tcPr>
          <w:p w14:paraId="123CD980" w14:textId="1B401BDA" w:rsidR="00F971D8" w:rsidRPr="0011095F" w:rsidRDefault="00F971D8" w:rsidP="00D9387F">
            <w:pPr>
              <w:rPr>
                <w:color w:val="000000"/>
                <w:sz w:val="18"/>
                <w:szCs w:val="18"/>
              </w:rPr>
            </w:pPr>
            <w:r w:rsidRPr="0011095F">
              <w:rPr>
                <w:color w:val="000000"/>
                <w:sz w:val="18"/>
                <w:szCs w:val="18"/>
              </w:rPr>
              <w:t>-1.11</w:t>
            </w:r>
            <w:r w:rsidR="003C7FB2">
              <w:rPr>
                <w:color w:val="000000"/>
                <w:sz w:val="18"/>
                <w:szCs w:val="18"/>
              </w:rPr>
              <w:t xml:space="preserve"> </w:t>
            </w:r>
            <w:r>
              <w:rPr>
                <w:color w:val="000000"/>
                <w:sz w:val="18"/>
                <w:szCs w:val="18"/>
              </w:rPr>
              <w:t>(</w:t>
            </w:r>
            <w:r w:rsidRPr="0011095F">
              <w:rPr>
                <w:color w:val="000000"/>
                <w:sz w:val="18"/>
                <w:szCs w:val="18"/>
              </w:rPr>
              <w:t>-2.78,</w:t>
            </w:r>
            <w:r w:rsidR="003C7FB2">
              <w:rPr>
                <w:color w:val="000000"/>
                <w:sz w:val="18"/>
                <w:szCs w:val="18"/>
              </w:rPr>
              <w:t xml:space="preserve"> </w:t>
            </w:r>
            <w:r w:rsidRPr="0011095F">
              <w:rPr>
                <w:color w:val="000000"/>
                <w:sz w:val="18"/>
                <w:szCs w:val="18"/>
              </w:rPr>
              <w:t>0.56</w:t>
            </w:r>
            <w:r>
              <w:rPr>
                <w:color w:val="000000"/>
                <w:sz w:val="18"/>
                <w:szCs w:val="18"/>
              </w:rPr>
              <w:t>)</w:t>
            </w:r>
          </w:p>
        </w:tc>
        <w:tc>
          <w:tcPr>
            <w:tcW w:w="1852" w:type="dxa"/>
            <w:vAlign w:val="bottom"/>
          </w:tcPr>
          <w:p w14:paraId="4370D027" w14:textId="408945B6" w:rsidR="00F971D8" w:rsidRPr="0011095F" w:rsidRDefault="00F971D8" w:rsidP="00D9387F">
            <w:pPr>
              <w:rPr>
                <w:color w:val="000000"/>
                <w:sz w:val="18"/>
                <w:szCs w:val="18"/>
              </w:rPr>
            </w:pPr>
            <w:r w:rsidRPr="0011095F">
              <w:rPr>
                <w:color w:val="000000"/>
                <w:sz w:val="18"/>
                <w:szCs w:val="18"/>
              </w:rPr>
              <w:t>-0.13</w:t>
            </w:r>
            <w:r w:rsidR="003C7FB2">
              <w:rPr>
                <w:color w:val="000000"/>
                <w:sz w:val="18"/>
                <w:szCs w:val="18"/>
              </w:rPr>
              <w:t xml:space="preserve"> </w:t>
            </w:r>
            <w:r>
              <w:rPr>
                <w:color w:val="000000"/>
                <w:sz w:val="18"/>
                <w:szCs w:val="18"/>
              </w:rPr>
              <w:t>(</w:t>
            </w:r>
            <w:r w:rsidRPr="0011095F">
              <w:rPr>
                <w:color w:val="000000"/>
                <w:sz w:val="18"/>
                <w:szCs w:val="18"/>
              </w:rPr>
              <w:t>-1.73</w:t>
            </w:r>
            <w:r>
              <w:rPr>
                <w:color w:val="000000"/>
                <w:sz w:val="18"/>
                <w:szCs w:val="18"/>
              </w:rPr>
              <w:t>,</w:t>
            </w:r>
            <w:r w:rsidR="003C7FB2">
              <w:rPr>
                <w:color w:val="000000"/>
                <w:sz w:val="18"/>
                <w:szCs w:val="18"/>
              </w:rPr>
              <w:t xml:space="preserve"> </w:t>
            </w:r>
            <w:r w:rsidRPr="0011095F">
              <w:rPr>
                <w:color w:val="000000"/>
                <w:sz w:val="18"/>
                <w:szCs w:val="18"/>
              </w:rPr>
              <w:t>1.47</w:t>
            </w:r>
            <w:r>
              <w:rPr>
                <w:color w:val="000000"/>
                <w:sz w:val="18"/>
                <w:szCs w:val="18"/>
              </w:rPr>
              <w:t>)</w:t>
            </w:r>
          </w:p>
        </w:tc>
        <w:tc>
          <w:tcPr>
            <w:tcW w:w="1852" w:type="dxa"/>
            <w:vAlign w:val="bottom"/>
          </w:tcPr>
          <w:p w14:paraId="59EE3B0A" w14:textId="710F1DE0" w:rsidR="00F971D8" w:rsidRPr="0011095F" w:rsidRDefault="00F971D8" w:rsidP="00D9387F">
            <w:pPr>
              <w:rPr>
                <w:color w:val="000000"/>
                <w:sz w:val="18"/>
                <w:szCs w:val="18"/>
              </w:rPr>
            </w:pPr>
            <w:r w:rsidRPr="0011095F">
              <w:rPr>
                <w:color w:val="000000"/>
                <w:sz w:val="18"/>
                <w:szCs w:val="18"/>
              </w:rPr>
              <w:t>-0.07</w:t>
            </w:r>
            <w:r w:rsidR="003C7FB2">
              <w:rPr>
                <w:color w:val="000000"/>
                <w:sz w:val="18"/>
                <w:szCs w:val="18"/>
              </w:rPr>
              <w:t xml:space="preserve"> </w:t>
            </w:r>
            <w:r>
              <w:rPr>
                <w:color w:val="000000"/>
                <w:sz w:val="18"/>
                <w:szCs w:val="18"/>
              </w:rPr>
              <w:t>(</w:t>
            </w:r>
            <w:r w:rsidRPr="0011095F">
              <w:rPr>
                <w:color w:val="000000"/>
                <w:sz w:val="18"/>
                <w:szCs w:val="18"/>
              </w:rPr>
              <w:t>-1.67</w:t>
            </w:r>
            <w:r>
              <w:rPr>
                <w:color w:val="000000"/>
                <w:sz w:val="18"/>
                <w:szCs w:val="18"/>
              </w:rPr>
              <w:t>,</w:t>
            </w:r>
            <w:r w:rsidR="003C7FB2">
              <w:rPr>
                <w:color w:val="000000"/>
                <w:sz w:val="18"/>
                <w:szCs w:val="18"/>
              </w:rPr>
              <w:t xml:space="preserve"> </w:t>
            </w:r>
            <w:r w:rsidRPr="0011095F">
              <w:rPr>
                <w:color w:val="000000"/>
                <w:sz w:val="18"/>
                <w:szCs w:val="18"/>
              </w:rPr>
              <w:t>1.53</w:t>
            </w:r>
            <w:r>
              <w:rPr>
                <w:color w:val="000000"/>
                <w:sz w:val="18"/>
                <w:szCs w:val="18"/>
              </w:rPr>
              <w:t>)</w:t>
            </w:r>
          </w:p>
        </w:tc>
        <w:tc>
          <w:tcPr>
            <w:tcW w:w="1933" w:type="dxa"/>
            <w:vAlign w:val="bottom"/>
          </w:tcPr>
          <w:p w14:paraId="235BC46E" w14:textId="3CD7C742" w:rsidR="00F971D8" w:rsidRPr="0011095F" w:rsidRDefault="00F971D8" w:rsidP="00D9387F">
            <w:pPr>
              <w:rPr>
                <w:color w:val="000000"/>
                <w:sz w:val="18"/>
                <w:szCs w:val="18"/>
              </w:rPr>
            </w:pPr>
            <w:r w:rsidRPr="0011095F">
              <w:rPr>
                <w:color w:val="000000"/>
                <w:sz w:val="18"/>
                <w:szCs w:val="18"/>
              </w:rPr>
              <w:t>0.5</w:t>
            </w:r>
            <w:r>
              <w:rPr>
                <w:color w:val="000000"/>
                <w:sz w:val="18"/>
                <w:szCs w:val="18"/>
              </w:rPr>
              <w:t>0</w:t>
            </w:r>
            <w:r w:rsidR="003C7FB2">
              <w:rPr>
                <w:color w:val="000000"/>
                <w:sz w:val="18"/>
                <w:szCs w:val="18"/>
              </w:rPr>
              <w:t xml:space="preserve"> </w:t>
            </w:r>
            <w:r>
              <w:rPr>
                <w:color w:val="000000"/>
                <w:sz w:val="18"/>
                <w:szCs w:val="18"/>
              </w:rPr>
              <w:t>(</w:t>
            </w:r>
            <w:r w:rsidRPr="0011095F">
              <w:rPr>
                <w:color w:val="000000"/>
                <w:sz w:val="18"/>
                <w:szCs w:val="18"/>
              </w:rPr>
              <w:t>-1.04</w:t>
            </w:r>
            <w:r>
              <w:rPr>
                <w:color w:val="000000"/>
                <w:sz w:val="18"/>
                <w:szCs w:val="18"/>
              </w:rPr>
              <w:t>,</w:t>
            </w:r>
            <w:r w:rsidR="003C7FB2">
              <w:rPr>
                <w:color w:val="000000"/>
                <w:sz w:val="18"/>
                <w:szCs w:val="18"/>
              </w:rPr>
              <w:t xml:space="preserve"> </w:t>
            </w:r>
            <w:r w:rsidRPr="0011095F">
              <w:rPr>
                <w:color w:val="000000"/>
                <w:sz w:val="18"/>
                <w:szCs w:val="18"/>
              </w:rPr>
              <w:t>2.04</w:t>
            </w:r>
            <w:r>
              <w:rPr>
                <w:color w:val="000000"/>
                <w:sz w:val="18"/>
                <w:szCs w:val="18"/>
              </w:rPr>
              <w:t>)</w:t>
            </w:r>
          </w:p>
        </w:tc>
      </w:tr>
      <w:tr w:rsidR="00F971D8" w14:paraId="49CCE660" w14:textId="77777777" w:rsidTr="00D9387F">
        <w:tc>
          <w:tcPr>
            <w:tcW w:w="1862" w:type="dxa"/>
            <w:vAlign w:val="center"/>
          </w:tcPr>
          <w:p w14:paraId="0852F2C9" w14:textId="60D87451" w:rsidR="00F971D8" w:rsidRPr="00A10601" w:rsidRDefault="00F971D8" w:rsidP="00D9387F">
            <w:pPr>
              <w:rPr>
                <w:sz w:val="16"/>
                <w:szCs w:val="16"/>
              </w:rPr>
            </w:pPr>
            <w:r>
              <w:rPr>
                <w:b/>
                <w:bCs/>
                <w:color w:val="000000"/>
                <w:sz w:val="16"/>
                <w:szCs w:val="16"/>
              </w:rPr>
              <w:t>Men</w:t>
            </w:r>
            <w:r w:rsidR="003C7FB2">
              <w:rPr>
                <w:b/>
                <w:bCs/>
                <w:color w:val="000000"/>
                <w:sz w:val="16"/>
                <w:szCs w:val="16"/>
              </w:rPr>
              <w:t xml:space="preserve"> </w:t>
            </w:r>
            <w:r>
              <w:rPr>
                <w:b/>
                <w:bCs/>
                <w:color w:val="000000"/>
                <w:sz w:val="16"/>
                <w:szCs w:val="16"/>
              </w:rPr>
              <w:t>(n=1267</w:t>
            </w:r>
            <w:r w:rsidRPr="00A10601">
              <w:rPr>
                <w:b/>
                <w:bCs/>
                <w:color w:val="000000"/>
                <w:sz w:val="16"/>
                <w:szCs w:val="16"/>
              </w:rPr>
              <w:t>)</w:t>
            </w:r>
          </w:p>
        </w:tc>
        <w:tc>
          <w:tcPr>
            <w:tcW w:w="1852" w:type="dxa"/>
            <w:vAlign w:val="bottom"/>
          </w:tcPr>
          <w:p w14:paraId="7138C303" w14:textId="77777777" w:rsidR="00F971D8" w:rsidRPr="0011095F" w:rsidRDefault="00F971D8" w:rsidP="00D9387F">
            <w:pPr>
              <w:rPr>
                <w:sz w:val="18"/>
                <w:szCs w:val="18"/>
              </w:rPr>
            </w:pPr>
          </w:p>
        </w:tc>
        <w:tc>
          <w:tcPr>
            <w:tcW w:w="1852" w:type="dxa"/>
            <w:vAlign w:val="bottom"/>
          </w:tcPr>
          <w:p w14:paraId="299E3A8F" w14:textId="77777777" w:rsidR="00F971D8" w:rsidRPr="0011095F" w:rsidRDefault="00F971D8" w:rsidP="00D9387F">
            <w:pPr>
              <w:rPr>
                <w:sz w:val="18"/>
                <w:szCs w:val="18"/>
              </w:rPr>
            </w:pPr>
          </w:p>
        </w:tc>
        <w:tc>
          <w:tcPr>
            <w:tcW w:w="1852" w:type="dxa"/>
            <w:vAlign w:val="bottom"/>
          </w:tcPr>
          <w:p w14:paraId="36394C27" w14:textId="77777777" w:rsidR="00F971D8" w:rsidRPr="0011095F" w:rsidRDefault="00F971D8" w:rsidP="00D9387F">
            <w:pPr>
              <w:rPr>
                <w:sz w:val="18"/>
                <w:szCs w:val="18"/>
              </w:rPr>
            </w:pPr>
          </w:p>
        </w:tc>
        <w:tc>
          <w:tcPr>
            <w:tcW w:w="1933" w:type="dxa"/>
          </w:tcPr>
          <w:p w14:paraId="4F2B4397" w14:textId="77777777" w:rsidR="00F971D8" w:rsidRPr="0011095F" w:rsidRDefault="00F971D8" w:rsidP="00D9387F">
            <w:pPr>
              <w:rPr>
                <w:sz w:val="18"/>
                <w:szCs w:val="18"/>
              </w:rPr>
            </w:pPr>
          </w:p>
        </w:tc>
      </w:tr>
      <w:tr w:rsidR="00F971D8" w14:paraId="470D4D42" w14:textId="77777777" w:rsidTr="00D9387F">
        <w:tc>
          <w:tcPr>
            <w:tcW w:w="1862" w:type="dxa"/>
          </w:tcPr>
          <w:p w14:paraId="54AEC7A4" w14:textId="4786A5A7" w:rsidR="00F971D8" w:rsidRPr="00A10601" w:rsidRDefault="00F971D8" w:rsidP="00D9387F">
            <w:pPr>
              <w:rPr>
                <w:sz w:val="16"/>
                <w:szCs w:val="16"/>
              </w:rPr>
            </w:pPr>
            <w:r w:rsidRPr="00F71324">
              <w:rPr>
                <w:color w:val="000000"/>
                <w:sz w:val="18"/>
                <w:szCs w:val="18"/>
              </w:rPr>
              <w:t>Car</w:t>
            </w:r>
            <w:r w:rsidR="003C7FB2">
              <w:rPr>
                <w:color w:val="000000"/>
                <w:sz w:val="18"/>
                <w:szCs w:val="18"/>
              </w:rPr>
              <w:t xml:space="preserve"> </w:t>
            </w:r>
            <w:r w:rsidRPr="00F71324">
              <w:rPr>
                <w:color w:val="000000"/>
                <w:sz w:val="18"/>
                <w:szCs w:val="18"/>
              </w:rPr>
              <w:t>only</w:t>
            </w:r>
            <w:r w:rsidR="003C7FB2">
              <w:rPr>
                <w:color w:val="000000"/>
                <w:sz w:val="18"/>
                <w:szCs w:val="18"/>
              </w:rPr>
              <w:t xml:space="preserve"> </w:t>
            </w:r>
            <w:r w:rsidRPr="00F71324">
              <w:rPr>
                <w:color w:val="000000"/>
                <w:sz w:val="18"/>
                <w:szCs w:val="18"/>
              </w:rPr>
              <w:t>(reference)</w:t>
            </w:r>
          </w:p>
        </w:tc>
        <w:tc>
          <w:tcPr>
            <w:tcW w:w="1852" w:type="dxa"/>
            <w:vAlign w:val="bottom"/>
          </w:tcPr>
          <w:p w14:paraId="502DC574" w14:textId="77777777" w:rsidR="00F971D8" w:rsidRPr="0011095F" w:rsidRDefault="00F971D8" w:rsidP="00D9387F">
            <w:pPr>
              <w:rPr>
                <w:sz w:val="18"/>
                <w:szCs w:val="18"/>
              </w:rPr>
            </w:pPr>
          </w:p>
        </w:tc>
        <w:tc>
          <w:tcPr>
            <w:tcW w:w="1852" w:type="dxa"/>
            <w:vAlign w:val="bottom"/>
          </w:tcPr>
          <w:p w14:paraId="06FCDC0B" w14:textId="77777777" w:rsidR="00F971D8" w:rsidRPr="0011095F" w:rsidRDefault="00F971D8" w:rsidP="00D9387F">
            <w:pPr>
              <w:rPr>
                <w:sz w:val="18"/>
                <w:szCs w:val="18"/>
              </w:rPr>
            </w:pPr>
          </w:p>
        </w:tc>
        <w:tc>
          <w:tcPr>
            <w:tcW w:w="1852" w:type="dxa"/>
            <w:vAlign w:val="bottom"/>
          </w:tcPr>
          <w:p w14:paraId="2D9250DD" w14:textId="77777777" w:rsidR="00F971D8" w:rsidRPr="0011095F" w:rsidRDefault="00F971D8" w:rsidP="00D9387F">
            <w:pPr>
              <w:rPr>
                <w:sz w:val="18"/>
                <w:szCs w:val="18"/>
              </w:rPr>
            </w:pPr>
          </w:p>
        </w:tc>
        <w:tc>
          <w:tcPr>
            <w:tcW w:w="1933" w:type="dxa"/>
          </w:tcPr>
          <w:p w14:paraId="6134F0F8" w14:textId="77777777" w:rsidR="00F971D8" w:rsidRPr="0011095F" w:rsidRDefault="00F971D8" w:rsidP="00D9387F">
            <w:pPr>
              <w:rPr>
                <w:sz w:val="18"/>
                <w:szCs w:val="18"/>
              </w:rPr>
            </w:pPr>
          </w:p>
        </w:tc>
      </w:tr>
      <w:tr w:rsidR="00F971D8" w14:paraId="46DFFECB" w14:textId="77777777" w:rsidTr="00D9387F">
        <w:tc>
          <w:tcPr>
            <w:tcW w:w="1862" w:type="dxa"/>
            <w:vAlign w:val="center"/>
          </w:tcPr>
          <w:p w14:paraId="6459BDC8" w14:textId="4282FBB6" w:rsidR="00F971D8" w:rsidRPr="00A10601" w:rsidRDefault="00F971D8" w:rsidP="00D9387F">
            <w:pPr>
              <w:rPr>
                <w:sz w:val="16"/>
                <w:szCs w:val="16"/>
              </w:rPr>
            </w:pPr>
            <w:r w:rsidRPr="00F71324">
              <w:rPr>
                <w:color w:val="000000"/>
                <w:sz w:val="18"/>
                <w:szCs w:val="18"/>
              </w:rPr>
              <w:t>Regular</w:t>
            </w:r>
            <w:r w:rsidR="003C7FB2">
              <w:rPr>
                <w:color w:val="000000"/>
                <w:sz w:val="18"/>
                <w:szCs w:val="18"/>
              </w:rPr>
              <w:t xml:space="preserve"> </w:t>
            </w:r>
            <w:r w:rsidRPr="00F71324">
              <w:rPr>
                <w:color w:val="000000"/>
                <w:sz w:val="18"/>
                <w:szCs w:val="18"/>
              </w:rPr>
              <w:t>walking</w:t>
            </w:r>
          </w:p>
        </w:tc>
        <w:tc>
          <w:tcPr>
            <w:tcW w:w="1852" w:type="dxa"/>
            <w:vAlign w:val="bottom"/>
          </w:tcPr>
          <w:p w14:paraId="61D29592" w14:textId="1046B9AB" w:rsidR="00F971D8" w:rsidRPr="0011095F" w:rsidRDefault="00F971D8" w:rsidP="00D9387F">
            <w:pPr>
              <w:rPr>
                <w:color w:val="000000"/>
                <w:sz w:val="18"/>
                <w:szCs w:val="18"/>
              </w:rPr>
            </w:pPr>
            <w:r w:rsidRPr="0011095F">
              <w:rPr>
                <w:color w:val="000000"/>
                <w:sz w:val="18"/>
                <w:szCs w:val="18"/>
              </w:rPr>
              <w:t>-2.03</w:t>
            </w:r>
            <w:r w:rsidR="003C7FB2">
              <w:rPr>
                <w:color w:val="000000"/>
                <w:sz w:val="18"/>
                <w:szCs w:val="18"/>
              </w:rPr>
              <w:t xml:space="preserve"> </w:t>
            </w:r>
            <w:r>
              <w:rPr>
                <w:color w:val="000000"/>
                <w:sz w:val="18"/>
                <w:szCs w:val="18"/>
              </w:rPr>
              <w:t>(</w:t>
            </w:r>
            <w:r w:rsidRPr="0011095F">
              <w:rPr>
                <w:color w:val="000000"/>
                <w:sz w:val="18"/>
                <w:szCs w:val="18"/>
              </w:rPr>
              <w:t>-4.40,</w:t>
            </w:r>
            <w:r w:rsidR="003C7FB2">
              <w:rPr>
                <w:color w:val="000000"/>
                <w:sz w:val="18"/>
                <w:szCs w:val="18"/>
              </w:rPr>
              <w:t xml:space="preserve"> </w:t>
            </w:r>
            <w:r w:rsidRPr="0011095F">
              <w:rPr>
                <w:color w:val="000000"/>
                <w:sz w:val="18"/>
                <w:szCs w:val="18"/>
              </w:rPr>
              <w:t>0.35</w:t>
            </w:r>
            <w:r>
              <w:rPr>
                <w:color w:val="000000"/>
                <w:sz w:val="18"/>
                <w:szCs w:val="18"/>
              </w:rPr>
              <w:t>)</w:t>
            </w:r>
          </w:p>
        </w:tc>
        <w:tc>
          <w:tcPr>
            <w:tcW w:w="1852" w:type="dxa"/>
            <w:vAlign w:val="bottom"/>
          </w:tcPr>
          <w:p w14:paraId="66C0DBCD" w14:textId="0CD3A280" w:rsidR="00F971D8" w:rsidRPr="0011095F" w:rsidRDefault="00F971D8" w:rsidP="00D9387F">
            <w:pPr>
              <w:rPr>
                <w:color w:val="000000"/>
                <w:sz w:val="18"/>
                <w:szCs w:val="18"/>
              </w:rPr>
            </w:pPr>
            <w:r w:rsidRPr="0011095F">
              <w:rPr>
                <w:color w:val="000000"/>
                <w:sz w:val="18"/>
                <w:szCs w:val="18"/>
              </w:rPr>
              <w:t>-0.16</w:t>
            </w:r>
            <w:r w:rsidR="003C7FB2">
              <w:rPr>
                <w:color w:val="000000"/>
                <w:sz w:val="18"/>
                <w:szCs w:val="18"/>
              </w:rPr>
              <w:t xml:space="preserve"> </w:t>
            </w:r>
            <w:r>
              <w:rPr>
                <w:color w:val="000000"/>
                <w:sz w:val="18"/>
                <w:szCs w:val="18"/>
              </w:rPr>
              <w:t>(</w:t>
            </w:r>
            <w:r w:rsidRPr="0011095F">
              <w:rPr>
                <w:color w:val="000000"/>
                <w:sz w:val="18"/>
                <w:szCs w:val="18"/>
              </w:rPr>
              <w:t>-2.48</w:t>
            </w:r>
            <w:r>
              <w:rPr>
                <w:color w:val="000000"/>
                <w:sz w:val="18"/>
                <w:szCs w:val="18"/>
              </w:rPr>
              <w:t>,</w:t>
            </w:r>
            <w:r w:rsidR="003C7FB2">
              <w:rPr>
                <w:color w:val="000000"/>
                <w:sz w:val="18"/>
                <w:szCs w:val="18"/>
              </w:rPr>
              <w:t xml:space="preserve"> </w:t>
            </w:r>
            <w:r w:rsidRPr="0011095F">
              <w:rPr>
                <w:color w:val="000000"/>
                <w:sz w:val="18"/>
                <w:szCs w:val="18"/>
              </w:rPr>
              <w:t>2.15</w:t>
            </w:r>
            <w:r>
              <w:rPr>
                <w:color w:val="000000"/>
                <w:sz w:val="18"/>
                <w:szCs w:val="18"/>
              </w:rPr>
              <w:t>)</w:t>
            </w:r>
          </w:p>
        </w:tc>
        <w:tc>
          <w:tcPr>
            <w:tcW w:w="1852" w:type="dxa"/>
            <w:vAlign w:val="bottom"/>
          </w:tcPr>
          <w:p w14:paraId="0FBD388B" w14:textId="7EA08544" w:rsidR="00F971D8" w:rsidRPr="0011095F" w:rsidRDefault="00F971D8" w:rsidP="00D9387F">
            <w:pPr>
              <w:rPr>
                <w:color w:val="000000"/>
                <w:sz w:val="18"/>
                <w:szCs w:val="18"/>
              </w:rPr>
            </w:pPr>
            <w:r>
              <w:rPr>
                <w:color w:val="000000"/>
                <w:sz w:val="18"/>
                <w:szCs w:val="18"/>
              </w:rPr>
              <w:t>-</w:t>
            </w:r>
            <w:r w:rsidRPr="0011095F">
              <w:rPr>
                <w:color w:val="000000"/>
                <w:sz w:val="18"/>
                <w:szCs w:val="18"/>
              </w:rPr>
              <w:t>0.63</w:t>
            </w:r>
            <w:r w:rsidR="003C7FB2">
              <w:rPr>
                <w:color w:val="000000"/>
                <w:sz w:val="18"/>
                <w:szCs w:val="18"/>
              </w:rPr>
              <w:t xml:space="preserve"> </w:t>
            </w:r>
            <w:r>
              <w:rPr>
                <w:color w:val="000000"/>
                <w:sz w:val="18"/>
                <w:szCs w:val="18"/>
              </w:rPr>
              <w:t>(</w:t>
            </w:r>
            <w:r w:rsidRPr="0011095F">
              <w:rPr>
                <w:color w:val="000000"/>
                <w:sz w:val="18"/>
                <w:szCs w:val="18"/>
              </w:rPr>
              <w:t>-1.85</w:t>
            </w:r>
            <w:r>
              <w:rPr>
                <w:color w:val="000000"/>
                <w:sz w:val="18"/>
                <w:szCs w:val="18"/>
              </w:rPr>
              <w:t>,</w:t>
            </w:r>
            <w:r w:rsidR="003C7FB2">
              <w:rPr>
                <w:color w:val="000000"/>
                <w:sz w:val="18"/>
                <w:szCs w:val="18"/>
              </w:rPr>
              <w:t xml:space="preserve"> </w:t>
            </w:r>
            <w:r w:rsidRPr="0011095F">
              <w:rPr>
                <w:color w:val="000000"/>
                <w:sz w:val="18"/>
                <w:szCs w:val="18"/>
              </w:rPr>
              <w:t>3.11</w:t>
            </w:r>
            <w:r>
              <w:rPr>
                <w:color w:val="000000"/>
                <w:sz w:val="18"/>
                <w:szCs w:val="18"/>
              </w:rPr>
              <w:t>)</w:t>
            </w:r>
          </w:p>
        </w:tc>
        <w:tc>
          <w:tcPr>
            <w:tcW w:w="1933" w:type="dxa"/>
            <w:vAlign w:val="bottom"/>
          </w:tcPr>
          <w:p w14:paraId="692EE3A4" w14:textId="4385F772" w:rsidR="00F971D8" w:rsidRPr="0011095F" w:rsidRDefault="00F971D8" w:rsidP="00D9387F">
            <w:pPr>
              <w:rPr>
                <w:color w:val="000000"/>
                <w:sz w:val="18"/>
                <w:szCs w:val="18"/>
              </w:rPr>
            </w:pPr>
            <w:r w:rsidRPr="0011095F">
              <w:rPr>
                <w:color w:val="000000"/>
                <w:sz w:val="18"/>
                <w:szCs w:val="18"/>
              </w:rPr>
              <w:t>-1.1</w:t>
            </w:r>
            <w:r>
              <w:rPr>
                <w:color w:val="000000"/>
                <w:sz w:val="18"/>
                <w:szCs w:val="18"/>
              </w:rPr>
              <w:t>0</w:t>
            </w:r>
            <w:r w:rsidR="003C7FB2">
              <w:rPr>
                <w:color w:val="000000"/>
                <w:sz w:val="18"/>
                <w:szCs w:val="18"/>
              </w:rPr>
              <w:t xml:space="preserve"> </w:t>
            </w:r>
            <w:r>
              <w:rPr>
                <w:color w:val="000000"/>
                <w:sz w:val="18"/>
                <w:szCs w:val="18"/>
              </w:rPr>
              <w:t>(</w:t>
            </w:r>
            <w:r w:rsidRPr="0011095F">
              <w:rPr>
                <w:color w:val="000000"/>
                <w:sz w:val="18"/>
                <w:szCs w:val="18"/>
              </w:rPr>
              <w:t>-3.36</w:t>
            </w:r>
            <w:r>
              <w:rPr>
                <w:color w:val="000000"/>
                <w:sz w:val="18"/>
                <w:szCs w:val="18"/>
              </w:rPr>
              <w:t>,</w:t>
            </w:r>
            <w:r w:rsidR="003C7FB2">
              <w:rPr>
                <w:color w:val="000000"/>
                <w:sz w:val="18"/>
                <w:szCs w:val="18"/>
              </w:rPr>
              <w:t xml:space="preserve"> </w:t>
            </w:r>
            <w:r w:rsidRPr="0011095F">
              <w:rPr>
                <w:color w:val="000000"/>
                <w:sz w:val="18"/>
                <w:szCs w:val="18"/>
              </w:rPr>
              <w:t>1.15</w:t>
            </w:r>
            <w:r>
              <w:rPr>
                <w:color w:val="000000"/>
                <w:sz w:val="18"/>
                <w:szCs w:val="18"/>
              </w:rPr>
              <w:t>)</w:t>
            </w:r>
          </w:p>
        </w:tc>
      </w:tr>
      <w:tr w:rsidR="00F971D8" w14:paraId="2D695D03" w14:textId="77777777" w:rsidTr="00D9387F">
        <w:tc>
          <w:tcPr>
            <w:tcW w:w="1862" w:type="dxa"/>
            <w:vAlign w:val="center"/>
          </w:tcPr>
          <w:p w14:paraId="1A3E8106" w14:textId="1BFD05A6" w:rsidR="00F971D8" w:rsidRPr="00A10601" w:rsidRDefault="00F971D8" w:rsidP="00D9387F">
            <w:pPr>
              <w:rPr>
                <w:b/>
                <w:sz w:val="16"/>
                <w:szCs w:val="16"/>
              </w:rPr>
            </w:pPr>
            <w:r w:rsidRPr="00F71324">
              <w:rPr>
                <w:color w:val="000000"/>
                <w:sz w:val="18"/>
                <w:szCs w:val="18"/>
              </w:rPr>
              <w:t>Regular</w:t>
            </w:r>
            <w:r w:rsidR="003C7FB2">
              <w:rPr>
                <w:color w:val="000000"/>
                <w:sz w:val="18"/>
                <w:szCs w:val="18"/>
              </w:rPr>
              <w:t xml:space="preserve"> </w:t>
            </w:r>
            <w:r w:rsidRPr="00F71324">
              <w:rPr>
                <w:color w:val="000000"/>
                <w:sz w:val="18"/>
                <w:szCs w:val="18"/>
              </w:rPr>
              <w:t>cycling</w:t>
            </w:r>
          </w:p>
        </w:tc>
        <w:tc>
          <w:tcPr>
            <w:tcW w:w="1852" w:type="dxa"/>
            <w:vAlign w:val="bottom"/>
          </w:tcPr>
          <w:p w14:paraId="6AE87D66" w14:textId="3BF8C55F" w:rsidR="00F971D8" w:rsidRPr="0011095F" w:rsidRDefault="00F971D8" w:rsidP="00D9387F">
            <w:pPr>
              <w:rPr>
                <w:sz w:val="18"/>
                <w:szCs w:val="18"/>
              </w:rPr>
            </w:pPr>
            <w:r w:rsidRPr="0011095F">
              <w:rPr>
                <w:color w:val="000000"/>
                <w:sz w:val="18"/>
                <w:szCs w:val="18"/>
              </w:rPr>
              <w:t>-5.69</w:t>
            </w:r>
            <w:r w:rsidR="003C7FB2">
              <w:rPr>
                <w:color w:val="000000"/>
                <w:sz w:val="18"/>
                <w:szCs w:val="18"/>
              </w:rPr>
              <w:t xml:space="preserve"> </w:t>
            </w:r>
            <w:r>
              <w:rPr>
                <w:color w:val="000000"/>
                <w:sz w:val="18"/>
                <w:szCs w:val="18"/>
              </w:rPr>
              <w:t>(</w:t>
            </w:r>
            <w:r w:rsidRPr="0011095F">
              <w:rPr>
                <w:color w:val="000000"/>
                <w:sz w:val="18"/>
                <w:szCs w:val="18"/>
              </w:rPr>
              <w:t>-7.21,</w:t>
            </w:r>
            <w:r w:rsidR="003C7FB2">
              <w:rPr>
                <w:color w:val="000000"/>
                <w:sz w:val="18"/>
                <w:szCs w:val="18"/>
              </w:rPr>
              <w:t xml:space="preserve"> </w:t>
            </w:r>
            <w:r w:rsidRPr="0011095F">
              <w:rPr>
                <w:color w:val="000000"/>
                <w:sz w:val="18"/>
                <w:szCs w:val="18"/>
              </w:rPr>
              <w:t>-4.17</w:t>
            </w:r>
            <w:r>
              <w:rPr>
                <w:color w:val="000000"/>
                <w:sz w:val="18"/>
                <w:szCs w:val="18"/>
              </w:rPr>
              <w:t>)</w:t>
            </w:r>
          </w:p>
        </w:tc>
        <w:tc>
          <w:tcPr>
            <w:tcW w:w="1852" w:type="dxa"/>
            <w:vAlign w:val="bottom"/>
          </w:tcPr>
          <w:p w14:paraId="741F9110" w14:textId="51B8AB19" w:rsidR="00F971D8" w:rsidRPr="0011095F" w:rsidRDefault="00F971D8" w:rsidP="00D9387F">
            <w:pPr>
              <w:rPr>
                <w:sz w:val="18"/>
                <w:szCs w:val="18"/>
              </w:rPr>
            </w:pPr>
            <w:r w:rsidRPr="0011095F">
              <w:rPr>
                <w:color w:val="000000"/>
                <w:sz w:val="18"/>
                <w:szCs w:val="18"/>
              </w:rPr>
              <w:t>-2.79</w:t>
            </w:r>
            <w:r w:rsidR="003C7FB2">
              <w:rPr>
                <w:color w:val="000000"/>
                <w:sz w:val="18"/>
                <w:szCs w:val="18"/>
              </w:rPr>
              <w:t xml:space="preserve"> </w:t>
            </w:r>
            <w:r>
              <w:rPr>
                <w:color w:val="000000"/>
                <w:sz w:val="18"/>
                <w:szCs w:val="18"/>
              </w:rPr>
              <w:t>(</w:t>
            </w:r>
            <w:r w:rsidRPr="0011095F">
              <w:rPr>
                <w:color w:val="000000"/>
                <w:sz w:val="18"/>
                <w:szCs w:val="18"/>
              </w:rPr>
              <w:t>-4.44</w:t>
            </w:r>
            <w:r>
              <w:rPr>
                <w:color w:val="000000"/>
                <w:sz w:val="18"/>
                <w:szCs w:val="18"/>
              </w:rPr>
              <w:t>,</w:t>
            </w:r>
            <w:r w:rsidR="003C7FB2">
              <w:rPr>
                <w:color w:val="000000"/>
                <w:sz w:val="18"/>
                <w:szCs w:val="18"/>
              </w:rPr>
              <w:t xml:space="preserve"> </w:t>
            </w:r>
            <w:r w:rsidRPr="0011095F">
              <w:rPr>
                <w:color w:val="000000"/>
                <w:sz w:val="18"/>
                <w:szCs w:val="18"/>
              </w:rPr>
              <w:t>-1.15</w:t>
            </w:r>
            <w:r>
              <w:rPr>
                <w:color w:val="000000"/>
                <w:sz w:val="18"/>
                <w:szCs w:val="18"/>
              </w:rPr>
              <w:t>)</w:t>
            </w:r>
          </w:p>
        </w:tc>
        <w:tc>
          <w:tcPr>
            <w:tcW w:w="1852" w:type="dxa"/>
            <w:vAlign w:val="bottom"/>
          </w:tcPr>
          <w:p w14:paraId="7A0CF8F0" w14:textId="3488B2E7" w:rsidR="00F971D8" w:rsidRPr="0011095F" w:rsidRDefault="00F971D8" w:rsidP="00D9387F">
            <w:pPr>
              <w:rPr>
                <w:sz w:val="18"/>
                <w:szCs w:val="18"/>
              </w:rPr>
            </w:pPr>
            <w:r w:rsidRPr="0011095F">
              <w:rPr>
                <w:color w:val="000000"/>
                <w:sz w:val="18"/>
                <w:szCs w:val="18"/>
              </w:rPr>
              <w:t>-1.95</w:t>
            </w:r>
            <w:r w:rsidR="003C7FB2">
              <w:rPr>
                <w:color w:val="000000"/>
                <w:sz w:val="18"/>
                <w:szCs w:val="18"/>
              </w:rPr>
              <w:t xml:space="preserve"> </w:t>
            </w:r>
            <w:r>
              <w:rPr>
                <w:color w:val="000000"/>
                <w:sz w:val="18"/>
                <w:szCs w:val="18"/>
              </w:rPr>
              <w:t>(</w:t>
            </w:r>
            <w:r w:rsidRPr="0011095F">
              <w:rPr>
                <w:color w:val="000000"/>
                <w:sz w:val="18"/>
                <w:szCs w:val="18"/>
              </w:rPr>
              <w:t>-3.88</w:t>
            </w:r>
            <w:r>
              <w:rPr>
                <w:color w:val="000000"/>
                <w:sz w:val="18"/>
                <w:szCs w:val="18"/>
              </w:rPr>
              <w:t>,</w:t>
            </w:r>
            <w:r w:rsidR="003C7FB2">
              <w:rPr>
                <w:color w:val="000000"/>
                <w:sz w:val="18"/>
                <w:szCs w:val="18"/>
              </w:rPr>
              <w:t xml:space="preserve"> </w:t>
            </w:r>
            <w:r w:rsidRPr="0011095F">
              <w:rPr>
                <w:color w:val="000000"/>
                <w:sz w:val="18"/>
                <w:szCs w:val="18"/>
              </w:rPr>
              <w:t>-0.02</w:t>
            </w:r>
            <w:r>
              <w:rPr>
                <w:color w:val="000000"/>
                <w:sz w:val="18"/>
                <w:szCs w:val="18"/>
              </w:rPr>
              <w:t>)</w:t>
            </w:r>
          </w:p>
        </w:tc>
        <w:tc>
          <w:tcPr>
            <w:tcW w:w="1933" w:type="dxa"/>
            <w:vAlign w:val="bottom"/>
          </w:tcPr>
          <w:p w14:paraId="5EB6FF34" w14:textId="7B441311" w:rsidR="00F971D8" w:rsidRPr="0011095F" w:rsidRDefault="00F971D8" w:rsidP="00D9387F">
            <w:pPr>
              <w:rPr>
                <w:color w:val="000000"/>
                <w:sz w:val="18"/>
                <w:szCs w:val="18"/>
              </w:rPr>
            </w:pPr>
            <w:r w:rsidRPr="0011095F">
              <w:rPr>
                <w:color w:val="000000"/>
                <w:sz w:val="18"/>
                <w:szCs w:val="18"/>
              </w:rPr>
              <w:t>-2.49</w:t>
            </w:r>
            <w:r w:rsidR="003C7FB2">
              <w:rPr>
                <w:color w:val="000000"/>
                <w:sz w:val="18"/>
                <w:szCs w:val="18"/>
              </w:rPr>
              <w:t xml:space="preserve"> </w:t>
            </w:r>
            <w:r>
              <w:rPr>
                <w:color w:val="000000"/>
                <w:sz w:val="18"/>
                <w:szCs w:val="18"/>
              </w:rPr>
              <w:t>(</w:t>
            </w:r>
            <w:r w:rsidRPr="0011095F">
              <w:rPr>
                <w:color w:val="000000"/>
                <w:sz w:val="18"/>
                <w:szCs w:val="18"/>
              </w:rPr>
              <w:t>-4.09</w:t>
            </w:r>
            <w:r>
              <w:rPr>
                <w:color w:val="000000"/>
                <w:sz w:val="18"/>
                <w:szCs w:val="18"/>
              </w:rPr>
              <w:t>,</w:t>
            </w:r>
            <w:r w:rsidR="003C7FB2">
              <w:rPr>
                <w:color w:val="000000"/>
                <w:sz w:val="18"/>
                <w:szCs w:val="18"/>
              </w:rPr>
              <w:t xml:space="preserve"> </w:t>
            </w:r>
            <w:r w:rsidRPr="0011095F">
              <w:rPr>
                <w:color w:val="000000"/>
                <w:sz w:val="18"/>
                <w:szCs w:val="18"/>
              </w:rPr>
              <w:t>-0.90</w:t>
            </w:r>
            <w:r>
              <w:rPr>
                <w:color w:val="000000"/>
                <w:sz w:val="18"/>
                <w:szCs w:val="18"/>
              </w:rPr>
              <w:t>)</w:t>
            </w:r>
          </w:p>
        </w:tc>
      </w:tr>
      <w:tr w:rsidR="00F971D8" w14:paraId="788F255F" w14:textId="77777777" w:rsidTr="00D9387F">
        <w:tc>
          <w:tcPr>
            <w:tcW w:w="1862" w:type="dxa"/>
            <w:vAlign w:val="center"/>
          </w:tcPr>
          <w:p w14:paraId="3E21FDE1" w14:textId="1E56AD4B" w:rsidR="00F971D8" w:rsidRPr="00A10601" w:rsidRDefault="00F971D8" w:rsidP="00D9387F">
            <w:pPr>
              <w:rPr>
                <w:sz w:val="16"/>
                <w:szCs w:val="16"/>
              </w:rPr>
            </w:pPr>
            <w:r w:rsidRPr="00F71324">
              <w:rPr>
                <w:color w:val="000000"/>
                <w:sz w:val="18"/>
                <w:szCs w:val="18"/>
              </w:rPr>
              <w:t>Car</w:t>
            </w:r>
            <w:r w:rsidR="003C7FB2">
              <w:rPr>
                <w:color w:val="000000"/>
                <w:sz w:val="18"/>
                <w:szCs w:val="18"/>
              </w:rPr>
              <w:t xml:space="preserve"> </w:t>
            </w:r>
            <w:r w:rsidRPr="00F71324">
              <w:rPr>
                <w:color w:val="000000"/>
                <w:sz w:val="18"/>
                <w:szCs w:val="18"/>
              </w:rPr>
              <w:t>with</w:t>
            </w:r>
            <w:r w:rsidR="003C7FB2">
              <w:rPr>
                <w:color w:val="000000"/>
                <w:sz w:val="18"/>
                <w:szCs w:val="18"/>
              </w:rPr>
              <w:t xml:space="preserve"> </w:t>
            </w:r>
            <w:r w:rsidRPr="00F71324">
              <w:rPr>
                <w:color w:val="000000"/>
                <w:sz w:val="18"/>
                <w:szCs w:val="18"/>
              </w:rPr>
              <w:t>occasional</w:t>
            </w:r>
            <w:r w:rsidR="003C7FB2">
              <w:rPr>
                <w:color w:val="000000"/>
                <w:sz w:val="18"/>
                <w:szCs w:val="18"/>
              </w:rPr>
              <w:t xml:space="preserve"> </w:t>
            </w:r>
            <w:r w:rsidRPr="00F71324">
              <w:rPr>
                <w:color w:val="000000"/>
                <w:sz w:val="18"/>
                <w:szCs w:val="18"/>
              </w:rPr>
              <w:t>walking</w:t>
            </w:r>
          </w:p>
        </w:tc>
        <w:tc>
          <w:tcPr>
            <w:tcW w:w="1852" w:type="dxa"/>
            <w:vAlign w:val="bottom"/>
          </w:tcPr>
          <w:p w14:paraId="391566A6" w14:textId="7173FB11" w:rsidR="00F971D8" w:rsidRPr="0011095F" w:rsidRDefault="00F971D8" w:rsidP="00D9387F">
            <w:pPr>
              <w:rPr>
                <w:sz w:val="18"/>
                <w:szCs w:val="18"/>
              </w:rPr>
            </w:pPr>
            <w:r w:rsidRPr="0011095F">
              <w:rPr>
                <w:color w:val="000000"/>
                <w:sz w:val="18"/>
                <w:szCs w:val="18"/>
              </w:rPr>
              <w:t>-2.54</w:t>
            </w:r>
            <w:r w:rsidR="003C7FB2">
              <w:rPr>
                <w:color w:val="000000"/>
                <w:sz w:val="18"/>
                <w:szCs w:val="18"/>
              </w:rPr>
              <w:t xml:space="preserve"> </w:t>
            </w:r>
            <w:r>
              <w:rPr>
                <w:color w:val="000000"/>
                <w:sz w:val="18"/>
                <w:szCs w:val="18"/>
              </w:rPr>
              <w:t>(</w:t>
            </w:r>
            <w:r w:rsidRPr="0011095F">
              <w:rPr>
                <w:color w:val="000000"/>
                <w:sz w:val="18"/>
                <w:szCs w:val="18"/>
              </w:rPr>
              <w:t>-6.08,</w:t>
            </w:r>
            <w:r w:rsidR="003C7FB2">
              <w:rPr>
                <w:color w:val="000000"/>
                <w:sz w:val="18"/>
                <w:szCs w:val="18"/>
              </w:rPr>
              <w:t xml:space="preserve"> </w:t>
            </w:r>
            <w:r w:rsidRPr="0011095F">
              <w:rPr>
                <w:color w:val="000000"/>
                <w:sz w:val="18"/>
                <w:szCs w:val="18"/>
              </w:rPr>
              <w:t>1.00</w:t>
            </w:r>
            <w:r>
              <w:rPr>
                <w:color w:val="000000"/>
                <w:sz w:val="18"/>
                <w:szCs w:val="18"/>
              </w:rPr>
              <w:t>)</w:t>
            </w:r>
          </w:p>
        </w:tc>
        <w:tc>
          <w:tcPr>
            <w:tcW w:w="1852" w:type="dxa"/>
            <w:vAlign w:val="bottom"/>
          </w:tcPr>
          <w:p w14:paraId="050FB3D8" w14:textId="4F1C4564" w:rsidR="00F971D8" w:rsidRPr="0011095F" w:rsidRDefault="00F971D8" w:rsidP="00D9387F">
            <w:pPr>
              <w:rPr>
                <w:sz w:val="18"/>
                <w:szCs w:val="18"/>
              </w:rPr>
            </w:pPr>
            <w:r w:rsidRPr="0011095F">
              <w:rPr>
                <w:color w:val="000000"/>
                <w:sz w:val="18"/>
                <w:szCs w:val="18"/>
              </w:rPr>
              <w:t>-1.48</w:t>
            </w:r>
            <w:r w:rsidR="003C7FB2">
              <w:rPr>
                <w:color w:val="000000"/>
                <w:sz w:val="18"/>
                <w:szCs w:val="18"/>
              </w:rPr>
              <w:t xml:space="preserve"> </w:t>
            </w:r>
            <w:r>
              <w:rPr>
                <w:color w:val="000000"/>
                <w:sz w:val="18"/>
                <w:szCs w:val="18"/>
              </w:rPr>
              <w:t>(</w:t>
            </w:r>
            <w:r w:rsidRPr="0011095F">
              <w:rPr>
                <w:color w:val="000000"/>
                <w:sz w:val="18"/>
                <w:szCs w:val="18"/>
              </w:rPr>
              <w:t>-4.80</w:t>
            </w:r>
            <w:r>
              <w:rPr>
                <w:color w:val="000000"/>
                <w:sz w:val="18"/>
                <w:szCs w:val="18"/>
              </w:rPr>
              <w:t>,</w:t>
            </w:r>
            <w:r w:rsidR="003C7FB2">
              <w:rPr>
                <w:color w:val="000000"/>
                <w:sz w:val="18"/>
                <w:szCs w:val="18"/>
              </w:rPr>
              <w:t xml:space="preserve"> </w:t>
            </w:r>
            <w:r w:rsidRPr="0011095F">
              <w:rPr>
                <w:color w:val="000000"/>
                <w:sz w:val="18"/>
                <w:szCs w:val="18"/>
              </w:rPr>
              <w:t>1.84</w:t>
            </w:r>
            <w:r>
              <w:rPr>
                <w:color w:val="000000"/>
                <w:sz w:val="18"/>
                <w:szCs w:val="18"/>
              </w:rPr>
              <w:t>)</w:t>
            </w:r>
          </w:p>
        </w:tc>
        <w:tc>
          <w:tcPr>
            <w:tcW w:w="1852" w:type="dxa"/>
            <w:vAlign w:val="bottom"/>
          </w:tcPr>
          <w:p w14:paraId="46730829" w14:textId="3E5E37D4" w:rsidR="00F971D8" w:rsidRPr="0011095F" w:rsidRDefault="00F971D8" w:rsidP="00D9387F">
            <w:pPr>
              <w:rPr>
                <w:sz w:val="18"/>
                <w:szCs w:val="18"/>
              </w:rPr>
            </w:pPr>
            <w:r w:rsidRPr="0011095F">
              <w:rPr>
                <w:color w:val="000000"/>
                <w:sz w:val="18"/>
                <w:szCs w:val="18"/>
              </w:rPr>
              <w:t>-1.82</w:t>
            </w:r>
            <w:r w:rsidR="003C7FB2">
              <w:rPr>
                <w:color w:val="000000"/>
                <w:sz w:val="18"/>
                <w:szCs w:val="18"/>
              </w:rPr>
              <w:t xml:space="preserve"> </w:t>
            </w:r>
            <w:r>
              <w:rPr>
                <w:color w:val="000000"/>
                <w:sz w:val="18"/>
                <w:szCs w:val="18"/>
              </w:rPr>
              <w:t>(</w:t>
            </w:r>
            <w:r w:rsidRPr="0011095F">
              <w:rPr>
                <w:color w:val="000000"/>
                <w:sz w:val="18"/>
                <w:szCs w:val="18"/>
              </w:rPr>
              <w:t>-5.14</w:t>
            </w:r>
            <w:r>
              <w:rPr>
                <w:color w:val="000000"/>
                <w:sz w:val="18"/>
                <w:szCs w:val="18"/>
              </w:rPr>
              <w:t>,</w:t>
            </w:r>
            <w:r w:rsidR="003C7FB2">
              <w:rPr>
                <w:color w:val="000000"/>
                <w:sz w:val="18"/>
                <w:szCs w:val="18"/>
              </w:rPr>
              <w:t xml:space="preserve"> </w:t>
            </w:r>
            <w:r w:rsidRPr="0011095F">
              <w:rPr>
                <w:color w:val="000000"/>
                <w:sz w:val="18"/>
                <w:szCs w:val="18"/>
              </w:rPr>
              <w:t>1.49</w:t>
            </w:r>
            <w:r>
              <w:rPr>
                <w:color w:val="000000"/>
                <w:sz w:val="18"/>
                <w:szCs w:val="18"/>
              </w:rPr>
              <w:t>)</w:t>
            </w:r>
          </w:p>
        </w:tc>
        <w:tc>
          <w:tcPr>
            <w:tcW w:w="1933" w:type="dxa"/>
            <w:vAlign w:val="bottom"/>
          </w:tcPr>
          <w:p w14:paraId="460CEA8E" w14:textId="271865DB" w:rsidR="00F971D8" w:rsidRPr="0011095F" w:rsidRDefault="00F971D8" w:rsidP="00D9387F">
            <w:pPr>
              <w:rPr>
                <w:color w:val="000000"/>
                <w:sz w:val="18"/>
                <w:szCs w:val="18"/>
              </w:rPr>
            </w:pPr>
            <w:r w:rsidRPr="0011095F">
              <w:rPr>
                <w:color w:val="000000"/>
                <w:sz w:val="18"/>
                <w:szCs w:val="18"/>
              </w:rPr>
              <w:t>-1.85</w:t>
            </w:r>
            <w:r w:rsidR="003C7FB2">
              <w:rPr>
                <w:color w:val="000000"/>
                <w:sz w:val="18"/>
                <w:szCs w:val="18"/>
              </w:rPr>
              <w:t xml:space="preserve"> </w:t>
            </w:r>
            <w:r>
              <w:rPr>
                <w:color w:val="000000"/>
                <w:sz w:val="18"/>
                <w:szCs w:val="18"/>
              </w:rPr>
              <w:t>(</w:t>
            </w:r>
            <w:r w:rsidRPr="0011095F">
              <w:rPr>
                <w:color w:val="000000"/>
                <w:sz w:val="18"/>
                <w:szCs w:val="18"/>
              </w:rPr>
              <w:t>-5.07</w:t>
            </w:r>
            <w:r>
              <w:rPr>
                <w:color w:val="000000"/>
                <w:sz w:val="18"/>
                <w:szCs w:val="18"/>
              </w:rPr>
              <w:t>,</w:t>
            </w:r>
            <w:r w:rsidR="003C7FB2">
              <w:rPr>
                <w:color w:val="000000"/>
                <w:sz w:val="18"/>
                <w:szCs w:val="18"/>
              </w:rPr>
              <w:t xml:space="preserve"> </w:t>
            </w:r>
            <w:r w:rsidRPr="0011095F">
              <w:rPr>
                <w:color w:val="000000"/>
                <w:sz w:val="18"/>
                <w:szCs w:val="18"/>
              </w:rPr>
              <w:t>1.37</w:t>
            </w:r>
            <w:r>
              <w:rPr>
                <w:color w:val="000000"/>
                <w:sz w:val="18"/>
                <w:szCs w:val="18"/>
              </w:rPr>
              <w:t>)</w:t>
            </w:r>
          </w:p>
        </w:tc>
      </w:tr>
      <w:tr w:rsidR="00F971D8" w14:paraId="5EDF65B0" w14:textId="77777777" w:rsidTr="00D9387F">
        <w:tc>
          <w:tcPr>
            <w:tcW w:w="1862" w:type="dxa"/>
            <w:vAlign w:val="center"/>
          </w:tcPr>
          <w:p w14:paraId="26999AE9" w14:textId="6BAB9812" w:rsidR="00F971D8" w:rsidRPr="00BD049D" w:rsidRDefault="00F971D8" w:rsidP="00D9387F">
            <w:pPr>
              <w:rPr>
                <w:color w:val="000000"/>
                <w:sz w:val="16"/>
                <w:szCs w:val="16"/>
              </w:rPr>
            </w:pPr>
            <w:r w:rsidRPr="00BD049D">
              <w:rPr>
                <w:color w:val="000000"/>
                <w:sz w:val="16"/>
                <w:szCs w:val="16"/>
              </w:rPr>
              <w:t>Car</w:t>
            </w:r>
            <w:r w:rsidR="003C7FB2">
              <w:rPr>
                <w:color w:val="000000"/>
                <w:sz w:val="16"/>
                <w:szCs w:val="16"/>
              </w:rPr>
              <w:t xml:space="preserve"> </w:t>
            </w:r>
            <w:r w:rsidRPr="00BD049D">
              <w:rPr>
                <w:color w:val="000000"/>
                <w:sz w:val="16"/>
                <w:szCs w:val="16"/>
              </w:rPr>
              <w:t>with</w:t>
            </w:r>
            <w:r w:rsidR="003C7FB2">
              <w:rPr>
                <w:color w:val="000000"/>
                <w:sz w:val="16"/>
                <w:szCs w:val="16"/>
              </w:rPr>
              <w:t xml:space="preserve"> </w:t>
            </w:r>
            <w:r w:rsidRPr="00BD049D">
              <w:rPr>
                <w:color w:val="000000"/>
                <w:sz w:val="16"/>
                <w:szCs w:val="16"/>
              </w:rPr>
              <w:t>occasional</w:t>
            </w:r>
            <w:r w:rsidR="003C7FB2">
              <w:rPr>
                <w:color w:val="000000"/>
                <w:sz w:val="16"/>
                <w:szCs w:val="16"/>
              </w:rPr>
              <w:t xml:space="preserve"> </w:t>
            </w:r>
            <w:r w:rsidRPr="00BD049D">
              <w:rPr>
                <w:color w:val="000000"/>
                <w:sz w:val="16"/>
                <w:szCs w:val="16"/>
              </w:rPr>
              <w:t>cycling</w:t>
            </w:r>
          </w:p>
        </w:tc>
        <w:tc>
          <w:tcPr>
            <w:tcW w:w="1852" w:type="dxa"/>
            <w:vAlign w:val="bottom"/>
          </w:tcPr>
          <w:p w14:paraId="6DD8979C" w14:textId="7D9C7A7E" w:rsidR="00F971D8" w:rsidRPr="00BD049D" w:rsidRDefault="00F971D8" w:rsidP="00D9387F">
            <w:pPr>
              <w:rPr>
                <w:color w:val="000000"/>
                <w:sz w:val="16"/>
                <w:szCs w:val="16"/>
              </w:rPr>
            </w:pPr>
            <w:r w:rsidRPr="00BD049D">
              <w:rPr>
                <w:color w:val="000000"/>
                <w:sz w:val="16"/>
                <w:szCs w:val="16"/>
              </w:rPr>
              <w:t>-2.95</w:t>
            </w:r>
            <w:r w:rsidR="003C7FB2">
              <w:rPr>
                <w:color w:val="000000"/>
                <w:sz w:val="16"/>
                <w:szCs w:val="16"/>
              </w:rPr>
              <w:t xml:space="preserve"> </w:t>
            </w:r>
            <w:r w:rsidRPr="00BD049D">
              <w:rPr>
                <w:color w:val="000000"/>
                <w:sz w:val="16"/>
                <w:szCs w:val="16"/>
              </w:rPr>
              <w:t>(-5.14,</w:t>
            </w:r>
            <w:r w:rsidR="003C7FB2">
              <w:rPr>
                <w:color w:val="000000"/>
                <w:sz w:val="16"/>
                <w:szCs w:val="16"/>
              </w:rPr>
              <w:t xml:space="preserve"> </w:t>
            </w:r>
            <w:r w:rsidRPr="00BD049D">
              <w:rPr>
                <w:color w:val="000000"/>
                <w:sz w:val="16"/>
                <w:szCs w:val="16"/>
              </w:rPr>
              <w:t>-0.77)</w:t>
            </w:r>
          </w:p>
        </w:tc>
        <w:tc>
          <w:tcPr>
            <w:tcW w:w="1852" w:type="dxa"/>
            <w:vAlign w:val="bottom"/>
          </w:tcPr>
          <w:p w14:paraId="293D3A01" w14:textId="424EB3DB" w:rsidR="00F971D8" w:rsidRPr="0011095F" w:rsidRDefault="00F971D8" w:rsidP="00D9387F">
            <w:pPr>
              <w:rPr>
                <w:color w:val="000000"/>
                <w:sz w:val="18"/>
                <w:szCs w:val="18"/>
              </w:rPr>
            </w:pPr>
            <w:r w:rsidRPr="0011095F">
              <w:rPr>
                <w:color w:val="000000"/>
                <w:sz w:val="18"/>
                <w:szCs w:val="18"/>
              </w:rPr>
              <w:t>-1.19</w:t>
            </w:r>
            <w:r w:rsidR="003C7FB2">
              <w:rPr>
                <w:color w:val="000000"/>
                <w:sz w:val="18"/>
                <w:szCs w:val="18"/>
              </w:rPr>
              <w:t xml:space="preserve"> </w:t>
            </w:r>
            <w:r>
              <w:rPr>
                <w:color w:val="000000"/>
                <w:sz w:val="18"/>
                <w:szCs w:val="18"/>
              </w:rPr>
              <w:t>(</w:t>
            </w:r>
            <w:r w:rsidRPr="0011095F">
              <w:rPr>
                <w:color w:val="000000"/>
                <w:sz w:val="18"/>
                <w:szCs w:val="18"/>
              </w:rPr>
              <w:t>-3.28</w:t>
            </w:r>
            <w:r>
              <w:rPr>
                <w:color w:val="000000"/>
                <w:sz w:val="18"/>
                <w:szCs w:val="18"/>
              </w:rPr>
              <w:t>,</w:t>
            </w:r>
            <w:r w:rsidR="003C7FB2">
              <w:rPr>
                <w:color w:val="000000"/>
                <w:sz w:val="18"/>
                <w:szCs w:val="18"/>
              </w:rPr>
              <w:t xml:space="preserve"> </w:t>
            </w:r>
            <w:r w:rsidRPr="0011095F">
              <w:rPr>
                <w:color w:val="000000"/>
                <w:sz w:val="18"/>
                <w:szCs w:val="18"/>
              </w:rPr>
              <w:t>0.90</w:t>
            </w:r>
            <w:r>
              <w:rPr>
                <w:color w:val="000000"/>
                <w:sz w:val="18"/>
                <w:szCs w:val="18"/>
              </w:rPr>
              <w:t>)</w:t>
            </w:r>
          </w:p>
        </w:tc>
        <w:tc>
          <w:tcPr>
            <w:tcW w:w="1852" w:type="dxa"/>
            <w:vAlign w:val="bottom"/>
          </w:tcPr>
          <w:p w14:paraId="2CE6F56E" w14:textId="591A48E2" w:rsidR="00F971D8" w:rsidRPr="0011095F" w:rsidRDefault="00F971D8" w:rsidP="00D9387F">
            <w:pPr>
              <w:rPr>
                <w:color w:val="000000"/>
                <w:sz w:val="18"/>
                <w:szCs w:val="18"/>
              </w:rPr>
            </w:pPr>
            <w:r w:rsidRPr="0011095F">
              <w:rPr>
                <w:color w:val="000000"/>
                <w:sz w:val="18"/>
                <w:szCs w:val="18"/>
              </w:rPr>
              <w:t>-1.04</w:t>
            </w:r>
            <w:r w:rsidR="003C7FB2">
              <w:rPr>
                <w:color w:val="000000"/>
                <w:sz w:val="18"/>
                <w:szCs w:val="18"/>
              </w:rPr>
              <w:t xml:space="preserve"> </w:t>
            </w:r>
            <w:r>
              <w:rPr>
                <w:color w:val="000000"/>
                <w:sz w:val="18"/>
                <w:szCs w:val="18"/>
              </w:rPr>
              <w:t>(</w:t>
            </w:r>
            <w:r w:rsidRPr="0011095F">
              <w:rPr>
                <w:color w:val="000000"/>
                <w:sz w:val="18"/>
                <w:szCs w:val="18"/>
              </w:rPr>
              <w:t>-3.12</w:t>
            </w:r>
            <w:r>
              <w:rPr>
                <w:color w:val="000000"/>
                <w:sz w:val="18"/>
                <w:szCs w:val="18"/>
              </w:rPr>
              <w:t>,</w:t>
            </w:r>
            <w:r w:rsidR="003C7FB2">
              <w:rPr>
                <w:color w:val="000000"/>
                <w:sz w:val="18"/>
                <w:szCs w:val="18"/>
              </w:rPr>
              <w:t xml:space="preserve"> </w:t>
            </w:r>
            <w:r w:rsidRPr="0011095F">
              <w:rPr>
                <w:color w:val="000000"/>
                <w:sz w:val="18"/>
                <w:szCs w:val="18"/>
              </w:rPr>
              <w:t>1.04</w:t>
            </w:r>
            <w:r>
              <w:rPr>
                <w:color w:val="000000"/>
                <w:sz w:val="18"/>
                <w:szCs w:val="18"/>
              </w:rPr>
              <w:t>)</w:t>
            </w:r>
          </w:p>
        </w:tc>
        <w:tc>
          <w:tcPr>
            <w:tcW w:w="1933" w:type="dxa"/>
            <w:vAlign w:val="bottom"/>
          </w:tcPr>
          <w:p w14:paraId="3362583A" w14:textId="54192EAE" w:rsidR="00F971D8" w:rsidRPr="0011095F" w:rsidRDefault="00F971D8" w:rsidP="00D9387F">
            <w:pPr>
              <w:rPr>
                <w:color w:val="000000"/>
                <w:sz w:val="18"/>
                <w:szCs w:val="18"/>
              </w:rPr>
            </w:pPr>
            <w:r w:rsidRPr="0011095F">
              <w:rPr>
                <w:color w:val="000000"/>
                <w:sz w:val="18"/>
                <w:szCs w:val="18"/>
              </w:rPr>
              <w:t>-0.88</w:t>
            </w:r>
            <w:r w:rsidR="003C7FB2">
              <w:rPr>
                <w:color w:val="000000"/>
                <w:sz w:val="18"/>
                <w:szCs w:val="18"/>
              </w:rPr>
              <w:t xml:space="preserve"> </w:t>
            </w:r>
            <w:r>
              <w:rPr>
                <w:color w:val="000000"/>
                <w:sz w:val="18"/>
                <w:szCs w:val="18"/>
              </w:rPr>
              <w:t>(</w:t>
            </w:r>
            <w:r w:rsidRPr="0011095F">
              <w:rPr>
                <w:color w:val="000000"/>
                <w:sz w:val="18"/>
                <w:szCs w:val="18"/>
              </w:rPr>
              <w:t>-2.91</w:t>
            </w:r>
            <w:r>
              <w:rPr>
                <w:color w:val="000000"/>
                <w:sz w:val="18"/>
                <w:szCs w:val="18"/>
              </w:rPr>
              <w:t>,</w:t>
            </w:r>
            <w:r w:rsidR="003C7FB2">
              <w:rPr>
                <w:color w:val="000000"/>
                <w:sz w:val="18"/>
                <w:szCs w:val="18"/>
              </w:rPr>
              <w:t xml:space="preserve"> </w:t>
            </w:r>
            <w:r w:rsidRPr="0011095F">
              <w:rPr>
                <w:color w:val="000000"/>
                <w:sz w:val="18"/>
                <w:szCs w:val="18"/>
              </w:rPr>
              <w:t>1.14</w:t>
            </w:r>
            <w:r>
              <w:rPr>
                <w:color w:val="000000"/>
                <w:sz w:val="18"/>
                <w:szCs w:val="18"/>
              </w:rPr>
              <w:t>)</w:t>
            </w:r>
          </w:p>
        </w:tc>
      </w:tr>
      <w:tr w:rsidR="00F971D8" w14:paraId="1A99A313" w14:textId="77777777" w:rsidTr="00D9387F">
        <w:tc>
          <w:tcPr>
            <w:tcW w:w="7418" w:type="dxa"/>
            <w:gridSpan w:val="4"/>
            <w:vAlign w:val="center"/>
          </w:tcPr>
          <w:p w14:paraId="3B4CE8C1" w14:textId="77BF24E7" w:rsidR="00F971D8" w:rsidRPr="00BD049D" w:rsidRDefault="00F971D8" w:rsidP="00D9387F">
            <w:pPr>
              <w:rPr>
                <w:b/>
                <w:color w:val="000000"/>
                <w:sz w:val="16"/>
                <w:szCs w:val="16"/>
              </w:rPr>
            </w:pPr>
            <w:r w:rsidRPr="00BD049D">
              <w:rPr>
                <w:b/>
                <w:bCs/>
                <w:color w:val="000000"/>
                <w:sz w:val="16"/>
                <w:szCs w:val="16"/>
              </w:rPr>
              <w:t>Participants</w:t>
            </w:r>
            <w:r w:rsidR="003C7FB2">
              <w:rPr>
                <w:b/>
                <w:bCs/>
                <w:color w:val="000000"/>
                <w:sz w:val="16"/>
                <w:szCs w:val="16"/>
              </w:rPr>
              <w:t xml:space="preserve"> </w:t>
            </w:r>
            <w:r w:rsidRPr="00BD049D">
              <w:rPr>
                <w:b/>
                <w:bCs/>
                <w:color w:val="000000"/>
                <w:sz w:val="16"/>
                <w:szCs w:val="16"/>
              </w:rPr>
              <w:t>living</w:t>
            </w:r>
            <w:r w:rsidR="003C7FB2">
              <w:rPr>
                <w:b/>
                <w:bCs/>
                <w:color w:val="000000"/>
                <w:sz w:val="16"/>
                <w:szCs w:val="16"/>
              </w:rPr>
              <w:t xml:space="preserve"> </w:t>
            </w:r>
            <w:r w:rsidRPr="00BD049D">
              <w:rPr>
                <w:b/>
                <w:bCs/>
                <w:color w:val="000000"/>
                <w:sz w:val="16"/>
                <w:szCs w:val="16"/>
              </w:rPr>
              <w:t>five</w:t>
            </w:r>
            <w:r w:rsidR="003C7FB2">
              <w:rPr>
                <w:b/>
                <w:bCs/>
                <w:color w:val="000000"/>
                <w:sz w:val="16"/>
                <w:szCs w:val="16"/>
              </w:rPr>
              <w:t xml:space="preserve"> </w:t>
            </w:r>
            <w:r w:rsidRPr="00BD049D">
              <w:rPr>
                <w:b/>
                <w:bCs/>
                <w:color w:val="000000"/>
                <w:sz w:val="16"/>
                <w:szCs w:val="16"/>
              </w:rPr>
              <w:t>miles</w:t>
            </w:r>
            <w:r w:rsidR="003C7FB2">
              <w:rPr>
                <w:b/>
                <w:bCs/>
                <w:color w:val="000000"/>
                <w:sz w:val="16"/>
                <w:szCs w:val="16"/>
              </w:rPr>
              <w:t xml:space="preserve"> </w:t>
            </w:r>
            <w:r w:rsidRPr="00BD049D">
              <w:rPr>
                <w:b/>
                <w:bCs/>
                <w:color w:val="000000"/>
                <w:sz w:val="16"/>
                <w:szCs w:val="16"/>
              </w:rPr>
              <w:t>or</w:t>
            </w:r>
            <w:r w:rsidR="003C7FB2">
              <w:rPr>
                <w:b/>
                <w:bCs/>
                <w:color w:val="000000"/>
                <w:sz w:val="16"/>
                <w:szCs w:val="16"/>
              </w:rPr>
              <w:t xml:space="preserve"> </w:t>
            </w:r>
            <w:r w:rsidRPr="00BD049D">
              <w:rPr>
                <w:b/>
                <w:bCs/>
                <w:color w:val="000000"/>
                <w:sz w:val="16"/>
                <w:szCs w:val="16"/>
              </w:rPr>
              <w:t>further</w:t>
            </w:r>
            <w:r w:rsidR="003C7FB2">
              <w:rPr>
                <w:b/>
                <w:bCs/>
                <w:color w:val="000000"/>
                <w:sz w:val="16"/>
                <w:szCs w:val="16"/>
              </w:rPr>
              <w:t xml:space="preserve"> </w:t>
            </w:r>
            <w:r w:rsidRPr="00BD049D">
              <w:rPr>
                <w:b/>
                <w:bCs/>
                <w:color w:val="000000"/>
                <w:sz w:val="16"/>
                <w:szCs w:val="16"/>
              </w:rPr>
              <w:t>from</w:t>
            </w:r>
            <w:r w:rsidR="003C7FB2">
              <w:rPr>
                <w:b/>
                <w:bCs/>
                <w:color w:val="000000"/>
                <w:sz w:val="16"/>
                <w:szCs w:val="16"/>
              </w:rPr>
              <w:t xml:space="preserve"> </w:t>
            </w:r>
            <w:r w:rsidRPr="00BD049D">
              <w:rPr>
                <w:b/>
                <w:bCs/>
                <w:color w:val="000000"/>
                <w:sz w:val="16"/>
                <w:szCs w:val="16"/>
              </w:rPr>
              <w:t>work</w:t>
            </w:r>
            <w:r w:rsidR="003C7FB2">
              <w:rPr>
                <w:b/>
                <w:bCs/>
                <w:color w:val="000000"/>
                <w:sz w:val="16"/>
                <w:szCs w:val="16"/>
              </w:rPr>
              <w:t xml:space="preserve"> </w:t>
            </w:r>
            <w:r w:rsidRPr="00BD049D">
              <w:rPr>
                <w:b/>
                <w:bCs/>
                <w:color w:val="000000"/>
                <w:sz w:val="16"/>
                <w:szCs w:val="16"/>
              </w:rPr>
              <w:t>(n=4333)</w:t>
            </w:r>
          </w:p>
        </w:tc>
        <w:tc>
          <w:tcPr>
            <w:tcW w:w="1933" w:type="dxa"/>
          </w:tcPr>
          <w:p w14:paraId="108A0976" w14:textId="77777777" w:rsidR="00F971D8" w:rsidRPr="0011095F" w:rsidRDefault="00F971D8" w:rsidP="00D9387F">
            <w:pPr>
              <w:rPr>
                <w:b/>
                <w:bCs/>
                <w:color w:val="000000"/>
                <w:sz w:val="18"/>
                <w:szCs w:val="18"/>
              </w:rPr>
            </w:pPr>
          </w:p>
        </w:tc>
      </w:tr>
      <w:tr w:rsidR="00F971D8" w14:paraId="45E51709" w14:textId="77777777" w:rsidTr="00D9387F">
        <w:tc>
          <w:tcPr>
            <w:tcW w:w="1862" w:type="dxa"/>
            <w:vAlign w:val="center"/>
          </w:tcPr>
          <w:p w14:paraId="1311D404" w14:textId="0790CE05" w:rsidR="00F971D8" w:rsidRPr="00A10601" w:rsidRDefault="00F971D8" w:rsidP="00D9387F">
            <w:pPr>
              <w:rPr>
                <w:sz w:val="16"/>
                <w:szCs w:val="16"/>
              </w:rPr>
            </w:pPr>
            <w:r w:rsidRPr="00A10601">
              <w:rPr>
                <w:b/>
                <w:bCs/>
                <w:color w:val="000000"/>
                <w:sz w:val="16"/>
                <w:szCs w:val="16"/>
              </w:rPr>
              <w:t>Women</w:t>
            </w:r>
            <w:r w:rsidR="003C7FB2">
              <w:rPr>
                <w:b/>
                <w:bCs/>
                <w:color w:val="000000"/>
                <w:sz w:val="16"/>
                <w:szCs w:val="16"/>
              </w:rPr>
              <w:t xml:space="preserve"> </w:t>
            </w:r>
            <w:r w:rsidRPr="00A10601">
              <w:rPr>
                <w:b/>
                <w:bCs/>
                <w:color w:val="000000"/>
                <w:sz w:val="16"/>
                <w:szCs w:val="16"/>
              </w:rPr>
              <w:t>(n=1</w:t>
            </w:r>
            <w:r>
              <w:rPr>
                <w:b/>
                <w:bCs/>
                <w:color w:val="000000"/>
                <w:sz w:val="16"/>
                <w:szCs w:val="16"/>
              </w:rPr>
              <w:t>875</w:t>
            </w:r>
            <w:r w:rsidRPr="00A10601">
              <w:rPr>
                <w:b/>
                <w:bCs/>
                <w:color w:val="000000"/>
                <w:sz w:val="16"/>
                <w:szCs w:val="16"/>
              </w:rPr>
              <w:t>)</w:t>
            </w:r>
          </w:p>
        </w:tc>
        <w:tc>
          <w:tcPr>
            <w:tcW w:w="1852" w:type="dxa"/>
            <w:vAlign w:val="center"/>
          </w:tcPr>
          <w:p w14:paraId="2DFF5534" w14:textId="76453167" w:rsidR="00F971D8" w:rsidRPr="0011095F" w:rsidRDefault="003C7FB2" w:rsidP="00D9387F">
            <w:pPr>
              <w:rPr>
                <w:sz w:val="18"/>
                <w:szCs w:val="18"/>
              </w:rPr>
            </w:pPr>
            <w:r>
              <w:rPr>
                <w:color w:val="000000"/>
                <w:sz w:val="18"/>
                <w:szCs w:val="18"/>
              </w:rPr>
              <w:t xml:space="preserve"> </w:t>
            </w:r>
          </w:p>
        </w:tc>
        <w:tc>
          <w:tcPr>
            <w:tcW w:w="1852" w:type="dxa"/>
            <w:vAlign w:val="center"/>
          </w:tcPr>
          <w:p w14:paraId="377464C3" w14:textId="2A76D3E9" w:rsidR="00F971D8" w:rsidRPr="0011095F" w:rsidRDefault="003C7FB2" w:rsidP="00D9387F">
            <w:pPr>
              <w:rPr>
                <w:sz w:val="18"/>
                <w:szCs w:val="18"/>
              </w:rPr>
            </w:pPr>
            <w:r>
              <w:rPr>
                <w:color w:val="000000"/>
                <w:sz w:val="18"/>
                <w:szCs w:val="18"/>
              </w:rPr>
              <w:t xml:space="preserve"> </w:t>
            </w:r>
          </w:p>
        </w:tc>
        <w:tc>
          <w:tcPr>
            <w:tcW w:w="1852" w:type="dxa"/>
            <w:vAlign w:val="center"/>
          </w:tcPr>
          <w:p w14:paraId="074A6183" w14:textId="0F2BB6AA" w:rsidR="00F971D8" w:rsidRPr="0011095F" w:rsidRDefault="003C7FB2" w:rsidP="00D9387F">
            <w:pPr>
              <w:rPr>
                <w:sz w:val="18"/>
                <w:szCs w:val="18"/>
              </w:rPr>
            </w:pPr>
            <w:r>
              <w:rPr>
                <w:color w:val="000000"/>
                <w:sz w:val="18"/>
                <w:szCs w:val="18"/>
              </w:rPr>
              <w:t xml:space="preserve"> </w:t>
            </w:r>
          </w:p>
        </w:tc>
        <w:tc>
          <w:tcPr>
            <w:tcW w:w="1933" w:type="dxa"/>
          </w:tcPr>
          <w:p w14:paraId="4B8B9BCE" w14:textId="77777777" w:rsidR="00F971D8" w:rsidRPr="0011095F" w:rsidRDefault="00F971D8" w:rsidP="00D9387F">
            <w:pPr>
              <w:rPr>
                <w:color w:val="000000"/>
                <w:sz w:val="18"/>
                <w:szCs w:val="18"/>
              </w:rPr>
            </w:pPr>
          </w:p>
        </w:tc>
      </w:tr>
      <w:tr w:rsidR="00F971D8" w14:paraId="66018113" w14:textId="77777777" w:rsidTr="00D9387F">
        <w:tc>
          <w:tcPr>
            <w:tcW w:w="1862" w:type="dxa"/>
            <w:vAlign w:val="center"/>
          </w:tcPr>
          <w:p w14:paraId="00B18F03" w14:textId="68DE4A0E" w:rsidR="00F971D8" w:rsidRPr="00A10601" w:rsidRDefault="00F971D8" w:rsidP="00D9387F">
            <w:pPr>
              <w:rPr>
                <w:sz w:val="16"/>
                <w:szCs w:val="16"/>
              </w:rPr>
            </w:pPr>
            <w:r w:rsidRPr="00F71324">
              <w:rPr>
                <w:color w:val="000000"/>
                <w:sz w:val="18"/>
                <w:szCs w:val="18"/>
              </w:rPr>
              <w:t>Car</w:t>
            </w:r>
            <w:r w:rsidR="003C7FB2">
              <w:rPr>
                <w:color w:val="000000"/>
                <w:sz w:val="18"/>
                <w:szCs w:val="18"/>
              </w:rPr>
              <w:t xml:space="preserve"> </w:t>
            </w:r>
            <w:r w:rsidRPr="00F71324">
              <w:rPr>
                <w:color w:val="000000"/>
                <w:sz w:val="18"/>
                <w:szCs w:val="18"/>
              </w:rPr>
              <w:t>only</w:t>
            </w:r>
            <w:r w:rsidR="003C7FB2">
              <w:rPr>
                <w:color w:val="000000"/>
                <w:sz w:val="18"/>
                <w:szCs w:val="18"/>
              </w:rPr>
              <w:t xml:space="preserve"> </w:t>
            </w:r>
            <w:r w:rsidRPr="00F71324">
              <w:rPr>
                <w:color w:val="000000"/>
                <w:sz w:val="18"/>
                <w:szCs w:val="18"/>
              </w:rPr>
              <w:t>(reference)</w:t>
            </w:r>
          </w:p>
        </w:tc>
        <w:tc>
          <w:tcPr>
            <w:tcW w:w="1852" w:type="dxa"/>
            <w:vAlign w:val="center"/>
          </w:tcPr>
          <w:p w14:paraId="36C8184B" w14:textId="553AC5A6" w:rsidR="00F971D8" w:rsidRPr="0011095F" w:rsidRDefault="003C7FB2" w:rsidP="00D9387F">
            <w:pPr>
              <w:rPr>
                <w:sz w:val="18"/>
                <w:szCs w:val="18"/>
              </w:rPr>
            </w:pPr>
            <w:r>
              <w:rPr>
                <w:bCs/>
                <w:color w:val="000000"/>
                <w:sz w:val="18"/>
                <w:szCs w:val="18"/>
              </w:rPr>
              <w:t xml:space="preserve"> </w:t>
            </w:r>
          </w:p>
        </w:tc>
        <w:tc>
          <w:tcPr>
            <w:tcW w:w="1852" w:type="dxa"/>
            <w:vAlign w:val="center"/>
          </w:tcPr>
          <w:p w14:paraId="3558C38C" w14:textId="5EFACDF1" w:rsidR="00F971D8" w:rsidRPr="0011095F" w:rsidRDefault="003C7FB2" w:rsidP="00D9387F">
            <w:pPr>
              <w:rPr>
                <w:sz w:val="18"/>
                <w:szCs w:val="18"/>
              </w:rPr>
            </w:pPr>
            <w:r>
              <w:rPr>
                <w:bCs/>
                <w:color w:val="000000"/>
                <w:sz w:val="18"/>
                <w:szCs w:val="18"/>
              </w:rPr>
              <w:t xml:space="preserve"> </w:t>
            </w:r>
          </w:p>
        </w:tc>
        <w:tc>
          <w:tcPr>
            <w:tcW w:w="1852" w:type="dxa"/>
            <w:vAlign w:val="center"/>
          </w:tcPr>
          <w:p w14:paraId="2952B00C" w14:textId="737F73B5" w:rsidR="00F971D8" w:rsidRPr="0011095F" w:rsidRDefault="003C7FB2" w:rsidP="00D9387F">
            <w:pPr>
              <w:rPr>
                <w:sz w:val="18"/>
                <w:szCs w:val="18"/>
              </w:rPr>
            </w:pPr>
            <w:r>
              <w:rPr>
                <w:bCs/>
                <w:color w:val="000000"/>
                <w:sz w:val="18"/>
                <w:szCs w:val="18"/>
              </w:rPr>
              <w:t xml:space="preserve"> </w:t>
            </w:r>
          </w:p>
        </w:tc>
        <w:tc>
          <w:tcPr>
            <w:tcW w:w="1933" w:type="dxa"/>
          </w:tcPr>
          <w:p w14:paraId="64387C32" w14:textId="77777777" w:rsidR="00F971D8" w:rsidRPr="0011095F" w:rsidRDefault="00F971D8" w:rsidP="00D9387F">
            <w:pPr>
              <w:rPr>
                <w:bCs/>
                <w:color w:val="000000"/>
                <w:sz w:val="18"/>
                <w:szCs w:val="18"/>
              </w:rPr>
            </w:pPr>
          </w:p>
        </w:tc>
      </w:tr>
      <w:tr w:rsidR="00F971D8" w14:paraId="0F2ED847" w14:textId="77777777" w:rsidTr="00D9387F">
        <w:tc>
          <w:tcPr>
            <w:tcW w:w="1862" w:type="dxa"/>
            <w:vAlign w:val="center"/>
          </w:tcPr>
          <w:p w14:paraId="62C199DB" w14:textId="008AFFDD" w:rsidR="00F971D8" w:rsidRPr="00A10601" w:rsidRDefault="00F971D8" w:rsidP="00D9387F">
            <w:pPr>
              <w:rPr>
                <w:sz w:val="16"/>
                <w:szCs w:val="16"/>
              </w:rPr>
            </w:pPr>
            <w:r w:rsidRPr="00F71324">
              <w:rPr>
                <w:color w:val="000000"/>
                <w:sz w:val="18"/>
                <w:szCs w:val="18"/>
              </w:rPr>
              <w:t>Public</w:t>
            </w:r>
            <w:r w:rsidR="003C7FB2">
              <w:rPr>
                <w:color w:val="000000"/>
                <w:sz w:val="18"/>
                <w:szCs w:val="18"/>
              </w:rPr>
              <w:t xml:space="preserve"> </w:t>
            </w:r>
            <w:r>
              <w:rPr>
                <w:color w:val="000000"/>
                <w:sz w:val="18"/>
                <w:szCs w:val="18"/>
              </w:rPr>
              <w:t>t</w:t>
            </w:r>
            <w:r w:rsidRPr="00F71324">
              <w:rPr>
                <w:color w:val="000000"/>
                <w:sz w:val="18"/>
                <w:szCs w:val="18"/>
              </w:rPr>
              <w:t>ransport</w:t>
            </w:r>
          </w:p>
        </w:tc>
        <w:tc>
          <w:tcPr>
            <w:tcW w:w="1852" w:type="dxa"/>
            <w:vAlign w:val="bottom"/>
          </w:tcPr>
          <w:p w14:paraId="38384C3D" w14:textId="771435C5" w:rsidR="00F971D8" w:rsidRPr="0011095F" w:rsidRDefault="00F971D8" w:rsidP="00D9387F">
            <w:pPr>
              <w:rPr>
                <w:sz w:val="18"/>
                <w:szCs w:val="18"/>
              </w:rPr>
            </w:pPr>
            <w:r w:rsidRPr="0011095F">
              <w:rPr>
                <w:color w:val="000000"/>
                <w:sz w:val="18"/>
                <w:szCs w:val="18"/>
              </w:rPr>
              <w:t>-2.90</w:t>
            </w:r>
            <w:r w:rsidR="003C7FB2">
              <w:rPr>
                <w:color w:val="000000"/>
                <w:sz w:val="18"/>
                <w:szCs w:val="18"/>
              </w:rPr>
              <w:t xml:space="preserve"> </w:t>
            </w:r>
            <w:r>
              <w:rPr>
                <w:color w:val="000000"/>
                <w:sz w:val="18"/>
                <w:szCs w:val="18"/>
              </w:rPr>
              <w:t>(</w:t>
            </w:r>
            <w:r w:rsidRPr="0011095F">
              <w:rPr>
                <w:color w:val="000000"/>
                <w:sz w:val="18"/>
                <w:szCs w:val="18"/>
              </w:rPr>
              <w:t>-4.74,</w:t>
            </w:r>
            <w:r w:rsidR="003C7FB2">
              <w:rPr>
                <w:color w:val="000000"/>
                <w:sz w:val="18"/>
                <w:szCs w:val="18"/>
              </w:rPr>
              <w:t xml:space="preserve"> </w:t>
            </w:r>
            <w:r w:rsidRPr="0011095F">
              <w:rPr>
                <w:color w:val="000000"/>
                <w:sz w:val="18"/>
                <w:szCs w:val="18"/>
              </w:rPr>
              <w:t>-1.06</w:t>
            </w:r>
            <w:r>
              <w:rPr>
                <w:color w:val="000000"/>
                <w:sz w:val="18"/>
                <w:szCs w:val="18"/>
              </w:rPr>
              <w:t>)</w:t>
            </w:r>
          </w:p>
        </w:tc>
        <w:tc>
          <w:tcPr>
            <w:tcW w:w="1852" w:type="dxa"/>
            <w:vAlign w:val="bottom"/>
          </w:tcPr>
          <w:p w14:paraId="62D1864B" w14:textId="5D5FCC76" w:rsidR="00F971D8" w:rsidRPr="0011095F" w:rsidRDefault="00F971D8" w:rsidP="00D9387F">
            <w:pPr>
              <w:rPr>
                <w:sz w:val="18"/>
                <w:szCs w:val="18"/>
              </w:rPr>
            </w:pPr>
            <w:r w:rsidRPr="0011095F">
              <w:rPr>
                <w:color w:val="000000"/>
                <w:sz w:val="18"/>
                <w:szCs w:val="18"/>
              </w:rPr>
              <w:t>-1.91</w:t>
            </w:r>
            <w:r w:rsidR="003C7FB2">
              <w:rPr>
                <w:color w:val="000000"/>
                <w:sz w:val="18"/>
                <w:szCs w:val="18"/>
              </w:rPr>
              <w:t xml:space="preserve"> </w:t>
            </w:r>
            <w:r>
              <w:rPr>
                <w:color w:val="000000"/>
                <w:sz w:val="18"/>
                <w:szCs w:val="18"/>
              </w:rPr>
              <w:t>(</w:t>
            </w:r>
            <w:r w:rsidRPr="0011095F">
              <w:rPr>
                <w:color w:val="000000"/>
                <w:sz w:val="18"/>
                <w:szCs w:val="18"/>
              </w:rPr>
              <w:t>-3.66</w:t>
            </w:r>
            <w:r>
              <w:rPr>
                <w:color w:val="000000"/>
                <w:sz w:val="18"/>
                <w:szCs w:val="18"/>
              </w:rPr>
              <w:t>,</w:t>
            </w:r>
            <w:r w:rsidR="003C7FB2">
              <w:rPr>
                <w:color w:val="000000"/>
                <w:sz w:val="18"/>
                <w:szCs w:val="18"/>
              </w:rPr>
              <w:t xml:space="preserve"> </w:t>
            </w:r>
            <w:r w:rsidRPr="0011095F">
              <w:rPr>
                <w:color w:val="000000"/>
                <w:sz w:val="18"/>
                <w:szCs w:val="18"/>
              </w:rPr>
              <w:t>-0.16</w:t>
            </w:r>
            <w:r>
              <w:rPr>
                <w:color w:val="000000"/>
                <w:sz w:val="18"/>
                <w:szCs w:val="18"/>
              </w:rPr>
              <w:t>)</w:t>
            </w:r>
          </w:p>
        </w:tc>
        <w:tc>
          <w:tcPr>
            <w:tcW w:w="1852" w:type="dxa"/>
            <w:vAlign w:val="bottom"/>
          </w:tcPr>
          <w:p w14:paraId="1B19C5B0" w14:textId="06887BB9" w:rsidR="00F971D8" w:rsidRPr="0011095F" w:rsidRDefault="00F971D8" w:rsidP="00D9387F">
            <w:pPr>
              <w:rPr>
                <w:sz w:val="18"/>
                <w:szCs w:val="18"/>
              </w:rPr>
            </w:pPr>
            <w:r w:rsidRPr="0011095F">
              <w:rPr>
                <w:color w:val="000000"/>
                <w:sz w:val="18"/>
                <w:szCs w:val="18"/>
              </w:rPr>
              <w:t>-1.6</w:t>
            </w:r>
            <w:r>
              <w:rPr>
                <w:color w:val="000000"/>
                <w:sz w:val="18"/>
                <w:szCs w:val="18"/>
              </w:rPr>
              <w:t>0</w:t>
            </w:r>
            <w:r w:rsidR="003C7FB2">
              <w:rPr>
                <w:color w:val="000000"/>
                <w:sz w:val="18"/>
                <w:szCs w:val="18"/>
              </w:rPr>
              <w:t xml:space="preserve"> </w:t>
            </w:r>
            <w:r>
              <w:rPr>
                <w:color w:val="000000"/>
                <w:sz w:val="18"/>
                <w:szCs w:val="18"/>
              </w:rPr>
              <w:t>(</w:t>
            </w:r>
            <w:r w:rsidRPr="0011095F">
              <w:rPr>
                <w:color w:val="000000"/>
                <w:sz w:val="18"/>
                <w:szCs w:val="18"/>
              </w:rPr>
              <w:t>-3.48</w:t>
            </w:r>
            <w:r>
              <w:rPr>
                <w:color w:val="000000"/>
                <w:sz w:val="18"/>
                <w:szCs w:val="18"/>
              </w:rPr>
              <w:t>,</w:t>
            </w:r>
            <w:r w:rsidR="003C7FB2">
              <w:rPr>
                <w:color w:val="000000"/>
                <w:sz w:val="18"/>
                <w:szCs w:val="18"/>
              </w:rPr>
              <w:t xml:space="preserve"> </w:t>
            </w:r>
            <w:r w:rsidRPr="0011095F">
              <w:rPr>
                <w:color w:val="000000"/>
                <w:sz w:val="18"/>
                <w:szCs w:val="18"/>
              </w:rPr>
              <w:t>0.27</w:t>
            </w:r>
            <w:r>
              <w:rPr>
                <w:color w:val="000000"/>
                <w:sz w:val="18"/>
                <w:szCs w:val="18"/>
              </w:rPr>
              <w:t>)</w:t>
            </w:r>
          </w:p>
        </w:tc>
        <w:tc>
          <w:tcPr>
            <w:tcW w:w="1933" w:type="dxa"/>
            <w:vAlign w:val="bottom"/>
          </w:tcPr>
          <w:p w14:paraId="46C1ADA1" w14:textId="3F33BB7C" w:rsidR="00F971D8" w:rsidRPr="0011095F" w:rsidRDefault="00F971D8" w:rsidP="00D9387F">
            <w:pPr>
              <w:rPr>
                <w:color w:val="000000"/>
                <w:sz w:val="18"/>
                <w:szCs w:val="18"/>
              </w:rPr>
            </w:pPr>
            <w:r w:rsidRPr="0011095F">
              <w:rPr>
                <w:color w:val="000000"/>
                <w:sz w:val="18"/>
                <w:szCs w:val="18"/>
              </w:rPr>
              <w:t>-1.71</w:t>
            </w:r>
            <w:r w:rsidR="003C7FB2">
              <w:rPr>
                <w:color w:val="000000"/>
                <w:sz w:val="18"/>
                <w:szCs w:val="18"/>
              </w:rPr>
              <w:t xml:space="preserve"> </w:t>
            </w:r>
            <w:r>
              <w:rPr>
                <w:color w:val="000000"/>
                <w:sz w:val="18"/>
                <w:szCs w:val="18"/>
              </w:rPr>
              <w:t>(</w:t>
            </w:r>
            <w:r w:rsidRPr="0011095F">
              <w:rPr>
                <w:color w:val="000000"/>
                <w:sz w:val="18"/>
                <w:szCs w:val="18"/>
              </w:rPr>
              <w:t>-3.39</w:t>
            </w:r>
            <w:r>
              <w:rPr>
                <w:color w:val="000000"/>
                <w:sz w:val="18"/>
                <w:szCs w:val="18"/>
              </w:rPr>
              <w:t>,</w:t>
            </w:r>
            <w:r w:rsidR="003C7FB2">
              <w:rPr>
                <w:color w:val="000000"/>
                <w:sz w:val="18"/>
                <w:szCs w:val="18"/>
              </w:rPr>
              <w:t xml:space="preserve"> </w:t>
            </w:r>
            <w:r w:rsidRPr="0011095F">
              <w:rPr>
                <w:color w:val="000000"/>
                <w:sz w:val="18"/>
                <w:szCs w:val="18"/>
              </w:rPr>
              <w:t>-0.03</w:t>
            </w:r>
            <w:r>
              <w:rPr>
                <w:color w:val="000000"/>
                <w:sz w:val="18"/>
                <w:szCs w:val="18"/>
              </w:rPr>
              <w:t>)</w:t>
            </w:r>
          </w:p>
        </w:tc>
      </w:tr>
      <w:tr w:rsidR="00F971D8" w14:paraId="291775A5" w14:textId="77777777" w:rsidTr="00D9387F">
        <w:tc>
          <w:tcPr>
            <w:tcW w:w="1862" w:type="dxa"/>
            <w:vAlign w:val="center"/>
          </w:tcPr>
          <w:p w14:paraId="132BC6A8" w14:textId="426067A7" w:rsidR="00F971D8" w:rsidRPr="00A10601" w:rsidRDefault="00F971D8" w:rsidP="00D9387F">
            <w:pPr>
              <w:rPr>
                <w:sz w:val="16"/>
                <w:szCs w:val="16"/>
              </w:rPr>
            </w:pPr>
            <w:r w:rsidRPr="00F71324">
              <w:rPr>
                <w:sz w:val="18"/>
                <w:szCs w:val="18"/>
              </w:rPr>
              <w:t>Car</w:t>
            </w:r>
            <w:r w:rsidR="003C7FB2">
              <w:rPr>
                <w:sz w:val="18"/>
                <w:szCs w:val="18"/>
              </w:rPr>
              <w:t xml:space="preserve"> </w:t>
            </w:r>
            <w:r w:rsidRPr="00F71324">
              <w:rPr>
                <w:sz w:val="18"/>
                <w:szCs w:val="18"/>
              </w:rPr>
              <w:t>with</w:t>
            </w:r>
            <w:r w:rsidR="003C7FB2">
              <w:rPr>
                <w:sz w:val="18"/>
                <w:szCs w:val="18"/>
              </w:rPr>
              <w:t xml:space="preserve"> </w:t>
            </w:r>
            <w:r w:rsidRPr="00F71324">
              <w:rPr>
                <w:sz w:val="18"/>
                <w:szCs w:val="18"/>
              </w:rPr>
              <w:t>active</w:t>
            </w:r>
            <w:r w:rsidR="003C7FB2">
              <w:rPr>
                <w:sz w:val="18"/>
                <w:szCs w:val="18"/>
              </w:rPr>
              <w:t xml:space="preserve"> </w:t>
            </w:r>
            <w:r w:rsidRPr="00F71324">
              <w:rPr>
                <w:sz w:val="18"/>
                <w:szCs w:val="18"/>
              </w:rPr>
              <w:t>travel</w:t>
            </w:r>
          </w:p>
        </w:tc>
        <w:tc>
          <w:tcPr>
            <w:tcW w:w="1852" w:type="dxa"/>
            <w:vAlign w:val="bottom"/>
          </w:tcPr>
          <w:p w14:paraId="1170CA9D" w14:textId="3EAC5E1C" w:rsidR="00F971D8" w:rsidRPr="0011095F" w:rsidRDefault="00F971D8" w:rsidP="00D9387F">
            <w:pPr>
              <w:rPr>
                <w:sz w:val="18"/>
                <w:szCs w:val="18"/>
              </w:rPr>
            </w:pPr>
            <w:r w:rsidRPr="0011095F">
              <w:rPr>
                <w:color w:val="000000"/>
                <w:sz w:val="18"/>
                <w:szCs w:val="18"/>
              </w:rPr>
              <w:t>-3.04</w:t>
            </w:r>
            <w:r w:rsidR="003C7FB2">
              <w:rPr>
                <w:color w:val="000000"/>
                <w:sz w:val="18"/>
                <w:szCs w:val="18"/>
              </w:rPr>
              <w:t xml:space="preserve"> </w:t>
            </w:r>
            <w:r>
              <w:rPr>
                <w:color w:val="000000"/>
                <w:sz w:val="18"/>
                <w:szCs w:val="18"/>
              </w:rPr>
              <w:t>(</w:t>
            </w:r>
            <w:r w:rsidRPr="0011095F">
              <w:rPr>
                <w:color w:val="000000"/>
                <w:sz w:val="18"/>
                <w:szCs w:val="18"/>
              </w:rPr>
              <w:t>-4.88,</w:t>
            </w:r>
            <w:r w:rsidR="003C7FB2">
              <w:rPr>
                <w:color w:val="000000"/>
                <w:sz w:val="18"/>
                <w:szCs w:val="18"/>
              </w:rPr>
              <w:t xml:space="preserve"> </w:t>
            </w:r>
            <w:r w:rsidRPr="0011095F">
              <w:rPr>
                <w:color w:val="000000"/>
                <w:sz w:val="18"/>
                <w:szCs w:val="18"/>
              </w:rPr>
              <w:t>-1.21</w:t>
            </w:r>
            <w:r>
              <w:rPr>
                <w:color w:val="000000"/>
                <w:sz w:val="18"/>
                <w:szCs w:val="18"/>
              </w:rPr>
              <w:t>)</w:t>
            </w:r>
          </w:p>
        </w:tc>
        <w:tc>
          <w:tcPr>
            <w:tcW w:w="1852" w:type="dxa"/>
            <w:vAlign w:val="bottom"/>
          </w:tcPr>
          <w:p w14:paraId="2F19A9A0" w14:textId="75A33EBF" w:rsidR="00F971D8" w:rsidRPr="0011095F" w:rsidRDefault="00F971D8" w:rsidP="00D9387F">
            <w:pPr>
              <w:rPr>
                <w:sz w:val="18"/>
                <w:szCs w:val="18"/>
              </w:rPr>
            </w:pPr>
            <w:r w:rsidRPr="0011095F">
              <w:rPr>
                <w:color w:val="000000"/>
                <w:sz w:val="18"/>
                <w:szCs w:val="18"/>
              </w:rPr>
              <w:t>-2.04</w:t>
            </w:r>
            <w:r w:rsidR="003C7FB2">
              <w:rPr>
                <w:color w:val="000000"/>
                <w:sz w:val="18"/>
                <w:szCs w:val="18"/>
              </w:rPr>
              <w:t xml:space="preserve"> </w:t>
            </w:r>
            <w:r>
              <w:rPr>
                <w:color w:val="000000"/>
                <w:sz w:val="18"/>
                <w:szCs w:val="18"/>
              </w:rPr>
              <w:t>(</w:t>
            </w:r>
            <w:r w:rsidRPr="0011095F">
              <w:rPr>
                <w:color w:val="000000"/>
                <w:sz w:val="18"/>
                <w:szCs w:val="18"/>
              </w:rPr>
              <w:t>-3.78</w:t>
            </w:r>
            <w:r>
              <w:rPr>
                <w:color w:val="000000"/>
                <w:sz w:val="18"/>
                <w:szCs w:val="18"/>
              </w:rPr>
              <w:t>,</w:t>
            </w:r>
            <w:r w:rsidR="003C7FB2">
              <w:rPr>
                <w:color w:val="000000"/>
                <w:sz w:val="18"/>
                <w:szCs w:val="18"/>
              </w:rPr>
              <w:t xml:space="preserve"> </w:t>
            </w:r>
            <w:r w:rsidRPr="0011095F">
              <w:rPr>
                <w:color w:val="000000"/>
                <w:sz w:val="18"/>
                <w:szCs w:val="18"/>
              </w:rPr>
              <w:t>-0.29</w:t>
            </w:r>
            <w:r>
              <w:rPr>
                <w:color w:val="000000"/>
                <w:sz w:val="18"/>
                <w:szCs w:val="18"/>
              </w:rPr>
              <w:t>)</w:t>
            </w:r>
          </w:p>
        </w:tc>
        <w:tc>
          <w:tcPr>
            <w:tcW w:w="1852" w:type="dxa"/>
            <w:vAlign w:val="bottom"/>
          </w:tcPr>
          <w:p w14:paraId="068D28A2" w14:textId="5F698FF8" w:rsidR="00F971D8" w:rsidRPr="0011095F" w:rsidRDefault="00F971D8" w:rsidP="00D9387F">
            <w:pPr>
              <w:rPr>
                <w:sz w:val="18"/>
                <w:szCs w:val="18"/>
              </w:rPr>
            </w:pPr>
            <w:r w:rsidRPr="0011095F">
              <w:rPr>
                <w:color w:val="000000"/>
                <w:sz w:val="18"/>
                <w:szCs w:val="18"/>
              </w:rPr>
              <w:t>-1.7</w:t>
            </w:r>
            <w:r>
              <w:rPr>
                <w:color w:val="000000"/>
                <w:sz w:val="18"/>
                <w:szCs w:val="18"/>
              </w:rPr>
              <w:t>0</w:t>
            </w:r>
            <w:r w:rsidR="003C7FB2">
              <w:rPr>
                <w:color w:val="000000"/>
                <w:sz w:val="18"/>
                <w:szCs w:val="18"/>
              </w:rPr>
              <w:t xml:space="preserve"> </w:t>
            </w:r>
            <w:r>
              <w:rPr>
                <w:color w:val="000000"/>
                <w:sz w:val="18"/>
                <w:szCs w:val="18"/>
              </w:rPr>
              <w:t>(</w:t>
            </w:r>
            <w:r w:rsidRPr="0011095F">
              <w:rPr>
                <w:color w:val="000000"/>
                <w:sz w:val="18"/>
                <w:szCs w:val="18"/>
              </w:rPr>
              <w:t>-3.44</w:t>
            </w:r>
            <w:r>
              <w:rPr>
                <w:color w:val="000000"/>
                <w:sz w:val="18"/>
                <w:szCs w:val="18"/>
              </w:rPr>
              <w:t>,</w:t>
            </w:r>
            <w:r w:rsidR="003C7FB2">
              <w:rPr>
                <w:color w:val="000000"/>
                <w:sz w:val="18"/>
                <w:szCs w:val="18"/>
              </w:rPr>
              <w:t xml:space="preserve"> </w:t>
            </w:r>
            <w:r w:rsidRPr="0011095F">
              <w:rPr>
                <w:color w:val="000000"/>
                <w:sz w:val="18"/>
                <w:szCs w:val="18"/>
              </w:rPr>
              <w:t>0.05</w:t>
            </w:r>
            <w:r>
              <w:rPr>
                <w:color w:val="000000"/>
                <w:sz w:val="18"/>
                <w:szCs w:val="18"/>
              </w:rPr>
              <w:t>)</w:t>
            </w:r>
          </w:p>
        </w:tc>
        <w:tc>
          <w:tcPr>
            <w:tcW w:w="1933" w:type="dxa"/>
            <w:vAlign w:val="bottom"/>
          </w:tcPr>
          <w:p w14:paraId="705C8998" w14:textId="12AB18C8" w:rsidR="00F971D8" w:rsidRPr="0011095F" w:rsidRDefault="00F971D8" w:rsidP="00D9387F">
            <w:pPr>
              <w:rPr>
                <w:color w:val="000000"/>
                <w:sz w:val="18"/>
                <w:szCs w:val="18"/>
              </w:rPr>
            </w:pPr>
            <w:r w:rsidRPr="0011095F">
              <w:rPr>
                <w:color w:val="000000"/>
                <w:sz w:val="18"/>
                <w:szCs w:val="18"/>
              </w:rPr>
              <w:t>-1.73</w:t>
            </w:r>
            <w:r w:rsidR="003C7FB2">
              <w:rPr>
                <w:color w:val="000000"/>
                <w:sz w:val="18"/>
                <w:szCs w:val="18"/>
              </w:rPr>
              <w:t xml:space="preserve"> </w:t>
            </w:r>
            <w:r>
              <w:rPr>
                <w:color w:val="000000"/>
                <w:sz w:val="18"/>
                <w:szCs w:val="18"/>
              </w:rPr>
              <w:t>(</w:t>
            </w:r>
            <w:r w:rsidRPr="0011095F">
              <w:rPr>
                <w:color w:val="000000"/>
                <w:sz w:val="18"/>
                <w:szCs w:val="18"/>
              </w:rPr>
              <w:t>-3.40</w:t>
            </w:r>
            <w:r>
              <w:rPr>
                <w:color w:val="000000"/>
                <w:sz w:val="18"/>
                <w:szCs w:val="18"/>
              </w:rPr>
              <w:t>,</w:t>
            </w:r>
            <w:r w:rsidR="003C7FB2">
              <w:rPr>
                <w:color w:val="000000"/>
                <w:sz w:val="18"/>
                <w:szCs w:val="18"/>
              </w:rPr>
              <w:t xml:space="preserve"> </w:t>
            </w:r>
            <w:r w:rsidRPr="0011095F">
              <w:rPr>
                <w:color w:val="000000"/>
                <w:sz w:val="18"/>
                <w:szCs w:val="18"/>
              </w:rPr>
              <w:t>-0.06</w:t>
            </w:r>
            <w:r>
              <w:rPr>
                <w:color w:val="000000"/>
                <w:sz w:val="18"/>
                <w:szCs w:val="18"/>
              </w:rPr>
              <w:t>)</w:t>
            </w:r>
          </w:p>
        </w:tc>
      </w:tr>
      <w:tr w:rsidR="00F971D8" w14:paraId="751592BE" w14:textId="77777777" w:rsidTr="00D9387F">
        <w:tc>
          <w:tcPr>
            <w:tcW w:w="1862" w:type="dxa"/>
            <w:vAlign w:val="center"/>
          </w:tcPr>
          <w:p w14:paraId="0409044D" w14:textId="1B55CAD1" w:rsidR="00F971D8" w:rsidRPr="00A10601" w:rsidRDefault="00F971D8" w:rsidP="00D9387F">
            <w:pPr>
              <w:rPr>
                <w:sz w:val="16"/>
                <w:szCs w:val="16"/>
              </w:rPr>
            </w:pPr>
            <w:r>
              <w:rPr>
                <w:b/>
                <w:bCs/>
                <w:color w:val="000000"/>
                <w:sz w:val="16"/>
                <w:szCs w:val="16"/>
              </w:rPr>
              <w:t>Men</w:t>
            </w:r>
            <w:r w:rsidR="003C7FB2">
              <w:rPr>
                <w:b/>
                <w:bCs/>
                <w:color w:val="000000"/>
                <w:sz w:val="16"/>
                <w:szCs w:val="16"/>
              </w:rPr>
              <w:t xml:space="preserve"> </w:t>
            </w:r>
            <w:r>
              <w:rPr>
                <w:b/>
                <w:bCs/>
                <w:color w:val="000000"/>
                <w:sz w:val="16"/>
                <w:szCs w:val="16"/>
              </w:rPr>
              <w:t>(n=2458</w:t>
            </w:r>
            <w:r w:rsidRPr="00A10601">
              <w:rPr>
                <w:b/>
                <w:bCs/>
                <w:color w:val="000000"/>
                <w:sz w:val="16"/>
                <w:szCs w:val="16"/>
              </w:rPr>
              <w:t>)</w:t>
            </w:r>
          </w:p>
        </w:tc>
        <w:tc>
          <w:tcPr>
            <w:tcW w:w="1852" w:type="dxa"/>
            <w:vAlign w:val="bottom"/>
          </w:tcPr>
          <w:p w14:paraId="68F6AAC7" w14:textId="77777777" w:rsidR="00F971D8" w:rsidRPr="0011095F" w:rsidRDefault="00F971D8" w:rsidP="00D9387F">
            <w:pPr>
              <w:rPr>
                <w:sz w:val="18"/>
                <w:szCs w:val="18"/>
              </w:rPr>
            </w:pPr>
          </w:p>
        </w:tc>
        <w:tc>
          <w:tcPr>
            <w:tcW w:w="1852" w:type="dxa"/>
            <w:vAlign w:val="bottom"/>
          </w:tcPr>
          <w:p w14:paraId="5A0285F5" w14:textId="77777777" w:rsidR="00F971D8" w:rsidRPr="0011095F" w:rsidRDefault="00F971D8" w:rsidP="00D9387F">
            <w:pPr>
              <w:rPr>
                <w:sz w:val="18"/>
                <w:szCs w:val="18"/>
              </w:rPr>
            </w:pPr>
          </w:p>
        </w:tc>
        <w:tc>
          <w:tcPr>
            <w:tcW w:w="1852" w:type="dxa"/>
            <w:vAlign w:val="bottom"/>
          </w:tcPr>
          <w:p w14:paraId="2DD9F6E6" w14:textId="77777777" w:rsidR="00F971D8" w:rsidRPr="0011095F" w:rsidRDefault="00F971D8" w:rsidP="00D9387F">
            <w:pPr>
              <w:rPr>
                <w:sz w:val="18"/>
                <w:szCs w:val="18"/>
              </w:rPr>
            </w:pPr>
          </w:p>
        </w:tc>
        <w:tc>
          <w:tcPr>
            <w:tcW w:w="1933" w:type="dxa"/>
          </w:tcPr>
          <w:p w14:paraId="1DE1A8CD" w14:textId="77777777" w:rsidR="00F971D8" w:rsidRPr="0011095F" w:rsidRDefault="00F971D8" w:rsidP="00D9387F">
            <w:pPr>
              <w:rPr>
                <w:sz w:val="18"/>
                <w:szCs w:val="18"/>
              </w:rPr>
            </w:pPr>
          </w:p>
        </w:tc>
      </w:tr>
      <w:tr w:rsidR="00F971D8" w14:paraId="0B5121D5" w14:textId="77777777" w:rsidTr="00D9387F">
        <w:tc>
          <w:tcPr>
            <w:tcW w:w="1862" w:type="dxa"/>
            <w:vAlign w:val="center"/>
          </w:tcPr>
          <w:p w14:paraId="57AB6DCC" w14:textId="427DBB07" w:rsidR="00F971D8" w:rsidRPr="00A10601" w:rsidRDefault="00F971D8" w:rsidP="00D9387F">
            <w:pPr>
              <w:rPr>
                <w:sz w:val="16"/>
                <w:szCs w:val="16"/>
              </w:rPr>
            </w:pPr>
            <w:r w:rsidRPr="00F71324">
              <w:rPr>
                <w:color w:val="000000"/>
                <w:sz w:val="18"/>
                <w:szCs w:val="18"/>
              </w:rPr>
              <w:t>Car</w:t>
            </w:r>
            <w:r w:rsidR="003C7FB2">
              <w:rPr>
                <w:color w:val="000000"/>
                <w:sz w:val="18"/>
                <w:szCs w:val="18"/>
              </w:rPr>
              <w:t xml:space="preserve"> </w:t>
            </w:r>
            <w:r w:rsidRPr="00F71324">
              <w:rPr>
                <w:color w:val="000000"/>
                <w:sz w:val="18"/>
                <w:szCs w:val="18"/>
              </w:rPr>
              <w:t>only</w:t>
            </w:r>
            <w:r w:rsidR="003C7FB2">
              <w:rPr>
                <w:color w:val="000000"/>
                <w:sz w:val="18"/>
                <w:szCs w:val="18"/>
              </w:rPr>
              <w:t xml:space="preserve"> </w:t>
            </w:r>
            <w:r w:rsidRPr="00F71324">
              <w:rPr>
                <w:color w:val="000000"/>
                <w:sz w:val="18"/>
                <w:szCs w:val="18"/>
              </w:rPr>
              <w:t>(reference)</w:t>
            </w:r>
          </w:p>
        </w:tc>
        <w:tc>
          <w:tcPr>
            <w:tcW w:w="1852" w:type="dxa"/>
            <w:vAlign w:val="bottom"/>
          </w:tcPr>
          <w:p w14:paraId="669FFECD" w14:textId="77777777" w:rsidR="00F971D8" w:rsidRPr="0011095F" w:rsidRDefault="00F971D8" w:rsidP="00D9387F">
            <w:pPr>
              <w:rPr>
                <w:color w:val="000000"/>
                <w:sz w:val="18"/>
                <w:szCs w:val="18"/>
              </w:rPr>
            </w:pPr>
          </w:p>
        </w:tc>
        <w:tc>
          <w:tcPr>
            <w:tcW w:w="1852" w:type="dxa"/>
            <w:vAlign w:val="bottom"/>
          </w:tcPr>
          <w:p w14:paraId="22FEFA8E" w14:textId="77777777" w:rsidR="00F971D8" w:rsidRPr="0011095F" w:rsidRDefault="00F971D8" w:rsidP="00D9387F">
            <w:pPr>
              <w:rPr>
                <w:color w:val="000000"/>
                <w:sz w:val="18"/>
                <w:szCs w:val="18"/>
              </w:rPr>
            </w:pPr>
          </w:p>
        </w:tc>
        <w:tc>
          <w:tcPr>
            <w:tcW w:w="1852" w:type="dxa"/>
            <w:vAlign w:val="bottom"/>
          </w:tcPr>
          <w:p w14:paraId="2ADEEBA2" w14:textId="77777777" w:rsidR="00F971D8" w:rsidRPr="0011095F" w:rsidRDefault="00F971D8" w:rsidP="00D9387F">
            <w:pPr>
              <w:rPr>
                <w:color w:val="000000"/>
                <w:sz w:val="18"/>
                <w:szCs w:val="18"/>
              </w:rPr>
            </w:pPr>
          </w:p>
        </w:tc>
        <w:tc>
          <w:tcPr>
            <w:tcW w:w="1933" w:type="dxa"/>
          </w:tcPr>
          <w:p w14:paraId="45027BB8" w14:textId="77777777" w:rsidR="00F971D8" w:rsidRPr="0011095F" w:rsidRDefault="00F971D8" w:rsidP="00D9387F">
            <w:pPr>
              <w:rPr>
                <w:color w:val="000000"/>
                <w:sz w:val="18"/>
                <w:szCs w:val="18"/>
              </w:rPr>
            </w:pPr>
          </w:p>
        </w:tc>
      </w:tr>
      <w:tr w:rsidR="00F971D8" w14:paraId="4C5A5A6B" w14:textId="77777777" w:rsidTr="00D9387F">
        <w:tc>
          <w:tcPr>
            <w:tcW w:w="1862" w:type="dxa"/>
            <w:vAlign w:val="center"/>
          </w:tcPr>
          <w:p w14:paraId="428B8FA4" w14:textId="0AD3D0A2" w:rsidR="00F971D8" w:rsidRPr="00A10601" w:rsidRDefault="00F971D8" w:rsidP="00D9387F">
            <w:pPr>
              <w:rPr>
                <w:sz w:val="16"/>
                <w:szCs w:val="16"/>
              </w:rPr>
            </w:pPr>
            <w:r w:rsidRPr="00F71324">
              <w:rPr>
                <w:color w:val="000000"/>
                <w:sz w:val="18"/>
                <w:szCs w:val="18"/>
              </w:rPr>
              <w:t>Public</w:t>
            </w:r>
            <w:r w:rsidR="003C7FB2">
              <w:rPr>
                <w:color w:val="000000"/>
                <w:sz w:val="18"/>
                <w:szCs w:val="18"/>
              </w:rPr>
              <w:t xml:space="preserve"> </w:t>
            </w:r>
            <w:r>
              <w:rPr>
                <w:color w:val="000000"/>
                <w:sz w:val="18"/>
                <w:szCs w:val="18"/>
              </w:rPr>
              <w:t>t</w:t>
            </w:r>
            <w:r w:rsidRPr="00F71324">
              <w:rPr>
                <w:color w:val="000000"/>
                <w:sz w:val="18"/>
                <w:szCs w:val="18"/>
              </w:rPr>
              <w:t>ransport</w:t>
            </w:r>
          </w:p>
        </w:tc>
        <w:tc>
          <w:tcPr>
            <w:tcW w:w="1852" w:type="dxa"/>
            <w:vAlign w:val="bottom"/>
          </w:tcPr>
          <w:p w14:paraId="7F12674F" w14:textId="48E259A4" w:rsidR="00F971D8" w:rsidRPr="0011095F" w:rsidRDefault="00F971D8" w:rsidP="00D9387F">
            <w:pPr>
              <w:rPr>
                <w:color w:val="000000"/>
                <w:sz w:val="18"/>
                <w:szCs w:val="18"/>
              </w:rPr>
            </w:pPr>
            <w:r w:rsidRPr="0011095F">
              <w:rPr>
                <w:color w:val="000000"/>
                <w:sz w:val="18"/>
                <w:szCs w:val="18"/>
              </w:rPr>
              <w:t>-1.65</w:t>
            </w:r>
            <w:r w:rsidR="003C7FB2">
              <w:rPr>
                <w:color w:val="000000"/>
                <w:sz w:val="18"/>
                <w:szCs w:val="18"/>
              </w:rPr>
              <w:t xml:space="preserve"> </w:t>
            </w:r>
            <w:r>
              <w:rPr>
                <w:color w:val="000000"/>
                <w:sz w:val="18"/>
                <w:szCs w:val="18"/>
              </w:rPr>
              <w:t>(</w:t>
            </w:r>
            <w:r w:rsidRPr="0011095F">
              <w:rPr>
                <w:color w:val="000000"/>
                <w:sz w:val="18"/>
                <w:szCs w:val="18"/>
              </w:rPr>
              <w:t>-3.16,</w:t>
            </w:r>
            <w:r w:rsidR="003C7FB2">
              <w:rPr>
                <w:color w:val="000000"/>
                <w:sz w:val="18"/>
                <w:szCs w:val="18"/>
              </w:rPr>
              <w:t xml:space="preserve"> </w:t>
            </w:r>
            <w:r w:rsidRPr="0011095F">
              <w:rPr>
                <w:color w:val="000000"/>
                <w:sz w:val="18"/>
                <w:szCs w:val="18"/>
              </w:rPr>
              <w:t>-0.15</w:t>
            </w:r>
            <w:r>
              <w:rPr>
                <w:color w:val="000000"/>
                <w:sz w:val="18"/>
                <w:szCs w:val="18"/>
              </w:rPr>
              <w:t>)</w:t>
            </w:r>
          </w:p>
        </w:tc>
        <w:tc>
          <w:tcPr>
            <w:tcW w:w="1852" w:type="dxa"/>
            <w:vAlign w:val="bottom"/>
          </w:tcPr>
          <w:p w14:paraId="00122EA6" w14:textId="1F7BB7F1" w:rsidR="00F971D8" w:rsidRPr="0011095F" w:rsidRDefault="00F971D8" w:rsidP="00D9387F">
            <w:pPr>
              <w:rPr>
                <w:color w:val="000000"/>
                <w:sz w:val="18"/>
                <w:szCs w:val="18"/>
              </w:rPr>
            </w:pPr>
            <w:r w:rsidRPr="0011095F">
              <w:rPr>
                <w:color w:val="000000"/>
                <w:sz w:val="18"/>
                <w:szCs w:val="18"/>
              </w:rPr>
              <w:t>0.42</w:t>
            </w:r>
            <w:r w:rsidR="003C7FB2">
              <w:rPr>
                <w:color w:val="000000"/>
                <w:sz w:val="18"/>
                <w:szCs w:val="18"/>
              </w:rPr>
              <w:t xml:space="preserve"> </w:t>
            </w:r>
            <w:r>
              <w:rPr>
                <w:color w:val="000000"/>
                <w:sz w:val="18"/>
                <w:szCs w:val="18"/>
              </w:rPr>
              <w:t>(</w:t>
            </w:r>
            <w:r w:rsidRPr="0011095F">
              <w:rPr>
                <w:color w:val="000000"/>
                <w:sz w:val="18"/>
                <w:szCs w:val="18"/>
              </w:rPr>
              <w:t>-1.04</w:t>
            </w:r>
            <w:r>
              <w:rPr>
                <w:color w:val="000000"/>
                <w:sz w:val="18"/>
                <w:szCs w:val="18"/>
              </w:rPr>
              <w:t>,</w:t>
            </w:r>
            <w:r w:rsidR="003C7FB2">
              <w:rPr>
                <w:color w:val="000000"/>
                <w:sz w:val="18"/>
                <w:szCs w:val="18"/>
              </w:rPr>
              <w:t xml:space="preserve"> </w:t>
            </w:r>
            <w:r w:rsidRPr="0011095F">
              <w:rPr>
                <w:color w:val="000000"/>
                <w:sz w:val="18"/>
                <w:szCs w:val="18"/>
              </w:rPr>
              <w:t>1.88</w:t>
            </w:r>
            <w:r>
              <w:rPr>
                <w:color w:val="000000"/>
                <w:sz w:val="18"/>
                <w:szCs w:val="18"/>
              </w:rPr>
              <w:t>)</w:t>
            </w:r>
          </w:p>
        </w:tc>
        <w:tc>
          <w:tcPr>
            <w:tcW w:w="1852" w:type="dxa"/>
            <w:vAlign w:val="bottom"/>
          </w:tcPr>
          <w:p w14:paraId="54944DFA" w14:textId="424053EE" w:rsidR="00F971D8" w:rsidRPr="0011095F" w:rsidRDefault="00F971D8" w:rsidP="00D9387F">
            <w:pPr>
              <w:rPr>
                <w:color w:val="000000"/>
                <w:sz w:val="18"/>
                <w:szCs w:val="18"/>
              </w:rPr>
            </w:pPr>
            <w:r w:rsidRPr="0011095F">
              <w:rPr>
                <w:color w:val="000000"/>
                <w:sz w:val="18"/>
                <w:szCs w:val="18"/>
              </w:rPr>
              <w:t>0.61</w:t>
            </w:r>
            <w:r w:rsidR="003C7FB2">
              <w:rPr>
                <w:color w:val="000000"/>
                <w:sz w:val="18"/>
                <w:szCs w:val="18"/>
              </w:rPr>
              <w:t xml:space="preserve"> </w:t>
            </w:r>
            <w:r>
              <w:rPr>
                <w:color w:val="000000"/>
                <w:sz w:val="18"/>
                <w:szCs w:val="18"/>
              </w:rPr>
              <w:t>(</w:t>
            </w:r>
            <w:r w:rsidRPr="0011095F">
              <w:rPr>
                <w:color w:val="000000"/>
                <w:sz w:val="18"/>
                <w:szCs w:val="18"/>
              </w:rPr>
              <w:t>-0.93</w:t>
            </w:r>
            <w:r>
              <w:rPr>
                <w:color w:val="000000"/>
                <w:sz w:val="18"/>
                <w:szCs w:val="18"/>
              </w:rPr>
              <w:t>,</w:t>
            </w:r>
            <w:r w:rsidR="003C7FB2">
              <w:rPr>
                <w:color w:val="000000"/>
                <w:sz w:val="18"/>
                <w:szCs w:val="18"/>
              </w:rPr>
              <w:t xml:space="preserve"> </w:t>
            </w:r>
            <w:r w:rsidRPr="0011095F">
              <w:rPr>
                <w:color w:val="000000"/>
                <w:sz w:val="18"/>
                <w:szCs w:val="18"/>
              </w:rPr>
              <w:t>2.16</w:t>
            </w:r>
            <w:r>
              <w:rPr>
                <w:color w:val="000000"/>
                <w:sz w:val="18"/>
                <w:szCs w:val="18"/>
              </w:rPr>
              <w:t>)</w:t>
            </w:r>
          </w:p>
        </w:tc>
        <w:tc>
          <w:tcPr>
            <w:tcW w:w="1933" w:type="dxa"/>
            <w:vAlign w:val="bottom"/>
          </w:tcPr>
          <w:p w14:paraId="58804816" w14:textId="51E1C440" w:rsidR="00F971D8" w:rsidRPr="0011095F" w:rsidRDefault="00F971D8" w:rsidP="00D9387F">
            <w:pPr>
              <w:rPr>
                <w:color w:val="000000"/>
                <w:sz w:val="18"/>
                <w:szCs w:val="18"/>
              </w:rPr>
            </w:pPr>
            <w:r w:rsidRPr="0011095F">
              <w:rPr>
                <w:color w:val="000000"/>
                <w:sz w:val="18"/>
                <w:szCs w:val="18"/>
              </w:rPr>
              <w:t>0.61</w:t>
            </w:r>
            <w:r w:rsidR="003C7FB2">
              <w:rPr>
                <w:color w:val="000000"/>
                <w:sz w:val="18"/>
                <w:szCs w:val="18"/>
              </w:rPr>
              <w:t xml:space="preserve"> </w:t>
            </w:r>
            <w:r>
              <w:rPr>
                <w:color w:val="000000"/>
                <w:sz w:val="18"/>
                <w:szCs w:val="18"/>
              </w:rPr>
              <w:t>(</w:t>
            </w:r>
            <w:r w:rsidRPr="0011095F">
              <w:rPr>
                <w:color w:val="000000"/>
                <w:sz w:val="18"/>
                <w:szCs w:val="18"/>
              </w:rPr>
              <w:t>-0.80</w:t>
            </w:r>
            <w:r>
              <w:rPr>
                <w:color w:val="000000"/>
                <w:sz w:val="18"/>
                <w:szCs w:val="18"/>
              </w:rPr>
              <w:t>,</w:t>
            </w:r>
            <w:r w:rsidR="003C7FB2">
              <w:rPr>
                <w:color w:val="000000"/>
                <w:sz w:val="18"/>
                <w:szCs w:val="18"/>
              </w:rPr>
              <w:t xml:space="preserve"> </w:t>
            </w:r>
            <w:r w:rsidRPr="0011095F">
              <w:rPr>
                <w:color w:val="000000"/>
                <w:sz w:val="18"/>
                <w:szCs w:val="18"/>
              </w:rPr>
              <w:t>2.03</w:t>
            </w:r>
            <w:r>
              <w:rPr>
                <w:color w:val="000000"/>
                <w:sz w:val="18"/>
                <w:szCs w:val="18"/>
              </w:rPr>
              <w:t>)</w:t>
            </w:r>
          </w:p>
        </w:tc>
      </w:tr>
      <w:tr w:rsidR="00F971D8" w14:paraId="7128CBFE" w14:textId="77777777" w:rsidTr="00D9387F">
        <w:tc>
          <w:tcPr>
            <w:tcW w:w="1862" w:type="dxa"/>
            <w:vAlign w:val="center"/>
          </w:tcPr>
          <w:p w14:paraId="414BA053" w14:textId="0FA9C71D" w:rsidR="00F971D8" w:rsidRPr="00A10601" w:rsidRDefault="00F971D8" w:rsidP="00D9387F">
            <w:pPr>
              <w:rPr>
                <w:sz w:val="16"/>
                <w:szCs w:val="16"/>
              </w:rPr>
            </w:pPr>
            <w:r w:rsidRPr="00F71324">
              <w:rPr>
                <w:sz w:val="18"/>
                <w:szCs w:val="18"/>
              </w:rPr>
              <w:t>Car</w:t>
            </w:r>
            <w:r w:rsidR="003C7FB2">
              <w:rPr>
                <w:sz w:val="18"/>
                <w:szCs w:val="18"/>
              </w:rPr>
              <w:t xml:space="preserve"> </w:t>
            </w:r>
            <w:r w:rsidRPr="00F71324">
              <w:rPr>
                <w:sz w:val="18"/>
                <w:szCs w:val="18"/>
              </w:rPr>
              <w:t>with</w:t>
            </w:r>
            <w:r w:rsidR="003C7FB2">
              <w:rPr>
                <w:sz w:val="18"/>
                <w:szCs w:val="18"/>
              </w:rPr>
              <w:t xml:space="preserve"> </w:t>
            </w:r>
            <w:r w:rsidRPr="00F71324">
              <w:rPr>
                <w:sz w:val="18"/>
                <w:szCs w:val="18"/>
              </w:rPr>
              <w:t>active</w:t>
            </w:r>
            <w:r w:rsidR="003C7FB2">
              <w:rPr>
                <w:sz w:val="18"/>
                <w:szCs w:val="18"/>
              </w:rPr>
              <w:t xml:space="preserve"> </w:t>
            </w:r>
            <w:r w:rsidRPr="00F71324">
              <w:rPr>
                <w:sz w:val="18"/>
                <w:szCs w:val="18"/>
              </w:rPr>
              <w:t>travel</w:t>
            </w:r>
          </w:p>
        </w:tc>
        <w:tc>
          <w:tcPr>
            <w:tcW w:w="1852" w:type="dxa"/>
            <w:vAlign w:val="bottom"/>
          </w:tcPr>
          <w:p w14:paraId="0D5267BF" w14:textId="2E95D021" w:rsidR="00F971D8" w:rsidRPr="0011095F" w:rsidRDefault="00F971D8" w:rsidP="00D9387F">
            <w:pPr>
              <w:rPr>
                <w:color w:val="000000"/>
                <w:sz w:val="18"/>
                <w:szCs w:val="18"/>
              </w:rPr>
            </w:pPr>
            <w:r w:rsidRPr="0011095F">
              <w:rPr>
                <w:color w:val="000000"/>
                <w:sz w:val="18"/>
                <w:szCs w:val="18"/>
              </w:rPr>
              <w:t>-3.15</w:t>
            </w:r>
            <w:r w:rsidR="003C7FB2">
              <w:rPr>
                <w:color w:val="000000"/>
                <w:sz w:val="18"/>
                <w:szCs w:val="18"/>
              </w:rPr>
              <w:t xml:space="preserve"> </w:t>
            </w:r>
            <w:r>
              <w:rPr>
                <w:color w:val="000000"/>
                <w:sz w:val="18"/>
                <w:szCs w:val="18"/>
              </w:rPr>
              <w:t>(</w:t>
            </w:r>
            <w:r w:rsidRPr="0011095F">
              <w:rPr>
                <w:color w:val="000000"/>
                <w:sz w:val="18"/>
                <w:szCs w:val="18"/>
              </w:rPr>
              <w:t>-4.71,</w:t>
            </w:r>
            <w:r w:rsidR="003C7FB2">
              <w:rPr>
                <w:color w:val="000000"/>
                <w:sz w:val="18"/>
                <w:szCs w:val="18"/>
              </w:rPr>
              <w:t xml:space="preserve"> </w:t>
            </w:r>
            <w:r w:rsidRPr="0011095F">
              <w:rPr>
                <w:color w:val="000000"/>
                <w:sz w:val="18"/>
                <w:szCs w:val="18"/>
              </w:rPr>
              <w:t>-1.58</w:t>
            </w:r>
            <w:r>
              <w:rPr>
                <w:color w:val="000000"/>
                <w:sz w:val="18"/>
                <w:szCs w:val="18"/>
              </w:rPr>
              <w:t>)</w:t>
            </w:r>
          </w:p>
        </w:tc>
        <w:tc>
          <w:tcPr>
            <w:tcW w:w="1852" w:type="dxa"/>
            <w:vAlign w:val="bottom"/>
          </w:tcPr>
          <w:p w14:paraId="2D62CAD4" w14:textId="445E5CE0" w:rsidR="00F971D8" w:rsidRPr="0011095F" w:rsidRDefault="00F971D8" w:rsidP="00D9387F">
            <w:pPr>
              <w:rPr>
                <w:color w:val="000000"/>
                <w:sz w:val="18"/>
                <w:szCs w:val="18"/>
              </w:rPr>
            </w:pPr>
            <w:r w:rsidRPr="0011095F">
              <w:rPr>
                <w:color w:val="000000"/>
                <w:sz w:val="18"/>
                <w:szCs w:val="18"/>
              </w:rPr>
              <w:t>-2.14</w:t>
            </w:r>
            <w:r w:rsidR="003C7FB2">
              <w:rPr>
                <w:color w:val="000000"/>
                <w:sz w:val="18"/>
                <w:szCs w:val="18"/>
              </w:rPr>
              <w:t xml:space="preserve"> </w:t>
            </w:r>
            <w:r>
              <w:rPr>
                <w:color w:val="000000"/>
                <w:sz w:val="18"/>
                <w:szCs w:val="18"/>
              </w:rPr>
              <w:t>(</w:t>
            </w:r>
            <w:r w:rsidRPr="0011095F">
              <w:rPr>
                <w:color w:val="000000"/>
                <w:sz w:val="18"/>
                <w:szCs w:val="18"/>
              </w:rPr>
              <w:t>-3.63</w:t>
            </w:r>
            <w:r>
              <w:rPr>
                <w:color w:val="000000"/>
                <w:sz w:val="18"/>
                <w:szCs w:val="18"/>
              </w:rPr>
              <w:t>,</w:t>
            </w:r>
            <w:r w:rsidR="003C7FB2">
              <w:rPr>
                <w:color w:val="000000"/>
                <w:sz w:val="18"/>
                <w:szCs w:val="18"/>
              </w:rPr>
              <w:t xml:space="preserve"> </w:t>
            </w:r>
            <w:r w:rsidRPr="0011095F">
              <w:rPr>
                <w:color w:val="000000"/>
                <w:sz w:val="18"/>
                <w:szCs w:val="18"/>
              </w:rPr>
              <w:t>-0.64</w:t>
            </w:r>
            <w:r>
              <w:rPr>
                <w:color w:val="000000"/>
                <w:sz w:val="18"/>
                <w:szCs w:val="18"/>
              </w:rPr>
              <w:t>)</w:t>
            </w:r>
          </w:p>
        </w:tc>
        <w:tc>
          <w:tcPr>
            <w:tcW w:w="1852" w:type="dxa"/>
            <w:vAlign w:val="bottom"/>
          </w:tcPr>
          <w:p w14:paraId="420BE295" w14:textId="731DE3E0" w:rsidR="00F971D8" w:rsidRPr="0011095F" w:rsidRDefault="00F971D8" w:rsidP="00D9387F">
            <w:pPr>
              <w:rPr>
                <w:color w:val="000000"/>
                <w:sz w:val="18"/>
                <w:szCs w:val="18"/>
              </w:rPr>
            </w:pPr>
            <w:r w:rsidRPr="0011095F">
              <w:rPr>
                <w:color w:val="000000"/>
                <w:sz w:val="18"/>
                <w:szCs w:val="18"/>
              </w:rPr>
              <w:t>-1.79</w:t>
            </w:r>
            <w:r w:rsidR="003C7FB2">
              <w:rPr>
                <w:color w:val="000000"/>
                <w:sz w:val="18"/>
                <w:szCs w:val="18"/>
              </w:rPr>
              <w:t xml:space="preserve"> </w:t>
            </w:r>
            <w:r>
              <w:rPr>
                <w:color w:val="000000"/>
                <w:sz w:val="18"/>
                <w:szCs w:val="18"/>
              </w:rPr>
              <w:t>(</w:t>
            </w:r>
            <w:r w:rsidRPr="0011095F">
              <w:rPr>
                <w:color w:val="000000"/>
                <w:sz w:val="18"/>
                <w:szCs w:val="18"/>
              </w:rPr>
              <w:t>-3.27</w:t>
            </w:r>
            <w:r>
              <w:rPr>
                <w:color w:val="000000"/>
                <w:sz w:val="18"/>
                <w:szCs w:val="18"/>
              </w:rPr>
              <w:t>,</w:t>
            </w:r>
            <w:r w:rsidR="003C7FB2">
              <w:rPr>
                <w:color w:val="000000"/>
                <w:sz w:val="18"/>
                <w:szCs w:val="18"/>
              </w:rPr>
              <w:t xml:space="preserve"> </w:t>
            </w:r>
            <w:r w:rsidRPr="0011095F">
              <w:rPr>
                <w:color w:val="000000"/>
                <w:sz w:val="18"/>
                <w:szCs w:val="18"/>
              </w:rPr>
              <w:t>-0.32</w:t>
            </w:r>
            <w:r>
              <w:rPr>
                <w:color w:val="000000"/>
                <w:sz w:val="18"/>
                <w:szCs w:val="18"/>
              </w:rPr>
              <w:t>)</w:t>
            </w:r>
          </w:p>
        </w:tc>
        <w:tc>
          <w:tcPr>
            <w:tcW w:w="1933" w:type="dxa"/>
            <w:vAlign w:val="bottom"/>
          </w:tcPr>
          <w:p w14:paraId="5D00577A" w14:textId="5CBBF4CB" w:rsidR="00F971D8" w:rsidRPr="0011095F" w:rsidRDefault="00F971D8" w:rsidP="00D9387F">
            <w:pPr>
              <w:rPr>
                <w:color w:val="000000"/>
                <w:sz w:val="18"/>
                <w:szCs w:val="18"/>
              </w:rPr>
            </w:pPr>
            <w:r w:rsidRPr="0011095F">
              <w:rPr>
                <w:color w:val="000000"/>
                <w:sz w:val="18"/>
                <w:szCs w:val="18"/>
              </w:rPr>
              <w:t>-1.86</w:t>
            </w:r>
            <w:r w:rsidR="003C7FB2">
              <w:rPr>
                <w:color w:val="000000"/>
                <w:sz w:val="18"/>
                <w:szCs w:val="18"/>
              </w:rPr>
              <w:t xml:space="preserve"> </w:t>
            </w:r>
            <w:r>
              <w:rPr>
                <w:color w:val="000000"/>
                <w:sz w:val="18"/>
                <w:szCs w:val="18"/>
              </w:rPr>
              <w:t>(</w:t>
            </w:r>
            <w:r w:rsidRPr="0011095F">
              <w:rPr>
                <w:color w:val="000000"/>
                <w:sz w:val="18"/>
                <w:szCs w:val="18"/>
              </w:rPr>
              <w:t>-3.31</w:t>
            </w:r>
            <w:r>
              <w:rPr>
                <w:color w:val="000000"/>
                <w:sz w:val="18"/>
                <w:szCs w:val="18"/>
              </w:rPr>
              <w:t>,</w:t>
            </w:r>
            <w:r w:rsidR="003C7FB2">
              <w:rPr>
                <w:color w:val="000000"/>
                <w:sz w:val="18"/>
                <w:szCs w:val="18"/>
              </w:rPr>
              <w:t xml:space="preserve"> </w:t>
            </w:r>
            <w:r w:rsidRPr="0011095F">
              <w:rPr>
                <w:color w:val="000000"/>
                <w:sz w:val="18"/>
                <w:szCs w:val="18"/>
              </w:rPr>
              <w:t>-0.41</w:t>
            </w:r>
            <w:r>
              <w:rPr>
                <w:color w:val="000000"/>
                <w:sz w:val="18"/>
                <w:szCs w:val="18"/>
              </w:rPr>
              <w:t>)</w:t>
            </w:r>
          </w:p>
        </w:tc>
      </w:tr>
    </w:tbl>
    <w:p w14:paraId="7026DA64" w14:textId="3AC68D46" w:rsidR="00B71669" w:rsidRPr="00322A7F" w:rsidRDefault="00F971D8" w:rsidP="00B71669">
      <w:pPr>
        <w:spacing w:after="0" w:line="240" w:lineRule="auto"/>
        <w:rPr>
          <w:sz w:val="14"/>
          <w:szCs w:val="14"/>
        </w:rPr>
      </w:pPr>
      <w:r>
        <w:rPr>
          <w:sz w:val="16"/>
          <w:szCs w:val="16"/>
        </w:rPr>
        <w:t>Model</w:t>
      </w:r>
      <w:r w:rsidR="003C7FB2">
        <w:rPr>
          <w:sz w:val="16"/>
          <w:szCs w:val="16"/>
        </w:rPr>
        <w:t xml:space="preserve"> </w:t>
      </w:r>
      <w:r>
        <w:rPr>
          <w:sz w:val="16"/>
          <w:szCs w:val="16"/>
        </w:rPr>
        <w:t>A</w:t>
      </w:r>
      <w:r w:rsidR="003C7FB2">
        <w:rPr>
          <w:sz w:val="16"/>
          <w:szCs w:val="16"/>
        </w:rPr>
        <w:t xml:space="preserve"> </w:t>
      </w:r>
      <w:r>
        <w:rPr>
          <w:sz w:val="16"/>
          <w:szCs w:val="16"/>
        </w:rPr>
        <w:t>adjusted</w:t>
      </w:r>
      <w:r w:rsidR="003C7FB2">
        <w:rPr>
          <w:sz w:val="16"/>
          <w:szCs w:val="16"/>
        </w:rPr>
        <w:t xml:space="preserve"> </w:t>
      </w:r>
      <w:r>
        <w:rPr>
          <w:sz w:val="16"/>
          <w:szCs w:val="16"/>
        </w:rPr>
        <w:t>for</w:t>
      </w:r>
      <w:r w:rsidR="003C7FB2">
        <w:rPr>
          <w:sz w:val="16"/>
          <w:szCs w:val="16"/>
        </w:rPr>
        <w:t xml:space="preserve"> </w:t>
      </w:r>
      <w:r>
        <w:rPr>
          <w:sz w:val="16"/>
          <w:szCs w:val="16"/>
        </w:rPr>
        <w:t>age</w:t>
      </w:r>
      <w:r w:rsidRPr="005364B7">
        <w:rPr>
          <w:sz w:val="16"/>
          <w:szCs w:val="16"/>
        </w:rPr>
        <w:t>,</w:t>
      </w:r>
      <w:r w:rsidR="003C7FB2">
        <w:rPr>
          <w:sz w:val="16"/>
          <w:szCs w:val="16"/>
        </w:rPr>
        <w:t xml:space="preserve"> </w:t>
      </w:r>
      <w:r w:rsidRPr="005364B7">
        <w:rPr>
          <w:sz w:val="16"/>
          <w:szCs w:val="16"/>
        </w:rPr>
        <w:t>education,</w:t>
      </w:r>
      <w:r w:rsidR="003C7FB2">
        <w:rPr>
          <w:sz w:val="16"/>
          <w:szCs w:val="16"/>
        </w:rPr>
        <w:t xml:space="preserve"> </w:t>
      </w:r>
      <w:r w:rsidRPr="005364B7">
        <w:rPr>
          <w:sz w:val="16"/>
          <w:szCs w:val="16"/>
        </w:rPr>
        <w:t>difficulty</w:t>
      </w:r>
      <w:r w:rsidR="003C7FB2">
        <w:rPr>
          <w:sz w:val="16"/>
          <w:szCs w:val="16"/>
        </w:rPr>
        <w:t xml:space="preserve"> </w:t>
      </w:r>
      <w:r w:rsidRPr="005364B7">
        <w:rPr>
          <w:sz w:val="16"/>
          <w:szCs w:val="16"/>
        </w:rPr>
        <w:t>walking,</w:t>
      </w:r>
      <w:r w:rsidR="003C7FB2">
        <w:rPr>
          <w:sz w:val="16"/>
          <w:szCs w:val="16"/>
        </w:rPr>
        <w:t xml:space="preserve"> </w:t>
      </w:r>
      <w:r w:rsidRPr="005364B7">
        <w:rPr>
          <w:sz w:val="16"/>
          <w:szCs w:val="16"/>
        </w:rPr>
        <w:t>alcohol</w:t>
      </w:r>
      <w:r w:rsidR="003C7FB2">
        <w:rPr>
          <w:sz w:val="16"/>
          <w:szCs w:val="16"/>
        </w:rPr>
        <w:t xml:space="preserve"> </w:t>
      </w:r>
      <w:r w:rsidRPr="005364B7">
        <w:rPr>
          <w:sz w:val="16"/>
          <w:szCs w:val="16"/>
        </w:rPr>
        <w:t>consumptio</w:t>
      </w:r>
      <w:r>
        <w:rPr>
          <w:sz w:val="16"/>
          <w:szCs w:val="16"/>
        </w:rPr>
        <w:t>n,</w:t>
      </w:r>
      <w:r w:rsidR="003C7FB2">
        <w:rPr>
          <w:sz w:val="16"/>
          <w:szCs w:val="16"/>
        </w:rPr>
        <w:t xml:space="preserve"> </w:t>
      </w:r>
      <w:r>
        <w:rPr>
          <w:sz w:val="16"/>
          <w:szCs w:val="16"/>
        </w:rPr>
        <w:t>Mediterranean</w:t>
      </w:r>
      <w:r w:rsidR="003C7FB2">
        <w:rPr>
          <w:sz w:val="16"/>
          <w:szCs w:val="16"/>
        </w:rPr>
        <w:t xml:space="preserve"> </w:t>
      </w:r>
      <w:r>
        <w:rPr>
          <w:sz w:val="16"/>
          <w:szCs w:val="16"/>
        </w:rPr>
        <w:t>diet</w:t>
      </w:r>
      <w:r w:rsidR="003C7FB2">
        <w:rPr>
          <w:sz w:val="16"/>
          <w:szCs w:val="16"/>
        </w:rPr>
        <w:t xml:space="preserve"> </w:t>
      </w:r>
      <w:r>
        <w:rPr>
          <w:sz w:val="16"/>
          <w:szCs w:val="16"/>
        </w:rPr>
        <w:t>score,</w:t>
      </w:r>
      <w:r w:rsidR="003C7FB2">
        <w:rPr>
          <w:sz w:val="16"/>
          <w:szCs w:val="16"/>
        </w:rPr>
        <w:t xml:space="preserve"> </w:t>
      </w:r>
      <w:r w:rsidRPr="005364B7">
        <w:rPr>
          <w:sz w:val="16"/>
          <w:szCs w:val="16"/>
        </w:rPr>
        <w:t>smoking</w:t>
      </w:r>
      <w:r w:rsidR="003C7FB2">
        <w:rPr>
          <w:sz w:val="16"/>
          <w:szCs w:val="16"/>
        </w:rPr>
        <w:t xml:space="preserve"> </w:t>
      </w:r>
      <w:r w:rsidRPr="005364B7">
        <w:rPr>
          <w:sz w:val="16"/>
          <w:szCs w:val="16"/>
        </w:rPr>
        <w:t>status</w:t>
      </w:r>
      <w:r w:rsidR="003C7FB2">
        <w:rPr>
          <w:sz w:val="16"/>
          <w:szCs w:val="16"/>
        </w:rPr>
        <w:t xml:space="preserve"> </w:t>
      </w:r>
      <w:r>
        <w:rPr>
          <w:sz w:val="16"/>
          <w:szCs w:val="16"/>
        </w:rPr>
        <w:t>and</w:t>
      </w:r>
      <w:r w:rsidR="003C7FB2">
        <w:rPr>
          <w:sz w:val="16"/>
          <w:szCs w:val="16"/>
        </w:rPr>
        <w:t xml:space="preserve"> </w:t>
      </w:r>
      <w:r>
        <w:rPr>
          <w:sz w:val="16"/>
          <w:szCs w:val="16"/>
        </w:rPr>
        <w:t>site</w:t>
      </w:r>
      <w:r w:rsidRPr="005364B7">
        <w:rPr>
          <w:sz w:val="16"/>
          <w:szCs w:val="16"/>
        </w:rPr>
        <w:t>;</w:t>
      </w:r>
      <w:r w:rsidR="003C7FB2">
        <w:rPr>
          <w:sz w:val="16"/>
          <w:szCs w:val="16"/>
        </w:rPr>
        <w:t xml:space="preserve"> </w:t>
      </w:r>
      <w:r w:rsidRPr="005364B7">
        <w:rPr>
          <w:sz w:val="16"/>
          <w:szCs w:val="16"/>
        </w:rPr>
        <w:t>Model</w:t>
      </w:r>
      <w:r w:rsidR="003C7FB2">
        <w:rPr>
          <w:sz w:val="16"/>
          <w:szCs w:val="16"/>
        </w:rPr>
        <w:t xml:space="preserve"> </w:t>
      </w:r>
      <w:r w:rsidRPr="005364B7">
        <w:rPr>
          <w:sz w:val="16"/>
          <w:szCs w:val="16"/>
        </w:rPr>
        <w:t>B</w:t>
      </w:r>
      <w:r w:rsidR="003C7FB2">
        <w:rPr>
          <w:sz w:val="16"/>
          <w:szCs w:val="16"/>
        </w:rPr>
        <w:t xml:space="preserve"> </w:t>
      </w:r>
      <w:r w:rsidRPr="005364B7">
        <w:rPr>
          <w:sz w:val="16"/>
          <w:szCs w:val="16"/>
        </w:rPr>
        <w:t>adjusted</w:t>
      </w:r>
      <w:r w:rsidR="003C7FB2">
        <w:rPr>
          <w:sz w:val="16"/>
          <w:szCs w:val="16"/>
        </w:rPr>
        <w:t xml:space="preserve"> </w:t>
      </w:r>
      <w:r w:rsidRPr="005364B7">
        <w:rPr>
          <w:sz w:val="16"/>
          <w:szCs w:val="16"/>
        </w:rPr>
        <w:t>for</w:t>
      </w:r>
      <w:r w:rsidR="003C7FB2">
        <w:rPr>
          <w:sz w:val="16"/>
          <w:szCs w:val="16"/>
        </w:rPr>
        <w:t xml:space="preserve"> </w:t>
      </w:r>
      <w:r>
        <w:rPr>
          <w:sz w:val="16"/>
          <w:szCs w:val="16"/>
        </w:rPr>
        <w:t>all</w:t>
      </w:r>
      <w:r w:rsidR="003C7FB2">
        <w:rPr>
          <w:sz w:val="16"/>
          <w:szCs w:val="16"/>
        </w:rPr>
        <w:t xml:space="preserve"> </w:t>
      </w:r>
      <w:r>
        <w:rPr>
          <w:sz w:val="16"/>
          <w:szCs w:val="16"/>
        </w:rPr>
        <w:t>co-variates</w:t>
      </w:r>
      <w:r w:rsidR="003C7FB2">
        <w:rPr>
          <w:sz w:val="16"/>
          <w:szCs w:val="16"/>
        </w:rPr>
        <w:t xml:space="preserve"> </w:t>
      </w:r>
      <w:r>
        <w:rPr>
          <w:sz w:val="16"/>
          <w:szCs w:val="16"/>
        </w:rPr>
        <w:t>in</w:t>
      </w:r>
      <w:r w:rsidR="003C7FB2">
        <w:rPr>
          <w:sz w:val="16"/>
          <w:szCs w:val="16"/>
        </w:rPr>
        <w:t xml:space="preserve"> </w:t>
      </w:r>
      <w:r>
        <w:rPr>
          <w:sz w:val="16"/>
          <w:szCs w:val="16"/>
        </w:rPr>
        <w:t>Model</w:t>
      </w:r>
      <w:r w:rsidR="003C7FB2">
        <w:rPr>
          <w:sz w:val="16"/>
          <w:szCs w:val="16"/>
        </w:rPr>
        <w:t xml:space="preserve"> </w:t>
      </w:r>
      <w:r>
        <w:rPr>
          <w:sz w:val="16"/>
          <w:szCs w:val="16"/>
        </w:rPr>
        <w:t>A</w:t>
      </w:r>
      <w:r w:rsidR="003C7FB2">
        <w:rPr>
          <w:sz w:val="16"/>
          <w:szCs w:val="16"/>
        </w:rPr>
        <w:t xml:space="preserve"> </w:t>
      </w:r>
      <w:r>
        <w:rPr>
          <w:sz w:val="16"/>
          <w:szCs w:val="16"/>
        </w:rPr>
        <w:t>and</w:t>
      </w:r>
      <w:r w:rsidR="003C7FB2">
        <w:rPr>
          <w:sz w:val="16"/>
          <w:szCs w:val="16"/>
        </w:rPr>
        <w:t xml:space="preserve"> </w:t>
      </w:r>
      <w:r w:rsidRPr="005364B7">
        <w:rPr>
          <w:sz w:val="16"/>
          <w:szCs w:val="16"/>
        </w:rPr>
        <w:t>leisure</w:t>
      </w:r>
      <w:r w:rsidR="003C7FB2">
        <w:rPr>
          <w:sz w:val="16"/>
          <w:szCs w:val="16"/>
        </w:rPr>
        <w:t xml:space="preserve"> </w:t>
      </w:r>
      <w:r w:rsidRPr="005364B7">
        <w:rPr>
          <w:sz w:val="16"/>
          <w:szCs w:val="16"/>
        </w:rPr>
        <w:t>time</w:t>
      </w:r>
      <w:r w:rsidR="003C7FB2">
        <w:rPr>
          <w:sz w:val="16"/>
          <w:szCs w:val="16"/>
        </w:rPr>
        <w:t xml:space="preserve"> </w:t>
      </w:r>
      <w:r w:rsidRPr="005364B7">
        <w:rPr>
          <w:sz w:val="16"/>
          <w:szCs w:val="16"/>
        </w:rPr>
        <w:t>physical</w:t>
      </w:r>
      <w:r w:rsidR="003C7FB2">
        <w:rPr>
          <w:sz w:val="16"/>
          <w:szCs w:val="16"/>
        </w:rPr>
        <w:t xml:space="preserve"> </w:t>
      </w:r>
      <w:r w:rsidRPr="005364B7">
        <w:rPr>
          <w:sz w:val="16"/>
          <w:szCs w:val="16"/>
        </w:rPr>
        <w:t>activity,</w:t>
      </w:r>
      <w:r w:rsidR="003C7FB2">
        <w:rPr>
          <w:sz w:val="16"/>
          <w:szCs w:val="16"/>
        </w:rPr>
        <w:t xml:space="preserve"> </w:t>
      </w:r>
      <w:r w:rsidRPr="005364B7">
        <w:rPr>
          <w:sz w:val="16"/>
          <w:szCs w:val="16"/>
        </w:rPr>
        <w:t>usual</w:t>
      </w:r>
      <w:r w:rsidR="003C7FB2">
        <w:rPr>
          <w:sz w:val="16"/>
          <w:szCs w:val="16"/>
        </w:rPr>
        <w:t xml:space="preserve"> </w:t>
      </w:r>
      <w:r w:rsidRPr="005364B7">
        <w:rPr>
          <w:sz w:val="16"/>
          <w:szCs w:val="16"/>
        </w:rPr>
        <w:t>method</w:t>
      </w:r>
      <w:r w:rsidR="003C7FB2">
        <w:rPr>
          <w:sz w:val="16"/>
          <w:szCs w:val="16"/>
        </w:rPr>
        <w:t xml:space="preserve"> </w:t>
      </w:r>
      <w:r>
        <w:rPr>
          <w:sz w:val="16"/>
          <w:szCs w:val="16"/>
        </w:rPr>
        <w:t>for</w:t>
      </w:r>
      <w:r w:rsidR="003C7FB2">
        <w:rPr>
          <w:sz w:val="16"/>
          <w:szCs w:val="16"/>
        </w:rPr>
        <w:t xml:space="preserve"> </w:t>
      </w:r>
      <w:r>
        <w:rPr>
          <w:sz w:val="16"/>
          <w:szCs w:val="16"/>
        </w:rPr>
        <w:t>getting</w:t>
      </w:r>
      <w:r w:rsidR="003C7FB2">
        <w:rPr>
          <w:sz w:val="16"/>
          <w:szCs w:val="16"/>
        </w:rPr>
        <w:t xml:space="preserve"> </w:t>
      </w:r>
      <w:r>
        <w:rPr>
          <w:sz w:val="16"/>
          <w:szCs w:val="16"/>
        </w:rPr>
        <w:t>about</w:t>
      </w:r>
      <w:r w:rsidR="003C7FB2">
        <w:rPr>
          <w:sz w:val="16"/>
          <w:szCs w:val="16"/>
        </w:rPr>
        <w:t xml:space="preserve"> </w:t>
      </w:r>
      <w:r>
        <w:rPr>
          <w:sz w:val="16"/>
          <w:szCs w:val="16"/>
        </w:rPr>
        <w:t>and</w:t>
      </w:r>
      <w:r w:rsidR="003C7FB2">
        <w:rPr>
          <w:sz w:val="16"/>
          <w:szCs w:val="16"/>
        </w:rPr>
        <w:t xml:space="preserve"> </w:t>
      </w:r>
      <w:r>
        <w:rPr>
          <w:sz w:val="16"/>
          <w:szCs w:val="16"/>
        </w:rPr>
        <w:t>work</w:t>
      </w:r>
      <w:r w:rsidR="003C7FB2">
        <w:rPr>
          <w:sz w:val="16"/>
          <w:szCs w:val="16"/>
        </w:rPr>
        <w:t xml:space="preserve"> </w:t>
      </w:r>
      <w:r>
        <w:rPr>
          <w:sz w:val="16"/>
          <w:szCs w:val="16"/>
        </w:rPr>
        <w:t>type;</w:t>
      </w:r>
      <w:r w:rsidR="003C7FB2">
        <w:rPr>
          <w:sz w:val="16"/>
          <w:szCs w:val="16"/>
        </w:rPr>
        <w:t xml:space="preserve"> </w:t>
      </w:r>
      <w:r>
        <w:rPr>
          <w:sz w:val="16"/>
          <w:szCs w:val="16"/>
        </w:rPr>
        <w:t>Model</w:t>
      </w:r>
      <w:r w:rsidR="003C7FB2">
        <w:rPr>
          <w:sz w:val="16"/>
          <w:szCs w:val="16"/>
        </w:rPr>
        <w:t xml:space="preserve"> </w:t>
      </w:r>
      <w:r>
        <w:rPr>
          <w:sz w:val="16"/>
          <w:szCs w:val="16"/>
        </w:rPr>
        <w:t>C</w:t>
      </w:r>
      <w:r w:rsidR="003C7FB2">
        <w:rPr>
          <w:sz w:val="16"/>
          <w:szCs w:val="16"/>
        </w:rPr>
        <w:t xml:space="preserve"> </w:t>
      </w:r>
      <w:r>
        <w:rPr>
          <w:sz w:val="16"/>
          <w:szCs w:val="16"/>
        </w:rPr>
        <w:t>adjusted</w:t>
      </w:r>
      <w:r w:rsidR="003C7FB2">
        <w:rPr>
          <w:sz w:val="16"/>
          <w:szCs w:val="16"/>
        </w:rPr>
        <w:t xml:space="preserve"> </w:t>
      </w:r>
      <w:r>
        <w:rPr>
          <w:sz w:val="16"/>
          <w:szCs w:val="16"/>
        </w:rPr>
        <w:t>for</w:t>
      </w:r>
      <w:r w:rsidR="003C7FB2">
        <w:rPr>
          <w:sz w:val="16"/>
          <w:szCs w:val="16"/>
        </w:rPr>
        <w:t xml:space="preserve"> </w:t>
      </w:r>
      <w:r>
        <w:rPr>
          <w:sz w:val="16"/>
          <w:szCs w:val="16"/>
        </w:rPr>
        <w:t>all</w:t>
      </w:r>
      <w:r w:rsidR="003C7FB2">
        <w:rPr>
          <w:sz w:val="16"/>
          <w:szCs w:val="16"/>
        </w:rPr>
        <w:t xml:space="preserve"> </w:t>
      </w:r>
      <w:r>
        <w:rPr>
          <w:sz w:val="16"/>
          <w:szCs w:val="16"/>
        </w:rPr>
        <w:t>co-variates</w:t>
      </w:r>
      <w:r w:rsidR="003C7FB2">
        <w:rPr>
          <w:sz w:val="16"/>
          <w:szCs w:val="16"/>
        </w:rPr>
        <w:t xml:space="preserve"> </w:t>
      </w:r>
      <w:r>
        <w:rPr>
          <w:sz w:val="16"/>
          <w:szCs w:val="16"/>
        </w:rPr>
        <w:t>in</w:t>
      </w:r>
      <w:r w:rsidR="003C7FB2">
        <w:rPr>
          <w:sz w:val="16"/>
          <w:szCs w:val="16"/>
        </w:rPr>
        <w:t xml:space="preserve"> </w:t>
      </w:r>
      <w:r>
        <w:rPr>
          <w:sz w:val="16"/>
          <w:szCs w:val="16"/>
        </w:rPr>
        <w:t>Model</w:t>
      </w:r>
      <w:r w:rsidR="003C7FB2">
        <w:rPr>
          <w:sz w:val="16"/>
          <w:szCs w:val="16"/>
        </w:rPr>
        <w:t xml:space="preserve"> </w:t>
      </w:r>
      <w:r>
        <w:rPr>
          <w:sz w:val="16"/>
          <w:szCs w:val="16"/>
        </w:rPr>
        <w:t>A</w:t>
      </w:r>
      <w:r w:rsidR="003C7FB2">
        <w:rPr>
          <w:sz w:val="16"/>
          <w:szCs w:val="16"/>
        </w:rPr>
        <w:t xml:space="preserve"> </w:t>
      </w:r>
      <w:r>
        <w:rPr>
          <w:sz w:val="16"/>
          <w:szCs w:val="16"/>
        </w:rPr>
        <w:t>and</w:t>
      </w:r>
      <w:r w:rsidR="003C7FB2">
        <w:rPr>
          <w:sz w:val="16"/>
          <w:szCs w:val="16"/>
        </w:rPr>
        <w:t xml:space="preserve"> </w:t>
      </w:r>
      <w:r>
        <w:rPr>
          <w:sz w:val="16"/>
          <w:szCs w:val="16"/>
        </w:rPr>
        <w:t>physical</w:t>
      </w:r>
      <w:r w:rsidR="003C7FB2">
        <w:rPr>
          <w:sz w:val="16"/>
          <w:szCs w:val="16"/>
        </w:rPr>
        <w:t xml:space="preserve"> </w:t>
      </w:r>
      <w:r>
        <w:rPr>
          <w:sz w:val="16"/>
          <w:szCs w:val="16"/>
        </w:rPr>
        <w:t>activity</w:t>
      </w:r>
      <w:r w:rsidR="003C7FB2">
        <w:rPr>
          <w:sz w:val="16"/>
          <w:szCs w:val="16"/>
        </w:rPr>
        <w:t xml:space="preserve"> </w:t>
      </w:r>
      <w:r>
        <w:rPr>
          <w:sz w:val="16"/>
          <w:szCs w:val="16"/>
        </w:rPr>
        <w:t>energy</w:t>
      </w:r>
      <w:r w:rsidR="003C7FB2">
        <w:rPr>
          <w:sz w:val="16"/>
          <w:szCs w:val="16"/>
        </w:rPr>
        <w:t xml:space="preserve"> </w:t>
      </w:r>
      <w:r>
        <w:rPr>
          <w:sz w:val="16"/>
          <w:szCs w:val="16"/>
        </w:rPr>
        <w:t>expenditure;</w:t>
      </w:r>
      <w:r w:rsidR="003C7FB2">
        <w:rPr>
          <w:sz w:val="16"/>
          <w:szCs w:val="16"/>
        </w:rPr>
        <w:t xml:space="preserve"> </w:t>
      </w:r>
      <w:r>
        <w:rPr>
          <w:sz w:val="16"/>
          <w:szCs w:val="16"/>
        </w:rPr>
        <w:t>adjusted</w:t>
      </w:r>
      <w:r w:rsidR="003C7FB2">
        <w:rPr>
          <w:sz w:val="16"/>
          <w:szCs w:val="16"/>
        </w:rPr>
        <w:t xml:space="preserve"> </w:t>
      </w:r>
      <w:r>
        <w:rPr>
          <w:sz w:val="16"/>
          <w:szCs w:val="16"/>
        </w:rPr>
        <w:t>co-efficient</w:t>
      </w:r>
      <w:r w:rsidR="003C7FB2">
        <w:rPr>
          <w:sz w:val="16"/>
          <w:szCs w:val="16"/>
        </w:rPr>
        <w:t xml:space="preserve"> </w:t>
      </w:r>
      <w:r>
        <w:rPr>
          <w:sz w:val="16"/>
          <w:szCs w:val="16"/>
        </w:rPr>
        <w:t>shown</w:t>
      </w:r>
      <w:r w:rsidR="003C7FB2">
        <w:rPr>
          <w:sz w:val="16"/>
          <w:szCs w:val="16"/>
        </w:rPr>
        <w:t xml:space="preserve"> </w:t>
      </w:r>
      <w:r>
        <w:rPr>
          <w:sz w:val="16"/>
          <w:szCs w:val="16"/>
        </w:rPr>
        <w:t>that</w:t>
      </w:r>
      <w:r w:rsidR="003C7FB2">
        <w:rPr>
          <w:sz w:val="16"/>
          <w:szCs w:val="16"/>
        </w:rPr>
        <w:t xml:space="preserve"> </w:t>
      </w:r>
      <w:r>
        <w:rPr>
          <w:sz w:val="16"/>
          <w:szCs w:val="16"/>
        </w:rPr>
        <w:t>represent</w:t>
      </w:r>
      <w:r w:rsidR="003C7FB2">
        <w:rPr>
          <w:sz w:val="16"/>
          <w:szCs w:val="16"/>
        </w:rPr>
        <w:t xml:space="preserve"> </w:t>
      </w:r>
      <w:r>
        <w:rPr>
          <w:sz w:val="16"/>
          <w:szCs w:val="16"/>
        </w:rPr>
        <w:t>difference</w:t>
      </w:r>
      <w:r w:rsidR="003C7FB2">
        <w:rPr>
          <w:sz w:val="16"/>
          <w:szCs w:val="16"/>
        </w:rPr>
        <w:t xml:space="preserve"> </w:t>
      </w:r>
      <w:r>
        <w:rPr>
          <w:sz w:val="16"/>
          <w:szCs w:val="16"/>
        </w:rPr>
        <w:t>in</w:t>
      </w:r>
      <w:r w:rsidR="003C7FB2">
        <w:rPr>
          <w:sz w:val="16"/>
          <w:szCs w:val="16"/>
        </w:rPr>
        <w:t xml:space="preserve"> </w:t>
      </w:r>
      <w:r>
        <w:rPr>
          <w:sz w:val="16"/>
          <w:szCs w:val="16"/>
        </w:rPr>
        <w:t>visceral</w:t>
      </w:r>
      <w:r w:rsidR="003C7FB2">
        <w:rPr>
          <w:sz w:val="16"/>
          <w:szCs w:val="16"/>
        </w:rPr>
        <w:t xml:space="preserve"> </w:t>
      </w:r>
      <w:r>
        <w:rPr>
          <w:sz w:val="16"/>
          <w:szCs w:val="16"/>
        </w:rPr>
        <w:t>adipose</w:t>
      </w:r>
      <w:r w:rsidR="003C7FB2">
        <w:rPr>
          <w:sz w:val="16"/>
          <w:szCs w:val="16"/>
        </w:rPr>
        <w:t xml:space="preserve"> </w:t>
      </w:r>
      <w:r>
        <w:rPr>
          <w:sz w:val="16"/>
          <w:szCs w:val="16"/>
        </w:rPr>
        <w:t>tissue</w:t>
      </w:r>
      <w:r w:rsidR="003C7FB2">
        <w:rPr>
          <w:sz w:val="16"/>
          <w:szCs w:val="16"/>
        </w:rPr>
        <w:t xml:space="preserve"> </w:t>
      </w:r>
      <w:r>
        <w:rPr>
          <w:sz w:val="16"/>
          <w:szCs w:val="16"/>
        </w:rPr>
        <w:t>(cm</w:t>
      </w:r>
      <w:r w:rsidRPr="00FB266B">
        <w:rPr>
          <w:sz w:val="16"/>
          <w:szCs w:val="16"/>
          <w:vertAlign w:val="superscript"/>
        </w:rPr>
        <w:t>3/2</w:t>
      </w:r>
      <w:r>
        <w:rPr>
          <w:sz w:val="16"/>
          <w:szCs w:val="16"/>
        </w:rPr>
        <w:t>)</w:t>
      </w:r>
      <w:r w:rsidR="003C7FB2">
        <w:rPr>
          <w:sz w:val="16"/>
          <w:szCs w:val="16"/>
        </w:rPr>
        <w:t xml:space="preserve"> </w:t>
      </w:r>
      <w:r>
        <w:rPr>
          <w:sz w:val="16"/>
          <w:szCs w:val="16"/>
        </w:rPr>
        <w:t>for</w:t>
      </w:r>
      <w:r w:rsidR="003C7FB2">
        <w:rPr>
          <w:sz w:val="16"/>
          <w:szCs w:val="16"/>
        </w:rPr>
        <w:t xml:space="preserve"> </w:t>
      </w:r>
      <w:r>
        <w:rPr>
          <w:sz w:val="16"/>
          <w:szCs w:val="16"/>
        </w:rPr>
        <w:t>given</w:t>
      </w:r>
      <w:r w:rsidR="003C7FB2">
        <w:rPr>
          <w:sz w:val="16"/>
          <w:szCs w:val="16"/>
        </w:rPr>
        <w:t xml:space="preserve"> </w:t>
      </w:r>
      <w:r>
        <w:rPr>
          <w:sz w:val="16"/>
          <w:szCs w:val="16"/>
        </w:rPr>
        <w:t>commuting</w:t>
      </w:r>
      <w:r w:rsidR="003C7FB2">
        <w:rPr>
          <w:sz w:val="16"/>
          <w:szCs w:val="16"/>
        </w:rPr>
        <w:t xml:space="preserve"> </w:t>
      </w:r>
      <w:r>
        <w:rPr>
          <w:sz w:val="16"/>
          <w:szCs w:val="16"/>
        </w:rPr>
        <w:t>pattern</w:t>
      </w:r>
      <w:r w:rsidR="003C7FB2">
        <w:rPr>
          <w:sz w:val="16"/>
          <w:szCs w:val="16"/>
        </w:rPr>
        <w:t xml:space="preserve"> </w:t>
      </w:r>
      <w:r>
        <w:rPr>
          <w:sz w:val="16"/>
          <w:szCs w:val="16"/>
        </w:rPr>
        <w:t>relative</w:t>
      </w:r>
      <w:r w:rsidR="003C7FB2">
        <w:rPr>
          <w:sz w:val="16"/>
          <w:szCs w:val="16"/>
        </w:rPr>
        <w:t xml:space="preserve"> </w:t>
      </w:r>
      <w:r>
        <w:rPr>
          <w:sz w:val="16"/>
          <w:szCs w:val="16"/>
        </w:rPr>
        <w:t>to</w:t>
      </w:r>
      <w:r w:rsidR="003C7FB2">
        <w:rPr>
          <w:sz w:val="16"/>
          <w:szCs w:val="16"/>
        </w:rPr>
        <w:t xml:space="preserve"> </w:t>
      </w:r>
      <w:r w:rsidR="00B71669">
        <w:rPr>
          <w:sz w:val="16"/>
          <w:szCs w:val="16"/>
        </w:rPr>
        <w:t>reference;</w:t>
      </w:r>
      <w:r w:rsidR="00B71669" w:rsidRPr="00B71669">
        <w:rPr>
          <w:sz w:val="14"/>
          <w:szCs w:val="14"/>
        </w:rPr>
        <w:t xml:space="preserve"> </w:t>
      </w:r>
      <w:r w:rsidR="00B71669">
        <w:rPr>
          <w:sz w:val="14"/>
          <w:szCs w:val="14"/>
        </w:rPr>
        <w:t>; study population from Cambridgeshire, UK (2005-15).</w:t>
      </w:r>
    </w:p>
    <w:p w14:paraId="4526C5F6" w14:textId="04634A52" w:rsidR="00F971D8" w:rsidRPr="005364B7" w:rsidRDefault="00F971D8" w:rsidP="00F971D8">
      <w:pPr>
        <w:spacing w:after="0" w:line="240" w:lineRule="auto"/>
        <w:rPr>
          <w:sz w:val="16"/>
          <w:szCs w:val="16"/>
        </w:rPr>
      </w:pPr>
    </w:p>
    <w:p w14:paraId="7B853D6A" w14:textId="77777777" w:rsidR="00F971D8" w:rsidRDefault="00F971D8" w:rsidP="00F971D8">
      <w:pPr>
        <w:spacing w:after="0" w:line="240" w:lineRule="auto"/>
      </w:pPr>
    </w:p>
    <w:p w14:paraId="0057FE04" w14:textId="77777777" w:rsidR="00F971D8" w:rsidRDefault="00F971D8" w:rsidP="00910CE6"/>
    <w:p w14:paraId="7588E484" w14:textId="19F1C67B" w:rsidR="00F971D8" w:rsidRPr="00DD671A" w:rsidRDefault="00F971D8" w:rsidP="00F971D8">
      <w:pPr>
        <w:spacing w:after="0" w:line="240" w:lineRule="auto"/>
        <w:rPr>
          <w:u w:val="single"/>
        </w:rPr>
      </w:pPr>
      <w:r w:rsidRPr="00DD671A">
        <w:rPr>
          <w:u w:val="single"/>
        </w:rPr>
        <w:t>Usual</w:t>
      </w:r>
      <w:r w:rsidR="003C7FB2">
        <w:rPr>
          <w:u w:val="single"/>
        </w:rPr>
        <w:t xml:space="preserve"> </w:t>
      </w:r>
      <w:r w:rsidRPr="00DD671A">
        <w:rPr>
          <w:u w:val="single"/>
        </w:rPr>
        <w:t>mode</w:t>
      </w:r>
      <w:r w:rsidR="003C7FB2">
        <w:rPr>
          <w:u w:val="single"/>
        </w:rPr>
        <w:t xml:space="preserve"> </w:t>
      </w:r>
      <w:r w:rsidRPr="00DD671A">
        <w:rPr>
          <w:u w:val="single"/>
        </w:rPr>
        <w:t>of</w:t>
      </w:r>
      <w:r w:rsidR="003C7FB2">
        <w:rPr>
          <w:u w:val="single"/>
        </w:rPr>
        <w:t xml:space="preserve"> </w:t>
      </w:r>
      <w:r w:rsidRPr="00DD671A">
        <w:rPr>
          <w:u w:val="single"/>
        </w:rPr>
        <w:t>travel</w:t>
      </w:r>
    </w:p>
    <w:p w14:paraId="1FB397F6" w14:textId="77777777" w:rsidR="00F971D8" w:rsidRDefault="00F971D8" w:rsidP="00F971D8">
      <w:pPr>
        <w:spacing w:after="0" w:line="240" w:lineRule="auto"/>
      </w:pPr>
    </w:p>
    <w:p w14:paraId="47D98385" w14:textId="40803159" w:rsidR="00F971D8" w:rsidRDefault="00F971D8" w:rsidP="00F971D8">
      <w:pPr>
        <w:spacing w:after="0" w:line="240" w:lineRule="auto"/>
      </w:pPr>
      <w:r>
        <w:t>Usual</w:t>
      </w:r>
      <w:r w:rsidR="003C7FB2">
        <w:t xml:space="preserve"> </w:t>
      </w:r>
      <w:r>
        <w:t>mode</w:t>
      </w:r>
      <w:r w:rsidR="003C7FB2">
        <w:t xml:space="preserve"> </w:t>
      </w:r>
      <w:r>
        <w:t>of</w:t>
      </w:r>
      <w:r w:rsidR="003C7FB2">
        <w:t xml:space="preserve"> </w:t>
      </w:r>
      <w:r>
        <w:t>travel</w:t>
      </w:r>
      <w:r w:rsidR="003C7FB2">
        <w:t xml:space="preserve"> </w:t>
      </w:r>
      <w:r>
        <w:t>was</w:t>
      </w:r>
      <w:r w:rsidR="003C7FB2">
        <w:t xml:space="preserve"> </w:t>
      </w:r>
      <w:r>
        <w:t>also</w:t>
      </w:r>
      <w:r w:rsidR="003C7FB2">
        <w:t xml:space="preserve"> </w:t>
      </w:r>
      <w:r>
        <w:t>associated</w:t>
      </w:r>
      <w:r w:rsidR="003C7FB2">
        <w:t xml:space="preserve"> </w:t>
      </w:r>
      <w:r>
        <w:t>with</w:t>
      </w:r>
      <w:r w:rsidR="003C7FB2">
        <w:t xml:space="preserve"> </w:t>
      </w:r>
      <w:r>
        <w:t>adiposity,</w:t>
      </w:r>
      <w:r w:rsidR="003C7FB2">
        <w:t xml:space="preserve"> </w:t>
      </w:r>
      <w:r>
        <w:t>particularly</w:t>
      </w:r>
      <w:r w:rsidR="003C7FB2">
        <w:t xml:space="preserve"> </w:t>
      </w:r>
      <w:r>
        <w:t>for</w:t>
      </w:r>
      <w:r w:rsidR="003C7FB2">
        <w:t xml:space="preserve"> </w:t>
      </w:r>
      <w:r>
        <w:t>those</w:t>
      </w:r>
      <w:r w:rsidR="003C7FB2">
        <w:t xml:space="preserve"> </w:t>
      </w:r>
      <w:r>
        <w:t>living</w:t>
      </w:r>
      <w:r w:rsidR="003C7FB2">
        <w:t xml:space="preserve"> </w:t>
      </w:r>
      <w:r>
        <w:t>five</w:t>
      </w:r>
      <w:r w:rsidR="003C7FB2">
        <w:t xml:space="preserve"> </w:t>
      </w:r>
      <w:r>
        <w:t>miles</w:t>
      </w:r>
      <w:r w:rsidR="003C7FB2">
        <w:t xml:space="preserve"> </w:t>
      </w:r>
      <w:r>
        <w:t>or</w:t>
      </w:r>
      <w:r w:rsidR="003C7FB2">
        <w:t xml:space="preserve"> </w:t>
      </w:r>
      <w:r>
        <w:t>further</w:t>
      </w:r>
      <w:r w:rsidR="003C7FB2">
        <w:t xml:space="preserve"> </w:t>
      </w:r>
      <w:r>
        <w:t>from</w:t>
      </w:r>
      <w:r w:rsidR="003C7FB2">
        <w:t xml:space="preserve"> </w:t>
      </w:r>
      <w:r>
        <w:t>work</w:t>
      </w:r>
      <w:r w:rsidR="003C7FB2">
        <w:t xml:space="preserve"> </w:t>
      </w:r>
      <w:r>
        <w:t>(e.g.</w:t>
      </w:r>
      <w:r w:rsidR="003C7FB2">
        <w:t xml:space="preserve"> </w:t>
      </w:r>
      <w:r>
        <w:t>cycling,</w:t>
      </w:r>
      <w:r w:rsidR="003C7FB2">
        <w:t xml:space="preserve"> </w:t>
      </w:r>
      <w:r>
        <w:t>and</w:t>
      </w:r>
      <w:r w:rsidR="003C7FB2">
        <w:t xml:space="preserve"> </w:t>
      </w:r>
      <w:r>
        <w:t>walking</w:t>
      </w:r>
      <w:r w:rsidR="003C7FB2">
        <w:t xml:space="preserve"> </w:t>
      </w:r>
      <w:r>
        <w:t>for</w:t>
      </w:r>
      <w:r w:rsidR="003C7FB2">
        <w:t xml:space="preserve"> </w:t>
      </w:r>
      <w:r>
        <w:t>women,</w:t>
      </w:r>
      <w:r w:rsidR="003C7FB2">
        <w:t xml:space="preserve"> </w:t>
      </w:r>
      <w:r>
        <w:t>were</w:t>
      </w:r>
      <w:r w:rsidR="003C7FB2">
        <w:t xml:space="preserve"> </w:t>
      </w:r>
      <w:r>
        <w:t>associated</w:t>
      </w:r>
      <w:r w:rsidR="003C7FB2">
        <w:t xml:space="preserve"> </w:t>
      </w:r>
      <w:r>
        <w:t>with</w:t>
      </w:r>
      <w:r w:rsidR="003C7FB2">
        <w:t xml:space="preserve"> </w:t>
      </w:r>
      <w:r>
        <w:t>reduced</w:t>
      </w:r>
      <w:r w:rsidR="003C7FB2">
        <w:t xml:space="preserve"> </w:t>
      </w:r>
      <w:r>
        <w:t>body</w:t>
      </w:r>
      <w:r w:rsidR="003C7FB2">
        <w:t xml:space="preserve"> </w:t>
      </w:r>
      <w:r>
        <w:t>fat</w:t>
      </w:r>
      <w:r w:rsidR="003C7FB2">
        <w:t xml:space="preserve"> </w:t>
      </w:r>
      <w:r>
        <w:t>relative</w:t>
      </w:r>
      <w:r w:rsidR="003C7FB2">
        <w:t xml:space="preserve"> </w:t>
      </w:r>
      <w:r>
        <w:t>to</w:t>
      </w:r>
      <w:r w:rsidR="003C7FB2">
        <w:t xml:space="preserve"> </w:t>
      </w:r>
      <w:r>
        <w:t>the</w:t>
      </w:r>
      <w:r w:rsidR="003C7FB2">
        <w:t xml:space="preserve"> </w:t>
      </w:r>
      <w:r>
        <w:t>car</w:t>
      </w:r>
      <w:r w:rsidR="003C7FB2">
        <w:t xml:space="preserve"> </w:t>
      </w:r>
      <w:r>
        <w:t>as</w:t>
      </w:r>
      <w:r w:rsidR="003C7FB2">
        <w:t xml:space="preserve"> </w:t>
      </w:r>
      <w:r>
        <w:t>the</w:t>
      </w:r>
      <w:r w:rsidR="003C7FB2">
        <w:t xml:space="preserve"> </w:t>
      </w:r>
      <w:r>
        <w:t>usual</w:t>
      </w:r>
      <w:r w:rsidR="003C7FB2">
        <w:t xml:space="preserve"> </w:t>
      </w:r>
      <w:r>
        <w:t>mode</w:t>
      </w:r>
      <w:r w:rsidR="003C7FB2">
        <w:t xml:space="preserve"> </w:t>
      </w:r>
      <w:r>
        <w:t>of</w:t>
      </w:r>
      <w:r w:rsidR="003C7FB2">
        <w:t xml:space="preserve"> </w:t>
      </w:r>
      <w:r>
        <w:t>travel:</w:t>
      </w:r>
      <w:r w:rsidR="003C7FB2">
        <w:t xml:space="preserve"> </w:t>
      </w:r>
      <w:r>
        <w:t>Appendix,</w:t>
      </w:r>
      <w:r w:rsidR="003C7FB2">
        <w:t xml:space="preserve"> </w:t>
      </w:r>
      <w:r>
        <w:t>Table</w:t>
      </w:r>
      <w:r w:rsidR="003C7FB2">
        <w:t xml:space="preserve"> </w:t>
      </w:r>
      <w:r>
        <w:t>A6).</w:t>
      </w:r>
    </w:p>
    <w:p w14:paraId="7E976645" w14:textId="77777777" w:rsidR="00F971D8" w:rsidRDefault="00F971D8" w:rsidP="00F971D8">
      <w:pPr>
        <w:spacing w:after="0" w:line="240" w:lineRule="auto"/>
      </w:pPr>
    </w:p>
    <w:p w14:paraId="113B66EC" w14:textId="2EB57C2F" w:rsidR="00F971D8" w:rsidRPr="00F119D2" w:rsidRDefault="00F971D8" w:rsidP="00F971D8">
      <w:pPr>
        <w:spacing w:after="0" w:line="240" w:lineRule="auto"/>
        <w:rPr>
          <w:u w:val="single"/>
        </w:rPr>
      </w:pPr>
      <w:r>
        <w:rPr>
          <w:u w:val="single"/>
        </w:rPr>
        <w:t>Dose-response</w:t>
      </w:r>
      <w:r w:rsidR="003C7FB2">
        <w:rPr>
          <w:u w:val="single"/>
        </w:rPr>
        <w:t xml:space="preserve"> </w:t>
      </w:r>
      <w:r>
        <w:rPr>
          <w:u w:val="single"/>
        </w:rPr>
        <w:t>analysis</w:t>
      </w:r>
    </w:p>
    <w:p w14:paraId="2EE816F8" w14:textId="77777777" w:rsidR="00F971D8" w:rsidRDefault="00F971D8" w:rsidP="00F971D8">
      <w:pPr>
        <w:spacing w:after="0" w:line="240" w:lineRule="auto"/>
      </w:pPr>
    </w:p>
    <w:p w14:paraId="18C5FA85" w14:textId="31709EB7" w:rsidR="00F971D8" w:rsidRDefault="00F971D8" w:rsidP="00F971D8">
      <w:pPr>
        <w:spacing w:after="0" w:line="240" w:lineRule="auto"/>
      </w:pPr>
      <w:r>
        <w:t>There</w:t>
      </w:r>
      <w:r w:rsidR="003C7FB2">
        <w:t xml:space="preserve"> </w:t>
      </w:r>
      <w:r>
        <w:t>was</w:t>
      </w:r>
      <w:r w:rsidR="003C7FB2">
        <w:t xml:space="preserve"> </w:t>
      </w:r>
      <w:r>
        <w:t>an</w:t>
      </w:r>
      <w:r w:rsidR="003C7FB2">
        <w:t xml:space="preserve"> </w:t>
      </w:r>
      <w:r>
        <w:t>association</w:t>
      </w:r>
      <w:r w:rsidR="003C7FB2">
        <w:t xml:space="preserve"> </w:t>
      </w:r>
      <w:r>
        <w:t>between</w:t>
      </w:r>
      <w:r w:rsidR="003C7FB2">
        <w:t xml:space="preserve"> </w:t>
      </w:r>
      <w:r>
        <w:t>home-work</w:t>
      </w:r>
      <w:r w:rsidR="003C7FB2">
        <w:t xml:space="preserve"> </w:t>
      </w:r>
      <w:r>
        <w:t>distance</w:t>
      </w:r>
      <w:r w:rsidR="003C7FB2">
        <w:t xml:space="preserve"> </w:t>
      </w:r>
      <w:r>
        <w:t>and</w:t>
      </w:r>
      <w:r w:rsidR="003C7FB2">
        <w:t xml:space="preserve"> </w:t>
      </w:r>
      <w:r>
        <w:t>body</w:t>
      </w:r>
      <w:r w:rsidR="003C7FB2">
        <w:t xml:space="preserve"> </w:t>
      </w:r>
      <w:r>
        <w:t>fat</w:t>
      </w:r>
      <w:r w:rsidR="003C7FB2">
        <w:t xml:space="preserve"> </w:t>
      </w:r>
      <w:r>
        <w:t>among</w:t>
      </w:r>
      <w:r w:rsidR="003C7FB2">
        <w:t xml:space="preserve"> </w:t>
      </w:r>
      <w:r>
        <w:t>those</w:t>
      </w:r>
      <w:r w:rsidR="003C7FB2">
        <w:t xml:space="preserve"> </w:t>
      </w:r>
      <w:r>
        <w:t>who</w:t>
      </w:r>
      <w:r w:rsidR="003C7FB2">
        <w:t xml:space="preserve"> </w:t>
      </w:r>
      <w:r>
        <w:t>only</w:t>
      </w:r>
      <w:r w:rsidR="003C7FB2">
        <w:t xml:space="preserve"> </w:t>
      </w:r>
      <w:r>
        <w:t>cycled</w:t>
      </w:r>
      <w:r w:rsidR="003C7FB2">
        <w:t xml:space="preserve"> </w:t>
      </w:r>
      <w:r>
        <w:t>to</w:t>
      </w:r>
      <w:r w:rsidR="003C7FB2">
        <w:t xml:space="preserve"> </w:t>
      </w:r>
      <w:r>
        <w:t>work</w:t>
      </w:r>
      <w:r w:rsidR="003C7FB2">
        <w:t xml:space="preserve"> </w:t>
      </w:r>
      <w:r>
        <w:t>(among</w:t>
      </w:r>
      <w:r w:rsidR="003C7FB2">
        <w:t xml:space="preserve"> </w:t>
      </w:r>
      <w:r>
        <w:t>those</w:t>
      </w:r>
      <w:r w:rsidR="003C7FB2">
        <w:t xml:space="preserve"> </w:t>
      </w:r>
      <w:r>
        <w:t>living</w:t>
      </w:r>
      <w:r w:rsidR="003C7FB2">
        <w:t xml:space="preserve"> </w:t>
      </w:r>
      <w:r>
        <w:t>within</w:t>
      </w:r>
      <w:r w:rsidR="003C7FB2">
        <w:t xml:space="preserve"> </w:t>
      </w:r>
      <w:r>
        <w:t>five</w:t>
      </w:r>
      <w:r w:rsidR="003C7FB2">
        <w:t xml:space="preserve"> </w:t>
      </w:r>
      <w:r>
        <w:t>miles</w:t>
      </w:r>
      <w:r w:rsidR="003C7FB2">
        <w:t xml:space="preserve"> </w:t>
      </w:r>
      <w:r>
        <w:t>of</w:t>
      </w:r>
      <w:r w:rsidR="003C7FB2">
        <w:t xml:space="preserve"> </w:t>
      </w:r>
      <w:r>
        <w:t>work:</w:t>
      </w:r>
      <w:r w:rsidR="003C7FB2">
        <w:t xml:space="preserve"> </w:t>
      </w:r>
      <w:r>
        <w:t>-0.54</w:t>
      </w:r>
      <w:r w:rsidR="003C7FB2">
        <w:t xml:space="preserve"> </w:t>
      </w:r>
      <w:r>
        <w:t>%</w:t>
      </w:r>
      <w:r w:rsidR="003C7FB2">
        <w:t xml:space="preserve"> </w:t>
      </w:r>
      <w:r>
        <w:t>per</w:t>
      </w:r>
      <w:r w:rsidR="003C7FB2">
        <w:t xml:space="preserve"> </w:t>
      </w:r>
      <w:r>
        <w:t>mile,</w:t>
      </w:r>
      <w:r w:rsidR="003C7FB2">
        <w:t xml:space="preserve"> </w:t>
      </w:r>
      <w:r>
        <w:t>95%</w:t>
      </w:r>
      <w:r w:rsidR="003C7FB2">
        <w:t xml:space="preserve"> </w:t>
      </w:r>
      <w:r>
        <w:t>CI:</w:t>
      </w:r>
      <w:r w:rsidR="003C7FB2">
        <w:t xml:space="preserve"> </w:t>
      </w:r>
      <w:r>
        <w:t>-1.01</w:t>
      </w:r>
      <w:r w:rsidR="003C7FB2">
        <w:t xml:space="preserve"> </w:t>
      </w:r>
      <w:r>
        <w:t>to</w:t>
      </w:r>
      <w:r w:rsidR="003C7FB2">
        <w:t xml:space="preserve"> </w:t>
      </w:r>
      <w:r>
        <w:t>-0.08,</w:t>
      </w:r>
      <w:r w:rsidR="003C7FB2">
        <w:t xml:space="preserve"> </w:t>
      </w:r>
      <w:r>
        <w:t>n=554),</w:t>
      </w:r>
      <w:r w:rsidR="003C7FB2">
        <w:t xml:space="preserve"> </w:t>
      </w:r>
      <w:r>
        <w:t>but</w:t>
      </w:r>
      <w:r w:rsidR="003C7FB2">
        <w:t xml:space="preserve"> </w:t>
      </w:r>
      <w:r>
        <w:t>the</w:t>
      </w:r>
      <w:r w:rsidR="003C7FB2">
        <w:t xml:space="preserve"> </w:t>
      </w:r>
      <w:r>
        <w:t>equivalent</w:t>
      </w:r>
      <w:r w:rsidR="003C7FB2">
        <w:t xml:space="preserve"> </w:t>
      </w:r>
      <w:r>
        <w:t>associations</w:t>
      </w:r>
      <w:r w:rsidR="003C7FB2">
        <w:t xml:space="preserve"> </w:t>
      </w:r>
      <w:r>
        <w:t>for</w:t>
      </w:r>
      <w:r w:rsidR="003C7FB2">
        <w:t xml:space="preserve"> </w:t>
      </w:r>
      <w:r>
        <w:t>VAT</w:t>
      </w:r>
      <w:r w:rsidR="003C7FB2">
        <w:t xml:space="preserve"> </w:t>
      </w:r>
      <w:r>
        <w:t>and</w:t>
      </w:r>
      <w:r w:rsidR="003C7FB2">
        <w:t xml:space="preserve"> </w:t>
      </w:r>
      <w:r>
        <w:t>for</w:t>
      </w:r>
      <w:r w:rsidR="003C7FB2">
        <w:t xml:space="preserve"> </w:t>
      </w:r>
      <w:r>
        <w:t>walking</w:t>
      </w:r>
      <w:r w:rsidR="003C7FB2">
        <w:t xml:space="preserve"> </w:t>
      </w:r>
      <w:r>
        <w:t>were</w:t>
      </w:r>
      <w:r w:rsidR="003C7FB2">
        <w:t xml:space="preserve"> </w:t>
      </w:r>
      <w:r>
        <w:t>not</w:t>
      </w:r>
      <w:r w:rsidR="003C7FB2">
        <w:t xml:space="preserve"> </w:t>
      </w:r>
      <w:r>
        <w:t>significant</w:t>
      </w:r>
      <w:r w:rsidR="003C7FB2">
        <w:t xml:space="preserve"> </w:t>
      </w:r>
      <w:r>
        <w:t>(cycling</w:t>
      </w:r>
      <w:r w:rsidR="003C7FB2">
        <w:t xml:space="preserve"> </w:t>
      </w:r>
      <w:r>
        <w:t>and</w:t>
      </w:r>
      <w:r w:rsidR="003C7FB2">
        <w:t xml:space="preserve"> </w:t>
      </w:r>
      <w:r>
        <w:t>VAT:</w:t>
      </w:r>
      <w:r w:rsidR="003C7FB2">
        <w:t xml:space="preserve"> </w:t>
      </w:r>
      <w:r>
        <w:t>-0.64</w:t>
      </w:r>
      <w:r w:rsidR="003C7FB2">
        <w:t xml:space="preserve"> </w:t>
      </w:r>
      <w:r>
        <w:t>cm</w:t>
      </w:r>
      <w:r w:rsidRPr="00D122E8">
        <w:rPr>
          <w:vertAlign w:val="superscript"/>
        </w:rPr>
        <w:t>3/2</w:t>
      </w:r>
      <w:r w:rsidR="003C7FB2">
        <w:rPr>
          <w:vertAlign w:val="superscript"/>
        </w:rPr>
        <w:t xml:space="preserve"> </w:t>
      </w:r>
      <w:r>
        <w:t>per</w:t>
      </w:r>
      <w:r w:rsidR="003C7FB2">
        <w:t xml:space="preserve"> </w:t>
      </w:r>
      <w:r>
        <w:t>mile,</w:t>
      </w:r>
      <w:r w:rsidR="003C7FB2">
        <w:t xml:space="preserve"> </w:t>
      </w:r>
      <w:r>
        <w:t>95%</w:t>
      </w:r>
      <w:r w:rsidR="003C7FB2">
        <w:t xml:space="preserve"> </w:t>
      </w:r>
      <w:r>
        <w:t>CI:</w:t>
      </w:r>
      <w:r w:rsidR="003C7FB2">
        <w:t xml:space="preserve"> </w:t>
      </w:r>
      <w:r>
        <w:t>-1.53</w:t>
      </w:r>
      <w:r w:rsidR="003C7FB2">
        <w:t xml:space="preserve"> </w:t>
      </w:r>
      <w:r>
        <w:t>to</w:t>
      </w:r>
      <w:r w:rsidR="003C7FB2">
        <w:t xml:space="preserve"> </w:t>
      </w:r>
      <w:r>
        <w:t>0.25,</w:t>
      </w:r>
      <w:r w:rsidR="003C7FB2">
        <w:t xml:space="preserve"> </w:t>
      </w:r>
      <w:r>
        <w:t>n=530;</w:t>
      </w:r>
      <w:r w:rsidR="003C7FB2">
        <w:t xml:space="preserve"> </w:t>
      </w:r>
      <w:r>
        <w:t>walking</w:t>
      </w:r>
      <w:r w:rsidR="003C7FB2">
        <w:t xml:space="preserve"> </w:t>
      </w:r>
      <w:r>
        <w:t>and</w:t>
      </w:r>
      <w:r w:rsidR="003C7FB2">
        <w:t xml:space="preserve"> </w:t>
      </w:r>
      <w:r>
        <w:t>body</w:t>
      </w:r>
      <w:r w:rsidR="003C7FB2">
        <w:t xml:space="preserve"> </w:t>
      </w:r>
      <w:r>
        <w:t>fat:</w:t>
      </w:r>
      <w:r w:rsidR="003C7FB2">
        <w:t xml:space="preserve"> </w:t>
      </w:r>
      <w:r>
        <w:t>-0.32</w:t>
      </w:r>
      <w:r w:rsidR="003C7FB2">
        <w:t xml:space="preserve"> </w:t>
      </w:r>
      <w:r>
        <w:t>%</w:t>
      </w:r>
      <w:r w:rsidR="003C7FB2">
        <w:t xml:space="preserve"> </w:t>
      </w:r>
      <w:r>
        <w:t>per</w:t>
      </w:r>
      <w:r w:rsidR="003C7FB2">
        <w:t xml:space="preserve"> </w:t>
      </w:r>
      <w:r>
        <w:t>mile,</w:t>
      </w:r>
      <w:r w:rsidR="003C7FB2">
        <w:t xml:space="preserve"> </w:t>
      </w:r>
      <w:r>
        <w:t>95%</w:t>
      </w:r>
      <w:r w:rsidR="003C7FB2">
        <w:t xml:space="preserve"> </w:t>
      </w:r>
      <w:r>
        <w:t>CI:</w:t>
      </w:r>
      <w:r w:rsidR="003C7FB2">
        <w:t xml:space="preserve"> </w:t>
      </w:r>
      <w:r>
        <w:t>-1.51</w:t>
      </w:r>
      <w:r w:rsidR="003C7FB2">
        <w:t xml:space="preserve"> </w:t>
      </w:r>
      <w:r>
        <w:t>to</w:t>
      </w:r>
      <w:r w:rsidR="003C7FB2">
        <w:t xml:space="preserve"> </w:t>
      </w:r>
      <w:r>
        <w:t>0.88,</w:t>
      </w:r>
      <w:r w:rsidR="003C7FB2">
        <w:t xml:space="preserve"> </w:t>
      </w:r>
      <w:r>
        <w:t>n=243;</w:t>
      </w:r>
      <w:r w:rsidR="003C7FB2">
        <w:t xml:space="preserve"> </w:t>
      </w:r>
      <w:r>
        <w:t>walking</w:t>
      </w:r>
      <w:r w:rsidR="003C7FB2">
        <w:t xml:space="preserve"> </w:t>
      </w:r>
      <w:r>
        <w:t>and</w:t>
      </w:r>
      <w:r w:rsidR="003C7FB2">
        <w:t xml:space="preserve"> </w:t>
      </w:r>
      <w:r>
        <w:t>VAT:</w:t>
      </w:r>
      <w:r w:rsidR="003C7FB2">
        <w:t xml:space="preserve"> </w:t>
      </w:r>
      <w:r>
        <w:t>-1.24</w:t>
      </w:r>
      <w:r w:rsidR="003C7FB2">
        <w:t xml:space="preserve"> </w:t>
      </w:r>
      <w:r>
        <w:t>cm</w:t>
      </w:r>
      <w:r w:rsidRPr="00D122E8">
        <w:rPr>
          <w:vertAlign w:val="superscript"/>
        </w:rPr>
        <w:t>3/2</w:t>
      </w:r>
      <w:r w:rsidR="003C7FB2">
        <w:t xml:space="preserve"> </w:t>
      </w:r>
      <w:r>
        <w:t>per</w:t>
      </w:r>
      <w:r w:rsidR="003C7FB2">
        <w:t xml:space="preserve"> </w:t>
      </w:r>
      <w:r>
        <w:t>mile,</w:t>
      </w:r>
      <w:r w:rsidR="003C7FB2">
        <w:t xml:space="preserve"> </w:t>
      </w:r>
      <w:r>
        <w:t>95%</w:t>
      </w:r>
      <w:r w:rsidR="003C7FB2">
        <w:t xml:space="preserve"> </w:t>
      </w:r>
      <w:r>
        <w:t>CI:</w:t>
      </w:r>
      <w:r w:rsidR="003C7FB2">
        <w:t xml:space="preserve"> </w:t>
      </w:r>
      <w:r>
        <w:t>-3.40</w:t>
      </w:r>
      <w:r w:rsidR="003C7FB2">
        <w:t xml:space="preserve"> </w:t>
      </w:r>
      <w:r>
        <w:t>to</w:t>
      </w:r>
      <w:r w:rsidR="003C7FB2">
        <w:t xml:space="preserve"> </w:t>
      </w:r>
      <w:r>
        <w:t>0.59,</w:t>
      </w:r>
      <w:r w:rsidR="003C7FB2">
        <w:t xml:space="preserve"> </w:t>
      </w:r>
      <w:r>
        <w:t>n=242).</w:t>
      </w:r>
      <w:r w:rsidR="003C7FB2">
        <w:t xml:space="preserve"> </w:t>
      </w:r>
    </w:p>
    <w:p w14:paraId="765903B2" w14:textId="77777777" w:rsidR="00FD18AF" w:rsidRDefault="00FD18AF" w:rsidP="001F7BCD">
      <w:pPr>
        <w:spacing w:after="0" w:line="240" w:lineRule="auto"/>
      </w:pPr>
    </w:p>
    <w:p w14:paraId="4FEFB9D3" w14:textId="77777777" w:rsidR="00FD18AF" w:rsidRDefault="00FD18AF" w:rsidP="001F7BCD">
      <w:pPr>
        <w:spacing w:after="0" w:line="240" w:lineRule="auto"/>
      </w:pPr>
    </w:p>
    <w:p w14:paraId="4ED96611" w14:textId="6FCF9159" w:rsidR="00F74FD3" w:rsidRPr="00F74FD3" w:rsidRDefault="00F74FD3" w:rsidP="00F971D8">
      <w:pPr>
        <w:rPr>
          <w:b/>
        </w:rPr>
      </w:pPr>
      <w:r w:rsidRPr="00F74FD3">
        <w:rPr>
          <w:b/>
        </w:rPr>
        <w:t>Discussion</w:t>
      </w:r>
    </w:p>
    <w:p w14:paraId="3B417534" w14:textId="77777777" w:rsidR="00F74FD3" w:rsidRDefault="00F74FD3" w:rsidP="001F7BCD">
      <w:pPr>
        <w:spacing w:after="0" w:line="240" w:lineRule="auto"/>
      </w:pPr>
    </w:p>
    <w:p w14:paraId="2B972E5A" w14:textId="490E7008" w:rsidR="00F74FD3" w:rsidRDefault="00F74FD3" w:rsidP="001F7BCD">
      <w:pPr>
        <w:spacing w:after="0" w:line="240" w:lineRule="auto"/>
        <w:rPr>
          <w:u w:val="single"/>
        </w:rPr>
      </w:pPr>
      <w:r w:rsidRPr="00F74FD3">
        <w:rPr>
          <w:u w:val="single"/>
        </w:rPr>
        <w:t>Principal</w:t>
      </w:r>
      <w:r w:rsidR="003C7FB2">
        <w:rPr>
          <w:u w:val="single"/>
        </w:rPr>
        <w:t xml:space="preserve"> </w:t>
      </w:r>
      <w:r w:rsidRPr="00F74FD3">
        <w:rPr>
          <w:u w:val="single"/>
        </w:rPr>
        <w:t>findings</w:t>
      </w:r>
    </w:p>
    <w:p w14:paraId="32BD1F1B" w14:textId="77777777" w:rsidR="00F74FD3" w:rsidRDefault="00F74FD3" w:rsidP="001F7BCD">
      <w:pPr>
        <w:spacing w:after="0" w:line="240" w:lineRule="auto"/>
        <w:rPr>
          <w:u w:val="single"/>
        </w:rPr>
      </w:pPr>
    </w:p>
    <w:p w14:paraId="45B88301" w14:textId="208FA1EA" w:rsidR="00F74FD3" w:rsidRDefault="00F50017" w:rsidP="00813B63">
      <w:pPr>
        <w:spacing w:after="0" w:line="240" w:lineRule="auto"/>
      </w:pPr>
      <w:r>
        <w:t>A</w:t>
      </w:r>
      <w:r w:rsidR="008E747D">
        <w:t>mong</w:t>
      </w:r>
      <w:r w:rsidR="003C7FB2">
        <w:t xml:space="preserve"> </w:t>
      </w:r>
      <w:r w:rsidR="00813B63">
        <w:t>those</w:t>
      </w:r>
      <w:r w:rsidR="003C7FB2">
        <w:t xml:space="preserve"> </w:t>
      </w:r>
      <w:r>
        <w:t>living</w:t>
      </w:r>
      <w:r w:rsidR="003C7FB2">
        <w:t xml:space="preserve"> </w:t>
      </w:r>
      <w:r>
        <w:t>within</w:t>
      </w:r>
      <w:r w:rsidR="003C7FB2">
        <w:t xml:space="preserve"> </w:t>
      </w:r>
      <w:r>
        <w:t>five</w:t>
      </w:r>
      <w:r w:rsidR="003C7FB2">
        <w:t xml:space="preserve"> </w:t>
      </w:r>
      <w:r>
        <w:t>miles</w:t>
      </w:r>
      <w:r w:rsidR="003C7FB2">
        <w:t xml:space="preserve"> </w:t>
      </w:r>
      <w:r>
        <w:t>of</w:t>
      </w:r>
      <w:r w:rsidR="003C7FB2">
        <w:t xml:space="preserve"> </w:t>
      </w:r>
      <w:r>
        <w:t>work</w:t>
      </w:r>
      <w:r w:rsidR="00F64DDA">
        <w:t>,</w:t>
      </w:r>
      <w:r w:rsidR="003C7FB2">
        <w:t xml:space="preserve"> </w:t>
      </w:r>
      <w:r w:rsidR="006D68E2">
        <w:t>people</w:t>
      </w:r>
      <w:r w:rsidR="003C7FB2">
        <w:t xml:space="preserve"> </w:t>
      </w:r>
      <w:r w:rsidR="006D68E2">
        <w:t>who</w:t>
      </w:r>
      <w:r w:rsidR="003C7FB2">
        <w:t xml:space="preserve"> </w:t>
      </w:r>
      <w:r w:rsidR="006D68E2">
        <w:t>reported</w:t>
      </w:r>
      <w:r w:rsidR="003C7FB2">
        <w:t xml:space="preserve"> </w:t>
      </w:r>
      <w:r w:rsidR="006D68E2">
        <w:t>regularly</w:t>
      </w:r>
      <w:r w:rsidR="003C7FB2">
        <w:t xml:space="preserve"> </w:t>
      </w:r>
      <w:r w:rsidR="00813B63">
        <w:t>cycling</w:t>
      </w:r>
      <w:r w:rsidR="003C7FB2">
        <w:t xml:space="preserve"> </w:t>
      </w:r>
      <w:r w:rsidR="00813B63">
        <w:t>to</w:t>
      </w:r>
      <w:r w:rsidR="003C7FB2">
        <w:t xml:space="preserve"> </w:t>
      </w:r>
      <w:r w:rsidR="00813B63">
        <w:t>work</w:t>
      </w:r>
      <w:r w:rsidR="003C7FB2">
        <w:t xml:space="preserve"> </w:t>
      </w:r>
      <w:r w:rsidR="006D68E2">
        <w:t>had</w:t>
      </w:r>
      <w:r w:rsidR="003C7FB2">
        <w:t xml:space="preserve"> </w:t>
      </w:r>
      <w:r w:rsidR="002C11E6">
        <w:t>reduced</w:t>
      </w:r>
      <w:r w:rsidR="003C7FB2">
        <w:t xml:space="preserve"> </w:t>
      </w:r>
      <w:r w:rsidR="00F74FD3">
        <w:t>body</w:t>
      </w:r>
      <w:r w:rsidR="003C7FB2">
        <w:t xml:space="preserve"> </w:t>
      </w:r>
      <w:r w:rsidR="00F74FD3">
        <w:t>fat</w:t>
      </w:r>
      <w:r w:rsidR="003C7FB2">
        <w:t xml:space="preserve"> </w:t>
      </w:r>
      <w:r w:rsidR="00F64DDA">
        <w:t>and</w:t>
      </w:r>
      <w:r w:rsidR="003C7FB2">
        <w:t xml:space="preserve"> </w:t>
      </w:r>
      <w:r w:rsidR="00877E53">
        <w:t>visceral</w:t>
      </w:r>
      <w:r w:rsidR="003C7FB2">
        <w:t xml:space="preserve"> </w:t>
      </w:r>
      <w:r w:rsidR="00877E53">
        <w:t>adipose</w:t>
      </w:r>
      <w:r w:rsidR="003C7FB2">
        <w:t xml:space="preserve"> </w:t>
      </w:r>
      <w:r w:rsidR="00877E53">
        <w:t>tissue</w:t>
      </w:r>
      <w:r w:rsidR="003C7FB2">
        <w:t xml:space="preserve"> </w:t>
      </w:r>
      <w:r w:rsidR="00877E53">
        <w:t>(</w:t>
      </w:r>
      <w:r w:rsidR="00154627">
        <w:t>VAT</w:t>
      </w:r>
      <w:r w:rsidR="00877E53">
        <w:t>)</w:t>
      </w:r>
      <w:r w:rsidR="003C7FB2">
        <w:t xml:space="preserve"> </w:t>
      </w:r>
      <w:r>
        <w:t>compared</w:t>
      </w:r>
      <w:r w:rsidR="003C7FB2">
        <w:t xml:space="preserve"> </w:t>
      </w:r>
      <w:r>
        <w:t>to</w:t>
      </w:r>
      <w:r w:rsidR="003C7FB2">
        <w:t xml:space="preserve"> </w:t>
      </w:r>
      <w:r w:rsidR="006D68E2">
        <w:t>those</w:t>
      </w:r>
      <w:r w:rsidR="003C7FB2">
        <w:t xml:space="preserve"> </w:t>
      </w:r>
      <w:r w:rsidR="006D68E2">
        <w:t>using</w:t>
      </w:r>
      <w:r w:rsidR="003C7FB2">
        <w:t xml:space="preserve"> </w:t>
      </w:r>
      <w:r w:rsidR="00BD169D">
        <w:t>only</w:t>
      </w:r>
      <w:r w:rsidR="003C7FB2">
        <w:t xml:space="preserve"> </w:t>
      </w:r>
      <w:r w:rsidR="006D68E2">
        <w:t>the</w:t>
      </w:r>
      <w:r w:rsidR="003C7FB2">
        <w:t xml:space="preserve"> </w:t>
      </w:r>
      <w:r w:rsidR="006D68E2">
        <w:t>car</w:t>
      </w:r>
      <w:r w:rsidR="002C11E6">
        <w:t>.</w:t>
      </w:r>
      <w:r w:rsidR="003C7FB2">
        <w:t xml:space="preserve"> </w:t>
      </w:r>
      <w:r w:rsidR="00813B63">
        <w:t>Among</w:t>
      </w:r>
      <w:r w:rsidR="003C7FB2">
        <w:t xml:space="preserve"> </w:t>
      </w:r>
      <w:r w:rsidR="00813B63">
        <w:t>those</w:t>
      </w:r>
      <w:r w:rsidR="003C7FB2">
        <w:t xml:space="preserve"> </w:t>
      </w:r>
      <w:r w:rsidR="00A83545">
        <w:t>liv</w:t>
      </w:r>
      <w:r>
        <w:t>ing</w:t>
      </w:r>
      <w:r w:rsidR="003C7FB2">
        <w:t xml:space="preserve"> </w:t>
      </w:r>
      <w:r w:rsidR="00272EFC">
        <w:t>five</w:t>
      </w:r>
      <w:r w:rsidR="003C7FB2">
        <w:t xml:space="preserve"> </w:t>
      </w:r>
      <w:r w:rsidR="00272EFC">
        <w:t>miles</w:t>
      </w:r>
      <w:r w:rsidR="003C7FB2">
        <w:t xml:space="preserve"> </w:t>
      </w:r>
      <w:r w:rsidR="00272EFC">
        <w:t>or</w:t>
      </w:r>
      <w:r w:rsidR="003C7FB2">
        <w:t xml:space="preserve"> </w:t>
      </w:r>
      <w:r w:rsidR="00272EFC">
        <w:t>fu</w:t>
      </w:r>
      <w:r w:rsidR="00957E62">
        <w:t>r</w:t>
      </w:r>
      <w:r w:rsidR="00272EFC">
        <w:t>ther</w:t>
      </w:r>
      <w:r w:rsidR="003C7FB2">
        <w:t xml:space="preserve"> </w:t>
      </w:r>
      <w:r w:rsidR="002C11E6">
        <w:t>from</w:t>
      </w:r>
      <w:r w:rsidR="003C7FB2">
        <w:t xml:space="preserve"> </w:t>
      </w:r>
      <w:r w:rsidR="002C11E6">
        <w:t>work,</w:t>
      </w:r>
      <w:r w:rsidR="003C7FB2">
        <w:t xml:space="preserve"> </w:t>
      </w:r>
      <w:r w:rsidR="006D68E2">
        <w:t>people</w:t>
      </w:r>
      <w:r w:rsidR="003C7FB2">
        <w:t xml:space="preserve"> </w:t>
      </w:r>
      <w:r w:rsidR="006D68E2">
        <w:t>who</w:t>
      </w:r>
      <w:r w:rsidR="003C7FB2">
        <w:t xml:space="preserve"> </w:t>
      </w:r>
      <w:r w:rsidR="006D68E2">
        <w:t>reported</w:t>
      </w:r>
      <w:r w:rsidR="003C7FB2">
        <w:t xml:space="preserve"> </w:t>
      </w:r>
      <w:r>
        <w:t>regular</w:t>
      </w:r>
      <w:r w:rsidR="003C7FB2">
        <w:t xml:space="preserve"> </w:t>
      </w:r>
      <w:r>
        <w:t>car-use</w:t>
      </w:r>
      <w:r w:rsidR="003C7FB2">
        <w:t xml:space="preserve"> </w:t>
      </w:r>
      <w:r w:rsidR="006D68E2">
        <w:t>combined</w:t>
      </w:r>
      <w:r w:rsidR="003C7FB2">
        <w:t xml:space="preserve"> </w:t>
      </w:r>
      <w:r>
        <w:t>with</w:t>
      </w:r>
      <w:r w:rsidR="003C7FB2">
        <w:t xml:space="preserve"> </w:t>
      </w:r>
      <w:r w:rsidR="006D68E2">
        <w:t>active</w:t>
      </w:r>
      <w:r w:rsidR="003C7FB2">
        <w:t xml:space="preserve"> </w:t>
      </w:r>
      <w:r w:rsidR="006D68E2">
        <w:t>travel</w:t>
      </w:r>
      <w:r w:rsidR="003C7FB2">
        <w:t xml:space="preserve"> </w:t>
      </w:r>
      <w:r w:rsidR="006D68E2">
        <w:t>had</w:t>
      </w:r>
      <w:r w:rsidR="003C7FB2">
        <w:t xml:space="preserve"> </w:t>
      </w:r>
      <w:r w:rsidR="002C11E6">
        <w:t>reduced</w:t>
      </w:r>
      <w:r w:rsidR="003C7FB2">
        <w:t xml:space="preserve"> </w:t>
      </w:r>
      <w:r w:rsidR="00813B63">
        <w:t>body</w:t>
      </w:r>
      <w:r w:rsidR="003C7FB2">
        <w:t xml:space="preserve"> </w:t>
      </w:r>
      <w:r w:rsidR="00F64DDA">
        <w:t>fat</w:t>
      </w:r>
      <w:r w:rsidR="003C7FB2">
        <w:t xml:space="preserve"> </w:t>
      </w:r>
      <w:r>
        <w:t>and</w:t>
      </w:r>
      <w:r w:rsidR="003C7FB2">
        <w:t xml:space="preserve"> </w:t>
      </w:r>
      <w:r>
        <w:t>VAT</w:t>
      </w:r>
      <w:r w:rsidR="003C7FB2">
        <w:t xml:space="preserve"> </w:t>
      </w:r>
      <w:r>
        <w:t>compared</w:t>
      </w:r>
      <w:r w:rsidR="003C7FB2">
        <w:t xml:space="preserve"> </w:t>
      </w:r>
      <w:r>
        <w:t>to</w:t>
      </w:r>
      <w:r w:rsidR="003C7FB2">
        <w:t xml:space="preserve"> </w:t>
      </w:r>
      <w:r w:rsidR="006D68E2">
        <w:t>those</w:t>
      </w:r>
      <w:r w:rsidR="003C7FB2">
        <w:t xml:space="preserve"> </w:t>
      </w:r>
      <w:r w:rsidR="006D68E2">
        <w:t>using</w:t>
      </w:r>
      <w:r w:rsidR="003C7FB2">
        <w:t xml:space="preserve"> </w:t>
      </w:r>
      <w:r w:rsidR="00BD169D">
        <w:t>only</w:t>
      </w:r>
      <w:r w:rsidR="003C7FB2">
        <w:t xml:space="preserve"> </w:t>
      </w:r>
      <w:r w:rsidR="006D68E2">
        <w:t>the</w:t>
      </w:r>
      <w:r w:rsidR="003C7FB2">
        <w:t xml:space="preserve"> </w:t>
      </w:r>
      <w:r w:rsidR="006D68E2">
        <w:t>car</w:t>
      </w:r>
      <w:r>
        <w:t>.</w:t>
      </w:r>
      <w:r w:rsidR="003C7FB2">
        <w:t xml:space="preserve"> </w:t>
      </w:r>
      <w:r w:rsidR="006D68E2">
        <w:t>People</w:t>
      </w:r>
      <w:r w:rsidR="003C7FB2">
        <w:t xml:space="preserve"> </w:t>
      </w:r>
      <w:r w:rsidR="006D68E2">
        <w:t>who</w:t>
      </w:r>
      <w:r w:rsidR="003C7FB2">
        <w:t xml:space="preserve"> </w:t>
      </w:r>
      <w:r w:rsidR="006D68E2">
        <w:t>reported</w:t>
      </w:r>
      <w:r w:rsidR="003C7FB2">
        <w:t xml:space="preserve"> </w:t>
      </w:r>
      <w:r w:rsidR="006D68E2">
        <w:t>w</w:t>
      </w:r>
      <w:r>
        <w:t>alking</w:t>
      </w:r>
      <w:r w:rsidR="003C7FB2">
        <w:t xml:space="preserve"> </w:t>
      </w:r>
      <w:r>
        <w:t>or</w:t>
      </w:r>
      <w:r w:rsidR="003C7FB2">
        <w:t xml:space="preserve"> </w:t>
      </w:r>
      <w:r>
        <w:t>cycling</w:t>
      </w:r>
      <w:r w:rsidR="003C7FB2">
        <w:t xml:space="preserve"> </w:t>
      </w:r>
      <w:r>
        <w:t>as</w:t>
      </w:r>
      <w:r w:rsidR="003C7FB2">
        <w:t xml:space="preserve"> </w:t>
      </w:r>
      <w:r w:rsidR="006D68E2">
        <w:t>their</w:t>
      </w:r>
      <w:r w:rsidR="003C7FB2">
        <w:t xml:space="preserve"> </w:t>
      </w:r>
      <w:r>
        <w:t>usual</w:t>
      </w:r>
      <w:r w:rsidR="003C7FB2">
        <w:t xml:space="preserve"> </w:t>
      </w:r>
      <w:r>
        <w:t>mode</w:t>
      </w:r>
      <w:r w:rsidR="003C7FB2">
        <w:t xml:space="preserve"> </w:t>
      </w:r>
      <w:r>
        <w:t>of</w:t>
      </w:r>
      <w:r w:rsidR="003C7FB2">
        <w:t xml:space="preserve"> </w:t>
      </w:r>
      <w:r>
        <w:t>travel</w:t>
      </w:r>
      <w:r w:rsidR="003C7FB2">
        <w:t xml:space="preserve"> </w:t>
      </w:r>
      <w:r w:rsidR="006D68E2">
        <w:t>had</w:t>
      </w:r>
      <w:r w:rsidR="003C7FB2">
        <w:t xml:space="preserve"> </w:t>
      </w:r>
      <w:r>
        <w:t>reduced</w:t>
      </w:r>
      <w:r w:rsidR="003C7FB2">
        <w:t xml:space="preserve"> </w:t>
      </w:r>
      <w:r>
        <w:t>adiposity</w:t>
      </w:r>
      <w:r w:rsidR="003C7FB2">
        <w:t xml:space="preserve"> </w:t>
      </w:r>
      <w:r w:rsidR="00F31DBB">
        <w:t>compared</w:t>
      </w:r>
      <w:r w:rsidR="003C7FB2">
        <w:t xml:space="preserve"> </w:t>
      </w:r>
      <w:r w:rsidR="00F31DBB">
        <w:t>to</w:t>
      </w:r>
      <w:r w:rsidR="003C7FB2">
        <w:t xml:space="preserve"> </w:t>
      </w:r>
      <w:r w:rsidR="00F31DBB">
        <w:t>people</w:t>
      </w:r>
      <w:r w:rsidR="003C7FB2">
        <w:t xml:space="preserve"> </w:t>
      </w:r>
      <w:r w:rsidR="00F31DBB">
        <w:t>who</w:t>
      </w:r>
      <w:r w:rsidR="003C7FB2">
        <w:t xml:space="preserve"> </w:t>
      </w:r>
      <w:r w:rsidR="00F31DBB">
        <w:t>only</w:t>
      </w:r>
      <w:r w:rsidR="003C7FB2">
        <w:t xml:space="preserve"> </w:t>
      </w:r>
      <w:r w:rsidR="006D68E2">
        <w:t>used</w:t>
      </w:r>
      <w:r w:rsidR="003C7FB2">
        <w:t xml:space="preserve"> </w:t>
      </w:r>
      <w:r w:rsidR="006D68E2">
        <w:t>the</w:t>
      </w:r>
      <w:r w:rsidR="003C7FB2">
        <w:t xml:space="preserve"> </w:t>
      </w:r>
      <w:r w:rsidR="006D68E2">
        <w:t>car</w:t>
      </w:r>
      <w:r>
        <w:t>.</w:t>
      </w:r>
      <w:r w:rsidR="003C7FB2">
        <w:t xml:space="preserve"> </w:t>
      </w:r>
      <w:r>
        <w:t>Among</w:t>
      </w:r>
      <w:r w:rsidR="003C7FB2">
        <w:t xml:space="preserve"> </w:t>
      </w:r>
      <w:r>
        <w:t>those</w:t>
      </w:r>
      <w:r w:rsidR="003C7FB2">
        <w:t xml:space="preserve"> </w:t>
      </w:r>
      <w:r>
        <w:t>who</w:t>
      </w:r>
      <w:r w:rsidR="003C7FB2">
        <w:t xml:space="preserve"> </w:t>
      </w:r>
      <w:r>
        <w:t>cycled</w:t>
      </w:r>
      <w:r w:rsidR="003C7FB2">
        <w:t xml:space="preserve"> </w:t>
      </w:r>
      <w:r>
        <w:t>to</w:t>
      </w:r>
      <w:r w:rsidR="003C7FB2">
        <w:t xml:space="preserve"> </w:t>
      </w:r>
      <w:r>
        <w:t>work,</w:t>
      </w:r>
      <w:r w:rsidR="003C7FB2">
        <w:t xml:space="preserve"> </w:t>
      </w:r>
      <w:r>
        <w:t>there</w:t>
      </w:r>
      <w:r w:rsidR="003C7FB2">
        <w:t xml:space="preserve"> </w:t>
      </w:r>
      <w:r>
        <w:t>was</w:t>
      </w:r>
      <w:r w:rsidR="003C7FB2">
        <w:t xml:space="preserve"> </w:t>
      </w:r>
      <w:r>
        <w:t>an</w:t>
      </w:r>
      <w:r w:rsidR="003C7FB2">
        <w:t xml:space="preserve"> </w:t>
      </w:r>
      <w:r>
        <w:t>inverse</w:t>
      </w:r>
      <w:r w:rsidR="003C7FB2">
        <w:t xml:space="preserve"> </w:t>
      </w:r>
      <w:r>
        <w:t>association</w:t>
      </w:r>
      <w:r w:rsidR="003C7FB2">
        <w:t xml:space="preserve"> </w:t>
      </w:r>
      <w:r>
        <w:t>between</w:t>
      </w:r>
      <w:r w:rsidR="003C7FB2">
        <w:t xml:space="preserve"> </w:t>
      </w:r>
      <w:r>
        <w:t>distance</w:t>
      </w:r>
      <w:r w:rsidR="003C7FB2">
        <w:t xml:space="preserve"> </w:t>
      </w:r>
      <w:r>
        <w:t>to</w:t>
      </w:r>
      <w:r w:rsidR="003C7FB2">
        <w:t xml:space="preserve"> </w:t>
      </w:r>
      <w:r>
        <w:t>work</w:t>
      </w:r>
      <w:r w:rsidR="003C7FB2">
        <w:t xml:space="preserve"> </w:t>
      </w:r>
      <w:r w:rsidR="002C11E6">
        <w:t>and</w:t>
      </w:r>
      <w:r w:rsidR="003C7FB2">
        <w:t xml:space="preserve"> </w:t>
      </w:r>
      <w:r>
        <w:t>percentage</w:t>
      </w:r>
      <w:r w:rsidR="003C7FB2">
        <w:t xml:space="preserve"> </w:t>
      </w:r>
      <w:r w:rsidR="002C11E6">
        <w:t>body</w:t>
      </w:r>
      <w:r w:rsidR="003C7FB2">
        <w:t xml:space="preserve"> </w:t>
      </w:r>
      <w:r w:rsidR="002C11E6">
        <w:t>fat.</w:t>
      </w:r>
      <w:r w:rsidR="003C7FB2">
        <w:t xml:space="preserve"> </w:t>
      </w:r>
    </w:p>
    <w:p w14:paraId="58573F41" w14:textId="77777777" w:rsidR="008B5EB6" w:rsidRDefault="008B5EB6" w:rsidP="001F7BCD">
      <w:pPr>
        <w:spacing w:after="0" w:line="240" w:lineRule="auto"/>
      </w:pPr>
    </w:p>
    <w:p w14:paraId="13590A79" w14:textId="41B756F3" w:rsidR="008B5EB6" w:rsidRPr="008B5EB6" w:rsidRDefault="008B5EB6" w:rsidP="001F7BCD">
      <w:pPr>
        <w:spacing w:after="0" w:line="240" w:lineRule="auto"/>
        <w:rPr>
          <w:u w:val="single"/>
        </w:rPr>
      </w:pPr>
      <w:r w:rsidRPr="008B5EB6">
        <w:rPr>
          <w:u w:val="single"/>
        </w:rPr>
        <w:t>Strengths</w:t>
      </w:r>
      <w:r w:rsidR="003C7FB2">
        <w:rPr>
          <w:u w:val="single"/>
        </w:rPr>
        <w:t xml:space="preserve"> </w:t>
      </w:r>
      <w:r w:rsidRPr="008B5EB6">
        <w:rPr>
          <w:u w:val="single"/>
        </w:rPr>
        <w:t>and</w:t>
      </w:r>
      <w:r w:rsidR="003C7FB2">
        <w:rPr>
          <w:u w:val="single"/>
        </w:rPr>
        <w:t xml:space="preserve"> </w:t>
      </w:r>
      <w:r w:rsidRPr="008B5EB6">
        <w:rPr>
          <w:u w:val="single"/>
        </w:rPr>
        <w:t>limitations</w:t>
      </w:r>
    </w:p>
    <w:p w14:paraId="3FBBE196" w14:textId="77777777" w:rsidR="008B5EB6" w:rsidRDefault="008B5EB6" w:rsidP="001F7BCD">
      <w:pPr>
        <w:spacing w:after="0" w:line="240" w:lineRule="auto"/>
      </w:pPr>
    </w:p>
    <w:p w14:paraId="0599350E" w14:textId="7D64D412" w:rsidR="00006E7D" w:rsidRDefault="0084068D" w:rsidP="00006E7D">
      <w:pPr>
        <w:spacing w:after="0" w:line="240" w:lineRule="auto"/>
      </w:pPr>
      <w:r>
        <w:t>While</w:t>
      </w:r>
      <w:r w:rsidR="003C7FB2">
        <w:t xml:space="preserve"> </w:t>
      </w:r>
      <w:r>
        <w:t>this</w:t>
      </w:r>
      <w:r w:rsidR="003C7FB2">
        <w:t xml:space="preserve"> </w:t>
      </w:r>
      <w:r>
        <w:t>study</w:t>
      </w:r>
      <w:r w:rsidR="00957E62">
        <w:t>,</w:t>
      </w:r>
      <w:r w:rsidR="003C7FB2">
        <w:t xml:space="preserve"> </w:t>
      </w:r>
      <w:r w:rsidR="00957E62">
        <w:t>like</w:t>
      </w:r>
      <w:r w:rsidR="003C7FB2">
        <w:t xml:space="preserve"> </w:t>
      </w:r>
      <w:r w:rsidR="00957E62">
        <w:t>many</w:t>
      </w:r>
      <w:r w:rsidR="003C7FB2">
        <w:t xml:space="preserve"> </w:t>
      </w:r>
      <w:r w:rsidR="00CA0CF9">
        <w:t>others,</w:t>
      </w:r>
      <w:r w:rsidR="00CA0CF9">
        <w:rPr>
          <w:rFonts w:cs="Arial"/>
          <w:color w:val="2E2E2E"/>
        </w:rPr>
        <w:fldChar w:fldCharType="begin" w:fldLock="1"/>
      </w:r>
      <w:r w:rsidR="000B07A6">
        <w:rPr>
          <w:rFonts w:cs="Arial"/>
          <w:color w:val="2E2E2E"/>
        </w:rPr>
        <w:instrText>ADDIN CSL_CITATION { "citationItems" : [ { "id" : "ITEM-1", "itemData" : { "DOI" : "10.1016/j.amepre.2013.04.012", "ISSN" : "1873-2607", "PMID" : "23953354", "abstract" : "BACKGROUND: Increasing active travel (walking, cycling, public transport) is increasingly seen as integral to strategies to raise physical activity levels. PURPOSE: This study examined (1) sociodemographic correlates of active travel to work and (2) associations between active travel and cardiovascular risk factors in the United Kingdom (UK). METHODS: Data come from Understanding Society, a nationally representative survey of UK residents in 2009/2011, analyzed in 2012. Multinomial logistic regression assessed associations between sociodemographic factors and mode of transport to work. Linear and logistic regression was used to examine associations between mode of travel and overweight/obesity, and having hypertension or diabetes. RESULTS: A total of 69% of participants traveled to work using private transport, with public transport, walking, and cycling used by 16%, 12%, and 3%, respectively. Use of any active travel was more likely in participants living in London. Black participants were more likely to walk (AOR=1.41, 95% CI=1.08, 1.84) or take public transport (AOR=2.34, 95% CI=1.88, 2.90) to work than whites. Using public transport, walking, or cycling to work was associated with a lower likelihood of being overweight (AOR=0.80, 95% CI=0.54, 0.88 for walking). Walking or cycling was associated with a lower likelihood of having diabetes, and walking was associated with a lower likelihood of having hypertension than private transport (AOR=0.83, 95% CI=0.71, 0.97). CONCLUSIONS: There are wide variations in the mode of travel to work across regions and sociodemographic groups in the UK. The protective association between active travel and cardiovascular risk demonstrated in this nationally representative study adds to growing evidence that concerted policy focus in this area may benefit population health.", "author" : [ { "dropping-particle" : "", "family" : "Laverty", "given" : "Anthony A", "non-dropping-particle" : "", "parse-names" : false, "suffix" : "" }, { "dropping-particle" : "", "family" : "Mindell", "given" : "Jennifer S", "non-dropping-particle" : "", "parse-names" : false, "suffix" : "" }, { "dropping-particle" : "", "family" : "Webb", "given" : "Elizabeth A", "non-dropping-particle" : "", "parse-names" : false, "suffix" : "" }, { "dropping-particle" : "", "family" : "Millett", "given" : "Christopher", "non-dropping-particle" : "", "parse-names" : false, "suffix" : "" } ], "container-title" : "American journal of preventive medicine", "id" : "ITEM-1", "issue" : "3", "issued" : { "date-parts" : [ [ "2013", "9" ] ] }, "note" : "From Duplicate 1 (Active travel to work and cardiovascular risk factors in the United Kingdom. - Laverty, Anthony A; Mindell, Jennifer S; Webb, Elizabeth A; Millett, Christopher)\n\nW+c split", "page" : "282-8", "title" : "Active travel to work and cardiovascular risk factors in the United Kingdom.", "type" : "article-journal", "volume" : "45" }, "uris" : [ "http://www.mendeley.com/documents/?uuid=de4e6781-17c6-4a1a-9631-32286ada1421" ] }, { "id" : "ITEM-2", "itemData" : { "DOI" : "10.1186/s12966-015-0223-3", "ISSN" : "1479-5868", "PMID" : "25986001", "abstract" : "BACKGROUND: There is little published data on the potential health benefits of active travel in low and middle-income countries. This is despite increasing levels of adiposity being linked to increases in physical inactivity and non-communicable diseases. This study will examine: (1) socio-demographic correlates of using active travel (walking or cycling for transport) among older adults in six populous middle-income countries (2) whether use of active travel is associated with adiposity, systolic blood pressure and self-reported diabetes in these countries.\n\nMETHODS: Data are from the WHO Study on Global Ageing and Adult Health (SAGE) of China, India, Mexico, Ghana, Russia and South Africa with a total sample size of 40,477. Correlates of active travel (\u2265150\u00a0min/week) were examined using logistic regression. Logistic and linear regression analyses were used to examine health related outcomes according to three groups of active travel use per week.\n\nRESULTS: 46.4\u00a0% of the sample undertook \u2265150\u00a0min of active travel per week (range South Africa: 21.9\u00a0% Ghana: 57.8\u00a0%). In pooled analyses those in wealthier households were less likely to meet this level of active travel (Adjusted Risk Ratio (ARR) 0.77, 95\u00a0% Confidence Intervals 0.67; 0.88 wealthiest fifth vs. poorest). Older people and women were also less likely to use active travel for \u2265150\u00a0min per week (ARR 0.71, 0.62; 0.80 those aged 70+ years vs. 18-29 years old, ARR 0.82, 0.74; 0.91 women vs. men). In pooled fully adjusted analyses, high use of active travel was associated with lower risk of overweight (ARR 0.71, 0.59; 0.86), high waist-to-hip ratio (ARR 0.71, 0.61; 0.84) and lower BMI (-0.54\u00a0kg/m(2), -0.98;- 0.11). Moderate (31-209\u00a0min/week) and high use (\u2265210\u00a0min/week) of active travel was associated with lower waist circumference (-1.52\u00a0cm (-2.40; -0.65) and -2.16\u00a0cm (3.07; -1.26)), and lower systolic blood pressure (-1.63\u00a0mm/Hg (-3.19; -0.06) and -2.33\u00a0mm/Hg (-3.98; -0.69)).\n\nCONCLUSIONS: In middle-income countries use of active travel for \u2265150\u00a0min per week is more common in lower socio-economic groups and appears to confer similar health benefits to those identified in high-income settings. Efforts to increase active travel levels should be integral to strategies to maintain healthy weight and reduce disease burden in these settings.", "author" : [ { "dropping-particle" : "", "family" : "Laverty", "given" : "Anthony A", "non-dropping-particle" : "", "parse-names" : false, "suffix" : "" }, { "dropping-particle" : "", "family" : "Palladino", "given" : "Raffaele", "non-dropping-particle" : "", "parse-names" : false, "suffix" : "" }, { "dropping-particle" : "", "family" : "Lee", "given" : "John Tayu", "non-dropping-particle" : "", "parse-names" : false, "suffix" : "" }, { "dropping-particle" : "", "family" : "Millett", "given" : "Christopher", "non-dropping-particle" : "", "parse-names" : false, "suffix" : "" } ], "container-title" : "The international journal of behavioral nutrition and physical activity", "id" : "ITEM-2", "issue" : "1", "issued" : { "date-parts" : [ [ "2015", "5", "20" ] ] }, "note" : "w+C combined", "page" : "65", "title" : "Associations between active travel and weight, blood pressure and diabetes in six middle income countries: a cross-sectional study in older adults.", "type" : "article-journal", "volume" : "12" }, "uris" : [ "http://www.mendeley.com/documents/?uuid=47edd7ae-8998-4388-8291-d32c785aada6" ] }, { "id" : "ITEM-3", "itemData" : { "DOI" : "10.1371/journal.pmed.1001459", "ISSN" : "1549-1676", "PMID" : "23776412", "abstract" : "BACKGROUND: Increasing active travel (walking, bicycling, and public transport) is promoted as a key strategy to increase physical activity and reduce the growing burden of noncommunicable diseases (NCDs) globally. Little is known about patterns of active travel or associated cardiovascular health benefits in low- and middle-income countries. This study examines mode and duration of travel to work in rural and urban India and associations between active travel and overweight, hypertension, and diabetes. METHODS AND FINDINGS: Cross-sectional study of 3,902 participants (1,366 rural, 2,536 urban) in the Indian Migration Study. Associations between mode and duration of active travel and cardiovascular risk factors were assessed using random-effect logistic regression models adjusting for age, sex, caste, standard of living, occupation, factory location, leisure time physical activity, daily fat intake, smoking status, and alcohol use. Rural dwellers were significantly more likely to bicycle (68.3% versus 15.9%; p&lt;0.001) to work than urban dwellers. The prevalence of overweight or obesity was 50.0%, 37.6%, 24.2%, 24.9%; hypertension was 17.7%, 11.8%, 6.5%, 9.8%; and diabetes was 10.8%, 7.4%, 3.8%, 7.3% in participants who travelled to work by private transport, public transport, bicycling, and walking, respectively. In the adjusted analysis, those walking (adjusted risk ratio [ARR] 0.72; 95% CI 0.58-0.88) or bicycling to work (ARR 0.66; 95% CI 0.55-0.77) were significantly less likely to be overweight or obese than those travelling by private transport. Those bicycling to work were significantly less likely to have hypertension (ARR 0.51; 95% CI 0.36-0.71) or diabetes (ARR 0.65; 95% CI 0.44-0.95). There was evidence of a dose-response relationship between duration of bicycling to work and being overweight, having hypertension or diabetes. The main limitation of the study is the cross-sectional design, which limits causal inference for the associations found. CONCLUSIONS: Walking and bicycling to work was associated with reduced cardiovascular risk in the Indian population. Efforts to increase active travel in urban areas and halt declines in rural areas should be integral to strategies to maintain healthy weight and prevent NCDs in India. Please see later in the article for the Editors' Summary.", "author" : [ { "dropping-particle" : "", "family" : "Millett", "given" : "Christopher", "non-dropping-particle" : "", "parse-names" : false, "suffix" : "" }, { "dropping-particle" : "", "family" : "Agrawal", "given" : "Sutapa", "non-dropping-particle" : "", "parse-names" : false, "suffix" : "" }, { "dropping-particle" : "", "family" : "Sullivan", "given" : "Ruth", "non-dropping-particle" : "", "parse-names" : false, "suffix" : "" }, { "dropping-particle" : "", "family" : "Vaz", "given" : "Mario", "non-dropping-particle" : "", "parse-names" : false, "suffix" : "" }, { "dropping-particle" : "", "family" : "Kurpad", "given" : "Anura", "non-dropping-particle" : "", "parse-names" : false, "suffix" : "" }, { "dropping-particle" : "V.", "family" : "Bharathi", "given" : "A.", "non-dropping-particle" : "", "parse-names" : false, "suffix" : "" }, { "dropping-particle" : "", "family" : "Prabhakaran", "given" : "Dorairaj", "non-dropping-particle" : "", "parse-names" : false, "suffix" : "" }, { "dropping-particle" : "", "family" : "Reddy", "given" : "KSPD Kolli Srinath", "non-dropping-particle" : "", "parse-names" : false, "suffix" : "" }, { "dropping-particle" : "", "family" : "Kinra", "given" : "Sanjay", "non-dropping-particle" : "", "parse-names" : false, "suffix" : "" }, { "dropping-particle" : "", "family" : "Smith", "given" : "GD George Davey", "non-dropping-particle" : "", "parse-names" : false, "suffix" : "" }, { "dropping-particle" : "", "family" : "Ebrahim", "given" : "Shah", "non-dropping-particle" : "", "parse-names" : false, "suffix" : "" }, { "dropping-particle" : "", "family" : "Group", "given" : "for the Indian Migration Study", "non-dropping-particle" : "", "parse-names" : false, "suffix" : "" } ], "container-title" : "PLoS medicine", "editor" : [ { "dropping-particle" : "", "family" : "Bhalla", "given" : "Kavi", "non-dropping-particle" : "", "parse-names" : false, "suffix" : "" } ], "id" : "ITEM-3", "issue" : "6", "issued" : { "date-parts" : [ [ "2013", "1", "11" ] ] }, "note" : "From Duplicate 2 (Associations between active travel to work and overweight, hypertension, and diabetes in India: a cross-sectional study. - Millett, Christopher; Agrawal, Sutapa; Sullivan, Ruth; Vaz, Mario; Kurpad, Anura; Bharathi, A V; Prabhakaran, Dorairaj; Reddy, Kolli Srinath; Kinra, Sanjay; Smith, George Davey; Ebrahim, Shah)\n\nseparate estimates for w+C", "page" : "e1001459", "publisher" : "Public Library of Science", "title" : "Associations between active travel to work and overweight, hypertension, and diabetes in India: a cross-sectional study.", "type" : "article-journal", "volume" : "10" }, "uris" : [ "http://www.mendeley.com/documents/?uuid=246315b3-3a61-4417-8831-b4fc4fbf04a3" ] }, { "id" : "ITEM-4", "itemData" : { "DOI" : "10.1016/S2213-8587(16)00053-X", "ISSN" : "22138587", "author" : [ { "dropping-particle" : "", "family" : "Flint", "given" : "Ellen", "non-dropping-particle" : "", "parse-names" : false, "suffix" : "" }, { "dropping-particle" : "", "family" : "Cummins", "given" : "Steven", "non-dropping-particle" : "", "parse-names" : false, "suffix" : "" } ], "container-title" : "The Lancet Diabetes &amp; Endocrinology", "id" : "ITEM-4", "issue" : "5", "issued" : { "date-parts" : [ [ "2016", "3" ] ] }, "language" : "English", "page" : "420-435", "publisher" : "Elsevier", "title" : "Active commuting and obesity in mid-life: cross-sectional, observational evidence from UK Biobank", "type" : "article-journal", "volume" : "4" }, "uris" : [ "http://www.mendeley.com/documents/?uuid=e7c9e359-019e-4cc3-a869-943a6411defd" ] }, { "id" : "ITEM-5", "itemData" : { "DOI" : "10.1136/bmj.g4887", "ISSN" : "1756-1833", "abstract" : "Objective To determine if promotion of active modes of travel is an effective strategy for obesity prevention by assessing whether active commuting (walking or cycling for all or part of the journey to work) is independently associated with objectively assessed biological markers of obesity. Design Cross sectional study of data from the wave 2 Health Assessment subsample of Understanding Society, the UK Household Longitudinal Study (UKHLS). The exposure of interest, commuting mode, was self reported and categorised as three categories: private transport, public transport, and active transport. Participants The analytic samples (7534 for body mass index (BMI) analysis, 7424 for percentage body fat analysis) were drawn from the representative subsample of wave 2 respondents of UKHLS who provided health assessment data (n=15 777). Main outcome measures Body mass index (weight (kg)/height (m)2); percentage body fat (measured by electrical impedance). Results Results from multivariate linear regression analyses suggest that, compared with using private transport, commuting by public or active transport modes was significantly and independently predictive of lower BMI for both men and women. In fully adjusted models, men who commuted via public or active modes had BMI scores 1.10 (95% CI 0.53 to 1.67) and 0.97 (0.40 to 1.55) points lower, respectively, than those who used private transport. Women who commuted via public or active modes had BMI scores 0.72 (0.06 to 1.37) and 0.87 (0.36 to 0.87) points lower, respectively, than those using private transport. Results for percentage body fat were similar in terms of magnitude, significance, and direction of effects. Conclusions Men and women who commuted to work by active and public modes of transport had significantly lower BMI and percentage body fat than their counterparts who used private transport. These associations were not attenuated by adjustment for a range of hypothesised confounding factors.", "author" : [ { "dropping-particle" : "", "family" : "Flint", "given" : "E.", "non-dropping-particle" : "", "parse-names" : false, "suffix" : "" }, { "dropping-particle" : "", "family" : "Cummins", "given" : "S.", "non-dropping-particle" : "", "parse-names" : false, "suffix" : "" }, { "dropping-particle" : "", "family" : "Sacker", "given" : "A.", "non-dropping-particle" : "", "parse-names" : false, "suffix" : "" } ], "container-title" : "BMJ", "id" : "ITEM-5", "issue" : "aug19 13", "issued" : { "date-parts" : [ [ "2014", "8", "19" ] ] }, "page" : "g4887-g4887", "title" : "Associations between active commuting, body fat, and body mass index: population based, cross sectional study in the United Kingdom", "type" : "article-journal", "volume" : "349" }, "uris" : [ "http://www.mendeley.com/documents/?uuid=8787743b-b3b9-4811-8179-d88afe555721" ] }, { "id" : "ITEM-6", "itemData" : { "DOI" : "10.1001/archinternmed.2009.163", "ISBN" : "1538-3679 (Electronic)\n0003-9926 (Linking)", "PMID" : "19597071", "abstract" : "BACKGROUND: There is little research on the association of lifestyle exercise, such as active commuting (walking or biking to work), with obesity, fitness, and cardiovascular disease (CVD) risk factors. METHODS: This cross-sectional study included 2364 participants enrolled in the Coronary Artery Risk Development in Young Adults (CARDIA) study who worked outside the home during year 20 of the study (2005-2006). Associations between walking or biking to work (self-reported time, distance, and mode of commuting) with body weight (measured height and weight); obesity (body mass index [BMI], calculated as weight in kilograms divided by height in meters squared, &gt;or= 30); fitness (symptom-limited exercise stress testing); objective moderate-vigorous physical activity (accelerometry); CVD risk factors (blood pressure [oscillometric systolic and diastolic]); and serum measures (fasting measures of lipid, glucose, and insulin levels) were separately assessed by sex-stratified multivariable linear (or logistic) regression modeling. RESULTS: A total of 16.7% of participants used any means of active commuting to work. Controlling for age, race, income, education, smoking, examination center, and physical activity index excluding walking, men with any active commuting (vs none) had reduced likelihood of obesity (odds ratio [OR], 0.50; 95% confidence interval [CI], 0.33-0.76), reduced CVD risk: ratio of geometric mean triglyceride levels (trig(active))/(trig(nonactive)) = 0.88 (95% CI, 0.80 to 0.98); ratio of geometric mean fasting insulin (FI(active))/(FI(nonactive)) = 0.86 (95% CI, 0.78 to 0.93); difference in mean diastolic blood pressure (millimeters of mercury) (DBP(active)) - (DBP(nonactive)) = -1.67 (95% CI, -3.20 to -0.15); and higher fitness: mean difference in treadmill test duration (in seconds) in men (TT(active)) - (TT(nonactive)) = 50.0 (95% CI, 31.45 to 68.59) and women (TT(active)) - (TT(nonactive)) = 28.77 (95% CI, 11.61 to 45.92). CONCLUSIONS: Active commuting was positively associated with fitness in men and women and inversely associated with BMI, obesity, triglyceride levels, blood pressure, and insulin level in men. Active commuting should be investigated as a modality for maintaining or improving health.", "author" : [ { "dropping-particle" : "", "family" : "Gordon-Larsen", "given" : "P", "non-dropping-particle" : "", "parse-names" : false, "suffix" : "" }, { "dropping-particle" : "", "family" : "Boone-Heinonen", "given" : "J", "non-dropping-particle" : "", "parse-names" : false, "suffix" : "" }, { "dropping-particle" : "", "family" : "Sidney", "given" : "S", "non-dropping-particle" : "", "parse-names" : false, "suffix" : "" }, { "dropping-particle" : "", "family" : "Sternfeld", "given" : "B", "non-dropping-particle" : "", "parse-names" : false, "suffix" : "" }, { "dropping-particle" : "", "family" : "Jacobs  Jr.", "given" : "D R", "non-dropping-particle" : "", "parse-names" : false, "suffix" : "" }, { "dropping-particle" : "", "family" : "Lewis", "given" : "C E", "non-dropping-particle" : "", "parse-names" : false, "suffix" : "" } ], "container-title" : "Arch Intern Med", "edition" : "2009/07/15", "id" : "ITEM-6", "issue" : "13", "issued" : { "date-parts" : [ [ "2009" ] ] }, "language" : "eng", "note" : "Gordon-Larsen, Penny\nBoone-Heinonen, Janne\nSidney, Steve\nSternfeld, Barbara\nJacobs, David R Jr\nLewis, Cora E\nDK56350/DK/NIDDK NIH HHS/\nK01 HD044263-05/HD/NICHD NIH HHS/\nK01-HD044263/HD/NICHD NIH HHS/\nN01 HC005187/HC/NHLBI NIH HHS/\nN01 HC048047/HC/NHLBI NIH HHS/\nN01 HC048048/HC/NHLBI NIH HHS/\nN01 HC048049/HC/NHLBI NIH HHS/\nN01 HC048050/HC/NHLBI NIH HHS/\nN01 HC095095/HC/NHLBI NIH HHS/\nN01-HC-05187/HC/NHLBI NIH HHS/\nN01-HC-48047/HC/NHLBI NIH HHS/\nN01-HC-48048/HC/NHLBI NIH HHS/\nN01-HC-48049/HC/NHLBI NIH HHS/\nN01-HC-48050/HC/NHLBI NIH HHS/\nN01-HC-95095/HC/NHLBI NIH HHS/\nP30 DK056350-08S1/DK/NIDDK NIH HHS/\nP30 ES010126-01A1/ES/NIEHS NIH HHS/\nP30-ES10126/ES/NIEHS NIH HHS/\nR01 CA109831/CA/NCI NIH HHS/\nR01 CA109831-05/CA/NCI NIH HHS/\nR01 CA12115/CA/NCI NIH HHS/\nR01 CA121152-04/CA/NCI NIH HHS/\nR01 HL078972/HL/NHLBI NIH HHS/\nR01 HL078972-04/HL/NHLBI NIH HHS/\nArch Intern Med. 2009 Jul 13;169(13):1216-23.", "page" : "1216-1223", "title" : "Active commuting and cardiovascular disease risk: the CARDIA study", "type" : "article-journal", "volume" : "169" }, "uris" : [ "http://www.mendeley.com/documents/?uuid=ddc63179-44fa-4361-9f4b-a690b96e1262" ] }, { "id" : "ITEM-7", "itemData" : { "DOI" : "10.1186/s12889-015-2411-0", "ISSN" : "1471-2458", "PMID" : "26498367", "abstract" : "BACKGROUND Data on use and health benefits of active travel in rural low- and middle- income country settings are sparse. We aimed to examine correlates of active travel, and its association with adiposity, in rural India and Bangladesh. METHODS Cross sectional study of 2,122 adults (\u226518 years) sampled in 2011-13 from two rural sites in India (Goa and Chennai) and one in Bangladesh (Matlab). Logistic regression was used to examine whether \u2265150 min/week of active travel was associated with socio-demographic indices, smoking, oil/butter consumption, and additional physical activity. Adjusting for these same factors, associations between active travel and BMI, waist circumference and waist-to-hip ratio were examined using linear and logistic regression. RESULTS Forty-six percent of the sample achieved recommended levels of physical activity (\u2265150 min/week) through active travel alone (range: 33.1 % in Matlab to 54.8 % in Goa). This was more frequent among smokers (adjusted odds ratio 1.36, 95 % confidence interval 1.07-1.72; p\u2009=\u20090.011) and those that spent \u2265150 min/week in work-based physical activity (OR 1.71, 1.35-2.16; p\u2009&lt;\u20090.001), but less frequent among females than males (OR 0.25, 0.20-0.31; p\u2009&lt;\u20090.001). In fully adjusted analyses, \u2265150 min/week of active travel was associated with lower BMI (adjusted coefficient -0.39 kg/m(2), -0.77 to -0.02; p\u2009=\u20090.037) and a lower likelihood of high waist circumference (OR 0.77, 0.63-0.96; p\u2009=\u20090.018) and high waist-to-hip ratio (OR 0.72, 0.58-0.89; p\u2009=\u20090.002). CONCLUSIONS Use of active travel for \u2265150 min/week was associated with being male, smoking, and higher levels of work-based physical activity. It was associated with lower BMI, and lower risk of a high waist circumference or high waist-to-hip ratio. Promotion of active travel is an important component of strategies to address the growing prevalence of overweight in rural low- and middle- income country settings.", "author" : [ { "dropping-particle" : "", "family" : "McKay", "given" : "Ailsa J", "non-dropping-particle" : "", "parse-names" : false, "suffix" : "" }, { "dropping-particle" : "", "family" : "Laverty", "given" : "Anthony A", "non-dropping-particle" : "", "parse-names" : false, "suffix" : "" }, { "dropping-particle" : "", "family" : "Shridhar", "given" : "Krithiga", "non-dropping-particle" : "", "parse-names" : false, "suffix" : "" }, { "dropping-particle" : "", "family" : "Alam", "given" : "Dewan", "non-dropping-particle" : "", "parse-names" : false, "suffix" : "" }, { "dropping-particle" : "", "family" : "Dias", "given" : "Amit", "non-dropping-particle" : "", "parse-names" : false, "suffix" : "" }, { "dropping-particle" : "", "family" : "Williams", "given" : "Joseph", "non-dropping-particle" : "", "parse-names" : false, "suffix" : "" }, { "dropping-particle" : "", "family" : "Millett", "given" : "Christopher", "non-dropping-particle" : "", "parse-names" : false, "suffix" : "" }, { "dropping-particle" : "", "family" : "Ebrahim", "given" : "Shah", "non-dropping-particle" : "", "parse-names" : false, "suffix" : "" }, { "dropping-particle" : "", "family" : "Dhillon", "given" : "Preet K", "non-dropping-particle" : "", "parse-names" : false, "suffix" : "" } ], "container-title" : "BMC public health", "id" : "ITEM-7", "issued" : { "date-parts" : [ [ "2015" ] ] }, "page" : "1087", "title" : "Associations between active travel and adiposity in rural India and Bangladesh: a cross-sectional study.", "type" : "article-journal", "volume" : "15" }, "uris" : [ "http://www.mendeley.com/documents/?uuid=09987ac4-12b6-3462-a026-3bd9ac43730c" ] }, { "id" : "ITEM-8", "itemData" : { "ISSN" : "1209-1367", "PMID" : "27096619", "abstract" : "BACKGROUND Active travel may be a means of integrating physical activity into an individual's routine. This analysis investigates the relationship between utilitarian walking and cycling and objectively measured physical activity and health-related outcomes in a nationally representative sample of Canadian adults. DATA AND METHODS Adults aged 20 to 79 who participated in the 2007-to-2011 Canadian Health Measures Surveys (N = 7,160) reported the weekly time spent in utilitarian walking and cycling and wore an Actical accelerometer for seven days. They underwent a series of tests to measure physical fitness, body composition, blood pressure, and biomarkers. Differences in physical activity and health-related outcomes across levels of utilitarian walking and cycling were assessed with ANCOVA analyses adjusted for age, sex, education, household income, self-reported usual daily physical activity, and the complex survey design. RESULTS Utilitarian walking and cycling were associated with moderate-to-vigorous physical activity in a graded manner. Compared with respondents who reported walking 1 to 5 hours a week, those who walked more than 5 hours a week had lower skinfold thickness. Respondents who reported cycling 1 or more hours a week had greater aerobic fitness and lower BMI, waist circumference, total cholesterol/HDL ratio, glycohemoglobin, C-reactive protein, and triglycerides than did those who did not cycle. They also had higher aerobic fitness and lower BMI and waist circumference than those who reported cycling less than an hour a week. INTERPRETATION Cycling at least an hour a week is associated with improved fitness and reduced cardiovascular disease risk factors. Both utilitarian walking and cycling may be means of increasing adults' moderate-to-vigorous physical activity.", "author" : [ { "dropping-particle" : "", "family" : "Larouche", "given" : "Richard", "non-dropping-particle" : "", "parse-names" : false, "suffix" : "" }, { "dropping-particle" : "", "family" : "Faulkner", "given" : "Guy", "non-dropping-particle" : "", "parse-names" : false, "suffix" : "" }, { "dropping-particle" : "", "family" : "Tremblay", "given" : "Mark S", "non-dropping-particle" : "", "parse-names" : false, "suffix" : "" } ], "container-title" : "Health reports", "id" : "ITEM-8", "issue" : "4", "issued" : { "date-parts" : [ [ "2016", "4" ] ] }, "page" : "10-8", "title" : "Active travel and adults' health: The 2007-to-2011 Canadian Health Measures Surveys.", "type" : "article-journal", "volume" : "27" }, "uris" : [ "http://www.mendeley.com/documents/?uuid=070418c1-8f41-3a48-b8e6-6c61300966c8" ] }, { "id" : "ITEM-9", "itemData" : { "DOI" : "10.3390/ijerph13050455", "ISSN" : "1660-4601", "abstract" : "Active traveling to a daily occupation means that an individual uses an active way of traveling between two destinations. Active travel to work or other daily occupations offers a convenient way to increase physical activity levels which is known to have positive effects on several health outcomes. Frequently used concepts in city planning and regional planning today are to create environments for active commuting and active living. Even then, little research has focused on traveling modes and subjective health outcomes such as self-rated health (SRH). This study aimed to explore and investigate associations between travel mode and health-related outcomes, such as self-rated health (SRH), body mass index (BMI) and overall physical activity, in an adult population in Sweden. A cross-sectional study was conducted in a randomly selected population-based sample (n = 1786, age 45\u201375 years); the respondents completed a questionnaire about their regular travel mode, demographics, lifestyle, BMI and SRH. Chi-square tests and logistic regressions found that inactive traveling was associated with poor SRH, a greater risk of obesity or being overweight and overall physical inactivity. In addition, lifestyle factors, such as choice of food and smoking habits, were associated with SRH, BMI and overall physical activity.", "author" : [ { "dropping-particle" : "", "family" : "Berglund", "given" : "Erik", "non-dropping-particle" : "", "parse-names" : false, "suffix" : "" }, { "dropping-particle" : "", "family" : "Lytsy", "given" : "Per", "non-dropping-particle" : "", "parse-names" : false, "suffix" : "" }, { "dropping-particle" : "", "family" : "Westerling", "given" : "Ragnar", "non-dropping-particle" : "", "parse-names" : false, "suffix" : "" } ], "container-title" : "International Journal of Environmental Research and Public Health", "id" : "ITEM-9", "issue" : "5", "issued" : { "date-parts" : [ [ "2016", "4", "28" ] ] }, "page" : "455", "publisher" : "Multidisciplinary Digital Publishing Institute", "title" : "Active Traveling and Its Associations with Self-Rated Health, BMI and Physical Activity: A Comparative Study in the Adult Swedish Population", "type" : "article-journal", "volume" : "13" }, "uris" : [ "http://www.mendeley.com/documents/?uuid=cb7ac5d2-9957-3c8f-97ec-ac03f0501cd7" ] }, { "id" : "ITEM-10", "itemData" : { "DOI" : "10.1371/journal.pone.0130903", "ISSN" : "1932-6203", "author" : [ { "dropping-particle" : "", "family" : "Wojan", "given" : "Timothy R.", "non-dropping-particle" : "", "parse-names" : false, "suffix" : "" }, { "dropping-particle" : "", "family" : "Hamrick", "given" : "Karen S.", "non-dropping-particle" : "", "parse-names" : false, "suffix" : "" }, { "dropping-particle" : "", "family" : "Durand", "given" : "CP", "non-dropping-particle" : "", "parse-names" : false, "suffix" : "" } ], "container-title" : "PLOS ONE", "editor" : [ { "dropping-particle" : "", "family" : "Zhang", "given" : "Harry", "non-dropping-particle" : "", "parse-names" : false, "suffix" : "" } ], "id" : "ITEM-10", "issue" : "7", "issued" : { "date-parts" : [ [ "2015", "7", "8" ] ] }, "page" : "e0130903", "publisher" : "Public Library of Science", "title" : "Can Walking or Biking to Work Really Make a Difference? Compact Development, Observed Commuter Choice and Body Mass Index", "type" : "article-journal", "volume" : "10" }, "uris" : [ "http://www.mendeley.com/documents/?uuid=3b3127ff-01f7-347d-8ee5-a7e5866c3a37" ] }, { "id" : "ITEM-11", "itemData" : { "DOI" : "10.1016/j.ypmed.2007.07.012", "ISSN" : "0091-7435", "PMID" : "17706273", "abstract" : "OBJECTIVES: To investigate the association between means of transportation to work and overweight+obesity and obesity. METHODS: The 2004 public health survey in Sk\u00e5ne is a cross-sectional postal questionnaire study of the population aged 18-80 with a 59% response rate including 16,705 employed participants. RESULTS: Forty-six percent of men and 26.6% of women were overweight (BMI 25.0-29.9); 11.6% of men and 10.3% of women were obese (BMI 30.0-); 18.2% of men and 25.9% of women bicycled and/or walked to work and 10.4% and 16.2% used public transportation, respectively. In contrast, 68.3% of men and 55.8% of women went to work by car. The odds ratios of overweight+obesity among persons who walked or bicycled were significantly lower and remained 0.62 (95% CI 0.51-0.76) among men and 0.79 (95% CI 0.67-0.94) among women in the models including all confounders compared to the car driving reference category. The odds ratios of obesity were initially significantly lower among both men and women who walked or bicycled, but in the final models only among women. The odds ratios of overweight+obesity as well as obesity were also lower among men using public transportation. CONCLUSIONS: Walking and bicycling to work are significantly negatively associated with overweight+obesity and, to some extent, obesity. Public transportation is significantly negatively associated with overweight+obesity and obesity among men.", "author" : [ { "dropping-particle" : "", "family" : "Lindstr\u00f6m", "given" : "Martin", "non-dropping-particle" : "", "parse-names" : false, "suffix" : "" } ], "container-title" : "Preventive medicine", "id" : "ITEM-11", "issue" : "1", "issued" : { "date-parts" : [ [ "2008", "1" ] ] }, "note" : "w+c combined", "page" : "22-8", "title" : "Means of transportation to work and overweight and obesity: a population-based study in southern Sweden.", "type" : "article-journal", "volume" : "46" }, "uris" : [ "http://www.mendeley.com/documents/?uuid=3ff9ea2e-ab2a-46f6-a24b-f59ac38b989c" ] }, { "id" : "ITEM-12", "itemData" : { "DOI" : "10.1111/1753-6405.12097", "ISSN" : "1753-6405", "PMID" : "24494941", "abstract" : "OBJECTIVE: This study describes the prevalence of walking and cycling to work in New South Wales (NSW) from 2005-2010. It examines the demographic characteristics of those people walking and cycling to work and the association of walking and cycling with body mass index (BMI).\n\nMETHODS: Data from the NSW Continuous Health Survey, a telephone survey of health indicators among a representative sample of residents aged 16 years or over, were used.\n\nRESULTS: There were no changes in the proportions of employed respondents walking or cycling to work in NSW from 2005 to 2010, with estimates ranging from 5.1-7.3% usually walking, and 1.4-1.8% usually cycling. People who walked (adjusted odds ratio [AOR]=1.07, 95%CI 1.00-1.14) or cycled (AOR=1.22, 95%CI 1.14-1.32) to work had higher levels of education, after adjusting for age, sex, income and residence.\n\nCONCLUSIONS: There has been no overall increase in active commuting in NSW (2005-2010). Better efforts to communicate the benefits of active travel and less sedentary travel are warranted, in particular among those with lower levels of education.\n\nIMPLICATIONS: More interventions are needed to encourage walking and cycling to work, in order to gain significant benefits in terms of maintaining a healthy weight.", "author" : [ { "dropping-particle" : "", "family" : "Rissel", "given" : "Chris", "non-dropping-particle" : "", "parse-names" : false, "suffix" : "" }, { "dropping-particle" : "", "family" : "Greenaway", "given" : "Mark", "non-dropping-particle" : "", "parse-names" : false, "suffix" : "" }, { "dropping-particle" : "", "family" : "Bauman", "given" : "Adrian", "non-dropping-particle" : "", "parse-names" : false, "suffix" : "" }, { "dropping-particle" : "", "family" : "Wen", "given" : "Li Ming", "non-dropping-particle" : "", "parse-names" : false, "suffix" : "" } ], "container-title" : "Australian and New Zealand journal of public health", "id" : "ITEM-12", "issue" : "1", "issued" : { "date-parts" : [ [ "2014", "3" ] ] }, "page" : "25-9", "title" : "Active travel to work in New South Wales 2005-2010, individual characteristics and association with body mass index.", "type" : "article-journal", "volume" : "38" }, "uris" : [ "http://www.mendeley.com/documents/?uuid=af082963-ce36-4001-b868-7fdc9b7631f1" ] } ], "mendeley" : { "formattedCitation" : "(Berglund et al., 2016; Flint et al., 2014; Flint and Cummins, 2016; Gordon-Larsen et al., 2009; Larouche et al., 2016; Laverty et al., 2015, 2013; Lindstr\u00f6m, 2008; McKay et al., 2015; Millett et al., 2013; Rissel et al., 2014; Wojan et al., 2015)", "plainTextFormattedCitation" : "(Berglund et al., 2016; Flint et al., 2014; Flint and Cummins, 2016; Gordon-Larsen et al., 2009; Larouche et al., 2016; Laverty et al., 2015, 2013; Lindstr\u00f6m, 2008; McKay et al., 2015; Millett et al., 2013; Rissel et al., 2014; Wojan et al., 2015)", "previouslyFormattedCitation" : "(Berglund et al., 2016; Flint et al., 2014; Flint and Cummins, 2016; Gordon-Larsen et al., 2009; Larouche et al., 2016; Laverty et al., 2015, 2013; Lindstr\u00f6m, 2008; McKay et al., 2015; Millett et al., 2013; Rissel et al., 2014; Wojan et al., 2015)" }, "properties" : { "noteIndex" : 0 }, "schema" : "https://github.com/citation-style-language/schema/raw/master/csl-citation.json" }</w:instrText>
      </w:r>
      <w:r w:rsidR="00CA0CF9">
        <w:rPr>
          <w:rFonts w:cs="Arial"/>
          <w:color w:val="2E2E2E"/>
        </w:rPr>
        <w:fldChar w:fldCharType="separate"/>
      </w:r>
      <w:r w:rsidR="00B71669" w:rsidRPr="00B71669">
        <w:rPr>
          <w:rFonts w:cs="Arial"/>
          <w:noProof/>
          <w:color w:val="2E2E2E"/>
        </w:rPr>
        <w:t>(Berglund et al., 2016; Flint et al., 2014; Flint and Cummins, 2016; Gordon-Larsen et al., 2009; Larouche et al., 2016; Laverty et al., 2015, 2013; Lindström, 2008; McKay et al., 2015; Millett et al., 2013; Rissel et al., 2014; Wojan et al., 2015)</w:t>
      </w:r>
      <w:r w:rsidR="00CA0CF9">
        <w:rPr>
          <w:rFonts w:cs="Arial"/>
          <w:color w:val="2E2E2E"/>
        </w:rPr>
        <w:fldChar w:fldCharType="end"/>
      </w:r>
      <w:r w:rsidR="003C7FB2">
        <w:t xml:space="preserve"> </w:t>
      </w:r>
      <w:r>
        <w:t>is</w:t>
      </w:r>
      <w:r w:rsidR="003C7FB2">
        <w:t xml:space="preserve"> </w:t>
      </w:r>
      <w:r>
        <w:t>cross-sectional,</w:t>
      </w:r>
      <w:r w:rsidR="003C7FB2">
        <w:t xml:space="preserve"> </w:t>
      </w:r>
      <w:r w:rsidR="00BD169D">
        <w:t>it</w:t>
      </w:r>
      <w:r w:rsidR="003C7FB2">
        <w:t xml:space="preserve"> </w:t>
      </w:r>
      <w:r>
        <w:t>has</w:t>
      </w:r>
      <w:r w:rsidR="003C7FB2">
        <w:t xml:space="preserve"> </w:t>
      </w:r>
      <w:r>
        <w:t>a</w:t>
      </w:r>
      <w:r w:rsidR="003C7FB2">
        <w:t xml:space="preserve"> </w:t>
      </w:r>
      <w:r>
        <w:t>number</w:t>
      </w:r>
      <w:r w:rsidR="003C7FB2">
        <w:t xml:space="preserve"> </w:t>
      </w:r>
      <w:r>
        <w:t>of</w:t>
      </w:r>
      <w:r w:rsidR="003C7FB2">
        <w:t xml:space="preserve"> </w:t>
      </w:r>
      <w:r w:rsidR="008B5EB6">
        <w:t>strengths</w:t>
      </w:r>
      <w:r>
        <w:t>.</w:t>
      </w:r>
      <w:r w:rsidR="003C7FB2">
        <w:t xml:space="preserve"> </w:t>
      </w:r>
      <w:r>
        <w:t>These</w:t>
      </w:r>
      <w:r w:rsidR="003C7FB2">
        <w:t xml:space="preserve"> </w:t>
      </w:r>
      <w:r>
        <w:t>include</w:t>
      </w:r>
      <w:r w:rsidR="003C7FB2">
        <w:t xml:space="preserve"> </w:t>
      </w:r>
      <w:r w:rsidR="00BD169D">
        <w:t>DEXA-</w:t>
      </w:r>
      <w:r w:rsidR="000D0881">
        <w:t>measured</w:t>
      </w:r>
      <w:r w:rsidR="003C7FB2">
        <w:t xml:space="preserve"> </w:t>
      </w:r>
      <w:r w:rsidR="000D0881">
        <w:t>adiposity</w:t>
      </w:r>
      <w:r w:rsidR="008B5EB6">
        <w:t>,</w:t>
      </w:r>
      <w:r w:rsidR="003C7FB2">
        <w:t xml:space="preserve"> </w:t>
      </w:r>
      <w:r w:rsidR="00F50017">
        <w:t>detailed</w:t>
      </w:r>
      <w:r w:rsidR="003C7FB2">
        <w:t xml:space="preserve"> </w:t>
      </w:r>
      <w:r w:rsidR="00F50017">
        <w:t>and</w:t>
      </w:r>
      <w:r w:rsidR="003C7FB2">
        <w:t xml:space="preserve"> </w:t>
      </w:r>
      <w:r w:rsidR="00F50017">
        <w:t>objective</w:t>
      </w:r>
      <w:r w:rsidR="003C7FB2">
        <w:t xml:space="preserve"> </w:t>
      </w:r>
      <w:r w:rsidR="00F50017">
        <w:t>characterisation</w:t>
      </w:r>
      <w:r w:rsidR="003C7FB2">
        <w:t xml:space="preserve"> </w:t>
      </w:r>
      <w:r w:rsidR="00F50017">
        <w:t>of</w:t>
      </w:r>
      <w:r w:rsidR="003C7FB2">
        <w:t xml:space="preserve"> </w:t>
      </w:r>
      <w:r w:rsidR="008B5EB6">
        <w:t>physical</w:t>
      </w:r>
      <w:r w:rsidR="003C7FB2">
        <w:t xml:space="preserve"> </w:t>
      </w:r>
      <w:r w:rsidR="008B5EB6">
        <w:t>activity,</w:t>
      </w:r>
      <w:r w:rsidR="003C7FB2">
        <w:t xml:space="preserve"> </w:t>
      </w:r>
      <w:r w:rsidR="008B5EB6">
        <w:t>and</w:t>
      </w:r>
      <w:r w:rsidR="003C7FB2">
        <w:t xml:space="preserve"> </w:t>
      </w:r>
      <w:r w:rsidR="008B5EB6">
        <w:t>adjustment</w:t>
      </w:r>
      <w:r w:rsidR="003C7FB2">
        <w:t xml:space="preserve"> </w:t>
      </w:r>
      <w:r w:rsidR="008B5EB6">
        <w:t>for</w:t>
      </w:r>
      <w:r w:rsidR="003C7FB2">
        <w:t xml:space="preserve"> </w:t>
      </w:r>
      <w:r w:rsidR="008B5EB6">
        <w:t>dietary</w:t>
      </w:r>
      <w:r w:rsidR="003C7FB2">
        <w:t xml:space="preserve"> </w:t>
      </w:r>
      <w:r w:rsidR="008B5EB6">
        <w:t>behaviour.</w:t>
      </w:r>
      <w:r w:rsidR="003C7FB2">
        <w:t xml:space="preserve"> </w:t>
      </w:r>
      <w:r w:rsidR="008B5EB6">
        <w:t>The</w:t>
      </w:r>
      <w:r w:rsidR="003C7FB2">
        <w:t xml:space="preserve"> </w:t>
      </w:r>
      <w:r w:rsidR="008B5EB6">
        <w:t>study’s</w:t>
      </w:r>
      <w:r w:rsidR="003C7FB2">
        <w:t xml:space="preserve"> </w:t>
      </w:r>
      <w:r w:rsidR="008B5EB6">
        <w:t>size</w:t>
      </w:r>
      <w:r w:rsidR="003C7FB2">
        <w:t xml:space="preserve"> </w:t>
      </w:r>
      <w:r w:rsidR="008B5EB6">
        <w:t>enabled</w:t>
      </w:r>
      <w:r w:rsidR="003C7FB2">
        <w:t xml:space="preserve"> </w:t>
      </w:r>
      <w:r w:rsidR="008B5EB6">
        <w:t>us</w:t>
      </w:r>
      <w:r w:rsidR="003C7FB2">
        <w:t xml:space="preserve"> </w:t>
      </w:r>
      <w:r w:rsidR="008B5EB6">
        <w:t>to</w:t>
      </w:r>
      <w:r w:rsidR="003C7FB2">
        <w:t xml:space="preserve"> </w:t>
      </w:r>
      <w:r w:rsidR="008B5EB6">
        <w:t>undertake</w:t>
      </w:r>
      <w:r w:rsidR="003C7FB2">
        <w:t xml:space="preserve"> </w:t>
      </w:r>
      <w:r w:rsidR="008B5EB6">
        <w:t>sub-group</w:t>
      </w:r>
      <w:r w:rsidR="003C7FB2">
        <w:t xml:space="preserve"> </w:t>
      </w:r>
      <w:r w:rsidR="008B5EB6">
        <w:t>analyses,</w:t>
      </w:r>
      <w:r w:rsidR="003C7FB2">
        <w:t xml:space="preserve"> </w:t>
      </w:r>
      <w:r w:rsidR="00813B63">
        <w:t>stratifying</w:t>
      </w:r>
      <w:r w:rsidR="003C7FB2">
        <w:t xml:space="preserve"> </w:t>
      </w:r>
      <w:r w:rsidR="00F76B17">
        <w:t>by</w:t>
      </w:r>
      <w:r w:rsidR="003C7FB2">
        <w:t xml:space="preserve"> </w:t>
      </w:r>
      <w:r w:rsidR="00F76B17">
        <w:t>sex</w:t>
      </w:r>
      <w:r w:rsidR="003C7FB2">
        <w:t xml:space="preserve"> </w:t>
      </w:r>
      <w:r w:rsidR="00F76B17">
        <w:t>and</w:t>
      </w:r>
      <w:r w:rsidR="003C7FB2">
        <w:t xml:space="preserve"> </w:t>
      </w:r>
      <w:r w:rsidR="00F76B17">
        <w:t>home-work</w:t>
      </w:r>
      <w:r w:rsidR="003C7FB2">
        <w:t xml:space="preserve"> </w:t>
      </w:r>
      <w:r w:rsidR="00F76B17">
        <w:t>distance</w:t>
      </w:r>
      <w:r w:rsidR="002C11E6">
        <w:t>.</w:t>
      </w:r>
      <w:r w:rsidR="003C7FB2">
        <w:t xml:space="preserve"> </w:t>
      </w:r>
      <w:r w:rsidR="00F50017">
        <w:t>We</w:t>
      </w:r>
      <w:r w:rsidR="003C7FB2">
        <w:t xml:space="preserve"> </w:t>
      </w:r>
      <w:r w:rsidR="00F50017">
        <w:t>have</w:t>
      </w:r>
      <w:r w:rsidR="003C7FB2">
        <w:t xml:space="preserve"> </w:t>
      </w:r>
      <w:r w:rsidR="008A7CFB">
        <w:t>estimate</w:t>
      </w:r>
      <w:r w:rsidR="00F50017">
        <w:t>d</w:t>
      </w:r>
      <w:r w:rsidR="003C7FB2">
        <w:t xml:space="preserve"> </w:t>
      </w:r>
      <w:r w:rsidR="00F50017">
        <w:t>associations</w:t>
      </w:r>
      <w:r w:rsidR="003C7FB2">
        <w:t xml:space="preserve"> </w:t>
      </w:r>
      <w:r w:rsidR="008A7CFB">
        <w:t>for</w:t>
      </w:r>
      <w:r w:rsidR="003C7FB2">
        <w:t xml:space="preserve"> </w:t>
      </w:r>
      <w:r w:rsidR="008A7CFB">
        <w:t>commuting</w:t>
      </w:r>
      <w:r w:rsidR="003C7FB2">
        <w:t xml:space="preserve"> </w:t>
      </w:r>
      <w:r w:rsidR="008A7CFB">
        <w:t>patterns</w:t>
      </w:r>
      <w:r w:rsidR="003C7FB2">
        <w:t xml:space="preserve"> </w:t>
      </w:r>
      <w:r w:rsidR="008A7CFB">
        <w:t>that</w:t>
      </w:r>
      <w:r w:rsidR="003C7FB2">
        <w:t xml:space="preserve"> </w:t>
      </w:r>
      <w:r w:rsidR="008A7CFB">
        <w:t>are</w:t>
      </w:r>
      <w:r w:rsidR="003C7FB2">
        <w:t xml:space="preserve"> </w:t>
      </w:r>
      <w:r w:rsidR="00A83545">
        <w:t>practically</w:t>
      </w:r>
      <w:r w:rsidR="003C7FB2">
        <w:t xml:space="preserve"> </w:t>
      </w:r>
      <w:r w:rsidR="00A83545">
        <w:t>possible</w:t>
      </w:r>
      <w:r w:rsidR="008A7CFB">
        <w:t>,</w:t>
      </w:r>
      <w:r w:rsidR="003C7FB2">
        <w:t xml:space="preserve"> </w:t>
      </w:r>
      <w:r w:rsidR="008A7CFB">
        <w:t>given</w:t>
      </w:r>
      <w:r w:rsidR="003C7FB2">
        <w:t xml:space="preserve"> </w:t>
      </w:r>
      <w:r w:rsidR="008A7CFB">
        <w:t>constraints</w:t>
      </w:r>
      <w:r w:rsidR="003C7FB2">
        <w:t xml:space="preserve"> </w:t>
      </w:r>
      <w:r w:rsidR="008A7CFB">
        <w:t>imposed</w:t>
      </w:r>
      <w:r w:rsidR="003C7FB2">
        <w:t xml:space="preserve"> </w:t>
      </w:r>
      <w:r w:rsidR="008A7CFB">
        <w:t>by</w:t>
      </w:r>
      <w:r w:rsidR="003C7FB2">
        <w:t xml:space="preserve"> </w:t>
      </w:r>
      <w:r w:rsidR="008A7CFB">
        <w:t>distance.</w:t>
      </w:r>
    </w:p>
    <w:p w14:paraId="61951BA5" w14:textId="77777777" w:rsidR="00006E7D" w:rsidRDefault="00006E7D" w:rsidP="00006E7D">
      <w:pPr>
        <w:spacing w:after="0" w:line="240" w:lineRule="auto"/>
      </w:pPr>
    </w:p>
    <w:p w14:paraId="143B8FAF" w14:textId="35619C6C" w:rsidR="00006E7D" w:rsidRDefault="002C11E6" w:rsidP="001F7BCD">
      <w:pPr>
        <w:spacing w:after="0" w:line="240" w:lineRule="auto"/>
      </w:pPr>
      <w:r>
        <w:t>Our</w:t>
      </w:r>
      <w:r w:rsidR="003C7FB2">
        <w:t xml:space="preserve"> </w:t>
      </w:r>
      <w:r>
        <w:t>study</w:t>
      </w:r>
      <w:r w:rsidR="003C7FB2">
        <w:t xml:space="preserve"> </w:t>
      </w:r>
      <w:r>
        <w:t>has</w:t>
      </w:r>
      <w:r w:rsidR="003C7FB2">
        <w:t xml:space="preserve"> </w:t>
      </w:r>
      <w:r w:rsidR="00F50017">
        <w:t>not</w:t>
      </w:r>
      <w:r w:rsidR="003C7FB2">
        <w:t xml:space="preserve"> </w:t>
      </w:r>
      <w:r w:rsidR="00F50017">
        <w:t>used</w:t>
      </w:r>
      <w:r w:rsidR="003C7FB2">
        <w:t xml:space="preserve"> </w:t>
      </w:r>
      <w:r w:rsidR="00F50017">
        <w:t>BMI.</w:t>
      </w:r>
      <w:r w:rsidR="003C7FB2">
        <w:t xml:space="preserve"> </w:t>
      </w:r>
      <w:r w:rsidR="00F50017">
        <w:t>Instead</w:t>
      </w:r>
      <w:r w:rsidR="003C7FB2">
        <w:t xml:space="preserve"> </w:t>
      </w:r>
      <w:r w:rsidR="00F50017">
        <w:t>we</w:t>
      </w:r>
      <w:r w:rsidR="003C7FB2">
        <w:t xml:space="preserve"> </w:t>
      </w:r>
      <w:r w:rsidR="00F50017">
        <w:t>have</w:t>
      </w:r>
      <w:r w:rsidR="003C7FB2">
        <w:t xml:space="preserve"> </w:t>
      </w:r>
      <w:r w:rsidR="00F50017">
        <w:t>used</w:t>
      </w:r>
      <w:r w:rsidR="003C7FB2">
        <w:t xml:space="preserve"> </w:t>
      </w:r>
      <w:r w:rsidR="00F50017">
        <w:t>percentage</w:t>
      </w:r>
      <w:r w:rsidR="003C7FB2">
        <w:t xml:space="preserve"> </w:t>
      </w:r>
      <w:r w:rsidR="00F50017">
        <w:t>body</w:t>
      </w:r>
      <w:r w:rsidR="003C7FB2">
        <w:t xml:space="preserve"> </w:t>
      </w:r>
      <w:r w:rsidR="00F50017">
        <w:t>fat</w:t>
      </w:r>
      <w:r w:rsidR="003C7FB2">
        <w:t xml:space="preserve"> </w:t>
      </w:r>
      <w:r w:rsidR="00313793">
        <w:t>and</w:t>
      </w:r>
      <w:r w:rsidR="003C7FB2">
        <w:t xml:space="preserve"> </w:t>
      </w:r>
      <w:r w:rsidR="00313793">
        <w:t>VAT.</w:t>
      </w:r>
      <w:r w:rsidR="003C7FB2">
        <w:t xml:space="preserve"> </w:t>
      </w:r>
      <w:bookmarkStart w:id="6" w:name="_Hlk490737821"/>
      <w:r w:rsidR="00763600">
        <w:t>Percentage body fat</w:t>
      </w:r>
      <w:r w:rsidR="003C7FB2">
        <w:t xml:space="preserve"> </w:t>
      </w:r>
      <w:r w:rsidR="00F50017">
        <w:t>is</w:t>
      </w:r>
      <w:r w:rsidR="003C7FB2">
        <w:t xml:space="preserve"> </w:t>
      </w:r>
      <w:r w:rsidR="00763600">
        <w:t>less</w:t>
      </w:r>
      <w:r w:rsidR="003C7FB2">
        <w:t xml:space="preserve"> </w:t>
      </w:r>
      <w:r w:rsidR="00F50017">
        <w:t>affected</w:t>
      </w:r>
      <w:r w:rsidR="003C7FB2">
        <w:t xml:space="preserve"> </w:t>
      </w:r>
      <w:r w:rsidR="00F50017">
        <w:t>by</w:t>
      </w:r>
      <w:r w:rsidR="003C7FB2">
        <w:t xml:space="preserve"> </w:t>
      </w:r>
      <w:r w:rsidR="00F50017">
        <w:t>muscle</w:t>
      </w:r>
      <w:r w:rsidR="003C7FB2">
        <w:t xml:space="preserve"> </w:t>
      </w:r>
      <w:r w:rsidR="00F50017">
        <w:t>mass,</w:t>
      </w:r>
      <w:r w:rsidR="003C7FB2">
        <w:t xml:space="preserve"> </w:t>
      </w:r>
      <w:r w:rsidR="00763600">
        <w:t>in comparison to</w:t>
      </w:r>
      <w:r w:rsidR="003C7FB2">
        <w:t xml:space="preserve"> </w:t>
      </w:r>
      <w:r w:rsidR="00F50017">
        <w:t>BMI,</w:t>
      </w:r>
      <w:r w:rsidR="003C7FB2">
        <w:t xml:space="preserve"> </w:t>
      </w:r>
      <w:r w:rsidR="00F50017">
        <w:t>so</w:t>
      </w:r>
      <w:r w:rsidR="003C7FB2">
        <w:t xml:space="preserve"> </w:t>
      </w:r>
      <w:r w:rsidR="00F50017">
        <w:t>is</w:t>
      </w:r>
      <w:r w:rsidR="003C7FB2">
        <w:t xml:space="preserve"> </w:t>
      </w:r>
      <w:r w:rsidR="00F50017">
        <w:t>a</w:t>
      </w:r>
      <w:r w:rsidR="003C7FB2">
        <w:t xml:space="preserve"> </w:t>
      </w:r>
      <w:r w:rsidR="00F50017">
        <w:t>better</w:t>
      </w:r>
      <w:r w:rsidR="003C7FB2">
        <w:t xml:space="preserve"> </w:t>
      </w:r>
      <w:r w:rsidR="00F50017">
        <w:t>indicator</w:t>
      </w:r>
      <w:r w:rsidR="003C7FB2">
        <w:t xml:space="preserve"> </w:t>
      </w:r>
      <w:r w:rsidR="00F50017">
        <w:t>of</w:t>
      </w:r>
      <w:r w:rsidR="003C7FB2">
        <w:t xml:space="preserve"> </w:t>
      </w:r>
      <w:r w:rsidR="00F50017">
        <w:t>total</w:t>
      </w:r>
      <w:r w:rsidR="003C7FB2">
        <w:t xml:space="preserve"> </w:t>
      </w:r>
      <w:r w:rsidR="00F50017">
        <w:t>body</w:t>
      </w:r>
      <w:r w:rsidR="003C7FB2">
        <w:t xml:space="preserve"> </w:t>
      </w:r>
      <w:r w:rsidR="00F50017">
        <w:t>fatness.</w:t>
      </w:r>
      <w:bookmarkEnd w:id="6"/>
      <w:r w:rsidR="003C7FB2">
        <w:t xml:space="preserve"> </w:t>
      </w:r>
      <w:r w:rsidR="00154627">
        <w:t>VAT</w:t>
      </w:r>
      <w:r w:rsidR="003C7FB2">
        <w:t xml:space="preserve"> </w:t>
      </w:r>
      <w:r w:rsidR="004D778D">
        <w:t>is</w:t>
      </w:r>
      <w:r w:rsidR="003C7FB2">
        <w:t xml:space="preserve"> </w:t>
      </w:r>
      <w:r w:rsidR="004D778D">
        <w:t>strongly</w:t>
      </w:r>
      <w:r w:rsidR="003C7FB2">
        <w:t xml:space="preserve"> </w:t>
      </w:r>
      <w:r w:rsidR="004D778D">
        <w:t>associated</w:t>
      </w:r>
      <w:r w:rsidR="003C7FB2">
        <w:t xml:space="preserve"> </w:t>
      </w:r>
      <w:r w:rsidR="004D778D">
        <w:t>with</w:t>
      </w:r>
      <w:r w:rsidR="003C7FB2">
        <w:t xml:space="preserve"> </w:t>
      </w:r>
      <w:r w:rsidR="004D778D">
        <w:t>cardio-metabolic</w:t>
      </w:r>
      <w:r w:rsidR="003C7FB2">
        <w:t xml:space="preserve"> </w:t>
      </w:r>
      <w:r w:rsidR="004D778D">
        <w:t>disease,</w:t>
      </w:r>
      <w:r w:rsidR="003C7FB2">
        <w:t xml:space="preserve"> </w:t>
      </w:r>
      <w:r w:rsidR="004D778D">
        <w:t>and</w:t>
      </w:r>
      <w:r w:rsidR="003C7FB2">
        <w:t xml:space="preserve"> </w:t>
      </w:r>
      <w:r w:rsidR="004D778D">
        <w:t>may</w:t>
      </w:r>
      <w:r w:rsidR="003C7FB2">
        <w:t xml:space="preserve"> </w:t>
      </w:r>
      <w:r w:rsidR="004D778D">
        <w:t>be</w:t>
      </w:r>
      <w:r w:rsidR="003C7FB2">
        <w:t xml:space="preserve"> </w:t>
      </w:r>
      <w:r w:rsidR="004D778D">
        <w:t>a</w:t>
      </w:r>
      <w:r w:rsidR="003C7FB2">
        <w:t xml:space="preserve"> </w:t>
      </w:r>
      <w:r w:rsidR="004D778D">
        <w:t>better</w:t>
      </w:r>
      <w:r w:rsidR="003C7FB2">
        <w:t xml:space="preserve"> </w:t>
      </w:r>
      <w:r w:rsidR="004D778D">
        <w:t>predictor</w:t>
      </w:r>
      <w:r w:rsidR="003C7FB2">
        <w:t xml:space="preserve"> </w:t>
      </w:r>
      <w:r w:rsidR="00813B63">
        <w:t>of</w:t>
      </w:r>
      <w:r w:rsidR="003C7FB2">
        <w:t xml:space="preserve"> </w:t>
      </w:r>
      <w:r w:rsidR="00813B63">
        <w:t>health</w:t>
      </w:r>
      <w:r w:rsidR="003C7FB2">
        <w:t xml:space="preserve"> </w:t>
      </w:r>
      <w:r w:rsidR="00813B63">
        <w:t>outcomes</w:t>
      </w:r>
      <w:r w:rsidR="003C7FB2">
        <w:t xml:space="preserve"> </w:t>
      </w:r>
      <w:r w:rsidR="004D778D">
        <w:t>than</w:t>
      </w:r>
      <w:r w:rsidR="003C7FB2">
        <w:t xml:space="preserve"> </w:t>
      </w:r>
      <w:r w:rsidR="00CC04D9">
        <w:t>other</w:t>
      </w:r>
      <w:r w:rsidR="003C7FB2">
        <w:t xml:space="preserve"> </w:t>
      </w:r>
      <w:r w:rsidR="00CC04D9">
        <w:t>measures</w:t>
      </w:r>
      <w:r w:rsidR="003C7FB2">
        <w:t xml:space="preserve"> </w:t>
      </w:r>
      <w:r w:rsidR="00CC04D9">
        <w:t>of</w:t>
      </w:r>
      <w:r w:rsidR="003C7FB2">
        <w:t xml:space="preserve"> </w:t>
      </w:r>
      <w:r w:rsidR="00CC04D9">
        <w:t>adiposity</w:t>
      </w:r>
      <w:r w:rsidR="004D778D">
        <w:t>.</w:t>
      </w:r>
      <w:r w:rsidR="00CC04D9">
        <w:fldChar w:fldCharType="begin" w:fldLock="1"/>
      </w:r>
      <w:r w:rsidR="000B07A6">
        <w:instrText>ADDIN CSL_CITATION { "citationItems" : [ { "id" : "ITEM-1", "itemData" : { "DOI" : "10.1161/CIRCULATIONAHA.106.675355", "ISSN" : "1524-4539", "PMID" : "17576866", "abstract" : "BACKGROUND: Visceral adipose tissue (VAT) compartments may confer increased metabolic risk. The incremental utility of measuring both visceral and subcutaneous abdominal adipose tissue (SAT) in association with metabolic risk factors and underlying heritability has not been well described in a population-based setting.\n\nMETHODS AND RESULTS: Participants (n=3001) were drawn from the Framingham Heart Study (48% women; mean age, 50 years), were free of clinical cardiovascular disease, and underwent multidetector computed tomography assessment of SAT and VAT volumes between 2002 and 2005. Metabolic risk factors were examined in relation to increments of SAT and VAT after multivariable adjustment. Heritability was calculated using variance-components analysis. Among both women and men, SAT and VAT were significantly associated with blood pressure, fasting plasma glucose, triglycerides, and high-density lipoprotein cholesterol and with increased odds of hypertension, impaired fasting glucose, diabetes mellitus, and metabolic syndrome (P range &lt; 0.01). In women, relations between VAT and risk factors were consistently stronger than in men. However, VAT was more strongly correlated with most metabolic risk factors than was SAT. For example, among women and men, both SAT and VAT were associated with increased odds of metabolic syndrome. In women, the odds ratio (OR) of metabolic syndrome per 1-standard deviation increase in VAT (OR, 4.7) was stronger than that for SAT (OR, 3.0; P for difference between SAT and VAT &lt; 0.0001); similar differences were noted for men (OR for VAT, 4.2; OR for SAT, 2.5). Furthermore, VAT but not SAT contributed significantly to risk factor variation after adjustment for body mass index and waist circumference (P &lt; or = 0.01). Among overweight and obese individuals, the prevalence of hypertension, impaired fasting glucose, and metabolic syndrome increased linearly and significantly across increasing VAT quartiles. Heritability values for SAT and VAT were 57% and 36%, respectively.\n\nCONCLUSIONS: Although both SAT and VAT are correlated with metabolic risk factors, VAT remains more strongly associated with an adverse metabolic risk profile even after accounting for standard anthropometric indexes. Our findings are consistent with the hypothesized role of visceral fat as a unique, pathogenic fat depot. Measurement of VAT may provide a more complete understanding of metabolic risk associated with variation in fat distribution.", "author" : [ { "dropping-particle" : "", "family" : "Fox", "given" : "Caroline S", "non-dropping-particle" : "", "parse-names" : false, "suffix" : "" }, { "dropping-particle" : "", "family" : "Massaro", "given" : "Joseph M", "non-dropping-particle" : "", "parse-names" : false, "suffix" : "" }, { "dropping-particle" : "", "family" : "Hoffmann", "given" : "Udo", "non-dropping-particle" : "", "parse-names" : false, "suffix" : "" }, { "dropping-particle" : "", "family" : "Pou", "given" : "Karla M", "non-dropping-particle" : "", "parse-names" : false, "suffix" : "" }, { "dropping-particle" : "", "family" : "Maurovich-Horvat", "given" : "Pal", "non-dropping-particle" : "", "parse-names" : false, "suffix" : "" }, { "dropping-particle" : "", "family" : "Liu", "given" : "Chun-Yu", "non-dropping-particle" : "", "parse-names" : false, "suffix" : "" }, { "dropping-particle" : "", "family" : "Vasan", "given" : "Ramachandran S", "non-dropping-particle" : "", "parse-names" : false, "suffix" : "" }, { "dropping-particle" : "", "family" : "Murabito", "given" : "Joanne M", "non-dropping-particle" : "", "parse-names" : false, "suffix" : "" }, { "dropping-particle" : "", "family" : "Meigs", "given" : "James B", "non-dropping-particle" : "", "parse-names" : false, "suffix" : "" }, { "dropping-particle" : "", "family" : "Cupples", "given" : "L Adrienne", "non-dropping-particle" : "", "parse-names" : false, "suffix" : "" }, { "dropping-particle" : "", "family" : "D'Agostino", "given" : "Ralph B", "non-dropping-particle" : "", "parse-names" : false, "suffix" : "" }, { "dropping-particle" : "", "family" : "O'Donnell", "given" : "Christopher J", "non-dropping-particle" : "", "parse-names" : false, "suffix" : "" } ], "container-title" : "Circulation", "id" : "ITEM-1", "issue" : "1", "issued" : { "date-parts" : [ [ "2007", "7", "3" ] ] }, "page" : "39-48", "title" : "Abdominal visceral and subcutaneous adipose tissue compartments: association with metabolic risk factors in the Framingham Heart Study.", "type" : "article-journal", "volume" : "116" }, "uris" : [ "http://www.mendeley.com/documents/?uuid=2c59b4f9-dd2f-4886-972b-fc3ec972c418" ] } ], "mendeley" : { "formattedCitation" : "(Fox et al., 2007)", "plainTextFormattedCitation" : "(Fox et al., 2007)", "previouslyFormattedCitation" : "(Fox et al., 2007)" }, "properties" : { "noteIndex" : 0 }, "schema" : "https://github.com/citation-style-language/schema/raw/master/csl-citation.json" }</w:instrText>
      </w:r>
      <w:r w:rsidR="00CC04D9">
        <w:fldChar w:fldCharType="separate"/>
      </w:r>
      <w:r w:rsidR="00B71669" w:rsidRPr="00B71669">
        <w:rPr>
          <w:noProof/>
        </w:rPr>
        <w:t>(Fox et al., 2007)</w:t>
      </w:r>
      <w:r w:rsidR="00CC04D9">
        <w:fldChar w:fldCharType="end"/>
      </w:r>
      <w:r w:rsidR="003C7FB2">
        <w:t xml:space="preserve"> </w:t>
      </w:r>
    </w:p>
    <w:p w14:paraId="4DA86E05" w14:textId="77777777" w:rsidR="00006E7D" w:rsidRDefault="00006E7D" w:rsidP="001F7BCD">
      <w:pPr>
        <w:spacing w:after="0" w:line="240" w:lineRule="auto"/>
      </w:pPr>
    </w:p>
    <w:p w14:paraId="2BEF3F61" w14:textId="6BB50D7E" w:rsidR="00F76B17" w:rsidRDefault="00006E7D" w:rsidP="001F7BCD">
      <w:pPr>
        <w:spacing w:after="0" w:line="240" w:lineRule="auto"/>
        <w:rPr>
          <w:u w:val="single"/>
        </w:rPr>
      </w:pPr>
      <w:r w:rsidRPr="00006E7D">
        <w:rPr>
          <w:u w:val="single"/>
        </w:rPr>
        <w:t>Comparison</w:t>
      </w:r>
      <w:r w:rsidR="003C7FB2">
        <w:rPr>
          <w:u w:val="single"/>
        </w:rPr>
        <w:t xml:space="preserve"> </w:t>
      </w:r>
      <w:r w:rsidRPr="00006E7D">
        <w:rPr>
          <w:u w:val="single"/>
        </w:rPr>
        <w:t>with</w:t>
      </w:r>
      <w:r w:rsidR="003C7FB2">
        <w:rPr>
          <w:u w:val="single"/>
        </w:rPr>
        <w:t xml:space="preserve"> </w:t>
      </w:r>
      <w:r w:rsidRPr="00006E7D">
        <w:rPr>
          <w:u w:val="single"/>
        </w:rPr>
        <w:t>other</w:t>
      </w:r>
      <w:r w:rsidR="003C7FB2">
        <w:rPr>
          <w:u w:val="single"/>
        </w:rPr>
        <w:t xml:space="preserve"> </w:t>
      </w:r>
      <w:r w:rsidRPr="00006E7D">
        <w:rPr>
          <w:u w:val="single"/>
        </w:rPr>
        <w:t>studies</w:t>
      </w:r>
      <w:r w:rsidR="003C7FB2">
        <w:rPr>
          <w:u w:val="single"/>
        </w:rPr>
        <w:t xml:space="preserve"> </w:t>
      </w:r>
    </w:p>
    <w:p w14:paraId="186D23DB" w14:textId="77777777" w:rsidR="00006E7D" w:rsidRDefault="00006E7D" w:rsidP="001F7BCD">
      <w:pPr>
        <w:spacing w:after="0" w:line="240" w:lineRule="auto"/>
        <w:rPr>
          <w:u w:val="single"/>
        </w:rPr>
      </w:pPr>
    </w:p>
    <w:p w14:paraId="1A7479ED" w14:textId="72F0E2F6" w:rsidR="00A06995" w:rsidRDefault="00A83545" w:rsidP="00A06995">
      <w:pPr>
        <w:spacing w:after="0" w:line="240" w:lineRule="auto"/>
      </w:pPr>
      <w:r>
        <w:t>O</w:t>
      </w:r>
      <w:r w:rsidR="008D4FC4">
        <w:t>ur</w:t>
      </w:r>
      <w:r w:rsidR="003C7FB2">
        <w:t xml:space="preserve"> </w:t>
      </w:r>
      <w:r>
        <w:t>findings</w:t>
      </w:r>
      <w:r w:rsidR="003C7FB2">
        <w:t xml:space="preserve"> </w:t>
      </w:r>
      <w:r>
        <w:t>are</w:t>
      </w:r>
      <w:r w:rsidR="003C7FB2">
        <w:t xml:space="preserve"> </w:t>
      </w:r>
      <w:r w:rsidR="00006E7D">
        <w:t>consistent</w:t>
      </w:r>
      <w:r w:rsidR="003C7FB2">
        <w:t xml:space="preserve"> </w:t>
      </w:r>
      <w:r w:rsidR="00006E7D">
        <w:t>with</w:t>
      </w:r>
      <w:r w:rsidR="003C7FB2">
        <w:t xml:space="preserve"> </w:t>
      </w:r>
      <w:r w:rsidR="00313793">
        <w:t>other</w:t>
      </w:r>
      <w:r w:rsidR="003C7FB2">
        <w:t xml:space="preserve"> </w:t>
      </w:r>
      <w:r w:rsidR="008D4FC4">
        <w:t>report</w:t>
      </w:r>
      <w:r w:rsidR="00313793">
        <w:t>s</w:t>
      </w:r>
      <w:r w:rsidR="003C7FB2">
        <w:t xml:space="preserve"> </w:t>
      </w:r>
      <w:r w:rsidR="00313793">
        <w:t>that</w:t>
      </w:r>
      <w:r w:rsidR="003C7FB2">
        <w:t xml:space="preserve"> </w:t>
      </w:r>
      <w:r w:rsidR="008D4FC4">
        <w:t>active</w:t>
      </w:r>
      <w:r w:rsidR="003C7FB2">
        <w:t xml:space="preserve"> </w:t>
      </w:r>
      <w:r w:rsidR="008D4FC4">
        <w:t>travel</w:t>
      </w:r>
      <w:r w:rsidR="003C7FB2">
        <w:t xml:space="preserve"> </w:t>
      </w:r>
      <w:r w:rsidR="00313793">
        <w:t>is</w:t>
      </w:r>
      <w:r w:rsidR="003C7FB2">
        <w:t xml:space="preserve"> </w:t>
      </w:r>
      <w:r w:rsidR="00313793">
        <w:t>associated</w:t>
      </w:r>
      <w:r w:rsidR="003C7FB2">
        <w:t xml:space="preserve"> </w:t>
      </w:r>
      <w:r w:rsidR="00313793">
        <w:t>with</w:t>
      </w:r>
      <w:r w:rsidR="003C7FB2">
        <w:t xml:space="preserve"> </w:t>
      </w:r>
      <w:r w:rsidR="00313793">
        <w:t>reduced</w:t>
      </w:r>
      <w:r w:rsidR="003C7FB2">
        <w:t xml:space="preserve"> </w:t>
      </w:r>
      <w:r w:rsidR="00313793">
        <w:t>BMI</w:t>
      </w:r>
      <w:r w:rsidR="003C7FB2">
        <w:t xml:space="preserve"> </w:t>
      </w:r>
      <w:r w:rsidR="008D4FC4">
        <w:t>relative</w:t>
      </w:r>
      <w:r w:rsidR="003C7FB2">
        <w:t xml:space="preserve"> </w:t>
      </w:r>
      <w:r w:rsidR="008D4FC4">
        <w:t>to</w:t>
      </w:r>
      <w:r w:rsidR="003C7FB2">
        <w:t xml:space="preserve"> </w:t>
      </w:r>
      <w:r w:rsidR="002F3BFF">
        <w:t>car-use,</w:t>
      </w:r>
      <w:r w:rsidR="002F3BFF">
        <w:rPr>
          <w:rFonts w:cs="Arial"/>
          <w:color w:val="2E2E2E"/>
        </w:rPr>
        <w:fldChar w:fldCharType="begin" w:fldLock="1"/>
      </w:r>
      <w:r w:rsidR="000B07A6">
        <w:rPr>
          <w:rFonts w:cs="Arial"/>
          <w:color w:val="2E2E2E"/>
        </w:rPr>
        <w:instrText>ADDIN CSL_CITATION { "citationItems" : [ { "id" : "ITEM-1", "itemData" : { "DOI" : "10.1016/j.amepre.2013.04.012", "ISSN" : "1873-2607", "PMID" : "23953354", "abstract" : "BACKGROUND: Increasing active travel (walking, cycling, public transport) is increasingly seen as integral to strategies to raise physical activity levels. PURPOSE: This study examined (1) sociodemographic correlates of active travel to work and (2) associations between active travel and cardiovascular risk factors in the United Kingdom (UK). METHODS: Data come from Understanding Society, a nationally representative survey of UK residents in 2009/2011, analyzed in 2012. Multinomial logistic regression assessed associations between sociodemographic factors and mode of transport to work. Linear and logistic regression was used to examine associations between mode of travel and overweight/obesity, and having hypertension or diabetes. RESULTS: A total of 69% of participants traveled to work using private transport, with public transport, walking, and cycling used by 16%, 12%, and 3%, respectively. Use of any active travel was more likely in participants living in London. Black participants were more likely to walk (AOR=1.41, 95% CI=1.08, 1.84) or take public transport (AOR=2.34, 95% CI=1.88, 2.90) to work than whites. Using public transport, walking, or cycling to work was associated with a lower likelihood of being overweight (AOR=0.80, 95% CI=0.54, 0.88 for walking). Walking or cycling was associated with a lower likelihood of having diabetes, and walking was associated with a lower likelihood of having hypertension than private transport (AOR=0.83, 95% CI=0.71, 0.97). CONCLUSIONS: There are wide variations in the mode of travel to work across regions and sociodemographic groups in the UK. The protective association between active travel and cardiovascular risk demonstrated in this nationally representative study adds to growing evidence that concerted policy focus in this area may benefit population health.", "author" : [ { "dropping-particle" : "", "family" : "Laverty", "given" : "Anthony A", "non-dropping-particle" : "", "parse-names" : false, "suffix" : "" }, { "dropping-particle" : "", "family" : "Mindell", "given" : "Jennifer S", "non-dropping-particle" : "", "parse-names" : false, "suffix" : "" }, { "dropping-particle" : "", "family" : "Webb", "given" : "Elizabeth A", "non-dropping-particle" : "", "parse-names" : false, "suffix" : "" }, { "dropping-particle" : "", "family" : "Millett", "given" : "Christopher", "non-dropping-particle" : "", "parse-names" : false, "suffix" : "" } ], "container-title" : "American journal of preventive medicine", "id" : "ITEM-1", "issue" : "3", "issued" : { "date-parts" : [ [ "2013", "9" ] ] }, "note" : "From Duplicate 1 (Active travel to work and cardiovascular risk factors in the United Kingdom. - Laverty, Anthony A; Mindell, Jennifer S; Webb, Elizabeth A; Millett, Christopher)\n\nW+c split", "page" : "282-8", "title" : "Active travel to work and cardiovascular risk factors in the United Kingdom.", "type" : "article-journal", "volume" : "45" }, "uris" : [ "http://www.mendeley.com/documents/?uuid=de4e6781-17c6-4a1a-9631-32286ada1421" ] }, { "id" : "ITEM-2", "itemData" : { "DOI" : "10.1186/s12966-015-0223-3", "ISSN" : "1479-5868", "PMID" : "25986001", "abstract" : "BACKGROUND: There is little published data on the potential health benefits of active travel in low and middle-income countries. This is despite increasing levels of adiposity being linked to increases in physical inactivity and non-communicable diseases. This study will examine: (1) socio-demographic correlates of using active travel (walking or cycling for transport) among older adults in six populous middle-income countries (2) whether use of active travel is associated with adiposity, systolic blood pressure and self-reported diabetes in these countries.\n\nMETHODS: Data are from the WHO Study on Global Ageing and Adult Health (SAGE) of China, India, Mexico, Ghana, Russia and South Africa with a total sample size of 40,477. Correlates of active travel (\u2265150\u00a0min/week) were examined using logistic regression. Logistic and linear regression analyses were used to examine health related outcomes according to three groups of active travel use per week.\n\nRESULTS: 46.4\u00a0% of the sample undertook \u2265150\u00a0min of active travel per week (range South Africa: 21.9\u00a0% Ghana: 57.8\u00a0%). In pooled analyses those in wealthier households were less likely to meet this level of active travel (Adjusted Risk Ratio (ARR) 0.77, 95\u00a0% Confidence Intervals 0.67; 0.88 wealthiest fifth vs. poorest). Older people and women were also less likely to use active travel for \u2265150\u00a0min per week (ARR 0.71, 0.62; 0.80 those aged 70+ years vs. 18-29 years old, ARR 0.82, 0.74; 0.91 women vs. men). In pooled fully adjusted analyses, high use of active travel was associated with lower risk of overweight (ARR 0.71, 0.59; 0.86), high waist-to-hip ratio (ARR 0.71, 0.61; 0.84) and lower BMI (-0.54\u00a0kg/m(2), -0.98;- 0.11). Moderate (31-209\u00a0min/week) and high use (\u2265210\u00a0min/week) of active travel was associated with lower waist circumference (-1.52\u00a0cm (-2.40; -0.65) and -2.16\u00a0cm (3.07; -1.26)), and lower systolic blood pressure (-1.63\u00a0mm/Hg (-3.19; -0.06) and -2.33\u00a0mm/Hg (-3.98; -0.69)).\n\nCONCLUSIONS: In middle-income countries use of active travel for \u2265150\u00a0min per week is more common in lower socio-economic groups and appears to confer similar health benefits to those identified in high-income settings. Efforts to increase active travel levels should be integral to strategies to maintain healthy weight and reduce disease burden in these settings.", "author" : [ { "dropping-particle" : "", "family" : "Laverty", "given" : "Anthony A", "non-dropping-particle" : "", "parse-names" : false, "suffix" : "" }, { "dropping-particle" : "", "family" : "Palladino", "given" : "Raffaele", "non-dropping-particle" : "", "parse-names" : false, "suffix" : "" }, { "dropping-particle" : "", "family" : "Lee", "given" : "John Tayu", "non-dropping-particle" : "", "parse-names" : false, "suffix" : "" }, { "dropping-particle" : "", "family" : "Millett", "given" : "Christopher", "non-dropping-particle" : "", "parse-names" : false, "suffix" : "" } ], "container-title" : "The international journal of behavioral nutrition and physical activity", "id" : "ITEM-2", "issue" : "1", "issued" : { "date-parts" : [ [ "2015", "5", "20" ] ] }, "note" : "w+C combined", "page" : "65", "title" : "Associations between active travel and weight, blood pressure and diabetes in six middle income countries: a cross-sectional study in older adults.", "type" : "article-journal", "volume" : "12" }, "uris" : [ "http://www.mendeley.com/documents/?uuid=47edd7ae-8998-4388-8291-d32c785aada6" ] }, { "id" : "ITEM-3", "itemData" : { "DOI" : "10.1371/journal.pmed.1001459", "ISSN" : "1549-1676", "PMID" : "23776412", "abstract" : "BACKGROUND: Increasing active travel (walking, bicycling, and public transport) is promoted as a key strategy to increase physical activity and reduce the growing burden of noncommunicable diseases (NCDs) globally. Little is known about patterns of active travel or associated cardiovascular health benefits in low- and middle-income countries. This study examines mode and duration of travel to work in rural and urban India and associations between active travel and overweight, hypertension, and diabetes. METHODS AND FINDINGS: Cross-sectional study of 3,902 participants (1,366 rural, 2,536 urban) in the Indian Migration Study. Associations between mode and duration of active travel and cardiovascular risk factors were assessed using random-effect logistic regression models adjusting for age, sex, caste, standard of living, occupation, factory location, leisure time physical activity, daily fat intake, smoking status, and alcohol use. Rural dwellers were significantly more likely to bicycle (68.3% versus 15.9%; p&lt;0.001) to work than urban dwellers. The prevalence of overweight or obesity was 50.0%, 37.6%, 24.2%, 24.9%; hypertension was 17.7%, 11.8%, 6.5%, 9.8%; and diabetes was 10.8%, 7.4%, 3.8%, 7.3% in participants who travelled to work by private transport, public transport, bicycling, and walking, respectively. In the adjusted analysis, those walking (adjusted risk ratio [ARR] 0.72; 95% CI 0.58-0.88) or bicycling to work (ARR 0.66; 95% CI 0.55-0.77) were significantly less likely to be overweight or obese than those travelling by private transport. Those bicycling to work were significantly less likely to have hypertension (ARR 0.51; 95% CI 0.36-0.71) or diabetes (ARR 0.65; 95% CI 0.44-0.95). There was evidence of a dose-response relationship between duration of bicycling to work and being overweight, having hypertension or diabetes. The main limitation of the study is the cross-sectional design, which limits causal inference for the associations found. CONCLUSIONS: Walking and bicycling to work was associated with reduced cardiovascular risk in the Indian population. Efforts to increase active travel in urban areas and halt declines in rural areas should be integral to strategies to maintain healthy weight and prevent NCDs in India. Please see later in the article for the Editors' Summary.", "author" : [ { "dropping-particle" : "", "family" : "Millett", "given" : "Christopher", "non-dropping-particle" : "", "parse-names" : false, "suffix" : "" }, { "dropping-particle" : "", "family" : "Agrawal", "given" : "Sutapa", "non-dropping-particle" : "", "parse-names" : false, "suffix" : "" }, { "dropping-particle" : "", "family" : "Sullivan", "given" : "Ruth", "non-dropping-particle" : "", "parse-names" : false, "suffix" : "" }, { "dropping-particle" : "", "family" : "Vaz", "given" : "Mario", "non-dropping-particle" : "", "parse-names" : false, "suffix" : "" }, { "dropping-particle" : "", "family" : "Kurpad", "given" : "Anura", "non-dropping-particle" : "", "parse-names" : false, "suffix" : "" }, { "dropping-particle" : "V.", "family" : "Bharathi", "given" : "A.", "non-dropping-particle" : "", "parse-names" : false, "suffix" : "" }, { "dropping-particle" : "", "family" : "Prabhakaran", "given" : "Dorairaj", "non-dropping-particle" : "", "parse-names" : false, "suffix" : "" }, { "dropping-particle" : "", "family" : "Reddy", "given" : "KSPD Kolli Srinath", "non-dropping-particle" : "", "parse-names" : false, "suffix" : "" }, { "dropping-particle" : "", "family" : "Kinra", "given" : "Sanjay", "non-dropping-particle" : "", "parse-names" : false, "suffix" : "" }, { "dropping-particle" : "", "family" : "Smith", "given" : "GD George Davey", "non-dropping-particle" : "", "parse-names" : false, "suffix" : "" }, { "dropping-particle" : "", "family" : "Ebrahim", "given" : "Shah", "non-dropping-particle" : "", "parse-names" : false, "suffix" : "" }, { "dropping-particle" : "", "family" : "Group", "given" : "for the Indian Migration Study", "non-dropping-particle" : "", "parse-names" : false, "suffix" : "" } ], "container-title" : "PLoS medicine", "editor" : [ { "dropping-particle" : "", "family" : "Bhalla", "given" : "Kavi", "non-dropping-particle" : "", "parse-names" : false, "suffix" : "" } ], "id" : "ITEM-3", "issue" : "6", "issued" : { "date-parts" : [ [ "2013", "1", "11" ] ] }, "note" : "From Duplicate 2 (Associations between active travel to work and overweight, hypertension, and diabetes in India: a cross-sectional study. - Millett, Christopher; Agrawal, Sutapa; Sullivan, Ruth; Vaz, Mario; Kurpad, Anura; Bharathi, A V; Prabhakaran, Dorairaj; Reddy, Kolli Srinath; Kinra, Sanjay; Smith, George Davey; Ebrahim, Shah)\n\nseparate estimates for w+C", "page" : "e1001459", "publisher" : "Public Library of Science", "title" : "Associations between active travel to work and overweight, hypertension, and diabetes in India: a cross-sectional study.", "type" : "article-journal", "volume" : "10" }, "uris" : [ "http://www.mendeley.com/documents/?uuid=246315b3-3a61-4417-8831-b4fc4fbf04a3" ] }, { "id" : "ITEM-4", "itemData" : { "DOI" : "10.1016/S2213-8587(16)00053-X", "ISSN" : "22138587", "author" : [ { "dropping-particle" : "", "family" : "Flint", "given" : "Ellen", "non-dropping-particle" : "", "parse-names" : false, "suffix" : "" }, { "dropping-particle" : "", "family" : "Cummins", "given" : "Steven", "non-dropping-particle" : "", "parse-names" : false, "suffix" : "" } ], "container-title" : "The Lancet Diabetes &amp; Endocrinology", "id" : "ITEM-4", "issue" : "5", "issued" : { "date-parts" : [ [ "2016", "3" ] ] }, "language" : "English", "page" : "420-435", "publisher" : "Elsevier", "title" : "Active commuting and obesity in mid-life: cross-sectional, observational evidence from UK Biobank", "type" : "article-journal", "volume" : "4" }, "uris" : [ "http://www.mendeley.com/documents/?uuid=e7c9e359-019e-4cc3-a869-943a6411defd" ] }, { "id" : "ITEM-5", "itemData" : { "DOI" : "10.1136/bmj.g4887", "ISSN" : "1756-1833", "abstract" : "Objective To determine if promotion of active modes of travel is an effective strategy for obesity prevention by assessing whether active commuting (walking or cycling for all or part of the journey to work) is independently associated with objectively assessed biological markers of obesity. Design Cross sectional study of data from the wave 2 Health Assessment subsample of Understanding Society, the UK Household Longitudinal Study (UKHLS). The exposure of interest, commuting mode, was self reported and categorised as three categories: private transport, public transport, and active transport. Participants The analytic samples (7534 for body mass index (BMI) analysis, 7424 for percentage body fat analysis) were drawn from the representative subsample of wave 2 respondents of UKHLS who provided health assessment data (n=15 777). Main outcome measures Body mass index (weight (kg)/height (m)2); percentage body fat (measured by electrical impedance). Results Results from multivariate linear regression analyses suggest that, compared with using private transport, commuting by public or active transport modes was significantly and independently predictive of lower BMI for both men and women. In fully adjusted models, men who commuted via public or active modes had BMI scores 1.10 (95% CI 0.53 to 1.67) and 0.97 (0.40 to 1.55) points lower, respectively, than those who used private transport. Women who commuted via public or active modes had BMI scores 0.72 (0.06 to 1.37) and 0.87 (0.36 to 0.87) points lower, respectively, than those using private transport. Results for percentage body fat were similar in terms of magnitude, significance, and direction of effects. Conclusions Men and women who commuted to work by active and public modes of transport had significantly lower BMI and percentage body fat than their counterparts who used private transport. These associations were not attenuated by adjustment for a range of hypothesised confounding factors.", "author" : [ { "dropping-particle" : "", "family" : "Flint", "given" : "E.", "non-dropping-particle" : "", "parse-names" : false, "suffix" : "" }, { "dropping-particle" : "", "family" : "Cummins", "given" : "S.", "non-dropping-particle" : "", "parse-names" : false, "suffix" : "" }, { "dropping-particle" : "", "family" : "Sacker", "given" : "A.", "non-dropping-particle" : "", "parse-names" : false, "suffix" : "" } ], "container-title" : "BMJ", "id" : "ITEM-5", "issue" : "aug19 13", "issued" : { "date-parts" : [ [ "2014", "8", "19" ] ] }, "page" : "g4887-g4887", "title" : "Associations between active commuting, body fat, and body mass index: population based, cross sectional study in the United Kingdom", "type" : "article-journal", "volume" : "349" }, "uris" : [ "http://www.mendeley.com/documents/?uuid=8787743b-b3b9-4811-8179-d88afe555721" ] }, { "id" : "ITEM-6", "itemData" : { "DOI" : "10.1001/archinternmed.2009.163", "ISBN" : "1538-3679 (Electronic)\n0003-9926 (Linking)", "PMID" : "19597071", "abstract" : "BACKGROUND: There is little research on the association of lifestyle exercise, such as active commuting (walking or biking to work), with obesity, fitness, and cardiovascular disease (CVD) risk factors. METHODS: This cross-sectional study included 2364 participants enrolled in the Coronary Artery Risk Development in Young Adults (CARDIA) study who worked outside the home during year 20 of the study (2005-2006). Associations between walking or biking to work (self-reported time, distance, and mode of commuting) with body weight (measured height and weight); obesity (body mass index [BMI], calculated as weight in kilograms divided by height in meters squared, &gt;or= 30); fitness (symptom-limited exercise stress testing); objective moderate-vigorous physical activity (accelerometry); CVD risk factors (blood pressure [oscillometric systolic and diastolic]); and serum measures (fasting measures of lipid, glucose, and insulin levels) were separately assessed by sex-stratified multivariable linear (or logistic) regression modeling. RESULTS: A total of 16.7% of participants used any means of active commuting to work. Controlling for age, race, income, education, smoking, examination center, and physical activity index excluding walking, men with any active commuting (vs none) had reduced likelihood of obesity (odds ratio [OR], 0.50; 95% confidence interval [CI], 0.33-0.76), reduced CVD risk: ratio of geometric mean triglyceride levels (trig(active))/(trig(nonactive)) = 0.88 (95% CI, 0.80 to 0.98); ratio of geometric mean fasting insulin (FI(active))/(FI(nonactive)) = 0.86 (95% CI, 0.78 to 0.93); difference in mean diastolic blood pressure (millimeters of mercury) (DBP(active)) - (DBP(nonactive)) = -1.67 (95% CI, -3.20 to -0.15); and higher fitness: mean difference in treadmill test duration (in seconds) in men (TT(active)) - (TT(nonactive)) = 50.0 (95% CI, 31.45 to 68.59) and women (TT(active)) - (TT(nonactive)) = 28.77 (95% CI, 11.61 to 45.92). CONCLUSIONS: Active commuting was positively associated with fitness in men and women and inversely associated with BMI, obesity, triglyceride levels, blood pressure, and insulin level in men. Active commuting should be investigated as a modality for maintaining or improving health.", "author" : [ { "dropping-particle" : "", "family" : "Gordon-Larsen", "given" : "P", "non-dropping-particle" : "", "parse-names" : false, "suffix" : "" }, { "dropping-particle" : "", "family" : "Boone-Heinonen", "given" : "J", "non-dropping-particle" : "", "parse-names" : false, "suffix" : "" }, { "dropping-particle" : "", "family" : "Sidney", "given" : "S", "non-dropping-particle" : "", "parse-names" : false, "suffix" : "" }, { "dropping-particle" : "", "family" : "Sternfeld", "given" : "B", "non-dropping-particle" : "", "parse-names" : false, "suffix" : "" }, { "dropping-particle" : "", "family" : "Jacobs  Jr.", "given" : "D R", "non-dropping-particle" : "", "parse-names" : false, "suffix" : "" }, { "dropping-particle" : "", "family" : "Lewis", "given" : "C E", "non-dropping-particle" : "", "parse-names" : false, "suffix" : "" } ], "container-title" : "Arch Intern Med", "edition" : "2009/07/15", "id" : "ITEM-6", "issue" : "13", "issued" : { "date-parts" : [ [ "2009" ] ] }, "language" : "eng", "note" : "Gordon-Larsen, Penny\nBoone-Heinonen, Janne\nSidney, Steve\nSternfeld, Barbara\nJacobs, David R Jr\nLewis, Cora E\nDK56350/DK/NIDDK NIH HHS/\nK01 HD044263-05/HD/NICHD NIH HHS/\nK01-HD044263/HD/NICHD NIH HHS/\nN01 HC005187/HC/NHLBI NIH HHS/\nN01 HC048047/HC/NHLBI NIH HHS/\nN01 HC048048/HC/NHLBI NIH HHS/\nN01 HC048049/HC/NHLBI NIH HHS/\nN01 HC048050/HC/NHLBI NIH HHS/\nN01 HC095095/HC/NHLBI NIH HHS/\nN01-HC-05187/HC/NHLBI NIH HHS/\nN01-HC-48047/HC/NHLBI NIH HHS/\nN01-HC-48048/HC/NHLBI NIH HHS/\nN01-HC-48049/HC/NHLBI NIH HHS/\nN01-HC-48050/HC/NHLBI NIH HHS/\nN01-HC-95095/HC/NHLBI NIH HHS/\nP30 DK056350-08S1/DK/NIDDK NIH HHS/\nP30 ES010126-01A1/ES/NIEHS NIH HHS/\nP30-ES10126/ES/NIEHS NIH HHS/\nR01 CA109831/CA/NCI NIH HHS/\nR01 CA109831-05/CA/NCI NIH HHS/\nR01 CA12115/CA/NCI NIH HHS/\nR01 CA121152-04/CA/NCI NIH HHS/\nR01 HL078972/HL/NHLBI NIH HHS/\nR01 HL078972-04/HL/NHLBI NIH HHS/\nArch Intern Med. 2009 Jul 13;169(13):1216-23.", "page" : "1216-1223", "title" : "Active commuting and cardiovascular disease risk: the CARDIA study", "type" : "article-journal", "volume" : "169" }, "uris" : [ "http://www.mendeley.com/documents/?uuid=ddc63179-44fa-4361-9f4b-a690b96e1262" ] }, { "id" : "ITEM-7", "itemData" : { "DOI" : "10.1186/s12889-015-2411-0", "ISSN" : "1471-2458", "PMID" : "26498367", "abstract" : "BACKGROUND Data on use and health benefits of active travel in rural low- and middle- income country settings are sparse. We aimed to examine correlates of active travel, and its association with adiposity, in rural India and Bangladesh. METHODS Cross sectional study of 2,122 adults (\u226518 years) sampled in 2011-13 from two rural sites in India (Goa and Chennai) and one in Bangladesh (Matlab). Logistic regression was used to examine whether \u2265150 min/week of active travel was associated with socio-demographic indices, smoking, oil/butter consumption, and additional physical activity. Adjusting for these same factors, associations between active travel and BMI, waist circumference and waist-to-hip ratio were examined using linear and logistic regression. RESULTS Forty-six percent of the sample achieved recommended levels of physical activity (\u2265150 min/week) through active travel alone (range: 33.1 % in Matlab to 54.8 % in Goa). This was more frequent among smokers (adjusted odds ratio 1.36, 95 % confidence interval 1.07-1.72; p\u2009=\u20090.011) and those that spent \u2265150 min/week in work-based physical activity (OR 1.71, 1.35-2.16; p\u2009&lt;\u20090.001), but less frequent among females than males (OR 0.25, 0.20-0.31; p\u2009&lt;\u20090.001). In fully adjusted analyses, \u2265150 min/week of active travel was associated with lower BMI (adjusted coefficient -0.39 kg/m(2), -0.77 to -0.02; p\u2009=\u20090.037) and a lower likelihood of high waist circumference (OR 0.77, 0.63-0.96; p\u2009=\u20090.018) and high waist-to-hip ratio (OR 0.72, 0.58-0.89; p\u2009=\u20090.002). CONCLUSIONS Use of active travel for \u2265150 min/week was associated with being male, smoking, and higher levels of work-based physical activity. It was associated with lower BMI, and lower risk of a high waist circumference or high waist-to-hip ratio. Promotion of active travel is an important component of strategies to address the growing prevalence of overweight in rural low- and middle- income country settings.", "author" : [ { "dropping-particle" : "", "family" : "McKay", "given" : "Ailsa J", "non-dropping-particle" : "", "parse-names" : false, "suffix" : "" }, { "dropping-particle" : "", "family" : "Laverty", "given" : "Anthony A", "non-dropping-particle" : "", "parse-names" : false, "suffix" : "" }, { "dropping-particle" : "", "family" : "Shridhar", "given" : "Krithiga", "non-dropping-particle" : "", "parse-names" : false, "suffix" : "" }, { "dropping-particle" : "", "family" : "Alam", "given" : "Dewan", "non-dropping-particle" : "", "parse-names" : false, "suffix" : "" }, { "dropping-particle" : "", "family" : "Dias", "given" : "Amit", "non-dropping-particle" : "", "parse-names" : false, "suffix" : "" }, { "dropping-particle" : "", "family" : "Williams", "given" : "Joseph", "non-dropping-particle" : "", "parse-names" : false, "suffix" : "" }, { "dropping-particle" : "", "family" : "Millett", "given" : "Christopher", "non-dropping-particle" : "", "parse-names" : false, "suffix" : "" }, { "dropping-particle" : "", "family" : "Ebrahim", "given" : "Shah", "non-dropping-particle" : "", "parse-names" : false, "suffix" : "" }, { "dropping-particle" : "", "family" : "Dhillon", "given" : "Preet K", "non-dropping-particle" : "", "parse-names" : false, "suffix" : "" } ], "container-title" : "BMC public health", "id" : "ITEM-7", "issued" : { "date-parts" : [ [ "2015" ] ] }, "page" : "1087", "title" : "Associations between active travel and adiposity in rural India and Bangladesh: a cross-sectional study.", "type" : "article-journal", "volume" : "15" }, "uris" : [ "http://www.mendeley.com/documents/?uuid=09987ac4-12b6-3462-a026-3bd9ac43730c" ] }, { "id" : "ITEM-8", "itemData" : { "ISSN" : "1209-1367", "PMID" : "27096619", "abstract" : "BACKGROUND Active travel may be a means of integrating physical activity into an individual's routine. This analysis investigates the relationship between utilitarian walking and cycling and objectively measured physical activity and health-related outcomes in a nationally representative sample of Canadian adults. DATA AND METHODS Adults aged 20 to 79 who participated in the 2007-to-2011 Canadian Health Measures Surveys (N = 7,160) reported the weekly time spent in utilitarian walking and cycling and wore an Actical accelerometer for seven days. They underwent a series of tests to measure physical fitness, body composition, blood pressure, and biomarkers. Differences in physical activity and health-related outcomes across levels of utilitarian walking and cycling were assessed with ANCOVA analyses adjusted for age, sex, education, household income, self-reported usual daily physical activity, and the complex survey design. RESULTS Utilitarian walking and cycling were associated with moderate-to-vigorous physical activity in a graded manner. Compared with respondents who reported walking 1 to 5 hours a week, those who walked more than 5 hours a week had lower skinfold thickness. Respondents who reported cycling 1 or more hours a week had greater aerobic fitness and lower BMI, waist circumference, total cholesterol/HDL ratio, glycohemoglobin, C-reactive protein, and triglycerides than did those who did not cycle. They also had higher aerobic fitness and lower BMI and waist circumference than those who reported cycling less than an hour a week. INTERPRETATION Cycling at least an hour a week is associated with improved fitness and reduced cardiovascular disease risk factors. Both utilitarian walking and cycling may be means of increasing adults' moderate-to-vigorous physical activity.", "author" : [ { "dropping-particle" : "", "family" : "Larouche", "given" : "Richard", "non-dropping-particle" : "", "parse-names" : false, "suffix" : "" }, { "dropping-particle" : "", "family" : "Faulkner", "given" : "Guy", "non-dropping-particle" : "", "parse-names" : false, "suffix" : "" }, { "dropping-particle" : "", "family" : "Tremblay", "given" : "Mark S", "non-dropping-particle" : "", "parse-names" : false, "suffix" : "" } ], "container-title" : "Health reports", "id" : "ITEM-8", "issue" : "4", "issued" : { "date-parts" : [ [ "2016", "4" ] ] }, "page" : "10-8", "title" : "Active travel and adults' health: The 2007-to-2011 Canadian Health Measures Surveys.", "type" : "article-journal", "volume" : "27" }, "uris" : [ "http://www.mendeley.com/documents/?uuid=070418c1-8f41-3a48-b8e6-6c61300966c8" ] }, { "id" : "ITEM-9", "itemData" : { "DOI" : "10.1016/j.ypmed.2016.06.014", "ISSN" : "00917435", "abstract" : "OBJECTIVE\nTo investigate the longitudinal associations between active commuting (walking and cycling to work) and body mass index (BMI). \n\nMETHOD\nWe used self-reported data on height, weight and active commuting from the Commuting and Health in Cambridge study (2009 to 2012; n=809). We used linear regression to test the associations between: a) maintenance of active commuting over one year and BMI at the end of that year; and b) change in weekly time spent in active commuting and change in BMI over one year. \n\nRESULTS\nAfter adjusting for sociodemographic variables, other physical activity, physical wellbeing and maintenance of walking, those who maintained cycle commuting reported a lower BMI on average at one year follow-up (1.14kg/m2, 95% CI: 0.30 to 1.98, n=579) than those who never cycled to work. No significant association remained after adjustment for baseline BMI. No significant associations were observed for maintenance of walking. An increase in walking was associated with a reduction in BMI (0.32kg/m2, 95% CI: 0.03 to 0.62, n=651, after adjustment for co-variates and baseline BMI) only when restricting the analysis to those who did not move. No other significant associations between changes in weekly time spent walking or cycling on the commute and changes in BMI were observed. \n\nCONCLUSIONS\nThis work provides further evidence of the contribution of active commuting, particularly cycling, to preventing weight gain or facilitating weight loss. The findings may be valuable for employees choosing how to commute and engaging employers in the promotion of active travel.", "author" : [ { "dropping-particle" : "", "family" : "Mytton", "given" : "Oliver Tristan", "non-dropping-particle" : "", "parse-names" : false, "suffix" : "" }, { "dropping-particle" : "", "family" : "Panter", "given" : "Jenna", "non-dropping-particle" : "", "parse-names" : false, "suffix" : "" }, { "dropping-particle" : "", "family" : "Ogilvie", "given" : "David", "non-dropping-particle" : "", "parse-names" : false, "suffix" : "" } ], "container-title" : "Preventive Medicine", "id" : "ITEM-9", "issued" : { "date-parts" : [ [ "2016" ] ] }, "page" : "1-7", "title" : "Longitudinal associations of active commuting with body mass index", "type" : "article-journal", "volume" : "90" }, "uris" : [ "http://www.mendeley.com/documents/?uuid=11c42899-4a63-4fdd-be71-93f3769567b7" ] }, { "id" : "ITEM-10", "itemData" : { "DOI" : "10.3390/ijerph13050455", "ISSN" : "1660-4601", "abstract" : "Active traveling to a daily occupation means that an individual uses an active way of traveling between two destinations. Active travel to work or other daily occupations offers a convenient way to increase physical activity levels which is known to have positive effects on several health outcomes. Frequently used concepts in city planning and regional planning today are to create environments for active commuting and active living. Even then, little research has focused on traveling modes and subjective health outcomes such as self-rated health (SRH). This study aimed to explore and investigate associations between travel mode and health-related outcomes, such as self-rated health (SRH), body mass index (BMI) and overall physical activity, in an adult population in Sweden. A cross-sectional study was conducted in a randomly selected population-based sample (n = 1786, age 45\u201375 years); the respondents completed a questionnaire about their regular travel mode, demographics, lifestyle, BMI and SRH. Chi-square tests and logistic regressions found that inactive traveling was associated with poor SRH, a greater risk of obesity or being overweight and overall physical inactivity. In addition, lifestyle factors, such as choice of food and smoking habits, were associated with SRH, BMI and overall physical activity.", "author" : [ { "dropping-particle" : "", "family" : "Berglund", "given" : "Erik", "non-dropping-particle" : "", "parse-names" : false, "suffix" : "" }, { "dropping-particle" : "", "family" : "Lytsy", "given" : "Per", "non-dropping-particle" : "", "parse-names" : false, "suffix" : "" }, { "dropping-particle" : "", "family" : "Westerling", "given" : "Ragnar", "non-dropping-particle" : "", "parse-names" : false, "suffix" : "" } ], "container-title" : "International Journal of Environmental Research and Public Health", "id" : "ITEM-10", "issue" : "5", "issued" : { "date-parts" : [ [ "2016", "4", "28" ] ] }, "page" : "455", "publisher" : "Multidisciplinary Digital Publishing Institute", "title" : "Active Traveling and Its Associations with Self-Rated Health, BMI and Physical Activity: A Comparative Study in the Adult Swedish Population", "type" : "article-journal", "volume" : "13" }, "uris" : [ "http://www.mendeley.com/documents/?uuid=cb7ac5d2-9957-3c8f-97ec-ac03f0501cd7" ] }, { "id" : "ITEM-11", "itemData" : { "DOI" : "10.1136/jech-2014-205211", "ISSN" : "1470-2738", "PMID" : "25954024", "abstract" : "BACKGROUND: Active commuting is associated with various health benefits, but little is known about its causal relationship with body mass index (BMI).\n\nMETHODS: We used cohort data from three consecutive annual waves of the British Household Panel Survey, a longitudinal study of nationally representative households, in 2004/2005 (n=15\u2005791), 2005/2006 and 2006/2007. Participants selected for the analyses (n=4056) reported their usual main mode of travel to work at each time point. Self-reported height and weight were used to derive BMI at baseline and after 2\u2005years. Multivariable linear regression analyses were used to assess associations between switching to and from active modes of travel (over 1 and 2\u2005years) and change in BMI (over 2\u2005years) and to assess dose-response relationships.\n\nRESULTS: After adjustment for socioeconomic and health-related covariates, the first analysis (n=3269) showed that switching from private motor transport to active travel or public transport (n=179) was associated with a significant reduction in BMI compared with continued private motor vehicle use (n=3090; -0.32\u2005kg/m(2), 95% CI -0.60 to -0.05). Larger adjusted effect sizes were associated with switching to active travel (n=109; -0.45\u2005kg/m(2), -0.78 to -0.11), particularly among those who switched within the first year and those with the longest journeys. The second analysis (n=787) showed that switching from active travel or public transport to private motor transport was associated with a significant increase in BMI (0.34\u2005kg/m(2), 0.05 to 0.64).\n\nCONCLUSIONS: Interventions to enable commuters to switch from private motor transport to more active modes of travel could contribute to reducing population mean BMI.", "author" : [ { "dropping-particle" : "", "family" : "Martin", "given" : "Adam", "non-dropping-particle" : "", "parse-names" : false, "suffix" : "" }, { "dropping-particle" : "", "family" : "Panter", "given" : "Jenna", "non-dropping-particle" : "", "parse-names" : false, "suffix" : "" }, { "dropping-particle" : "", "family" : "Suhrcke", "given" : "Marc", "non-dropping-particle" : "", "parse-names" : false, "suffix" : "" }, { "dropping-particle" : "", "family" : "Ogilvie", "given" : "David", "non-dropping-particle" : "", "parse-names" : false, "suffix" : "" } ], "container-title" : "Journal of epidemiology and community health", "id" : "ITEM-11", "issue" : "8", "issued" : { "date-parts" : [ [ "2015", "5", "7" ] ] }, "page" : "753-61", "title" : "Impact of changes in mode of travel to work on changes in body mass index: evidence from the British Household Panel Survey.", "type" : "article-journal", "volume" : "69" }, "uris" : [ "http://www.mendeley.com/documents/?uuid=9729e467-b20c-4026-a548-9d0eb07535fc" ] }, { "id" : "ITEM-12", "itemData" : { "DOI" : "10.1371/journal.pone.0130903", "ISSN" : "1932-6203", "author" : [ { "dropping-particle" : "", "family" : "Wojan", "given" : "Timothy R.", "non-dropping-particle" : "", "parse-names" : false, "suffix" : "" }, { "dropping-particle" : "", "family" : "Hamrick", "given" : "Karen S.", "non-dropping-particle" : "", "parse-names" : false, "suffix" : "" }, { "dropping-particle" : "", "family" : "Durand", "given" : "CP", "non-dropping-particle" : "", "parse-names" : false, "suffix" : "" } ], "container-title" : "PLOS ONE", "editor" : [ { "dropping-particle" : "", "family" : "Zhang", "given" : "Harry", "non-dropping-particle" : "", "parse-names" : false, "suffix" : "" } ], "id" : "ITEM-12", "issue" : "7", "issued" : { "date-parts" : [ [ "2015", "7", "8" ] ] }, "page" : "e0130903", "publisher" : "Public Library of Science", "title" : "Can Walking or Biking to Work Really Make a Difference? Compact Development, Observed Commuter Choice and Body Mass Index", "type" : "article-journal", "volume" : "10" }, "uris" : [ "http://www.mendeley.com/documents/?uuid=3b3127ff-01f7-347d-8ee5-a7e5866c3a37" ] }, { "id" : "ITEM-13", "itemData" : { "DOI" : "10.1016/j.ypmed.2007.07.012", "ISSN" : "0091-7435", "PMID" : "17706273", "abstract" : "OBJECTIVES: To investigate the association between means of transportation to work and overweight+obesity and obesity. METHODS: The 2004 public health survey in Sk\u00e5ne is a cross-sectional postal questionnaire study of the population aged 18-80 with a 59% response rate including 16,705 employed participants. RESULTS: Forty-six percent of men and 26.6% of women were overweight (BMI 25.0-29.9); 11.6% of men and 10.3% of women were obese (BMI 30.0-); 18.2% of men and 25.9% of women bicycled and/or walked to work and 10.4% and 16.2% used public transportation, respectively. In contrast, 68.3% of men and 55.8% of women went to work by car. The odds ratios of overweight+obesity among persons who walked or bicycled were significantly lower and remained 0.62 (95% CI 0.51-0.76) among men and 0.79 (95% CI 0.67-0.94) among women in the models including all confounders compared to the car driving reference category. The odds ratios of obesity were initially significantly lower among both men and women who walked or bicycled, but in the final models only among women. The odds ratios of overweight+obesity as well as obesity were also lower among men using public transportation. CONCLUSIONS: Walking and bicycling to work are significantly negatively associated with overweight+obesity and, to some extent, obesity. Public transportation is significantly negatively associated with overweight+obesity and obesity among men.", "author" : [ { "dropping-particle" : "", "family" : "Lindstr\u00f6m", "given" : "Martin", "non-dropping-particle" : "", "parse-names" : false, "suffix" : "" } ], "container-title" : "Preventive medicine", "id" : "ITEM-13", "issue" : "1", "issued" : { "date-parts" : [ [ "2008", "1" ] ] }, "note" : "w+c combined", "page" : "22-8", "title" : "Means of transportation to work and overweight and obesity: a population-based study in southern Sweden.", "type" : "article-journal", "volume" : "46" }, "uris" : [ "http://www.mendeley.com/documents/?uuid=3ff9ea2e-ab2a-46f6-a24b-f59ac38b989c" ] }, { "id" : "ITEM-14", "itemData" : { "DOI" : "10.1111/1753-6405.12097", "ISSN" : "1753-6405", "PMID" : "24494941", "abstract" : "OBJECTIVE: This study describes the prevalence of walking and cycling to work in New South Wales (NSW) from 2005-2010. It examines the demographic characteristics of those people walking and cycling to work and the association of walking and cycling with body mass index (BMI).\n\nMETHODS: Data from the NSW Continuous Health Survey, a telephone survey of health indicators among a representative sample of residents aged 16 years or over, were used.\n\nRESULTS: There were no changes in the proportions of employed respondents walking or cycling to work in NSW from 2005 to 2010, with estimates ranging from 5.1-7.3% usually walking, and 1.4-1.8% usually cycling. People who walked (adjusted odds ratio [AOR]=1.07, 95%CI 1.00-1.14) or cycled (AOR=1.22, 95%CI 1.14-1.32) to work had higher levels of education, after adjusting for age, sex, income and residence.\n\nCONCLUSIONS: There has been no overall increase in active commuting in NSW (2005-2010). Better efforts to communicate the benefits of active travel and less sedentary travel are warranted, in particular among those with lower levels of education.\n\nIMPLICATIONS: More interventions are needed to encourage walking and cycling to work, in order to gain significant benefits in terms of maintaining a healthy weight.", "author" : [ { "dropping-particle" : "", "family" : "Rissel", "given" : "Chris", "non-dropping-particle" : "", "parse-names" : false, "suffix" : "" }, { "dropping-particle" : "", "family" : "Greenaway", "given" : "Mark", "non-dropping-particle" : "", "parse-names" : false, "suffix" : "" }, { "dropping-particle" : "", "family" : "Bauman", "given" : "Adrian", "non-dropping-particle" : "", "parse-names" : false, "suffix" : "" }, { "dropping-particle" : "", "family" : "Wen", "given" : "Li Ming", "non-dropping-particle" : "", "parse-names" : false, "suffix" : "" } ], "container-title" : "Australian and New Zealand journal of public health", "id" : "ITEM-14", "issue" : "1", "issued" : { "date-parts" : [ [ "2014", "3" ] ] }, "page" : "25-9", "title" : "Active travel to work in New South Wales 2005-2010, individual characteristics and association with body mass index.", "type" : "article-journal", "volume" : "38" }, "uris" : [ "http://www.mendeley.com/documents/?uuid=af082963-ce36-4001-b868-7fdc9b7631f1" ] } ], "mendeley" : { "formattedCitation" : "(Berglund et al., 2016; Flint et al., 2014; Flint and Cummins, 2016; Gordon-Larsen et al., 2009; Larouche et al., 2016; Laverty et al., 2015, 2013; Lindstr\u00f6m, 2008; Martin et al., 2015; McKay et al., 2015; Millett et al., 2013; Mytton et al., 2016; Rissel et al., 2014; Wojan et al., 2015)", "plainTextFormattedCitation" : "(Berglund et al., 2016; Flint et al., 2014; Flint and Cummins, 2016; Gordon-Larsen et al., 2009; Larouche et al., 2016; Laverty et al., 2015, 2013; Lindstr\u00f6m, 2008; Martin et al., 2015; McKay et al., 2015; Millett et al., 2013; Mytton et al., 2016; Rissel et al., 2014; Wojan et al., 2015)", "previouslyFormattedCitation" : "(Berglund et al., 2016; Flint et al., 2014; Flint and Cummins, 2016; Gordon-Larsen et al., 2009; Larouche et al., 2016; Laverty et al., 2015, 2013; Lindstr\u00f6m, 2008; Martin et al., 2015; McKay et al., 2015; Millett et al., 2013; Mytton et al., 2016; Rissel et al., 2014; Wojan et al., 2015)" }, "properties" : { "noteIndex" : 0 }, "schema" : "https://github.com/citation-style-language/schema/raw/master/csl-citation.json" }</w:instrText>
      </w:r>
      <w:r w:rsidR="002F3BFF">
        <w:rPr>
          <w:rFonts w:cs="Arial"/>
          <w:color w:val="2E2E2E"/>
        </w:rPr>
        <w:fldChar w:fldCharType="separate"/>
      </w:r>
      <w:r w:rsidR="00B71669" w:rsidRPr="00B71669">
        <w:rPr>
          <w:rFonts w:cs="Arial"/>
          <w:noProof/>
          <w:color w:val="2E2E2E"/>
        </w:rPr>
        <w:t>(Berglund et al., 2016; Flint et al., 2014; Flint and Cummins, 2016; Gordon-Larsen et al., 2009; Larouche et al., 2016; Laverty et al., 2015, 2013; Lindström, 2008; Martin et al., 2015; McKay et al., 2015; Millett et al., 2013; Mytton et al., 2016; Rissel et al., 2014; Wojan et al., 2015)</w:t>
      </w:r>
      <w:r w:rsidR="002F3BFF">
        <w:rPr>
          <w:rFonts w:cs="Arial"/>
          <w:color w:val="2E2E2E"/>
        </w:rPr>
        <w:fldChar w:fldCharType="end"/>
      </w:r>
      <w:r w:rsidR="003C7FB2">
        <w:rPr>
          <w:rFonts w:cs="Arial"/>
          <w:color w:val="2E2E2E"/>
        </w:rPr>
        <w:t xml:space="preserve"> </w:t>
      </w:r>
      <w:r w:rsidR="002F3BFF">
        <w:rPr>
          <w:rFonts w:cs="Arial"/>
          <w:color w:val="2E2E2E"/>
        </w:rPr>
        <w:t>and</w:t>
      </w:r>
      <w:r w:rsidR="003C7FB2">
        <w:rPr>
          <w:rFonts w:cs="Arial"/>
          <w:color w:val="2E2E2E"/>
        </w:rPr>
        <w:t xml:space="preserve"> </w:t>
      </w:r>
      <w:r w:rsidR="002F3BFF">
        <w:rPr>
          <w:rFonts w:cs="Arial"/>
          <w:color w:val="2E2E2E"/>
        </w:rPr>
        <w:t>of</w:t>
      </w:r>
      <w:r w:rsidR="003C7FB2">
        <w:rPr>
          <w:rFonts w:cs="Arial"/>
          <w:color w:val="2E2E2E"/>
        </w:rPr>
        <w:t xml:space="preserve"> </w:t>
      </w:r>
      <w:r w:rsidR="002F3BFF">
        <w:rPr>
          <w:rFonts w:cs="Arial"/>
          <w:color w:val="2E2E2E"/>
        </w:rPr>
        <w:t>stronger</w:t>
      </w:r>
      <w:r w:rsidR="003C7FB2">
        <w:rPr>
          <w:rFonts w:cs="Arial"/>
          <w:color w:val="2E2E2E"/>
        </w:rPr>
        <w:t xml:space="preserve"> </w:t>
      </w:r>
      <w:r w:rsidR="002F3BFF">
        <w:rPr>
          <w:rFonts w:cs="Arial"/>
          <w:color w:val="2E2E2E"/>
        </w:rPr>
        <w:t>associations</w:t>
      </w:r>
      <w:r w:rsidR="003C7FB2">
        <w:rPr>
          <w:rFonts w:cs="Arial"/>
          <w:color w:val="2E2E2E"/>
        </w:rPr>
        <w:t xml:space="preserve"> </w:t>
      </w:r>
      <w:r w:rsidR="002F3BFF">
        <w:rPr>
          <w:rFonts w:cs="Arial"/>
          <w:color w:val="2E2E2E"/>
        </w:rPr>
        <w:t>for</w:t>
      </w:r>
      <w:r w:rsidR="003C7FB2">
        <w:rPr>
          <w:rFonts w:cs="Arial"/>
          <w:color w:val="2E2E2E"/>
        </w:rPr>
        <w:t xml:space="preserve"> </w:t>
      </w:r>
      <w:r w:rsidR="002F3BFF">
        <w:rPr>
          <w:rFonts w:cs="Arial"/>
          <w:color w:val="2E2E2E"/>
        </w:rPr>
        <w:t>cycling</w:t>
      </w:r>
      <w:r w:rsidR="003C7FB2">
        <w:rPr>
          <w:rFonts w:cs="Arial"/>
          <w:color w:val="2E2E2E"/>
        </w:rPr>
        <w:t xml:space="preserve"> </w:t>
      </w:r>
      <w:r w:rsidR="00461ABE">
        <w:rPr>
          <w:rFonts w:cs="Arial"/>
          <w:color w:val="2E2E2E"/>
        </w:rPr>
        <w:t>than</w:t>
      </w:r>
      <w:r w:rsidR="003C7FB2">
        <w:rPr>
          <w:rFonts w:cs="Arial"/>
          <w:color w:val="2E2E2E"/>
        </w:rPr>
        <w:t xml:space="preserve"> </w:t>
      </w:r>
      <w:r w:rsidR="00461ABE">
        <w:rPr>
          <w:rFonts w:cs="Arial"/>
          <w:color w:val="2E2E2E"/>
        </w:rPr>
        <w:t>for</w:t>
      </w:r>
      <w:r w:rsidR="003C7FB2">
        <w:rPr>
          <w:rFonts w:cs="Arial"/>
          <w:color w:val="2E2E2E"/>
        </w:rPr>
        <w:t xml:space="preserve"> </w:t>
      </w:r>
      <w:r w:rsidR="008B4755">
        <w:rPr>
          <w:rFonts w:cs="Arial"/>
          <w:color w:val="2E2E2E"/>
        </w:rPr>
        <w:t>w</w:t>
      </w:r>
      <w:r w:rsidR="002F3BFF">
        <w:rPr>
          <w:rFonts w:cs="Arial"/>
          <w:color w:val="2E2E2E"/>
        </w:rPr>
        <w:t>alking.</w:t>
      </w:r>
      <w:r w:rsidR="002F3BFF">
        <w:fldChar w:fldCharType="begin" w:fldLock="1"/>
      </w:r>
      <w:r w:rsidR="000B07A6">
        <w:instrText>ADDIN CSL_CITATION { "citationItems" : [ { "id" : "ITEM-1", "itemData" : { "DOI" : "10.1016/S2213-8587(16)00053-X", "ISSN" : "22138587", "author" : [ { "dropping-particle" : "", "family" : "Flint", "given" : "Ellen", "non-dropping-particle" : "", "parse-names" : false, "suffix" : "" }, { "dropping-particle" : "", "family" : "Cummins", "given" : "Steven", "non-dropping-particle" : "", "parse-names" : false, "suffix" : "" } ], "container-title" : "The Lancet Diabetes &amp; Endocrinology", "id" : "ITEM-1", "issue" : "5", "issued" : { "date-parts" : [ [ "2016", "3" ] ] }, "language" : "English", "page" : "420-435", "publisher" : "Elsevier", "title" : "Active commuting and obesity in mid-life: cross-sectional, observational evidence from UK Biobank", "type" : "article-journal", "volume" : "4" }, "uris" : [ "http://www.mendeley.com/documents/?uuid=e7c9e359-019e-4cc3-a869-943a6411defd" ] }, { "id" : "ITEM-2", "itemData" : { "DOI" : "10.1016/j.ypmed.2016.06.014", "ISSN" : "00917435", "abstract" : "OBJECTIVE\nTo investigate the longitudinal associations between active commuting (walking and cycling to work) and body mass index (BMI). \n\nMETHOD\nWe used self-reported data on height, weight and active commuting from the Commuting and Health in Cambridge study (2009 to 2012; n=809). We used linear regression to test the associations between: a) maintenance of active commuting over one year and BMI at the end of that year; and b) change in weekly time spent in active commuting and change in BMI over one year. \n\nRESULTS\nAfter adjusting for sociodemographic variables, other physical activity, physical wellbeing and maintenance of walking, those who maintained cycle commuting reported a lower BMI on average at one year follow-up (1.14kg/m2, 95% CI: 0.30 to 1.98, n=579) than those who never cycled to work. No significant association remained after adjustment for baseline BMI. No significant associations were observed for maintenance of walking. An increase in walking was associated with a reduction in BMI (0.32kg/m2, 95% CI: 0.03 to 0.62, n=651, after adjustment for co-variates and baseline BMI) only when restricting the analysis to those who did not move. No other significant associations between changes in weekly time spent walking or cycling on the commute and changes in BMI were observed. \n\nCONCLUSIONS\nThis work provides further evidence of the contribution of active commuting, particularly cycling, to preventing weight gain or facilitating weight loss. The findings may be valuable for employees choosing how to commute and engaging employers in the promotion of active travel.", "author" : [ { "dropping-particle" : "", "family" : "Mytton", "given" : "Oliver Tristan", "non-dropping-particle" : "", "parse-names" : false, "suffix" : "" }, { "dropping-particle" : "", "family" : "Panter", "given" : "Jenna", "non-dropping-particle" : "", "parse-names" : false, "suffix" : "" }, { "dropping-particle" : "", "family" : "Ogilvie", "given" : "David", "non-dropping-particle" : "", "parse-names" : false, "suffix" : "" } ], "container-title" : "Preventive Medicine", "id" : "ITEM-2", "issued" : { "date-parts" : [ [ "2016" ] ] }, "page" : "1-7", "title" : "Longitudinal associations of active commuting with body mass index", "type" : "article-journal", "volume" : "90" }, "uris" : [ "http://www.mendeley.com/documents/?uuid=11c42899-4a63-4fdd-be71-93f3769567b7" ] }, { "id" : "ITEM-3", "itemData" : { "DOI" : "10.1371/journal.pmed.1001459", "ISSN" : "1549-1676", "PMID" : "23776412", "abstract" : "BACKGROUND: Increasing active travel (walking, bicycling, and public transport) is promoted as a key strategy to increase physical activity and reduce the growing burden of noncommunicable diseases (NCDs) globally. Little is known about patterns of active travel or associated cardiovascular health benefits in low- and middle-income countries. This study examines mode and duration of travel to work in rural and urban India and associations between active travel and overweight, hypertension, and diabetes. METHODS AND FINDINGS: Cross-sectional study of 3,902 participants (1,366 rural, 2,536 urban) in the Indian Migration Study. Associations between mode and duration of active travel and cardiovascular risk factors were assessed using random-effect logistic regression models adjusting for age, sex, caste, standard of living, occupation, factory location, leisure time physical activity, daily fat intake, smoking status, and alcohol use. Rural dwellers were significantly more likely to bicycle (68.3% versus 15.9%; p&lt;0.001) to work than urban dwellers. The prevalence of overweight or obesity was 50.0%, 37.6%, 24.2%, 24.9%; hypertension was 17.7%, 11.8%, 6.5%, 9.8%; and diabetes was 10.8%, 7.4%, 3.8%, 7.3% in participants who travelled to work by private transport, public transport, bicycling, and walking, respectively. In the adjusted analysis, those walking (adjusted risk ratio [ARR] 0.72; 95% CI 0.58-0.88) or bicycling to work (ARR 0.66; 95% CI 0.55-0.77) were significantly less likely to be overweight or obese than those travelling by private transport. Those bicycling to work were significantly less likely to have hypertension (ARR 0.51; 95% CI 0.36-0.71) or diabetes (ARR 0.65; 95% CI 0.44-0.95). There was evidence of a dose-response relationship between duration of bicycling to work and being overweight, having hypertension or diabetes. The main limitation of the study is the cross-sectional design, which limits causal inference for the associations found. CONCLUSIONS: Walking and bicycling to work was associated with reduced cardiovascular risk in the Indian population. Efforts to increase active travel in urban areas and halt declines in rural areas should be integral to strategies to maintain healthy weight and prevent NCDs in India. Please see later in the article for the Editors' Summary.", "author" : [ { "dropping-particle" : "", "family" : "Millett", "given" : "Christopher", "non-dropping-particle" : "", "parse-names" : false, "suffix" : "" }, { "dropping-particle" : "", "family" : "Agrawal", "given" : "Sutapa", "non-dropping-particle" : "", "parse-names" : false, "suffix" : "" }, { "dropping-particle" : "", "family" : "Sullivan", "given" : "Ruth", "non-dropping-particle" : "", "parse-names" : false, "suffix" : "" }, { "dropping-particle" : "", "family" : "Vaz", "given" : "Mario", "non-dropping-particle" : "", "parse-names" : false, "suffix" : "" }, { "dropping-particle" : "", "family" : "Kurpad", "given" : "Anura", "non-dropping-particle" : "", "parse-names" : false, "suffix" : "" }, { "dropping-particle" : "V.", "family" : "Bharathi", "given" : "A.", "non-dropping-particle" : "", "parse-names" : false, "suffix" : "" }, { "dropping-particle" : "", "family" : "Prabhakaran", "given" : "Dorairaj", "non-dropping-particle" : "", "parse-names" : false, "suffix" : "" }, { "dropping-particle" : "", "family" : "Reddy", "given" : "KSPD Kolli Srinath", "non-dropping-particle" : "", "parse-names" : false, "suffix" : "" }, { "dropping-particle" : "", "family" : "Kinra", "given" : "Sanjay", "non-dropping-particle" : "", "parse-names" : false, "suffix" : "" }, { "dropping-particle" : "", "family" : "Smith", "given" : "GD George Davey", "non-dropping-particle" : "", "parse-names" : false, "suffix" : "" }, { "dropping-particle" : "", "family" : "Ebrahim", "given" : "Shah", "non-dropping-particle" : "", "parse-names" : false, "suffix" : "" }, { "dropping-particle" : "", "family" : "Group", "given" : "for the Indian Migration Study", "non-dropping-particle" : "", "parse-names" : false, "suffix" : "" } ], "container-title" : "PLoS medicine", "editor" : [ { "dropping-particle" : "", "family" : "Bhalla", "given" : "Kavi", "non-dropping-particle" : "", "parse-names" : false, "suffix" : "" } ], "id" : "ITEM-3", "issue" : "6", "issued" : { "date-parts" : [ [ "2013", "1", "11" ] ] }, "note" : "From Duplicate 2 (Associations between active travel to work and overweight, hypertension, and diabetes in India: a cross-sectional study. - Millett, Christopher; Agrawal, Sutapa; Sullivan, Ruth; Vaz, Mario; Kurpad, Anura; Bharathi, A V; Prabhakaran, Dorairaj; Reddy, Kolli Srinath; Kinra, Sanjay; Smith, George Davey; Ebrahim, Shah)\n\nseparate estimates for w+C", "page" : "e1001459", "publisher" : "Public Library of Science", "title" : "Associations between active travel to work and overweight, hypertension, and diabetes in India: a cross-sectional study.", "type" : "article-journal", "volume" : "10" }, "uris" : [ "http://www.mendeley.com/documents/?uuid=246315b3-3a61-4417-8831-b4fc4fbf04a3" ] }, { "id" : "ITEM-4", "itemData" : { "ISSN" : "1209-1367", "PMID" : "27096619", "abstract" : "BACKGROUND Active travel may be a means of integrating physical activity into an individual's routine. This analysis investigates the relationship between utilitarian walking and cycling and objectively measured physical activity and health-related outcomes in a nationally representative sample of Canadian adults. DATA AND METHODS Adults aged 20 to 79 who participated in the 2007-to-2011 Canadian Health Measures Surveys (N = 7,160) reported the weekly time spent in utilitarian walking and cycling and wore an Actical accelerometer for seven days. They underwent a series of tests to measure physical fitness, body composition, blood pressure, and biomarkers. Differences in physical activity and health-related outcomes across levels of utilitarian walking and cycling were assessed with ANCOVA analyses adjusted for age, sex, education, household income, self-reported usual daily physical activity, and the complex survey design. RESULTS Utilitarian walking and cycling were associated with moderate-to-vigorous physical activity in a graded manner. Compared with respondents who reported walking 1 to 5 hours a week, those who walked more than 5 hours a week had lower skinfold thickness. Respondents who reported cycling 1 or more hours a week had greater aerobic fitness and lower BMI, waist circumference, total cholesterol/HDL ratio, glycohemoglobin, C-reactive protein, and triglycerides than did those who did not cycle. They also had higher aerobic fitness and lower BMI and waist circumference than those who reported cycling less than an hour a week. INTERPRETATION Cycling at least an hour a week is associated with improved fitness and reduced cardiovascular disease risk factors. Both utilitarian walking and cycling may be means of increasing adults' moderate-to-vigorous physical activity.", "author" : [ { "dropping-particle" : "", "family" : "Larouche", "given" : "Richard", "non-dropping-particle" : "", "parse-names" : false, "suffix" : "" }, { "dropping-particle" : "", "family" : "Faulkner", "given" : "Guy", "non-dropping-particle" : "", "parse-names" : false, "suffix" : "" }, { "dropping-particle" : "", "family" : "Tremblay", "given" : "Mark S", "non-dropping-particle" : "", "parse-names" : false, "suffix" : "" } ], "container-title" : "Health reports", "id" : "ITEM-4", "issue" : "4", "issued" : { "date-parts" : [ [ "2016", "4" ] ] }, "page" : "10-8", "title" : "Active travel and adults' health: The 2007-to-2011 Canadian Health Measures Surveys.", "type" : "article-journal", "volume" : "27" }, "uris" : [ "http://www.mendeley.com/documents/?uuid=070418c1-8f41-3a48-b8e6-6c61300966c8" ] } ], "mendeley" : { "formattedCitation" : "(Flint and Cummins, 2016; Larouche et al., 2016; Millett et al., 2013; Mytton et al., 2016)", "plainTextFormattedCitation" : "(Flint and Cummins, 2016; Larouche et al., 2016; Millett et al., 2013; Mytton et al., 2016)", "previouslyFormattedCitation" : "(Flint and Cummins, 2016; Larouche et al., 2016; Millett et al., 2013; Mytton et al., 2016)" }, "properties" : { "noteIndex" : 0 }, "schema" : "https://github.com/citation-style-language/schema/raw/master/csl-citation.json" }</w:instrText>
      </w:r>
      <w:r w:rsidR="002F3BFF">
        <w:fldChar w:fldCharType="separate"/>
      </w:r>
      <w:r w:rsidR="00B71669" w:rsidRPr="00B71669">
        <w:rPr>
          <w:noProof/>
        </w:rPr>
        <w:t>(Flint and Cummins, 2016; Larouche et al., 2016; Millett et al., 2013; Mytton et al., 2016)</w:t>
      </w:r>
      <w:r w:rsidR="002F3BFF">
        <w:fldChar w:fldCharType="end"/>
      </w:r>
      <w:r w:rsidR="003C7FB2">
        <w:t xml:space="preserve"> </w:t>
      </w:r>
      <w:r w:rsidR="00961F3B">
        <w:t>However</w:t>
      </w:r>
      <w:r w:rsidR="003C7FB2">
        <w:t xml:space="preserve"> </w:t>
      </w:r>
      <w:r w:rsidR="00961F3B">
        <w:t>other</w:t>
      </w:r>
      <w:r w:rsidR="003C7FB2">
        <w:t xml:space="preserve"> </w:t>
      </w:r>
      <w:r w:rsidR="00961F3B">
        <w:t>studies</w:t>
      </w:r>
      <w:r w:rsidR="003C7FB2">
        <w:t xml:space="preserve"> </w:t>
      </w:r>
      <w:r w:rsidR="00961F3B">
        <w:t>have</w:t>
      </w:r>
      <w:r w:rsidR="003C7FB2">
        <w:t xml:space="preserve"> </w:t>
      </w:r>
      <w:r w:rsidR="00961F3B">
        <w:t>reported</w:t>
      </w:r>
      <w:r w:rsidR="003C7FB2">
        <w:t xml:space="preserve"> </w:t>
      </w:r>
      <w:r w:rsidR="00961F3B">
        <w:t>significant</w:t>
      </w:r>
      <w:r w:rsidR="003C7FB2">
        <w:t xml:space="preserve"> </w:t>
      </w:r>
      <w:r w:rsidR="00961F3B">
        <w:t>associations</w:t>
      </w:r>
      <w:r w:rsidR="003C7FB2">
        <w:t xml:space="preserve"> </w:t>
      </w:r>
      <w:r w:rsidR="00961F3B">
        <w:t>between</w:t>
      </w:r>
      <w:r w:rsidR="003C7FB2">
        <w:t xml:space="preserve"> </w:t>
      </w:r>
      <w:r w:rsidR="00961F3B">
        <w:t>walk</w:t>
      </w:r>
      <w:r w:rsidR="00461ABE">
        <w:t>ing</w:t>
      </w:r>
      <w:r w:rsidR="003C7FB2">
        <w:t xml:space="preserve"> </w:t>
      </w:r>
      <w:r w:rsidR="00961F3B">
        <w:t>commuting</w:t>
      </w:r>
      <w:r w:rsidR="003C7FB2">
        <w:t xml:space="preserve"> </w:t>
      </w:r>
      <w:r w:rsidR="00961F3B">
        <w:t>and</w:t>
      </w:r>
      <w:r w:rsidR="003C7FB2">
        <w:t xml:space="preserve"> </w:t>
      </w:r>
      <w:r w:rsidR="00961F3B">
        <w:t>adiposity,</w:t>
      </w:r>
      <w:r w:rsidR="00961F3B">
        <w:fldChar w:fldCharType="begin" w:fldLock="1"/>
      </w:r>
      <w:r w:rsidR="000B07A6">
        <w:instrText>ADDIN CSL_CITATION { "citationItems" : [ { "id" : "ITEM-1", "itemData" : { "DOI" : "10.1016/j.amepre.2013.04.012", "ISSN" : "1873-2607", "PMID" : "23953354", "abstract" : "BACKGROUND: Increasing active travel (walking, cycling, public transport) is increasingly seen as integral to strategies to raise physical activity levels. PURPOSE: This study examined (1) sociodemographic correlates of active travel to work and (2) associations between active travel and cardiovascular risk factors in the United Kingdom (UK). METHODS: Data come from Understanding Society, a nationally representative survey of UK residents in 2009/2011, analyzed in 2012. Multinomial logistic regression assessed associations between sociodemographic factors and mode of transport to work. Linear and logistic regression was used to examine associations between mode of travel and overweight/obesity, and having hypertension or diabetes. RESULTS: A total of 69% of participants traveled to work using private transport, with public transport, walking, and cycling used by 16%, 12%, and 3%, respectively. Use of any active travel was more likely in participants living in London. Black participants were more likely to walk (AOR=1.41, 95% CI=1.08, 1.84) or take public transport (AOR=2.34, 95% CI=1.88, 2.90) to work than whites. Using public transport, walking, or cycling to work was associated with a lower likelihood of being overweight (AOR=0.80, 95% CI=0.54, 0.88 for walking). Walking or cycling was associated with a lower likelihood of having diabetes, and walking was associated with a lower likelihood of having hypertension than private transport (AOR=0.83, 95% CI=0.71, 0.97). CONCLUSIONS: There are wide variations in the mode of travel to work across regions and sociodemographic groups in the UK. The protective association between active travel and cardiovascular risk demonstrated in this nationally representative study adds to growing evidence that concerted policy focus in this area may benefit population health.", "author" : [ { "dropping-particle" : "", "family" : "Laverty", "given" : "Anthony A", "non-dropping-particle" : "", "parse-names" : false, "suffix" : "" }, { "dropping-particle" : "", "family" : "Mindell", "given" : "Jennifer S", "non-dropping-particle" : "", "parse-names" : false, "suffix" : "" }, { "dropping-particle" : "", "family" : "Webb", "given" : "Elizabeth A", "non-dropping-particle" : "", "parse-names" : false, "suffix" : "" }, { "dropping-particle" : "", "family" : "Millett", "given" : "Christopher", "non-dropping-particle" : "", "parse-names" : false, "suffix" : "" } ], "container-title" : "American journal of preventive medicine", "id" : "ITEM-1", "issue" : "3", "issued" : { "date-parts" : [ [ "2013", "9" ] ] }, "note" : "From Duplicate 1 (Active travel to work and cardiovascular risk factors in the United Kingdom. - Laverty, Anthony A; Mindell, Jennifer S; Webb, Elizabeth A; Millett, Christopher)\n\nW+c split", "page" : "282-8", "title" : "Active travel to work and cardiovascular risk factors in the United Kingdom.", "type" : "article-journal", "volume" : "45" }, "uris" : [ "http://www.mendeley.com/documents/?uuid=de4e6781-17c6-4a1a-9631-32286ada1421" ] }, { "id" : "ITEM-2", "itemData" : { "DOI" : "10.1371/journal.pmed.1001459", "ISSN" : "1549-1676", "PMID" : "23776412", "abstract" : "BACKGROUND: Increasing active travel (walking, bicycling, and public transport) is promoted as a key strategy to increase physical activity and reduce the growing burden of noncommunicable diseases (NCDs) globally. Little is known about patterns of active travel or associated cardiovascular health benefits in low- and middle-income countries. This study examines mode and duration of travel to work in rural and urban India and associations between active travel and overweight, hypertension, and diabetes. METHODS AND FINDINGS: Cross-sectional study of 3,902 participants (1,366 rural, 2,536 urban) in the Indian Migration Study. Associations between mode and duration of active travel and cardiovascular risk factors were assessed using random-effect logistic regression models adjusting for age, sex, caste, standard of living, occupation, factory location, leisure time physical activity, daily fat intake, smoking status, and alcohol use. Rural dwellers were significantly more likely to bicycle (68.3% versus 15.9%; p&lt;0.001) to work than urban dwellers. The prevalence of overweight or obesity was 50.0%, 37.6%, 24.2%, 24.9%; hypertension was 17.7%, 11.8%, 6.5%, 9.8%; and diabetes was 10.8%, 7.4%, 3.8%, 7.3% in participants who travelled to work by private transport, public transport, bicycling, and walking, respectively. In the adjusted analysis, those walking (adjusted risk ratio [ARR] 0.72; 95% CI 0.58-0.88) or bicycling to work (ARR 0.66; 95% CI 0.55-0.77) were significantly less likely to be overweight or obese than those travelling by private transport. Those bicycling to work were significantly less likely to have hypertension (ARR 0.51; 95% CI 0.36-0.71) or diabetes (ARR 0.65; 95% CI 0.44-0.95). There was evidence of a dose-response relationship between duration of bicycling to work and being overweight, having hypertension or diabetes. The main limitation of the study is the cross-sectional design, which limits causal inference for the associations found. CONCLUSIONS: Walking and bicycling to work was associated with reduced cardiovascular risk in the Indian population. Efforts to increase active travel in urban areas and halt declines in rural areas should be integral to strategies to maintain healthy weight and prevent NCDs in India. Please see later in the article for the Editors' Summary.", "author" : [ { "dropping-particle" : "", "family" : "Millett", "given" : "Christopher", "non-dropping-particle" : "", "parse-names" : false, "suffix" : "" }, { "dropping-particle" : "", "family" : "Agrawal", "given" : "Sutapa", "non-dropping-particle" : "", "parse-names" : false, "suffix" : "" }, { "dropping-particle" : "", "family" : "Sullivan", "given" : "Ruth", "non-dropping-particle" : "", "parse-names" : false, "suffix" : "" }, { "dropping-particle" : "", "family" : "Vaz", "given" : "Mario", "non-dropping-particle" : "", "parse-names" : false, "suffix" : "" }, { "dropping-particle" : "", "family" : "Kurpad", "given" : "Anura", "non-dropping-particle" : "", "parse-names" : false, "suffix" : "" }, { "dropping-particle" : "V.", "family" : "Bharathi", "given" : "A.", "non-dropping-particle" : "", "parse-names" : false, "suffix" : "" }, { "dropping-particle" : "", "family" : "Prabhakaran", "given" : "Dorairaj", "non-dropping-particle" : "", "parse-names" : false, "suffix" : "" }, { "dropping-particle" : "", "family" : "Reddy", "given" : "KSPD Kolli Srinath", "non-dropping-particle" : "", "parse-names" : false, "suffix" : "" }, { "dropping-particle" : "", "family" : "Kinra", "given" : "Sanjay", "non-dropping-particle" : "", "parse-names" : false, "suffix" : "" }, { "dropping-particle" : "", "family" : "Smith", "given" : "GD George Davey", "non-dropping-particle" : "", "parse-names" : false, "suffix" : "" }, { "dropping-particle" : "", "family" : "Ebrahim", "given" : "Shah", "non-dropping-particle" : "", "parse-names" : false, "suffix" : "" }, { "dropping-particle" : "", "family" : "Group", "given" : "for the Indian Migration Study", "non-dropping-particle" : "", "parse-names" : false, "suffix" : "" } ], "container-title" : "PLoS medicine", "editor" : [ { "dropping-particle" : "", "family" : "Bhalla", "given" : "Kavi", "non-dropping-particle" : "", "parse-names" : false, "suffix" : "" } ], "id" : "ITEM-2", "issue" : "6", "issued" : { "date-parts" : [ [ "2013", "1", "11" ] ] }, "note" : "From Duplicate 2 (Associations between active travel to work and overweight, hypertension, and diabetes in India: a cross-sectional study. - Millett, Christopher; Agrawal, Sutapa; Sullivan, Ruth; Vaz, Mario; Kurpad, Anura; Bharathi, A V; Prabhakaran, Dorairaj; Reddy, Kolli Srinath; Kinra, Sanjay; Smith, George Davey; Ebrahim, Shah)\n\nseparate estimates for w+C", "page" : "e1001459", "publisher" : "Public Library of Science", "title" : "Associations between active travel to work and overweight, hypertension, and diabetes in India: a cross-sectional study.", "type" : "article-journal", "volume" : "10" }, "uris" : [ "http://www.mendeley.com/documents/?uuid=246315b3-3a61-4417-8831-b4fc4fbf04a3" ] }, { "id" : "ITEM-3", "itemData" : { "DOI" : "10.1111/1753-6405.12097", "ISSN" : "1753-6405", "PMID" : "24494941", "abstract" : "OBJECTIVE: This study describes the prevalence of walking and cycling to work in New South Wales (NSW) from 2005-2010. It examines the demographic characteristics of those people walking and cycling to work and the association of walking and cycling with body mass index (BMI).\n\nMETHODS: Data from the NSW Continuous Health Survey, a telephone survey of health indicators among a representative sample of residents aged 16 years or over, were used.\n\nRESULTS: There were no changes in the proportions of employed respondents walking or cycling to work in NSW from 2005 to 2010, with estimates ranging from 5.1-7.3% usually walking, and 1.4-1.8% usually cycling. People who walked (adjusted odds ratio [AOR]=1.07, 95%CI 1.00-1.14) or cycled (AOR=1.22, 95%CI 1.14-1.32) to work had higher levels of education, after adjusting for age, sex, income and residence.\n\nCONCLUSIONS: There has been no overall increase in active commuting in NSW (2005-2010). Better efforts to communicate the benefits of active travel and less sedentary travel are warranted, in particular among those with lower levels of education.\n\nIMPLICATIONS: More interventions are needed to encourage walking and cycling to work, in order to gain significant benefits in terms of maintaining a healthy weight.", "author" : [ { "dropping-particle" : "", "family" : "Rissel", "given" : "Chris", "non-dropping-particle" : "", "parse-names" : false, "suffix" : "" }, { "dropping-particle" : "", "family" : "Greenaway", "given" : "Mark", "non-dropping-particle" : "", "parse-names" : false, "suffix" : "" }, { "dropping-particle" : "", "family" : "Bauman", "given" : "Adrian", "non-dropping-particle" : "", "parse-names" : false, "suffix" : "" }, { "dropping-particle" : "", "family" : "Wen", "given" : "Li Ming", "non-dropping-particle" : "", "parse-names" : false, "suffix" : "" } ], "container-title" : "Australian and New Zealand journal of public health", "id" : "ITEM-3", "issue" : "1", "issued" : { "date-parts" : [ [ "2014", "3" ] ] }, "page" : "25-9", "title" : "Active travel to work in New South Wales 2005-2010, individual characteristics and association with body mass index.", "type" : "article-journal", "volume" : "38" }, "uris" : [ "http://www.mendeley.com/documents/?uuid=af082963-ce36-4001-b868-7fdc9b7631f1" ] } ], "mendeley" : { "formattedCitation" : "(Laverty et al., 2013; Millett et al., 2013; Rissel et al., 2014)", "plainTextFormattedCitation" : "(Laverty et al., 2013; Millett et al., 2013; Rissel et al., 2014)", "previouslyFormattedCitation" : "(Laverty et al., 2013; Millett et al., 2013; Rissel et al., 2014)" }, "properties" : { "noteIndex" : 0 }, "schema" : "https://github.com/citation-style-language/schema/raw/master/csl-citation.json" }</w:instrText>
      </w:r>
      <w:r w:rsidR="00961F3B">
        <w:fldChar w:fldCharType="separate"/>
      </w:r>
      <w:r w:rsidR="00B71669" w:rsidRPr="00B71669">
        <w:rPr>
          <w:noProof/>
        </w:rPr>
        <w:t>(Laverty et al., 2013; Millett et al., 2013; Rissel et al., 2014)</w:t>
      </w:r>
      <w:r w:rsidR="00961F3B">
        <w:fldChar w:fldCharType="end"/>
      </w:r>
      <w:r w:rsidR="003C7FB2">
        <w:t xml:space="preserve"> </w:t>
      </w:r>
      <w:r w:rsidR="00961F3B">
        <w:t>whereas</w:t>
      </w:r>
      <w:r w:rsidR="003C7FB2">
        <w:t xml:space="preserve"> </w:t>
      </w:r>
      <w:r w:rsidR="00961F3B">
        <w:t>our</w:t>
      </w:r>
      <w:r w:rsidR="003C7FB2">
        <w:t xml:space="preserve"> </w:t>
      </w:r>
      <w:r w:rsidR="00961F3B">
        <w:t>findings</w:t>
      </w:r>
      <w:r w:rsidR="003C7FB2">
        <w:t xml:space="preserve"> </w:t>
      </w:r>
      <w:r w:rsidR="00961F3B">
        <w:t>were</w:t>
      </w:r>
      <w:r w:rsidR="003C7FB2">
        <w:t xml:space="preserve"> </w:t>
      </w:r>
      <w:r w:rsidR="00961F3B">
        <w:t>non-significant.</w:t>
      </w:r>
      <w:r w:rsidR="003C7FB2">
        <w:t xml:space="preserve"> </w:t>
      </w:r>
      <w:r w:rsidR="00961F3B">
        <w:t>The</w:t>
      </w:r>
      <w:r w:rsidR="003C7FB2">
        <w:t xml:space="preserve"> </w:t>
      </w:r>
      <w:r w:rsidR="00961F3B">
        <w:t>distance</w:t>
      </w:r>
      <w:r w:rsidR="003C7FB2">
        <w:t xml:space="preserve"> </w:t>
      </w:r>
      <w:r w:rsidR="00961F3B">
        <w:t>or</w:t>
      </w:r>
      <w:r w:rsidR="003C7FB2">
        <w:t xml:space="preserve"> </w:t>
      </w:r>
      <w:r w:rsidR="00961F3B">
        <w:t>d</w:t>
      </w:r>
      <w:r w:rsidR="006656D6">
        <w:t>uration</w:t>
      </w:r>
      <w:r w:rsidR="003C7FB2">
        <w:t xml:space="preserve"> </w:t>
      </w:r>
      <w:r w:rsidR="006656D6">
        <w:t>of</w:t>
      </w:r>
      <w:r w:rsidR="003C7FB2">
        <w:t xml:space="preserve"> </w:t>
      </w:r>
      <w:r w:rsidR="006656D6">
        <w:t>walking</w:t>
      </w:r>
      <w:r w:rsidR="003C7FB2">
        <w:t xml:space="preserve"> </w:t>
      </w:r>
      <w:r w:rsidR="006656D6">
        <w:t>in</w:t>
      </w:r>
      <w:r w:rsidR="003C7FB2">
        <w:t xml:space="preserve"> </w:t>
      </w:r>
      <w:r w:rsidR="00461ABE">
        <w:t>those</w:t>
      </w:r>
      <w:r w:rsidR="003C7FB2">
        <w:t xml:space="preserve"> </w:t>
      </w:r>
      <w:r w:rsidR="00961F3B">
        <w:t>studies</w:t>
      </w:r>
      <w:r w:rsidR="003C7FB2">
        <w:t xml:space="preserve"> </w:t>
      </w:r>
      <w:r w:rsidR="00961F3B">
        <w:t>appears</w:t>
      </w:r>
      <w:r w:rsidR="003C7FB2">
        <w:t xml:space="preserve"> </w:t>
      </w:r>
      <w:r w:rsidR="00961F3B">
        <w:t>relatively</w:t>
      </w:r>
      <w:r w:rsidR="003C7FB2">
        <w:t xml:space="preserve"> </w:t>
      </w:r>
      <w:r w:rsidR="00961F3B">
        <w:t>high</w:t>
      </w:r>
      <w:r w:rsidR="003C7FB2">
        <w:t xml:space="preserve"> </w:t>
      </w:r>
      <w:r w:rsidR="00961F3B">
        <w:t>compared</w:t>
      </w:r>
      <w:r w:rsidR="003C7FB2">
        <w:t xml:space="preserve"> </w:t>
      </w:r>
      <w:r w:rsidR="00961F3B">
        <w:t>to</w:t>
      </w:r>
      <w:r w:rsidR="003C7FB2">
        <w:t xml:space="preserve"> </w:t>
      </w:r>
      <w:r w:rsidR="00961F3B">
        <w:t>ours.</w:t>
      </w:r>
      <w:r w:rsidR="003C7FB2">
        <w:t xml:space="preserve"> </w:t>
      </w:r>
      <w:r w:rsidR="00461ABE">
        <w:t>The</w:t>
      </w:r>
      <w:r w:rsidR="003C7FB2">
        <w:t xml:space="preserve"> </w:t>
      </w:r>
      <w:r w:rsidR="00961F3B">
        <w:t>low</w:t>
      </w:r>
      <w:r w:rsidR="00461ABE">
        <w:t>er</w:t>
      </w:r>
      <w:r w:rsidR="003C7FB2">
        <w:t xml:space="preserve"> </w:t>
      </w:r>
      <w:r w:rsidR="00961F3B">
        <w:t>intensity</w:t>
      </w:r>
      <w:r w:rsidR="003C7FB2">
        <w:t xml:space="preserve"> </w:t>
      </w:r>
      <w:r w:rsidR="00961F3B">
        <w:t>of</w:t>
      </w:r>
      <w:r w:rsidR="003C7FB2">
        <w:t xml:space="preserve"> </w:t>
      </w:r>
      <w:r w:rsidR="00961F3B">
        <w:t>walking</w:t>
      </w:r>
      <w:r w:rsidR="003C7FB2">
        <w:t xml:space="preserve"> </w:t>
      </w:r>
      <w:r w:rsidR="00961F3B">
        <w:t>compared</w:t>
      </w:r>
      <w:r w:rsidR="003C7FB2">
        <w:t xml:space="preserve"> </w:t>
      </w:r>
      <w:r w:rsidR="00961F3B">
        <w:t>to</w:t>
      </w:r>
      <w:r w:rsidR="003C7FB2">
        <w:t xml:space="preserve"> </w:t>
      </w:r>
      <w:r w:rsidR="00961F3B">
        <w:t>cycling</w:t>
      </w:r>
      <w:r w:rsidR="00961F3B">
        <w:fldChar w:fldCharType="begin" w:fldLock="1"/>
      </w:r>
      <w:r w:rsidR="000B07A6">
        <w:instrText>ADDIN CSL_CITATION { "citationItems" : [ { "id" : "ITEM-1", "itemData" : { "DOI" : "10.1016/j.ypmed.2015.09.022", "ISSN" : "1096-0260", "PMID" : "26441297", "abstract" : "Active commuting may help to increase adults' physical activity levels. However, estimates of its energy cost are derived from a small number of studies which are laboratory-based or use self-reported measures. Adults working in Cambridge (UK) recruited through a predominantly workplace-based strategy wore combined heart rate and movement sensors and global positioning system (GPS) devices for one week, and completed synchronous day-by-day travel diaries in 2010 and 2011. Commuting journeys were delineated using GPS data, and metabolic intensity (standard metabolic equivalents; MET) was derived and compared between journey types using mixed-effects linear regression. 182 commuting journeys were included in the analysis. Median intensity was 1.28 MET for car journeys; 1.67 MET for bus journeys; 4.61 MET for walking journeys; 6.44 MET for cycling journeys; 1.78 MET for journeys made by car in combination with walking; and 2.21 MET for journeys made by car in combination with cycling. The value for journeys made solely by car was significantly lower than those for all other journey types (p&lt;0.04). On average, 20% of the duration of journeys incorporating any active travel (equating to 8min) was spent in moderate-to-vigorous physical activity (MVPA). We have demonstrated how GPS and activity data from a free-living sample can be used simultaneously to provide objective estimates of commuting energy expenditure. On average, incorporating walking or cycling into longer journeys provided over half the weekly recommended activity levels from the commute alone. This may be an efficient way of achieving physical activity guidelines and improving population health.", "author" : [ { "dropping-particle" : "", "family" : "Costa", "given" : "S\u00edlvia", "non-dropping-particle" : "", "parse-names" : false, "suffix" : "" }, { "dropping-particle" : "", "family" : "Ogilvie", "given" : "David", "non-dropping-particle" : "", "parse-names" : false, "suffix" : "" }, { "dropping-particle" : "", "family" : "Dalton", "given" : "Alice", "non-dropping-particle" : "", "parse-names" : false, "suffix" : "" }, { "dropping-particle" : "", "family" : "Westgate", "given" : "Kate", "non-dropping-particle" : "", "parse-names" : false, "suffix" : "" }, { "dropping-particle" : "", "family" : "Brage", "given" : "S\u00f8ren", "non-dropping-particle" : "", "parse-names" : false, "suffix" : "" }, { "dropping-particle" : "", "family" : "Panter", "given" : "Jenna", "non-dropping-particle" : "", "parse-names" : false, "suffix" : "" } ], "container-title" : "Preventive medicine", "id" : "ITEM-1", "issued" : { "date-parts" : [ [ "2015", "10", "9" ] ] }, "page" : "339-344", "title" : "Quantifying the physical activity energy expenditure of commuters using a combination of global positioning system and combined heart rate and movement sensors.", "type" : "article-journal", "volume" : "81" }, "uris" : [ "http://www.mendeley.com/documents/?uuid=7eedcc60-2103-4a5a-933b-7e3e4559c70a" ] } ], "mendeley" : { "formattedCitation" : "(Costa et al., 2015)", "plainTextFormattedCitation" : "(Costa et al., 2015)", "previouslyFormattedCitation" : "(Costa et al., 2015)" }, "properties" : { "noteIndex" : 0 }, "schema" : "https://github.com/citation-style-language/schema/raw/master/csl-citation.json" }</w:instrText>
      </w:r>
      <w:r w:rsidR="00961F3B">
        <w:fldChar w:fldCharType="separate"/>
      </w:r>
      <w:r w:rsidR="00B71669" w:rsidRPr="00B71669">
        <w:rPr>
          <w:noProof/>
        </w:rPr>
        <w:t>(Costa et al., 2015)</w:t>
      </w:r>
      <w:r w:rsidR="00961F3B">
        <w:fldChar w:fldCharType="end"/>
      </w:r>
      <w:r w:rsidR="003C7FB2">
        <w:t xml:space="preserve"> </w:t>
      </w:r>
      <w:r w:rsidR="00461ABE">
        <w:t>and</w:t>
      </w:r>
      <w:r w:rsidR="003C7FB2">
        <w:t xml:space="preserve"> </w:t>
      </w:r>
      <w:r w:rsidR="00961F3B">
        <w:t>the</w:t>
      </w:r>
      <w:r w:rsidR="003C7FB2">
        <w:t xml:space="preserve"> </w:t>
      </w:r>
      <w:r w:rsidR="00461ABE">
        <w:t>comparatively</w:t>
      </w:r>
      <w:r w:rsidR="003C7FB2">
        <w:t xml:space="preserve"> </w:t>
      </w:r>
      <w:r w:rsidR="00961F3B">
        <w:t>low</w:t>
      </w:r>
      <w:r w:rsidR="003C7FB2">
        <w:t xml:space="preserve"> </w:t>
      </w:r>
      <w:r w:rsidR="00961F3B">
        <w:t>prevalence</w:t>
      </w:r>
      <w:r w:rsidR="003C7FB2">
        <w:t xml:space="preserve"> </w:t>
      </w:r>
      <w:r w:rsidR="00961F3B">
        <w:t>of</w:t>
      </w:r>
      <w:r w:rsidR="003C7FB2">
        <w:t xml:space="preserve"> </w:t>
      </w:r>
      <w:r w:rsidR="00961F3B">
        <w:t>walking</w:t>
      </w:r>
      <w:r w:rsidR="003C7FB2">
        <w:t xml:space="preserve"> </w:t>
      </w:r>
      <w:r w:rsidR="00961F3B">
        <w:t>in</w:t>
      </w:r>
      <w:r w:rsidR="003C7FB2">
        <w:t xml:space="preserve"> </w:t>
      </w:r>
      <w:r w:rsidR="00961F3B">
        <w:t>our</w:t>
      </w:r>
      <w:r w:rsidR="003C7FB2">
        <w:t xml:space="preserve"> </w:t>
      </w:r>
      <w:r w:rsidR="00961F3B">
        <w:t>study</w:t>
      </w:r>
      <w:r w:rsidR="003C7FB2">
        <w:t xml:space="preserve"> </w:t>
      </w:r>
      <w:r w:rsidR="00961F3B">
        <w:t>(</w:t>
      </w:r>
      <w:r w:rsidR="00461ABE">
        <w:t>and</w:t>
      </w:r>
      <w:r w:rsidR="003C7FB2">
        <w:t xml:space="preserve"> </w:t>
      </w:r>
      <w:r w:rsidR="00461ABE">
        <w:t>consequent</w:t>
      </w:r>
      <w:r w:rsidR="003C7FB2">
        <w:t xml:space="preserve"> </w:t>
      </w:r>
      <w:r w:rsidR="00961F3B">
        <w:t>restricti</w:t>
      </w:r>
      <w:r w:rsidR="00461ABE">
        <w:t>o</w:t>
      </w:r>
      <w:r w:rsidR="00961F3B">
        <w:t>n</w:t>
      </w:r>
      <w:r w:rsidR="003C7FB2">
        <w:t xml:space="preserve"> </w:t>
      </w:r>
      <w:r w:rsidR="00461ABE">
        <w:t>of</w:t>
      </w:r>
      <w:r w:rsidR="003C7FB2">
        <w:t xml:space="preserve"> </w:t>
      </w:r>
      <w:r w:rsidR="00461ABE">
        <w:t>statistical</w:t>
      </w:r>
      <w:r w:rsidR="003C7FB2">
        <w:t xml:space="preserve"> </w:t>
      </w:r>
      <w:r w:rsidR="00961F3B">
        <w:t>power)</w:t>
      </w:r>
      <w:r w:rsidR="003C7FB2">
        <w:t xml:space="preserve"> </w:t>
      </w:r>
      <w:r w:rsidR="00961F3B">
        <w:t>may</w:t>
      </w:r>
      <w:r w:rsidR="003C7FB2">
        <w:t xml:space="preserve"> </w:t>
      </w:r>
      <w:r w:rsidR="00961F3B">
        <w:t>also</w:t>
      </w:r>
      <w:r w:rsidR="003C7FB2">
        <w:t xml:space="preserve"> </w:t>
      </w:r>
      <w:r w:rsidR="00961F3B">
        <w:t>have</w:t>
      </w:r>
      <w:r w:rsidR="003C7FB2">
        <w:t xml:space="preserve"> </w:t>
      </w:r>
      <w:r w:rsidR="00961F3B">
        <w:t>contributed</w:t>
      </w:r>
      <w:r w:rsidR="003C7FB2">
        <w:t xml:space="preserve"> </w:t>
      </w:r>
      <w:r w:rsidR="00961F3B">
        <w:t>to</w:t>
      </w:r>
      <w:r w:rsidR="003C7FB2">
        <w:t xml:space="preserve"> </w:t>
      </w:r>
      <w:r w:rsidR="00461ABE">
        <w:t>our</w:t>
      </w:r>
      <w:r w:rsidR="003C7FB2">
        <w:t xml:space="preserve"> </w:t>
      </w:r>
      <w:r w:rsidR="00961F3B">
        <w:t>non-significant</w:t>
      </w:r>
      <w:r w:rsidR="003C7FB2">
        <w:t xml:space="preserve"> </w:t>
      </w:r>
      <w:r w:rsidR="00461ABE">
        <w:t>findings</w:t>
      </w:r>
      <w:r w:rsidR="00961F3B">
        <w:t>.</w:t>
      </w:r>
      <w:r w:rsidR="003C7FB2">
        <w:t xml:space="preserve"> </w:t>
      </w:r>
      <w:r w:rsidR="006656D6">
        <w:t>Nonetheless</w:t>
      </w:r>
      <w:r w:rsidR="003C7FB2">
        <w:t xml:space="preserve"> </w:t>
      </w:r>
      <w:r w:rsidR="00961F3B">
        <w:t>we</w:t>
      </w:r>
      <w:r w:rsidR="003C7FB2">
        <w:t xml:space="preserve"> </w:t>
      </w:r>
      <w:r w:rsidR="00961F3B">
        <w:t>note</w:t>
      </w:r>
      <w:r w:rsidR="003C7FB2">
        <w:t xml:space="preserve"> </w:t>
      </w:r>
      <w:r w:rsidR="00961F3B">
        <w:t>that</w:t>
      </w:r>
      <w:r w:rsidR="003C7FB2">
        <w:t xml:space="preserve"> </w:t>
      </w:r>
      <w:r w:rsidR="00461ABE">
        <w:t>compared</w:t>
      </w:r>
      <w:r w:rsidR="003C7FB2">
        <w:t xml:space="preserve"> </w:t>
      </w:r>
      <w:r w:rsidR="00461ABE">
        <w:t>to</w:t>
      </w:r>
      <w:r w:rsidR="003C7FB2">
        <w:t xml:space="preserve"> </w:t>
      </w:r>
      <w:r w:rsidR="00461ABE">
        <w:t>car-use,</w:t>
      </w:r>
      <w:r w:rsidR="003C7FB2">
        <w:t xml:space="preserve"> </w:t>
      </w:r>
      <w:r w:rsidR="00961F3B">
        <w:t>walking</w:t>
      </w:r>
      <w:r w:rsidR="003C7FB2">
        <w:t xml:space="preserve"> </w:t>
      </w:r>
      <w:r w:rsidR="00961F3B">
        <w:t>as</w:t>
      </w:r>
      <w:r w:rsidR="003C7FB2">
        <w:t xml:space="preserve"> </w:t>
      </w:r>
      <w:r w:rsidR="00961F3B">
        <w:t>a</w:t>
      </w:r>
      <w:r w:rsidR="003C7FB2">
        <w:t xml:space="preserve"> </w:t>
      </w:r>
      <w:r w:rsidR="00961F3B">
        <w:t>usual</w:t>
      </w:r>
      <w:r w:rsidR="003C7FB2">
        <w:t xml:space="preserve"> </w:t>
      </w:r>
      <w:r w:rsidR="00461ABE">
        <w:t>mode</w:t>
      </w:r>
      <w:r w:rsidR="003C7FB2">
        <w:t xml:space="preserve"> </w:t>
      </w:r>
      <w:r w:rsidR="00961F3B">
        <w:t>of</w:t>
      </w:r>
      <w:r w:rsidR="003C7FB2">
        <w:t xml:space="preserve"> </w:t>
      </w:r>
      <w:r w:rsidR="00961F3B">
        <w:t>travel</w:t>
      </w:r>
      <w:r w:rsidR="003C7FB2">
        <w:t xml:space="preserve"> </w:t>
      </w:r>
      <w:r w:rsidR="00961F3B">
        <w:t>was</w:t>
      </w:r>
      <w:r w:rsidR="003C7FB2">
        <w:t xml:space="preserve"> </w:t>
      </w:r>
      <w:r w:rsidR="00961F3B">
        <w:t>associated</w:t>
      </w:r>
      <w:r w:rsidR="003C7FB2">
        <w:t xml:space="preserve"> </w:t>
      </w:r>
      <w:r w:rsidR="00961F3B">
        <w:t>with</w:t>
      </w:r>
      <w:r w:rsidR="003C7FB2">
        <w:t xml:space="preserve"> </w:t>
      </w:r>
      <w:r w:rsidR="00961F3B">
        <w:t>reduc</w:t>
      </w:r>
      <w:r w:rsidR="006656D6">
        <w:t>ed</w:t>
      </w:r>
      <w:r w:rsidR="003C7FB2">
        <w:t xml:space="preserve"> </w:t>
      </w:r>
      <w:r w:rsidR="006656D6">
        <w:t>adiposity</w:t>
      </w:r>
      <w:r w:rsidR="003C7FB2">
        <w:t xml:space="preserve"> </w:t>
      </w:r>
      <w:r w:rsidR="006656D6">
        <w:t>in</w:t>
      </w:r>
      <w:r w:rsidR="003C7FB2">
        <w:t xml:space="preserve"> </w:t>
      </w:r>
      <w:r w:rsidR="006656D6">
        <w:t>our</w:t>
      </w:r>
      <w:r w:rsidR="003C7FB2">
        <w:t xml:space="preserve"> </w:t>
      </w:r>
      <w:r w:rsidR="006656D6">
        <w:t>study.</w:t>
      </w:r>
      <w:r w:rsidR="003C7FB2">
        <w:t xml:space="preserve"> </w:t>
      </w:r>
      <w:r w:rsidR="00957E62">
        <w:t>We</w:t>
      </w:r>
      <w:r w:rsidR="003C7FB2">
        <w:t xml:space="preserve"> </w:t>
      </w:r>
      <w:r w:rsidR="00961F3B">
        <w:t>also</w:t>
      </w:r>
      <w:r w:rsidR="003C7FB2">
        <w:t xml:space="preserve"> </w:t>
      </w:r>
      <w:r w:rsidR="00957E62">
        <w:t>note</w:t>
      </w:r>
      <w:r w:rsidR="003C7FB2">
        <w:t xml:space="preserve"> </w:t>
      </w:r>
      <w:r w:rsidR="00957E62">
        <w:t>that</w:t>
      </w:r>
      <w:r w:rsidR="003C7FB2">
        <w:t xml:space="preserve"> </w:t>
      </w:r>
      <w:r w:rsidR="00957E62">
        <w:t>women</w:t>
      </w:r>
      <w:r w:rsidR="003C7FB2">
        <w:t xml:space="preserve"> </w:t>
      </w:r>
      <w:r w:rsidR="00957E62">
        <w:t>who</w:t>
      </w:r>
      <w:r w:rsidR="003C7FB2">
        <w:t xml:space="preserve"> </w:t>
      </w:r>
      <w:r w:rsidR="00957E62">
        <w:t>lived</w:t>
      </w:r>
      <w:r w:rsidR="003C7FB2">
        <w:t xml:space="preserve"> </w:t>
      </w:r>
      <w:r w:rsidR="00957E62">
        <w:t>within</w:t>
      </w:r>
      <w:r w:rsidR="003C7FB2">
        <w:t xml:space="preserve"> </w:t>
      </w:r>
      <w:r w:rsidR="00957E62">
        <w:t>five</w:t>
      </w:r>
      <w:r w:rsidR="003C7FB2">
        <w:t xml:space="preserve"> </w:t>
      </w:r>
      <w:r w:rsidR="00957E62">
        <w:t>miles</w:t>
      </w:r>
      <w:r w:rsidR="003C7FB2">
        <w:t xml:space="preserve"> </w:t>
      </w:r>
      <w:r w:rsidR="00957E62">
        <w:t>of</w:t>
      </w:r>
      <w:r w:rsidR="003C7FB2">
        <w:t xml:space="preserve"> </w:t>
      </w:r>
      <w:r w:rsidR="00957E62">
        <w:t>wor</w:t>
      </w:r>
      <w:r w:rsidR="00961F3B">
        <w:t>k</w:t>
      </w:r>
      <w:r w:rsidR="003C7FB2">
        <w:t xml:space="preserve"> </w:t>
      </w:r>
      <w:r w:rsidR="00961F3B">
        <w:t>had</w:t>
      </w:r>
      <w:r w:rsidR="003C7FB2">
        <w:t xml:space="preserve"> </w:t>
      </w:r>
      <w:r w:rsidR="00961F3B">
        <w:t>increased</w:t>
      </w:r>
      <w:r w:rsidR="003C7FB2">
        <w:t xml:space="preserve"> </w:t>
      </w:r>
      <w:r w:rsidR="00961F3B">
        <w:t>adiposity.</w:t>
      </w:r>
      <w:r w:rsidR="003C7FB2">
        <w:t xml:space="preserve"> </w:t>
      </w:r>
      <w:r w:rsidR="00961F3B">
        <w:t>This</w:t>
      </w:r>
      <w:r w:rsidR="003C7FB2">
        <w:t xml:space="preserve"> </w:t>
      </w:r>
      <w:r w:rsidR="00961F3B">
        <w:t>may</w:t>
      </w:r>
      <w:r w:rsidR="003C7FB2">
        <w:t xml:space="preserve"> </w:t>
      </w:r>
      <w:r w:rsidR="00957E62">
        <w:t>be</w:t>
      </w:r>
      <w:r w:rsidR="003C7FB2">
        <w:t xml:space="preserve"> </w:t>
      </w:r>
      <w:r w:rsidR="00957E62">
        <w:t>attributable</w:t>
      </w:r>
      <w:r w:rsidR="003C7FB2">
        <w:t xml:space="preserve"> </w:t>
      </w:r>
      <w:r w:rsidR="00957E62">
        <w:t>to</w:t>
      </w:r>
      <w:r w:rsidR="003C7FB2">
        <w:t xml:space="preserve"> </w:t>
      </w:r>
      <w:r w:rsidR="00957E62">
        <w:t>reverse</w:t>
      </w:r>
      <w:r w:rsidR="003C7FB2">
        <w:t xml:space="preserve"> </w:t>
      </w:r>
      <w:r w:rsidR="00957E62">
        <w:t>causation,</w:t>
      </w:r>
      <w:r w:rsidR="003C7FB2">
        <w:t xml:space="preserve"> </w:t>
      </w:r>
      <w:r w:rsidR="00961F3B">
        <w:t>e.g.</w:t>
      </w:r>
      <w:r w:rsidR="003C7FB2">
        <w:t xml:space="preserve"> </w:t>
      </w:r>
      <w:r w:rsidR="006D68E2">
        <w:t>overweight</w:t>
      </w:r>
      <w:r w:rsidR="003C7FB2">
        <w:t xml:space="preserve"> </w:t>
      </w:r>
      <w:r w:rsidR="00961F3B">
        <w:t>women</w:t>
      </w:r>
      <w:r w:rsidR="003C7FB2">
        <w:t xml:space="preserve"> </w:t>
      </w:r>
      <w:r w:rsidR="006D68E2">
        <w:t>choosing</w:t>
      </w:r>
      <w:r w:rsidR="003C7FB2">
        <w:t xml:space="preserve"> </w:t>
      </w:r>
      <w:r w:rsidR="006D68E2">
        <w:t>to</w:t>
      </w:r>
      <w:r w:rsidR="003C7FB2">
        <w:t xml:space="preserve"> </w:t>
      </w:r>
      <w:r w:rsidR="006D68E2">
        <w:t>walk</w:t>
      </w:r>
      <w:r w:rsidR="003C7FB2">
        <w:t xml:space="preserve"> </w:t>
      </w:r>
      <w:r w:rsidR="006D68E2">
        <w:t>to</w:t>
      </w:r>
      <w:r w:rsidR="003C7FB2">
        <w:t xml:space="preserve"> </w:t>
      </w:r>
      <w:r w:rsidR="006D68E2">
        <w:t>work</w:t>
      </w:r>
      <w:r w:rsidR="003C7FB2">
        <w:t xml:space="preserve"> </w:t>
      </w:r>
      <w:r w:rsidR="006D68E2">
        <w:t>in</w:t>
      </w:r>
      <w:r w:rsidR="003C7FB2">
        <w:t xml:space="preserve"> </w:t>
      </w:r>
      <w:r w:rsidR="006D68E2">
        <w:t>order</w:t>
      </w:r>
      <w:r w:rsidR="003C7FB2">
        <w:t xml:space="preserve"> </w:t>
      </w:r>
      <w:r w:rsidR="006D68E2">
        <w:t>to</w:t>
      </w:r>
      <w:r w:rsidR="003C7FB2">
        <w:t xml:space="preserve"> </w:t>
      </w:r>
      <w:r w:rsidR="006D68E2">
        <w:t>lose</w:t>
      </w:r>
      <w:r w:rsidR="003C7FB2">
        <w:t xml:space="preserve"> </w:t>
      </w:r>
      <w:r w:rsidR="006D68E2">
        <w:t>we</w:t>
      </w:r>
      <w:r w:rsidR="00A06995">
        <w:t>ight</w:t>
      </w:r>
      <w:r w:rsidR="00957E62">
        <w:t>.</w:t>
      </w:r>
    </w:p>
    <w:p w14:paraId="75F024F0" w14:textId="1429026D" w:rsidR="002F3BFF" w:rsidRDefault="002F3BFF" w:rsidP="00E063AA">
      <w:pPr>
        <w:spacing w:after="0" w:line="240" w:lineRule="auto"/>
        <w:rPr>
          <w:rFonts w:cs="Arial"/>
          <w:color w:val="2E2E2E"/>
        </w:rPr>
      </w:pPr>
    </w:p>
    <w:p w14:paraId="7A38C6CA" w14:textId="63962D9C" w:rsidR="006D5B44" w:rsidRDefault="006D5B44" w:rsidP="006D5B44">
      <w:pPr>
        <w:spacing w:after="0" w:line="240" w:lineRule="auto"/>
      </w:pPr>
      <w:r>
        <w:t>Two</w:t>
      </w:r>
      <w:r w:rsidR="003C7FB2">
        <w:t xml:space="preserve"> </w:t>
      </w:r>
      <w:r>
        <w:t>previous</w:t>
      </w:r>
      <w:r w:rsidR="003C7FB2">
        <w:t xml:space="preserve"> </w:t>
      </w:r>
      <w:r>
        <w:t>studies</w:t>
      </w:r>
      <w:r w:rsidR="003C7FB2">
        <w:t xml:space="preserve"> </w:t>
      </w:r>
      <w:r>
        <w:t>have</w:t>
      </w:r>
      <w:r w:rsidR="003C7FB2">
        <w:t xml:space="preserve"> </w:t>
      </w:r>
      <w:r>
        <w:t>described</w:t>
      </w:r>
      <w:r w:rsidR="003C7FB2">
        <w:t xml:space="preserve"> </w:t>
      </w:r>
      <w:r>
        <w:t>associations</w:t>
      </w:r>
      <w:r w:rsidR="003C7FB2">
        <w:t xml:space="preserve"> </w:t>
      </w:r>
      <w:r>
        <w:t>with</w:t>
      </w:r>
      <w:r w:rsidR="003C7FB2">
        <w:t xml:space="preserve"> </w:t>
      </w:r>
      <w:r>
        <w:t>body</w:t>
      </w:r>
      <w:r w:rsidR="003C7FB2">
        <w:t xml:space="preserve"> </w:t>
      </w:r>
      <w:r>
        <w:t>fat</w:t>
      </w:r>
      <w:r w:rsidR="003C7FB2">
        <w:t xml:space="preserve"> </w:t>
      </w:r>
      <w:r>
        <w:t>and</w:t>
      </w:r>
      <w:r w:rsidR="003C7FB2">
        <w:t xml:space="preserve"> </w:t>
      </w:r>
      <w:r>
        <w:t>report</w:t>
      </w:r>
      <w:r w:rsidR="003C7FB2">
        <w:t xml:space="preserve"> </w:t>
      </w:r>
      <w:r>
        <w:t>a</w:t>
      </w:r>
      <w:r w:rsidR="003C7FB2">
        <w:t xml:space="preserve"> </w:t>
      </w:r>
      <w:r>
        <w:t>similar</w:t>
      </w:r>
      <w:r w:rsidR="003C7FB2">
        <w:t xml:space="preserve"> </w:t>
      </w:r>
      <w:r w:rsidR="00461ABE">
        <w:t>size</w:t>
      </w:r>
      <w:r w:rsidR="003C7FB2">
        <w:t xml:space="preserve"> </w:t>
      </w:r>
      <w:r w:rsidR="00461ABE">
        <w:t>of</w:t>
      </w:r>
      <w:r w:rsidR="003C7FB2">
        <w:t xml:space="preserve"> </w:t>
      </w:r>
      <w:r>
        <w:t>association</w:t>
      </w:r>
      <w:r w:rsidR="003C7FB2">
        <w:t xml:space="preserve"> </w:t>
      </w:r>
      <w:r w:rsidR="00461ABE">
        <w:t>to</w:t>
      </w:r>
      <w:r w:rsidR="003C7FB2">
        <w:t xml:space="preserve"> </w:t>
      </w:r>
      <w:r w:rsidR="00461ABE">
        <w:t>ours</w:t>
      </w:r>
      <w:r w:rsidR="003C7FB2">
        <w:t xml:space="preserve"> </w:t>
      </w:r>
      <w:r>
        <w:t>(1.5%</w:t>
      </w:r>
      <w:r w:rsidR="003C7FB2">
        <w:t xml:space="preserve"> </w:t>
      </w:r>
      <w:r>
        <w:t>reduction</w:t>
      </w:r>
      <w:r w:rsidR="003C7FB2">
        <w:t xml:space="preserve"> </w:t>
      </w:r>
      <w:r>
        <w:t>for</w:t>
      </w:r>
      <w:r w:rsidR="003C7FB2">
        <w:t xml:space="preserve"> </w:t>
      </w:r>
      <w:r>
        <w:t>cycling</w:t>
      </w:r>
      <w:r w:rsidR="003C7FB2">
        <w:t xml:space="preserve"> </w:t>
      </w:r>
      <w:r>
        <w:t>to</w:t>
      </w:r>
      <w:r w:rsidR="003C7FB2">
        <w:t xml:space="preserve"> </w:t>
      </w:r>
      <w:r>
        <w:t>work</w:t>
      </w:r>
      <w:r w:rsidR="003C7FB2">
        <w:t xml:space="preserve"> </w:t>
      </w:r>
      <w:r>
        <w:t>and</w:t>
      </w:r>
      <w:r w:rsidR="003C7FB2">
        <w:t xml:space="preserve"> </w:t>
      </w:r>
      <w:r>
        <w:t>1.4%</w:t>
      </w:r>
      <w:r w:rsidR="003C7FB2">
        <w:t xml:space="preserve"> </w:t>
      </w:r>
      <w:r>
        <w:t>for</w:t>
      </w:r>
      <w:r w:rsidR="003C7FB2">
        <w:t xml:space="preserve"> </w:t>
      </w:r>
      <w:r>
        <w:t>active</w:t>
      </w:r>
      <w:r w:rsidR="003C7FB2">
        <w:t xml:space="preserve"> </w:t>
      </w:r>
      <w:r>
        <w:t>travel,</w:t>
      </w:r>
      <w:r w:rsidR="003C7FB2">
        <w:t xml:space="preserve"> </w:t>
      </w:r>
      <w:r>
        <w:t>relative</w:t>
      </w:r>
      <w:r w:rsidR="003C7FB2">
        <w:t xml:space="preserve"> </w:t>
      </w:r>
      <w:r>
        <w:t>to</w:t>
      </w:r>
      <w:r w:rsidR="003C7FB2">
        <w:t xml:space="preserve"> </w:t>
      </w:r>
      <w:r>
        <w:t>car-use).</w:t>
      </w:r>
      <w:r>
        <w:fldChar w:fldCharType="begin" w:fldLock="1"/>
      </w:r>
      <w:r w:rsidR="000B07A6">
        <w:instrText>ADDIN CSL_CITATION { "citationItems" : [ { "id" : "ITEM-1", "itemData" : { "DOI" : "10.1016/S2213-8587(16)00053-X", "ISSN" : "22138587", "author" : [ { "dropping-particle" : "", "family" : "Flint", "given" : "Ellen", "non-dropping-particle" : "", "parse-names" : false, "suffix" : "" }, { "dropping-particle" : "", "family" : "Cummins", "given" : "Steven", "non-dropping-particle" : "", "parse-names" : false, "suffix" : "" } ], "container-title" : "The Lancet Diabetes &amp; Endocrinology", "id" : "ITEM-1", "issue" : "5", "issued" : { "date-parts" : [ [ "2016", "3" ] ] }, "language" : "English", "page" : "420-435", "publisher" : "Elsevier", "title" : "Active commuting and obesity in mid-life: cross-sectional, observational evidence from UK Biobank", "type" : "article-journal", "volume" : "4" }, "uris" : [ "http://www.mendeley.com/documents/?uuid=e7c9e359-019e-4cc3-a869-943a6411defd" ] }, { "id" : "ITEM-2", "itemData" : { "DOI" : "10.1136/bmj.g4887", "ISSN" : "1756-1833", "abstract" : "Objective To determine if promotion of active modes of travel is an effective strategy for obesity prevention by assessing whether active commuting (walking or cycling for all or part of the journey to work) is independently associated with objectively assessed biological markers of obesity. Design Cross sectional study of data from the wave 2 Health Assessment subsample of Understanding Society, the UK Household Longitudinal Study (UKHLS). The exposure of interest, commuting mode, was self reported and categorised as three categories: private transport, public transport, and active transport. Participants The analytic samples (7534 for body mass index (BMI) analysis, 7424 for percentage body fat analysis) were drawn from the representative subsample of wave 2 respondents of UKHLS who provided health assessment data (n=15 777). Main outcome measures Body mass index (weight (kg)/height (m)2); percentage body fat (measured by electrical impedance). Results Results from multivariate linear regression analyses suggest that, compared with using private transport, commuting by public or active transport modes was significantly and independently predictive of lower BMI for both men and women. In fully adjusted models, men who commuted via public or active modes had BMI scores 1.10 (95% CI 0.53 to 1.67) and 0.97 (0.40 to 1.55) points lower, respectively, than those who used private transport. Women who commuted via public or active modes had BMI scores 0.72 (0.06 to 1.37) and 0.87 (0.36 to 0.87) points lower, respectively, than those using private transport. Results for percentage body fat were similar in terms of magnitude, significance, and direction of effects. Conclusions Men and women who commuted to work by active and public modes of transport had significantly lower BMI and percentage body fat than their counterparts who used private transport. These associations were not attenuated by adjustment for a range of hypothesised confounding factors.", "author" : [ { "dropping-particle" : "", "family" : "Flint", "given" : "E.", "non-dropping-particle" : "", "parse-names" : false, "suffix" : "" }, { "dropping-particle" : "", "family" : "Cummins", "given" : "S.", "non-dropping-particle" : "", "parse-names" : false, "suffix" : "" }, { "dropping-particle" : "", "family" : "Sacker", "given" : "A.", "non-dropping-particle" : "", "parse-names" : false, "suffix" : "" } ], "container-title" : "BMJ", "id" : "ITEM-2", "issue" : "aug19 13", "issued" : { "date-parts" : [ [ "2014", "8", "19" ] ] }, "page" : "g4887-g4887", "title" : "Associations between active commuting, body fat, and body mass index: population based, cross sectional study in the United Kingdom", "type" : "article-journal", "volume" : "349" }, "uris" : [ "http://www.mendeley.com/documents/?uuid=8787743b-b3b9-4811-8179-d88afe555721" ] } ], "mendeley" : { "formattedCitation" : "(Flint et al., 2014; Flint and Cummins, 2016)", "plainTextFormattedCitation" : "(Flint et al., 2014; Flint and Cummins, 2016)", "previouslyFormattedCitation" : "(Flint et al., 2014; Flint and Cummins, 2016)" }, "properties" : { "noteIndex" : 0 }, "schema" : "https://github.com/citation-style-language/schema/raw/master/csl-citation.json" }</w:instrText>
      </w:r>
      <w:r>
        <w:fldChar w:fldCharType="separate"/>
      </w:r>
      <w:r w:rsidR="00B71669" w:rsidRPr="00B71669">
        <w:rPr>
          <w:noProof/>
        </w:rPr>
        <w:t>(Flint et al., 2014; Flint and Cummins, 2016)</w:t>
      </w:r>
      <w:r>
        <w:fldChar w:fldCharType="end"/>
      </w:r>
      <w:r w:rsidR="003C7FB2">
        <w:t xml:space="preserve"> </w:t>
      </w:r>
      <w:r>
        <w:t>We</w:t>
      </w:r>
      <w:r w:rsidR="003C7FB2">
        <w:t xml:space="preserve"> </w:t>
      </w:r>
      <w:r>
        <w:t>are</w:t>
      </w:r>
      <w:r w:rsidR="003C7FB2">
        <w:t xml:space="preserve"> </w:t>
      </w:r>
      <w:r>
        <w:t>not</w:t>
      </w:r>
      <w:r w:rsidR="003C7FB2">
        <w:t xml:space="preserve"> </w:t>
      </w:r>
      <w:r>
        <w:t>aware</w:t>
      </w:r>
      <w:r w:rsidR="003C7FB2">
        <w:t xml:space="preserve"> </w:t>
      </w:r>
      <w:r>
        <w:t>of</w:t>
      </w:r>
      <w:r w:rsidR="003C7FB2">
        <w:t xml:space="preserve"> </w:t>
      </w:r>
      <w:r>
        <w:t>any</w:t>
      </w:r>
      <w:r w:rsidR="003C7FB2">
        <w:t xml:space="preserve"> </w:t>
      </w:r>
      <w:r>
        <w:t>studies</w:t>
      </w:r>
      <w:r w:rsidR="003C7FB2">
        <w:t xml:space="preserve"> </w:t>
      </w:r>
      <w:r>
        <w:t>that</w:t>
      </w:r>
      <w:r w:rsidR="003C7FB2">
        <w:t xml:space="preserve"> </w:t>
      </w:r>
      <w:r>
        <w:t>have</w:t>
      </w:r>
      <w:r w:rsidR="003C7FB2">
        <w:t xml:space="preserve"> </w:t>
      </w:r>
      <w:r>
        <w:t>described</w:t>
      </w:r>
      <w:r w:rsidR="003C7FB2">
        <w:t xml:space="preserve"> </w:t>
      </w:r>
      <w:r>
        <w:t>the</w:t>
      </w:r>
      <w:r w:rsidR="003C7FB2">
        <w:t xml:space="preserve"> </w:t>
      </w:r>
      <w:r>
        <w:t>association</w:t>
      </w:r>
      <w:r w:rsidR="003C7FB2">
        <w:t xml:space="preserve"> </w:t>
      </w:r>
      <w:r>
        <w:t>between</w:t>
      </w:r>
      <w:r w:rsidR="003C7FB2">
        <w:t xml:space="preserve"> </w:t>
      </w:r>
      <w:r>
        <w:t>active</w:t>
      </w:r>
      <w:r w:rsidR="003C7FB2">
        <w:t xml:space="preserve"> </w:t>
      </w:r>
      <w:r>
        <w:t>commuting</w:t>
      </w:r>
      <w:r w:rsidR="003C7FB2">
        <w:t xml:space="preserve"> </w:t>
      </w:r>
      <w:r>
        <w:t>and</w:t>
      </w:r>
      <w:r w:rsidR="003C7FB2">
        <w:t xml:space="preserve"> </w:t>
      </w:r>
      <w:r>
        <w:t>VAT.</w:t>
      </w:r>
    </w:p>
    <w:p w14:paraId="4BE811C3" w14:textId="77777777" w:rsidR="008D4FC4" w:rsidRDefault="008D4FC4" w:rsidP="00E063AA">
      <w:pPr>
        <w:spacing w:after="0" w:line="240" w:lineRule="auto"/>
      </w:pPr>
    </w:p>
    <w:p w14:paraId="30AA5F46" w14:textId="6A665731" w:rsidR="00F45466" w:rsidRDefault="008D4FC4" w:rsidP="001F7BCD">
      <w:pPr>
        <w:spacing w:after="0" w:line="240" w:lineRule="auto"/>
      </w:pPr>
      <w:r>
        <w:t>Previous</w:t>
      </w:r>
      <w:r w:rsidR="003C7FB2">
        <w:t xml:space="preserve"> </w:t>
      </w:r>
      <w:r>
        <w:t>work</w:t>
      </w:r>
      <w:r w:rsidR="003C7FB2">
        <w:t xml:space="preserve"> </w:t>
      </w:r>
      <w:r w:rsidR="008A7CFB">
        <w:t>has</w:t>
      </w:r>
      <w:r w:rsidR="003C7FB2">
        <w:t xml:space="preserve"> </w:t>
      </w:r>
      <w:r w:rsidR="008A7CFB">
        <w:t>demonstrated</w:t>
      </w:r>
      <w:r w:rsidR="003C7FB2">
        <w:t xml:space="preserve"> </w:t>
      </w:r>
      <w:r w:rsidR="008A7CFB">
        <w:t>a</w:t>
      </w:r>
      <w:r w:rsidR="003C7FB2">
        <w:t xml:space="preserve"> </w:t>
      </w:r>
      <w:r w:rsidR="008A7CFB">
        <w:t>dose-response</w:t>
      </w:r>
      <w:r w:rsidR="003C7FB2">
        <w:t xml:space="preserve"> </w:t>
      </w:r>
      <w:r w:rsidR="008A7CFB">
        <w:t>effect</w:t>
      </w:r>
      <w:r w:rsidR="003C7FB2">
        <w:t xml:space="preserve"> </w:t>
      </w:r>
      <w:r w:rsidR="008A7CFB">
        <w:t>(</w:t>
      </w:r>
      <w:r w:rsidR="00F45466">
        <w:t>between</w:t>
      </w:r>
      <w:r w:rsidR="003C7FB2">
        <w:t xml:space="preserve"> </w:t>
      </w:r>
      <w:r w:rsidR="008A7CFB">
        <w:t>‘intensity’</w:t>
      </w:r>
      <w:r w:rsidR="003C7FB2">
        <w:t xml:space="preserve"> </w:t>
      </w:r>
      <w:r w:rsidR="008A7CFB">
        <w:t>of</w:t>
      </w:r>
      <w:r w:rsidR="003C7FB2">
        <w:t xml:space="preserve"> </w:t>
      </w:r>
      <w:r w:rsidR="008A7CFB">
        <w:t>active</w:t>
      </w:r>
      <w:r w:rsidR="003C7FB2">
        <w:t xml:space="preserve"> </w:t>
      </w:r>
      <w:r w:rsidR="008A7CFB">
        <w:t>travel</w:t>
      </w:r>
      <w:r w:rsidR="003C7FB2">
        <w:t xml:space="preserve"> </w:t>
      </w:r>
      <w:r w:rsidR="00F45466">
        <w:t>and</w:t>
      </w:r>
      <w:r w:rsidR="003C7FB2">
        <w:t xml:space="preserve"> </w:t>
      </w:r>
      <w:r w:rsidR="00F45466">
        <w:t>BMI,</w:t>
      </w:r>
      <w:r w:rsidR="008A7CFB">
        <w:fldChar w:fldCharType="begin" w:fldLock="1"/>
      </w:r>
      <w:r w:rsidR="000B07A6">
        <w:instrText>ADDIN CSL_CITATION { "citationItems" : [ { "id" : "ITEM-1", "itemData" : { "DOI" : "10.1016/S2213-8587(16)00053-X", "ISSN" : "22138587", "author" : [ { "dropping-particle" : "", "family" : "Flint", "given" : "Ellen", "non-dropping-particle" : "", "parse-names" : false, "suffix" : "" }, { "dropping-particle" : "", "family" : "Cummins", "given" : "Steven", "non-dropping-particle" : "", "parse-names" : false, "suffix" : "" } ], "container-title" : "The Lancet Diabetes &amp; Endocrinology", "id" : "ITEM-1", "issue" : "5", "issued" : { "date-parts" : [ [ "2016", "3" ] ] }, "language" : "English", "page" : "420-435", "publisher" : "Elsevier", "title" : "Active commuting and obesity in mid-life: cross-sectional, observational evidence from UK Biobank", "type" : "article-journal", "volume" : "4" }, "uris" : [ "http://www.mendeley.com/documents/?uuid=e7c9e359-019e-4cc3-a869-943a6411defd" ] } ], "mendeley" : { "formattedCitation" : "(Flint and Cummins, 2016)", "plainTextFormattedCitation" : "(Flint and Cummins, 2016)", "previouslyFormattedCitation" : "(Flint and Cummins, 2016)" }, "properties" : { "noteIndex" : 0 }, "schema" : "https://github.com/citation-style-language/schema/raw/master/csl-citation.json" }</w:instrText>
      </w:r>
      <w:r w:rsidR="008A7CFB">
        <w:fldChar w:fldCharType="separate"/>
      </w:r>
      <w:r w:rsidR="00B71669" w:rsidRPr="00B71669">
        <w:rPr>
          <w:noProof/>
        </w:rPr>
        <w:t>(Flint and Cummins, 2016)</w:t>
      </w:r>
      <w:r w:rsidR="008A7CFB">
        <w:fldChar w:fldCharType="end"/>
      </w:r>
      <w:r w:rsidR="003C7FB2">
        <w:t xml:space="preserve"> </w:t>
      </w:r>
      <w:r w:rsidR="00F45466">
        <w:t>and</w:t>
      </w:r>
      <w:r w:rsidR="003C7FB2">
        <w:t xml:space="preserve"> </w:t>
      </w:r>
      <w:r w:rsidR="008A7CFB">
        <w:t>duration</w:t>
      </w:r>
      <w:r w:rsidR="003C7FB2">
        <w:t xml:space="preserve"> </w:t>
      </w:r>
      <w:r w:rsidR="008A7CFB">
        <w:t>of</w:t>
      </w:r>
      <w:r w:rsidR="003C7FB2">
        <w:t xml:space="preserve"> </w:t>
      </w:r>
      <w:r w:rsidR="008A7CFB">
        <w:t>active</w:t>
      </w:r>
      <w:r w:rsidR="003C7FB2">
        <w:t xml:space="preserve"> </w:t>
      </w:r>
      <w:r w:rsidR="008A7CFB">
        <w:t>travel</w:t>
      </w:r>
      <w:r w:rsidR="003C7FB2">
        <w:t xml:space="preserve"> </w:t>
      </w:r>
      <w:r w:rsidR="00F45466">
        <w:t>and</w:t>
      </w:r>
      <w:r w:rsidR="003C7FB2">
        <w:t xml:space="preserve"> </w:t>
      </w:r>
      <w:r w:rsidR="00F45466">
        <w:t>BMI</w:t>
      </w:r>
      <w:r w:rsidR="008A7CFB">
        <w:fldChar w:fldCharType="begin" w:fldLock="1"/>
      </w:r>
      <w:r w:rsidR="000B07A6">
        <w:instrText>ADDIN CSL_CITATION { "citationItems" : [ { "id" : "ITEM-1", "itemData" : { "DOI" : "10.1136/jech-2014-205211", "ISSN" : "1470-2738", "PMID" : "25954024", "abstract" : "BACKGROUND: Active commuting is associated with various health benefits, but little is known about its causal relationship with body mass index (BMI).\n\nMETHODS: We used cohort data from three consecutive annual waves of the British Household Panel Survey, a longitudinal study of nationally representative households, in 2004/2005 (n=15\u2005791), 2005/2006 and 2006/2007. Participants selected for the analyses (n=4056) reported their usual main mode of travel to work at each time point. Self-reported height and weight were used to derive BMI at baseline and after 2\u2005years. Multivariable linear regression analyses were used to assess associations between switching to and from active modes of travel (over 1 and 2\u2005years) and change in BMI (over 2\u2005years) and to assess dose-response relationships.\n\nRESULTS: After adjustment for socioeconomic and health-related covariates, the first analysis (n=3269) showed that switching from private motor transport to active travel or public transport (n=179) was associated with a significant reduction in BMI compared with continued private motor vehicle use (n=3090; -0.32\u2005kg/m(2), 95% CI -0.60 to -0.05). Larger adjusted effect sizes were associated with switching to active travel (n=109; -0.45\u2005kg/m(2), -0.78 to -0.11), particularly among those who switched within the first year and those with the longest journeys. The second analysis (n=787) showed that switching from active travel or public transport to private motor transport was associated with a significant increase in BMI (0.34\u2005kg/m(2), 0.05 to 0.64).\n\nCONCLUSIONS: Interventions to enable commuters to switch from private motor transport to more active modes of travel could contribute to reducing population mean BMI.", "author" : [ { "dropping-particle" : "", "family" : "Martin", "given" : "Adam", "non-dropping-particle" : "", "parse-names" : false, "suffix" : "" }, { "dropping-particle" : "", "family" : "Panter", "given" : "Jenna", "non-dropping-particle" : "", "parse-names" : false, "suffix" : "" }, { "dropping-particle" : "", "family" : "Suhrcke", "given" : "Marc", "non-dropping-particle" : "", "parse-names" : false, "suffix" : "" }, { "dropping-particle" : "", "family" : "Ogilvie", "given" : "David", "non-dropping-particle" : "", "parse-names" : false, "suffix" : "" } ], "container-title" : "Journal of epidemiology and community health", "id" : "ITEM-1", "issue" : "8", "issued" : { "date-parts" : [ [ "2015", "5", "7" ] ] }, "page" : "753-61", "title" : "Impact of changes in mode of travel to work on changes in body mass index: evidence from the British Household Panel Survey.", "type" : "article-journal", "volume" : "69" }, "uris" : [ "http://www.mendeley.com/documents/?uuid=9729e467-b20c-4026-a548-9d0eb07535fc" ] } ], "mendeley" : { "formattedCitation" : "(Martin et al., 2015)", "plainTextFormattedCitation" : "(Martin et al., 2015)", "previouslyFormattedCitation" : "(Martin et al., 2015)" }, "properties" : { "noteIndex" : 0 }, "schema" : "https://github.com/citation-style-language/schema/raw/master/csl-citation.json" }</w:instrText>
      </w:r>
      <w:r w:rsidR="008A7CFB">
        <w:fldChar w:fldCharType="separate"/>
      </w:r>
      <w:r w:rsidR="00B71669" w:rsidRPr="00B71669">
        <w:rPr>
          <w:noProof/>
        </w:rPr>
        <w:t>(Martin et al., 2015)</w:t>
      </w:r>
      <w:r w:rsidR="008A7CFB">
        <w:fldChar w:fldCharType="end"/>
      </w:r>
      <w:r w:rsidR="008A5924">
        <w:t>)</w:t>
      </w:r>
      <w:r w:rsidR="00F45466">
        <w:t>.</w:t>
      </w:r>
      <w:r w:rsidR="003C7FB2">
        <w:t xml:space="preserve"> </w:t>
      </w:r>
      <w:r w:rsidR="00F45466">
        <w:t>Our</w:t>
      </w:r>
      <w:r w:rsidR="003C7FB2">
        <w:t xml:space="preserve"> </w:t>
      </w:r>
      <w:r w:rsidR="00F45466">
        <w:t>findings</w:t>
      </w:r>
      <w:r w:rsidR="003C7FB2">
        <w:t xml:space="preserve"> </w:t>
      </w:r>
      <w:r w:rsidR="00F45466">
        <w:t>show</w:t>
      </w:r>
      <w:r w:rsidR="003C7FB2">
        <w:t xml:space="preserve"> </w:t>
      </w:r>
      <w:r w:rsidR="00F45466">
        <w:t>a</w:t>
      </w:r>
      <w:r w:rsidR="003C7FB2">
        <w:t xml:space="preserve"> </w:t>
      </w:r>
      <w:r w:rsidR="00F45466">
        <w:t>relationship</w:t>
      </w:r>
      <w:r w:rsidR="003C7FB2">
        <w:t xml:space="preserve"> </w:t>
      </w:r>
      <w:r w:rsidR="00F45466">
        <w:t>between</w:t>
      </w:r>
      <w:r w:rsidR="003C7FB2">
        <w:t xml:space="preserve"> </w:t>
      </w:r>
      <w:r w:rsidR="00F45466">
        <w:t>dista</w:t>
      </w:r>
      <w:r w:rsidR="00313793">
        <w:t>nce</w:t>
      </w:r>
      <w:r w:rsidR="003C7FB2">
        <w:t xml:space="preserve"> </w:t>
      </w:r>
      <w:r w:rsidR="00313793">
        <w:t>cycled</w:t>
      </w:r>
      <w:r w:rsidR="003C7FB2">
        <w:t xml:space="preserve"> </w:t>
      </w:r>
      <w:r w:rsidR="00313793">
        <w:t>to</w:t>
      </w:r>
      <w:r w:rsidR="003C7FB2">
        <w:t xml:space="preserve"> </w:t>
      </w:r>
      <w:r w:rsidR="00313793">
        <w:t>work</w:t>
      </w:r>
      <w:r w:rsidR="003C7FB2">
        <w:t xml:space="preserve"> </w:t>
      </w:r>
      <w:r w:rsidR="00F45466">
        <w:t>and</w:t>
      </w:r>
      <w:r w:rsidR="003C7FB2">
        <w:t xml:space="preserve"> </w:t>
      </w:r>
      <w:r w:rsidR="00F45466">
        <w:t>body</w:t>
      </w:r>
      <w:r w:rsidR="003C7FB2">
        <w:t xml:space="preserve"> </w:t>
      </w:r>
      <w:r w:rsidR="00F45466">
        <w:t>fat</w:t>
      </w:r>
      <w:r w:rsidR="00321E56">
        <w:t>.</w:t>
      </w:r>
      <w:r w:rsidR="003C7FB2">
        <w:t xml:space="preserve"> </w:t>
      </w:r>
      <w:r w:rsidR="00313793">
        <w:t>Ours</w:t>
      </w:r>
      <w:r w:rsidR="003C7FB2">
        <w:t xml:space="preserve"> </w:t>
      </w:r>
      <w:r w:rsidR="00313793">
        <w:t>is</w:t>
      </w:r>
      <w:r w:rsidR="003C7FB2">
        <w:t xml:space="preserve"> </w:t>
      </w:r>
      <w:r w:rsidR="00313793">
        <w:t>the</w:t>
      </w:r>
      <w:r w:rsidR="003C7FB2">
        <w:t xml:space="preserve"> </w:t>
      </w:r>
      <w:r w:rsidR="00313793">
        <w:t>first</w:t>
      </w:r>
      <w:r w:rsidR="003C7FB2">
        <w:t xml:space="preserve"> </w:t>
      </w:r>
      <w:r w:rsidR="00313793">
        <w:t>study</w:t>
      </w:r>
      <w:r w:rsidR="003C7FB2">
        <w:t xml:space="preserve"> </w:t>
      </w:r>
      <w:r w:rsidR="00313793">
        <w:t>to</w:t>
      </w:r>
      <w:r w:rsidR="003C7FB2">
        <w:t xml:space="preserve"> </w:t>
      </w:r>
      <w:r w:rsidR="00313793">
        <w:t>adjust</w:t>
      </w:r>
      <w:r w:rsidR="003C7FB2">
        <w:t xml:space="preserve"> </w:t>
      </w:r>
      <w:r w:rsidR="00313793">
        <w:t>for</w:t>
      </w:r>
      <w:r w:rsidR="003C7FB2">
        <w:t xml:space="preserve"> </w:t>
      </w:r>
      <w:r w:rsidR="00313793">
        <w:t>a</w:t>
      </w:r>
      <w:r w:rsidR="003C7FB2">
        <w:t xml:space="preserve"> </w:t>
      </w:r>
      <w:r w:rsidR="00313793">
        <w:t>measure</w:t>
      </w:r>
      <w:r w:rsidR="003C7FB2">
        <w:t xml:space="preserve"> </w:t>
      </w:r>
      <w:r w:rsidR="00313793">
        <w:t>of</w:t>
      </w:r>
      <w:r w:rsidR="003C7FB2">
        <w:t xml:space="preserve"> </w:t>
      </w:r>
      <w:r w:rsidR="00313793">
        <w:t>overall</w:t>
      </w:r>
      <w:r w:rsidR="003C7FB2">
        <w:t xml:space="preserve"> </w:t>
      </w:r>
      <w:r w:rsidR="00313793">
        <w:t>diet</w:t>
      </w:r>
      <w:r w:rsidR="003C7FB2">
        <w:t xml:space="preserve"> </w:t>
      </w:r>
      <w:r w:rsidR="00313793">
        <w:t>quality</w:t>
      </w:r>
      <w:r w:rsidR="009C1B02">
        <w:t>,</w:t>
      </w:r>
      <w:r w:rsidR="003C7FB2">
        <w:t xml:space="preserve"> </w:t>
      </w:r>
      <w:r w:rsidR="009C1B02">
        <w:t>rather</w:t>
      </w:r>
      <w:r w:rsidR="003C7FB2">
        <w:t xml:space="preserve"> </w:t>
      </w:r>
      <w:r w:rsidR="009C1B02">
        <w:t>than</w:t>
      </w:r>
      <w:r w:rsidR="003C7FB2">
        <w:t xml:space="preserve"> </w:t>
      </w:r>
      <w:r w:rsidR="009C1B02">
        <w:t>single</w:t>
      </w:r>
      <w:r w:rsidR="003C7FB2">
        <w:t xml:space="preserve"> </w:t>
      </w:r>
      <w:r w:rsidR="009C1B02">
        <w:t>dietary</w:t>
      </w:r>
      <w:r w:rsidR="003C7FB2">
        <w:t xml:space="preserve"> </w:t>
      </w:r>
      <w:r w:rsidR="009C1B02">
        <w:t>factors</w:t>
      </w:r>
      <w:r w:rsidR="003C7FB2">
        <w:t xml:space="preserve"> </w:t>
      </w:r>
      <w:r w:rsidR="009C1B02">
        <w:t>or</w:t>
      </w:r>
      <w:r w:rsidR="003C7FB2">
        <w:t xml:space="preserve"> </w:t>
      </w:r>
      <w:r w:rsidR="009C1B02">
        <w:t>dietary</w:t>
      </w:r>
      <w:r w:rsidR="003C7FB2">
        <w:t xml:space="preserve"> </w:t>
      </w:r>
      <w:r w:rsidR="009C1B02">
        <w:t>energy</w:t>
      </w:r>
      <w:r w:rsidR="003C7FB2">
        <w:t xml:space="preserve"> </w:t>
      </w:r>
      <w:r w:rsidR="009C1B02">
        <w:t>intake</w:t>
      </w:r>
      <w:r w:rsidR="008A5924">
        <w:t>.</w:t>
      </w:r>
      <w:r w:rsidR="003C7FB2">
        <w:t xml:space="preserve"> </w:t>
      </w:r>
    </w:p>
    <w:p w14:paraId="28FBBFA8" w14:textId="77777777" w:rsidR="0001548A" w:rsidRDefault="0001548A" w:rsidP="001F7BCD">
      <w:pPr>
        <w:spacing w:after="0" w:line="240" w:lineRule="auto"/>
      </w:pPr>
    </w:p>
    <w:p w14:paraId="2054E11B" w14:textId="05D062B3" w:rsidR="00321E56" w:rsidRPr="00321E56" w:rsidRDefault="00321E56" w:rsidP="001F7BCD">
      <w:pPr>
        <w:spacing w:after="0" w:line="240" w:lineRule="auto"/>
        <w:rPr>
          <w:u w:val="single"/>
        </w:rPr>
      </w:pPr>
      <w:r w:rsidRPr="00321E56">
        <w:rPr>
          <w:u w:val="single"/>
        </w:rPr>
        <w:t>Interpretation</w:t>
      </w:r>
      <w:r w:rsidR="003C7FB2">
        <w:rPr>
          <w:u w:val="single"/>
        </w:rPr>
        <w:t xml:space="preserve"> </w:t>
      </w:r>
      <w:r w:rsidR="006F6888" w:rsidRPr="006F6888">
        <w:rPr>
          <w:u w:val="single"/>
        </w:rPr>
        <w:t>and</w:t>
      </w:r>
      <w:r w:rsidR="003C7FB2">
        <w:rPr>
          <w:u w:val="single"/>
        </w:rPr>
        <w:t xml:space="preserve"> </w:t>
      </w:r>
      <w:r w:rsidR="006F6888" w:rsidRPr="006F6888">
        <w:rPr>
          <w:u w:val="single"/>
        </w:rPr>
        <w:t>Implications</w:t>
      </w:r>
    </w:p>
    <w:p w14:paraId="734C820D" w14:textId="77777777" w:rsidR="00321E56" w:rsidRDefault="00321E56" w:rsidP="001F7BCD">
      <w:pPr>
        <w:spacing w:after="0" w:line="240" w:lineRule="auto"/>
      </w:pPr>
    </w:p>
    <w:p w14:paraId="3141B91E" w14:textId="19C4B9AB" w:rsidR="007744F3" w:rsidRDefault="000B514A" w:rsidP="001F7BCD">
      <w:pPr>
        <w:spacing w:after="0" w:line="240" w:lineRule="auto"/>
      </w:pPr>
      <w:r>
        <w:t>This</w:t>
      </w:r>
      <w:r w:rsidR="003C7FB2">
        <w:t xml:space="preserve"> </w:t>
      </w:r>
      <w:r>
        <w:t>study</w:t>
      </w:r>
      <w:r w:rsidR="003C7FB2">
        <w:t xml:space="preserve"> </w:t>
      </w:r>
      <w:r>
        <w:t>suggests</w:t>
      </w:r>
      <w:r w:rsidR="003C7FB2">
        <w:t xml:space="preserve"> </w:t>
      </w:r>
      <w:r>
        <w:t>that</w:t>
      </w:r>
      <w:r w:rsidR="003C7FB2">
        <w:t xml:space="preserve"> </w:t>
      </w:r>
      <w:r>
        <w:t>active</w:t>
      </w:r>
      <w:r w:rsidR="003C7FB2">
        <w:t xml:space="preserve"> </w:t>
      </w:r>
      <w:r>
        <w:t>travel</w:t>
      </w:r>
      <w:r w:rsidR="003C7FB2">
        <w:t xml:space="preserve"> </w:t>
      </w:r>
      <w:r>
        <w:t>may</w:t>
      </w:r>
      <w:r w:rsidR="003C7FB2">
        <w:t xml:space="preserve"> </w:t>
      </w:r>
      <w:r>
        <w:t>have</w:t>
      </w:r>
      <w:r w:rsidR="003C7FB2">
        <w:t xml:space="preserve"> </w:t>
      </w:r>
      <w:r>
        <w:t>a</w:t>
      </w:r>
      <w:r w:rsidR="003C7FB2">
        <w:t xml:space="preserve"> </w:t>
      </w:r>
      <w:r>
        <w:t>role</w:t>
      </w:r>
      <w:r w:rsidR="003C7FB2">
        <w:t xml:space="preserve"> </w:t>
      </w:r>
      <w:r>
        <w:t>in</w:t>
      </w:r>
      <w:r w:rsidR="003C7FB2">
        <w:t xml:space="preserve"> </w:t>
      </w:r>
      <w:r>
        <w:t>preventing</w:t>
      </w:r>
      <w:r w:rsidR="003C7FB2">
        <w:t xml:space="preserve"> </w:t>
      </w:r>
      <w:r>
        <w:t>accumulation</w:t>
      </w:r>
      <w:r w:rsidR="003C7FB2">
        <w:t xml:space="preserve"> </w:t>
      </w:r>
      <w:r>
        <w:t>o</w:t>
      </w:r>
      <w:r w:rsidR="009C1B02">
        <w:t>f,</w:t>
      </w:r>
      <w:r w:rsidR="003C7FB2">
        <w:t xml:space="preserve"> </w:t>
      </w:r>
      <w:r w:rsidR="009C1B02">
        <w:t>or</w:t>
      </w:r>
      <w:r w:rsidR="003C7FB2">
        <w:t xml:space="preserve"> </w:t>
      </w:r>
      <w:r w:rsidR="009C1B02">
        <w:t>reducing,</w:t>
      </w:r>
      <w:r w:rsidR="003C7FB2">
        <w:t xml:space="preserve"> </w:t>
      </w:r>
      <w:r w:rsidR="009C1B02">
        <w:t>both</w:t>
      </w:r>
      <w:r w:rsidR="003C7FB2">
        <w:t xml:space="preserve"> </w:t>
      </w:r>
      <w:r w:rsidR="009C1B02">
        <w:t>total</w:t>
      </w:r>
      <w:r w:rsidR="003C7FB2">
        <w:t xml:space="preserve"> </w:t>
      </w:r>
      <w:r>
        <w:t>and</w:t>
      </w:r>
      <w:r w:rsidR="003C7FB2">
        <w:t xml:space="preserve"> </w:t>
      </w:r>
      <w:r w:rsidR="009C1B02">
        <w:t>visceral</w:t>
      </w:r>
      <w:r w:rsidR="003C7FB2">
        <w:t xml:space="preserve"> </w:t>
      </w:r>
      <w:r w:rsidR="009C1B02">
        <w:t>adipose</w:t>
      </w:r>
      <w:r w:rsidR="003C7FB2">
        <w:t xml:space="preserve"> </w:t>
      </w:r>
      <w:r w:rsidR="009C1B02">
        <w:t>tissue.</w:t>
      </w:r>
      <w:r w:rsidR="003C7FB2">
        <w:t xml:space="preserve"> </w:t>
      </w:r>
      <w:r w:rsidR="009C1B02">
        <w:t>Being</w:t>
      </w:r>
      <w:r w:rsidR="003C7FB2">
        <w:t xml:space="preserve"> </w:t>
      </w:r>
      <w:r w:rsidR="00F66C1B">
        <w:t>cross-sectional,</w:t>
      </w:r>
      <w:r w:rsidR="003C7FB2">
        <w:t xml:space="preserve"> </w:t>
      </w:r>
      <w:r w:rsidR="005A47AA">
        <w:t>it</w:t>
      </w:r>
      <w:r w:rsidR="003C7FB2">
        <w:t xml:space="preserve"> </w:t>
      </w:r>
      <w:r w:rsidR="00F45466">
        <w:t>does</w:t>
      </w:r>
      <w:r w:rsidR="003C7FB2">
        <w:t xml:space="preserve"> </w:t>
      </w:r>
      <w:r w:rsidR="00F45466">
        <w:t>not</w:t>
      </w:r>
      <w:r w:rsidR="003C7FB2">
        <w:t xml:space="preserve"> </w:t>
      </w:r>
      <w:r>
        <w:t>demonstrate</w:t>
      </w:r>
      <w:r w:rsidR="003C7FB2">
        <w:t xml:space="preserve"> </w:t>
      </w:r>
      <w:r w:rsidR="00461ABE">
        <w:t>a</w:t>
      </w:r>
      <w:r w:rsidR="003C7FB2">
        <w:t xml:space="preserve"> </w:t>
      </w:r>
      <w:r>
        <w:t>causa</w:t>
      </w:r>
      <w:r w:rsidR="00461ABE">
        <w:t>l</w:t>
      </w:r>
      <w:r w:rsidR="003C7FB2">
        <w:t xml:space="preserve"> </w:t>
      </w:r>
      <w:r w:rsidR="00461ABE">
        <w:t>relationship</w:t>
      </w:r>
      <w:r w:rsidR="009C1B02">
        <w:t>,</w:t>
      </w:r>
      <w:r w:rsidR="003C7FB2">
        <w:t xml:space="preserve"> </w:t>
      </w:r>
      <w:r w:rsidR="00461ABE">
        <w:t>but</w:t>
      </w:r>
      <w:r w:rsidR="003C7FB2">
        <w:t xml:space="preserve"> </w:t>
      </w:r>
      <w:r w:rsidR="009C1B02">
        <w:t>alongside</w:t>
      </w:r>
      <w:r w:rsidR="003C7FB2">
        <w:t xml:space="preserve"> </w:t>
      </w:r>
      <w:r w:rsidR="009C1B02">
        <w:t>other</w:t>
      </w:r>
      <w:r w:rsidR="003C7FB2">
        <w:t xml:space="preserve"> </w:t>
      </w:r>
      <w:r w:rsidR="005A47AA">
        <w:t>work</w:t>
      </w:r>
      <w:r w:rsidR="003C7FB2">
        <w:t xml:space="preserve"> </w:t>
      </w:r>
      <w:r w:rsidR="005A47AA">
        <w:t>it</w:t>
      </w:r>
      <w:r w:rsidR="003C7FB2">
        <w:t xml:space="preserve"> </w:t>
      </w:r>
      <w:r w:rsidR="005A47AA">
        <w:t>provides</w:t>
      </w:r>
      <w:r w:rsidR="003C7FB2">
        <w:t xml:space="preserve"> </w:t>
      </w:r>
      <w:r w:rsidR="005A47AA">
        <w:t>further</w:t>
      </w:r>
      <w:r w:rsidR="003C7FB2">
        <w:t xml:space="preserve"> </w:t>
      </w:r>
      <w:r w:rsidR="005A47AA">
        <w:t>evidence</w:t>
      </w:r>
      <w:r w:rsidR="003C7FB2">
        <w:t xml:space="preserve"> </w:t>
      </w:r>
      <w:r w:rsidR="005A47AA">
        <w:t>that</w:t>
      </w:r>
      <w:r w:rsidR="003C7FB2">
        <w:t xml:space="preserve"> </w:t>
      </w:r>
      <w:r w:rsidR="005A47AA">
        <w:t>active</w:t>
      </w:r>
      <w:r w:rsidR="003C7FB2">
        <w:t xml:space="preserve"> </w:t>
      </w:r>
      <w:r w:rsidR="005A47AA">
        <w:t>travel</w:t>
      </w:r>
      <w:r w:rsidR="003C7FB2">
        <w:t xml:space="preserve"> </w:t>
      </w:r>
      <w:r w:rsidR="005A47AA">
        <w:t>may</w:t>
      </w:r>
      <w:r w:rsidR="003C7FB2">
        <w:t xml:space="preserve"> </w:t>
      </w:r>
      <w:r w:rsidR="005A47AA">
        <w:t>have</w:t>
      </w:r>
      <w:r w:rsidR="003C7FB2">
        <w:t xml:space="preserve"> </w:t>
      </w:r>
      <w:r w:rsidR="005A47AA">
        <w:t>an</w:t>
      </w:r>
      <w:r w:rsidR="003C7FB2">
        <w:t xml:space="preserve"> </w:t>
      </w:r>
      <w:r w:rsidR="005A47AA" w:rsidRPr="00094767">
        <w:t>important</w:t>
      </w:r>
      <w:r w:rsidR="003C7FB2">
        <w:t xml:space="preserve"> </w:t>
      </w:r>
      <w:r w:rsidR="005A47AA" w:rsidRPr="00094767">
        <w:t>role</w:t>
      </w:r>
      <w:r w:rsidR="003C7FB2">
        <w:t xml:space="preserve"> </w:t>
      </w:r>
      <w:r w:rsidR="005A47AA" w:rsidRPr="00094767">
        <w:t>in</w:t>
      </w:r>
      <w:r w:rsidR="003C7FB2">
        <w:t xml:space="preserve"> </w:t>
      </w:r>
      <w:r w:rsidR="005A47AA" w:rsidRPr="00094767">
        <w:t>reducing</w:t>
      </w:r>
      <w:r w:rsidR="003C7FB2">
        <w:t xml:space="preserve"> </w:t>
      </w:r>
      <w:r w:rsidR="005A47AA" w:rsidRPr="00094767">
        <w:t>obesity</w:t>
      </w:r>
      <w:r w:rsidR="003C7FB2">
        <w:t xml:space="preserve"> </w:t>
      </w:r>
      <w:r w:rsidRPr="00094767">
        <w:t>and</w:t>
      </w:r>
      <w:r w:rsidR="003C7FB2">
        <w:t xml:space="preserve"> </w:t>
      </w:r>
      <w:r w:rsidRPr="00094767">
        <w:t>related</w:t>
      </w:r>
      <w:r w:rsidR="003C7FB2">
        <w:t xml:space="preserve"> </w:t>
      </w:r>
      <w:r w:rsidR="005A47AA" w:rsidRPr="00094767">
        <w:t>cardio-m</w:t>
      </w:r>
      <w:r w:rsidR="001E79DB" w:rsidRPr="00094767">
        <w:t>etabolic</w:t>
      </w:r>
      <w:r w:rsidR="003C7FB2">
        <w:t xml:space="preserve"> </w:t>
      </w:r>
      <w:r w:rsidR="001E79DB" w:rsidRPr="00094767">
        <w:t>disease.</w:t>
      </w:r>
      <w:r w:rsidR="003C7FB2">
        <w:t xml:space="preserve"> </w:t>
      </w:r>
      <w:bookmarkStart w:id="7" w:name="_Hlk490737956"/>
      <w:r w:rsidR="00763600">
        <w:t>The associations with visceral adipose tissue provide a more specific potential causal mechanism linking active travel to cardio-metabolic disease, given the suggested causal role of visceral adipose tissue in the development of metabolic disease</w:t>
      </w:r>
      <w:bookmarkEnd w:id="7"/>
      <w:r w:rsidR="00763600">
        <w:t>.</w:t>
      </w:r>
      <w:r w:rsidR="00F37BBB">
        <w:fldChar w:fldCharType="begin" w:fldLock="1"/>
      </w:r>
      <w:r w:rsidR="00F37BBB">
        <w:instrText>ADDIN CSL_CITATION { "citationItems" : [ { "id" : "ITEM-1", "itemData" : { "DOI" : "10.1016/j.arcmed.2015.05.007", "ISBN" : "1873-5487 (Electronic)\\r0188-4409 (Linking)", "PMID" : "26009250", "abstract" : "Metabolic syndrome (MetS) should be considered a clinical entity when its different symptoms share a common etiology: obesity/insulin resistance as a result of a multi-organ dysfunction. The main interest in treating MetS as a clinical entity is that the addition of its components drastically increases the risk of atherosclerosis. In MetS, the adipose tissue plays a central role along with an unbalanced gut microbiome, which has become relevant in recent years. Once visceral adipose tissue (VAT) increases, dyslipidemia and endothelial dysfunction follow as additive risk factors. However, when the nonalcoholic fatty liver is present, risk of a cardiovascular event is highly augmented. Epicardial adipose tissue (EAT) seems to increase simultaneously with the VAT. In this context, the former may play a more important role in the development of the atherosclerotic plaque than the latter. Hence, EAT may act as a paracrine tissue vis-a-vis the coronary arteries favoring the local inflammation and the atheroma calcification.", "author" : [ { "dropping-particle" : "", "family" : "Luna-Luna", "given" : "M", "non-dropping-particle" : "", "parse-names" : false, "suffix" : "" }, { "dropping-particle" : "", "family" : "Medina-Urrutia", "given" : "A", "non-dropping-particle" : "", "parse-names" : false, "suffix" : "" }, { "dropping-particle" : "", "family" : "Vargas-Alarcon", "given" : "G", "non-dropping-particle" : "", "parse-names" : false, "suffix" : "" }, { "dropping-particle" : "", "family" : "Coss-Rovirosa", "given" : "F", "non-dropping-particle" : "", "parse-names" : false, "suffix" : "" }, { "dropping-particle" : "", "family" : "Vargas-Barron", "given" : "J", "non-dropping-particle" : "", "parse-names" : false, "suffix" : "" }, { "dropping-particle" : "", "family" : "Perez-Mendez", "given" : "O", "non-dropping-particle" : "", "parse-names" : false, "suffix" : "" } ], "container-title" : "Archives of medical research", "id" : "ITEM-1", "issued" : { "date-parts" : [ [ "2015" ] ] }, "title" : "Adipose Tissue in Metabolic Syndrome: Onset and Progression of Atherosclerosis", "type" : "article-journal" }, "uris" : [ "http://www.mendeley.com/documents/?uuid=e222b490-f9e7-39ca-9e07-0af8752de8bc" ] } ], "mendeley" : { "formattedCitation" : "(Luna-Luna et al., 2015)", "plainTextFormattedCitation" : "(Luna-Luna et al., 2015)", "previouslyFormattedCitation" : "(Luna-Luna et al., 2015)" }, "properties" : { "noteIndex" : 0 }, "schema" : "https://github.com/citation-style-language/schema/raw/master/csl-citation.json" }</w:instrText>
      </w:r>
      <w:r w:rsidR="00F37BBB">
        <w:fldChar w:fldCharType="separate"/>
      </w:r>
      <w:r w:rsidR="00F37BBB" w:rsidRPr="00F37BBB">
        <w:rPr>
          <w:noProof/>
        </w:rPr>
        <w:t>(Luna-Luna et al., 2015)</w:t>
      </w:r>
      <w:r w:rsidR="00F37BBB">
        <w:fldChar w:fldCharType="end"/>
      </w:r>
      <w:r w:rsidR="00F37BBB">
        <w:t xml:space="preserve"> </w:t>
      </w:r>
      <w:r w:rsidR="00094767" w:rsidRPr="00094767">
        <w:t>These</w:t>
      </w:r>
      <w:r w:rsidR="003C7FB2">
        <w:t xml:space="preserve"> </w:t>
      </w:r>
      <w:r w:rsidR="00094767" w:rsidRPr="00094767">
        <w:t>findings</w:t>
      </w:r>
      <w:r w:rsidR="003C7FB2">
        <w:t xml:space="preserve"> </w:t>
      </w:r>
      <w:r w:rsidR="00094767" w:rsidRPr="00094767">
        <w:t>are</w:t>
      </w:r>
      <w:r w:rsidR="003C7FB2">
        <w:t xml:space="preserve"> </w:t>
      </w:r>
      <w:r w:rsidR="00094767" w:rsidRPr="00094767">
        <w:t>important</w:t>
      </w:r>
      <w:r w:rsidR="003C7FB2">
        <w:t xml:space="preserve"> </w:t>
      </w:r>
      <w:r w:rsidR="00094767" w:rsidRPr="00094767">
        <w:t>for</w:t>
      </w:r>
      <w:r w:rsidR="003C7FB2">
        <w:t xml:space="preserve"> </w:t>
      </w:r>
      <w:r w:rsidR="00094767" w:rsidRPr="00094767">
        <w:t>doctors</w:t>
      </w:r>
      <w:r w:rsidR="003C7FB2">
        <w:t xml:space="preserve"> </w:t>
      </w:r>
      <w:r w:rsidR="00094767" w:rsidRPr="00094767">
        <w:t>advising</w:t>
      </w:r>
      <w:r w:rsidR="003C7FB2">
        <w:t xml:space="preserve"> </w:t>
      </w:r>
      <w:r w:rsidR="00094767" w:rsidRPr="00094767">
        <w:t>patients</w:t>
      </w:r>
      <w:r w:rsidR="003C7FB2">
        <w:t xml:space="preserve"> </w:t>
      </w:r>
      <w:r w:rsidR="00094767" w:rsidRPr="00094767">
        <w:t>on</w:t>
      </w:r>
      <w:r w:rsidR="003C7FB2">
        <w:t xml:space="preserve"> </w:t>
      </w:r>
      <w:r w:rsidR="00094767" w:rsidRPr="00094767">
        <w:t>strategies</w:t>
      </w:r>
      <w:r w:rsidR="003C7FB2">
        <w:t xml:space="preserve"> </w:t>
      </w:r>
      <w:r w:rsidR="00094767" w:rsidRPr="00094767">
        <w:t>for</w:t>
      </w:r>
      <w:r w:rsidR="003C7FB2">
        <w:t xml:space="preserve"> </w:t>
      </w:r>
      <w:r w:rsidR="00094767" w:rsidRPr="00094767">
        <w:t>preventing</w:t>
      </w:r>
      <w:r w:rsidR="003C7FB2">
        <w:t xml:space="preserve"> </w:t>
      </w:r>
      <w:r w:rsidR="00094767" w:rsidRPr="00094767">
        <w:t>or</w:t>
      </w:r>
      <w:r w:rsidR="003C7FB2">
        <w:t xml:space="preserve"> </w:t>
      </w:r>
      <w:r w:rsidR="00094767" w:rsidRPr="00094767">
        <w:t>delaying</w:t>
      </w:r>
      <w:r w:rsidR="003C7FB2">
        <w:t xml:space="preserve"> </w:t>
      </w:r>
      <w:r w:rsidR="00094767" w:rsidRPr="00094767">
        <w:t>onset</w:t>
      </w:r>
      <w:r w:rsidR="003C7FB2">
        <w:t xml:space="preserve"> </w:t>
      </w:r>
      <w:r w:rsidR="00094767" w:rsidRPr="00094767">
        <w:t>of</w:t>
      </w:r>
      <w:r w:rsidR="003C7FB2">
        <w:t xml:space="preserve"> </w:t>
      </w:r>
      <w:r w:rsidR="00094767" w:rsidRPr="00094767">
        <w:t>cardio-metabolic</w:t>
      </w:r>
      <w:r w:rsidR="003C7FB2">
        <w:t xml:space="preserve"> </w:t>
      </w:r>
      <w:r w:rsidR="00094767" w:rsidRPr="00094767">
        <w:t>disease,</w:t>
      </w:r>
      <w:r w:rsidR="003C7FB2">
        <w:t xml:space="preserve"> </w:t>
      </w:r>
      <w:r w:rsidR="00094767" w:rsidRPr="00094767">
        <w:t>as</w:t>
      </w:r>
      <w:r w:rsidR="003C7FB2">
        <w:t xml:space="preserve"> </w:t>
      </w:r>
      <w:r w:rsidR="00094767" w:rsidRPr="00094767">
        <w:t>well</w:t>
      </w:r>
      <w:r w:rsidR="003C7FB2">
        <w:t xml:space="preserve"> </w:t>
      </w:r>
      <w:r w:rsidR="00094767" w:rsidRPr="00094767">
        <w:t>as</w:t>
      </w:r>
      <w:r w:rsidR="003C7FB2">
        <w:t xml:space="preserve"> </w:t>
      </w:r>
      <w:r w:rsidR="00094767" w:rsidRPr="00094767">
        <w:t>policy</w:t>
      </w:r>
      <w:r w:rsidR="003C7FB2">
        <w:t xml:space="preserve"> </w:t>
      </w:r>
      <w:r w:rsidR="00094767" w:rsidRPr="00094767">
        <w:t>makers</w:t>
      </w:r>
      <w:r w:rsidR="003C7FB2">
        <w:t xml:space="preserve"> </w:t>
      </w:r>
      <w:r w:rsidR="00094767" w:rsidRPr="00094767">
        <w:t>and</w:t>
      </w:r>
      <w:r w:rsidR="003C7FB2">
        <w:t xml:space="preserve"> </w:t>
      </w:r>
      <w:r w:rsidR="00094767" w:rsidRPr="00094767">
        <w:t>employers</w:t>
      </w:r>
      <w:r w:rsidR="003C7FB2">
        <w:t xml:space="preserve"> </w:t>
      </w:r>
      <w:r w:rsidR="00094767" w:rsidRPr="00094767">
        <w:t>who</w:t>
      </w:r>
      <w:r w:rsidR="003C7FB2">
        <w:t xml:space="preserve"> </w:t>
      </w:r>
      <w:r w:rsidR="00094767" w:rsidRPr="00094767">
        <w:t>may</w:t>
      </w:r>
      <w:r w:rsidR="003C7FB2">
        <w:t xml:space="preserve"> </w:t>
      </w:r>
      <w:r w:rsidR="00094767" w:rsidRPr="00094767">
        <w:t>influence</w:t>
      </w:r>
      <w:r w:rsidR="003C7FB2">
        <w:t xml:space="preserve"> </w:t>
      </w:r>
      <w:r w:rsidR="00094767" w:rsidRPr="00094767">
        <w:t>how</w:t>
      </w:r>
      <w:r w:rsidR="003C7FB2">
        <w:t xml:space="preserve"> </w:t>
      </w:r>
      <w:r w:rsidR="00094767" w:rsidRPr="00094767">
        <w:t>people</w:t>
      </w:r>
      <w:r w:rsidR="003C7FB2">
        <w:t xml:space="preserve"> </w:t>
      </w:r>
      <w:r w:rsidR="00094767" w:rsidRPr="00094767">
        <w:t>travel</w:t>
      </w:r>
      <w:r w:rsidR="003C7FB2">
        <w:t xml:space="preserve"> </w:t>
      </w:r>
      <w:r w:rsidR="00094767" w:rsidRPr="00094767">
        <w:t>and</w:t>
      </w:r>
      <w:r w:rsidR="003C7FB2">
        <w:t xml:space="preserve"> </w:t>
      </w:r>
      <w:r w:rsidR="00094767" w:rsidRPr="00094767">
        <w:t>commute.</w:t>
      </w:r>
    </w:p>
    <w:p w14:paraId="6EED7193" w14:textId="77777777" w:rsidR="000F023D" w:rsidRDefault="000F023D" w:rsidP="001F7BCD">
      <w:pPr>
        <w:spacing w:after="0" w:line="240" w:lineRule="auto"/>
      </w:pPr>
    </w:p>
    <w:p w14:paraId="1FA9E248" w14:textId="469A833B" w:rsidR="000B514A" w:rsidRDefault="000B514A" w:rsidP="008E747D">
      <w:pPr>
        <w:spacing w:after="0" w:line="240" w:lineRule="auto"/>
      </w:pPr>
      <w:r>
        <w:t>This</w:t>
      </w:r>
      <w:r w:rsidR="003C7FB2">
        <w:t xml:space="preserve"> </w:t>
      </w:r>
      <w:r w:rsidR="008E747D">
        <w:t>is</w:t>
      </w:r>
      <w:r w:rsidR="003C7FB2">
        <w:t xml:space="preserve"> </w:t>
      </w:r>
      <w:r w:rsidR="008E747D">
        <w:t>the</w:t>
      </w:r>
      <w:r w:rsidR="003C7FB2">
        <w:t xml:space="preserve"> </w:t>
      </w:r>
      <w:r w:rsidR="008E747D">
        <w:t>first</w:t>
      </w:r>
      <w:r w:rsidR="003C7FB2">
        <w:t xml:space="preserve"> </w:t>
      </w:r>
      <w:r>
        <w:t>study</w:t>
      </w:r>
      <w:r w:rsidR="003C7FB2">
        <w:t xml:space="preserve"> </w:t>
      </w:r>
      <w:r w:rsidR="008E747D">
        <w:t>to</w:t>
      </w:r>
      <w:r w:rsidR="003C7FB2">
        <w:t xml:space="preserve"> </w:t>
      </w:r>
      <w:r w:rsidR="008E747D">
        <w:t>show</w:t>
      </w:r>
      <w:r w:rsidR="003C7FB2">
        <w:t xml:space="preserve"> </w:t>
      </w:r>
      <w:r w:rsidR="008E747D">
        <w:t>that</w:t>
      </w:r>
      <w:r w:rsidR="003C7FB2">
        <w:t xml:space="preserve"> </w:t>
      </w:r>
      <w:r w:rsidR="008E747D">
        <w:t>for</w:t>
      </w:r>
      <w:r w:rsidR="003C7FB2">
        <w:t xml:space="preserve"> </w:t>
      </w:r>
      <w:r w:rsidR="008E747D">
        <w:t>the</w:t>
      </w:r>
      <w:r w:rsidR="003C7FB2">
        <w:t xml:space="preserve"> </w:t>
      </w:r>
      <w:r w:rsidR="008E747D">
        <w:t>majority</w:t>
      </w:r>
      <w:r w:rsidR="003C7FB2">
        <w:t xml:space="preserve"> </w:t>
      </w:r>
      <w:r w:rsidR="008E747D">
        <w:t>of</w:t>
      </w:r>
      <w:r w:rsidR="003C7FB2">
        <w:t xml:space="preserve"> </w:t>
      </w:r>
      <w:r w:rsidR="008E747D">
        <w:t>commuters</w:t>
      </w:r>
      <w:r w:rsidR="006656D6">
        <w:t>,</w:t>
      </w:r>
      <w:r w:rsidR="003C7FB2">
        <w:t xml:space="preserve"> </w:t>
      </w:r>
      <w:r w:rsidR="008E747D">
        <w:t>who</w:t>
      </w:r>
      <w:r w:rsidR="003C7FB2">
        <w:t xml:space="preserve"> </w:t>
      </w:r>
      <w:r w:rsidR="008E747D">
        <w:t>live</w:t>
      </w:r>
      <w:r w:rsidR="003C7FB2">
        <w:t xml:space="preserve"> </w:t>
      </w:r>
      <w:r w:rsidR="008E747D">
        <w:t>too</w:t>
      </w:r>
      <w:r w:rsidR="003C7FB2">
        <w:t xml:space="preserve"> </w:t>
      </w:r>
      <w:r w:rsidR="008E747D">
        <w:t>far</w:t>
      </w:r>
      <w:r w:rsidR="003C7FB2">
        <w:t xml:space="preserve"> </w:t>
      </w:r>
      <w:r w:rsidR="008E747D">
        <w:t>from</w:t>
      </w:r>
      <w:r w:rsidR="003C7FB2">
        <w:t xml:space="preserve"> </w:t>
      </w:r>
      <w:r w:rsidR="008E747D">
        <w:t>work</w:t>
      </w:r>
      <w:r w:rsidR="003C7FB2">
        <w:t xml:space="preserve"> </w:t>
      </w:r>
      <w:r w:rsidR="008E747D">
        <w:t>to</w:t>
      </w:r>
      <w:r w:rsidR="003C7FB2">
        <w:t xml:space="preserve"> </w:t>
      </w:r>
      <w:r w:rsidR="008E747D">
        <w:t>walk</w:t>
      </w:r>
      <w:r w:rsidR="003C7FB2">
        <w:t xml:space="preserve"> </w:t>
      </w:r>
      <w:r w:rsidR="008E747D">
        <w:t>or</w:t>
      </w:r>
      <w:r w:rsidR="003C7FB2">
        <w:t xml:space="preserve"> </w:t>
      </w:r>
      <w:r w:rsidR="008E747D">
        <w:t>cycle</w:t>
      </w:r>
      <w:r w:rsidR="003C7FB2">
        <w:t xml:space="preserve"> </w:t>
      </w:r>
      <w:r w:rsidR="008E747D">
        <w:t>the</w:t>
      </w:r>
      <w:r w:rsidR="003C7FB2">
        <w:t xml:space="preserve"> </w:t>
      </w:r>
      <w:r w:rsidR="008E747D">
        <w:t>whole</w:t>
      </w:r>
      <w:r w:rsidR="003C7FB2">
        <w:t xml:space="preserve"> </w:t>
      </w:r>
      <w:r w:rsidR="008E747D">
        <w:t>journey,</w:t>
      </w:r>
      <w:r w:rsidR="003C7FB2">
        <w:t xml:space="preserve"> </w:t>
      </w:r>
      <w:r w:rsidR="008E747D">
        <w:t>incorporating</w:t>
      </w:r>
      <w:r w:rsidR="003C7FB2">
        <w:t xml:space="preserve"> </w:t>
      </w:r>
      <w:r w:rsidR="008E747D">
        <w:t>some</w:t>
      </w:r>
      <w:r w:rsidR="003C7FB2">
        <w:t xml:space="preserve"> </w:t>
      </w:r>
      <w:r w:rsidR="008E747D">
        <w:t>active</w:t>
      </w:r>
      <w:r w:rsidR="003C7FB2">
        <w:t xml:space="preserve"> </w:t>
      </w:r>
      <w:r w:rsidR="008E747D">
        <w:t>travel</w:t>
      </w:r>
      <w:r w:rsidR="003C7FB2">
        <w:t xml:space="preserve"> </w:t>
      </w:r>
      <w:r w:rsidR="00D72BBE">
        <w:t>as</w:t>
      </w:r>
      <w:r w:rsidR="003C7FB2">
        <w:t xml:space="preserve"> </w:t>
      </w:r>
      <w:r w:rsidR="00D72BBE">
        <w:t>part</w:t>
      </w:r>
      <w:r w:rsidR="003C7FB2">
        <w:t xml:space="preserve"> </w:t>
      </w:r>
      <w:r w:rsidR="00D72BBE">
        <w:t>of</w:t>
      </w:r>
      <w:r w:rsidR="003C7FB2">
        <w:t xml:space="preserve"> </w:t>
      </w:r>
      <w:r w:rsidR="008B4755">
        <w:t>commuting</w:t>
      </w:r>
      <w:r w:rsidR="003C7FB2">
        <w:t xml:space="preserve"> </w:t>
      </w:r>
      <w:r w:rsidR="008E747D">
        <w:t>is</w:t>
      </w:r>
      <w:r w:rsidR="003C7FB2">
        <w:t xml:space="preserve"> </w:t>
      </w:r>
      <w:r w:rsidR="008E747D">
        <w:t>associated</w:t>
      </w:r>
      <w:r w:rsidR="003C7FB2">
        <w:t xml:space="preserve"> </w:t>
      </w:r>
      <w:r w:rsidR="008E747D">
        <w:t>with</w:t>
      </w:r>
      <w:r w:rsidR="003C7FB2">
        <w:t xml:space="preserve"> </w:t>
      </w:r>
      <w:r w:rsidR="008E747D">
        <w:t>reduced</w:t>
      </w:r>
      <w:r w:rsidR="003C7FB2">
        <w:t xml:space="preserve"> </w:t>
      </w:r>
      <w:r w:rsidR="008E747D">
        <w:t>adiposity.</w:t>
      </w:r>
      <w:r w:rsidR="003C7FB2">
        <w:t xml:space="preserve"> </w:t>
      </w:r>
      <w:r>
        <w:t>This</w:t>
      </w:r>
      <w:r w:rsidR="003C7FB2">
        <w:t xml:space="preserve"> </w:t>
      </w:r>
      <w:r>
        <w:t>is</w:t>
      </w:r>
      <w:r w:rsidR="003C7FB2">
        <w:t xml:space="preserve"> </w:t>
      </w:r>
      <w:r>
        <w:t>particularly</w:t>
      </w:r>
      <w:r w:rsidR="003C7FB2">
        <w:t xml:space="preserve"> </w:t>
      </w:r>
      <w:r>
        <w:t>important</w:t>
      </w:r>
      <w:r w:rsidR="003C7FB2">
        <w:t xml:space="preserve"> </w:t>
      </w:r>
      <w:r>
        <w:t>because</w:t>
      </w:r>
      <w:r w:rsidR="003C7FB2">
        <w:t xml:space="preserve"> </w:t>
      </w:r>
      <w:r>
        <w:t>those</w:t>
      </w:r>
      <w:r w:rsidR="003C7FB2">
        <w:t xml:space="preserve"> </w:t>
      </w:r>
      <w:r>
        <w:t>with</w:t>
      </w:r>
      <w:r w:rsidR="003C7FB2">
        <w:t xml:space="preserve"> </w:t>
      </w:r>
      <w:r w:rsidR="008E747D">
        <w:t>long</w:t>
      </w:r>
      <w:r w:rsidR="003C7FB2">
        <w:t xml:space="preserve"> </w:t>
      </w:r>
      <w:r>
        <w:t>commutes</w:t>
      </w:r>
      <w:r w:rsidR="003C7FB2">
        <w:t xml:space="preserve"> </w:t>
      </w:r>
      <w:r w:rsidR="008E747D">
        <w:t>and</w:t>
      </w:r>
      <w:r w:rsidR="003C7FB2">
        <w:t xml:space="preserve"> </w:t>
      </w:r>
      <w:r w:rsidR="00A522C7">
        <w:t>car</w:t>
      </w:r>
      <w:r w:rsidR="003C7FB2">
        <w:t xml:space="preserve"> </w:t>
      </w:r>
      <w:r w:rsidR="00A522C7">
        <w:t>journeys</w:t>
      </w:r>
      <w:r w:rsidR="003C7FB2">
        <w:t xml:space="preserve"> </w:t>
      </w:r>
      <w:r>
        <w:t>may</w:t>
      </w:r>
      <w:r w:rsidR="003C7FB2">
        <w:t xml:space="preserve"> </w:t>
      </w:r>
      <w:r w:rsidR="00F9529F">
        <w:t>be</w:t>
      </w:r>
      <w:r w:rsidR="003C7FB2">
        <w:t xml:space="preserve"> </w:t>
      </w:r>
      <w:r w:rsidR="00F9529F">
        <w:t>predisposed</w:t>
      </w:r>
      <w:r w:rsidR="003C7FB2">
        <w:t xml:space="preserve"> </w:t>
      </w:r>
      <w:r w:rsidR="00F9529F">
        <w:t>to</w:t>
      </w:r>
      <w:r w:rsidR="003C7FB2">
        <w:t xml:space="preserve"> </w:t>
      </w:r>
      <w:r>
        <w:t>develop</w:t>
      </w:r>
      <w:r w:rsidR="003C7FB2">
        <w:t xml:space="preserve"> </w:t>
      </w:r>
      <w:r>
        <w:t>obesity</w:t>
      </w:r>
      <w:r w:rsidR="003210B1">
        <w:fldChar w:fldCharType="begin" w:fldLock="1"/>
      </w:r>
      <w:r w:rsidR="000B07A6">
        <w:instrText>ADDIN CSL_CITATION { "citationItems" : [ { "id" : "ITEM-1", "itemData" : { "DOI" : "10.3390/ijerph13050455", "ISSN" : "1660-4601", "abstract" : "Active traveling to a daily occupation means that an individual uses an active way of traveling between two destinations. Active travel to work or other daily occupations offers a convenient way to increase physical activity levels which is known to have positive effects on several health outcomes. Frequently used concepts in city planning and regional planning today are to create environments for active commuting and active living. Even then, little research has focused on traveling modes and subjective health outcomes such as self-rated health (SRH). This study aimed to explore and investigate associations between travel mode and health-related outcomes, such as self-rated health (SRH), body mass index (BMI) and overall physical activity, in an adult population in Sweden. A cross-sectional study was conducted in a randomly selected population-based sample (n = 1786, age 45\u201375 years); the respondents completed a questionnaire about their regular travel mode, demographics, lifestyle, BMI and SRH. Chi-square tests and logistic regressions found that inactive traveling was associated with poor SRH, a greater risk of obesity or being overweight and overall physical inactivity. In addition, lifestyle factors, such as choice of food and smoking habits, were associated with SRH, BMI and overall physical activity.", "author" : [ { "dropping-particle" : "", "family" : "Berglund", "given" : "Erik", "non-dropping-particle" : "", "parse-names" : false, "suffix" : "" }, { "dropping-particle" : "", "family" : "Lytsy", "given" : "Per", "non-dropping-particle" : "", "parse-names" : false, "suffix" : "" }, { "dropping-particle" : "", "family" : "Westerling", "given" : "Ragnar", "non-dropping-particle" : "", "parse-names" : false, "suffix" : "" } ], "container-title" : "International Journal of Environmental Research and Public Health", "id" : "ITEM-1", "issue" : "5", "issued" : { "date-parts" : [ [ "2016", "4", "28" ] ] }, "page" : "455", "publisher" : "Multidisciplinary Digital Publishing Institute", "title" : "Active Traveling and Its Associations with Self-Rated Health, BMI and Physical Activity: A Comparative Study in the Adult Swedish Population", "type" : "article-journal", "volume" : "13" }, "uris" : [ "http://www.mendeley.com/documents/?uuid=cb7ac5d2-9957-3c8f-97ec-ac03f0501cd7" ] }, { "id" : "ITEM-2", "itemData" : { "DOI" : "10.1016/j.ypmed.2012.04.002", "ISSN" : "1096-0260", "PMID" : "22521998", "abstract" : "OBJECTIVE: This study examined associations between time spent traveling in motor vehicles per week (TSTMV) and BMI and abdominal obesity (AO) among Colombian adults residing in urban areas who do not own car.\n\nMETHOD: Secondary data analysis of the 2005 National Nutrition Survey of Colombia was conducted. TSTMV was assessed using the long International Physical Activity Questionnaire. Body composition was measured in 7900 adults. Polytomous and binary logistic regressions were conducted, stratified by gender and adjusted for confounders, including physical activity (PA).\n\nRESULTS: Forty-two percent of participants were either overweight or obese according to their BMI, and 22.4% had AO. Males in the middle (10 to 149 min) and highest (&gt;150 min) TSTMV tertiles were more likely to be overweight (POR=1.58, 95% CI=1.13-2.21 and POR=1.55, 95% CI=1.12-2.15 respectively, p-trend=0.012), obese (POR=2.39, 95% CI=1.43-3.99 and POR=1.93, 95% CI=1.22-3.08 respectively, p trend=0.019) and to have AO (POR=1.81, 95% CI=1.18-2.78 and POR=1.73, 95% CI=1.18-2.54 respectively, p-trend=0.009). Associations were not significant in females.\n\nCONCLUSIONS: TSTMV was positively associated with overweight and AO in adult Colombian males even after adjusting for PA. These findings highlight the potential deleterious health effects of sedentary behaviors such as prolonged traveling time, independently of having met PA recommendations.", "author" : [ { "dropping-particle" : "", "family" : "Fl\u00f3rez Pregonero", "given" : "Alberto", "non-dropping-particle" : "", "parse-names" : false, "suffix" : "" }, { "dropping-particle" : "", "family" : "G\u00f3mez", "given" : "Luis Fernando", "non-dropping-particle" : "", "parse-names" : false, "suffix" : "" }, { "dropping-particle" : "", "family" : "Parra", "given" : "Diana C", "non-dropping-particle" : "", "parse-names" : false, "suffix" : "" }, { "dropping-particle" : "", "family" : "Cohen", "given" : "Daniel D", "non-dropping-particle" : "", "parse-names" : false, "suffix" : "" }, { "dropping-particle" : "", "family" : "Arango Paternina", "given" : "Carlos Mario", "non-dropping-particle" : "", "parse-names" : false, "suffix" : "" }, { "dropping-particle" : "", "family" : "Lobelo", "given" : "Felipe", "non-dropping-particle" : "", "parse-names" : false, "suffix" : "" } ], "container-title" : "Preventive medicine", "id" : "ITEM-2", "issue" : "6", "issued" : { "date-parts" : [ [ "2012", "6" ] ] }, "page" : "402-4", "title" : "Time spent traveling in motor vehicles and its association with overweight and abdominal obesity in Colombian adults who do not own a car.", "type" : "article-journal", "volume" : "54" }, "uris" : [ "http://www.mendeley.com/documents/?uuid=2150087b-e350-441b-9885-74731064bc14" ] } ], "mendeley" : { "formattedCitation" : "(Berglund et al., 2016; Fl\u00f3rez Pregonero et al., 2012)", "plainTextFormattedCitation" : "(Berglund et al., 2016; Fl\u00f3rez Pregonero et al., 2012)", "previouslyFormattedCitation" : "(Berglund et al., 2016; Fl\u00f3rez Pregonero et al., 2012)" }, "properties" : { "noteIndex" : 0 }, "schema" : "https://github.com/citation-style-language/schema/raw/master/csl-citation.json" }</w:instrText>
      </w:r>
      <w:r w:rsidR="003210B1">
        <w:fldChar w:fldCharType="separate"/>
      </w:r>
      <w:r w:rsidR="00B71669" w:rsidRPr="00B71669">
        <w:rPr>
          <w:noProof/>
        </w:rPr>
        <w:t>(Berglund et al., 2016; Flórez Pregonero et al., 2012)</w:t>
      </w:r>
      <w:r w:rsidR="003210B1">
        <w:fldChar w:fldCharType="end"/>
      </w:r>
      <w:r w:rsidR="003C7FB2">
        <w:t xml:space="preserve"> </w:t>
      </w:r>
      <w:r w:rsidR="004F0882">
        <w:t>and</w:t>
      </w:r>
      <w:r w:rsidR="003C7FB2">
        <w:t xml:space="preserve"> </w:t>
      </w:r>
      <w:r w:rsidR="004F0882">
        <w:t>average</w:t>
      </w:r>
      <w:r w:rsidR="003C7FB2">
        <w:t xml:space="preserve"> </w:t>
      </w:r>
      <w:r w:rsidR="004F0882">
        <w:t>commuting</w:t>
      </w:r>
      <w:r w:rsidR="003C7FB2">
        <w:t xml:space="preserve"> </w:t>
      </w:r>
      <w:r w:rsidR="004F0882">
        <w:t>distances</w:t>
      </w:r>
      <w:r w:rsidR="003C7FB2">
        <w:t xml:space="preserve"> </w:t>
      </w:r>
      <w:r w:rsidR="004F0882">
        <w:t>are</w:t>
      </w:r>
      <w:r w:rsidR="003C7FB2">
        <w:t xml:space="preserve"> </w:t>
      </w:r>
      <w:r w:rsidR="004F0882">
        <w:t>increasing</w:t>
      </w:r>
      <w:r>
        <w:t>.</w:t>
      </w:r>
      <w:r w:rsidR="003210B1">
        <w:fldChar w:fldCharType="begin" w:fldLock="1"/>
      </w:r>
      <w:r w:rsidR="00F37BBB">
        <w:instrText>ADDIN CSL_CITATION { "citationItems" : [ { "id" : "ITEM-1", "itemData" : { "URL" : "http://www.ons.gov.uk/ons/publications/re-reference-tables.html?edition=tcm:77-319259", "author" : [ { "dropping-particle" : "", "family" : "Office for National Statistics", "given" : "", "non-dropping-particle" : "", "parse-names" : false, "suffix" : "" } ], "container-title" : "Population Estimates for UK, England and Wales, Scotland and Northern Ireland - Mid 2012", "id" : "ITEM-1", "issued" : { "date-parts" : [ [ "2013" ] ] }, "title" : "Population Estimates for UK, England and Wales, Scotland and Northern Ireland, Mid-2011 and Mid-2012", "type" : "webpage" }, "uris" : [ "http://www.mendeley.com/documents/?uuid=b6351d81-6bc9-4d15-8647-17d639361487" ] } ], "mendeley" : { "formattedCitation" : "(Office for National Statistics, 2013)", "plainTextFormattedCitation" : "(Office for National Statistics, 2013)", "previouslyFormattedCitation" : "(Office for National Statistics, 2013a)" }, "properties" : { "noteIndex" : 0 }, "schema" : "https://github.com/citation-style-language/schema/raw/master/csl-citation.json" }</w:instrText>
      </w:r>
      <w:r w:rsidR="003210B1">
        <w:fldChar w:fldCharType="separate"/>
      </w:r>
      <w:r w:rsidR="00F37BBB" w:rsidRPr="00F37BBB">
        <w:rPr>
          <w:noProof/>
        </w:rPr>
        <w:t>(Office for National Statistics, 2013)</w:t>
      </w:r>
      <w:r w:rsidR="003210B1">
        <w:fldChar w:fldCharType="end"/>
      </w:r>
      <w:r w:rsidR="003C7FB2">
        <w:t xml:space="preserve"> </w:t>
      </w:r>
      <w:r w:rsidR="00B54D7A">
        <w:t>Active</w:t>
      </w:r>
      <w:r w:rsidR="003C7FB2">
        <w:t xml:space="preserve"> </w:t>
      </w:r>
      <w:r w:rsidR="00B54D7A">
        <w:t>travel</w:t>
      </w:r>
      <w:r w:rsidR="003C7FB2">
        <w:t xml:space="preserve"> </w:t>
      </w:r>
      <w:r w:rsidR="00B54D7A">
        <w:t>may</w:t>
      </w:r>
      <w:r w:rsidR="003C7FB2">
        <w:t xml:space="preserve"> </w:t>
      </w:r>
      <w:r w:rsidR="00B54D7A">
        <w:t>be</w:t>
      </w:r>
      <w:r w:rsidR="003C7FB2">
        <w:t xml:space="preserve"> </w:t>
      </w:r>
      <w:r w:rsidR="00B54D7A">
        <w:t>incorporated</w:t>
      </w:r>
      <w:r w:rsidR="003C7FB2">
        <w:t xml:space="preserve"> </w:t>
      </w:r>
      <w:r w:rsidR="00B54D7A">
        <w:t>into</w:t>
      </w:r>
      <w:r w:rsidR="003C7FB2">
        <w:t xml:space="preserve"> </w:t>
      </w:r>
      <w:r w:rsidR="00B54D7A">
        <w:t>long-distance</w:t>
      </w:r>
      <w:r w:rsidR="003C7FB2">
        <w:t xml:space="preserve"> </w:t>
      </w:r>
      <w:r w:rsidR="00B54D7A">
        <w:t>commutes</w:t>
      </w:r>
      <w:r w:rsidR="003C7FB2">
        <w:t xml:space="preserve"> </w:t>
      </w:r>
      <w:r w:rsidR="00B54D7A">
        <w:t>by</w:t>
      </w:r>
      <w:r w:rsidR="003C7FB2">
        <w:t xml:space="preserve"> </w:t>
      </w:r>
      <w:r w:rsidR="00B54D7A">
        <w:t>a</w:t>
      </w:r>
      <w:r w:rsidR="003C7FB2">
        <w:t xml:space="preserve"> </w:t>
      </w:r>
      <w:r w:rsidR="00B54D7A">
        <w:t>variety</w:t>
      </w:r>
      <w:r w:rsidR="003C7FB2">
        <w:t xml:space="preserve"> </w:t>
      </w:r>
      <w:r w:rsidR="00B54D7A">
        <w:t>of</w:t>
      </w:r>
      <w:r w:rsidR="003C7FB2">
        <w:t xml:space="preserve"> </w:t>
      </w:r>
      <w:r w:rsidR="00B54D7A">
        <w:t>means,</w:t>
      </w:r>
      <w:r w:rsidR="003C7FB2">
        <w:t xml:space="preserve"> </w:t>
      </w:r>
      <w:r w:rsidR="00B54D7A">
        <w:t>e.g.</w:t>
      </w:r>
      <w:r w:rsidR="003C7FB2">
        <w:t xml:space="preserve"> </w:t>
      </w:r>
      <w:r w:rsidR="008B4755">
        <w:t>use</w:t>
      </w:r>
      <w:r w:rsidR="003C7FB2">
        <w:t xml:space="preserve"> </w:t>
      </w:r>
      <w:r w:rsidR="008B4755">
        <w:t>of</w:t>
      </w:r>
      <w:r w:rsidR="003C7FB2">
        <w:t xml:space="preserve"> </w:t>
      </w:r>
      <w:r w:rsidR="00B54D7A">
        <w:t>public</w:t>
      </w:r>
      <w:r w:rsidR="003C7FB2">
        <w:t xml:space="preserve"> </w:t>
      </w:r>
      <w:r w:rsidR="00B54D7A">
        <w:t>transport,</w:t>
      </w:r>
      <w:r w:rsidR="003C7FB2">
        <w:t xml:space="preserve"> </w:t>
      </w:r>
      <w:r w:rsidR="008B4755">
        <w:t>use</w:t>
      </w:r>
      <w:r w:rsidR="003C7FB2">
        <w:t xml:space="preserve"> </w:t>
      </w:r>
      <w:r w:rsidR="008B4755">
        <w:t>of</w:t>
      </w:r>
      <w:r w:rsidR="003C7FB2">
        <w:t xml:space="preserve"> </w:t>
      </w:r>
      <w:r w:rsidR="00461ABE">
        <w:t>park-and-</w:t>
      </w:r>
      <w:r w:rsidR="00B54D7A">
        <w:t>ride</w:t>
      </w:r>
      <w:r w:rsidR="003C7FB2">
        <w:t xml:space="preserve"> </w:t>
      </w:r>
      <w:r w:rsidR="008B4755">
        <w:t>facilities</w:t>
      </w:r>
      <w:r w:rsidR="003C7FB2">
        <w:t xml:space="preserve"> </w:t>
      </w:r>
      <w:r w:rsidR="00B54D7A">
        <w:t>or</w:t>
      </w:r>
      <w:r w:rsidR="003C7FB2">
        <w:t xml:space="preserve"> </w:t>
      </w:r>
      <w:r w:rsidR="00B54D7A">
        <w:t>alternating</w:t>
      </w:r>
      <w:r w:rsidR="003C7FB2">
        <w:t xml:space="preserve"> </w:t>
      </w:r>
      <w:r w:rsidR="00B54D7A">
        <w:t>between</w:t>
      </w:r>
      <w:r w:rsidR="003C7FB2">
        <w:t xml:space="preserve"> </w:t>
      </w:r>
      <w:r w:rsidR="00B54D7A">
        <w:t>driving</w:t>
      </w:r>
      <w:r w:rsidR="003C7FB2">
        <w:t xml:space="preserve"> </w:t>
      </w:r>
      <w:r w:rsidR="00B54D7A">
        <w:t>and</w:t>
      </w:r>
      <w:r w:rsidR="003C7FB2">
        <w:t xml:space="preserve"> </w:t>
      </w:r>
      <w:r w:rsidR="00B54D7A">
        <w:t>active</w:t>
      </w:r>
      <w:r w:rsidR="003C7FB2">
        <w:t xml:space="preserve"> </w:t>
      </w:r>
      <w:r w:rsidR="00461ABE">
        <w:t>travel</w:t>
      </w:r>
      <w:r w:rsidR="00B54D7A">
        <w:t>.</w:t>
      </w:r>
      <w:r w:rsidR="00492F2D">
        <w:fldChar w:fldCharType="begin" w:fldLock="1"/>
      </w:r>
      <w:r w:rsidR="000B07A6">
        <w:instrText>ADDIN CSL_CITATION { "citationItems" : [ { "id" : "ITEM-1", "itemData" : { "DOI" : "10.1016/j.ypmed.2013.01.014", "ISSN" : "1096-0260", "PMID" : "23375993", "abstract" : "OBJECTIVE: Small increases in walking or cycling for transport could contribute to population health improvement. We explore the individual, workplace and environmental characteristics associated with the incorporation of walking and cycling into car journeys.\n\nMETHODS: In 2009, participants from the Commuting and Health in Cambridge study (UK) reported transport modes used on the commute in the last week as well as individual, workplace and environmental characteristics. Logistic regression was used to assess the explanatory variables associated with incorporating walking or cycling into car commuting journeys.\n\nRESULTS: 31% of car commuters (n=419, mean age 43.3 years, SD 0.3) regularly incorporated walking or cycling into their commute. Those without access to car parking at work (OR: 26.0, 95% CI:11.8 to 57.2) and who reported most supportive environments for walking and cycling en route to work (highest versus lowest tertile, OR: 2.7, 95% CI 1.4 to 5.5) were more likely to incorporate walking or cycling into their car journeys.\n\nCONCLUSIONS: Interventions that provide pleasant and convenient routes, limit or charge for workplace car parking and provide free off-site car parking may encourage car commuters to incorporate walking and cycling into car journeys. The effects of such interventions remain to be evaluated.", "author" : [ { "dropping-particle" : "", "family" : "Panter", "given" : "Jenna", "non-dropping-particle" : "", "parse-names" : false, "suffix" : "" }, { "dropping-particle" : "", "family" : "Desousa", "given" : "Carol", "non-dropping-particle" : "", "parse-names" : false, "suffix" : "" }, { "dropping-particle" : "", "family" : "Ogilvie", "given" : "David", "non-dropping-particle" : "", "parse-names" : false, "suffix" : "" } ], "container-title" : "Preventive medicine", "id" : "ITEM-1", "issue" : "3-4", "issued" : { "date-parts" : [ [ "2013", "3" ] ] }, "page" : "211-7", "title" : "Incorporating walking or cycling into car journeys to and from work: the role of individual, workplace and environmental characteristics.", "type" : "article-journal", "volume" : "56" }, "uris" : [ "http://www.mendeley.com/documents/?uuid=fe298499-fdc2-4310-be6d-3ec974e367bd" ] } ], "mendeley" : { "formattedCitation" : "(Panter et al., 2013)", "plainTextFormattedCitation" : "(Panter et al., 2013)", "previouslyFormattedCitation" : "(Panter et al., 2013)" }, "properties" : { "noteIndex" : 0 }, "schema" : "https://github.com/citation-style-language/schema/raw/master/csl-citation.json" }</w:instrText>
      </w:r>
      <w:r w:rsidR="00492F2D">
        <w:fldChar w:fldCharType="separate"/>
      </w:r>
      <w:r w:rsidR="00B71669" w:rsidRPr="00B71669">
        <w:rPr>
          <w:noProof/>
        </w:rPr>
        <w:t>(Panter et al., 2013)</w:t>
      </w:r>
      <w:r w:rsidR="00492F2D">
        <w:fldChar w:fldCharType="end"/>
      </w:r>
      <w:r w:rsidR="003C7FB2">
        <w:t xml:space="preserve"> </w:t>
      </w:r>
      <w:r w:rsidR="006A61AD">
        <w:t>I</w:t>
      </w:r>
      <w:r w:rsidR="005A0CFF">
        <w:t>n our sample, and in keeping with patterns of UK commuting, car-use dominates.</w:t>
      </w:r>
      <w:r w:rsidR="00F37BBB">
        <w:fldChar w:fldCharType="begin" w:fldLock="1"/>
      </w:r>
      <w:r w:rsidR="00F37BBB">
        <w:instrText>ADDIN CSL_CITATION { "citationItems" : [ { "id" : "ITEM-1", "itemData" : { "author" : [ { "dropping-particle" : "", "family" : "Department for Transport", "given" : "", "non-dropping-particle" : "", "parse-names" : false, "suffix" : "" } ], "id" : "ITEM-1", "issued" : { "date-parts" : [ [ "2015" ] ] }, "number-of-pages" : "32", "publisher-place" : "London", "title" : "National Travel Survey England 2014", "type" : "report" }, "uris" : [ "http://www.mendeley.com/documents/?uuid=32219d62-0250-4c81-8f43-2214a0cc0c20" ] }, { "id" : "ITEM-2", "itemData" : { "DOI" : "10.1371/journal.pone.0071790", "ISSN" : "1932-6203", "PMID" : "23990990", "abstract" : "OBJECTIVES: Increasing walking and cycling, and reducing motorised transport, are health and environmental priorities. This paper examines levels and trends in the use of different commute modes in England and Wales, both overall and with respect to small-area deprivation. It also investigates whether commute modal share can serve as a proxy for travel behaviour more generally.\n\nMETHODS: 23.7 million adult commuters reported their usual main mode of travelling to work in the 2011 census in England and Wales; similar data were available for 1971-2001. Indices of Multiple Deprivation were used to characterise socio-economic patterning. The National Travel Survey (2002-2010) was used to examine correlations between commute modal share and modal share of total travel time. These correlations were calculated across 150 non-overlapping populations defined by region, year band and income.\n\nRESULTS: Among commuters in 2011, 67.1% used private motorised transport as their usual main commute mode (-1.8 percentage-point change since 2001); 17.8% used public transport (+1.8% change); 10.9% walked (-0.1% change); and 3.1% cycled (+0.1% change). Walking and, to a marginal extent, cycling were more common among those from deprived areas, but these gradients had flattened over the previous decade to the point of having essentially disappeared for cycling. In the National Travel Survey, commute modal share and total modal share were reasonably highly correlated for private motorised transport (r = 0.94), public transport (r = 0.96), walking (r = 0.88 excluding London) and cycling (r = 0.77).\n\nCONCLUSIONS: England and Wales remain car-dependent, but the trends are slightly more encouraging. Unlike many health behaviours, it is more common for socio-economically disadvantaged groups to commute using physically active modes. This association is, however, weakening and may soon reverse for cycling. At a population level, commute modal share provides a reasonable proxy for broader travel patterns, enhancing the value of the census in characterising background trends and evaluating interventions.", "author" : [ { "dropping-particle" : "", "family" : "Goodman", "given" : "Anna", "non-dropping-particle" : "", "parse-names" : false, "suffix" : "" } ], "container-title" : "PloS one", "id" : "ITEM-2", "issue" : "8", "issued" : { "date-parts" : [ [ "2013", "1" ] ] }, "page" : "e71790", "title" : "Walking, cycling and driving to work in the English and Welsh 2011 census: trends, socio-economic patterning and relevance to travel behaviour in general.", "type" : "article-journal", "volume" : "8" }, "uris" : [ "http://www.mendeley.com/documents/?uuid=d8e8341a-2aff-483d-b118-5cf34d518da0" ] } ], "mendeley" : { "formattedCitation" : "(Department for Transport, 2015; Goodman, 2013)", "plainTextFormattedCitation" : "(Department for Transport, 2015; Goodman, 2013)", "previouslyFormattedCitation" : "(Goodman, 2013; Office for National Statistics, 2013b)" }, "properties" : { "noteIndex" : 0 }, "schema" : "https://github.com/citation-style-language/schema/raw/master/csl-citation.json" }</w:instrText>
      </w:r>
      <w:r w:rsidR="00F37BBB">
        <w:fldChar w:fldCharType="separate"/>
      </w:r>
      <w:r w:rsidR="00F37BBB" w:rsidRPr="00F37BBB">
        <w:rPr>
          <w:noProof/>
        </w:rPr>
        <w:t>(Department for Transport, 2015; Goodman, 2013)</w:t>
      </w:r>
      <w:r w:rsidR="00F37BBB">
        <w:fldChar w:fldCharType="end"/>
      </w:r>
      <w:r w:rsidR="005A0CFF">
        <w:t xml:space="preserve"> On the one hand this may suggest significant opportunity to increase population levels of activity on the other it underscores the tremendous challenge in shifting travel patterns. </w:t>
      </w:r>
      <w:r w:rsidR="00B54D7A">
        <w:t>Facilitating</w:t>
      </w:r>
      <w:r w:rsidR="003C7FB2">
        <w:t xml:space="preserve"> </w:t>
      </w:r>
      <w:r w:rsidR="005A0CFF">
        <w:t xml:space="preserve">a shift to more active </w:t>
      </w:r>
      <w:r w:rsidR="00B54D7A">
        <w:t>travel</w:t>
      </w:r>
      <w:r w:rsidR="003C7FB2">
        <w:t xml:space="preserve"> </w:t>
      </w:r>
      <w:r w:rsidR="00B54D7A">
        <w:t>patterns</w:t>
      </w:r>
      <w:r w:rsidR="003C7FB2">
        <w:t xml:space="preserve"> </w:t>
      </w:r>
      <w:r w:rsidR="00B54D7A">
        <w:t>is</w:t>
      </w:r>
      <w:r w:rsidR="003C7FB2">
        <w:t xml:space="preserve"> </w:t>
      </w:r>
      <w:r w:rsidR="00B54D7A">
        <w:t>likely</w:t>
      </w:r>
      <w:r w:rsidR="003C7FB2">
        <w:t xml:space="preserve"> </w:t>
      </w:r>
      <w:r w:rsidR="00B54D7A">
        <w:t>to</w:t>
      </w:r>
      <w:r w:rsidR="003C7FB2">
        <w:t xml:space="preserve"> </w:t>
      </w:r>
      <w:r w:rsidR="00B54D7A">
        <w:t>require</w:t>
      </w:r>
      <w:r w:rsidR="005A0CFF">
        <w:t xml:space="preserve"> a significant cultural shift as well as investment in</w:t>
      </w:r>
      <w:r w:rsidR="003C7FB2">
        <w:t xml:space="preserve"> </w:t>
      </w:r>
      <w:r w:rsidR="00B54D7A">
        <w:t>appropriate</w:t>
      </w:r>
      <w:r w:rsidR="003C7FB2">
        <w:t xml:space="preserve"> </w:t>
      </w:r>
      <w:r w:rsidR="00B54D7A">
        <w:t>infrastructure</w:t>
      </w:r>
      <w:r w:rsidR="005A0CFF">
        <w:t xml:space="preserve"> (e.g. public </w:t>
      </w:r>
      <w:r w:rsidR="00F37BBB">
        <w:t>transport, cycle infrastructure).</w:t>
      </w:r>
    </w:p>
    <w:p w14:paraId="5C178348" w14:textId="77777777" w:rsidR="000B514A" w:rsidRDefault="000B514A" w:rsidP="001F7BCD">
      <w:pPr>
        <w:spacing w:after="0" w:line="240" w:lineRule="auto"/>
      </w:pPr>
    </w:p>
    <w:p w14:paraId="76951971" w14:textId="70FE8492" w:rsidR="0092772E" w:rsidRPr="007F5802" w:rsidRDefault="00471F82" w:rsidP="00F66C1B">
      <w:pPr>
        <w:spacing w:after="0" w:line="240" w:lineRule="auto"/>
      </w:pPr>
      <w:r>
        <w:t>While</w:t>
      </w:r>
      <w:r w:rsidR="003C7FB2">
        <w:t xml:space="preserve"> </w:t>
      </w:r>
      <w:r>
        <w:t>we</w:t>
      </w:r>
      <w:r w:rsidR="003C7FB2">
        <w:t xml:space="preserve"> </w:t>
      </w:r>
      <w:r w:rsidR="000F023D">
        <w:t>did</w:t>
      </w:r>
      <w:r w:rsidR="003C7FB2">
        <w:t xml:space="preserve"> </w:t>
      </w:r>
      <w:r w:rsidR="000F023D">
        <w:t>not</w:t>
      </w:r>
      <w:r w:rsidR="003C7FB2">
        <w:t xml:space="preserve"> </w:t>
      </w:r>
      <w:r w:rsidR="000F023D">
        <w:t>find</w:t>
      </w:r>
      <w:r w:rsidR="003C7FB2">
        <w:t xml:space="preserve"> </w:t>
      </w:r>
      <w:r w:rsidR="000F023D">
        <w:t>any</w:t>
      </w:r>
      <w:r w:rsidR="003C7FB2">
        <w:t xml:space="preserve"> </w:t>
      </w:r>
      <w:r w:rsidR="000F023D">
        <w:t>significant</w:t>
      </w:r>
      <w:r w:rsidR="003C7FB2">
        <w:t xml:space="preserve"> </w:t>
      </w:r>
      <w:r w:rsidR="000F023D">
        <w:t>associations</w:t>
      </w:r>
      <w:r w:rsidR="003C7FB2">
        <w:t xml:space="preserve"> </w:t>
      </w:r>
      <w:r w:rsidR="000F023D">
        <w:t>between</w:t>
      </w:r>
      <w:r w:rsidR="003C7FB2">
        <w:t xml:space="preserve"> </w:t>
      </w:r>
      <w:r w:rsidR="000F023D">
        <w:t>commuting</w:t>
      </w:r>
      <w:r w:rsidR="003C7FB2">
        <w:t xml:space="preserve"> </w:t>
      </w:r>
      <w:r w:rsidR="000F023D">
        <w:t>by</w:t>
      </w:r>
      <w:r w:rsidR="003C7FB2">
        <w:t xml:space="preserve"> </w:t>
      </w:r>
      <w:r w:rsidR="000F023D">
        <w:t>public</w:t>
      </w:r>
      <w:r w:rsidR="003C7FB2">
        <w:t xml:space="preserve"> </w:t>
      </w:r>
      <w:r w:rsidR="000F023D">
        <w:t>transport</w:t>
      </w:r>
      <w:r w:rsidR="003C7FB2">
        <w:t xml:space="preserve"> </w:t>
      </w:r>
      <w:r w:rsidR="000F023D">
        <w:t>and</w:t>
      </w:r>
      <w:r w:rsidR="003C7FB2">
        <w:t xml:space="preserve"> </w:t>
      </w:r>
      <w:r w:rsidR="000F023D">
        <w:t>adiposity</w:t>
      </w:r>
      <w:r>
        <w:t>,</w:t>
      </w:r>
      <w:r w:rsidR="003C7FB2">
        <w:t xml:space="preserve"> </w:t>
      </w:r>
      <w:r>
        <w:t>the</w:t>
      </w:r>
      <w:r w:rsidR="003C7FB2">
        <w:t xml:space="preserve"> </w:t>
      </w:r>
      <w:r>
        <w:t>estimated</w:t>
      </w:r>
      <w:r w:rsidR="003C7FB2">
        <w:t xml:space="preserve"> </w:t>
      </w:r>
      <w:r>
        <w:t>effect</w:t>
      </w:r>
      <w:r w:rsidR="003C7FB2">
        <w:t xml:space="preserve"> </w:t>
      </w:r>
      <w:r>
        <w:t>sizes</w:t>
      </w:r>
      <w:r w:rsidR="003C7FB2">
        <w:t xml:space="preserve"> </w:t>
      </w:r>
      <w:r>
        <w:t>were</w:t>
      </w:r>
      <w:r w:rsidR="003C7FB2">
        <w:t xml:space="preserve"> </w:t>
      </w:r>
      <w:r>
        <w:t>in</w:t>
      </w:r>
      <w:r w:rsidR="003C7FB2">
        <w:t xml:space="preserve"> </w:t>
      </w:r>
      <w:r>
        <w:t>the</w:t>
      </w:r>
      <w:r w:rsidR="003C7FB2">
        <w:t xml:space="preserve"> </w:t>
      </w:r>
      <w:r>
        <w:t>expected</w:t>
      </w:r>
      <w:r w:rsidR="003C7FB2">
        <w:t xml:space="preserve"> </w:t>
      </w:r>
      <w:r w:rsidR="00081725">
        <w:t>direction</w:t>
      </w:r>
      <w:r w:rsidR="00FB4E2F">
        <w:t>.</w:t>
      </w:r>
      <w:r w:rsidR="003C7FB2">
        <w:t xml:space="preserve"> </w:t>
      </w:r>
      <w:bookmarkStart w:id="8" w:name="_Hlk490738956"/>
      <w:r w:rsidR="00FE2D3F">
        <w:t>Many public transport users reported no walking (</w:t>
      </w:r>
      <w:r w:rsidR="00FB4E2F">
        <w:t>40%</w:t>
      </w:r>
      <w:r w:rsidR="003C7FB2">
        <w:t xml:space="preserve"> </w:t>
      </w:r>
      <w:r w:rsidR="00FB4E2F">
        <w:t>reported</w:t>
      </w:r>
      <w:r w:rsidR="003C7FB2">
        <w:t xml:space="preserve"> </w:t>
      </w:r>
      <w:r w:rsidR="00FB4E2F">
        <w:t>some</w:t>
      </w:r>
      <w:r w:rsidR="003C7FB2">
        <w:t xml:space="preserve"> </w:t>
      </w:r>
      <w:r w:rsidR="00FB4E2F">
        <w:t>walking</w:t>
      </w:r>
      <w:r w:rsidR="00461ABE">
        <w:t>,</w:t>
      </w:r>
      <w:r w:rsidR="003C7FB2">
        <w:t xml:space="preserve"> </w:t>
      </w:r>
      <w:r w:rsidR="00FB4E2F">
        <w:t>and</w:t>
      </w:r>
      <w:r w:rsidR="003C7FB2">
        <w:t xml:space="preserve"> </w:t>
      </w:r>
      <w:r w:rsidR="00FB4E2F">
        <w:t>27%</w:t>
      </w:r>
      <w:r w:rsidR="003C7FB2">
        <w:t xml:space="preserve"> </w:t>
      </w:r>
      <w:r w:rsidR="00FB4E2F">
        <w:t>some</w:t>
      </w:r>
      <w:r w:rsidR="003C7FB2">
        <w:t xml:space="preserve"> </w:t>
      </w:r>
      <w:r w:rsidR="00FB4E2F">
        <w:t>cycling</w:t>
      </w:r>
      <w:r w:rsidR="00C359CF">
        <w:t xml:space="preserve"> and</w:t>
      </w:r>
      <w:r w:rsidR="0032182F">
        <w:t xml:space="preserve"> </w:t>
      </w:r>
      <w:r w:rsidR="00C359CF">
        <w:t>e</w:t>
      </w:r>
      <w:r w:rsidR="00D122E8">
        <w:t>stimates</w:t>
      </w:r>
      <w:r w:rsidR="003C7FB2">
        <w:t xml:space="preserve"> </w:t>
      </w:r>
      <w:r w:rsidR="00D122E8">
        <w:t>of</w:t>
      </w:r>
      <w:r w:rsidR="003C7FB2">
        <w:t xml:space="preserve"> </w:t>
      </w:r>
      <w:r w:rsidR="00D122E8">
        <w:t>effect</w:t>
      </w:r>
      <w:r w:rsidR="003C7FB2">
        <w:t xml:space="preserve"> </w:t>
      </w:r>
      <w:r w:rsidR="00D122E8">
        <w:t>size</w:t>
      </w:r>
      <w:r w:rsidR="003C7FB2">
        <w:t xml:space="preserve"> </w:t>
      </w:r>
      <w:r w:rsidR="00D122E8">
        <w:t>w</w:t>
      </w:r>
      <w:r w:rsidR="000F023D">
        <w:t>ere</w:t>
      </w:r>
      <w:r w:rsidR="003C7FB2">
        <w:t xml:space="preserve"> </w:t>
      </w:r>
      <w:r w:rsidR="000F023D">
        <w:t>close</w:t>
      </w:r>
      <w:r w:rsidR="003C7FB2">
        <w:t xml:space="preserve"> </w:t>
      </w:r>
      <w:r w:rsidR="000F023D">
        <w:t>to</w:t>
      </w:r>
      <w:r w:rsidR="003C7FB2">
        <w:t xml:space="preserve"> </w:t>
      </w:r>
      <w:r w:rsidR="000F023D">
        <w:t>zero</w:t>
      </w:r>
      <w:r w:rsidR="003C7FB2">
        <w:t xml:space="preserve"> </w:t>
      </w:r>
      <w:r w:rsidR="000F023D">
        <w:t>when</w:t>
      </w:r>
      <w:r w:rsidR="003C7FB2">
        <w:t xml:space="preserve"> </w:t>
      </w:r>
      <w:r w:rsidR="000F023D">
        <w:t>isolating</w:t>
      </w:r>
      <w:r w:rsidR="003C7FB2">
        <w:t xml:space="preserve"> </w:t>
      </w:r>
      <w:r w:rsidR="000F023D">
        <w:t>individuals</w:t>
      </w:r>
      <w:r w:rsidR="003C7FB2">
        <w:t xml:space="preserve"> </w:t>
      </w:r>
      <w:r w:rsidR="000F023D">
        <w:t>who</w:t>
      </w:r>
      <w:r w:rsidR="003C7FB2">
        <w:t xml:space="preserve"> </w:t>
      </w:r>
      <w:r w:rsidR="000F023D">
        <w:t>did</w:t>
      </w:r>
      <w:r w:rsidR="003C7FB2">
        <w:t xml:space="preserve"> </w:t>
      </w:r>
      <w:r w:rsidR="000F023D">
        <w:t>not</w:t>
      </w:r>
      <w:r w:rsidR="003C7FB2">
        <w:t xml:space="preserve"> </w:t>
      </w:r>
      <w:r w:rsidR="000F023D">
        <w:t>report</w:t>
      </w:r>
      <w:r w:rsidR="003C7FB2">
        <w:t xml:space="preserve"> </w:t>
      </w:r>
      <w:r w:rsidR="000F023D">
        <w:t>combining</w:t>
      </w:r>
      <w:r w:rsidR="003C7FB2">
        <w:t xml:space="preserve"> </w:t>
      </w:r>
      <w:r w:rsidR="000F023D">
        <w:t>public</w:t>
      </w:r>
      <w:r w:rsidR="003C7FB2">
        <w:t xml:space="preserve"> </w:t>
      </w:r>
      <w:r w:rsidR="000F023D">
        <w:t>transport</w:t>
      </w:r>
      <w:r w:rsidR="003C7FB2">
        <w:t xml:space="preserve"> </w:t>
      </w:r>
      <w:r w:rsidR="000F023D">
        <w:t>with</w:t>
      </w:r>
      <w:r w:rsidR="003C7FB2">
        <w:t xml:space="preserve"> </w:t>
      </w:r>
      <w:r w:rsidR="000F023D">
        <w:t>active</w:t>
      </w:r>
      <w:r w:rsidR="003C7FB2">
        <w:t xml:space="preserve"> </w:t>
      </w:r>
      <w:r w:rsidR="000F023D">
        <w:t>travel.</w:t>
      </w:r>
      <w:r w:rsidR="003C7FB2">
        <w:t xml:space="preserve"> </w:t>
      </w:r>
      <w:r w:rsidR="00C359CF">
        <w:t>Assuming these people undertook minimal levels of walking at public transport access points (rather than just omitted to report walking or cycling to access points), t</w:t>
      </w:r>
      <w:r w:rsidR="00D122E8">
        <w:t>his</w:t>
      </w:r>
      <w:r w:rsidR="003C7FB2">
        <w:t xml:space="preserve"> </w:t>
      </w:r>
      <w:r>
        <w:t>might</w:t>
      </w:r>
      <w:r w:rsidR="003C7FB2">
        <w:t xml:space="preserve"> </w:t>
      </w:r>
      <w:r>
        <w:t>suggest</w:t>
      </w:r>
      <w:r w:rsidR="003C7FB2">
        <w:t xml:space="preserve"> </w:t>
      </w:r>
      <w:r>
        <w:t>that</w:t>
      </w:r>
      <w:r w:rsidR="003C7FB2">
        <w:t xml:space="preserve"> </w:t>
      </w:r>
      <w:r w:rsidR="00965412">
        <w:t>associations</w:t>
      </w:r>
      <w:r w:rsidR="003C7FB2">
        <w:t xml:space="preserve"> </w:t>
      </w:r>
      <w:r w:rsidR="00965412">
        <w:t>between</w:t>
      </w:r>
      <w:r w:rsidR="003C7FB2">
        <w:t xml:space="preserve"> </w:t>
      </w:r>
      <w:r>
        <w:t>public</w:t>
      </w:r>
      <w:r w:rsidR="003C7FB2">
        <w:t xml:space="preserve"> </w:t>
      </w:r>
      <w:r>
        <w:t>transport</w:t>
      </w:r>
      <w:r w:rsidR="003C7FB2">
        <w:t xml:space="preserve"> </w:t>
      </w:r>
      <w:r w:rsidR="00965412">
        <w:t>and</w:t>
      </w:r>
      <w:r w:rsidR="003C7FB2">
        <w:t xml:space="preserve"> </w:t>
      </w:r>
      <w:r w:rsidR="00965412">
        <w:t>adiposity</w:t>
      </w:r>
      <w:r w:rsidR="003C7FB2">
        <w:t xml:space="preserve"> </w:t>
      </w:r>
      <w:r w:rsidR="00965412">
        <w:t>are</w:t>
      </w:r>
      <w:r w:rsidR="003C7FB2">
        <w:t xml:space="preserve"> </w:t>
      </w:r>
      <w:r w:rsidR="00965412">
        <w:t>due</w:t>
      </w:r>
      <w:r w:rsidR="003C7FB2">
        <w:t xml:space="preserve"> </w:t>
      </w:r>
      <w:r w:rsidR="00965412">
        <w:t>to</w:t>
      </w:r>
      <w:r w:rsidR="003C7FB2">
        <w:t xml:space="preserve"> </w:t>
      </w:r>
      <w:r>
        <w:t>incorporation</w:t>
      </w:r>
      <w:r w:rsidR="003C7FB2">
        <w:t xml:space="preserve"> </w:t>
      </w:r>
      <w:r>
        <w:t>of</w:t>
      </w:r>
      <w:r w:rsidR="003C7FB2">
        <w:t xml:space="preserve"> </w:t>
      </w:r>
      <w:r>
        <w:t>walking</w:t>
      </w:r>
      <w:r w:rsidR="003C7FB2">
        <w:t xml:space="preserve"> </w:t>
      </w:r>
      <w:r>
        <w:t>or</w:t>
      </w:r>
      <w:r w:rsidR="003C7FB2">
        <w:t xml:space="preserve"> </w:t>
      </w:r>
      <w:r>
        <w:t>cycling</w:t>
      </w:r>
      <w:r w:rsidR="003C7FB2">
        <w:t xml:space="preserve"> </w:t>
      </w:r>
      <w:r>
        <w:t>at</w:t>
      </w:r>
      <w:r w:rsidR="003C7FB2">
        <w:t xml:space="preserve"> </w:t>
      </w:r>
      <w:r>
        <w:t>either</w:t>
      </w:r>
      <w:r w:rsidR="003C7FB2">
        <w:t xml:space="preserve"> </w:t>
      </w:r>
      <w:r>
        <w:t>end</w:t>
      </w:r>
      <w:r w:rsidR="003C7FB2">
        <w:t xml:space="preserve"> </w:t>
      </w:r>
      <w:r>
        <w:t>of</w:t>
      </w:r>
      <w:r w:rsidR="003C7FB2">
        <w:t xml:space="preserve"> </w:t>
      </w:r>
      <w:r>
        <w:t>the</w:t>
      </w:r>
      <w:r w:rsidR="003C7FB2">
        <w:t xml:space="preserve"> </w:t>
      </w:r>
      <w:r>
        <w:t>journey</w:t>
      </w:r>
      <w:r w:rsidR="003C7FB2">
        <w:t xml:space="preserve"> </w:t>
      </w:r>
      <w:r>
        <w:t>rather</w:t>
      </w:r>
      <w:r w:rsidR="003C7FB2">
        <w:t xml:space="preserve"> </w:t>
      </w:r>
      <w:r>
        <w:t>than</w:t>
      </w:r>
      <w:r w:rsidR="003C7FB2">
        <w:t xml:space="preserve"> </w:t>
      </w:r>
      <w:r>
        <w:t>other</w:t>
      </w:r>
      <w:r w:rsidR="003C7FB2">
        <w:t xml:space="preserve"> </w:t>
      </w:r>
      <w:r>
        <w:t>means</w:t>
      </w:r>
      <w:r w:rsidR="003C7FB2">
        <w:t xml:space="preserve"> </w:t>
      </w:r>
      <w:r>
        <w:t>(e.g.</w:t>
      </w:r>
      <w:r w:rsidR="003C7FB2">
        <w:t xml:space="preserve"> </w:t>
      </w:r>
      <w:r w:rsidR="00965412">
        <w:t>reduced</w:t>
      </w:r>
      <w:r w:rsidR="003C7FB2">
        <w:t xml:space="preserve"> </w:t>
      </w:r>
      <w:r>
        <w:t>sitting</w:t>
      </w:r>
      <w:r w:rsidR="003C7FB2">
        <w:t xml:space="preserve"> </w:t>
      </w:r>
      <w:r w:rsidR="00965412">
        <w:t>time</w:t>
      </w:r>
      <w:r w:rsidR="00C359CF">
        <w:t>)</w:t>
      </w:r>
      <w:bookmarkEnd w:id="8"/>
      <w:r w:rsidR="00551631">
        <w:t>.</w:t>
      </w:r>
      <w:r w:rsidR="003C7FB2">
        <w:t xml:space="preserve"> </w:t>
      </w:r>
      <w:r w:rsidR="0032182F">
        <w:t>V</w:t>
      </w:r>
      <w:r w:rsidR="0032182F" w:rsidRPr="007F5802">
        <w:t>ariations</w:t>
      </w:r>
      <w:r w:rsidR="0032182F">
        <w:t xml:space="preserve"> </w:t>
      </w:r>
      <w:r w:rsidR="0032182F" w:rsidRPr="007F5802">
        <w:t>in</w:t>
      </w:r>
      <w:r w:rsidR="0032182F">
        <w:t xml:space="preserve"> </w:t>
      </w:r>
      <w:r w:rsidR="0032182F" w:rsidRPr="007F5802">
        <w:t>the</w:t>
      </w:r>
      <w:r w:rsidR="0032182F">
        <w:t xml:space="preserve"> </w:t>
      </w:r>
      <w:r w:rsidR="0032182F" w:rsidRPr="007F5802">
        <w:t>extent</w:t>
      </w:r>
      <w:r w:rsidR="0032182F">
        <w:t xml:space="preserve"> </w:t>
      </w:r>
      <w:r w:rsidR="0032182F" w:rsidRPr="007F5802">
        <w:t>to</w:t>
      </w:r>
      <w:r w:rsidR="0032182F">
        <w:t xml:space="preserve"> </w:t>
      </w:r>
      <w:r w:rsidR="0032182F" w:rsidRPr="007F5802">
        <w:t>which</w:t>
      </w:r>
      <w:r w:rsidR="0032182F">
        <w:t xml:space="preserve"> </w:t>
      </w:r>
      <w:r w:rsidR="0032182F" w:rsidRPr="007F5802">
        <w:t>active</w:t>
      </w:r>
      <w:r w:rsidR="0032182F">
        <w:t xml:space="preserve"> </w:t>
      </w:r>
      <w:r w:rsidR="0032182F" w:rsidRPr="007F5802">
        <w:t>travel</w:t>
      </w:r>
      <w:r w:rsidR="0032182F">
        <w:t xml:space="preserve"> </w:t>
      </w:r>
      <w:r w:rsidR="0032182F" w:rsidRPr="007F5802">
        <w:t>is</w:t>
      </w:r>
      <w:r w:rsidR="0032182F">
        <w:t xml:space="preserve"> </w:t>
      </w:r>
      <w:r w:rsidR="0032182F" w:rsidRPr="007F5802">
        <w:t>incorporated</w:t>
      </w:r>
      <w:r w:rsidR="0032182F">
        <w:t xml:space="preserve"> </w:t>
      </w:r>
      <w:r w:rsidR="0032182F" w:rsidRPr="007F5802">
        <w:t>alongside</w:t>
      </w:r>
      <w:r w:rsidR="0032182F">
        <w:t xml:space="preserve"> </w:t>
      </w:r>
      <w:r w:rsidR="0032182F" w:rsidRPr="007F5802">
        <w:t>public</w:t>
      </w:r>
      <w:r w:rsidR="0032182F">
        <w:t xml:space="preserve"> </w:t>
      </w:r>
      <w:r w:rsidR="0032182F" w:rsidRPr="007F5802">
        <w:t>transport</w:t>
      </w:r>
      <w:r w:rsidR="0032182F">
        <w:t xml:space="preserve"> may account for the i</w:t>
      </w:r>
      <w:r w:rsidR="00551631">
        <w:t>nconsistent</w:t>
      </w:r>
      <w:r w:rsidR="003C7FB2">
        <w:t xml:space="preserve"> </w:t>
      </w:r>
      <w:r w:rsidR="00BA13FF">
        <w:t>association</w:t>
      </w:r>
      <w:r w:rsidR="00551631">
        <w:t>s</w:t>
      </w:r>
      <w:r w:rsidR="003C7FB2">
        <w:t xml:space="preserve"> </w:t>
      </w:r>
      <w:r w:rsidR="00BA13FF">
        <w:t>between</w:t>
      </w:r>
      <w:r w:rsidR="003C7FB2">
        <w:t xml:space="preserve"> </w:t>
      </w:r>
      <w:r w:rsidR="00081725">
        <w:t>public</w:t>
      </w:r>
      <w:r w:rsidR="003C7FB2">
        <w:t xml:space="preserve"> </w:t>
      </w:r>
      <w:r w:rsidR="00081725">
        <w:t>transport</w:t>
      </w:r>
      <w:r w:rsidR="003C7FB2">
        <w:t xml:space="preserve"> </w:t>
      </w:r>
      <w:r w:rsidR="00BA13FF">
        <w:t>use</w:t>
      </w:r>
      <w:r w:rsidR="003C7FB2">
        <w:t xml:space="preserve"> </w:t>
      </w:r>
      <w:r w:rsidR="00BA13FF">
        <w:t>and</w:t>
      </w:r>
      <w:r w:rsidR="003C7FB2">
        <w:t xml:space="preserve"> </w:t>
      </w:r>
      <w:r w:rsidR="00BA13FF">
        <w:t>adiposity</w:t>
      </w:r>
      <w:r w:rsidR="0032182F">
        <w:t xml:space="preserve"> reported</w:t>
      </w:r>
      <w:r w:rsidR="003C7FB2">
        <w:t xml:space="preserve"> </w:t>
      </w:r>
      <w:r w:rsidR="00BA13FF">
        <w:t>in</w:t>
      </w:r>
      <w:r w:rsidR="003C7FB2">
        <w:t xml:space="preserve"> </w:t>
      </w:r>
      <w:r w:rsidR="0032182F">
        <w:t>other</w:t>
      </w:r>
      <w:r w:rsidR="003C7FB2">
        <w:t xml:space="preserve"> </w:t>
      </w:r>
      <w:r w:rsidR="00BA13FF">
        <w:t>studies</w:t>
      </w:r>
      <w:r w:rsidR="00551631">
        <w:rPr>
          <w:rFonts w:cs="Arial"/>
          <w:color w:val="2E2E2E"/>
        </w:rPr>
        <w:fldChar w:fldCharType="begin" w:fldLock="1"/>
      </w:r>
      <w:r w:rsidR="000B07A6">
        <w:rPr>
          <w:rFonts w:cs="Arial"/>
          <w:color w:val="2E2E2E"/>
        </w:rPr>
        <w:instrText>ADDIN CSL_CITATION { "citationItems" : [ { "id" : "ITEM-1", "itemData" : { "DOI" : "10.1371/journal.pmed.1001459", "ISSN" : "1549-1676", "PMID" : "23776412", "abstract" : "BACKGROUND: Increasing active travel (walking, bicycling, and public transport) is promoted as a key strategy to increase physical activity and reduce the growing burden of noncommunicable diseases (NCDs) globally. Little is known about patterns of active travel or associated cardiovascular health benefits in low- and middle-income countries. This study examines mode and duration of travel to work in rural and urban India and associations between active travel and overweight, hypertension, and diabetes. METHODS AND FINDINGS: Cross-sectional study of 3,902 participants (1,366 rural, 2,536 urban) in the Indian Migration Study. Associations between mode and duration of active travel and cardiovascular risk factors were assessed using random-effect logistic regression models adjusting for age, sex, caste, standard of living, occupation, factory location, leisure time physical activity, daily fat intake, smoking status, and alcohol use. Rural dwellers were significantly more likely to bicycle (68.3% versus 15.9%; p&lt;0.001) to work than urban dwellers. The prevalence of overweight or obesity was 50.0%, 37.6%, 24.2%, 24.9%; hypertension was 17.7%, 11.8%, 6.5%, 9.8%; and diabetes was 10.8%, 7.4%, 3.8%, 7.3% in participants who travelled to work by private transport, public transport, bicycling, and walking, respectively. In the adjusted analysis, those walking (adjusted risk ratio [ARR] 0.72; 95% CI 0.58-0.88) or bicycling to work (ARR 0.66; 95% CI 0.55-0.77) were significantly less likely to be overweight or obese than those travelling by private transport. Those bicycling to work were significantly less likely to have hypertension (ARR 0.51; 95% CI 0.36-0.71) or diabetes (ARR 0.65; 95% CI 0.44-0.95). There was evidence of a dose-response relationship between duration of bicycling to work and being overweight, having hypertension or diabetes. The main limitation of the study is the cross-sectional design, which limits causal inference for the associations found. CONCLUSIONS: Walking and bicycling to work was associated with reduced cardiovascular risk in the Indian population. Efforts to increase active travel in urban areas and halt declines in rural areas should be integral to strategies to maintain healthy weight and prevent NCDs in India. Please see later in the article for the Editors' Summary.", "author" : [ { "dropping-particle" : "", "family" : "Millett", "given" : "Christopher", "non-dropping-particle" : "", "parse-names" : false, "suffix" : "" }, { "dropping-particle" : "", "family" : "Agrawal", "given" : "Sutapa", "non-dropping-particle" : "", "parse-names" : false, "suffix" : "" }, { "dropping-particle" : "", "family" : "Sullivan", "given" : "Ruth", "non-dropping-particle" : "", "parse-names" : false, "suffix" : "" }, { "dropping-particle" : "", "family" : "Vaz", "given" : "Mario", "non-dropping-particle" : "", "parse-names" : false, "suffix" : "" }, { "dropping-particle" : "", "family" : "Kurpad", "given" : "Anura", "non-dropping-particle" : "", "parse-names" : false, "suffix" : "" }, { "dropping-particle" : "V.", "family" : "Bharathi", "given" : "A.", "non-dropping-particle" : "", "parse-names" : false, "suffix" : "" }, { "dropping-particle" : "", "family" : "Prabhakaran", "given" : "Dorairaj", "non-dropping-particle" : "", "parse-names" : false, "suffix" : "" }, { "dropping-particle" : "", "family" : "Reddy", "given" : "KSPD Kolli Srinath", "non-dropping-particle" : "", "parse-names" : false, "suffix" : "" }, { "dropping-particle" : "", "family" : "Kinra", "given" : "Sanjay", "non-dropping-particle" : "", "parse-names" : false, "suffix" : "" }, { "dropping-particle" : "", "family" : "Smith", "given" : "GD George Davey", "non-dropping-particle" : "", "parse-names" : false, "suffix" : "" }, { "dropping-particle" : "", "family" : "Ebrahim", "given" : "Shah", "non-dropping-particle" : "", "parse-names" : false, "suffix" : "" }, { "dropping-particle" : "", "family" : "Group", "given" : "for the Indian Migration Study", "non-dropping-particle" : "", "parse-names" : false, "suffix" : "" } ], "container-title" : "PLoS medicine", "editor" : [ { "dropping-particle" : "", "family" : "Bhalla", "given" : "Kavi", "non-dropping-particle" : "", "parse-names" : false, "suffix" : "" } ], "id" : "ITEM-1", "issue" : "6", "issued" : { "date-parts" : [ [ "2013", "1", "11" ] ] }, "note" : "From Duplicate 2 (Associations between active travel to work and overweight, hypertension, and diabetes in India: a cross-sectional study. - Millett, Christopher; Agrawal, Sutapa; Sullivan, Ruth; Vaz, Mario; Kurpad, Anura; Bharathi, A V; Prabhakaran, Dorairaj; Reddy, Kolli Srinath; Kinra, Sanjay; Smith, George Davey; Ebrahim, Shah)\n\nseparate estimates for w+C", "page" : "e1001459", "publisher" : "Public Library of Science", "title" : "Associations between active travel to work and overweight, hypertension, and diabetes in India: a cross-sectional study.", "type" : "article-journal", "volume" : "10" }, "uris" : [ "http://www.mendeley.com/documents/?uuid=246315b3-3a61-4417-8831-b4fc4fbf04a3" ] }, { "id" : "ITEM-2", "itemData" : { "DOI" : "10.1016/j.ypmed.2007.07.012", "ISSN" : "0091-7435", "PMID" : "17706273", "abstract" : "OBJECTIVES: To investigate the association between means of transportation to work and overweight+obesity and obesity. METHODS: The 2004 public health survey in Sk\u00e5ne is a cross-sectional postal questionnaire study of the population aged 18-80 with a 59% response rate including 16,705 employed participants. RESULTS: Forty-six percent of men and 26.6% of women were overweight (BMI 25.0-29.9); 11.6% of men and 10.3% of women were obese (BMI 30.0-); 18.2% of men and 25.9% of women bicycled and/or walked to work and 10.4% and 16.2% used public transportation, respectively. In contrast, 68.3% of men and 55.8% of women went to work by car. The odds ratios of overweight+obesity among persons who walked or bicycled were significantly lower and remained 0.62 (95% CI 0.51-0.76) among men and 0.79 (95% CI 0.67-0.94) among women in the models including all confounders compared to the car driving reference category. The odds ratios of obesity were initially significantly lower among both men and women who walked or bicycled, but in the final models only among women. The odds ratios of overweight+obesity as well as obesity were also lower among men using public transportation. CONCLUSIONS: Walking and bicycling to work are significantly negatively associated with overweight+obesity and, to some extent, obesity. Public transportation is significantly negatively associated with overweight+obesity and obesity among men.", "author" : [ { "dropping-particle" : "", "family" : "Lindstr\u00f6m", "given" : "Martin", "non-dropping-particle" : "", "parse-names" : false, "suffix" : "" } ], "container-title" : "Preventive medicine", "id" : "ITEM-2", "issue" : "1", "issued" : { "date-parts" : [ [ "2008", "1" ] ] }, "note" : "w+c combined", "page" : "22-8", "title" : "Means of transportation to work and overweight and obesity: a population-based study in southern Sweden.", "type" : "article-journal", "volume" : "46" }, "uris" : [ "http://www.mendeley.com/documents/?uuid=3ff9ea2e-ab2a-46f6-a24b-f59ac38b989c" ] }, { "id" : "ITEM-3", "itemData" : { "DOI" : "10.1136/bmj.g4887", "ISSN" : "1756-1833", "abstract" : "Objective To determine if promotion of active modes of travel is an effective strategy for obesity prevention by assessing whether active commuting (walking or cycling for all or part of the journey to work) is independently associated with objectively assessed biological markers of obesity. Design Cross sectional study of data from the wave 2 Health Assessment subsample of Understanding Society, the UK Household Longitudinal Study (UKHLS). The exposure of interest, commuting mode, was self reported and categorised as three categories: private transport, public transport, and active transport. Participants The analytic samples (7534 for body mass index (BMI) analysis, 7424 for percentage body fat analysis) were drawn from the representative subsample of wave 2 respondents of UKHLS who provided health assessment data (n=15 777). Main outcome measures Body mass index (weight (kg)/height (m)2); percentage body fat (measured by electrical impedance). Results Results from multivariate linear regression analyses suggest that, compared with using private transport, commuting by public or active transport modes was significantly and independently predictive of lower BMI for both men and women. In fully adjusted models, men who commuted via public or active modes had BMI scores 1.10 (95% CI 0.53 to 1.67) and 0.97 (0.40 to 1.55) points lower, respectively, than those who used private transport. Women who commuted via public or active modes had BMI scores 0.72 (0.06 to 1.37) and 0.87 (0.36 to 0.87) points lower, respectively, than those using private transport. Results for percentage body fat were similar in terms of magnitude, significance, and direction of effects. Conclusions Men and women who commuted to work by active and public modes of transport had significantly lower BMI and percentage body fat than their counterparts who used private transport. These associations were not attenuated by adjustment for a range of hypothesised confounding factors.", "author" : [ { "dropping-particle" : "", "family" : "Flint", "given" : "E.", "non-dropping-particle" : "", "parse-names" : false, "suffix" : "" }, { "dropping-particle" : "", "family" : "Cummins", "given" : "S.", "non-dropping-particle" : "", "parse-names" : false, "suffix" : "" }, { "dropping-particle" : "", "family" : "Sacker", "given" : "A.", "non-dropping-particle" : "", "parse-names" : false, "suffix" : "" } ], "container-title" : "BMJ", "id" : "ITEM-3", "issue" : "aug19 13", "issued" : { "date-parts" : [ [ "2014", "8", "19" ] ] }, "page" : "g4887-g4887", "title" : "Associations between active commuting, body fat, and body mass index: population based, cross sectional study in the United Kingdom", "type" : "article-journal", "volume" : "349" }, "uris" : [ "http://www.mendeley.com/documents/?uuid=8787743b-b3b9-4811-8179-d88afe555721" ] }, { "id" : "ITEM-4", "itemData" : { "DOI" : "10.1016/S2213-8587(16)00053-X", "ISSN" : "22138587", "author" : [ { "dropping-particle" : "", "family" : "Flint", "given" : "Ellen", "non-dropping-particle" : "", "parse-names" : false, "suffix" : "" }, { "dropping-particle" : "", "family" : "Cummins", "given" : "Steven", "non-dropping-particle" : "", "parse-names" : false, "suffix" : "" } ], "container-title" : "The Lancet Diabetes &amp; Endocrinology", "id" : "ITEM-4", "issue" : "5", "issued" : { "date-parts" : [ [ "2016", "3" ] ] }, "language" : "English", "page" : "420-435", "publisher" : "Elsevier", "title" : "Active commuting and obesity in mid-life: cross-sectional, observational evidence from UK Biobank", "type" : "article-journal", "volume" : "4" }, "uris" : [ "http://www.mendeley.com/documents/?uuid=e7c9e359-019e-4cc3-a869-943a6411defd" ] } ], "mendeley" : { "formattedCitation" : "(Flint et al., 2014; Flint and Cummins, 2016; Lindstr\u00f6m, 2008; Millett et al., 2013)", "plainTextFormattedCitation" : "(Flint et al., 2014; Flint and Cummins, 2016; Lindstr\u00f6m, 2008; Millett et al., 2013)", "previouslyFormattedCitation" : "(Flint et al., 2014; Flint and Cummins, 2016; Lindstr\u00f6m, 2008; Millett et al., 2013)" }, "properties" : { "noteIndex" : 0 }, "schema" : "https://github.com/citation-style-language/schema/raw/master/csl-citation.json" }</w:instrText>
      </w:r>
      <w:r w:rsidR="00551631">
        <w:rPr>
          <w:rFonts w:cs="Arial"/>
          <w:color w:val="2E2E2E"/>
        </w:rPr>
        <w:fldChar w:fldCharType="separate"/>
      </w:r>
      <w:r w:rsidR="00B71669" w:rsidRPr="00B71669">
        <w:rPr>
          <w:rFonts w:cs="Arial"/>
          <w:noProof/>
          <w:color w:val="2E2E2E"/>
        </w:rPr>
        <w:t>(Flint et al., 2014; Flint and Cummins, 2016; Lindström, 2008; Millett et al., 2013)</w:t>
      </w:r>
      <w:r w:rsidR="00551631">
        <w:rPr>
          <w:rFonts w:cs="Arial"/>
          <w:color w:val="2E2E2E"/>
        </w:rPr>
        <w:fldChar w:fldCharType="end"/>
      </w:r>
      <w:r w:rsidR="003C7FB2">
        <w:t xml:space="preserve"> </w:t>
      </w:r>
      <w:r w:rsidRPr="007F5802">
        <w:t>.</w:t>
      </w:r>
      <w:r w:rsidR="003C7FB2">
        <w:t xml:space="preserve"> </w:t>
      </w:r>
      <w:r w:rsidR="00C359CF">
        <w:t>Facilitating and encouraging active travel to public transport access point</w:t>
      </w:r>
      <w:r w:rsidR="0032182F">
        <w:t>s</w:t>
      </w:r>
      <w:r w:rsidR="00C359CF">
        <w:t xml:space="preserve"> may be an valuable opportunity to promote physical activity.</w:t>
      </w:r>
    </w:p>
    <w:p w14:paraId="6E478C2A" w14:textId="77777777" w:rsidR="00BE53BB" w:rsidRPr="007F5802" w:rsidRDefault="00BE53BB" w:rsidP="001F7BCD">
      <w:pPr>
        <w:spacing w:after="0" w:line="240" w:lineRule="auto"/>
      </w:pPr>
    </w:p>
    <w:p w14:paraId="5406AB44" w14:textId="6EE04BB6" w:rsidR="00730FF8" w:rsidRDefault="006656D6" w:rsidP="001F7BCD">
      <w:pPr>
        <w:spacing w:after="0" w:line="240" w:lineRule="auto"/>
      </w:pPr>
      <w:r>
        <w:t>Adjustment</w:t>
      </w:r>
      <w:r w:rsidR="003C7FB2">
        <w:t xml:space="preserve"> </w:t>
      </w:r>
      <w:r w:rsidR="006A012D" w:rsidRPr="007F5802">
        <w:t>for</w:t>
      </w:r>
      <w:r w:rsidR="003C7FB2">
        <w:t xml:space="preserve"> </w:t>
      </w:r>
      <w:r>
        <w:t>overall</w:t>
      </w:r>
      <w:r w:rsidR="003C7FB2">
        <w:t xml:space="preserve"> </w:t>
      </w:r>
      <w:r>
        <w:t>PAEE</w:t>
      </w:r>
      <w:r w:rsidR="003C7FB2">
        <w:t xml:space="preserve"> </w:t>
      </w:r>
      <w:r>
        <w:t>might</w:t>
      </w:r>
      <w:r w:rsidR="003C7FB2">
        <w:t xml:space="preserve"> </w:t>
      </w:r>
      <w:r>
        <w:t>be</w:t>
      </w:r>
      <w:r w:rsidR="003C7FB2">
        <w:t xml:space="preserve"> </w:t>
      </w:r>
      <w:r>
        <w:t>expected</w:t>
      </w:r>
      <w:r w:rsidR="003C7FB2">
        <w:t xml:space="preserve"> </w:t>
      </w:r>
      <w:r>
        <w:t>to</w:t>
      </w:r>
      <w:r w:rsidR="003C7FB2">
        <w:t xml:space="preserve"> </w:t>
      </w:r>
      <w:r>
        <w:t>(near</w:t>
      </w:r>
      <w:r w:rsidR="00461ABE">
        <w:t>ly</w:t>
      </w:r>
      <w:r>
        <w:t>)</w:t>
      </w:r>
      <w:r w:rsidR="003C7FB2">
        <w:t xml:space="preserve"> </w:t>
      </w:r>
      <w:r>
        <w:t>fully</w:t>
      </w:r>
      <w:r w:rsidR="003C7FB2">
        <w:t xml:space="preserve"> </w:t>
      </w:r>
      <w:r>
        <w:t>attenuate</w:t>
      </w:r>
      <w:r w:rsidR="003C7FB2">
        <w:t xml:space="preserve"> </w:t>
      </w:r>
      <w:r>
        <w:t>the</w:t>
      </w:r>
      <w:r w:rsidR="003C7FB2">
        <w:t xml:space="preserve"> </w:t>
      </w:r>
      <w:r>
        <w:t>association</w:t>
      </w:r>
      <w:r w:rsidR="003C7FB2">
        <w:t xml:space="preserve"> </w:t>
      </w:r>
      <w:r>
        <w:t>between</w:t>
      </w:r>
      <w:r w:rsidR="003C7FB2">
        <w:t xml:space="preserve"> </w:t>
      </w:r>
      <w:r>
        <w:t>active</w:t>
      </w:r>
      <w:r w:rsidR="003C7FB2">
        <w:t xml:space="preserve"> </w:t>
      </w:r>
      <w:r>
        <w:t>commuting</w:t>
      </w:r>
      <w:r w:rsidR="003C7FB2">
        <w:t xml:space="preserve"> </w:t>
      </w:r>
      <w:r>
        <w:t>and</w:t>
      </w:r>
      <w:r w:rsidR="003C7FB2">
        <w:t xml:space="preserve"> </w:t>
      </w:r>
      <w:r>
        <w:t>adiposity</w:t>
      </w:r>
      <w:r w:rsidR="003C7FB2">
        <w:t xml:space="preserve"> </w:t>
      </w:r>
      <w:r>
        <w:t>if</w:t>
      </w:r>
      <w:r w:rsidR="003C7FB2">
        <w:t xml:space="preserve"> </w:t>
      </w:r>
      <w:r>
        <w:t>the</w:t>
      </w:r>
      <w:r w:rsidR="003C7FB2">
        <w:t xml:space="preserve"> </w:t>
      </w:r>
      <w:r>
        <w:t>association</w:t>
      </w:r>
      <w:r w:rsidR="003C7FB2">
        <w:t xml:space="preserve"> </w:t>
      </w:r>
      <w:r w:rsidR="00461ABE">
        <w:t>were</w:t>
      </w:r>
      <w:r w:rsidR="003C7FB2">
        <w:t xml:space="preserve"> </w:t>
      </w:r>
      <w:r>
        <w:t>mediated</w:t>
      </w:r>
      <w:r w:rsidR="003C7FB2">
        <w:t xml:space="preserve"> </w:t>
      </w:r>
      <w:r>
        <w:t>through</w:t>
      </w:r>
      <w:r w:rsidR="003C7FB2">
        <w:t xml:space="preserve"> </w:t>
      </w:r>
      <w:r>
        <w:t>energy</w:t>
      </w:r>
      <w:r w:rsidR="003C7FB2">
        <w:t xml:space="preserve"> </w:t>
      </w:r>
      <w:r>
        <w:t>expenditure.</w:t>
      </w:r>
      <w:r w:rsidR="003C7FB2">
        <w:t xml:space="preserve"> </w:t>
      </w:r>
      <w:r>
        <w:t>However,</w:t>
      </w:r>
      <w:r w:rsidR="003C7FB2">
        <w:t xml:space="preserve"> </w:t>
      </w:r>
      <w:r w:rsidR="006A012D" w:rsidRPr="007F5802">
        <w:t>we</w:t>
      </w:r>
      <w:r w:rsidR="003C7FB2">
        <w:t xml:space="preserve"> </w:t>
      </w:r>
      <w:r w:rsidR="006A012D" w:rsidRPr="007F5802">
        <w:t>only</w:t>
      </w:r>
      <w:r w:rsidR="003C7FB2">
        <w:t xml:space="preserve"> </w:t>
      </w:r>
      <w:r w:rsidR="006A012D" w:rsidRPr="007F5802">
        <w:t>ob</w:t>
      </w:r>
      <w:r>
        <w:t>served</w:t>
      </w:r>
      <w:r w:rsidR="003C7FB2">
        <w:t xml:space="preserve"> </w:t>
      </w:r>
      <w:r>
        <w:t>partial</w:t>
      </w:r>
      <w:r w:rsidR="003C7FB2">
        <w:t xml:space="preserve"> </w:t>
      </w:r>
      <w:r>
        <w:t>attenuation.</w:t>
      </w:r>
      <w:r w:rsidR="003C7FB2">
        <w:t xml:space="preserve"> </w:t>
      </w:r>
      <w:r>
        <w:t>This</w:t>
      </w:r>
      <w:r w:rsidR="003C7FB2">
        <w:t xml:space="preserve"> </w:t>
      </w:r>
      <w:r>
        <w:t>lack</w:t>
      </w:r>
      <w:r w:rsidR="003C7FB2">
        <w:t xml:space="preserve"> </w:t>
      </w:r>
      <w:r>
        <w:t>of</w:t>
      </w:r>
      <w:r w:rsidR="003C7FB2">
        <w:t xml:space="preserve"> </w:t>
      </w:r>
      <w:r>
        <w:t>full</w:t>
      </w:r>
      <w:r w:rsidR="003C7FB2">
        <w:t xml:space="preserve"> </w:t>
      </w:r>
      <w:r>
        <w:t>attenuation</w:t>
      </w:r>
      <w:r w:rsidR="003C7FB2">
        <w:t xml:space="preserve"> </w:t>
      </w:r>
      <w:r w:rsidR="006A012D" w:rsidRPr="007F5802">
        <w:t>may</w:t>
      </w:r>
      <w:r w:rsidR="003C7FB2">
        <w:t xml:space="preserve"> </w:t>
      </w:r>
      <w:r w:rsidR="00461ABE">
        <w:t>reflect</w:t>
      </w:r>
      <w:r w:rsidR="003C7FB2">
        <w:t xml:space="preserve"> </w:t>
      </w:r>
      <w:r>
        <w:t>measurement</w:t>
      </w:r>
      <w:r w:rsidR="003C7FB2">
        <w:t xml:space="preserve"> </w:t>
      </w:r>
      <w:r>
        <w:t>error,</w:t>
      </w:r>
      <w:r w:rsidR="003C7FB2">
        <w:t xml:space="preserve"> </w:t>
      </w:r>
      <w:r>
        <w:t>failure</w:t>
      </w:r>
      <w:r w:rsidR="003C7FB2">
        <w:t xml:space="preserve"> </w:t>
      </w:r>
      <w:r>
        <w:t>to</w:t>
      </w:r>
      <w:r w:rsidR="003C7FB2">
        <w:t xml:space="preserve"> </w:t>
      </w:r>
      <w:r w:rsidR="007F5802" w:rsidRPr="007F5802">
        <w:t>account</w:t>
      </w:r>
      <w:r w:rsidR="003C7FB2">
        <w:t xml:space="preserve"> </w:t>
      </w:r>
      <w:r w:rsidR="007F5802" w:rsidRPr="007F5802">
        <w:t>for</w:t>
      </w:r>
      <w:r w:rsidR="003C7FB2">
        <w:t xml:space="preserve"> </w:t>
      </w:r>
      <w:r w:rsidR="007F5802" w:rsidRPr="007F5802">
        <w:t>past</w:t>
      </w:r>
      <w:r w:rsidR="003C7FB2">
        <w:t xml:space="preserve"> </w:t>
      </w:r>
      <w:r w:rsidR="007F5802" w:rsidRPr="007F5802">
        <w:t>PAEE</w:t>
      </w:r>
      <w:r w:rsidR="003C7FB2">
        <w:t xml:space="preserve"> </w:t>
      </w:r>
      <w:r w:rsidR="007F5802" w:rsidRPr="007F5802">
        <w:t>or</w:t>
      </w:r>
      <w:r w:rsidR="003C7FB2">
        <w:t xml:space="preserve"> </w:t>
      </w:r>
      <w:r>
        <w:t>the</w:t>
      </w:r>
      <w:r w:rsidR="003C7FB2">
        <w:t xml:space="preserve"> </w:t>
      </w:r>
      <w:r>
        <w:t>existence</w:t>
      </w:r>
      <w:r w:rsidR="003C7FB2">
        <w:t xml:space="preserve"> </w:t>
      </w:r>
      <w:r>
        <w:t>of</w:t>
      </w:r>
      <w:r w:rsidR="003C7FB2">
        <w:t xml:space="preserve"> </w:t>
      </w:r>
      <w:r w:rsidR="00E8152C">
        <w:t>other</w:t>
      </w:r>
      <w:r w:rsidR="003C7FB2">
        <w:t xml:space="preserve"> </w:t>
      </w:r>
      <w:r w:rsidR="00E8152C">
        <w:t>pathways</w:t>
      </w:r>
      <w:r w:rsidR="003C7FB2">
        <w:t xml:space="preserve"> </w:t>
      </w:r>
      <w:r w:rsidR="00E8152C">
        <w:t>between</w:t>
      </w:r>
      <w:r w:rsidR="003C7FB2">
        <w:t xml:space="preserve"> </w:t>
      </w:r>
      <w:r w:rsidR="007F5802" w:rsidRPr="007F5802">
        <w:t>commuting</w:t>
      </w:r>
      <w:r w:rsidR="003C7FB2">
        <w:t xml:space="preserve"> </w:t>
      </w:r>
      <w:r w:rsidR="007F5802" w:rsidRPr="007F5802">
        <w:t>and</w:t>
      </w:r>
      <w:r w:rsidR="003C7FB2">
        <w:t xml:space="preserve"> </w:t>
      </w:r>
      <w:r w:rsidR="007F5802" w:rsidRPr="007F5802">
        <w:t>adiposity</w:t>
      </w:r>
      <w:r w:rsidR="003C7FB2">
        <w:t xml:space="preserve"> </w:t>
      </w:r>
      <w:r w:rsidR="00E8152C">
        <w:t>(</w:t>
      </w:r>
      <w:r w:rsidR="00E8152C" w:rsidRPr="007F5802">
        <w:t>e.g.</w:t>
      </w:r>
      <w:r w:rsidR="003C7FB2">
        <w:t xml:space="preserve"> </w:t>
      </w:r>
      <w:r w:rsidR="00E8152C" w:rsidRPr="007F5802">
        <w:t>snacking</w:t>
      </w:r>
      <w:r w:rsidR="003C7FB2">
        <w:t xml:space="preserve"> </w:t>
      </w:r>
      <w:r w:rsidR="00E8152C" w:rsidRPr="007F5802">
        <w:t>in</w:t>
      </w:r>
      <w:r w:rsidR="003C7FB2">
        <w:t xml:space="preserve"> </w:t>
      </w:r>
      <w:r w:rsidR="00E8152C" w:rsidRPr="007F5802">
        <w:t>cars)</w:t>
      </w:r>
      <w:r w:rsidR="007F5802" w:rsidRPr="007F5802">
        <w:t>.</w:t>
      </w:r>
      <w:r w:rsidR="003C7FB2">
        <w:t xml:space="preserve"> </w:t>
      </w:r>
    </w:p>
    <w:p w14:paraId="210ED668" w14:textId="77777777" w:rsidR="00F86183" w:rsidRDefault="00F86183" w:rsidP="001F7BCD">
      <w:pPr>
        <w:spacing w:after="0" w:line="240" w:lineRule="auto"/>
      </w:pPr>
    </w:p>
    <w:p w14:paraId="082FACCD" w14:textId="2B1F08B8" w:rsidR="006F6888" w:rsidRPr="006F6888" w:rsidRDefault="006F6888" w:rsidP="006F6888">
      <w:pPr>
        <w:spacing w:after="0" w:line="240" w:lineRule="auto"/>
        <w:rPr>
          <w:u w:val="single"/>
        </w:rPr>
      </w:pPr>
      <w:r w:rsidRPr="006F6888">
        <w:rPr>
          <w:u w:val="single"/>
        </w:rPr>
        <w:t>Future</w:t>
      </w:r>
      <w:r w:rsidR="003C7FB2">
        <w:rPr>
          <w:u w:val="single"/>
        </w:rPr>
        <w:t xml:space="preserve"> </w:t>
      </w:r>
      <w:r w:rsidRPr="006F6888">
        <w:rPr>
          <w:u w:val="single"/>
        </w:rPr>
        <w:t>Research</w:t>
      </w:r>
      <w:r w:rsidR="003C7FB2">
        <w:rPr>
          <w:u w:val="single"/>
        </w:rPr>
        <w:t xml:space="preserve"> </w:t>
      </w:r>
    </w:p>
    <w:p w14:paraId="01221159" w14:textId="77777777" w:rsidR="006F6888" w:rsidRDefault="006F6888" w:rsidP="001F7BCD">
      <w:pPr>
        <w:spacing w:after="0" w:line="240" w:lineRule="auto"/>
      </w:pPr>
    </w:p>
    <w:p w14:paraId="61659A64" w14:textId="175E911E" w:rsidR="00B84104" w:rsidRDefault="00B84104" w:rsidP="001F7BCD">
      <w:pPr>
        <w:spacing w:after="0" w:line="240" w:lineRule="auto"/>
      </w:pPr>
      <w:r>
        <w:t>Future</w:t>
      </w:r>
      <w:r w:rsidR="003C7FB2">
        <w:t xml:space="preserve"> </w:t>
      </w:r>
      <w:r>
        <w:t>work</w:t>
      </w:r>
      <w:r w:rsidR="003C7FB2">
        <w:t xml:space="preserve"> </w:t>
      </w:r>
      <w:r w:rsidR="005C0461">
        <w:t>should</w:t>
      </w:r>
      <w:r w:rsidR="003C7FB2">
        <w:t xml:space="preserve"> </w:t>
      </w:r>
      <w:r w:rsidR="005C0461">
        <w:t>clarify</w:t>
      </w:r>
      <w:r w:rsidR="003C7FB2">
        <w:t xml:space="preserve"> </w:t>
      </w:r>
      <w:r w:rsidR="005C0461">
        <w:t>the</w:t>
      </w:r>
      <w:r w:rsidR="003C7FB2">
        <w:t xml:space="preserve"> </w:t>
      </w:r>
      <w:r w:rsidR="005C0461">
        <w:t>associations</w:t>
      </w:r>
      <w:r w:rsidR="003C7FB2">
        <w:t xml:space="preserve"> </w:t>
      </w:r>
      <w:r w:rsidR="00461ABE">
        <w:t>of</w:t>
      </w:r>
      <w:r w:rsidR="003C7FB2">
        <w:t xml:space="preserve"> </w:t>
      </w:r>
      <w:r w:rsidR="00461ABE">
        <w:t>adiposity</w:t>
      </w:r>
      <w:r w:rsidR="003C7FB2">
        <w:t xml:space="preserve"> </w:t>
      </w:r>
      <w:r w:rsidR="00461ABE">
        <w:t>with</w:t>
      </w:r>
      <w:r w:rsidR="003C7FB2">
        <w:t xml:space="preserve"> </w:t>
      </w:r>
      <w:r w:rsidR="00461ABE">
        <w:t>the</w:t>
      </w:r>
      <w:r w:rsidR="003C7FB2">
        <w:t xml:space="preserve"> </w:t>
      </w:r>
      <w:r>
        <w:t>dose,</w:t>
      </w:r>
      <w:r w:rsidR="003C7FB2">
        <w:t xml:space="preserve"> </w:t>
      </w:r>
      <w:r>
        <w:t>frequency,</w:t>
      </w:r>
      <w:r w:rsidR="003C7FB2">
        <w:t xml:space="preserve"> </w:t>
      </w:r>
      <w:r>
        <w:t>intensity</w:t>
      </w:r>
      <w:r w:rsidR="003C7FB2">
        <w:t xml:space="preserve"> </w:t>
      </w:r>
      <w:r>
        <w:t>and</w:t>
      </w:r>
      <w:r w:rsidR="003C7FB2">
        <w:t xml:space="preserve"> </w:t>
      </w:r>
      <w:r>
        <w:t>patterns</w:t>
      </w:r>
      <w:r w:rsidR="003C7FB2">
        <w:t xml:space="preserve"> </w:t>
      </w:r>
      <w:r>
        <w:t>of</w:t>
      </w:r>
      <w:r w:rsidR="003C7FB2">
        <w:t xml:space="preserve"> </w:t>
      </w:r>
      <w:r>
        <w:t>active</w:t>
      </w:r>
      <w:r w:rsidR="003C7FB2">
        <w:t xml:space="preserve"> </w:t>
      </w:r>
      <w:r>
        <w:t>travel.</w:t>
      </w:r>
      <w:r w:rsidR="003C7FB2">
        <w:t xml:space="preserve"> </w:t>
      </w:r>
      <w:r>
        <w:t>This</w:t>
      </w:r>
      <w:r w:rsidR="003C7FB2">
        <w:t xml:space="preserve"> </w:t>
      </w:r>
      <w:r>
        <w:t>is</w:t>
      </w:r>
      <w:r w:rsidR="003C7FB2">
        <w:t xml:space="preserve"> </w:t>
      </w:r>
      <w:r>
        <w:t>likely</w:t>
      </w:r>
      <w:r w:rsidR="003C7FB2">
        <w:t xml:space="preserve"> </w:t>
      </w:r>
      <w:r>
        <w:t>to</w:t>
      </w:r>
      <w:r w:rsidR="003C7FB2">
        <w:t xml:space="preserve"> </w:t>
      </w:r>
      <w:r>
        <w:t>necessitate</w:t>
      </w:r>
      <w:r w:rsidR="003C7FB2">
        <w:t xml:space="preserve"> </w:t>
      </w:r>
      <w:r>
        <w:t>using</w:t>
      </w:r>
      <w:r w:rsidR="003C7FB2">
        <w:t xml:space="preserve"> </w:t>
      </w:r>
      <w:r>
        <w:t>objective</w:t>
      </w:r>
      <w:r w:rsidR="003C7FB2">
        <w:t xml:space="preserve"> </w:t>
      </w:r>
      <w:r>
        <w:t>measures</w:t>
      </w:r>
      <w:r w:rsidR="003C7FB2">
        <w:t xml:space="preserve"> </w:t>
      </w:r>
      <w:r>
        <w:t>of</w:t>
      </w:r>
      <w:r w:rsidR="003C7FB2">
        <w:t xml:space="preserve"> </w:t>
      </w:r>
      <w:r>
        <w:t>active</w:t>
      </w:r>
      <w:r w:rsidR="003C7FB2">
        <w:t xml:space="preserve"> </w:t>
      </w:r>
      <w:r>
        <w:t>travel</w:t>
      </w:r>
      <w:r w:rsidR="003C7FB2">
        <w:t xml:space="preserve"> </w:t>
      </w:r>
      <w:r>
        <w:t>or</w:t>
      </w:r>
      <w:r w:rsidR="003C7FB2">
        <w:t xml:space="preserve"> </w:t>
      </w:r>
      <w:r>
        <w:t>detailed</w:t>
      </w:r>
      <w:r w:rsidR="003C7FB2">
        <w:t xml:space="preserve"> </w:t>
      </w:r>
      <w:r>
        <w:t>diary</w:t>
      </w:r>
      <w:r w:rsidR="003C7FB2">
        <w:t xml:space="preserve"> </w:t>
      </w:r>
      <w:r>
        <w:t>records</w:t>
      </w:r>
      <w:r w:rsidR="003C7FB2">
        <w:t xml:space="preserve"> </w:t>
      </w:r>
      <w:r>
        <w:t>of</w:t>
      </w:r>
      <w:r w:rsidR="003C7FB2">
        <w:t xml:space="preserve"> </w:t>
      </w:r>
      <w:r>
        <w:t>commuting</w:t>
      </w:r>
      <w:r w:rsidR="003C7FB2">
        <w:t xml:space="preserve"> </w:t>
      </w:r>
      <w:r>
        <w:t>behaviour</w:t>
      </w:r>
      <w:r w:rsidR="003210B1">
        <w:t>.</w:t>
      </w:r>
      <w:r w:rsidR="003C7FB2">
        <w:t xml:space="preserve"> </w:t>
      </w:r>
      <w:r>
        <w:t>Longitudinal</w:t>
      </w:r>
      <w:r w:rsidR="003C7FB2">
        <w:t xml:space="preserve"> </w:t>
      </w:r>
      <w:r>
        <w:t>analyses,</w:t>
      </w:r>
      <w:r w:rsidR="003C7FB2">
        <w:t xml:space="preserve"> </w:t>
      </w:r>
      <w:r>
        <w:t>particularly</w:t>
      </w:r>
      <w:r w:rsidR="003C7FB2">
        <w:t xml:space="preserve"> </w:t>
      </w:r>
      <w:r>
        <w:t>making</w:t>
      </w:r>
      <w:r w:rsidR="003C7FB2">
        <w:t xml:space="preserve"> </w:t>
      </w:r>
      <w:r>
        <w:t>use</w:t>
      </w:r>
      <w:r w:rsidR="003C7FB2">
        <w:t xml:space="preserve"> </w:t>
      </w:r>
      <w:r>
        <w:t>of</w:t>
      </w:r>
      <w:r w:rsidR="003C7FB2">
        <w:t xml:space="preserve"> </w:t>
      </w:r>
      <w:r>
        <w:t>changes</w:t>
      </w:r>
      <w:r w:rsidR="003C7FB2">
        <w:t xml:space="preserve"> </w:t>
      </w:r>
      <w:r>
        <w:t>in</w:t>
      </w:r>
      <w:r w:rsidR="003C7FB2">
        <w:t xml:space="preserve"> </w:t>
      </w:r>
      <w:r>
        <w:t>commute</w:t>
      </w:r>
      <w:r w:rsidR="003C7FB2">
        <w:t xml:space="preserve"> </w:t>
      </w:r>
      <w:r>
        <w:t>mode</w:t>
      </w:r>
      <w:r w:rsidR="003C7FB2">
        <w:t xml:space="preserve"> </w:t>
      </w:r>
      <w:r>
        <w:t>or</w:t>
      </w:r>
      <w:r w:rsidR="003C7FB2">
        <w:t xml:space="preserve"> </w:t>
      </w:r>
      <w:r>
        <w:t>time,</w:t>
      </w:r>
      <w:r>
        <w:fldChar w:fldCharType="begin" w:fldLock="1"/>
      </w:r>
      <w:r w:rsidR="000B07A6">
        <w:instrText>ADDIN CSL_CITATION { "citationItems" : [ { "id" : "ITEM-1", "itemData" : { "DOI" : "10.1136/jech-2014-205211", "ISSN" : "1470-2738", "PMID" : "25954024", "abstract" : "BACKGROUND: Active commuting is associated with various health benefits, but little is known about its causal relationship with body mass index (BMI).\n\nMETHODS: We used cohort data from three consecutive annual waves of the British Household Panel Survey, a longitudinal study of nationally representative households, in 2004/2005 (n=15\u2005791), 2005/2006 and 2006/2007. Participants selected for the analyses (n=4056) reported their usual main mode of travel to work at each time point. Self-reported height and weight were used to derive BMI at baseline and after 2\u2005years. Multivariable linear regression analyses were used to assess associations between switching to and from active modes of travel (over 1 and 2\u2005years) and change in BMI (over 2\u2005years) and to assess dose-response relationships.\n\nRESULTS: After adjustment for socioeconomic and health-related covariates, the first analysis (n=3269) showed that switching from private motor transport to active travel or public transport (n=179) was associated with a significant reduction in BMI compared with continued private motor vehicle use (n=3090; -0.32\u2005kg/m(2), 95% CI -0.60 to -0.05). Larger adjusted effect sizes were associated with switching to active travel (n=109; -0.45\u2005kg/m(2), -0.78 to -0.11), particularly among those who switched within the first year and those with the longest journeys. The second analysis (n=787) showed that switching from active travel or public transport to private motor transport was associated with a significant increase in BMI (0.34\u2005kg/m(2), 0.05 to 0.64).\n\nCONCLUSIONS: Interventions to enable commuters to switch from private motor transport to more active modes of travel could contribute to reducing population mean BMI.", "author" : [ { "dropping-particle" : "", "family" : "Martin", "given" : "Adam", "non-dropping-particle" : "", "parse-names" : false, "suffix" : "" }, { "dropping-particle" : "", "family" : "Panter", "given" : "Jenna", "non-dropping-particle" : "", "parse-names" : false, "suffix" : "" }, { "dropping-particle" : "", "family" : "Suhrcke", "given" : "Marc", "non-dropping-particle" : "", "parse-names" : false, "suffix" : "" }, { "dropping-particle" : "", "family" : "Ogilvie", "given" : "David", "non-dropping-particle" : "", "parse-names" : false, "suffix" : "" } ], "container-title" : "Journal of epidemiology and community health", "id" : "ITEM-1", "issue" : "8", "issued" : { "date-parts" : [ [ "2015", "5", "7" ] ] }, "page" : "753-61", "title" : "Impact of changes in mode of travel to work on changes in body mass index: evidence from the British Household Panel Survey.", "type" : "article-journal", "volume" : "69" }, "uris" : [ "http://www.mendeley.com/documents/?uuid=9729e467-b20c-4026-a548-9d0eb07535fc" ] }, { "id" : "ITEM-2", "itemData" : { "DOI" : "10.1016/j.ypmed.2016.06.014", "ISSN" : "00917435", "abstract" : "OBJECTIVE\nTo investigate the longitudinal associations between active commuting (walking and cycling to work) and body mass index (BMI). \n\nMETHOD\nWe used self-reported data on height, weight and active commuting from the Commuting and Health in Cambridge study (2009 to 2012; n=809). We used linear regression to test the associations between: a) maintenance of active commuting over one year and BMI at the end of that year; and b) change in weekly time spent in active commuting and change in BMI over one year. \n\nRESULTS\nAfter adjusting for sociodemographic variables, other physical activity, physical wellbeing and maintenance of walking, those who maintained cycle commuting reported a lower BMI on average at one year follow-up (1.14kg/m2, 95% CI: 0.30 to 1.98, n=579) than those who never cycled to work. No significant association remained after adjustment for baseline BMI. No significant associations were observed for maintenance of walking. An increase in walking was associated with a reduction in BMI (0.32kg/m2, 95% CI: 0.03 to 0.62, n=651, after adjustment for co-variates and baseline BMI) only when restricting the analysis to those who did not move. No other significant associations between changes in weekly time spent walking or cycling on the commute and changes in BMI were observed. \n\nCONCLUSIONS\nThis work provides further evidence of the contribution of active commuting, particularly cycling, to preventing weight gain or facilitating weight loss. The findings may be valuable for employees choosing how to commute and engaging employers in the promotion of active travel.", "author" : [ { "dropping-particle" : "", "family" : "Mytton", "given" : "Oliver Tristan", "non-dropping-particle" : "", "parse-names" : false, "suffix" : "" }, { "dropping-particle" : "", "family" : "Panter", "given" : "Jenna", "non-dropping-particle" : "", "parse-names" : false, "suffix" : "" }, { "dropping-particle" : "", "family" : "Ogilvie", "given" : "David", "non-dropping-particle" : "", "parse-names" : false, "suffix" : "" } ], "container-title" : "Preventive Medicine", "id" : "ITEM-2", "issued" : { "date-parts" : [ [ "2016" ] ] }, "page" : "1-7", "title" : "Longitudinal associations of active commuting with body mass index", "type" : "article-journal", "volume" : "90" }, "uris" : [ "http://www.mendeley.com/documents/?uuid=11c42899-4a63-4fdd-be71-93f3769567b7" ] } ], "mendeley" : { "formattedCitation" : "(Martin et al., 2015; Mytton et al., 2016)", "plainTextFormattedCitation" : "(Martin et al., 2015; Mytton et al., 2016)", "previouslyFormattedCitation" : "(Martin et al., 2015; Mytton et al., 2016)" }, "properties" : { "noteIndex" : 0 }, "schema" : "https://github.com/citation-style-language/schema/raw/master/csl-citation.json" }</w:instrText>
      </w:r>
      <w:r>
        <w:fldChar w:fldCharType="separate"/>
      </w:r>
      <w:r w:rsidR="00B71669" w:rsidRPr="00B71669">
        <w:rPr>
          <w:noProof/>
        </w:rPr>
        <w:t>(Martin et al., 2015; Mytton et al., 2016)</w:t>
      </w:r>
      <w:r>
        <w:fldChar w:fldCharType="end"/>
      </w:r>
      <w:r w:rsidR="003C7FB2">
        <w:t xml:space="preserve"> </w:t>
      </w:r>
      <w:r>
        <w:t>may</w:t>
      </w:r>
      <w:r w:rsidR="003C7FB2">
        <w:t xml:space="preserve"> </w:t>
      </w:r>
      <w:r>
        <w:t>yield</w:t>
      </w:r>
      <w:r w:rsidR="003C7FB2">
        <w:t xml:space="preserve"> </w:t>
      </w:r>
      <w:r>
        <w:t>more</w:t>
      </w:r>
      <w:r w:rsidR="003C7FB2">
        <w:t xml:space="preserve"> </w:t>
      </w:r>
      <w:r>
        <w:t>infor</w:t>
      </w:r>
      <w:r w:rsidR="00A21D48">
        <w:t>mative</w:t>
      </w:r>
      <w:r w:rsidR="003C7FB2">
        <w:t xml:space="preserve"> </w:t>
      </w:r>
      <w:r w:rsidR="00A21D48">
        <w:t>estimates</w:t>
      </w:r>
      <w:r w:rsidR="003C7FB2">
        <w:t xml:space="preserve"> </w:t>
      </w:r>
      <w:r w:rsidR="00A21D48">
        <w:t>of</w:t>
      </w:r>
      <w:r w:rsidR="003C7FB2">
        <w:t xml:space="preserve"> </w:t>
      </w:r>
      <w:r w:rsidR="00A21D48">
        <w:t>effect</w:t>
      </w:r>
      <w:r w:rsidR="003C7FB2">
        <w:t xml:space="preserve"> </w:t>
      </w:r>
      <w:r w:rsidR="00A21D48">
        <w:t>size</w:t>
      </w:r>
      <w:r w:rsidR="003C7FB2">
        <w:t xml:space="preserve"> </w:t>
      </w:r>
      <w:r w:rsidR="00A21D48">
        <w:t>from</w:t>
      </w:r>
      <w:r w:rsidR="003C7FB2">
        <w:t xml:space="preserve"> </w:t>
      </w:r>
      <w:r w:rsidR="00A21D48">
        <w:t>which</w:t>
      </w:r>
      <w:r w:rsidR="003C7FB2">
        <w:t xml:space="preserve"> </w:t>
      </w:r>
      <w:r w:rsidR="00461ABE">
        <w:t>stronger</w:t>
      </w:r>
      <w:r w:rsidR="003C7FB2">
        <w:t xml:space="preserve"> </w:t>
      </w:r>
      <w:r w:rsidR="00A21D48">
        <w:t>inference</w:t>
      </w:r>
      <w:r w:rsidR="003C7FB2">
        <w:t xml:space="preserve"> </w:t>
      </w:r>
      <w:r w:rsidR="00A21D48">
        <w:t>about</w:t>
      </w:r>
      <w:r w:rsidR="003C7FB2">
        <w:t xml:space="preserve"> </w:t>
      </w:r>
      <w:r w:rsidR="00A21D48">
        <w:t>the</w:t>
      </w:r>
      <w:r w:rsidR="003C7FB2">
        <w:t xml:space="preserve"> </w:t>
      </w:r>
      <w:r w:rsidR="00A21D48">
        <w:t>contribution</w:t>
      </w:r>
      <w:r w:rsidR="003C7FB2">
        <w:t xml:space="preserve"> </w:t>
      </w:r>
      <w:r w:rsidR="00A21D48">
        <w:t>of</w:t>
      </w:r>
      <w:r w:rsidR="003C7FB2">
        <w:t xml:space="preserve"> </w:t>
      </w:r>
      <w:r w:rsidR="00A21D48">
        <w:t>active</w:t>
      </w:r>
      <w:r w:rsidR="003C7FB2">
        <w:t xml:space="preserve"> </w:t>
      </w:r>
      <w:r w:rsidR="00A21D48">
        <w:t>tr</w:t>
      </w:r>
      <w:r w:rsidR="001547E7">
        <w:t>avel</w:t>
      </w:r>
      <w:r w:rsidR="003C7FB2">
        <w:t xml:space="preserve"> </w:t>
      </w:r>
      <w:r w:rsidR="001547E7">
        <w:t>to</w:t>
      </w:r>
      <w:r w:rsidR="003C7FB2">
        <w:t xml:space="preserve"> </w:t>
      </w:r>
      <w:r w:rsidR="001547E7">
        <w:t>population</w:t>
      </w:r>
      <w:r w:rsidR="003C7FB2">
        <w:t xml:space="preserve"> </w:t>
      </w:r>
      <w:r w:rsidR="001547E7">
        <w:t>health</w:t>
      </w:r>
      <w:r w:rsidR="003C7FB2">
        <w:t xml:space="preserve"> </w:t>
      </w:r>
      <w:r w:rsidR="001547E7">
        <w:t>could</w:t>
      </w:r>
      <w:r w:rsidR="003C7FB2">
        <w:t xml:space="preserve"> </w:t>
      </w:r>
      <w:r w:rsidR="001547E7">
        <w:t>be</w:t>
      </w:r>
      <w:r w:rsidR="003C7FB2">
        <w:t xml:space="preserve"> </w:t>
      </w:r>
      <w:r w:rsidR="001547E7">
        <w:t>made</w:t>
      </w:r>
      <w:r w:rsidR="00A21D48">
        <w:t>.</w:t>
      </w:r>
      <w:r w:rsidR="003C7FB2">
        <w:t xml:space="preserve"> </w:t>
      </w:r>
    </w:p>
    <w:p w14:paraId="11E0E505" w14:textId="77777777" w:rsidR="00B84104" w:rsidRDefault="00B84104" w:rsidP="001F7BCD">
      <w:pPr>
        <w:spacing w:after="0" w:line="240" w:lineRule="auto"/>
      </w:pPr>
    </w:p>
    <w:p w14:paraId="308C91E0" w14:textId="093629DA" w:rsidR="00F76B17" w:rsidRPr="00A21D48" w:rsidRDefault="00A21D48" w:rsidP="001F7BCD">
      <w:pPr>
        <w:spacing w:after="0" w:line="240" w:lineRule="auto"/>
        <w:rPr>
          <w:u w:val="single"/>
        </w:rPr>
      </w:pPr>
      <w:r w:rsidRPr="00A21D48">
        <w:rPr>
          <w:u w:val="single"/>
        </w:rPr>
        <w:t>Conclusions</w:t>
      </w:r>
    </w:p>
    <w:p w14:paraId="3453A2CA" w14:textId="00E82832" w:rsidR="002761DF" w:rsidRDefault="007140A0" w:rsidP="001F7BCD">
      <w:pPr>
        <w:spacing w:after="0" w:line="240" w:lineRule="auto"/>
      </w:pPr>
      <w:bookmarkStart w:id="9" w:name="_Hlk490737851"/>
      <w:r>
        <w:t xml:space="preserve">In our study active travel was associated with reduced visceral adipose tissue. Given past studies and the postulated role of visceral adipose tissue in the development of cardio-metabolic disease, it </w:t>
      </w:r>
      <w:r w:rsidR="007744F3">
        <w:t>provides</w:t>
      </w:r>
      <w:r w:rsidR="003C7FB2">
        <w:t xml:space="preserve"> </w:t>
      </w:r>
      <w:r w:rsidR="007744F3">
        <w:t>further</w:t>
      </w:r>
      <w:r w:rsidR="003C7FB2">
        <w:t xml:space="preserve"> </w:t>
      </w:r>
      <w:r w:rsidR="007744F3">
        <w:t>evidence</w:t>
      </w:r>
      <w:r w:rsidR="003C7FB2">
        <w:t xml:space="preserve"> </w:t>
      </w:r>
      <w:r w:rsidR="007744F3">
        <w:t>th</w:t>
      </w:r>
      <w:r>
        <w:t xml:space="preserve">at promoting </w:t>
      </w:r>
      <w:r w:rsidR="00E32F07">
        <w:t>active</w:t>
      </w:r>
      <w:r w:rsidR="003C7FB2">
        <w:t xml:space="preserve"> </w:t>
      </w:r>
      <w:r w:rsidR="00E32F07">
        <w:t>travel</w:t>
      </w:r>
      <w:r w:rsidR="003C7FB2">
        <w:t xml:space="preserve"> </w:t>
      </w:r>
      <w:r>
        <w:t>may contribute to</w:t>
      </w:r>
      <w:r w:rsidR="003C7FB2">
        <w:t xml:space="preserve"> </w:t>
      </w:r>
      <w:r w:rsidR="007A7FA4">
        <w:t>improving</w:t>
      </w:r>
      <w:r w:rsidR="003C7FB2">
        <w:t xml:space="preserve"> </w:t>
      </w:r>
      <w:r w:rsidR="007A7FA4">
        <w:t>cardio-metabolic</w:t>
      </w:r>
      <w:r w:rsidR="003C7FB2">
        <w:t xml:space="preserve"> </w:t>
      </w:r>
      <w:r w:rsidR="007A7FA4">
        <w:t>health</w:t>
      </w:r>
      <w:r w:rsidR="007744F3">
        <w:t>.</w:t>
      </w:r>
      <w:r w:rsidR="003C7FB2">
        <w:t xml:space="preserve"> </w:t>
      </w:r>
      <w:bookmarkEnd w:id="9"/>
      <w:r w:rsidR="00CE6EF9">
        <w:t>Of</w:t>
      </w:r>
      <w:r w:rsidR="003C7FB2">
        <w:t xml:space="preserve"> </w:t>
      </w:r>
      <w:r w:rsidR="00CE6EF9">
        <w:t>particular</w:t>
      </w:r>
      <w:r w:rsidR="003C7FB2">
        <w:t xml:space="preserve"> </w:t>
      </w:r>
      <w:r w:rsidR="00CE6EF9">
        <w:t>importance</w:t>
      </w:r>
      <w:r w:rsidR="002F576D">
        <w:t>,</w:t>
      </w:r>
      <w:r w:rsidR="003C7FB2">
        <w:t xml:space="preserve"> </w:t>
      </w:r>
      <w:r w:rsidR="00CE6EF9">
        <w:t>we</w:t>
      </w:r>
      <w:r w:rsidR="003C7FB2">
        <w:t xml:space="preserve"> </w:t>
      </w:r>
      <w:r w:rsidR="00CE6EF9">
        <w:t>have</w:t>
      </w:r>
      <w:r w:rsidR="003C7FB2">
        <w:t xml:space="preserve"> </w:t>
      </w:r>
      <w:r w:rsidR="00CE6EF9">
        <w:t>shown</w:t>
      </w:r>
      <w:r w:rsidR="003C7FB2">
        <w:t xml:space="preserve"> </w:t>
      </w:r>
      <w:r w:rsidR="00CE6EF9">
        <w:t>that</w:t>
      </w:r>
      <w:r w:rsidR="003C7FB2">
        <w:t xml:space="preserve"> </w:t>
      </w:r>
      <w:r w:rsidR="00CE6EF9">
        <w:t>incorporating</w:t>
      </w:r>
      <w:r w:rsidR="003C7FB2">
        <w:t xml:space="preserve"> </w:t>
      </w:r>
      <w:r w:rsidR="00CE6EF9">
        <w:t>active</w:t>
      </w:r>
      <w:r w:rsidR="003C7FB2">
        <w:t xml:space="preserve"> </w:t>
      </w:r>
      <w:r w:rsidR="00CE6EF9">
        <w:t>travel</w:t>
      </w:r>
      <w:r w:rsidR="003C7FB2">
        <w:t xml:space="preserve"> </w:t>
      </w:r>
      <w:r w:rsidR="00CE6EF9">
        <w:t>into</w:t>
      </w:r>
      <w:r w:rsidR="003C7FB2">
        <w:t xml:space="preserve"> </w:t>
      </w:r>
      <w:r w:rsidR="00CE6EF9">
        <w:t>long-distance</w:t>
      </w:r>
      <w:r w:rsidR="003C7FB2">
        <w:t xml:space="preserve"> </w:t>
      </w:r>
      <w:r w:rsidR="00CE6EF9">
        <w:t>commutes</w:t>
      </w:r>
      <w:r w:rsidR="003C7FB2">
        <w:t xml:space="preserve"> </w:t>
      </w:r>
      <w:r w:rsidR="00CE6EF9">
        <w:t>is</w:t>
      </w:r>
      <w:r w:rsidR="003C7FB2">
        <w:t xml:space="preserve"> </w:t>
      </w:r>
      <w:r w:rsidR="00CE6EF9">
        <w:t>asso</w:t>
      </w:r>
      <w:r w:rsidR="0026238C">
        <w:t>ciated</w:t>
      </w:r>
      <w:r w:rsidR="003C7FB2">
        <w:t xml:space="preserve"> </w:t>
      </w:r>
      <w:r w:rsidR="0026238C">
        <w:t>with</w:t>
      </w:r>
      <w:r w:rsidR="003C7FB2">
        <w:t xml:space="preserve"> </w:t>
      </w:r>
      <w:r w:rsidR="0026238C">
        <w:t>reduced</w:t>
      </w:r>
      <w:r w:rsidR="003C7FB2">
        <w:t xml:space="preserve"> </w:t>
      </w:r>
      <w:r w:rsidR="0026238C">
        <w:t>adiposity.</w:t>
      </w:r>
      <w:r w:rsidR="003C7FB2">
        <w:t xml:space="preserve"> </w:t>
      </w:r>
      <w:r w:rsidR="0026238C">
        <w:t>Enabling</w:t>
      </w:r>
      <w:r w:rsidR="003C7FB2">
        <w:t xml:space="preserve"> </w:t>
      </w:r>
      <w:r w:rsidR="0026238C">
        <w:t>long-distance</w:t>
      </w:r>
      <w:r w:rsidR="003C7FB2">
        <w:t xml:space="preserve"> </w:t>
      </w:r>
      <w:r w:rsidR="0026238C">
        <w:t>commuters</w:t>
      </w:r>
      <w:r w:rsidR="003C7FB2">
        <w:t xml:space="preserve"> </w:t>
      </w:r>
      <w:r w:rsidR="0026238C">
        <w:t>to</w:t>
      </w:r>
      <w:r w:rsidR="003C7FB2">
        <w:t xml:space="preserve"> </w:t>
      </w:r>
      <w:r w:rsidR="0026238C">
        <w:t>do</w:t>
      </w:r>
      <w:r w:rsidR="003C7FB2">
        <w:t xml:space="preserve"> </w:t>
      </w:r>
      <w:r w:rsidR="0026238C">
        <w:t>this</w:t>
      </w:r>
      <w:r w:rsidR="003C7FB2">
        <w:t xml:space="preserve"> </w:t>
      </w:r>
      <w:r w:rsidR="0026238C">
        <w:t>may</w:t>
      </w:r>
      <w:r w:rsidR="003C7FB2">
        <w:t xml:space="preserve"> </w:t>
      </w:r>
      <w:r w:rsidR="0026238C">
        <w:t>require</w:t>
      </w:r>
      <w:r w:rsidR="003C7FB2">
        <w:t xml:space="preserve"> </w:t>
      </w:r>
      <w:r w:rsidR="0026238C">
        <w:t>facilities</w:t>
      </w:r>
      <w:r w:rsidR="003C7FB2">
        <w:t xml:space="preserve"> </w:t>
      </w:r>
      <w:r w:rsidR="0026238C">
        <w:t>that</w:t>
      </w:r>
      <w:r w:rsidR="003C7FB2">
        <w:t xml:space="preserve"> </w:t>
      </w:r>
      <w:r w:rsidR="0026238C">
        <w:t>enable</w:t>
      </w:r>
      <w:r w:rsidR="003C7FB2">
        <w:t xml:space="preserve"> </w:t>
      </w:r>
      <w:r w:rsidR="0026238C">
        <w:t>walking</w:t>
      </w:r>
      <w:r w:rsidR="003C7FB2">
        <w:t xml:space="preserve"> </w:t>
      </w:r>
      <w:r w:rsidR="0026238C">
        <w:t>or</w:t>
      </w:r>
      <w:r w:rsidR="003C7FB2">
        <w:t xml:space="preserve"> </w:t>
      </w:r>
      <w:r w:rsidR="0026238C">
        <w:t>cycling</w:t>
      </w:r>
      <w:r w:rsidR="003C7FB2">
        <w:t xml:space="preserve"> </w:t>
      </w:r>
      <w:r w:rsidR="0026238C">
        <w:t>in</w:t>
      </w:r>
      <w:r w:rsidR="003C7FB2">
        <w:t xml:space="preserve"> </w:t>
      </w:r>
      <w:r w:rsidR="0026238C">
        <w:t>combination</w:t>
      </w:r>
      <w:r w:rsidR="003C7FB2">
        <w:t xml:space="preserve"> </w:t>
      </w:r>
      <w:r w:rsidR="0026238C">
        <w:t>with</w:t>
      </w:r>
      <w:r w:rsidR="003C7FB2">
        <w:t xml:space="preserve"> </w:t>
      </w:r>
      <w:r w:rsidR="0026238C">
        <w:t>car-use</w:t>
      </w:r>
      <w:r w:rsidR="003C7FB2">
        <w:t xml:space="preserve"> </w:t>
      </w:r>
      <w:r w:rsidR="0026238C">
        <w:t>and</w:t>
      </w:r>
      <w:r w:rsidR="003C7FB2">
        <w:t xml:space="preserve"> </w:t>
      </w:r>
      <w:r w:rsidR="0026238C">
        <w:t>public</w:t>
      </w:r>
      <w:r w:rsidR="003C7FB2">
        <w:t xml:space="preserve"> </w:t>
      </w:r>
      <w:r w:rsidR="0026238C">
        <w:t>transport.</w:t>
      </w:r>
      <w:r w:rsidR="003C7FB2">
        <w:t xml:space="preserve"> </w:t>
      </w:r>
    </w:p>
    <w:p w14:paraId="238693B7" w14:textId="77777777" w:rsidR="002761DF" w:rsidRDefault="002761DF">
      <w:r>
        <w:br w:type="page"/>
      </w:r>
    </w:p>
    <w:p w14:paraId="2B3C25D2" w14:textId="2B02448C" w:rsidR="00D9387F" w:rsidRDefault="00D9387F" w:rsidP="002761DF">
      <w:pPr>
        <w:pStyle w:val="NormalWeb"/>
        <w:rPr>
          <w:rFonts w:asciiTheme="minorHAnsi" w:hAnsiTheme="minorHAnsi"/>
          <w:b/>
          <w:sz w:val="22"/>
          <w:szCs w:val="22"/>
        </w:rPr>
      </w:pPr>
      <w:r w:rsidRPr="00D9387F">
        <w:rPr>
          <w:rFonts w:asciiTheme="minorHAnsi" w:hAnsiTheme="minorHAnsi"/>
          <w:b/>
          <w:sz w:val="22"/>
          <w:szCs w:val="22"/>
        </w:rPr>
        <w:t>Author</w:t>
      </w:r>
      <w:r w:rsidR="003C7FB2">
        <w:rPr>
          <w:rFonts w:asciiTheme="minorHAnsi" w:hAnsiTheme="minorHAnsi"/>
          <w:b/>
          <w:sz w:val="22"/>
          <w:szCs w:val="22"/>
        </w:rPr>
        <w:t xml:space="preserve"> </w:t>
      </w:r>
      <w:r w:rsidRPr="00D9387F">
        <w:rPr>
          <w:rFonts w:asciiTheme="minorHAnsi" w:hAnsiTheme="minorHAnsi"/>
          <w:b/>
          <w:sz w:val="22"/>
          <w:szCs w:val="22"/>
        </w:rPr>
        <w:t>contribution</w:t>
      </w:r>
    </w:p>
    <w:p w14:paraId="4610F14E" w14:textId="6BA8ABC4" w:rsidR="002C3B33" w:rsidRDefault="00F5385A" w:rsidP="002761DF">
      <w:pPr>
        <w:pStyle w:val="NormalWeb"/>
        <w:rPr>
          <w:rFonts w:asciiTheme="minorHAnsi" w:hAnsiTheme="minorHAnsi"/>
          <w:sz w:val="22"/>
          <w:szCs w:val="22"/>
        </w:rPr>
      </w:pPr>
      <w:r>
        <w:rPr>
          <w:rFonts w:asciiTheme="minorHAnsi" w:hAnsiTheme="minorHAnsi"/>
          <w:sz w:val="22"/>
          <w:szCs w:val="22"/>
        </w:rPr>
        <w:t>NW,</w:t>
      </w:r>
      <w:r w:rsidR="003C7FB2">
        <w:rPr>
          <w:rFonts w:asciiTheme="minorHAnsi" w:hAnsiTheme="minorHAnsi"/>
          <w:sz w:val="22"/>
          <w:szCs w:val="22"/>
        </w:rPr>
        <w:t xml:space="preserve"> </w:t>
      </w:r>
      <w:r>
        <w:rPr>
          <w:rFonts w:asciiTheme="minorHAnsi" w:hAnsiTheme="minorHAnsi"/>
          <w:sz w:val="22"/>
          <w:szCs w:val="22"/>
        </w:rPr>
        <w:t>SG</w:t>
      </w:r>
      <w:r w:rsidR="003C7FB2">
        <w:rPr>
          <w:rFonts w:asciiTheme="minorHAnsi" w:hAnsiTheme="minorHAnsi"/>
          <w:sz w:val="22"/>
          <w:szCs w:val="22"/>
        </w:rPr>
        <w:t xml:space="preserve"> </w:t>
      </w:r>
      <w:r>
        <w:rPr>
          <w:rFonts w:asciiTheme="minorHAnsi" w:hAnsiTheme="minorHAnsi"/>
          <w:sz w:val="22"/>
          <w:szCs w:val="22"/>
        </w:rPr>
        <w:t>and</w:t>
      </w:r>
      <w:r w:rsidR="003C7FB2">
        <w:rPr>
          <w:rFonts w:asciiTheme="minorHAnsi" w:hAnsiTheme="minorHAnsi"/>
          <w:sz w:val="22"/>
          <w:szCs w:val="22"/>
        </w:rPr>
        <w:t xml:space="preserve"> </w:t>
      </w:r>
      <w:r>
        <w:rPr>
          <w:rFonts w:asciiTheme="minorHAnsi" w:hAnsiTheme="minorHAnsi"/>
          <w:sz w:val="22"/>
          <w:szCs w:val="22"/>
        </w:rPr>
        <w:t>SB</w:t>
      </w:r>
      <w:r w:rsidR="003C7FB2">
        <w:rPr>
          <w:rFonts w:asciiTheme="minorHAnsi" w:hAnsiTheme="minorHAnsi"/>
          <w:sz w:val="22"/>
          <w:szCs w:val="22"/>
        </w:rPr>
        <w:t xml:space="preserve"> </w:t>
      </w:r>
      <w:r>
        <w:rPr>
          <w:rFonts w:asciiTheme="minorHAnsi" w:hAnsiTheme="minorHAnsi"/>
          <w:sz w:val="22"/>
          <w:szCs w:val="22"/>
        </w:rPr>
        <w:t>are</w:t>
      </w:r>
      <w:r w:rsidR="003C7FB2">
        <w:rPr>
          <w:rFonts w:asciiTheme="minorHAnsi" w:hAnsiTheme="minorHAnsi"/>
          <w:sz w:val="22"/>
          <w:szCs w:val="22"/>
        </w:rPr>
        <w:t xml:space="preserve"> </w:t>
      </w:r>
      <w:r>
        <w:rPr>
          <w:rFonts w:asciiTheme="minorHAnsi" w:hAnsiTheme="minorHAnsi"/>
          <w:sz w:val="22"/>
          <w:szCs w:val="22"/>
        </w:rPr>
        <w:t>PIs</w:t>
      </w:r>
      <w:r w:rsidR="003C7FB2">
        <w:rPr>
          <w:rFonts w:asciiTheme="minorHAnsi" w:hAnsiTheme="minorHAnsi"/>
          <w:sz w:val="22"/>
          <w:szCs w:val="22"/>
        </w:rPr>
        <w:t xml:space="preserve"> </w:t>
      </w:r>
      <w:r>
        <w:rPr>
          <w:rFonts w:asciiTheme="minorHAnsi" w:hAnsiTheme="minorHAnsi"/>
          <w:sz w:val="22"/>
          <w:szCs w:val="22"/>
        </w:rPr>
        <w:t>of</w:t>
      </w:r>
      <w:r w:rsidR="003C7FB2">
        <w:rPr>
          <w:rFonts w:asciiTheme="minorHAnsi" w:hAnsiTheme="minorHAnsi"/>
          <w:sz w:val="22"/>
          <w:szCs w:val="22"/>
        </w:rPr>
        <w:t xml:space="preserve"> </w:t>
      </w:r>
      <w:r w:rsidR="00D9387F">
        <w:rPr>
          <w:rFonts w:asciiTheme="minorHAnsi" w:hAnsiTheme="minorHAnsi"/>
          <w:sz w:val="22"/>
          <w:szCs w:val="22"/>
        </w:rPr>
        <w:t>the</w:t>
      </w:r>
      <w:r w:rsidR="003C7FB2">
        <w:rPr>
          <w:rFonts w:asciiTheme="minorHAnsi" w:hAnsiTheme="minorHAnsi"/>
          <w:sz w:val="22"/>
          <w:szCs w:val="22"/>
        </w:rPr>
        <w:t xml:space="preserve"> </w:t>
      </w:r>
      <w:r w:rsidR="00D9387F">
        <w:rPr>
          <w:rFonts w:asciiTheme="minorHAnsi" w:hAnsiTheme="minorHAnsi"/>
          <w:sz w:val="22"/>
          <w:szCs w:val="22"/>
        </w:rPr>
        <w:t>F</w:t>
      </w:r>
      <w:r w:rsidR="006A7CCF">
        <w:rPr>
          <w:rFonts w:asciiTheme="minorHAnsi" w:hAnsiTheme="minorHAnsi"/>
          <w:sz w:val="22"/>
          <w:szCs w:val="22"/>
        </w:rPr>
        <w:t>enland</w:t>
      </w:r>
      <w:r w:rsidR="003C7FB2">
        <w:rPr>
          <w:rFonts w:asciiTheme="minorHAnsi" w:hAnsiTheme="minorHAnsi"/>
          <w:sz w:val="22"/>
          <w:szCs w:val="22"/>
        </w:rPr>
        <w:t xml:space="preserve"> </w:t>
      </w:r>
      <w:r w:rsidR="006A7CCF">
        <w:rPr>
          <w:rFonts w:asciiTheme="minorHAnsi" w:hAnsiTheme="minorHAnsi"/>
          <w:sz w:val="22"/>
          <w:szCs w:val="22"/>
        </w:rPr>
        <w:t>study.</w:t>
      </w:r>
      <w:r w:rsidR="003C7FB2">
        <w:rPr>
          <w:rFonts w:asciiTheme="minorHAnsi" w:hAnsiTheme="minorHAnsi"/>
          <w:sz w:val="22"/>
          <w:szCs w:val="22"/>
        </w:rPr>
        <w:t xml:space="preserve"> </w:t>
      </w:r>
      <w:r w:rsidR="006A7CCF">
        <w:rPr>
          <w:rFonts w:asciiTheme="minorHAnsi" w:hAnsiTheme="minorHAnsi"/>
          <w:sz w:val="22"/>
          <w:szCs w:val="22"/>
        </w:rPr>
        <w:t>OM,</w:t>
      </w:r>
      <w:r w:rsidR="003C7FB2">
        <w:rPr>
          <w:rFonts w:asciiTheme="minorHAnsi" w:hAnsiTheme="minorHAnsi"/>
          <w:sz w:val="22"/>
          <w:szCs w:val="22"/>
        </w:rPr>
        <w:t xml:space="preserve"> </w:t>
      </w:r>
      <w:r w:rsidR="006A7CCF">
        <w:rPr>
          <w:rFonts w:asciiTheme="minorHAnsi" w:hAnsiTheme="minorHAnsi"/>
          <w:sz w:val="22"/>
          <w:szCs w:val="22"/>
        </w:rPr>
        <w:t>JP</w:t>
      </w:r>
      <w:r w:rsidR="003C7FB2">
        <w:rPr>
          <w:rFonts w:asciiTheme="minorHAnsi" w:hAnsiTheme="minorHAnsi"/>
          <w:sz w:val="22"/>
          <w:szCs w:val="22"/>
        </w:rPr>
        <w:t xml:space="preserve"> </w:t>
      </w:r>
      <w:r w:rsidR="006A7CCF">
        <w:rPr>
          <w:rFonts w:asciiTheme="minorHAnsi" w:hAnsiTheme="minorHAnsi"/>
          <w:sz w:val="22"/>
          <w:szCs w:val="22"/>
        </w:rPr>
        <w:t>and</w:t>
      </w:r>
      <w:r w:rsidR="003C7FB2">
        <w:rPr>
          <w:rFonts w:asciiTheme="minorHAnsi" w:hAnsiTheme="minorHAnsi"/>
          <w:sz w:val="22"/>
          <w:szCs w:val="22"/>
        </w:rPr>
        <w:t xml:space="preserve"> </w:t>
      </w:r>
      <w:r w:rsidR="006A7CCF">
        <w:rPr>
          <w:rFonts w:asciiTheme="minorHAnsi" w:hAnsiTheme="minorHAnsi"/>
          <w:sz w:val="22"/>
          <w:szCs w:val="22"/>
        </w:rPr>
        <w:t>DO</w:t>
      </w:r>
      <w:r w:rsidR="003C7FB2">
        <w:rPr>
          <w:rFonts w:asciiTheme="minorHAnsi" w:hAnsiTheme="minorHAnsi"/>
          <w:sz w:val="22"/>
          <w:szCs w:val="22"/>
        </w:rPr>
        <w:t xml:space="preserve"> </w:t>
      </w:r>
      <w:r w:rsidR="006A7CCF">
        <w:rPr>
          <w:rFonts w:asciiTheme="minorHAnsi" w:hAnsiTheme="minorHAnsi"/>
          <w:sz w:val="22"/>
          <w:szCs w:val="22"/>
        </w:rPr>
        <w:t>developed</w:t>
      </w:r>
      <w:r w:rsidR="003C7FB2">
        <w:rPr>
          <w:rFonts w:asciiTheme="minorHAnsi" w:hAnsiTheme="minorHAnsi"/>
          <w:sz w:val="22"/>
          <w:szCs w:val="22"/>
        </w:rPr>
        <w:t xml:space="preserve"> </w:t>
      </w:r>
      <w:r w:rsidR="006A7CCF">
        <w:rPr>
          <w:rFonts w:asciiTheme="minorHAnsi" w:hAnsiTheme="minorHAnsi"/>
          <w:sz w:val="22"/>
          <w:szCs w:val="22"/>
        </w:rPr>
        <w:t>the</w:t>
      </w:r>
      <w:r w:rsidR="003C7FB2">
        <w:rPr>
          <w:rFonts w:asciiTheme="minorHAnsi" w:hAnsiTheme="minorHAnsi"/>
          <w:sz w:val="22"/>
          <w:szCs w:val="22"/>
        </w:rPr>
        <w:t xml:space="preserve"> </w:t>
      </w:r>
      <w:r w:rsidR="006A7CCF">
        <w:rPr>
          <w:rFonts w:asciiTheme="minorHAnsi" w:hAnsiTheme="minorHAnsi"/>
          <w:sz w:val="22"/>
          <w:szCs w:val="22"/>
        </w:rPr>
        <w:t>study</w:t>
      </w:r>
      <w:r w:rsidR="003C7FB2">
        <w:rPr>
          <w:rFonts w:asciiTheme="minorHAnsi" w:hAnsiTheme="minorHAnsi"/>
          <w:sz w:val="22"/>
          <w:szCs w:val="22"/>
        </w:rPr>
        <w:t xml:space="preserve"> </w:t>
      </w:r>
      <w:r w:rsidR="006A7CCF">
        <w:rPr>
          <w:rFonts w:asciiTheme="minorHAnsi" w:hAnsiTheme="minorHAnsi"/>
          <w:sz w:val="22"/>
          <w:szCs w:val="22"/>
        </w:rPr>
        <w:t>question</w:t>
      </w:r>
      <w:r w:rsidR="003C7FB2">
        <w:rPr>
          <w:rFonts w:asciiTheme="minorHAnsi" w:hAnsiTheme="minorHAnsi"/>
          <w:sz w:val="22"/>
          <w:szCs w:val="22"/>
        </w:rPr>
        <w:t xml:space="preserve"> </w:t>
      </w:r>
      <w:r w:rsidR="006A7CCF">
        <w:rPr>
          <w:rFonts w:asciiTheme="minorHAnsi" w:hAnsiTheme="minorHAnsi"/>
          <w:sz w:val="22"/>
          <w:szCs w:val="22"/>
        </w:rPr>
        <w:t>and</w:t>
      </w:r>
      <w:r w:rsidR="003C7FB2">
        <w:rPr>
          <w:rFonts w:asciiTheme="minorHAnsi" w:hAnsiTheme="minorHAnsi"/>
          <w:sz w:val="22"/>
          <w:szCs w:val="22"/>
        </w:rPr>
        <w:t xml:space="preserve"> </w:t>
      </w:r>
      <w:r w:rsidR="006A7CCF">
        <w:rPr>
          <w:rFonts w:asciiTheme="minorHAnsi" w:hAnsiTheme="minorHAnsi"/>
          <w:sz w:val="22"/>
          <w:szCs w:val="22"/>
        </w:rPr>
        <w:t>analytic</w:t>
      </w:r>
      <w:r w:rsidR="003C7FB2">
        <w:rPr>
          <w:rFonts w:asciiTheme="minorHAnsi" w:hAnsiTheme="minorHAnsi"/>
          <w:sz w:val="22"/>
          <w:szCs w:val="22"/>
        </w:rPr>
        <w:t xml:space="preserve"> </w:t>
      </w:r>
      <w:r w:rsidR="006A7CCF" w:rsidRPr="002C3B33">
        <w:rPr>
          <w:rFonts w:asciiTheme="minorHAnsi" w:hAnsiTheme="minorHAnsi"/>
          <w:sz w:val="22"/>
          <w:szCs w:val="22"/>
        </w:rPr>
        <w:t>plan,</w:t>
      </w:r>
      <w:r w:rsidR="003C7FB2">
        <w:rPr>
          <w:rFonts w:asciiTheme="minorHAnsi" w:hAnsiTheme="minorHAnsi"/>
          <w:sz w:val="22"/>
          <w:szCs w:val="22"/>
        </w:rPr>
        <w:t xml:space="preserve"> </w:t>
      </w:r>
      <w:r w:rsidR="006A7CCF" w:rsidRPr="002C3B33">
        <w:rPr>
          <w:rFonts w:asciiTheme="minorHAnsi" w:hAnsiTheme="minorHAnsi"/>
          <w:sz w:val="22"/>
          <w:szCs w:val="22"/>
        </w:rPr>
        <w:t>with</w:t>
      </w:r>
      <w:r w:rsidR="003C7FB2">
        <w:rPr>
          <w:rFonts w:asciiTheme="minorHAnsi" w:hAnsiTheme="minorHAnsi"/>
          <w:sz w:val="22"/>
          <w:szCs w:val="22"/>
        </w:rPr>
        <w:t xml:space="preserve"> </w:t>
      </w:r>
      <w:r w:rsidR="006A7CCF" w:rsidRPr="002C3B33">
        <w:rPr>
          <w:rFonts w:asciiTheme="minorHAnsi" w:hAnsiTheme="minorHAnsi"/>
          <w:sz w:val="22"/>
          <w:szCs w:val="22"/>
        </w:rPr>
        <w:t>input</w:t>
      </w:r>
      <w:r w:rsidR="003C7FB2">
        <w:rPr>
          <w:rFonts w:asciiTheme="minorHAnsi" w:hAnsiTheme="minorHAnsi"/>
          <w:sz w:val="22"/>
          <w:szCs w:val="22"/>
        </w:rPr>
        <w:t xml:space="preserve"> </w:t>
      </w:r>
      <w:r w:rsidR="006A7CCF" w:rsidRPr="002C3B33">
        <w:rPr>
          <w:rFonts w:asciiTheme="minorHAnsi" w:hAnsiTheme="minorHAnsi"/>
          <w:sz w:val="22"/>
          <w:szCs w:val="22"/>
        </w:rPr>
        <w:t>from</w:t>
      </w:r>
      <w:r w:rsidR="003C7FB2">
        <w:rPr>
          <w:rFonts w:asciiTheme="minorHAnsi" w:hAnsiTheme="minorHAnsi"/>
          <w:sz w:val="22"/>
          <w:szCs w:val="22"/>
        </w:rPr>
        <w:t xml:space="preserve"> </w:t>
      </w:r>
      <w:r w:rsidR="00D9387F" w:rsidRPr="002C3B33">
        <w:rPr>
          <w:rFonts w:asciiTheme="minorHAnsi" w:hAnsiTheme="minorHAnsi"/>
          <w:sz w:val="22"/>
          <w:szCs w:val="22"/>
        </w:rPr>
        <w:t>SG</w:t>
      </w:r>
      <w:r w:rsidR="003C7FB2">
        <w:rPr>
          <w:rFonts w:asciiTheme="minorHAnsi" w:hAnsiTheme="minorHAnsi"/>
          <w:sz w:val="22"/>
          <w:szCs w:val="22"/>
        </w:rPr>
        <w:t xml:space="preserve"> </w:t>
      </w:r>
      <w:r w:rsidR="00D9387F" w:rsidRPr="002C3B33">
        <w:rPr>
          <w:rFonts w:asciiTheme="minorHAnsi" w:hAnsiTheme="minorHAnsi"/>
          <w:sz w:val="22"/>
          <w:szCs w:val="22"/>
        </w:rPr>
        <w:t>and</w:t>
      </w:r>
      <w:r w:rsidR="003C7FB2">
        <w:rPr>
          <w:rFonts w:asciiTheme="minorHAnsi" w:hAnsiTheme="minorHAnsi"/>
          <w:sz w:val="22"/>
          <w:szCs w:val="22"/>
        </w:rPr>
        <w:t xml:space="preserve"> </w:t>
      </w:r>
      <w:r w:rsidR="00D9387F" w:rsidRPr="002C3B33">
        <w:rPr>
          <w:rFonts w:asciiTheme="minorHAnsi" w:hAnsiTheme="minorHAnsi"/>
          <w:sz w:val="22"/>
          <w:szCs w:val="22"/>
        </w:rPr>
        <w:t>SB</w:t>
      </w:r>
      <w:r w:rsidR="006A7CCF" w:rsidRPr="002C3B33">
        <w:rPr>
          <w:rFonts w:asciiTheme="minorHAnsi" w:hAnsiTheme="minorHAnsi"/>
          <w:sz w:val="22"/>
          <w:szCs w:val="22"/>
        </w:rPr>
        <w:t>.</w:t>
      </w:r>
      <w:r w:rsidR="003C7FB2">
        <w:rPr>
          <w:rFonts w:asciiTheme="minorHAnsi" w:hAnsiTheme="minorHAnsi"/>
          <w:sz w:val="22"/>
          <w:szCs w:val="22"/>
        </w:rPr>
        <w:t xml:space="preserve"> </w:t>
      </w:r>
      <w:r w:rsidR="006A7CCF" w:rsidRPr="002C3B33">
        <w:rPr>
          <w:rFonts w:asciiTheme="minorHAnsi" w:hAnsiTheme="minorHAnsi"/>
          <w:sz w:val="22"/>
          <w:szCs w:val="22"/>
        </w:rPr>
        <w:t>OM</w:t>
      </w:r>
      <w:r w:rsidR="003C7FB2">
        <w:rPr>
          <w:rFonts w:asciiTheme="minorHAnsi" w:hAnsiTheme="minorHAnsi"/>
          <w:sz w:val="22"/>
          <w:szCs w:val="22"/>
        </w:rPr>
        <w:t xml:space="preserve"> </w:t>
      </w:r>
      <w:r w:rsidR="006A7CCF" w:rsidRPr="002C3B33">
        <w:rPr>
          <w:rFonts w:asciiTheme="minorHAnsi" w:hAnsiTheme="minorHAnsi"/>
          <w:sz w:val="22"/>
          <w:szCs w:val="22"/>
        </w:rPr>
        <w:t>analysed</w:t>
      </w:r>
      <w:r w:rsidR="003C7FB2">
        <w:rPr>
          <w:rFonts w:asciiTheme="minorHAnsi" w:hAnsiTheme="minorHAnsi"/>
          <w:sz w:val="22"/>
          <w:szCs w:val="22"/>
        </w:rPr>
        <w:t xml:space="preserve"> </w:t>
      </w:r>
      <w:r w:rsidR="006A7CCF" w:rsidRPr="002C3B33">
        <w:rPr>
          <w:rFonts w:asciiTheme="minorHAnsi" w:hAnsiTheme="minorHAnsi"/>
          <w:sz w:val="22"/>
          <w:szCs w:val="22"/>
        </w:rPr>
        <w:t>the</w:t>
      </w:r>
      <w:r w:rsidR="003C7FB2">
        <w:rPr>
          <w:rFonts w:asciiTheme="minorHAnsi" w:hAnsiTheme="minorHAnsi"/>
          <w:sz w:val="22"/>
          <w:szCs w:val="22"/>
        </w:rPr>
        <w:t xml:space="preserve"> </w:t>
      </w:r>
      <w:r w:rsidR="006A7CCF" w:rsidRPr="002C3B33">
        <w:rPr>
          <w:rFonts w:asciiTheme="minorHAnsi" w:hAnsiTheme="minorHAnsi"/>
          <w:sz w:val="22"/>
          <w:szCs w:val="22"/>
        </w:rPr>
        <w:t>data</w:t>
      </w:r>
      <w:r w:rsidR="003C7FB2">
        <w:rPr>
          <w:rFonts w:asciiTheme="minorHAnsi" w:hAnsiTheme="minorHAnsi"/>
          <w:sz w:val="22"/>
          <w:szCs w:val="22"/>
        </w:rPr>
        <w:t xml:space="preserve"> </w:t>
      </w:r>
      <w:r w:rsidR="006A7CCF" w:rsidRPr="002C3B33">
        <w:rPr>
          <w:rFonts w:asciiTheme="minorHAnsi" w:hAnsiTheme="minorHAnsi"/>
          <w:sz w:val="22"/>
          <w:szCs w:val="22"/>
        </w:rPr>
        <w:t>and</w:t>
      </w:r>
      <w:r w:rsidR="003C7FB2">
        <w:rPr>
          <w:rFonts w:asciiTheme="minorHAnsi" w:hAnsiTheme="minorHAnsi"/>
          <w:sz w:val="22"/>
          <w:szCs w:val="22"/>
        </w:rPr>
        <w:t xml:space="preserve"> </w:t>
      </w:r>
      <w:r w:rsidR="006A7CCF" w:rsidRPr="002C3B33">
        <w:rPr>
          <w:rFonts w:asciiTheme="minorHAnsi" w:hAnsiTheme="minorHAnsi"/>
          <w:sz w:val="22"/>
          <w:szCs w:val="22"/>
        </w:rPr>
        <w:t>drafted</w:t>
      </w:r>
      <w:r w:rsidR="003C7FB2">
        <w:rPr>
          <w:rFonts w:asciiTheme="minorHAnsi" w:hAnsiTheme="minorHAnsi"/>
          <w:sz w:val="22"/>
          <w:szCs w:val="22"/>
        </w:rPr>
        <w:t xml:space="preserve"> </w:t>
      </w:r>
      <w:r w:rsidR="006A7CCF" w:rsidRPr="002C3B33">
        <w:rPr>
          <w:rFonts w:asciiTheme="minorHAnsi" w:hAnsiTheme="minorHAnsi"/>
          <w:sz w:val="22"/>
          <w:szCs w:val="22"/>
        </w:rPr>
        <w:t>the</w:t>
      </w:r>
      <w:r w:rsidR="003C7FB2">
        <w:rPr>
          <w:rFonts w:asciiTheme="minorHAnsi" w:hAnsiTheme="minorHAnsi"/>
          <w:sz w:val="22"/>
          <w:szCs w:val="22"/>
        </w:rPr>
        <w:t xml:space="preserve"> </w:t>
      </w:r>
      <w:r w:rsidR="006A7CCF" w:rsidRPr="002C3B33">
        <w:rPr>
          <w:rFonts w:asciiTheme="minorHAnsi" w:hAnsiTheme="minorHAnsi"/>
          <w:sz w:val="22"/>
          <w:szCs w:val="22"/>
        </w:rPr>
        <w:t>manuscript.</w:t>
      </w:r>
      <w:r w:rsidR="003C7FB2">
        <w:rPr>
          <w:rFonts w:asciiTheme="minorHAnsi" w:hAnsiTheme="minorHAnsi"/>
          <w:sz w:val="22"/>
          <w:szCs w:val="22"/>
        </w:rPr>
        <w:t xml:space="preserve"> </w:t>
      </w:r>
      <w:r w:rsidR="00D9387F" w:rsidRPr="002C3B33">
        <w:rPr>
          <w:rFonts w:asciiTheme="minorHAnsi" w:hAnsiTheme="minorHAnsi"/>
          <w:sz w:val="22"/>
          <w:szCs w:val="22"/>
        </w:rPr>
        <w:t>All</w:t>
      </w:r>
      <w:r w:rsidR="003C7FB2">
        <w:rPr>
          <w:rFonts w:asciiTheme="minorHAnsi" w:hAnsiTheme="minorHAnsi"/>
          <w:sz w:val="22"/>
          <w:szCs w:val="22"/>
        </w:rPr>
        <w:t xml:space="preserve"> </w:t>
      </w:r>
      <w:r w:rsidR="00D9387F" w:rsidRPr="002C3B33">
        <w:rPr>
          <w:rFonts w:asciiTheme="minorHAnsi" w:hAnsiTheme="minorHAnsi"/>
          <w:sz w:val="22"/>
          <w:szCs w:val="22"/>
        </w:rPr>
        <w:t>authors</w:t>
      </w:r>
      <w:r w:rsidR="003C7FB2">
        <w:rPr>
          <w:rFonts w:asciiTheme="minorHAnsi" w:hAnsiTheme="minorHAnsi"/>
          <w:sz w:val="22"/>
          <w:szCs w:val="22"/>
        </w:rPr>
        <w:t xml:space="preserve"> </w:t>
      </w:r>
      <w:r w:rsidR="006A7CCF" w:rsidRPr="002C3B33">
        <w:rPr>
          <w:rFonts w:asciiTheme="minorHAnsi" w:hAnsiTheme="minorHAnsi"/>
          <w:sz w:val="22"/>
          <w:szCs w:val="22"/>
        </w:rPr>
        <w:t>critically</w:t>
      </w:r>
      <w:r w:rsidR="003C7FB2">
        <w:rPr>
          <w:rFonts w:asciiTheme="minorHAnsi" w:hAnsiTheme="minorHAnsi"/>
          <w:sz w:val="22"/>
          <w:szCs w:val="22"/>
        </w:rPr>
        <w:t xml:space="preserve"> </w:t>
      </w:r>
      <w:r w:rsidR="006A7CCF" w:rsidRPr="002C3B33">
        <w:rPr>
          <w:rFonts w:asciiTheme="minorHAnsi" w:hAnsiTheme="minorHAnsi"/>
          <w:sz w:val="22"/>
          <w:szCs w:val="22"/>
        </w:rPr>
        <w:t>reviewed</w:t>
      </w:r>
      <w:r w:rsidR="003C7FB2">
        <w:rPr>
          <w:rFonts w:asciiTheme="minorHAnsi" w:hAnsiTheme="minorHAnsi"/>
          <w:sz w:val="22"/>
          <w:szCs w:val="22"/>
        </w:rPr>
        <w:t xml:space="preserve"> </w:t>
      </w:r>
      <w:r w:rsidR="006A7CCF" w:rsidRPr="002C3B33">
        <w:rPr>
          <w:rFonts w:asciiTheme="minorHAnsi" w:hAnsiTheme="minorHAnsi"/>
          <w:sz w:val="22"/>
          <w:szCs w:val="22"/>
        </w:rPr>
        <w:t>the</w:t>
      </w:r>
      <w:r w:rsidR="003C7FB2">
        <w:rPr>
          <w:rFonts w:asciiTheme="minorHAnsi" w:hAnsiTheme="minorHAnsi"/>
          <w:sz w:val="22"/>
          <w:szCs w:val="22"/>
        </w:rPr>
        <w:t xml:space="preserve"> </w:t>
      </w:r>
      <w:r w:rsidR="006A7CCF" w:rsidRPr="002C3B33">
        <w:rPr>
          <w:rFonts w:asciiTheme="minorHAnsi" w:hAnsiTheme="minorHAnsi"/>
          <w:sz w:val="22"/>
          <w:szCs w:val="22"/>
        </w:rPr>
        <w:t>manuscript.</w:t>
      </w:r>
      <w:r w:rsidR="003C7FB2">
        <w:rPr>
          <w:rFonts w:asciiTheme="minorHAnsi" w:hAnsiTheme="minorHAnsi"/>
          <w:sz w:val="22"/>
          <w:szCs w:val="22"/>
        </w:rPr>
        <w:t xml:space="preserve"> </w:t>
      </w:r>
    </w:p>
    <w:p w14:paraId="6F46D0E2" w14:textId="222401BF" w:rsidR="00D9387F" w:rsidRPr="00D9387F" w:rsidRDefault="002C3B33" w:rsidP="002761DF">
      <w:pPr>
        <w:pStyle w:val="NormalWeb"/>
        <w:rPr>
          <w:rFonts w:asciiTheme="minorHAnsi" w:hAnsiTheme="minorHAnsi"/>
          <w:sz w:val="22"/>
          <w:szCs w:val="22"/>
        </w:rPr>
      </w:pPr>
      <w:r w:rsidRPr="002C3B33">
        <w:rPr>
          <w:rStyle w:val="pagecontents"/>
          <w:rFonts w:asciiTheme="minorHAnsi" w:hAnsiTheme="minorHAnsi"/>
          <w:sz w:val="22"/>
          <w:szCs w:val="22"/>
        </w:rPr>
        <w:t>OM</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is</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the</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guarantor</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and</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affirms</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that</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the</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manuscript</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is</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an</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honest,</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accurate,</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and</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transparent</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account</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of</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the</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study</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being</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reported;</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that</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no</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important</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aspects</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of</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the</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study</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have</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been</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omitted;</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and</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that</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any</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discrepan</w:t>
      </w:r>
      <w:r>
        <w:rPr>
          <w:rStyle w:val="pagecontents"/>
          <w:rFonts w:asciiTheme="minorHAnsi" w:hAnsiTheme="minorHAnsi"/>
          <w:sz w:val="22"/>
          <w:szCs w:val="22"/>
        </w:rPr>
        <w:t>cies</w:t>
      </w:r>
      <w:r w:rsidR="003C7FB2">
        <w:rPr>
          <w:rStyle w:val="pagecontents"/>
          <w:rFonts w:asciiTheme="minorHAnsi" w:hAnsiTheme="minorHAnsi"/>
          <w:sz w:val="22"/>
          <w:szCs w:val="22"/>
        </w:rPr>
        <w:t xml:space="preserve"> </w:t>
      </w:r>
      <w:r>
        <w:rPr>
          <w:rStyle w:val="pagecontents"/>
          <w:rFonts w:asciiTheme="minorHAnsi" w:hAnsiTheme="minorHAnsi"/>
          <w:sz w:val="22"/>
          <w:szCs w:val="22"/>
        </w:rPr>
        <w:t>from</w:t>
      </w:r>
      <w:r w:rsidR="003C7FB2">
        <w:rPr>
          <w:rStyle w:val="pagecontents"/>
          <w:rFonts w:asciiTheme="minorHAnsi" w:hAnsiTheme="minorHAnsi"/>
          <w:sz w:val="22"/>
          <w:szCs w:val="22"/>
        </w:rPr>
        <w:t xml:space="preserve"> </w:t>
      </w:r>
      <w:r>
        <w:rPr>
          <w:rStyle w:val="pagecontents"/>
          <w:rFonts w:asciiTheme="minorHAnsi" w:hAnsiTheme="minorHAnsi"/>
          <w:sz w:val="22"/>
          <w:szCs w:val="22"/>
        </w:rPr>
        <w:t>the</w:t>
      </w:r>
      <w:r w:rsidR="003C7FB2">
        <w:rPr>
          <w:rStyle w:val="pagecontents"/>
          <w:rFonts w:asciiTheme="minorHAnsi" w:hAnsiTheme="minorHAnsi"/>
          <w:sz w:val="22"/>
          <w:szCs w:val="22"/>
        </w:rPr>
        <w:t xml:space="preserve"> </w:t>
      </w:r>
      <w:r>
        <w:rPr>
          <w:rStyle w:val="pagecontents"/>
          <w:rFonts w:asciiTheme="minorHAnsi" w:hAnsiTheme="minorHAnsi"/>
          <w:sz w:val="22"/>
          <w:szCs w:val="22"/>
        </w:rPr>
        <w:t>study</w:t>
      </w:r>
      <w:r w:rsidR="003C7FB2">
        <w:rPr>
          <w:rStyle w:val="pagecontents"/>
          <w:rFonts w:asciiTheme="minorHAnsi" w:hAnsiTheme="minorHAnsi"/>
          <w:sz w:val="22"/>
          <w:szCs w:val="22"/>
        </w:rPr>
        <w:t xml:space="preserve"> </w:t>
      </w:r>
      <w:r>
        <w:rPr>
          <w:rStyle w:val="pagecontents"/>
          <w:rFonts w:asciiTheme="minorHAnsi" w:hAnsiTheme="minorHAnsi"/>
          <w:sz w:val="22"/>
          <w:szCs w:val="22"/>
        </w:rPr>
        <w:t>as</w:t>
      </w:r>
      <w:r w:rsidR="003C7FB2">
        <w:rPr>
          <w:rStyle w:val="pagecontents"/>
          <w:rFonts w:asciiTheme="minorHAnsi" w:hAnsiTheme="minorHAnsi"/>
          <w:sz w:val="22"/>
          <w:szCs w:val="22"/>
        </w:rPr>
        <w:t xml:space="preserve"> </w:t>
      </w:r>
      <w:r>
        <w:rPr>
          <w:rStyle w:val="pagecontents"/>
          <w:rFonts w:asciiTheme="minorHAnsi" w:hAnsiTheme="minorHAnsi"/>
          <w:sz w:val="22"/>
          <w:szCs w:val="22"/>
        </w:rPr>
        <w:t>planned</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have</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been</w:t>
      </w:r>
      <w:r w:rsidR="003C7FB2">
        <w:rPr>
          <w:rStyle w:val="pagecontents"/>
          <w:rFonts w:asciiTheme="minorHAnsi" w:hAnsiTheme="minorHAnsi"/>
          <w:sz w:val="22"/>
          <w:szCs w:val="22"/>
        </w:rPr>
        <w:t xml:space="preserve"> </w:t>
      </w:r>
      <w:r w:rsidRPr="002C3B33">
        <w:rPr>
          <w:rStyle w:val="pagecontents"/>
          <w:rFonts w:asciiTheme="minorHAnsi" w:hAnsiTheme="minorHAnsi"/>
          <w:sz w:val="22"/>
          <w:szCs w:val="22"/>
        </w:rPr>
        <w:t>explained.</w:t>
      </w:r>
    </w:p>
    <w:p w14:paraId="78DA5A35" w14:textId="3FBD07AB" w:rsidR="00D9387F" w:rsidRPr="00D9387F" w:rsidRDefault="00D9387F" w:rsidP="002761DF">
      <w:pPr>
        <w:pStyle w:val="NormalWeb"/>
        <w:rPr>
          <w:rFonts w:asciiTheme="minorHAnsi" w:hAnsiTheme="minorHAnsi"/>
          <w:b/>
          <w:sz w:val="22"/>
          <w:szCs w:val="22"/>
        </w:rPr>
      </w:pPr>
      <w:r w:rsidRPr="00D9387F">
        <w:rPr>
          <w:rFonts w:asciiTheme="minorHAnsi" w:hAnsiTheme="minorHAnsi"/>
          <w:b/>
          <w:sz w:val="22"/>
          <w:szCs w:val="22"/>
        </w:rPr>
        <w:t>Competing</w:t>
      </w:r>
      <w:r w:rsidR="003C7FB2">
        <w:rPr>
          <w:rFonts w:asciiTheme="minorHAnsi" w:hAnsiTheme="minorHAnsi"/>
          <w:b/>
          <w:sz w:val="22"/>
          <w:szCs w:val="22"/>
        </w:rPr>
        <w:t xml:space="preserve"> </w:t>
      </w:r>
      <w:r w:rsidRPr="00D9387F">
        <w:rPr>
          <w:rFonts w:asciiTheme="minorHAnsi" w:hAnsiTheme="minorHAnsi"/>
          <w:b/>
          <w:sz w:val="22"/>
          <w:szCs w:val="22"/>
        </w:rPr>
        <w:t>interests</w:t>
      </w:r>
    </w:p>
    <w:p w14:paraId="583E5E5A" w14:textId="10185992" w:rsidR="00921817" w:rsidRDefault="00D9387F" w:rsidP="002761DF">
      <w:pPr>
        <w:pStyle w:val="NormalWeb"/>
        <w:rPr>
          <w:rFonts w:asciiTheme="minorHAnsi" w:hAnsiTheme="minorHAnsi"/>
          <w:sz w:val="22"/>
          <w:szCs w:val="22"/>
        </w:rPr>
      </w:pPr>
      <w:r w:rsidRPr="00D9387F">
        <w:rPr>
          <w:rFonts w:asciiTheme="minorHAnsi" w:hAnsiTheme="minorHAnsi"/>
          <w:sz w:val="22"/>
          <w:szCs w:val="22"/>
        </w:rPr>
        <w:t>All</w:t>
      </w:r>
      <w:r w:rsidR="003C7FB2">
        <w:rPr>
          <w:rFonts w:asciiTheme="minorHAnsi" w:hAnsiTheme="minorHAnsi"/>
          <w:sz w:val="22"/>
          <w:szCs w:val="22"/>
        </w:rPr>
        <w:t xml:space="preserve"> </w:t>
      </w:r>
      <w:r w:rsidRPr="00D9387F">
        <w:rPr>
          <w:rFonts w:asciiTheme="minorHAnsi" w:hAnsiTheme="minorHAnsi"/>
          <w:sz w:val="22"/>
          <w:szCs w:val="22"/>
        </w:rPr>
        <w:t>authors</w:t>
      </w:r>
      <w:r w:rsidR="003C7FB2">
        <w:rPr>
          <w:rFonts w:asciiTheme="minorHAnsi" w:hAnsiTheme="minorHAnsi"/>
          <w:sz w:val="22"/>
          <w:szCs w:val="22"/>
        </w:rPr>
        <w:t xml:space="preserve"> </w:t>
      </w:r>
      <w:r w:rsidRPr="00D9387F">
        <w:rPr>
          <w:rFonts w:asciiTheme="minorHAnsi" w:hAnsiTheme="minorHAnsi"/>
          <w:sz w:val="22"/>
          <w:szCs w:val="22"/>
        </w:rPr>
        <w:t>have</w:t>
      </w:r>
      <w:r w:rsidR="003C7FB2">
        <w:rPr>
          <w:rFonts w:asciiTheme="minorHAnsi" w:hAnsiTheme="minorHAnsi"/>
          <w:sz w:val="22"/>
          <w:szCs w:val="22"/>
        </w:rPr>
        <w:t xml:space="preserve"> </w:t>
      </w:r>
      <w:r w:rsidRPr="00D9387F">
        <w:rPr>
          <w:rFonts w:asciiTheme="minorHAnsi" w:hAnsiTheme="minorHAnsi"/>
          <w:sz w:val="22"/>
          <w:szCs w:val="22"/>
        </w:rPr>
        <w:t>completed</w:t>
      </w:r>
      <w:r w:rsidR="003C7FB2">
        <w:rPr>
          <w:rFonts w:asciiTheme="minorHAnsi" w:hAnsiTheme="minorHAnsi"/>
          <w:sz w:val="22"/>
          <w:szCs w:val="22"/>
        </w:rPr>
        <w:t xml:space="preserve"> </w:t>
      </w:r>
      <w:r w:rsidRPr="00D9387F">
        <w:rPr>
          <w:rFonts w:asciiTheme="minorHAnsi" w:hAnsiTheme="minorHAnsi"/>
          <w:sz w:val="22"/>
          <w:szCs w:val="22"/>
        </w:rPr>
        <w:t>the</w:t>
      </w:r>
      <w:r w:rsidR="003C7FB2">
        <w:rPr>
          <w:rFonts w:asciiTheme="minorHAnsi" w:hAnsiTheme="minorHAnsi"/>
          <w:sz w:val="22"/>
          <w:szCs w:val="22"/>
        </w:rPr>
        <w:t xml:space="preserve"> </w:t>
      </w:r>
      <w:r w:rsidRPr="00D9387F">
        <w:rPr>
          <w:rFonts w:asciiTheme="minorHAnsi" w:hAnsiTheme="minorHAnsi"/>
          <w:sz w:val="22"/>
          <w:szCs w:val="22"/>
        </w:rPr>
        <w:t>ICMJE</w:t>
      </w:r>
      <w:r w:rsidR="003C7FB2">
        <w:rPr>
          <w:rFonts w:asciiTheme="minorHAnsi" w:hAnsiTheme="minorHAnsi"/>
          <w:sz w:val="22"/>
          <w:szCs w:val="22"/>
        </w:rPr>
        <w:t xml:space="preserve"> </w:t>
      </w:r>
      <w:r w:rsidRPr="00D9387F">
        <w:rPr>
          <w:rFonts w:asciiTheme="minorHAnsi" w:hAnsiTheme="minorHAnsi"/>
          <w:sz w:val="22"/>
          <w:szCs w:val="22"/>
        </w:rPr>
        <w:t>uniform</w:t>
      </w:r>
      <w:r w:rsidR="003C7FB2">
        <w:rPr>
          <w:rFonts w:asciiTheme="minorHAnsi" w:hAnsiTheme="minorHAnsi"/>
          <w:sz w:val="22"/>
          <w:szCs w:val="22"/>
        </w:rPr>
        <w:t xml:space="preserve"> </w:t>
      </w:r>
      <w:r w:rsidRPr="00D9387F">
        <w:rPr>
          <w:rFonts w:asciiTheme="minorHAnsi" w:hAnsiTheme="minorHAnsi"/>
          <w:sz w:val="22"/>
          <w:szCs w:val="22"/>
        </w:rPr>
        <w:t>disclosure</w:t>
      </w:r>
      <w:r w:rsidR="003C7FB2">
        <w:rPr>
          <w:rFonts w:asciiTheme="minorHAnsi" w:hAnsiTheme="minorHAnsi"/>
          <w:sz w:val="22"/>
          <w:szCs w:val="22"/>
        </w:rPr>
        <w:t xml:space="preserve"> </w:t>
      </w:r>
      <w:r w:rsidRPr="00D9387F">
        <w:rPr>
          <w:rFonts w:asciiTheme="minorHAnsi" w:hAnsiTheme="minorHAnsi"/>
          <w:sz w:val="22"/>
          <w:szCs w:val="22"/>
        </w:rPr>
        <w:t>form</w:t>
      </w:r>
      <w:r w:rsidR="003C7FB2">
        <w:rPr>
          <w:rFonts w:asciiTheme="minorHAnsi" w:hAnsiTheme="minorHAnsi"/>
          <w:sz w:val="22"/>
          <w:szCs w:val="22"/>
        </w:rPr>
        <w:t xml:space="preserve"> </w:t>
      </w:r>
      <w:r w:rsidRPr="00D9387F">
        <w:rPr>
          <w:rFonts w:asciiTheme="minorHAnsi" w:hAnsiTheme="minorHAnsi"/>
          <w:sz w:val="22"/>
          <w:szCs w:val="22"/>
        </w:rPr>
        <w:t>at</w:t>
      </w:r>
      <w:r w:rsidR="003C7FB2">
        <w:rPr>
          <w:rFonts w:asciiTheme="minorHAnsi" w:hAnsiTheme="minorHAnsi"/>
          <w:sz w:val="22"/>
          <w:szCs w:val="22"/>
        </w:rPr>
        <w:t xml:space="preserve"> </w:t>
      </w:r>
      <w:hyperlink r:id="rId9" w:history="1">
        <w:r w:rsidRPr="00D15714">
          <w:rPr>
            <w:rStyle w:val="Hyperlink"/>
            <w:rFonts w:asciiTheme="minorHAnsi" w:hAnsiTheme="minorHAnsi"/>
            <w:sz w:val="22"/>
            <w:szCs w:val="22"/>
          </w:rPr>
          <w:t>www.icmje.org/coi_disclosure.pdf</w:t>
        </w:r>
      </w:hyperlink>
      <w:r w:rsidR="003C7FB2">
        <w:rPr>
          <w:rFonts w:asciiTheme="minorHAnsi" w:hAnsiTheme="minorHAnsi"/>
          <w:sz w:val="22"/>
          <w:szCs w:val="22"/>
        </w:rPr>
        <w:t xml:space="preserve"> </w:t>
      </w:r>
      <w:r w:rsidRPr="00D9387F">
        <w:rPr>
          <w:rFonts w:asciiTheme="minorHAnsi" w:hAnsiTheme="minorHAnsi"/>
          <w:sz w:val="22"/>
          <w:szCs w:val="22"/>
        </w:rPr>
        <w:t>and</w:t>
      </w:r>
      <w:r w:rsidR="003C7FB2">
        <w:rPr>
          <w:rFonts w:asciiTheme="minorHAnsi" w:hAnsiTheme="minorHAnsi"/>
          <w:sz w:val="22"/>
          <w:szCs w:val="22"/>
        </w:rPr>
        <w:t xml:space="preserve"> </w:t>
      </w:r>
      <w:r w:rsidRPr="00D9387F">
        <w:rPr>
          <w:rFonts w:asciiTheme="minorHAnsi" w:hAnsiTheme="minorHAnsi"/>
          <w:sz w:val="22"/>
          <w:szCs w:val="22"/>
        </w:rPr>
        <w:t>declare:</w:t>
      </w:r>
      <w:r w:rsidR="003C7FB2">
        <w:rPr>
          <w:rFonts w:asciiTheme="minorHAnsi" w:hAnsiTheme="minorHAnsi"/>
          <w:sz w:val="22"/>
          <w:szCs w:val="22"/>
        </w:rPr>
        <w:t xml:space="preserve"> </w:t>
      </w:r>
      <w:r w:rsidR="002C3B33">
        <w:rPr>
          <w:rFonts w:asciiTheme="minorHAnsi" w:hAnsiTheme="minorHAnsi"/>
          <w:sz w:val="22"/>
          <w:szCs w:val="22"/>
        </w:rPr>
        <w:t>the</w:t>
      </w:r>
      <w:r w:rsidR="003C7FB2">
        <w:rPr>
          <w:rFonts w:asciiTheme="minorHAnsi" w:hAnsiTheme="minorHAnsi"/>
          <w:sz w:val="22"/>
          <w:szCs w:val="22"/>
        </w:rPr>
        <w:t xml:space="preserve"> </w:t>
      </w:r>
      <w:r w:rsidR="002C3B33">
        <w:rPr>
          <w:rFonts w:asciiTheme="minorHAnsi" w:hAnsiTheme="minorHAnsi"/>
          <w:sz w:val="22"/>
          <w:szCs w:val="22"/>
        </w:rPr>
        <w:t>authors</w:t>
      </w:r>
      <w:r w:rsidR="003C7FB2">
        <w:rPr>
          <w:rFonts w:asciiTheme="minorHAnsi" w:hAnsiTheme="minorHAnsi"/>
          <w:sz w:val="22"/>
          <w:szCs w:val="22"/>
        </w:rPr>
        <w:t xml:space="preserve"> </w:t>
      </w:r>
      <w:r w:rsidR="002C3B33">
        <w:rPr>
          <w:rFonts w:asciiTheme="minorHAnsi" w:hAnsiTheme="minorHAnsi"/>
          <w:sz w:val="22"/>
          <w:szCs w:val="22"/>
        </w:rPr>
        <w:t>acknowledge</w:t>
      </w:r>
      <w:r w:rsidR="003C7FB2">
        <w:rPr>
          <w:rFonts w:asciiTheme="minorHAnsi" w:hAnsiTheme="minorHAnsi"/>
          <w:sz w:val="22"/>
          <w:szCs w:val="22"/>
        </w:rPr>
        <w:t xml:space="preserve"> </w:t>
      </w:r>
      <w:r w:rsidR="002C3B33">
        <w:rPr>
          <w:rFonts w:asciiTheme="minorHAnsi" w:hAnsiTheme="minorHAnsi"/>
          <w:sz w:val="22"/>
          <w:szCs w:val="22"/>
        </w:rPr>
        <w:t>support</w:t>
      </w:r>
      <w:r w:rsidR="003C7FB2">
        <w:rPr>
          <w:rFonts w:asciiTheme="minorHAnsi" w:hAnsiTheme="minorHAnsi"/>
          <w:sz w:val="22"/>
          <w:szCs w:val="22"/>
        </w:rPr>
        <w:t xml:space="preserve"> </w:t>
      </w:r>
      <w:r w:rsidR="002C3B33">
        <w:rPr>
          <w:rFonts w:asciiTheme="minorHAnsi" w:hAnsiTheme="minorHAnsi"/>
          <w:sz w:val="22"/>
          <w:szCs w:val="22"/>
        </w:rPr>
        <w:t>from</w:t>
      </w:r>
      <w:r w:rsidR="003C7FB2">
        <w:rPr>
          <w:rFonts w:asciiTheme="minorHAnsi" w:hAnsiTheme="minorHAnsi"/>
          <w:sz w:val="22"/>
          <w:szCs w:val="22"/>
        </w:rPr>
        <w:t xml:space="preserve"> </w:t>
      </w:r>
      <w:r w:rsidR="002C3B33">
        <w:rPr>
          <w:rFonts w:asciiTheme="minorHAnsi" w:hAnsiTheme="minorHAnsi"/>
          <w:sz w:val="22"/>
          <w:szCs w:val="22"/>
        </w:rPr>
        <w:t>the</w:t>
      </w:r>
      <w:r w:rsidR="003C7FB2">
        <w:rPr>
          <w:rFonts w:asciiTheme="minorHAnsi" w:hAnsiTheme="minorHAnsi"/>
          <w:sz w:val="22"/>
          <w:szCs w:val="22"/>
        </w:rPr>
        <w:t xml:space="preserve"> </w:t>
      </w:r>
      <w:r w:rsidR="002C3B33">
        <w:rPr>
          <w:rFonts w:asciiTheme="minorHAnsi" w:hAnsiTheme="minorHAnsi"/>
          <w:sz w:val="22"/>
          <w:szCs w:val="22"/>
        </w:rPr>
        <w:t>Medical</w:t>
      </w:r>
      <w:r w:rsidR="003C7FB2">
        <w:rPr>
          <w:rFonts w:asciiTheme="minorHAnsi" w:hAnsiTheme="minorHAnsi"/>
          <w:sz w:val="22"/>
          <w:szCs w:val="22"/>
        </w:rPr>
        <w:t xml:space="preserve"> </w:t>
      </w:r>
      <w:r w:rsidR="002C3B33">
        <w:rPr>
          <w:rFonts w:asciiTheme="minorHAnsi" w:hAnsiTheme="minorHAnsi"/>
          <w:sz w:val="22"/>
          <w:szCs w:val="22"/>
        </w:rPr>
        <w:t>Research</w:t>
      </w:r>
      <w:r w:rsidR="003C7FB2">
        <w:rPr>
          <w:rFonts w:asciiTheme="minorHAnsi" w:hAnsiTheme="minorHAnsi"/>
          <w:sz w:val="22"/>
          <w:szCs w:val="22"/>
        </w:rPr>
        <w:t xml:space="preserve"> </w:t>
      </w:r>
      <w:r w:rsidR="002C3B33">
        <w:rPr>
          <w:rFonts w:asciiTheme="minorHAnsi" w:hAnsiTheme="minorHAnsi"/>
          <w:sz w:val="22"/>
          <w:szCs w:val="22"/>
        </w:rPr>
        <w:t>Council</w:t>
      </w:r>
      <w:r w:rsidR="003C7FB2">
        <w:rPr>
          <w:rFonts w:asciiTheme="minorHAnsi" w:hAnsiTheme="minorHAnsi"/>
          <w:sz w:val="22"/>
          <w:szCs w:val="22"/>
        </w:rPr>
        <w:t xml:space="preserve"> </w:t>
      </w:r>
      <w:r w:rsidR="002C3B33">
        <w:rPr>
          <w:rFonts w:asciiTheme="minorHAnsi" w:hAnsiTheme="minorHAnsi"/>
          <w:sz w:val="22"/>
          <w:szCs w:val="22"/>
        </w:rPr>
        <w:t>(MC_UU_12015/1,</w:t>
      </w:r>
      <w:r w:rsidR="003C7FB2">
        <w:rPr>
          <w:rFonts w:asciiTheme="minorHAnsi" w:hAnsiTheme="minorHAnsi"/>
          <w:sz w:val="22"/>
          <w:szCs w:val="22"/>
        </w:rPr>
        <w:t xml:space="preserve"> </w:t>
      </w:r>
      <w:r w:rsidR="002C3B33" w:rsidRPr="002761DF">
        <w:rPr>
          <w:rFonts w:asciiTheme="minorHAnsi" w:hAnsiTheme="minorHAnsi"/>
          <w:sz w:val="22"/>
          <w:szCs w:val="22"/>
        </w:rPr>
        <w:t>MC_UU</w:t>
      </w:r>
      <w:r w:rsidR="002C3B33">
        <w:rPr>
          <w:rFonts w:asciiTheme="minorHAnsi" w:hAnsiTheme="minorHAnsi"/>
          <w:sz w:val="22"/>
          <w:szCs w:val="22"/>
        </w:rPr>
        <w:t>_12015/3,</w:t>
      </w:r>
      <w:r w:rsidR="003C7FB2">
        <w:rPr>
          <w:rFonts w:asciiTheme="minorHAnsi" w:hAnsiTheme="minorHAnsi"/>
          <w:sz w:val="22"/>
          <w:szCs w:val="22"/>
        </w:rPr>
        <w:t xml:space="preserve"> </w:t>
      </w:r>
      <w:r w:rsidR="002C3B33" w:rsidRPr="002761DF">
        <w:rPr>
          <w:rFonts w:asciiTheme="minorHAnsi" w:hAnsiTheme="minorHAnsi"/>
          <w:sz w:val="22"/>
          <w:szCs w:val="22"/>
        </w:rPr>
        <w:t>MC_UU</w:t>
      </w:r>
      <w:r w:rsidR="002C3B33">
        <w:rPr>
          <w:rFonts w:asciiTheme="minorHAnsi" w:hAnsiTheme="minorHAnsi"/>
          <w:sz w:val="22"/>
          <w:szCs w:val="22"/>
        </w:rPr>
        <w:t>_12015/4</w:t>
      </w:r>
      <w:r w:rsidR="003C7FB2">
        <w:rPr>
          <w:rFonts w:asciiTheme="minorHAnsi" w:hAnsiTheme="minorHAnsi"/>
          <w:sz w:val="22"/>
          <w:szCs w:val="22"/>
        </w:rPr>
        <w:t xml:space="preserve"> </w:t>
      </w:r>
      <w:r w:rsidR="002C3B33">
        <w:rPr>
          <w:rFonts w:asciiTheme="minorHAnsi" w:hAnsiTheme="minorHAnsi"/>
          <w:sz w:val="22"/>
          <w:szCs w:val="22"/>
        </w:rPr>
        <w:t>and</w:t>
      </w:r>
      <w:r w:rsidR="003C7FB2">
        <w:rPr>
          <w:rFonts w:asciiTheme="minorHAnsi" w:hAnsiTheme="minorHAnsi"/>
          <w:sz w:val="22"/>
          <w:szCs w:val="22"/>
        </w:rPr>
        <w:t xml:space="preserve"> </w:t>
      </w:r>
      <w:r w:rsidR="002C3B33" w:rsidRPr="002761DF">
        <w:rPr>
          <w:rFonts w:asciiTheme="minorHAnsi" w:hAnsiTheme="minorHAnsi"/>
          <w:sz w:val="22"/>
          <w:szCs w:val="22"/>
        </w:rPr>
        <w:t>MC_UU</w:t>
      </w:r>
      <w:r w:rsidR="002C3B33">
        <w:rPr>
          <w:rFonts w:asciiTheme="minorHAnsi" w:hAnsiTheme="minorHAnsi"/>
          <w:sz w:val="22"/>
          <w:szCs w:val="22"/>
        </w:rPr>
        <w:t>_12015/6)</w:t>
      </w:r>
      <w:r w:rsidR="003C7FB2">
        <w:rPr>
          <w:rFonts w:asciiTheme="minorHAnsi" w:hAnsiTheme="minorHAnsi"/>
          <w:sz w:val="22"/>
          <w:szCs w:val="22"/>
        </w:rPr>
        <w:t xml:space="preserve"> </w:t>
      </w:r>
      <w:r w:rsidR="002C3B33">
        <w:rPr>
          <w:rFonts w:asciiTheme="minorHAnsi" w:hAnsiTheme="minorHAnsi"/>
          <w:sz w:val="22"/>
          <w:szCs w:val="22"/>
        </w:rPr>
        <w:t>and</w:t>
      </w:r>
      <w:r w:rsidR="003C7FB2">
        <w:rPr>
          <w:rFonts w:asciiTheme="minorHAnsi" w:hAnsiTheme="minorHAnsi"/>
          <w:sz w:val="22"/>
          <w:szCs w:val="22"/>
        </w:rPr>
        <w:t xml:space="preserve"> </w:t>
      </w:r>
      <w:r w:rsidR="002C3B33">
        <w:rPr>
          <w:rFonts w:asciiTheme="minorHAnsi" w:hAnsiTheme="minorHAnsi"/>
          <w:sz w:val="22"/>
          <w:szCs w:val="22"/>
        </w:rPr>
        <w:t>the</w:t>
      </w:r>
      <w:r w:rsidR="003C7FB2">
        <w:rPr>
          <w:rFonts w:asciiTheme="minorHAnsi" w:hAnsiTheme="minorHAnsi"/>
          <w:sz w:val="22"/>
          <w:szCs w:val="22"/>
        </w:rPr>
        <w:t xml:space="preserve"> </w:t>
      </w:r>
      <w:r w:rsidR="002C3B33">
        <w:rPr>
          <w:rFonts w:asciiTheme="minorHAnsi" w:hAnsiTheme="minorHAnsi"/>
          <w:sz w:val="22"/>
          <w:szCs w:val="22"/>
        </w:rPr>
        <w:t>Wellcome</w:t>
      </w:r>
      <w:r w:rsidR="003C7FB2">
        <w:rPr>
          <w:rFonts w:asciiTheme="minorHAnsi" w:hAnsiTheme="minorHAnsi"/>
          <w:sz w:val="22"/>
          <w:szCs w:val="22"/>
        </w:rPr>
        <w:t xml:space="preserve"> </w:t>
      </w:r>
      <w:r w:rsidR="002C3B33">
        <w:rPr>
          <w:rFonts w:asciiTheme="minorHAnsi" w:hAnsiTheme="minorHAnsi"/>
          <w:sz w:val="22"/>
          <w:szCs w:val="22"/>
        </w:rPr>
        <w:t>Trust</w:t>
      </w:r>
      <w:r w:rsidRPr="00D9387F">
        <w:rPr>
          <w:rFonts w:asciiTheme="minorHAnsi" w:hAnsiTheme="minorHAnsi"/>
          <w:sz w:val="22"/>
          <w:szCs w:val="22"/>
        </w:rPr>
        <w:t>;</w:t>
      </w:r>
      <w:r w:rsidR="003C7FB2">
        <w:rPr>
          <w:rFonts w:asciiTheme="minorHAnsi" w:hAnsiTheme="minorHAnsi"/>
          <w:sz w:val="22"/>
          <w:szCs w:val="22"/>
        </w:rPr>
        <w:t xml:space="preserve"> </w:t>
      </w:r>
      <w:r w:rsidRPr="00D9387F">
        <w:rPr>
          <w:rFonts w:asciiTheme="minorHAnsi" w:hAnsiTheme="minorHAnsi"/>
          <w:sz w:val="22"/>
          <w:szCs w:val="22"/>
        </w:rPr>
        <w:t>no</w:t>
      </w:r>
      <w:r w:rsidR="003C7FB2">
        <w:rPr>
          <w:rFonts w:asciiTheme="minorHAnsi" w:hAnsiTheme="minorHAnsi"/>
          <w:sz w:val="22"/>
          <w:szCs w:val="22"/>
        </w:rPr>
        <w:t xml:space="preserve"> </w:t>
      </w:r>
      <w:r w:rsidRPr="00D9387F">
        <w:rPr>
          <w:rFonts w:asciiTheme="minorHAnsi" w:hAnsiTheme="minorHAnsi"/>
          <w:sz w:val="22"/>
          <w:szCs w:val="22"/>
        </w:rPr>
        <w:t>financial</w:t>
      </w:r>
      <w:r w:rsidR="003C7FB2">
        <w:rPr>
          <w:rFonts w:asciiTheme="minorHAnsi" w:hAnsiTheme="minorHAnsi"/>
          <w:sz w:val="22"/>
          <w:szCs w:val="22"/>
        </w:rPr>
        <w:t xml:space="preserve"> </w:t>
      </w:r>
      <w:r w:rsidRPr="00D9387F">
        <w:rPr>
          <w:rFonts w:asciiTheme="minorHAnsi" w:hAnsiTheme="minorHAnsi"/>
          <w:sz w:val="22"/>
          <w:szCs w:val="22"/>
        </w:rPr>
        <w:t>relationships</w:t>
      </w:r>
      <w:r w:rsidR="003C7FB2">
        <w:rPr>
          <w:rFonts w:asciiTheme="minorHAnsi" w:hAnsiTheme="minorHAnsi"/>
          <w:sz w:val="22"/>
          <w:szCs w:val="22"/>
        </w:rPr>
        <w:t xml:space="preserve"> </w:t>
      </w:r>
      <w:r w:rsidRPr="00D9387F">
        <w:rPr>
          <w:rFonts w:asciiTheme="minorHAnsi" w:hAnsiTheme="minorHAnsi"/>
          <w:sz w:val="22"/>
          <w:szCs w:val="22"/>
        </w:rPr>
        <w:t>with</w:t>
      </w:r>
      <w:r w:rsidR="003C7FB2">
        <w:rPr>
          <w:rFonts w:asciiTheme="minorHAnsi" w:hAnsiTheme="minorHAnsi"/>
          <w:sz w:val="22"/>
          <w:szCs w:val="22"/>
        </w:rPr>
        <w:t xml:space="preserve"> </w:t>
      </w:r>
      <w:r w:rsidRPr="00D9387F">
        <w:rPr>
          <w:rFonts w:asciiTheme="minorHAnsi" w:hAnsiTheme="minorHAnsi"/>
          <w:sz w:val="22"/>
          <w:szCs w:val="22"/>
        </w:rPr>
        <w:t>any</w:t>
      </w:r>
      <w:r w:rsidR="003C7FB2">
        <w:rPr>
          <w:rFonts w:asciiTheme="minorHAnsi" w:hAnsiTheme="minorHAnsi"/>
          <w:sz w:val="22"/>
          <w:szCs w:val="22"/>
        </w:rPr>
        <w:t xml:space="preserve"> </w:t>
      </w:r>
      <w:r w:rsidRPr="00D9387F">
        <w:rPr>
          <w:rFonts w:asciiTheme="minorHAnsi" w:hAnsiTheme="minorHAnsi"/>
          <w:sz w:val="22"/>
          <w:szCs w:val="22"/>
        </w:rPr>
        <w:t>organisations</w:t>
      </w:r>
      <w:r w:rsidR="003C7FB2">
        <w:rPr>
          <w:rFonts w:asciiTheme="minorHAnsi" w:hAnsiTheme="minorHAnsi"/>
          <w:sz w:val="22"/>
          <w:szCs w:val="22"/>
        </w:rPr>
        <w:t xml:space="preserve"> </w:t>
      </w:r>
      <w:r w:rsidRPr="00D9387F">
        <w:rPr>
          <w:rFonts w:asciiTheme="minorHAnsi" w:hAnsiTheme="minorHAnsi"/>
          <w:sz w:val="22"/>
          <w:szCs w:val="22"/>
        </w:rPr>
        <w:t>that</w:t>
      </w:r>
      <w:r w:rsidR="003C7FB2">
        <w:rPr>
          <w:rFonts w:asciiTheme="minorHAnsi" w:hAnsiTheme="minorHAnsi"/>
          <w:sz w:val="22"/>
          <w:szCs w:val="22"/>
        </w:rPr>
        <w:t xml:space="preserve"> </w:t>
      </w:r>
      <w:r w:rsidRPr="00D9387F">
        <w:rPr>
          <w:rFonts w:asciiTheme="minorHAnsi" w:hAnsiTheme="minorHAnsi"/>
          <w:sz w:val="22"/>
          <w:szCs w:val="22"/>
        </w:rPr>
        <w:t>might</w:t>
      </w:r>
      <w:r w:rsidR="003C7FB2">
        <w:rPr>
          <w:rFonts w:asciiTheme="minorHAnsi" w:hAnsiTheme="minorHAnsi"/>
          <w:sz w:val="22"/>
          <w:szCs w:val="22"/>
        </w:rPr>
        <w:t xml:space="preserve"> </w:t>
      </w:r>
      <w:r w:rsidRPr="00D9387F">
        <w:rPr>
          <w:rFonts w:asciiTheme="minorHAnsi" w:hAnsiTheme="minorHAnsi"/>
          <w:sz w:val="22"/>
          <w:szCs w:val="22"/>
        </w:rPr>
        <w:t>have</w:t>
      </w:r>
      <w:r w:rsidR="003C7FB2">
        <w:rPr>
          <w:rFonts w:asciiTheme="minorHAnsi" w:hAnsiTheme="minorHAnsi"/>
          <w:sz w:val="22"/>
          <w:szCs w:val="22"/>
        </w:rPr>
        <w:t xml:space="preserve"> </w:t>
      </w:r>
      <w:r w:rsidRPr="00D9387F">
        <w:rPr>
          <w:rFonts w:asciiTheme="minorHAnsi" w:hAnsiTheme="minorHAnsi"/>
          <w:sz w:val="22"/>
          <w:szCs w:val="22"/>
        </w:rPr>
        <w:t>an</w:t>
      </w:r>
      <w:r w:rsidR="003C7FB2">
        <w:rPr>
          <w:rFonts w:asciiTheme="minorHAnsi" w:hAnsiTheme="minorHAnsi"/>
          <w:sz w:val="22"/>
          <w:szCs w:val="22"/>
        </w:rPr>
        <w:t xml:space="preserve"> </w:t>
      </w:r>
      <w:r w:rsidRPr="00D9387F">
        <w:rPr>
          <w:rFonts w:asciiTheme="minorHAnsi" w:hAnsiTheme="minorHAnsi"/>
          <w:sz w:val="22"/>
          <w:szCs w:val="22"/>
        </w:rPr>
        <w:t>interest</w:t>
      </w:r>
      <w:r w:rsidR="003C7FB2">
        <w:rPr>
          <w:rFonts w:asciiTheme="minorHAnsi" w:hAnsiTheme="minorHAnsi"/>
          <w:sz w:val="22"/>
          <w:szCs w:val="22"/>
        </w:rPr>
        <w:t xml:space="preserve"> </w:t>
      </w:r>
      <w:r w:rsidRPr="00D9387F">
        <w:rPr>
          <w:rFonts w:asciiTheme="minorHAnsi" w:hAnsiTheme="minorHAnsi"/>
          <w:sz w:val="22"/>
          <w:szCs w:val="22"/>
        </w:rPr>
        <w:t>in</w:t>
      </w:r>
      <w:r w:rsidR="003C7FB2">
        <w:rPr>
          <w:rFonts w:asciiTheme="minorHAnsi" w:hAnsiTheme="minorHAnsi"/>
          <w:sz w:val="22"/>
          <w:szCs w:val="22"/>
        </w:rPr>
        <w:t xml:space="preserve"> </w:t>
      </w:r>
      <w:r w:rsidRPr="00D9387F">
        <w:rPr>
          <w:rFonts w:asciiTheme="minorHAnsi" w:hAnsiTheme="minorHAnsi"/>
          <w:sz w:val="22"/>
          <w:szCs w:val="22"/>
        </w:rPr>
        <w:t>the</w:t>
      </w:r>
      <w:r w:rsidR="003C7FB2">
        <w:rPr>
          <w:rFonts w:asciiTheme="minorHAnsi" w:hAnsiTheme="minorHAnsi"/>
          <w:sz w:val="22"/>
          <w:szCs w:val="22"/>
        </w:rPr>
        <w:t xml:space="preserve"> </w:t>
      </w:r>
      <w:r w:rsidRPr="00D9387F">
        <w:rPr>
          <w:rFonts w:asciiTheme="minorHAnsi" w:hAnsiTheme="minorHAnsi"/>
          <w:sz w:val="22"/>
          <w:szCs w:val="22"/>
        </w:rPr>
        <w:t>submitted</w:t>
      </w:r>
      <w:r w:rsidR="003C7FB2">
        <w:rPr>
          <w:rFonts w:asciiTheme="minorHAnsi" w:hAnsiTheme="minorHAnsi"/>
          <w:sz w:val="22"/>
          <w:szCs w:val="22"/>
        </w:rPr>
        <w:t xml:space="preserve"> </w:t>
      </w:r>
      <w:r w:rsidRPr="00D9387F">
        <w:rPr>
          <w:rFonts w:asciiTheme="minorHAnsi" w:hAnsiTheme="minorHAnsi"/>
          <w:sz w:val="22"/>
          <w:szCs w:val="22"/>
        </w:rPr>
        <w:t>work</w:t>
      </w:r>
      <w:r w:rsidR="003C7FB2">
        <w:rPr>
          <w:rFonts w:asciiTheme="minorHAnsi" w:hAnsiTheme="minorHAnsi"/>
          <w:sz w:val="22"/>
          <w:szCs w:val="22"/>
        </w:rPr>
        <w:t xml:space="preserve"> </w:t>
      </w:r>
      <w:r w:rsidRPr="00D9387F">
        <w:rPr>
          <w:rFonts w:asciiTheme="minorHAnsi" w:hAnsiTheme="minorHAnsi"/>
          <w:sz w:val="22"/>
          <w:szCs w:val="22"/>
        </w:rPr>
        <w:t>in</w:t>
      </w:r>
      <w:r w:rsidR="003C7FB2">
        <w:rPr>
          <w:rFonts w:asciiTheme="minorHAnsi" w:hAnsiTheme="minorHAnsi"/>
          <w:sz w:val="22"/>
          <w:szCs w:val="22"/>
        </w:rPr>
        <w:t xml:space="preserve"> </w:t>
      </w:r>
      <w:r w:rsidRPr="00D9387F">
        <w:rPr>
          <w:rFonts w:asciiTheme="minorHAnsi" w:hAnsiTheme="minorHAnsi"/>
          <w:sz w:val="22"/>
          <w:szCs w:val="22"/>
        </w:rPr>
        <w:t>the</w:t>
      </w:r>
      <w:r w:rsidR="003C7FB2">
        <w:rPr>
          <w:rFonts w:asciiTheme="minorHAnsi" w:hAnsiTheme="minorHAnsi"/>
          <w:sz w:val="22"/>
          <w:szCs w:val="22"/>
        </w:rPr>
        <w:t xml:space="preserve"> </w:t>
      </w:r>
      <w:r w:rsidRPr="00D9387F">
        <w:rPr>
          <w:rFonts w:asciiTheme="minorHAnsi" w:hAnsiTheme="minorHAnsi"/>
          <w:sz w:val="22"/>
          <w:szCs w:val="22"/>
        </w:rPr>
        <w:t>previous</w:t>
      </w:r>
      <w:r w:rsidR="003C7FB2">
        <w:rPr>
          <w:rFonts w:asciiTheme="minorHAnsi" w:hAnsiTheme="minorHAnsi"/>
          <w:sz w:val="22"/>
          <w:szCs w:val="22"/>
        </w:rPr>
        <w:t xml:space="preserve"> </w:t>
      </w:r>
      <w:r w:rsidRPr="00D9387F">
        <w:rPr>
          <w:rFonts w:asciiTheme="minorHAnsi" w:hAnsiTheme="minorHAnsi"/>
          <w:sz w:val="22"/>
          <w:szCs w:val="22"/>
        </w:rPr>
        <w:t>three</w:t>
      </w:r>
      <w:r w:rsidR="003C7FB2">
        <w:rPr>
          <w:rFonts w:asciiTheme="minorHAnsi" w:hAnsiTheme="minorHAnsi"/>
          <w:sz w:val="22"/>
          <w:szCs w:val="22"/>
        </w:rPr>
        <w:t xml:space="preserve"> </w:t>
      </w:r>
      <w:r w:rsidRPr="00D9387F">
        <w:rPr>
          <w:rFonts w:asciiTheme="minorHAnsi" w:hAnsiTheme="minorHAnsi"/>
          <w:sz w:val="22"/>
          <w:szCs w:val="22"/>
        </w:rPr>
        <w:t>years;</w:t>
      </w:r>
      <w:r w:rsidR="003C7FB2">
        <w:rPr>
          <w:rFonts w:asciiTheme="minorHAnsi" w:hAnsiTheme="minorHAnsi"/>
          <w:sz w:val="22"/>
          <w:szCs w:val="22"/>
        </w:rPr>
        <w:t xml:space="preserve"> </w:t>
      </w:r>
      <w:r w:rsidRPr="00D9387F">
        <w:rPr>
          <w:rFonts w:asciiTheme="minorHAnsi" w:hAnsiTheme="minorHAnsi"/>
          <w:sz w:val="22"/>
          <w:szCs w:val="22"/>
        </w:rPr>
        <w:t>no</w:t>
      </w:r>
      <w:r w:rsidR="003C7FB2">
        <w:rPr>
          <w:rFonts w:asciiTheme="minorHAnsi" w:hAnsiTheme="minorHAnsi"/>
          <w:sz w:val="22"/>
          <w:szCs w:val="22"/>
        </w:rPr>
        <w:t xml:space="preserve"> </w:t>
      </w:r>
      <w:r w:rsidRPr="00D9387F">
        <w:rPr>
          <w:rFonts w:asciiTheme="minorHAnsi" w:hAnsiTheme="minorHAnsi"/>
          <w:sz w:val="22"/>
          <w:szCs w:val="22"/>
        </w:rPr>
        <w:t>other</w:t>
      </w:r>
      <w:r w:rsidR="003C7FB2">
        <w:rPr>
          <w:rFonts w:asciiTheme="minorHAnsi" w:hAnsiTheme="minorHAnsi"/>
          <w:sz w:val="22"/>
          <w:szCs w:val="22"/>
        </w:rPr>
        <w:t xml:space="preserve"> </w:t>
      </w:r>
      <w:r w:rsidRPr="00D9387F">
        <w:rPr>
          <w:rFonts w:asciiTheme="minorHAnsi" w:hAnsiTheme="minorHAnsi"/>
          <w:sz w:val="22"/>
          <w:szCs w:val="22"/>
        </w:rPr>
        <w:t>relationships</w:t>
      </w:r>
      <w:r w:rsidR="003C7FB2">
        <w:rPr>
          <w:rFonts w:asciiTheme="minorHAnsi" w:hAnsiTheme="minorHAnsi"/>
          <w:sz w:val="22"/>
          <w:szCs w:val="22"/>
        </w:rPr>
        <w:t xml:space="preserve"> </w:t>
      </w:r>
      <w:r w:rsidRPr="00D9387F">
        <w:rPr>
          <w:rFonts w:asciiTheme="minorHAnsi" w:hAnsiTheme="minorHAnsi"/>
          <w:sz w:val="22"/>
          <w:szCs w:val="22"/>
        </w:rPr>
        <w:t>or</w:t>
      </w:r>
      <w:r w:rsidR="003C7FB2">
        <w:rPr>
          <w:rFonts w:asciiTheme="minorHAnsi" w:hAnsiTheme="minorHAnsi"/>
          <w:sz w:val="22"/>
          <w:szCs w:val="22"/>
        </w:rPr>
        <w:t xml:space="preserve"> </w:t>
      </w:r>
      <w:r w:rsidRPr="00D9387F">
        <w:rPr>
          <w:rFonts w:asciiTheme="minorHAnsi" w:hAnsiTheme="minorHAnsi"/>
          <w:sz w:val="22"/>
          <w:szCs w:val="22"/>
        </w:rPr>
        <w:t>activities</w:t>
      </w:r>
      <w:r w:rsidR="003C7FB2">
        <w:rPr>
          <w:rFonts w:asciiTheme="minorHAnsi" w:hAnsiTheme="minorHAnsi"/>
          <w:sz w:val="22"/>
          <w:szCs w:val="22"/>
        </w:rPr>
        <w:t xml:space="preserve"> </w:t>
      </w:r>
      <w:r w:rsidRPr="00D9387F">
        <w:rPr>
          <w:rFonts w:asciiTheme="minorHAnsi" w:hAnsiTheme="minorHAnsi"/>
          <w:sz w:val="22"/>
          <w:szCs w:val="22"/>
        </w:rPr>
        <w:t>that</w:t>
      </w:r>
      <w:r w:rsidR="003C7FB2">
        <w:rPr>
          <w:rFonts w:asciiTheme="minorHAnsi" w:hAnsiTheme="minorHAnsi"/>
          <w:sz w:val="22"/>
          <w:szCs w:val="22"/>
        </w:rPr>
        <w:t xml:space="preserve"> </w:t>
      </w:r>
      <w:r w:rsidRPr="00D9387F">
        <w:rPr>
          <w:rFonts w:asciiTheme="minorHAnsi" w:hAnsiTheme="minorHAnsi"/>
          <w:sz w:val="22"/>
          <w:szCs w:val="22"/>
        </w:rPr>
        <w:t>could</w:t>
      </w:r>
      <w:r w:rsidR="003C7FB2">
        <w:rPr>
          <w:rFonts w:asciiTheme="minorHAnsi" w:hAnsiTheme="minorHAnsi"/>
          <w:sz w:val="22"/>
          <w:szCs w:val="22"/>
        </w:rPr>
        <w:t xml:space="preserve"> </w:t>
      </w:r>
      <w:r w:rsidRPr="00D9387F">
        <w:rPr>
          <w:rFonts w:asciiTheme="minorHAnsi" w:hAnsiTheme="minorHAnsi"/>
          <w:sz w:val="22"/>
          <w:szCs w:val="22"/>
        </w:rPr>
        <w:t>appear</w:t>
      </w:r>
      <w:r w:rsidR="003C7FB2">
        <w:rPr>
          <w:rFonts w:asciiTheme="minorHAnsi" w:hAnsiTheme="minorHAnsi"/>
          <w:sz w:val="22"/>
          <w:szCs w:val="22"/>
        </w:rPr>
        <w:t xml:space="preserve"> </w:t>
      </w:r>
      <w:r w:rsidRPr="00D9387F">
        <w:rPr>
          <w:rFonts w:asciiTheme="minorHAnsi" w:hAnsiTheme="minorHAnsi"/>
          <w:sz w:val="22"/>
          <w:szCs w:val="22"/>
        </w:rPr>
        <w:t>to</w:t>
      </w:r>
      <w:r w:rsidR="003C7FB2">
        <w:rPr>
          <w:rFonts w:asciiTheme="minorHAnsi" w:hAnsiTheme="minorHAnsi"/>
          <w:sz w:val="22"/>
          <w:szCs w:val="22"/>
        </w:rPr>
        <w:t xml:space="preserve"> </w:t>
      </w:r>
      <w:r w:rsidRPr="00D9387F">
        <w:rPr>
          <w:rFonts w:asciiTheme="minorHAnsi" w:hAnsiTheme="minorHAnsi"/>
          <w:sz w:val="22"/>
          <w:szCs w:val="22"/>
        </w:rPr>
        <w:t>have</w:t>
      </w:r>
      <w:r w:rsidR="003C7FB2">
        <w:rPr>
          <w:rFonts w:asciiTheme="minorHAnsi" w:hAnsiTheme="minorHAnsi"/>
          <w:sz w:val="22"/>
          <w:szCs w:val="22"/>
        </w:rPr>
        <w:t xml:space="preserve"> </w:t>
      </w:r>
      <w:r w:rsidR="00FD6CF3">
        <w:rPr>
          <w:rFonts w:asciiTheme="minorHAnsi" w:hAnsiTheme="minorHAnsi"/>
          <w:sz w:val="22"/>
          <w:szCs w:val="22"/>
        </w:rPr>
        <w:t>influenced</w:t>
      </w:r>
      <w:r w:rsidR="003C7FB2">
        <w:rPr>
          <w:rFonts w:asciiTheme="minorHAnsi" w:hAnsiTheme="minorHAnsi"/>
          <w:sz w:val="22"/>
          <w:szCs w:val="22"/>
        </w:rPr>
        <w:t xml:space="preserve"> </w:t>
      </w:r>
      <w:r w:rsidR="00FD6CF3">
        <w:rPr>
          <w:rFonts w:asciiTheme="minorHAnsi" w:hAnsiTheme="minorHAnsi"/>
          <w:sz w:val="22"/>
          <w:szCs w:val="22"/>
        </w:rPr>
        <w:t>the</w:t>
      </w:r>
      <w:r w:rsidR="003C7FB2">
        <w:rPr>
          <w:rFonts w:asciiTheme="minorHAnsi" w:hAnsiTheme="minorHAnsi"/>
          <w:sz w:val="22"/>
          <w:szCs w:val="22"/>
        </w:rPr>
        <w:t xml:space="preserve"> </w:t>
      </w:r>
      <w:r w:rsidR="00FD6CF3">
        <w:rPr>
          <w:rFonts w:asciiTheme="minorHAnsi" w:hAnsiTheme="minorHAnsi"/>
          <w:sz w:val="22"/>
          <w:szCs w:val="22"/>
        </w:rPr>
        <w:t>submitted</w:t>
      </w:r>
      <w:r w:rsidR="003C7FB2">
        <w:rPr>
          <w:rFonts w:asciiTheme="minorHAnsi" w:hAnsiTheme="minorHAnsi"/>
          <w:sz w:val="22"/>
          <w:szCs w:val="22"/>
        </w:rPr>
        <w:t xml:space="preserve"> </w:t>
      </w:r>
      <w:r w:rsidR="00FD6CF3">
        <w:rPr>
          <w:rFonts w:asciiTheme="minorHAnsi" w:hAnsiTheme="minorHAnsi"/>
          <w:sz w:val="22"/>
          <w:szCs w:val="22"/>
        </w:rPr>
        <w:t>work.</w:t>
      </w:r>
    </w:p>
    <w:p w14:paraId="319766BA" w14:textId="1D27B6DE" w:rsidR="0070242A" w:rsidRPr="0070242A" w:rsidRDefault="0070242A" w:rsidP="002761DF">
      <w:pPr>
        <w:pStyle w:val="NormalWeb"/>
        <w:rPr>
          <w:rFonts w:asciiTheme="minorHAnsi" w:hAnsiTheme="minorHAnsi"/>
          <w:b/>
          <w:sz w:val="22"/>
          <w:szCs w:val="22"/>
        </w:rPr>
      </w:pPr>
      <w:r w:rsidRPr="0070242A">
        <w:rPr>
          <w:rFonts w:asciiTheme="minorHAnsi" w:hAnsiTheme="minorHAnsi"/>
          <w:b/>
          <w:sz w:val="22"/>
          <w:szCs w:val="22"/>
        </w:rPr>
        <w:t>Data</w:t>
      </w:r>
      <w:r w:rsidR="003C7FB2">
        <w:rPr>
          <w:rFonts w:asciiTheme="minorHAnsi" w:hAnsiTheme="minorHAnsi"/>
          <w:b/>
          <w:sz w:val="22"/>
          <w:szCs w:val="22"/>
        </w:rPr>
        <w:t xml:space="preserve"> </w:t>
      </w:r>
      <w:r w:rsidRPr="0070242A">
        <w:rPr>
          <w:rFonts w:asciiTheme="minorHAnsi" w:hAnsiTheme="minorHAnsi"/>
          <w:b/>
          <w:sz w:val="22"/>
          <w:szCs w:val="22"/>
        </w:rPr>
        <w:t>sharing</w:t>
      </w:r>
    </w:p>
    <w:p w14:paraId="33086BF5" w14:textId="4197342D" w:rsidR="007155A0" w:rsidRDefault="007155A0" w:rsidP="007155A0">
      <w:pPr>
        <w:pStyle w:val="NormalWeb"/>
        <w:spacing w:before="0" w:beforeAutospacing="0" w:after="0" w:afterAutospacing="0"/>
        <w:rPr>
          <w:rFonts w:asciiTheme="minorHAnsi" w:hAnsiTheme="minorHAnsi"/>
          <w:sz w:val="22"/>
          <w:szCs w:val="22"/>
        </w:rPr>
      </w:pPr>
      <w:r>
        <w:rPr>
          <w:rFonts w:asciiTheme="minorHAnsi" w:hAnsiTheme="minorHAnsi"/>
          <w:sz w:val="22"/>
          <w:szCs w:val="22"/>
        </w:rPr>
        <w:t>Fenland</w:t>
      </w:r>
      <w:r w:rsidR="003C7FB2">
        <w:rPr>
          <w:rFonts w:asciiTheme="minorHAnsi" w:hAnsiTheme="minorHAnsi"/>
          <w:sz w:val="22"/>
          <w:szCs w:val="22"/>
        </w:rPr>
        <w:t xml:space="preserve"> </w:t>
      </w:r>
      <w:r w:rsidR="0070242A">
        <w:rPr>
          <w:rFonts w:asciiTheme="minorHAnsi" w:hAnsiTheme="minorHAnsi"/>
          <w:sz w:val="22"/>
          <w:szCs w:val="22"/>
        </w:rPr>
        <w:t>data</w:t>
      </w:r>
      <w:r w:rsidR="003C7FB2">
        <w:rPr>
          <w:rFonts w:asciiTheme="minorHAnsi" w:hAnsiTheme="minorHAnsi"/>
          <w:sz w:val="22"/>
          <w:szCs w:val="22"/>
        </w:rPr>
        <w:t xml:space="preserve"> </w:t>
      </w:r>
      <w:r>
        <w:rPr>
          <w:rFonts w:asciiTheme="minorHAnsi" w:hAnsiTheme="minorHAnsi"/>
          <w:sz w:val="22"/>
          <w:szCs w:val="22"/>
        </w:rPr>
        <w:t>is</w:t>
      </w:r>
      <w:r w:rsidR="003C7FB2">
        <w:rPr>
          <w:rFonts w:asciiTheme="minorHAnsi" w:hAnsiTheme="minorHAnsi"/>
          <w:sz w:val="22"/>
          <w:szCs w:val="22"/>
        </w:rPr>
        <w:t xml:space="preserve"> </w:t>
      </w:r>
      <w:r>
        <w:rPr>
          <w:rFonts w:asciiTheme="minorHAnsi" w:hAnsiTheme="minorHAnsi"/>
          <w:sz w:val="22"/>
          <w:szCs w:val="22"/>
        </w:rPr>
        <w:t>publically</w:t>
      </w:r>
      <w:r w:rsidR="003C7FB2">
        <w:rPr>
          <w:rFonts w:asciiTheme="minorHAnsi" w:hAnsiTheme="minorHAnsi"/>
          <w:sz w:val="22"/>
          <w:szCs w:val="22"/>
        </w:rPr>
        <w:t xml:space="preserve"> </w:t>
      </w:r>
      <w:r>
        <w:rPr>
          <w:rFonts w:asciiTheme="minorHAnsi" w:hAnsiTheme="minorHAnsi"/>
          <w:sz w:val="22"/>
          <w:szCs w:val="22"/>
        </w:rPr>
        <w:t>shared</w:t>
      </w:r>
      <w:r w:rsidR="003C7FB2">
        <w:rPr>
          <w:rFonts w:asciiTheme="minorHAnsi" w:hAnsiTheme="minorHAnsi"/>
          <w:sz w:val="22"/>
          <w:szCs w:val="22"/>
        </w:rPr>
        <w:t xml:space="preserve"> </w:t>
      </w:r>
      <w:r>
        <w:rPr>
          <w:rFonts w:asciiTheme="minorHAnsi" w:hAnsiTheme="minorHAnsi"/>
          <w:sz w:val="22"/>
          <w:szCs w:val="22"/>
        </w:rPr>
        <w:t>see</w:t>
      </w:r>
      <w:r w:rsidR="0070242A">
        <w:rPr>
          <w:rFonts w:asciiTheme="minorHAnsi" w:hAnsiTheme="minorHAnsi"/>
          <w:sz w:val="22"/>
          <w:szCs w:val="22"/>
        </w:rPr>
        <w:t>:</w:t>
      </w:r>
      <w:r w:rsidR="003C7FB2">
        <w:rPr>
          <w:rFonts w:asciiTheme="minorHAnsi" w:hAnsiTheme="minorHAnsi"/>
          <w:sz w:val="22"/>
          <w:szCs w:val="22"/>
        </w:rPr>
        <w:t xml:space="preserve"> </w:t>
      </w:r>
    </w:p>
    <w:p w14:paraId="7DFBC9C9" w14:textId="65225E4F" w:rsidR="0070242A" w:rsidRDefault="0070242A" w:rsidP="007155A0">
      <w:pPr>
        <w:pStyle w:val="NormalWeb"/>
        <w:spacing w:before="0" w:beforeAutospacing="0" w:after="0" w:afterAutospacing="0"/>
        <w:rPr>
          <w:rFonts w:asciiTheme="minorHAnsi" w:hAnsiTheme="minorHAnsi"/>
          <w:sz w:val="22"/>
          <w:szCs w:val="22"/>
        </w:rPr>
      </w:pPr>
      <w:r w:rsidRPr="0070242A">
        <w:rPr>
          <w:rFonts w:asciiTheme="minorHAnsi" w:hAnsiTheme="minorHAnsi"/>
          <w:sz w:val="22"/>
          <w:szCs w:val="22"/>
        </w:rPr>
        <w:t>http://epi-meta.medschl.cam.ac.uk/includes/fenland/fenland.html</w:t>
      </w:r>
    </w:p>
    <w:p w14:paraId="65951FCA" w14:textId="77777777" w:rsidR="002761DF" w:rsidRPr="002761DF" w:rsidRDefault="002761DF" w:rsidP="001F7BCD">
      <w:pPr>
        <w:spacing w:after="0" w:line="240" w:lineRule="auto"/>
        <w:rPr>
          <w:b/>
        </w:rPr>
      </w:pPr>
    </w:p>
    <w:p w14:paraId="6F2E33DB" w14:textId="6EBA0588" w:rsidR="00E7633E" w:rsidRPr="009A5AFC" w:rsidRDefault="00E7633E">
      <w:pPr>
        <w:rPr>
          <w:u w:val="single"/>
        </w:rPr>
      </w:pPr>
      <w:r w:rsidRPr="009A5AFC">
        <w:rPr>
          <w:u w:val="single"/>
        </w:rPr>
        <w:br w:type="page"/>
      </w:r>
    </w:p>
    <w:p w14:paraId="2018B1C1" w14:textId="77777777" w:rsidR="003210B1" w:rsidRDefault="002B2828" w:rsidP="003210B1">
      <w:pPr>
        <w:widowControl w:val="0"/>
        <w:autoSpaceDE w:val="0"/>
        <w:autoSpaceDN w:val="0"/>
        <w:adjustRightInd w:val="0"/>
        <w:spacing w:after="0" w:line="240" w:lineRule="auto"/>
        <w:ind w:left="640" w:hanging="640"/>
        <w:rPr>
          <w:b/>
        </w:rPr>
      </w:pPr>
      <w:r w:rsidRPr="002B2828">
        <w:rPr>
          <w:b/>
        </w:rPr>
        <w:t>References</w:t>
      </w:r>
    </w:p>
    <w:p w14:paraId="630E52FE" w14:textId="40F20252" w:rsidR="00F37BBB" w:rsidRPr="00F37BBB" w:rsidRDefault="002B2828" w:rsidP="00F37BBB">
      <w:pPr>
        <w:widowControl w:val="0"/>
        <w:autoSpaceDE w:val="0"/>
        <w:autoSpaceDN w:val="0"/>
        <w:adjustRightInd w:val="0"/>
        <w:spacing w:after="0" w:line="240" w:lineRule="auto"/>
        <w:ind w:left="480" w:hanging="480"/>
        <w:rPr>
          <w:rFonts w:ascii="Calibri" w:hAnsi="Calibri" w:cs="Calibri"/>
          <w:noProof/>
          <w:szCs w:val="24"/>
        </w:rPr>
      </w:pPr>
      <w:r w:rsidRPr="002B2828">
        <w:rPr>
          <w:b/>
        </w:rPr>
        <w:fldChar w:fldCharType="begin" w:fldLock="1"/>
      </w:r>
      <w:r w:rsidRPr="002B2828">
        <w:rPr>
          <w:b/>
        </w:rPr>
        <w:instrText xml:space="preserve">ADDIN Mendeley Bibliography CSL_BIBLIOGRAPHY </w:instrText>
      </w:r>
      <w:r w:rsidRPr="002B2828">
        <w:rPr>
          <w:b/>
        </w:rPr>
        <w:fldChar w:fldCharType="separate"/>
      </w:r>
      <w:r w:rsidR="00F37BBB" w:rsidRPr="00F37BBB">
        <w:rPr>
          <w:rFonts w:ascii="Calibri" w:hAnsi="Calibri" w:cs="Calibri"/>
          <w:noProof/>
          <w:szCs w:val="24"/>
        </w:rPr>
        <w:t>Ainsworth, B.E., Jacobs, D.R., Leon, A.S., Richardson, M.T., Montoye, H.J., 1993. Assessment of the accuracy of physical activity questionnaire occupational data. J. Occup. Med. 35, 1017–27.</w:t>
      </w:r>
    </w:p>
    <w:p w14:paraId="3792CA5E"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Bassett, D.R., Pucher, J., Buehler, R., Thompson, D.L., Crouter, S.E., 2008. Walking, cycling, and obesity rates in Europe, North America, and Australia. J. Phys. Act. Health 5, 795–814.</w:t>
      </w:r>
    </w:p>
    <w:p w14:paraId="156A47CD"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Berglund, E., Lytsy, P., Westerling, R., 2016. Active Traveling and Its Associations with Self-Rated Health, BMI and Physical Activity: A Comparative Study in the Adult Swedish Population. Int. J. Environ. Res. Public Health 13, 455. doi:10.3390/ijerph13050455</w:t>
      </w:r>
    </w:p>
    <w:p w14:paraId="29513A2C"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Besson, H., Brage, S., Jakes, R.W., Ekelund, U., Wareham, N.J., 2010. Estimating physical activity energy expenditure, sedentary time, and physical activity intensity by self-report in adults. Am. J. Clin. Nutr. 91, 106–14. doi:10.3945/ajcn.2009.28432</w:t>
      </w:r>
    </w:p>
    <w:p w14:paraId="2C317464"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Beunza, J.-J., Toledo, E., Hu, F.B., Bes-Rastrollo, M., Serrano-Martínez, M., Sánchez-Villegas, A., Martínez, J.A., Martínez-González, M.A., 2010. Adherence to the Mediterranean diet, long-term weight change, and incident overweight or obesity: the Seguimiento Universidad de Navarra (SUN) cohort. Am. J. Clin. Nutr. 92, 1484–93. doi:10.3945/ajcn.2010.29764</w:t>
      </w:r>
    </w:p>
    <w:p w14:paraId="004AE1F8"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Bingham, S.A., Gill, C., Welch, A., Cassidy, A., Runswick, S.A., Oakes, S., Lubin, R., Thurnham, D.I., Key, T.J., Roe, L., Khaw, K.T., Day, N.E., 1997. Validation of dietary assessment methods in the UK arm of EPIC using weighed records, and 24-hour urinary nitrogen and potassium and serum vitamin C and carotenoids as biomarkers. Int. J. Epidemiol. 26 Suppl 1, S137-51.</w:t>
      </w:r>
    </w:p>
    <w:p w14:paraId="53CB9F10"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Bingham, S.A., Welch, A.A., McTaggart, A., Mulligan, A.A., Runswick, S.A., Luben, R., Oakes, S., Khaw, K.T., Wareham, N., Day, N.E., 2001. Nutritional methods in the European Prospective Investigation of Cancer in Norfolk. Public Health Nutr. 4, 847–58.</w:t>
      </w:r>
    </w:p>
    <w:p w14:paraId="45A21CF4"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Bingham, S., Luben, R., Welch, A., Low, Y.L., Khaw, K.T., Wareham, N., Day, N., 2008. Associations between dietary methods and biomarkers, and between fruits and vegetables and risk of ischaemic heart disease, in the EPIC Norfolk Cohort Study. Int. J. Epidemiol. 37, 978–87. doi:10.1093/ije/dyn111</w:t>
      </w:r>
    </w:p>
    <w:p w14:paraId="773D9354"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Brage, S., Brage, N., Franks, P.W., Ekelund, U., Wareham, N.J., 2005. Reliability and validity of the combined heart rate and movement sensor Actiheart. Eur J Clin Nutr 59, 561–570. doi:10.1038/sj.ejcn.1602118</w:t>
      </w:r>
    </w:p>
    <w:p w14:paraId="104A03CA"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Centres for Disease Control and Prevention, 2010. CDC Recommendations for Improving Health through Transportation Policy. Atlanta.</w:t>
      </w:r>
    </w:p>
    <w:p w14:paraId="0280230B"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Costa, S., Ogilvie, D., Dalton, A., Westgate, K., Brage, S., Panter, J., 2015. Quantifying the physical activity energy expenditure of commuters using a combination of global positioning system and combined heart rate and movement sensors. Prev. Med. (Baltim). 81, 339–344. doi:10.1016/j.ypmed.2015.09.022</w:t>
      </w:r>
    </w:p>
    <w:p w14:paraId="08CD1B7D"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Craig, R., Fuller, E., Mindell, J., 2015. Health Survey for England 2014. Leeds.</w:t>
      </w:r>
    </w:p>
    <w:p w14:paraId="3FA4509F"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Dalton, A.M., Jones, A.P., Panter, J.R., Ogilvie, D., 2013. Neighbourhood, Route and Workplace-Related Environmental Characteristics Predict Adults’ Mode of Travel to Work. PLoS One 8, e67575. doi:10.1371/journal.pone.0067575</w:t>
      </w:r>
    </w:p>
    <w:p w14:paraId="1DB5B5CD"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Das, P., Horton, R., 2012. Rethinking our approach to physical activity. Lancet 380, 189–190. doi:10.1016/S0140-6736(12)61024-1</w:t>
      </w:r>
    </w:p>
    <w:p w14:paraId="5F0C400E"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De Lucia Rolfe, E., Loos, R.J., Druet, C., Stolk, R.P., Ekelund, U., Griffin, S.J., Forouhi, N.G., Wareham, N.J., Ong, K.K., 2010. Association between birth weight and visceral fat in adults. Am. J. Clin. Nutr. 92, 347–352. doi:10.3945/ajcn.2010.29247</w:t>
      </w:r>
    </w:p>
    <w:p w14:paraId="740236F8"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Department for Transport, 2015. National Travel Survey England 2014. London.</w:t>
      </w:r>
    </w:p>
    <w:p w14:paraId="1403B8CA"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Flint, E., Cummins, S., 2016. Active commuting and obesity in mid-life: cross-sectional, observational evidence from UK Biobank. Lancet Diabetes Endocrinol. 4, 420–435. doi:10.1016/S2213-8587(16)00053-X</w:t>
      </w:r>
    </w:p>
    <w:p w14:paraId="6DD4D80D"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Flint, E., Cummins, S., Sacker, A., 2014. Associations between active commuting, body fat, and body mass index: population based, cross sectional study in the United Kingdom. BMJ 349, g4887–g4887. doi:10.1136/bmj.g4887</w:t>
      </w:r>
    </w:p>
    <w:p w14:paraId="19714D2E"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Flórez Pregonero, A., Gómez, L.F., Parra, D.C., Cohen, D.D., Arango Paternina, C.M., Lobelo, F., 2012. Time spent traveling in motor vehicles and its association with overweight and abdominal obesity in Colombian adults who do not own a car. Prev. Med. (Baltim). 54, 402–4. doi:10.1016/j.ypmed.2012.04.002</w:t>
      </w:r>
    </w:p>
    <w:p w14:paraId="2AAAAB43"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Fox, C.S., Massaro, J.M., Hoffmann, U., Pou, K.M., Maurovich-Horvat, P., Liu, C.-Y., Vasan, R.S., Murabito, J.M., Meigs, J.B., Cupples, L.A., D’Agostino, R.B., O’Donnell, C.J., 2007. Abdominal visceral and subcutaneous adipose tissue compartments: association with metabolic risk factors in the Framingham Heart Study. Circulation 116, 39–48. doi:10.1161/CIRCULATIONAHA.106.675355</w:t>
      </w:r>
    </w:p>
    <w:p w14:paraId="7079031A"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Goodman, A., 2013. Walking, cycling and driving to work in the English and Welsh 2011 census: trends, socio-economic patterning and relevance to travel behaviour in general. PLoS One 8, e71790. doi:10.1371/journal.pone.0071790</w:t>
      </w:r>
    </w:p>
    <w:p w14:paraId="6D78ED82"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Gordon-Larsen, P., Boone-Heinonen, J., Sidney, S., Sternfeld, B., Jacobs  Jr., D.R., Lewis, C.E., 2009. Active commuting and cardiovascular disease risk: the CARDIA study. Arch Intern Med 169, 1216–1223. doi:10.1001/archinternmed.2009.163</w:t>
      </w:r>
    </w:p>
    <w:p w14:paraId="533C982D"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Kneebone, E., Holmes, N., 2015. The growing distance between people and jobs in metropolitan America. Washington (DC).</w:t>
      </w:r>
    </w:p>
    <w:p w14:paraId="56A6CB3E"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Larouche, R., Faulkner, G., Tremblay, M.S., 2016. Active travel and adults’ health: The 2007-to-2011 Canadian Health Measures Surveys. Heal. reports 27, 10–8.</w:t>
      </w:r>
    </w:p>
    <w:p w14:paraId="57CFDBA5"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Laverty, A.A., Mindell, J.S., Webb, E.A., Millett, C., 2013. Active travel to work and cardiovascular risk factors in the United Kingdom. Am. J. Prev. Med. 45, 282–8. doi:10.1016/j.amepre.2013.04.012</w:t>
      </w:r>
    </w:p>
    <w:p w14:paraId="5C2A25C7"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Laverty, A.A., Palladino, R., Lee, J.T., Millett, C., 2015. Associations between active travel and weight, blood pressure and diabetes in six middle income countries: a cross-sectional study in older adults. Int. J. Behav. Nutr. Phys. Act. 12, 65. doi:10.1186/s12966-015-0223-3</w:t>
      </w:r>
    </w:p>
    <w:p w14:paraId="57F81F27"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Lindström, M., 2008. Means of transportation to work and overweight and obesity: a population-based study in southern Sweden. Prev. Med. (Baltim). 46, 22–8. doi:10.1016/j.ypmed.2007.07.012</w:t>
      </w:r>
    </w:p>
    <w:p w14:paraId="64D00F88"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Luna-Luna, M., Medina-Urrutia, A., Vargas-Alarcon, G., Coss-Rovirosa, F., Vargas-Barron, J., Perez-Mendez, O., 2015. Adipose Tissue in Metabolic Syndrome: Onset and Progression of Atherosclerosis. Arch. Med. Res. doi:10.1016/j.arcmed.2015.05.007</w:t>
      </w:r>
    </w:p>
    <w:p w14:paraId="1CF0B19F"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Martin, A., Panter, J., Suhrcke, M., Ogilvie, D., 2015. Impact of changes in mode of travel to work on changes in body mass index: evidence from the British Household Panel Survey. J. Epidemiol. Community Health 69, 753–61. doi:10.1136/jech-2014-205211</w:t>
      </w:r>
    </w:p>
    <w:p w14:paraId="58DAD2BD"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McKay, A.J., Laverty, A.A., Shridhar, K., Alam, D., Dias, A., Williams, J., Millett, C., Ebrahim, S., Dhillon, P.K., 2015. Associations between active travel and adiposity in rural India and Bangladesh: a cross-sectional study. BMC Public Health 15, 1087. doi:10.1186/s12889-015-2411-0</w:t>
      </w:r>
    </w:p>
    <w:p w14:paraId="5DD37C6B"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Micklesfield, L.K., Goedecke, J.H., Punyanitya, M., Wilson, K.E., Kelly, T.L., 2012. Dual-energy X-ray performs as well as clinical computed tomography for the measurement of visceral fat. Obesity (Silver Spring). 20, 1109–14. doi:10.1038/oby.2011.367</w:t>
      </w:r>
    </w:p>
    <w:p w14:paraId="1558F3F5"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Millett, C., Agrawal, S., Sullivan, R., Vaz, M., Kurpad, A., Bharathi, A. V., Prabhakaran, D., Reddy, K.K.S., Kinra, S., Smith, G.G.D., Ebrahim, S., Group,  for the I.M.S., 2013. Associations between active travel to work and overweight, hypertension, and diabetes in India: a cross-sectional study. PLoS Med. 10, e1001459. doi:10.1371/journal.pmed.1001459</w:t>
      </w:r>
    </w:p>
    <w:p w14:paraId="1093C4BD"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Mulligan, A.A., Luben, R.N., Bhaniani, A., Parry-Smith, D.J., O’Connor, L., Khawaja, A.P., Forouhi, N.G., Khaw, K.-T., 2014. A new tool for converting food frequency questionnaire data into nutrient and food group values: FETA research methods and availability. BMJ Open 4, e004503. doi:10.1136/bmjopen-2013-004503</w:t>
      </w:r>
    </w:p>
    <w:p w14:paraId="0FEF4C1F"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Mytton, O.T., Panter, J., Ogilvie, D., 2016. Longitudinal associations of active commuting with body mass index. Prev. Med. (Baltim). 90, 1–7. doi:10.1016/j.ypmed.2016.06.014</w:t>
      </w:r>
    </w:p>
    <w:p w14:paraId="6A480359"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O’Connor, L., Brage, S., Griffin, S.J., Wareham, N.J., Forouhi, N.G., 2015. The cross-sectional association between snacking behaviour and measures of adiposity: the Fenland Study, UK. Br. J. Nutr. 114, 1286–93. doi:10.1017/S000711451500269X</w:t>
      </w:r>
    </w:p>
    <w:p w14:paraId="67B54F1D"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Office for National Statistics, 2016. Labour market profile - Cambridge [WWW Document]. Nomis. URL https://www.nomisweb.co.uk/reports/lmp/la/1946157205/report.aspx?c1=2013265926&amp;c2=2092957699</w:t>
      </w:r>
    </w:p>
    <w:p w14:paraId="31A8E6F3"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Office for National Statistics, 2014. 2011 Census Analysis, Cycling to Work. Newport, Wales.</w:t>
      </w:r>
    </w:p>
    <w:p w14:paraId="37B0C2D5"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Office for National Statistics, 2013. Population Estimates for UK, England and Wales, Scotland and Northern Ireland, Mid-2011 and Mid-2012 [WWW Document]. Popul. Estim. UK, Engl. Wales, Scotl. North. Irel. - Mid 2012. URL http://www.ons.gov.uk/ons/publications/re-reference-tables.html?edition=tcm:77-319259</w:t>
      </w:r>
    </w:p>
    <w:p w14:paraId="132F34F5"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Office for National Statistics, n.d. WP702EW - Distance travelled to work (Workplace population) [WWW Document]. Census 2011. URL http://www.nomisweb.co.uk/census/2011/WP702EW/view/2092957703?cols=measures (accessed 8.11.15).</w:t>
      </w:r>
    </w:p>
    <w:p w14:paraId="150F4ABC"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Panter, J., Desousa, C., Ogilvie, D., 2013. Incorporating walking or cycling into car journeys to and from work: the role of individual, workplace and environmental characteristics. Prev. Med. (Baltim). 56, 211–7. doi:10.1016/j.ypmed.2013.01.014</w:t>
      </w:r>
    </w:p>
    <w:p w14:paraId="06B2DCD3"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Richardson, M.T., Leon, A.S., Jacobs, D.R., Ainsworth, B.E., Serfass, R., 1994. Comprehensive evaluation of the Minnesota Leisure Time Physical Activity Questionnaire. J. Clin. Epidemiol. 47, 271–81.</w:t>
      </w:r>
    </w:p>
    <w:p w14:paraId="16CE4BEB"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Rissel, C., Greenaway, M., Bauman, A., Wen, L.M., 2014. Active travel to work in New South Wales 2005-2010, individual characteristics and association with body mass index. Aust. N. Z. J. Public Health 38, 25–9. doi:10.1111/1753-6405.12097</w:t>
      </w:r>
    </w:p>
    <w:p w14:paraId="034331DE"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Tong, T.Y.N., Wareham, N.J., Khaw, K.-T., Imamura, F., Forouhi, N.G., Keys, A., Willett, W., Sacks, F., Trichopoulou, A., Drescher, G., Ferro-Luzzi, A., Helsing, E., Trichopoulou, A., Martínez-González, M., Tong, T., Forouhi, N., Khandelwal, S., Prabhakaran, D., Bach-Faig, A., Berry, E., Lairon, D., Reguant, J., Trichopoulou, A., Dernini, S., Sofi, F., Macchi, C., Abbate, R., Gensini, G., Casini, A., Psaltopoulou, T., Sergentanis, T., Panagiotakos, D., Sergentanis, I., Kosti, R., Scarmeas, N., Schwingshackl, L., Hoffmann, G., Martinez-Gonzalez, M., Bes-Rastrollo, M., Mente, A., Koning, L., Shannon, H., Anand, S., Lorgeril, M., Salen, P., Martin, J.-L., Monjaud, I., Delaye, J., Mamelle, N., Estruch, R., Ros, E., Salas-Salvadó, J., Covas, M.-I., Corella, D., Arós, F., Tognon, G., Nilsson, L., Lissner, L., Johansson, I., Hallmans, G., Lindahl, B., Hodge, A., English, D., Itsiopoulos, C., O’Dea, K., Giles, G., Trichopoulou, A., Orfanos, P., Norat, T., Bueno-de-Mesquita, B., Ocké, M., Peeters, P., Panagiotakos, D., Arapi, S., Pitsavos, C., Antonoulas, A., Mantas, Y., Zombolos, S., Sánchez-Villegas, A., Martínez, J., Irala, J., Martínez-González, M., Alberti, A., Fruttini, D., Fidanza, F., Rumawas, M., Meigs, J., Dwyer, J., McKeown, N., Jacques, P., Rumawas, M., Dwyer, J., McKeown, N., Meigs, J., Rogers, G., Jacques, P., Day, N., Oakes, S., Luben, R., Khaw, K., Bingham, S., Welch, A., Bingham, S., Gill, C., Welch, A., Day, K., Cassidy, A., Khaw, K., Bingham, S., Gill, C., Welch, A., Cassidy, A., Runswick, S., Oakes, S., Bingham, S., Cassidy, A., Cole, T., Welch, A., Runswick, S., Black, A., Hu, F., Stampfer, M., Rimm, E., Ascherio, A., Rosner, B., Spiegelman, D., Trichopoulou, A., Bamia, C., Trichopoulos, D., Chamnan, P., Simmons, R., Jackson, R., Khaw, K., Wareham, N., Griffin, S., Sinha, S., Myint, P., Luben, R., Khaw, K.-T., Wareham, N., Jakes, R., Rennie, K., Schuit, J., Mitchell, J., Hennings, S., White, I., Royston, P., Wood, A., Efron, B., Collins, G., Altman, D., Fine, J., Gray, R., Dilis, V., Katsoulis, M., Lagiou, P., Trichopoulos, D., Naska, A., Trichopoulou, A., Hoevenaar-Blom, M., Nooyens, A., Kromhout, D., Spijkerman, A., Beulens, J., Schouw, Y., Misirli, G., Benetou, V., Lagiou, P., Bamia, C., Trichopoulos, D., Trichopoulou, A., Tognon, G., Lissner, L., Sæbye, D., Walker, K., Heitmann, B., Gardener, H., Wright, C., Gu, Y., Demmer, R., Boden-Albala, B., Elkind, M., Harmon, B., Boushey, C., Shvetsov, Y., Ettienne, R., Reedy, J., Wilkens, L., Domínguez, L., Bes-Rastrollo, M., Fuente-Arrillaga, C., Toledo, E., Beunza, J., Barbagallo, M., Brunner, J., Mosdol, A., Witte, R., Hoevenaar-Blom, M., Spijkerman, A., Boshuizen, H., Boer, J., Kromhout, D., Verschuren, W., Bonaccio, M., Castelnuovo, A., Costanzo, S., Persichillo, M., Donati, M., Gaetano, G., Martinez-Gonzalez, M., Garcia-Lopez, M., Bes-Rastrollo, M., Toledo, E., Martinez-Lapiscina, E., Delgado-Rodriguez, M., Lorgeril, M., Salen, P., Martin, J., Mamelle, N., Monjaud, I., Touboul, P., Salas-Salvadó, J., Bulló, M., Babio, N., Martínez-González, M., Ibarrola-Jurado, N., Basora, J., Taylor, F., Huffman, M., Macedo, A., Moore, T., Burke, M., Davey, S., Sattar, N., Preiss, D., Murray, H., Lee, I., Shiroma, E., Lobelo, F., Puska, P., Blair, S., Katzmarzyk, P., Elwood, P., Pickering, J., Givens, D.I., Gallacher, J., Soedamah-Muthu, S., Ding, E., Al-Delaimy, W., Hu, F., Engberink, M., Willett, W., Frazier-Wood, A., Kim, J., Davis, J., Jung, S., Chang, S., 2016. Prospective association of the Mediterranean diet with cardiovascular disease incidence and mortality and its population impact in a non-Mediterranean population: the EPIC-Norfolk study. BMC Med. 14, 135. doi:10.1186/s12916-016-0677-4</w:t>
      </w:r>
    </w:p>
    <w:p w14:paraId="43DCCDAB"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Wareham, N.J., 2014. The long-term benefits of lifestyle interventions for prevention of diabetes. Lancet Diabetes Endocrinol. 2, 441–2. doi:10.1016/S2213-8587(14)70074-9</w:t>
      </w:r>
    </w:p>
    <w:p w14:paraId="08CADF8F"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Wareham, N.J., Jakes, R.W., Rennie, K.L., Mitchell, J., Hennings, S., Day, N.E., 2002. Validity and repeatability of the EPIC-Norfolk Physical Activity Questionnaire. Int. J. Epidemiol. 31, 168–174. doi:10.1093/ije/31.1.168</w:t>
      </w:r>
    </w:p>
    <w:p w14:paraId="69EF3189"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szCs w:val="24"/>
        </w:rPr>
      </w:pPr>
      <w:r w:rsidRPr="00F37BBB">
        <w:rPr>
          <w:rFonts w:ascii="Calibri" w:hAnsi="Calibri" w:cs="Calibri"/>
          <w:noProof/>
          <w:szCs w:val="24"/>
        </w:rPr>
        <w:t>Willett, W., Stampfer, M., 1998. Determinants of Between-Person Variation in Total Energy Intake, in: Willet, W. (Ed.), Nutritional Epidemiology. Oxford University Press, Oxford, pp. 274–276.</w:t>
      </w:r>
    </w:p>
    <w:p w14:paraId="184C44A4" w14:textId="77777777" w:rsidR="00F37BBB" w:rsidRPr="00F37BBB" w:rsidRDefault="00F37BBB" w:rsidP="00F37BBB">
      <w:pPr>
        <w:widowControl w:val="0"/>
        <w:autoSpaceDE w:val="0"/>
        <w:autoSpaceDN w:val="0"/>
        <w:adjustRightInd w:val="0"/>
        <w:spacing w:after="0" w:line="240" w:lineRule="auto"/>
        <w:ind w:left="480" w:hanging="480"/>
        <w:rPr>
          <w:rFonts w:ascii="Calibri" w:hAnsi="Calibri" w:cs="Calibri"/>
          <w:noProof/>
        </w:rPr>
      </w:pPr>
      <w:r w:rsidRPr="00F37BBB">
        <w:rPr>
          <w:rFonts w:ascii="Calibri" w:hAnsi="Calibri" w:cs="Calibri"/>
          <w:noProof/>
          <w:szCs w:val="24"/>
        </w:rPr>
        <w:t>Wojan, T.R., Hamrick, K.S., Durand, C., 2015. Can Walking or Biking to Work Really Make a Difference? Compact Development, Observed Commuter Choice and Body Mass Index. PLoS One 10, e0130903. doi:10.1371/journal.pone.0130903</w:t>
      </w:r>
    </w:p>
    <w:p w14:paraId="5B92DF4F" w14:textId="77777777" w:rsidR="005F3B8C" w:rsidRDefault="002B2828" w:rsidP="005F3B8C">
      <w:pPr>
        <w:widowControl w:val="0"/>
        <w:autoSpaceDE w:val="0"/>
        <w:autoSpaceDN w:val="0"/>
        <w:adjustRightInd w:val="0"/>
        <w:spacing w:after="0" w:line="240" w:lineRule="auto"/>
        <w:rPr>
          <w:b/>
        </w:rPr>
      </w:pPr>
      <w:r w:rsidRPr="002B2828">
        <w:rPr>
          <w:b/>
        </w:rPr>
        <w:fldChar w:fldCharType="end"/>
      </w:r>
    </w:p>
    <w:p w14:paraId="56B9DDF0" w14:textId="600B7128" w:rsidR="005F3B8C" w:rsidRDefault="005F3B8C">
      <w:pPr>
        <w:rPr>
          <w:b/>
        </w:rPr>
      </w:pPr>
    </w:p>
    <w:p w14:paraId="33841BAD" w14:textId="77777777" w:rsidR="005F3B8C" w:rsidRPr="001472C0" w:rsidRDefault="005F3B8C" w:rsidP="001472C0">
      <w:pPr>
        <w:spacing w:after="0" w:line="240" w:lineRule="auto"/>
        <w:rPr>
          <w:sz w:val="16"/>
          <w:szCs w:val="16"/>
        </w:rPr>
      </w:pPr>
    </w:p>
    <w:sectPr w:rsidR="005F3B8C" w:rsidRPr="001472C0" w:rsidSect="00EF4F69">
      <w:headerReference w:type="default" r:id="rId10"/>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4F66B" w14:textId="77777777" w:rsidR="00A7425E" w:rsidRDefault="00A7425E" w:rsidP="00286C4B">
      <w:pPr>
        <w:spacing w:after="0" w:line="240" w:lineRule="auto"/>
      </w:pPr>
      <w:r>
        <w:separator/>
      </w:r>
    </w:p>
  </w:endnote>
  <w:endnote w:type="continuationSeparator" w:id="0">
    <w:p w14:paraId="63EB8FA8" w14:textId="77777777" w:rsidR="00A7425E" w:rsidRDefault="00A7425E" w:rsidP="0028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8AB16" w14:textId="77777777" w:rsidR="00A7425E" w:rsidRDefault="00A7425E" w:rsidP="00286C4B">
      <w:pPr>
        <w:spacing w:after="0" w:line="240" w:lineRule="auto"/>
      </w:pPr>
      <w:r>
        <w:separator/>
      </w:r>
    </w:p>
  </w:footnote>
  <w:footnote w:type="continuationSeparator" w:id="0">
    <w:p w14:paraId="09A3F5C4" w14:textId="77777777" w:rsidR="00A7425E" w:rsidRDefault="00A7425E" w:rsidP="00286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813484"/>
      <w:docPartObj>
        <w:docPartGallery w:val="Page Numbers (Top of Page)"/>
        <w:docPartUnique/>
      </w:docPartObj>
    </w:sdtPr>
    <w:sdtEndPr>
      <w:rPr>
        <w:noProof/>
      </w:rPr>
    </w:sdtEndPr>
    <w:sdtContent>
      <w:p w14:paraId="483FC2F2" w14:textId="62D56464" w:rsidR="00B75D15" w:rsidRDefault="00B75D15">
        <w:pPr>
          <w:pStyle w:val="Header"/>
          <w:jc w:val="right"/>
        </w:pPr>
        <w:r>
          <w:fldChar w:fldCharType="begin"/>
        </w:r>
        <w:r>
          <w:instrText xml:space="preserve"> PAGE   \* MERGEFORMAT </w:instrText>
        </w:r>
        <w:r>
          <w:fldChar w:fldCharType="separate"/>
        </w:r>
        <w:r w:rsidR="00A7425E">
          <w:rPr>
            <w:noProof/>
          </w:rPr>
          <w:t>1</w:t>
        </w:r>
        <w:r>
          <w:rPr>
            <w:noProof/>
          </w:rPr>
          <w:fldChar w:fldCharType="end"/>
        </w:r>
      </w:p>
    </w:sdtContent>
  </w:sdt>
  <w:p w14:paraId="64D5B2B1" w14:textId="77777777" w:rsidR="00B75D15" w:rsidRDefault="00B7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522B"/>
    <w:multiLevelType w:val="hybridMultilevel"/>
    <w:tmpl w:val="8F6C8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90732C"/>
    <w:multiLevelType w:val="hybridMultilevel"/>
    <w:tmpl w:val="AED6CCB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7534BE"/>
    <w:multiLevelType w:val="hybridMultilevel"/>
    <w:tmpl w:val="44F61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263372"/>
    <w:multiLevelType w:val="hybridMultilevel"/>
    <w:tmpl w:val="9CD2AFFE"/>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039"/>
    <w:multiLevelType w:val="hybridMultilevel"/>
    <w:tmpl w:val="AED6CCB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5F4DC1"/>
    <w:multiLevelType w:val="hybridMultilevel"/>
    <w:tmpl w:val="357E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311E5"/>
    <w:multiLevelType w:val="hybridMultilevel"/>
    <w:tmpl w:val="F9D8660E"/>
    <w:lvl w:ilvl="0" w:tplc="357883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131B6"/>
    <w:multiLevelType w:val="hybridMultilevel"/>
    <w:tmpl w:val="85FE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D33AB5"/>
    <w:multiLevelType w:val="hybridMultilevel"/>
    <w:tmpl w:val="C1266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8"/>
  </w:num>
  <w:num w:numId="6">
    <w:abstractNumId w:val="6"/>
  </w:num>
  <w:num w:numId="7">
    <w:abstractNumId w:val="4"/>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54"/>
    <w:rsid w:val="000009E5"/>
    <w:rsid w:val="0000194B"/>
    <w:rsid w:val="00006275"/>
    <w:rsid w:val="00006E7D"/>
    <w:rsid w:val="0001548A"/>
    <w:rsid w:val="0002073F"/>
    <w:rsid w:val="00021EF7"/>
    <w:rsid w:val="00022F83"/>
    <w:rsid w:val="00024358"/>
    <w:rsid w:val="00031CF4"/>
    <w:rsid w:val="0003296D"/>
    <w:rsid w:val="000403F8"/>
    <w:rsid w:val="0004124B"/>
    <w:rsid w:val="00042128"/>
    <w:rsid w:val="00044209"/>
    <w:rsid w:val="00046D3D"/>
    <w:rsid w:val="000511BB"/>
    <w:rsid w:val="00056CB4"/>
    <w:rsid w:val="00057B7B"/>
    <w:rsid w:val="0007631F"/>
    <w:rsid w:val="00077168"/>
    <w:rsid w:val="00081725"/>
    <w:rsid w:val="00093907"/>
    <w:rsid w:val="00094767"/>
    <w:rsid w:val="000A7450"/>
    <w:rsid w:val="000A7854"/>
    <w:rsid w:val="000B07A6"/>
    <w:rsid w:val="000B424A"/>
    <w:rsid w:val="000B4471"/>
    <w:rsid w:val="000B4942"/>
    <w:rsid w:val="000B514A"/>
    <w:rsid w:val="000B6B36"/>
    <w:rsid w:val="000C3FFD"/>
    <w:rsid w:val="000D0881"/>
    <w:rsid w:val="000D5B43"/>
    <w:rsid w:val="000D7644"/>
    <w:rsid w:val="000F023D"/>
    <w:rsid w:val="000F0902"/>
    <w:rsid w:val="000F1248"/>
    <w:rsid w:val="000F77BE"/>
    <w:rsid w:val="00101783"/>
    <w:rsid w:val="0011095F"/>
    <w:rsid w:val="00112611"/>
    <w:rsid w:val="00116068"/>
    <w:rsid w:val="00127E3E"/>
    <w:rsid w:val="0013016B"/>
    <w:rsid w:val="00130AB2"/>
    <w:rsid w:val="00130DA1"/>
    <w:rsid w:val="00136D4E"/>
    <w:rsid w:val="00145069"/>
    <w:rsid w:val="00146559"/>
    <w:rsid w:val="001472C0"/>
    <w:rsid w:val="00154627"/>
    <w:rsid w:val="001547E7"/>
    <w:rsid w:val="00156048"/>
    <w:rsid w:val="0016242E"/>
    <w:rsid w:val="0018564F"/>
    <w:rsid w:val="0018599D"/>
    <w:rsid w:val="0018748A"/>
    <w:rsid w:val="00197936"/>
    <w:rsid w:val="001A033A"/>
    <w:rsid w:val="001A2EE4"/>
    <w:rsid w:val="001A3F36"/>
    <w:rsid w:val="001A6824"/>
    <w:rsid w:val="001C1F9B"/>
    <w:rsid w:val="001D6702"/>
    <w:rsid w:val="001E050C"/>
    <w:rsid w:val="001E1385"/>
    <w:rsid w:val="001E22C4"/>
    <w:rsid w:val="001E48A7"/>
    <w:rsid w:val="001E79DB"/>
    <w:rsid w:val="001E7CEB"/>
    <w:rsid w:val="001F1D82"/>
    <w:rsid w:val="001F259E"/>
    <w:rsid w:val="001F7BCD"/>
    <w:rsid w:val="0020618B"/>
    <w:rsid w:val="00211D85"/>
    <w:rsid w:val="00211E0B"/>
    <w:rsid w:val="00211EFA"/>
    <w:rsid w:val="00222358"/>
    <w:rsid w:val="0023429E"/>
    <w:rsid w:val="00235F62"/>
    <w:rsid w:val="0026238C"/>
    <w:rsid w:val="00264F30"/>
    <w:rsid w:val="00265CB5"/>
    <w:rsid w:val="00272EFC"/>
    <w:rsid w:val="002761DF"/>
    <w:rsid w:val="00286C4B"/>
    <w:rsid w:val="00287EC6"/>
    <w:rsid w:val="00291DC0"/>
    <w:rsid w:val="0029604A"/>
    <w:rsid w:val="002A0ACC"/>
    <w:rsid w:val="002A5E2D"/>
    <w:rsid w:val="002A61AA"/>
    <w:rsid w:val="002A781F"/>
    <w:rsid w:val="002B2828"/>
    <w:rsid w:val="002B7B95"/>
    <w:rsid w:val="002C0D2E"/>
    <w:rsid w:val="002C11E6"/>
    <w:rsid w:val="002C3B33"/>
    <w:rsid w:val="002C4B83"/>
    <w:rsid w:val="002C5F54"/>
    <w:rsid w:val="002C75A5"/>
    <w:rsid w:val="002C7BA1"/>
    <w:rsid w:val="002D1D5F"/>
    <w:rsid w:val="002D396F"/>
    <w:rsid w:val="002E0234"/>
    <w:rsid w:val="002E1D22"/>
    <w:rsid w:val="002E583D"/>
    <w:rsid w:val="002F2463"/>
    <w:rsid w:val="002F3BFF"/>
    <w:rsid w:val="002F576D"/>
    <w:rsid w:val="002F73BE"/>
    <w:rsid w:val="003010AA"/>
    <w:rsid w:val="00303CC2"/>
    <w:rsid w:val="00303E13"/>
    <w:rsid w:val="00313793"/>
    <w:rsid w:val="003163E3"/>
    <w:rsid w:val="00320BC3"/>
    <w:rsid w:val="003210B1"/>
    <w:rsid w:val="0032182F"/>
    <w:rsid w:val="00321E56"/>
    <w:rsid w:val="00322A7F"/>
    <w:rsid w:val="00326E63"/>
    <w:rsid w:val="00333670"/>
    <w:rsid w:val="00335517"/>
    <w:rsid w:val="00335880"/>
    <w:rsid w:val="00351990"/>
    <w:rsid w:val="00351F0F"/>
    <w:rsid w:val="0035643F"/>
    <w:rsid w:val="00360655"/>
    <w:rsid w:val="003639FD"/>
    <w:rsid w:val="00363B72"/>
    <w:rsid w:val="00367831"/>
    <w:rsid w:val="0037692D"/>
    <w:rsid w:val="00382005"/>
    <w:rsid w:val="00385A42"/>
    <w:rsid w:val="00390AC4"/>
    <w:rsid w:val="003922BC"/>
    <w:rsid w:val="003B5082"/>
    <w:rsid w:val="003B5561"/>
    <w:rsid w:val="003C4AFD"/>
    <w:rsid w:val="003C7DC2"/>
    <w:rsid w:val="003C7FB2"/>
    <w:rsid w:val="003D0EE5"/>
    <w:rsid w:val="003D3F70"/>
    <w:rsid w:val="003D77E6"/>
    <w:rsid w:val="003E141D"/>
    <w:rsid w:val="003E1837"/>
    <w:rsid w:val="003E239B"/>
    <w:rsid w:val="003E549E"/>
    <w:rsid w:val="003F10CB"/>
    <w:rsid w:val="003F4E3B"/>
    <w:rsid w:val="003F6279"/>
    <w:rsid w:val="00407F6C"/>
    <w:rsid w:val="00412AB6"/>
    <w:rsid w:val="004134B0"/>
    <w:rsid w:val="0041383C"/>
    <w:rsid w:val="00414285"/>
    <w:rsid w:val="00420428"/>
    <w:rsid w:val="00421211"/>
    <w:rsid w:val="00422741"/>
    <w:rsid w:val="00427315"/>
    <w:rsid w:val="00432411"/>
    <w:rsid w:val="00432579"/>
    <w:rsid w:val="004344E5"/>
    <w:rsid w:val="00446F7C"/>
    <w:rsid w:val="00453727"/>
    <w:rsid w:val="00461ABE"/>
    <w:rsid w:val="0046283B"/>
    <w:rsid w:val="004667ED"/>
    <w:rsid w:val="00471F82"/>
    <w:rsid w:val="00472032"/>
    <w:rsid w:val="004762F6"/>
    <w:rsid w:val="00485D85"/>
    <w:rsid w:val="00486578"/>
    <w:rsid w:val="00492326"/>
    <w:rsid w:val="00492F2D"/>
    <w:rsid w:val="004978E7"/>
    <w:rsid w:val="004A12C4"/>
    <w:rsid w:val="004A5A53"/>
    <w:rsid w:val="004A6D8B"/>
    <w:rsid w:val="004B09B7"/>
    <w:rsid w:val="004B4F01"/>
    <w:rsid w:val="004B5A21"/>
    <w:rsid w:val="004C0BBE"/>
    <w:rsid w:val="004C4719"/>
    <w:rsid w:val="004C7357"/>
    <w:rsid w:val="004D21F5"/>
    <w:rsid w:val="004D4C5D"/>
    <w:rsid w:val="004D778D"/>
    <w:rsid w:val="004E412F"/>
    <w:rsid w:val="004E504A"/>
    <w:rsid w:val="004F0882"/>
    <w:rsid w:val="004F1401"/>
    <w:rsid w:val="004F4FF8"/>
    <w:rsid w:val="0050352C"/>
    <w:rsid w:val="005213F0"/>
    <w:rsid w:val="00521704"/>
    <w:rsid w:val="00525BBE"/>
    <w:rsid w:val="005331ED"/>
    <w:rsid w:val="00533B9A"/>
    <w:rsid w:val="005364B7"/>
    <w:rsid w:val="00536FA6"/>
    <w:rsid w:val="00550040"/>
    <w:rsid w:val="00551631"/>
    <w:rsid w:val="00557B88"/>
    <w:rsid w:val="00560C63"/>
    <w:rsid w:val="00564E36"/>
    <w:rsid w:val="00584DD1"/>
    <w:rsid w:val="00591CA0"/>
    <w:rsid w:val="005A0CFF"/>
    <w:rsid w:val="005A2280"/>
    <w:rsid w:val="005A27C3"/>
    <w:rsid w:val="005A47AA"/>
    <w:rsid w:val="005A520A"/>
    <w:rsid w:val="005B0356"/>
    <w:rsid w:val="005B2708"/>
    <w:rsid w:val="005C0461"/>
    <w:rsid w:val="005D7875"/>
    <w:rsid w:val="005E031E"/>
    <w:rsid w:val="005E0581"/>
    <w:rsid w:val="005E0D6A"/>
    <w:rsid w:val="005E622A"/>
    <w:rsid w:val="005F2B2D"/>
    <w:rsid w:val="005F3B8C"/>
    <w:rsid w:val="005F64DC"/>
    <w:rsid w:val="006060DA"/>
    <w:rsid w:val="00611160"/>
    <w:rsid w:val="00611CA8"/>
    <w:rsid w:val="00616F1B"/>
    <w:rsid w:val="0062317F"/>
    <w:rsid w:val="00627DA1"/>
    <w:rsid w:val="00634F57"/>
    <w:rsid w:val="00646570"/>
    <w:rsid w:val="0065297E"/>
    <w:rsid w:val="00656837"/>
    <w:rsid w:val="0066331A"/>
    <w:rsid w:val="006645FB"/>
    <w:rsid w:val="006656D6"/>
    <w:rsid w:val="006676BA"/>
    <w:rsid w:val="00670442"/>
    <w:rsid w:val="006705A5"/>
    <w:rsid w:val="00682681"/>
    <w:rsid w:val="006844DD"/>
    <w:rsid w:val="00690072"/>
    <w:rsid w:val="00694E86"/>
    <w:rsid w:val="006964E9"/>
    <w:rsid w:val="006A012D"/>
    <w:rsid w:val="006A61AD"/>
    <w:rsid w:val="006A6B59"/>
    <w:rsid w:val="006A7CCF"/>
    <w:rsid w:val="006C06DE"/>
    <w:rsid w:val="006C3189"/>
    <w:rsid w:val="006D1183"/>
    <w:rsid w:val="006D4384"/>
    <w:rsid w:val="006D5B44"/>
    <w:rsid w:val="006D68E2"/>
    <w:rsid w:val="006E59E4"/>
    <w:rsid w:val="006E7EF4"/>
    <w:rsid w:val="006F6888"/>
    <w:rsid w:val="0070242A"/>
    <w:rsid w:val="0071243C"/>
    <w:rsid w:val="007140A0"/>
    <w:rsid w:val="007155A0"/>
    <w:rsid w:val="00726297"/>
    <w:rsid w:val="007303ED"/>
    <w:rsid w:val="00730FF8"/>
    <w:rsid w:val="00733482"/>
    <w:rsid w:val="00736754"/>
    <w:rsid w:val="007403FC"/>
    <w:rsid w:val="00740E39"/>
    <w:rsid w:val="00743ED4"/>
    <w:rsid w:val="007544C9"/>
    <w:rsid w:val="00761C92"/>
    <w:rsid w:val="00763600"/>
    <w:rsid w:val="0076360D"/>
    <w:rsid w:val="007637F5"/>
    <w:rsid w:val="007653AA"/>
    <w:rsid w:val="007735B7"/>
    <w:rsid w:val="007744F3"/>
    <w:rsid w:val="007870C8"/>
    <w:rsid w:val="00787814"/>
    <w:rsid w:val="00790FF7"/>
    <w:rsid w:val="007A54BC"/>
    <w:rsid w:val="007A7FA4"/>
    <w:rsid w:val="007B738C"/>
    <w:rsid w:val="007C42E3"/>
    <w:rsid w:val="007E260D"/>
    <w:rsid w:val="007F5802"/>
    <w:rsid w:val="008030E2"/>
    <w:rsid w:val="00810086"/>
    <w:rsid w:val="00813B63"/>
    <w:rsid w:val="00814A2A"/>
    <w:rsid w:val="0081786D"/>
    <w:rsid w:val="00817D0D"/>
    <w:rsid w:val="008208B4"/>
    <w:rsid w:val="00823ACF"/>
    <w:rsid w:val="00831C4B"/>
    <w:rsid w:val="00837F3E"/>
    <w:rsid w:val="00840488"/>
    <w:rsid w:val="0084068D"/>
    <w:rsid w:val="00850EBE"/>
    <w:rsid w:val="00864CB3"/>
    <w:rsid w:val="008667C7"/>
    <w:rsid w:val="00867E95"/>
    <w:rsid w:val="00877E53"/>
    <w:rsid w:val="00881BFB"/>
    <w:rsid w:val="008849FA"/>
    <w:rsid w:val="00892ECF"/>
    <w:rsid w:val="00897614"/>
    <w:rsid w:val="008A5924"/>
    <w:rsid w:val="008A7CFB"/>
    <w:rsid w:val="008B125D"/>
    <w:rsid w:val="008B4755"/>
    <w:rsid w:val="008B5BD3"/>
    <w:rsid w:val="008B5EB6"/>
    <w:rsid w:val="008B78AF"/>
    <w:rsid w:val="008B78D5"/>
    <w:rsid w:val="008C0D71"/>
    <w:rsid w:val="008C2A90"/>
    <w:rsid w:val="008C32E2"/>
    <w:rsid w:val="008C65E3"/>
    <w:rsid w:val="008D4FC4"/>
    <w:rsid w:val="008E6585"/>
    <w:rsid w:val="008E747D"/>
    <w:rsid w:val="008F30A6"/>
    <w:rsid w:val="008F7097"/>
    <w:rsid w:val="00901B9A"/>
    <w:rsid w:val="00902600"/>
    <w:rsid w:val="009031AD"/>
    <w:rsid w:val="00904143"/>
    <w:rsid w:val="00904901"/>
    <w:rsid w:val="00910CE6"/>
    <w:rsid w:val="0091395C"/>
    <w:rsid w:val="00913BAF"/>
    <w:rsid w:val="00915A0A"/>
    <w:rsid w:val="00921817"/>
    <w:rsid w:val="009241AF"/>
    <w:rsid w:val="0092772E"/>
    <w:rsid w:val="00945440"/>
    <w:rsid w:val="009501B0"/>
    <w:rsid w:val="00951B6E"/>
    <w:rsid w:val="00952ADB"/>
    <w:rsid w:val="00952EA2"/>
    <w:rsid w:val="00954E07"/>
    <w:rsid w:val="0095686B"/>
    <w:rsid w:val="00957E62"/>
    <w:rsid w:val="00960E77"/>
    <w:rsid w:val="00961F3B"/>
    <w:rsid w:val="009635BA"/>
    <w:rsid w:val="00965412"/>
    <w:rsid w:val="009655E8"/>
    <w:rsid w:val="00966B37"/>
    <w:rsid w:val="00972020"/>
    <w:rsid w:val="00976D8C"/>
    <w:rsid w:val="00981ACC"/>
    <w:rsid w:val="00984E25"/>
    <w:rsid w:val="00993219"/>
    <w:rsid w:val="00994E8D"/>
    <w:rsid w:val="0099551E"/>
    <w:rsid w:val="009973D8"/>
    <w:rsid w:val="009A5AFC"/>
    <w:rsid w:val="009A70C4"/>
    <w:rsid w:val="009A7681"/>
    <w:rsid w:val="009B2D5C"/>
    <w:rsid w:val="009B32A5"/>
    <w:rsid w:val="009C1934"/>
    <w:rsid w:val="009C1B02"/>
    <w:rsid w:val="009C2114"/>
    <w:rsid w:val="009C25E2"/>
    <w:rsid w:val="009C56E4"/>
    <w:rsid w:val="009C7A53"/>
    <w:rsid w:val="009D77FA"/>
    <w:rsid w:val="009E0301"/>
    <w:rsid w:val="009E125E"/>
    <w:rsid w:val="009E1D1D"/>
    <w:rsid w:val="009E45F8"/>
    <w:rsid w:val="009F1910"/>
    <w:rsid w:val="00A03411"/>
    <w:rsid w:val="00A03E4E"/>
    <w:rsid w:val="00A05687"/>
    <w:rsid w:val="00A05C53"/>
    <w:rsid w:val="00A05CC7"/>
    <w:rsid w:val="00A06995"/>
    <w:rsid w:val="00A10601"/>
    <w:rsid w:val="00A15538"/>
    <w:rsid w:val="00A21D48"/>
    <w:rsid w:val="00A2644F"/>
    <w:rsid w:val="00A32685"/>
    <w:rsid w:val="00A44BEC"/>
    <w:rsid w:val="00A5001A"/>
    <w:rsid w:val="00A522C7"/>
    <w:rsid w:val="00A53019"/>
    <w:rsid w:val="00A53534"/>
    <w:rsid w:val="00A54AE2"/>
    <w:rsid w:val="00A62C1F"/>
    <w:rsid w:val="00A63F0C"/>
    <w:rsid w:val="00A7425E"/>
    <w:rsid w:val="00A771F4"/>
    <w:rsid w:val="00A80B8B"/>
    <w:rsid w:val="00A83545"/>
    <w:rsid w:val="00A875BC"/>
    <w:rsid w:val="00A90671"/>
    <w:rsid w:val="00A91C21"/>
    <w:rsid w:val="00A935E3"/>
    <w:rsid w:val="00A942D4"/>
    <w:rsid w:val="00A959B5"/>
    <w:rsid w:val="00AA0FC0"/>
    <w:rsid w:val="00AA7E91"/>
    <w:rsid w:val="00AC0F6F"/>
    <w:rsid w:val="00AC1DAB"/>
    <w:rsid w:val="00AC3D85"/>
    <w:rsid w:val="00AC68F2"/>
    <w:rsid w:val="00AD41B3"/>
    <w:rsid w:val="00AE0C17"/>
    <w:rsid w:val="00AE2874"/>
    <w:rsid w:val="00AE6767"/>
    <w:rsid w:val="00AF4DA5"/>
    <w:rsid w:val="00B05AE7"/>
    <w:rsid w:val="00B0787C"/>
    <w:rsid w:val="00B1733A"/>
    <w:rsid w:val="00B242FE"/>
    <w:rsid w:val="00B245E9"/>
    <w:rsid w:val="00B34781"/>
    <w:rsid w:val="00B54D7A"/>
    <w:rsid w:val="00B70D78"/>
    <w:rsid w:val="00B71669"/>
    <w:rsid w:val="00B719F1"/>
    <w:rsid w:val="00B71A17"/>
    <w:rsid w:val="00B75D15"/>
    <w:rsid w:val="00B76BFB"/>
    <w:rsid w:val="00B836EB"/>
    <w:rsid w:val="00B84104"/>
    <w:rsid w:val="00B86C63"/>
    <w:rsid w:val="00BA103A"/>
    <w:rsid w:val="00BA13FF"/>
    <w:rsid w:val="00BA442C"/>
    <w:rsid w:val="00BB5254"/>
    <w:rsid w:val="00BC05AC"/>
    <w:rsid w:val="00BC1355"/>
    <w:rsid w:val="00BC21F5"/>
    <w:rsid w:val="00BD049D"/>
    <w:rsid w:val="00BD1066"/>
    <w:rsid w:val="00BD169D"/>
    <w:rsid w:val="00BD307E"/>
    <w:rsid w:val="00BD5A23"/>
    <w:rsid w:val="00BD6685"/>
    <w:rsid w:val="00BE0A0B"/>
    <w:rsid w:val="00BE53BB"/>
    <w:rsid w:val="00BF02F6"/>
    <w:rsid w:val="00BF1A31"/>
    <w:rsid w:val="00BF269D"/>
    <w:rsid w:val="00C053F8"/>
    <w:rsid w:val="00C070C8"/>
    <w:rsid w:val="00C20AB8"/>
    <w:rsid w:val="00C22C1A"/>
    <w:rsid w:val="00C24883"/>
    <w:rsid w:val="00C359CF"/>
    <w:rsid w:val="00C460DE"/>
    <w:rsid w:val="00C47BA0"/>
    <w:rsid w:val="00C47F55"/>
    <w:rsid w:val="00C55969"/>
    <w:rsid w:val="00C57935"/>
    <w:rsid w:val="00C6276F"/>
    <w:rsid w:val="00C66228"/>
    <w:rsid w:val="00C67BDF"/>
    <w:rsid w:val="00C736E2"/>
    <w:rsid w:val="00C75D50"/>
    <w:rsid w:val="00C90C16"/>
    <w:rsid w:val="00C9287A"/>
    <w:rsid w:val="00C92FE4"/>
    <w:rsid w:val="00CA0CF9"/>
    <w:rsid w:val="00CB0E7A"/>
    <w:rsid w:val="00CB233D"/>
    <w:rsid w:val="00CB39E6"/>
    <w:rsid w:val="00CB5E05"/>
    <w:rsid w:val="00CC04D9"/>
    <w:rsid w:val="00CE06DF"/>
    <w:rsid w:val="00CE33AA"/>
    <w:rsid w:val="00CE40B4"/>
    <w:rsid w:val="00CE4E53"/>
    <w:rsid w:val="00CE52CD"/>
    <w:rsid w:val="00CE6EF9"/>
    <w:rsid w:val="00CF38A2"/>
    <w:rsid w:val="00D02203"/>
    <w:rsid w:val="00D043F3"/>
    <w:rsid w:val="00D07B02"/>
    <w:rsid w:val="00D10C36"/>
    <w:rsid w:val="00D122E8"/>
    <w:rsid w:val="00D1475E"/>
    <w:rsid w:val="00D1487A"/>
    <w:rsid w:val="00D203E4"/>
    <w:rsid w:val="00D206CB"/>
    <w:rsid w:val="00D229E9"/>
    <w:rsid w:val="00D250FE"/>
    <w:rsid w:val="00D330DF"/>
    <w:rsid w:val="00D35EE8"/>
    <w:rsid w:val="00D53ACA"/>
    <w:rsid w:val="00D547F3"/>
    <w:rsid w:val="00D63070"/>
    <w:rsid w:val="00D66963"/>
    <w:rsid w:val="00D70599"/>
    <w:rsid w:val="00D70F14"/>
    <w:rsid w:val="00D72BBE"/>
    <w:rsid w:val="00D9387F"/>
    <w:rsid w:val="00DB0471"/>
    <w:rsid w:val="00DB09BD"/>
    <w:rsid w:val="00DB2305"/>
    <w:rsid w:val="00DB3625"/>
    <w:rsid w:val="00DC2B09"/>
    <w:rsid w:val="00DC5D04"/>
    <w:rsid w:val="00DC5D58"/>
    <w:rsid w:val="00DD3B71"/>
    <w:rsid w:val="00DD671A"/>
    <w:rsid w:val="00DE19B2"/>
    <w:rsid w:val="00DE284B"/>
    <w:rsid w:val="00DE2931"/>
    <w:rsid w:val="00DF26E0"/>
    <w:rsid w:val="00DF4375"/>
    <w:rsid w:val="00DF56C6"/>
    <w:rsid w:val="00DF5C7A"/>
    <w:rsid w:val="00E00887"/>
    <w:rsid w:val="00E05376"/>
    <w:rsid w:val="00E063AA"/>
    <w:rsid w:val="00E104FA"/>
    <w:rsid w:val="00E1202B"/>
    <w:rsid w:val="00E17D38"/>
    <w:rsid w:val="00E22A89"/>
    <w:rsid w:val="00E254D0"/>
    <w:rsid w:val="00E27822"/>
    <w:rsid w:val="00E32F07"/>
    <w:rsid w:val="00E34A96"/>
    <w:rsid w:val="00E34F5E"/>
    <w:rsid w:val="00E46502"/>
    <w:rsid w:val="00E47E12"/>
    <w:rsid w:val="00E5002C"/>
    <w:rsid w:val="00E53AFF"/>
    <w:rsid w:val="00E56FF2"/>
    <w:rsid w:val="00E6460D"/>
    <w:rsid w:val="00E74386"/>
    <w:rsid w:val="00E7633E"/>
    <w:rsid w:val="00E8152C"/>
    <w:rsid w:val="00E82BE6"/>
    <w:rsid w:val="00E830BE"/>
    <w:rsid w:val="00E84424"/>
    <w:rsid w:val="00E93F45"/>
    <w:rsid w:val="00E9420F"/>
    <w:rsid w:val="00E95A49"/>
    <w:rsid w:val="00E96F2D"/>
    <w:rsid w:val="00EB6589"/>
    <w:rsid w:val="00EC7AD4"/>
    <w:rsid w:val="00ED0040"/>
    <w:rsid w:val="00ED05AD"/>
    <w:rsid w:val="00ED6889"/>
    <w:rsid w:val="00EE2279"/>
    <w:rsid w:val="00EF3A23"/>
    <w:rsid w:val="00EF4F69"/>
    <w:rsid w:val="00F000CC"/>
    <w:rsid w:val="00F016C1"/>
    <w:rsid w:val="00F06306"/>
    <w:rsid w:val="00F067D1"/>
    <w:rsid w:val="00F06DAF"/>
    <w:rsid w:val="00F079A0"/>
    <w:rsid w:val="00F119D2"/>
    <w:rsid w:val="00F1224C"/>
    <w:rsid w:val="00F12ED8"/>
    <w:rsid w:val="00F149F8"/>
    <w:rsid w:val="00F1612B"/>
    <w:rsid w:val="00F25430"/>
    <w:rsid w:val="00F30784"/>
    <w:rsid w:val="00F31DBB"/>
    <w:rsid w:val="00F33C9E"/>
    <w:rsid w:val="00F36788"/>
    <w:rsid w:val="00F37BBB"/>
    <w:rsid w:val="00F41DCB"/>
    <w:rsid w:val="00F45466"/>
    <w:rsid w:val="00F46659"/>
    <w:rsid w:val="00F50017"/>
    <w:rsid w:val="00F513CB"/>
    <w:rsid w:val="00F53090"/>
    <w:rsid w:val="00F5385A"/>
    <w:rsid w:val="00F54D33"/>
    <w:rsid w:val="00F554B7"/>
    <w:rsid w:val="00F5620A"/>
    <w:rsid w:val="00F609C0"/>
    <w:rsid w:val="00F62116"/>
    <w:rsid w:val="00F63F4D"/>
    <w:rsid w:val="00F64DDA"/>
    <w:rsid w:val="00F66C1B"/>
    <w:rsid w:val="00F71324"/>
    <w:rsid w:val="00F74FD3"/>
    <w:rsid w:val="00F76B17"/>
    <w:rsid w:val="00F8071C"/>
    <w:rsid w:val="00F8179B"/>
    <w:rsid w:val="00F86183"/>
    <w:rsid w:val="00F95155"/>
    <w:rsid w:val="00F9529F"/>
    <w:rsid w:val="00F971D8"/>
    <w:rsid w:val="00FB202E"/>
    <w:rsid w:val="00FB266B"/>
    <w:rsid w:val="00FB2F11"/>
    <w:rsid w:val="00FB4E2F"/>
    <w:rsid w:val="00FC157E"/>
    <w:rsid w:val="00FC21D8"/>
    <w:rsid w:val="00FC29C6"/>
    <w:rsid w:val="00FC7053"/>
    <w:rsid w:val="00FD1758"/>
    <w:rsid w:val="00FD18AF"/>
    <w:rsid w:val="00FD6CF3"/>
    <w:rsid w:val="00FD6FD3"/>
    <w:rsid w:val="00FE2D3F"/>
    <w:rsid w:val="00FE7C28"/>
    <w:rsid w:val="00FF1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7919"/>
  <w15:docId w15:val="{BB139D5F-4E5F-4427-B07E-F88FFA2F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254"/>
    <w:pPr>
      <w:ind w:left="720"/>
      <w:contextualSpacing/>
    </w:pPr>
  </w:style>
  <w:style w:type="table" w:styleId="TableGrid">
    <w:name w:val="Table Grid"/>
    <w:basedOn w:val="TableNormal"/>
    <w:uiPriority w:val="39"/>
    <w:rsid w:val="00C6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F54"/>
    <w:rPr>
      <w:color w:val="0000FF"/>
      <w:u w:val="single"/>
    </w:rPr>
  </w:style>
  <w:style w:type="character" w:styleId="CommentReference">
    <w:name w:val="annotation reference"/>
    <w:basedOn w:val="DefaultParagraphFont"/>
    <w:uiPriority w:val="99"/>
    <w:semiHidden/>
    <w:unhideWhenUsed/>
    <w:rsid w:val="00F016C1"/>
    <w:rPr>
      <w:sz w:val="16"/>
      <w:szCs w:val="16"/>
    </w:rPr>
  </w:style>
  <w:style w:type="paragraph" w:styleId="CommentText">
    <w:name w:val="annotation text"/>
    <w:basedOn w:val="Normal"/>
    <w:link w:val="CommentTextChar"/>
    <w:uiPriority w:val="99"/>
    <w:semiHidden/>
    <w:unhideWhenUsed/>
    <w:rsid w:val="00F016C1"/>
    <w:pPr>
      <w:spacing w:line="240" w:lineRule="auto"/>
    </w:pPr>
    <w:rPr>
      <w:sz w:val="20"/>
      <w:szCs w:val="20"/>
    </w:rPr>
  </w:style>
  <w:style w:type="character" w:customStyle="1" w:styleId="CommentTextChar">
    <w:name w:val="Comment Text Char"/>
    <w:basedOn w:val="DefaultParagraphFont"/>
    <w:link w:val="CommentText"/>
    <w:uiPriority w:val="99"/>
    <w:semiHidden/>
    <w:rsid w:val="00F016C1"/>
    <w:rPr>
      <w:sz w:val="20"/>
      <w:szCs w:val="20"/>
    </w:rPr>
  </w:style>
  <w:style w:type="paragraph" w:styleId="CommentSubject">
    <w:name w:val="annotation subject"/>
    <w:basedOn w:val="CommentText"/>
    <w:next w:val="CommentText"/>
    <w:link w:val="CommentSubjectChar"/>
    <w:uiPriority w:val="99"/>
    <w:semiHidden/>
    <w:unhideWhenUsed/>
    <w:rsid w:val="00F016C1"/>
    <w:rPr>
      <w:b/>
      <w:bCs/>
    </w:rPr>
  </w:style>
  <w:style w:type="character" w:customStyle="1" w:styleId="CommentSubjectChar">
    <w:name w:val="Comment Subject Char"/>
    <w:basedOn w:val="CommentTextChar"/>
    <w:link w:val="CommentSubject"/>
    <w:uiPriority w:val="99"/>
    <w:semiHidden/>
    <w:rsid w:val="00F016C1"/>
    <w:rPr>
      <w:b/>
      <w:bCs/>
      <w:sz w:val="20"/>
      <w:szCs w:val="20"/>
    </w:rPr>
  </w:style>
  <w:style w:type="paragraph" w:styleId="BalloonText">
    <w:name w:val="Balloon Text"/>
    <w:basedOn w:val="Normal"/>
    <w:link w:val="BalloonTextChar"/>
    <w:uiPriority w:val="99"/>
    <w:semiHidden/>
    <w:unhideWhenUsed/>
    <w:rsid w:val="00F01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6C1"/>
    <w:rPr>
      <w:rFonts w:ascii="Segoe UI" w:hAnsi="Segoe UI" w:cs="Segoe UI"/>
      <w:sz w:val="18"/>
      <w:szCs w:val="18"/>
    </w:rPr>
  </w:style>
  <w:style w:type="paragraph" w:customStyle="1" w:styleId="svarticle">
    <w:name w:val="svarticle"/>
    <w:basedOn w:val="Normal"/>
    <w:rsid w:val="00E25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254D0"/>
  </w:style>
  <w:style w:type="paragraph" w:styleId="Header">
    <w:name w:val="header"/>
    <w:basedOn w:val="Normal"/>
    <w:link w:val="HeaderChar"/>
    <w:uiPriority w:val="99"/>
    <w:unhideWhenUsed/>
    <w:rsid w:val="00286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C4B"/>
  </w:style>
  <w:style w:type="paragraph" w:styleId="Footer">
    <w:name w:val="footer"/>
    <w:basedOn w:val="Normal"/>
    <w:link w:val="FooterChar"/>
    <w:uiPriority w:val="99"/>
    <w:unhideWhenUsed/>
    <w:rsid w:val="00286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C4B"/>
  </w:style>
  <w:style w:type="paragraph" w:styleId="Revision">
    <w:name w:val="Revision"/>
    <w:hidden/>
    <w:uiPriority w:val="99"/>
    <w:semiHidden/>
    <w:rsid w:val="004A6D8B"/>
    <w:pPr>
      <w:spacing w:after="0" w:line="240" w:lineRule="auto"/>
    </w:pPr>
  </w:style>
  <w:style w:type="paragraph" w:styleId="NormalWeb">
    <w:name w:val="Normal (Web)"/>
    <w:basedOn w:val="Normal"/>
    <w:uiPriority w:val="99"/>
    <w:semiHidden/>
    <w:unhideWhenUsed/>
    <w:rsid w:val="00276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contents">
    <w:name w:val="pagecontents"/>
    <w:basedOn w:val="DefaultParagraphFont"/>
    <w:rsid w:val="002C3B33"/>
  </w:style>
  <w:style w:type="character" w:customStyle="1" w:styleId="complextitleprimary">
    <w:name w:val="complextitle_primary"/>
    <w:basedOn w:val="DefaultParagraphFont"/>
    <w:rsid w:val="00702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2196">
      <w:bodyDiv w:val="1"/>
      <w:marLeft w:val="0"/>
      <w:marRight w:val="0"/>
      <w:marTop w:val="0"/>
      <w:marBottom w:val="0"/>
      <w:divBdr>
        <w:top w:val="none" w:sz="0" w:space="0" w:color="auto"/>
        <w:left w:val="none" w:sz="0" w:space="0" w:color="auto"/>
        <w:bottom w:val="none" w:sz="0" w:space="0" w:color="auto"/>
        <w:right w:val="none" w:sz="0" w:space="0" w:color="auto"/>
      </w:divBdr>
    </w:div>
    <w:div w:id="165753892">
      <w:bodyDiv w:val="1"/>
      <w:marLeft w:val="0"/>
      <w:marRight w:val="0"/>
      <w:marTop w:val="0"/>
      <w:marBottom w:val="0"/>
      <w:divBdr>
        <w:top w:val="none" w:sz="0" w:space="0" w:color="auto"/>
        <w:left w:val="none" w:sz="0" w:space="0" w:color="auto"/>
        <w:bottom w:val="none" w:sz="0" w:space="0" w:color="auto"/>
        <w:right w:val="none" w:sz="0" w:space="0" w:color="auto"/>
      </w:divBdr>
      <w:divsChild>
        <w:div w:id="418016614">
          <w:marLeft w:val="0"/>
          <w:marRight w:val="0"/>
          <w:marTop w:val="0"/>
          <w:marBottom w:val="0"/>
          <w:divBdr>
            <w:top w:val="none" w:sz="0" w:space="0" w:color="auto"/>
            <w:left w:val="none" w:sz="0" w:space="0" w:color="auto"/>
            <w:bottom w:val="none" w:sz="0" w:space="0" w:color="auto"/>
            <w:right w:val="none" w:sz="0" w:space="0" w:color="auto"/>
          </w:divBdr>
        </w:div>
        <w:div w:id="80685268">
          <w:marLeft w:val="0"/>
          <w:marRight w:val="0"/>
          <w:marTop w:val="0"/>
          <w:marBottom w:val="0"/>
          <w:divBdr>
            <w:top w:val="none" w:sz="0" w:space="0" w:color="auto"/>
            <w:left w:val="none" w:sz="0" w:space="0" w:color="auto"/>
            <w:bottom w:val="none" w:sz="0" w:space="0" w:color="auto"/>
            <w:right w:val="none" w:sz="0" w:space="0" w:color="auto"/>
          </w:divBdr>
        </w:div>
        <w:div w:id="1922596837">
          <w:marLeft w:val="0"/>
          <w:marRight w:val="0"/>
          <w:marTop w:val="0"/>
          <w:marBottom w:val="0"/>
          <w:divBdr>
            <w:top w:val="none" w:sz="0" w:space="0" w:color="auto"/>
            <w:left w:val="none" w:sz="0" w:space="0" w:color="auto"/>
            <w:bottom w:val="none" w:sz="0" w:space="0" w:color="auto"/>
            <w:right w:val="none" w:sz="0" w:space="0" w:color="auto"/>
          </w:divBdr>
        </w:div>
        <w:div w:id="325128685">
          <w:marLeft w:val="0"/>
          <w:marRight w:val="0"/>
          <w:marTop w:val="0"/>
          <w:marBottom w:val="0"/>
          <w:divBdr>
            <w:top w:val="none" w:sz="0" w:space="0" w:color="auto"/>
            <w:left w:val="none" w:sz="0" w:space="0" w:color="auto"/>
            <w:bottom w:val="none" w:sz="0" w:space="0" w:color="auto"/>
            <w:right w:val="none" w:sz="0" w:space="0" w:color="auto"/>
          </w:divBdr>
        </w:div>
        <w:div w:id="946498065">
          <w:marLeft w:val="0"/>
          <w:marRight w:val="0"/>
          <w:marTop w:val="0"/>
          <w:marBottom w:val="0"/>
          <w:divBdr>
            <w:top w:val="none" w:sz="0" w:space="0" w:color="auto"/>
            <w:left w:val="none" w:sz="0" w:space="0" w:color="auto"/>
            <w:bottom w:val="none" w:sz="0" w:space="0" w:color="auto"/>
            <w:right w:val="none" w:sz="0" w:space="0" w:color="auto"/>
          </w:divBdr>
        </w:div>
        <w:div w:id="1041369906">
          <w:marLeft w:val="0"/>
          <w:marRight w:val="0"/>
          <w:marTop w:val="0"/>
          <w:marBottom w:val="0"/>
          <w:divBdr>
            <w:top w:val="none" w:sz="0" w:space="0" w:color="auto"/>
            <w:left w:val="none" w:sz="0" w:space="0" w:color="auto"/>
            <w:bottom w:val="none" w:sz="0" w:space="0" w:color="auto"/>
            <w:right w:val="none" w:sz="0" w:space="0" w:color="auto"/>
          </w:divBdr>
        </w:div>
        <w:div w:id="454567636">
          <w:marLeft w:val="0"/>
          <w:marRight w:val="0"/>
          <w:marTop w:val="0"/>
          <w:marBottom w:val="0"/>
          <w:divBdr>
            <w:top w:val="none" w:sz="0" w:space="0" w:color="auto"/>
            <w:left w:val="none" w:sz="0" w:space="0" w:color="auto"/>
            <w:bottom w:val="none" w:sz="0" w:space="0" w:color="auto"/>
            <w:right w:val="none" w:sz="0" w:space="0" w:color="auto"/>
          </w:divBdr>
        </w:div>
        <w:div w:id="487788231">
          <w:marLeft w:val="0"/>
          <w:marRight w:val="0"/>
          <w:marTop w:val="0"/>
          <w:marBottom w:val="0"/>
          <w:divBdr>
            <w:top w:val="none" w:sz="0" w:space="0" w:color="auto"/>
            <w:left w:val="none" w:sz="0" w:space="0" w:color="auto"/>
            <w:bottom w:val="none" w:sz="0" w:space="0" w:color="auto"/>
            <w:right w:val="none" w:sz="0" w:space="0" w:color="auto"/>
          </w:divBdr>
        </w:div>
        <w:div w:id="1730885503">
          <w:marLeft w:val="0"/>
          <w:marRight w:val="0"/>
          <w:marTop w:val="0"/>
          <w:marBottom w:val="0"/>
          <w:divBdr>
            <w:top w:val="none" w:sz="0" w:space="0" w:color="auto"/>
            <w:left w:val="none" w:sz="0" w:space="0" w:color="auto"/>
            <w:bottom w:val="none" w:sz="0" w:space="0" w:color="auto"/>
            <w:right w:val="none" w:sz="0" w:space="0" w:color="auto"/>
          </w:divBdr>
        </w:div>
      </w:divsChild>
    </w:div>
    <w:div w:id="483936466">
      <w:bodyDiv w:val="1"/>
      <w:marLeft w:val="0"/>
      <w:marRight w:val="0"/>
      <w:marTop w:val="0"/>
      <w:marBottom w:val="0"/>
      <w:divBdr>
        <w:top w:val="none" w:sz="0" w:space="0" w:color="auto"/>
        <w:left w:val="none" w:sz="0" w:space="0" w:color="auto"/>
        <w:bottom w:val="none" w:sz="0" w:space="0" w:color="auto"/>
        <w:right w:val="none" w:sz="0" w:space="0" w:color="auto"/>
      </w:divBdr>
    </w:div>
    <w:div w:id="940340164">
      <w:bodyDiv w:val="1"/>
      <w:marLeft w:val="0"/>
      <w:marRight w:val="0"/>
      <w:marTop w:val="0"/>
      <w:marBottom w:val="0"/>
      <w:divBdr>
        <w:top w:val="none" w:sz="0" w:space="0" w:color="auto"/>
        <w:left w:val="none" w:sz="0" w:space="0" w:color="auto"/>
        <w:bottom w:val="none" w:sz="0" w:space="0" w:color="auto"/>
        <w:right w:val="none" w:sz="0" w:space="0" w:color="auto"/>
      </w:divBdr>
    </w:div>
    <w:div w:id="1497263822">
      <w:bodyDiv w:val="1"/>
      <w:marLeft w:val="0"/>
      <w:marRight w:val="0"/>
      <w:marTop w:val="0"/>
      <w:marBottom w:val="0"/>
      <w:divBdr>
        <w:top w:val="none" w:sz="0" w:space="0" w:color="auto"/>
        <w:left w:val="none" w:sz="0" w:space="0" w:color="auto"/>
        <w:bottom w:val="none" w:sz="0" w:space="0" w:color="auto"/>
        <w:right w:val="none" w:sz="0" w:space="0" w:color="auto"/>
      </w:divBdr>
    </w:div>
    <w:div w:id="1955019819">
      <w:bodyDiv w:val="1"/>
      <w:marLeft w:val="0"/>
      <w:marRight w:val="0"/>
      <w:marTop w:val="0"/>
      <w:marBottom w:val="0"/>
      <w:divBdr>
        <w:top w:val="none" w:sz="0" w:space="0" w:color="auto"/>
        <w:left w:val="none" w:sz="0" w:space="0" w:color="auto"/>
        <w:bottom w:val="none" w:sz="0" w:space="0" w:color="auto"/>
        <w:right w:val="none" w:sz="0" w:space="0" w:color="auto"/>
      </w:divBdr>
    </w:div>
    <w:div w:id="2055347052">
      <w:bodyDiv w:val="1"/>
      <w:marLeft w:val="0"/>
      <w:marRight w:val="0"/>
      <w:marTop w:val="0"/>
      <w:marBottom w:val="0"/>
      <w:divBdr>
        <w:top w:val="none" w:sz="0" w:space="0" w:color="auto"/>
        <w:left w:val="none" w:sz="0" w:space="0" w:color="auto"/>
        <w:bottom w:val="none" w:sz="0" w:space="0" w:color="auto"/>
        <w:right w:val="none" w:sz="0" w:space="0" w:color="auto"/>
      </w:divBdr>
      <w:divsChild>
        <w:div w:id="155925991">
          <w:marLeft w:val="720"/>
          <w:marRight w:val="0"/>
          <w:marTop w:val="0"/>
          <w:marBottom w:val="0"/>
          <w:divBdr>
            <w:top w:val="none" w:sz="0" w:space="0" w:color="auto"/>
            <w:left w:val="none" w:sz="0" w:space="0" w:color="auto"/>
            <w:bottom w:val="none" w:sz="0" w:space="0" w:color="auto"/>
            <w:right w:val="none" w:sz="0" w:space="0" w:color="auto"/>
          </w:divBdr>
        </w:div>
        <w:div w:id="183941926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m21@medschl.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mje.org/coi_disclos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089B735-B0EF-44A8-BFFD-0B745587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20</Pages>
  <Words>74477</Words>
  <Characters>424520</Characters>
  <Application>Microsoft Office Word</Application>
  <DocSecurity>0</DocSecurity>
  <Lines>3537</Lines>
  <Paragraphs>996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498001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Mytton</dc:creator>
  <cp:keywords/>
  <dc:description/>
  <cp:lastModifiedBy>Oliver Mytton</cp:lastModifiedBy>
  <cp:revision>23</cp:revision>
  <cp:lastPrinted>2017-01-17T10:25:00Z</cp:lastPrinted>
  <dcterms:created xsi:type="dcterms:W3CDTF">2017-08-17T08:20:00Z</dcterms:created>
  <dcterms:modified xsi:type="dcterms:W3CDTF">2017-09-12T06:15:00Z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http://www.zotero.org/styles/american-sociological-association</vt:lpwstr>
  </property>
  <property fmtid="{D5CDD505-2E9C-101B-9397-08002B2CF9AE}" pid="4" name="Mendeley Recent Style Name 0_1">
    <vt:lpwstr>American Sociological Association</vt:lpwstr>
  </property>
  <property fmtid="{D5CDD505-2E9C-101B-9397-08002B2CF9AE}" pid="5" name="Mendeley Recent Style Id 1_1">
    <vt:lpwstr>http://www.zotero.org/styles/bmj</vt:lpwstr>
  </property>
  <property fmtid="{D5CDD505-2E9C-101B-9397-08002B2CF9AE}" pid="6" name="Mendeley Recent Style Name 1_1">
    <vt:lpwstr>BMJ</vt:lpwstr>
  </property>
  <property fmtid="{D5CDD505-2E9C-101B-9397-08002B2CF9AE}" pid="7" name="Mendeley Recent Style Id 2_1">
    <vt:lpwstr>http://www.zotero.org/styles/bmj-open</vt:lpwstr>
  </property>
  <property fmtid="{D5CDD505-2E9C-101B-9397-08002B2CF9AE}" pid="8" name="Mendeley Recent Style Name 2_1">
    <vt:lpwstr>BMJ Open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http://www.zotero.org/styles/nature</vt:lpwstr>
  </property>
  <property fmtid="{D5CDD505-2E9C-101B-9397-08002B2CF9AE}" pid="16" name="Mendeley Recent Style Name 6_1">
    <vt:lpwstr>Nature</vt:lpwstr>
  </property>
  <property fmtid="{D5CDD505-2E9C-101B-9397-08002B2CF9AE}" pid="17" name="Mendeley Recent Style Id 7_1">
    <vt:lpwstr>http://www.zotero.org/styles/preventive-medicine</vt:lpwstr>
  </property>
  <property fmtid="{D5CDD505-2E9C-101B-9397-08002B2CF9AE}" pid="18" name="Mendeley Recent Style Name 7_1">
    <vt:lpwstr>Preventive Medicine</vt:lpwstr>
  </property>
  <property fmtid="{D5CDD505-2E9C-101B-9397-08002B2CF9AE}" pid="19" name="Mendeley Recent Style Id 8_1">
    <vt:lpwstr>http://www.zotero.org/styles/the-american-journal-of-clinical-nutrition</vt:lpwstr>
  </property>
  <property fmtid="{D5CDD505-2E9C-101B-9397-08002B2CF9AE}" pid="20" name="Mendeley Recent Style Name 8_1">
    <vt:lpwstr>The American Journal of Clinical Nutrition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80cddd99-5872-33ce-bce5-07193f62afc3</vt:lpwstr>
  </property>
  <property fmtid="{D5CDD505-2E9C-101B-9397-08002B2CF9AE}" pid="24" name="Mendeley Citation Style_1">
    <vt:lpwstr>http://www.zotero.org/styles/preventive-medicine</vt:lpwstr>
  </property>
</Properties>
</file>