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tiff" ContentType="image/tif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33C1" w:rsidRPr="000917DA" w:rsidRDefault="000133C1" w:rsidP="000917DA">
      <w:pPr>
        <w:jc w:val="center"/>
      </w:pPr>
      <w:bookmarkStart w:id="0" w:name="_GoBack"/>
      <w:bookmarkEnd w:id="0"/>
      <w:r w:rsidRPr="000917DA">
        <w:rPr>
          <w:b/>
          <w:u w:val="single"/>
        </w:rPr>
        <w:t>Supporting Information</w:t>
      </w:r>
    </w:p>
    <w:p w:rsidR="000133C1" w:rsidRPr="000917DA" w:rsidRDefault="000133C1" w:rsidP="000917DA">
      <w:pPr>
        <w:jc w:val="both"/>
        <w:rPr>
          <w:rFonts w:cs="MyriadPro-Regular"/>
          <w:b/>
        </w:rPr>
      </w:pPr>
      <w:r w:rsidRPr="000917DA">
        <w:rPr>
          <w:rFonts w:cs="MyriadPro-Regular"/>
          <w:b/>
        </w:rPr>
        <w:t>Titration Calculations</w:t>
      </w:r>
    </w:p>
    <w:p w:rsidR="000133C1" w:rsidRPr="000917DA" w:rsidRDefault="000133C1" w:rsidP="000917DA">
      <w:pPr>
        <w:jc w:val="both"/>
        <w:rPr>
          <w:rFonts w:cs="MyriadPro-Regular"/>
        </w:rPr>
      </w:pPr>
      <w:r w:rsidRPr="000917DA">
        <w:rPr>
          <w:rFonts w:cs="MyriadPro-Regular"/>
        </w:rPr>
        <w:t xml:space="preserve">The equations used to calculate the surface binding constants are given in Eq. S1-S3, with </w:t>
      </w:r>
      <w:r w:rsidRPr="000917DA">
        <w:rPr>
          <w:rFonts w:cs="MyriadPro-Regular"/>
          <w:i/>
        </w:rPr>
        <w:t>n</w:t>
      </w:r>
      <w:r w:rsidRPr="000917DA">
        <w:rPr>
          <w:rFonts w:cs="MyriadPro-Regular"/>
          <w:i/>
          <w:vertAlign w:val="subscript"/>
        </w:rPr>
        <w:t>s</w:t>
      </w:r>
      <w:r w:rsidRPr="000917DA">
        <w:rPr>
          <w:rFonts w:cs="MyriadPro-Regular"/>
        </w:rPr>
        <w:t xml:space="preserve"> being the titrated site density per unit area, C</w:t>
      </w:r>
      <w:r w:rsidRPr="000917DA">
        <w:rPr>
          <w:rFonts w:cs="MyriadPro-Regular"/>
          <w:vertAlign w:val="subscript"/>
        </w:rPr>
        <w:t>t</w:t>
      </w:r>
      <w:r w:rsidRPr="000917DA">
        <w:rPr>
          <w:rFonts w:cs="MyriadPro-Regular"/>
        </w:rPr>
        <w:t xml:space="preserve"> the concentration of the titrating solution of either 100 mM sodium hydroxide or hydrochloric acid, </w:t>
      </w:r>
      <w:r w:rsidRPr="000917DA">
        <w:rPr>
          <w:rFonts w:cs="MyriadPro-Regular"/>
          <w:i/>
        </w:rPr>
        <w:t>S</w:t>
      </w:r>
      <w:r w:rsidRPr="000917DA">
        <w:rPr>
          <w:rFonts w:cs="MyriadPro-Regular"/>
        </w:rPr>
        <w:t xml:space="preserve"> being the solids concentration of the suspension, and </w:t>
      </w:r>
      <w:r w:rsidRPr="000917DA">
        <w:rPr>
          <w:rFonts w:cs="MyriadPro-Regular"/>
          <w:i/>
        </w:rPr>
        <w:t>A</w:t>
      </w:r>
      <w:r w:rsidRPr="000917DA">
        <w:rPr>
          <w:rFonts w:cs="MyriadPro-Regular"/>
        </w:rPr>
        <w:t xml:space="preserve"> being the specific area of the solid. […] and [</w:t>
      </w:r>
      <m:oMath>
        <m:r>
          <w:rPr>
            <w:rFonts w:ascii="Cambria Math" w:hAnsi="Cambria Math" w:cs="MyriadPro-Regular"/>
          </w:rPr>
          <m:t>≡</m:t>
        </m:r>
      </m:oMath>
      <w:r w:rsidRPr="000917DA">
        <w:rPr>
          <w:rFonts w:eastAsiaTheme="minorEastAsia" w:cs="MyriadPro-Regular"/>
        </w:rPr>
        <w:t xml:space="preserve">…] respectively </w:t>
      </w:r>
      <w:r w:rsidRPr="000917DA">
        <w:rPr>
          <w:rFonts w:cs="MyriadPro-Regular"/>
        </w:rPr>
        <w:t>denotes the concentration of a particular species in solution and on surface.</w:t>
      </w:r>
    </w:p>
    <w:p w:rsidR="000133C1" w:rsidRPr="000917DA" w:rsidRDefault="009A593D" w:rsidP="000917DA">
      <w:pPr>
        <w:tabs>
          <w:tab w:val="left" w:pos="8505"/>
        </w:tabs>
        <w:jc w:val="both"/>
        <w:rPr>
          <w:rFonts w:eastAsiaTheme="minorEastAsia" w:cs="MyriadPro-Regular"/>
        </w:rPr>
      </w:pPr>
      <m:oMath>
        <m:sSub>
          <m:sSubPr>
            <m:ctrlPr>
              <w:rPr>
                <w:rFonts w:ascii="Cambria Math" w:hAnsi="Cambria Math" w:cs="MyriadPro-Regular"/>
                <w:i/>
              </w:rPr>
            </m:ctrlPr>
          </m:sSubPr>
          <m:e>
            <m:r>
              <w:rPr>
                <w:rFonts w:ascii="Cambria Math" w:hAnsi="Cambria Math" w:cs="MyriadPro-Regular"/>
              </w:rPr>
              <m:t>K</m:t>
            </m:r>
          </m:e>
          <m:sub>
            <m:r>
              <w:rPr>
                <w:rFonts w:ascii="Cambria Math" w:hAnsi="Cambria Math" w:cs="MyriadPro-Regular"/>
              </w:rPr>
              <m:t>a</m:t>
            </m:r>
          </m:sub>
        </m:sSub>
        <m:r>
          <w:rPr>
            <w:rFonts w:ascii="Cambria Math" w:hAnsi="Cambria Math" w:cs="MyriadPro-Regular"/>
          </w:rPr>
          <m:t>=</m:t>
        </m:r>
        <m:f>
          <m:fPr>
            <m:ctrlPr>
              <w:rPr>
                <w:rFonts w:ascii="Cambria Math" w:hAnsi="Cambria Math" w:cs="MyriadPro-Regular"/>
                <w:i/>
              </w:rPr>
            </m:ctrlPr>
          </m:fPr>
          <m:num>
            <m:sSubSup>
              <m:sSubSupPr>
                <m:ctrlPr>
                  <w:rPr>
                    <w:rFonts w:ascii="Cambria Math" w:hAnsi="Cambria Math" w:cs="MyriadPro-Regular"/>
                  </w:rPr>
                </m:ctrlPr>
              </m:sSubSupPr>
              <m:e>
                <m:r>
                  <w:rPr>
                    <w:rFonts w:ascii="Cambria Math" w:hAnsi="Cambria Math" w:cs="MyriadPro-Regular"/>
                  </w:rPr>
                  <m:t>[≡</m:t>
                </m:r>
                <m:r>
                  <m:rPr>
                    <m:sty m:val="p"/>
                  </m:rPr>
                  <w:rPr>
                    <w:rFonts w:ascii="Cambria Math" w:hAnsi="Cambria Math" w:cs="MyriadPro-Regular"/>
                  </w:rPr>
                  <m:t>FeOH</m:t>
                </m:r>
              </m:e>
              <m:sub>
                <m:r>
                  <w:rPr>
                    <w:rFonts w:ascii="Cambria Math" w:hAnsi="Cambria Math" w:cs="MyriadPro-Regular"/>
                  </w:rPr>
                  <m:t>n</m:t>
                </m:r>
              </m:sub>
              <m:sup>
                <m:r>
                  <w:rPr>
                    <w:rFonts w:ascii="Cambria Math" w:hAnsi="Cambria Math" w:cs="MyriadPro-Regular"/>
                  </w:rPr>
                  <m:t>n-1</m:t>
                </m:r>
              </m:sup>
            </m:sSubSup>
            <m:r>
              <w:rPr>
                <w:rFonts w:ascii="Cambria Math" w:hAnsi="Cambria Math" w:cs="MyriadPro-Regular"/>
              </w:rPr>
              <m:t>][</m:t>
            </m:r>
            <m:sSup>
              <m:sSupPr>
                <m:ctrlPr>
                  <w:rPr>
                    <w:rFonts w:ascii="Cambria Math" w:hAnsi="Cambria Math" w:cs="MyriadPro-Regular"/>
                    <w:i/>
                  </w:rPr>
                </m:ctrlPr>
              </m:sSupPr>
              <m:e>
                <m:r>
                  <m:rPr>
                    <m:sty m:val="p"/>
                  </m:rPr>
                  <w:rPr>
                    <w:rFonts w:ascii="Cambria Math" w:hAnsi="Cambria Math" w:cs="MyriadPro-Regular"/>
                  </w:rPr>
                  <m:t>H</m:t>
                </m:r>
              </m:e>
              <m:sup>
                <m:r>
                  <w:rPr>
                    <w:rFonts w:ascii="Cambria Math" w:hAnsi="Cambria Math" w:cs="MyriadPro-Regular"/>
                  </w:rPr>
                  <m:t>+</m:t>
                </m:r>
              </m:sup>
            </m:sSup>
            <m:r>
              <w:rPr>
                <w:rFonts w:ascii="Cambria Math" w:hAnsi="Cambria Math" w:cs="MyriadPro-Regular"/>
              </w:rPr>
              <m:t>]</m:t>
            </m:r>
          </m:num>
          <m:den>
            <m:r>
              <w:rPr>
                <w:rFonts w:ascii="Cambria Math" w:hAnsi="Cambria Math" w:cs="MyriadPro-Regular"/>
              </w:rPr>
              <m:t>[</m:t>
            </m:r>
            <m:sSubSup>
              <m:sSubSupPr>
                <m:ctrlPr>
                  <w:rPr>
                    <w:rFonts w:ascii="Cambria Math" w:hAnsi="Cambria Math" w:cs="MyriadPro-Regular"/>
                    <w:i/>
                  </w:rPr>
                </m:ctrlPr>
              </m:sSubSupPr>
              <m:e>
                <m:r>
                  <m:rPr>
                    <m:sty m:val="p"/>
                  </m:rPr>
                  <w:rPr>
                    <w:rFonts w:ascii="Cambria Math" w:hAnsi="Cambria Math" w:cs="MyriadPro-Regular"/>
                  </w:rPr>
                  <m:t>≡FeOH</m:t>
                </m:r>
              </m:e>
              <m:sub>
                <m:r>
                  <w:rPr>
                    <w:rFonts w:ascii="Cambria Math" w:hAnsi="Cambria Math" w:cs="MyriadPro-Regular"/>
                  </w:rPr>
                  <m:t>n+1</m:t>
                </m:r>
              </m:sub>
              <m:sup>
                <m:r>
                  <w:rPr>
                    <w:rFonts w:ascii="Cambria Math" w:hAnsi="Cambria Math" w:cs="MyriadPro-Regular"/>
                  </w:rPr>
                  <m:t>n</m:t>
                </m:r>
              </m:sup>
            </m:sSubSup>
            <m:r>
              <w:rPr>
                <w:rFonts w:ascii="Cambria Math" w:hAnsi="Cambria Math" w:cs="MyriadPro-Regular"/>
              </w:rPr>
              <m:t>]</m:t>
            </m:r>
          </m:den>
        </m:f>
      </m:oMath>
      <w:r w:rsidR="000133C1" w:rsidRPr="000917DA">
        <w:rPr>
          <w:rFonts w:eastAsiaTheme="minorEastAsia" w:cs="MyriadPro-Regular"/>
        </w:rPr>
        <w:tab/>
        <w:t>(S1)</w:t>
      </w:r>
    </w:p>
    <w:p w:rsidR="000133C1" w:rsidRPr="000917DA" w:rsidRDefault="000133C1" w:rsidP="000917DA">
      <w:pPr>
        <w:tabs>
          <w:tab w:val="left" w:pos="8505"/>
        </w:tabs>
        <w:jc w:val="both"/>
        <w:rPr>
          <w:rFonts w:cs="MyriadPro-Regular"/>
        </w:rPr>
      </w:pPr>
      <m:oMath>
        <m:r>
          <w:rPr>
            <w:rFonts w:ascii="Cambria Math" w:hAnsi="Cambria Math" w:cs="MyriadPro-Regular"/>
          </w:rPr>
          <m:t>p</m:t>
        </m:r>
        <m:r>
          <m:rPr>
            <m:sty m:val="p"/>
          </m:rPr>
          <w:rPr>
            <w:rFonts w:ascii="Cambria Math" w:hAnsi="Cambria Math" w:cs="MyriadPro-Regular"/>
          </w:rPr>
          <m:t>H</m:t>
        </m:r>
        <m:r>
          <w:rPr>
            <w:rFonts w:ascii="Cambria Math" w:hAnsi="Cambria Math" w:cs="MyriadPro-Regular"/>
          </w:rPr>
          <m:t>=p</m:t>
        </m:r>
        <m:sSub>
          <m:sSubPr>
            <m:ctrlPr>
              <w:rPr>
                <w:rFonts w:ascii="Cambria Math" w:hAnsi="Cambria Math" w:cs="MyriadPro-Regular"/>
                <w:i/>
              </w:rPr>
            </m:ctrlPr>
          </m:sSubPr>
          <m:e>
            <m:r>
              <w:rPr>
                <w:rFonts w:ascii="Cambria Math" w:hAnsi="Cambria Math" w:cs="MyriadPro-Regular"/>
              </w:rPr>
              <m:t>K</m:t>
            </m:r>
          </m:e>
          <m:sub>
            <m:r>
              <w:rPr>
                <w:rFonts w:ascii="Cambria Math" w:hAnsi="Cambria Math" w:cs="MyriadPro-Regular"/>
              </w:rPr>
              <m:t>a</m:t>
            </m:r>
          </m:sub>
        </m:sSub>
        <m:r>
          <w:rPr>
            <w:rFonts w:ascii="Cambria Math" w:hAnsi="Cambria Math" w:cs="MyriadPro-Regular"/>
          </w:rPr>
          <m:t>+</m:t>
        </m:r>
        <m:r>
          <m:rPr>
            <m:sty m:val="p"/>
          </m:rPr>
          <w:rPr>
            <w:rFonts w:ascii="Cambria Math" w:hAnsi="Cambria Math" w:cs="MyriadPro-Regular"/>
          </w:rPr>
          <m:t>log</m:t>
        </m:r>
        <m:f>
          <m:fPr>
            <m:ctrlPr>
              <w:rPr>
                <w:rFonts w:ascii="Cambria Math" w:hAnsi="Cambria Math" w:cs="MyriadPro-Regular"/>
                <w:i/>
              </w:rPr>
            </m:ctrlPr>
          </m:fPr>
          <m:num>
            <m:r>
              <w:rPr>
                <w:rFonts w:ascii="Cambria Math" w:hAnsi="Cambria Math" w:cs="MyriadPro-Regular"/>
              </w:rPr>
              <m:t>[</m:t>
            </m:r>
            <m:sSubSup>
              <m:sSubSupPr>
                <m:ctrlPr>
                  <w:rPr>
                    <w:rFonts w:ascii="Cambria Math" w:hAnsi="Cambria Math" w:cs="MyriadPro-Regular"/>
                    <w:i/>
                  </w:rPr>
                </m:ctrlPr>
              </m:sSubSupPr>
              <m:e>
                <m:r>
                  <m:rPr>
                    <m:sty m:val="p"/>
                  </m:rPr>
                  <w:rPr>
                    <w:rFonts w:ascii="Cambria Math" w:hAnsi="Cambria Math" w:cs="MyriadPro-Regular"/>
                  </w:rPr>
                  <m:t>≡FeOH</m:t>
                </m:r>
              </m:e>
              <m:sub>
                <m:r>
                  <w:rPr>
                    <w:rFonts w:ascii="Cambria Math" w:hAnsi="Cambria Math" w:cs="MyriadPro-Regular"/>
                  </w:rPr>
                  <m:t>n</m:t>
                </m:r>
              </m:sub>
              <m:sup>
                <m:r>
                  <w:rPr>
                    <w:rFonts w:ascii="Cambria Math" w:hAnsi="Cambria Math" w:cs="MyriadPro-Regular"/>
                  </w:rPr>
                  <m:t>n-1</m:t>
                </m:r>
              </m:sup>
            </m:sSubSup>
            <m:r>
              <w:rPr>
                <w:rFonts w:ascii="Cambria Math" w:hAnsi="Cambria Math" w:cs="MyriadPro-Regular"/>
              </w:rPr>
              <m:t>]</m:t>
            </m:r>
          </m:num>
          <m:den>
            <m:r>
              <w:rPr>
                <w:rFonts w:ascii="Cambria Math" w:hAnsi="Cambria Math" w:cs="MyriadPro-Regular"/>
              </w:rPr>
              <m:t>[</m:t>
            </m:r>
            <m:sSubSup>
              <m:sSubSupPr>
                <m:ctrlPr>
                  <w:rPr>
                    <w:rFonts w:ascii="Cambria Math" w:hAnsi="Cambria Math" w:cs="MyriadPro-Regular"/>
                  </w:rPr>
                </m:ctrlPr>
              </m:sSubSupPr>
              <m:e>
                <m:r>
                  <m:rPr>
                    <m:sty m:val="p"/>
                  </m:rPr>
                  <w:rPr>
                    <w:rFonts w:ascii="Cambria Math" w:hAnsi="Cambria Math" w:cs="MyriadPro-Regular"/>
                  </w:rPr>
                  <m:t>≡FeOH</m:t>
                </m:r>
              </m:e>
              <m:sub>
                <m:r>
                  <w:rPr>
                    <w:rFonts w:ascii="Cambria Math" w:hAnsi="Cambria Math" w:cs="MyriadPro-Regular"/>
                  </w:rPr>
                  <m:t>n+1</m:t>
                </m:r>
              </m:sub>
              <m:sup>
                <m:r>
                  <w:rPr>
                    <w:rFonts w:ascii="Cambria Math" w:hAnsi="Cambria Math" w:cs="MyriadPro-Regular"/>
                  </w:rPr>
                  <m:t>n</m:t>
                </m:r>
              </m:sup>
            </m:sSubSup>
            <m:r>
              <w:rPr>
                <w:rFonts w:ascii="Cambria Math" w:hAnsi="Cambria Math" w:cs="MyriadPro-Regular"/>
              </w:rPr>
              <m:t>]</m:t>
            </m:r>
          </m:den>
        </m:f>
      </m:oMath>
      <w:r w:rsidRPr="000917DA">
        <w:rPr>
          <w:rFonts w:eastAsiaTheme="minorEastAsia" w:cs="MyriadPro-Regular"/>
        </w:rPr>
        <w:tab/>
        <w:t>(S2)</w:t>
      </w:r>
    </w:p>
    <w:p w:rsidR="000133C1" w:rsidRPr="000917DA" w:rsidRDefault="009A593D" w:rsidP="000917DA">
      <w:pPr>
        <w:tabs>
          <w:tab w:val="left" w:pos="8505"/>
        </w:tabs>
        <w:jc w:val="both"/>
        <w:rPr>
          <w:rFonts w:cs="MyriadPro-Regular"/>
        </w:rPr>
      </w:pPr>
      <m:oMath>
        <m:sSub>
          <m:sSubPr>
            <m:ctrlPr>
              <w:rPr>
                <w:rFonts w:ascii="Cambria Math" w:hAnsi="Cambria Math" w:cs="MyriadPro-Regular"/>
                <w:i/>
              </w:rPr>
            </m:ctrlPr>
          </m:sSubPr>
          <m:e>
            <m:r>
              <w:rPr>
                <w:rFonts w:ascii="Cambria Math" w:hAnsi="Cambria Math" w:cs="MyriadPro-Regular"/>
              </w:rPr>
              <m:t>n</m:t>
            </m:r>
          </m:e>
          <m:sub>
            <m:r>
              <w:rPr>
                <w:rFonts w:ascii="Cambria Math" w:hAnsi="Cambria Math" w:cs="MyriadPro-Regular"/>
              </w:rPr>
              <m:t>s</m:t>
            </m:r>
          </m:sub>
        </m:sSub>
        <m:r>
          <w:rPr>
            <w:rFonts w:ascii="Cambria Math" w:hAnsi="Cambria Math" w:cs="MyriadPro-Regular"/>
          </w:rPr>
          <m:t>=</m:t>
        </m:r>
        <m:f>
          <m:fPr>
            <m:ctrlPr>
              <w:rPr>
                <w:rFonts w:ascii="Cambria Math" w:hAnsi="Cambria Math" w:cs="MyriadPro-Regular"/>
                <w:i/>
              </w:rPr>
            </m:ctrlPr>
          </m:fPr>
          <m:num>
            <m:r>
              <w:rPr>
                <w:rFonts w:ascii="Cambria Math" w:hAnsi="Cambria Math" w:cs="MyriadPro-Regular"/>
              </w:rPr>
              <m:t>V</m:t>
            </m:r>
            <m:sSub>
              <m:sSubPr>
                <m:ctrlPr>
                  <w:rPr>
                    <w:rFonts w:ascii="Cambria Math" w:hAnsi="Cambria Math" w:cs="MyriadPro-Regular"/>
                    <w:i/>
                  </w:rPr>
                </m:ctrlPr>
              </m:sSubPr>
              <m:e>
                <m:r>
                  <w:rPr>
                    <w:rFonts w:ascii="Cambria Math" w:hAnsi="Cambria Math" w:cs="MyriadPro-Regular"/>
                  </w:rPr>
                  <m:t>C</m:t>
                </m:r>
              </m:e>
              <m:sub>
                <m:r>
                  <w:rPr>
                    <w:rFonts w:ascii="Cambria Math" w:hAnsi="Cambria Math" w:cs="MyriadPro-Regular"/>
                  </w:rPr>
                  <m:t>t</m:t>
                </m:r>
              </m:sub>
            </m:sSub>
          </m:num>
          <m:den>
            <m:r>
              <w:rPr>
                <w:rFonts w:ascii="Cambria Math" w:hAnsi="Cambria Math" w:cs="MyriadPro-Regular"/>
              </w:rPr>
              <m:t>SA</m:t>
            </m:r>
          </m:den>
        </m:f>
      </m:oMath>
      <w:r w:rsidR="000133C1" w:rsidRPr="000917DA">
        <w:rPr>
          <w:rFonts w:eastAsiaTheme="minorEastAsia" w:cs="MyriadPro-Regular"/>
        </w:rPr>
        <w:tab/>
        <w:t>(S3)</w:t>
      </w:r>
    </w:p>
    <w:p w:rsidR="000133C1" w:rsidRPr="000917DA" w:rsidRDefault="000133C1" w:rsidP="000917DA">
      <w:pPr>
        <w:jc w:val="both"/>
        <w:rPr>
          <w:b/>
        </w:rPr>
      </w:pPr>
      <w:r w:rsidRPr="000917DA">
        <w:rPr>
          <w:b/>
        </w:rPr>
        <w:t>Abrasive Residue Surface Coverage Analysis</w:t>
      </w:r>
    </w:p>
    <w:p w:rsidR="000133C1" w:rsidRPr="000917DA" w:rsidRDefault="000133C1" w:rsidP="000917DA">
      <w:pPr>
        <w:jc w:val="both"/>
      </w:pPr>
      <w:r w:rsidRPr="000917DA">
        <w:t>The coverage values are determined by analysing the luminosity histogram of the image using ImageJ, developed by the National Institutes of Health. The surface coverage of abrasive is analysed using Eq. S4. %</w:t>
      </w:r>
      <w:r w:rsidRPr="000917DA">
        <w:rPr>
          <w:i/>
        </w:rPr>
        <w:t>A</w:t>
      </w:r>
      <w:r w:rsidRPr="000917DA">
        <w:rPr>
          <w:vertAlign w:val="subscript"/>
        </w:rPr>
        <w:t>garnet</w:t>
      </w:r>
      <w:r w:rsidRPr="000917DA">
        <w:t xml:space="preserve"> is the garnet surface coverage, and %</w:t>
      </w:r>
      <w:r w:rsidRPr="000917DA">
        <w:rPr>
          <w:i/>
        </w:rPr>
        <w:t>A</w:t>
      </w:r>
      <w:r w:rsidRPr="000917DA">
        <w:rPr>
          <w:vertAlign w:val="subscript"/>
        </w:rPr>
        <w:t>LL</w:t>
      </w:r>
      <w:r w:rsidRPr="000917DA">
        <w:t xml:space="preserve"> is the percentile area of least luminosity, </w:t>
      </w:r>
      <w:r w:rsidRPr="000917DA">
        <w:rPr>
          <w:i/>
        </w:rPr>
        <w:t>i.e.</w:t>
      </w:r>
      <w:r w:rsidRPr="000917DA">
        <w:t xml:space="preserve"> the region in black.</w:t>
      </w:r>
    </w:p>
    <w:p w:rsidR="000133C1" w:rsidRPr="000917DA" w:rsidRDefault="009A593D" w:rsidP="000917DA">
      <w:pPr>
        <w:tabs>
          <w:tab w:val="left" w:pos="8505"/>
        </w:tabs>
        <w:jc w:val="both"/>
        <w:rPr>
          <w:rFonts w:eastAsiaTheme="minorEastAsia"/>
        </w:rPr>
      </w:pPr>
      <m:oMath>
        <m:sSub>
          <m:sSubPr>
            <m:ctrlPr>
              <w:rPr>
                <w:rFonts w:ascii="Cambria Math" w:hAnsi="Cambria Math"/>
                <w:i/>
              </w:rPr>
            </m:ctrlPr>
          </m:sSubPr>
          <m:e>
            <m:r>
              <w:rPr>
                <w:rFonts w:ascii="Cambria Math" w:hAnsi="Cambria Math"/>
              </w:rPr>
              <m:t>%A</m:t>
            </m:r>
          </m:e>
          <m:sub>
            <m:r>
              <m:rPr>
                <m:sty m:val="p"/>
              </m:rPr>
              <w:rPr>
                <w:rFonts w:ascii="Cambria Math" w:hAnsi="Cambria Math"/>
              </w:rPr>
              <m:t>garnet</m:t>
            </m:r>
          </m:sub>
        </m:sSub>
        <m:r>
          <w:rPr>
            <w:rFonts w:ascii="Cambria Math" w:hAnsi="Cambria Math"/>
          </w:rPr>
          <m:t>=100%-</m:t>
        </m:r>
        <m:sSub>
          <m:sSubPr>
            <m:ctrlPr>
              <w:rPr>
                <w:rFonts w:ascii="Cambria Math" w:hAnsi="Cambria Math"/>
                <w:i/>
              </w:rPr>
            </m:ctrlPr>
          </m:sSubPr>
          <m:e>
            <m:r>
              <w:rPr>
                <w:rFonts w:ascii="Cambria Math" w:hAnsi="Cambria Math"/>
              </w:rPr>
              <m:t>%A</m:t>
            </m:r>
          </m:e>
          <m:sub>
            <m:r>
              <m:rPr>
                <m:sty m:val="p"/>
              </m:rPr>
              <w:rPr>
                <w:rFonts w:ascii="Cambria Math" w:hAnsi="Cambria Math"/>
              </w:rPr>
              <m:t>LL</m:t>
            </m:r>
          </m:sub>
        </m:sSub>
      </m:oMath>
      <w:r w:rsidR="000133C1" w:rsidRPr="000917DA">
        <w:rPr>
          <w:rFonts w:eastAsiaTheme="minorEastAsia"/>
        </w:rPr>
        <w:tab/>
        <w:t>(S4)</w:t>
      </w:r>
    </w:p>
    <w:p w:rsidR="000133C1" w:rsidRPr="000917DA" w:rsidRDefault="000133C1" w:rsidP="000917DA">
      <w:pPr>
        <w:rPr>
          <w:rFonts w:eastAsiaTheme="minorEastAsia"/>
        </w:rPr>
      </w:pPr>
      <w:r w:rsidRPr="000917DA">
        <w:rPr>
          <w:rFonts w:eastAsiaTheme="minorEastAsia"/>
        </w:rPr>
        <w:br w:type="page"/>
      </w:r>
    </w:p>
    <w:p w:rsidR="00060D03" w:rsidRPr="000917DA" w:rsidRDefault="0096017D" w:rsidP="000917DA">
      <w:pPr>
        <w:jc w:val="center"/>
      </w:pPr>
      <w:r w:rsidRPr="000917DA">
        <w:lastRenderedPageBreak/>
        <w:t>a)</w:t>
      </w:r>
      <w:r w:rsidRPr="000917DA">
        <w:rPr>
          <w:noProof/>
          <w:lang w:eastAsia="en-GB"/>
        </w:rPr>
        <w:drawing>
          <wp:inline distT="0" distB="0" distL="0" distR="0" wp14:anchorId="4CF1C58B" wp14:editId="72343152">
            <wp:extent cx="3471614" cy="3543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net_xtal_unprocessed_1.png"/>
                    <pic:cNvPicPr/>
                  </pic:nvPicPr>
                  <pic:blipFill>
                    <a:blip r:embed="rId7">
                      <a:extLst>
                        <a:ext uri="{28A0092B-C50C-407E-A947-70E740481C1C}">
                          <a14:useLocalDpi xmlns:a14="http://schemas.microsoft.com/office/drawing/2010/main" val="0"/>
                        </a:ext>
                      </a:extLst>
                    </a:blip>
                    <a:stretch>
                      <a:fillRect/>
                    </a:stretch>
                  </pic:blipFill>
                  <pic:spPr>
                    <a:xfrm>
                      <a:off x="0" y="0"/>
                      <a:ext cx="3480003" cy="3551862"/>
                    </a:xfrm>
                    <a:prstGeom prst="rect">
                      <a:avLst/>
                    </a:prstGeom>
                  </pic:spPr>
                </pic:pic>
              </a:graphicData>
            </a:graphic>
          </wp:inline>
        </w:drawing>
      </w:r>
    </w:p>
    <w:p w:rsidR="0096017D" w:rsidRPr="000917DA" w:rsidRDefault="0096017D" w:rsidP="000917DA">
      <w:pPr>
        <w:jc w:val="center"/>
      </w:pPr>
      <w:r w:rsidRPr="000917DA">
        <w:t>b)</w:t>
      </w:r>
      <w:r w:rsidRPr="000917DA">
        <w:rPr>
          <w:noProof/>
          <w:lang w:eastAsia="en-GB"/>
        </w:rPr>
        <w:drawing>
          <wp:inline distT="0" distB="0" distL="0" distR="0" wp14:anchorId="57551019" wp14:editId="75576BEA">
            <wp:extent cx="3442794" cy="3467100"/>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net_xtal_unprocessed_2.png"/>
                    <pic:cNvPicPr/>
                  </pic:nvPicPr>
                  <pic:blipFill>
                    <a:blip r:embed="rId8">
                      <a:extLst>
                        <a:ext uri="{28A0092B-C50C-407E-A947-70E740481C1C}">
                          <a14:useLocalDpi xmlns:a14="http://schemas.microsoft.com/office/drawing/2010/main" val="0"/>
                        </a:ext>
                      </a:extLst>
                    </a:blip>
                    <a:stretch>
                      <a:fillRect/>
                    </a:stretch>
                  </pic:blipFill>
                  <pic:spPr>
                    <a:xfrm>
                      <a:off x="0" y="0"/>
                      <a:ext cx="3446521" cy="3470853"/>
                    </a:xfrm>
                    <a:prstGeom prst="rect">
                      <a:avLst/>
                    </a:prstGeom>
                  </pic:spPr>
                </pic:pic>
              </a:graphicData>
            </a:graphic>
          </wp:inline>
        </w:drawing>
      </w:r>
    </w:p>
    <w:p w:rsidR="0096017D" w:rsidRPr="000917DA" w:rsidRDefault="0096017D" w:rsidP="000917DA">
      <w:pPr>
        <w:jc w:val="both"/>
      </w:pPr>
      <w:r w:rsidRPr="000917DA">
        <w:rPr>
          <w:b/>
        </w:rPr>
        <w:t>Figure SI1</w:t>
      </w:r>
      <w:r w:rsidRPr="000917DA">
        <w:t>. The crystal structure of almandine garnet with a) a polyhedral representation and b) a ball-and-stick representation. Green: iron, yellow: aluminium, blue: silicon, red: oxygen. The yellow octahedrons are {AlO</w:t>
      </w:r>
      <w:r w:rsidRPr="000917DA">
        <w:rPr>
          <w:vertAlign w:val="subscript"/>
        </w:rPr>
        <w:t>6</w:t>
      </w:r>
      <w:r w:rsidRPr="000917DA">
        <w:t>} units and blue tetrahedrons are {SiO</w:t>
      </w:r>
      <w:r w:rsidRPr="000917DA">
        <w:rPr>
          <w:vertAlign w:val="subscript"/>
        </w:rPr>
        <w:t>4</w:t>
      </w:r>
      <w:r w:rsidRPr="000917DA">
        <w:t>} units. Iron atoms are in large dodecahedral ‘voids’ inside the aluminosilicate framework. Structures are drawn using CrystalViewer/CrystalMaker®, CrystalMaker Software Ltd., Oxford.</w:t>
      </w:r>
    </w:p>
    <w:p w:rsidR="0096017D" w:rsidRPr="000917DA" w:rsidRDefault="0096017D" w:rsidP="000917DA">
      <w:r w:rsidRPr="000917DA">
        <w:br w:type="page"/>
      </w:r>
    </w:p>
    <w:p w:rsidR="000133C1" w:rsidRPr="000917DA" w:rsidRDefault="000133C1" w:rsidP="000917DA">
      <w:pPr>
        <w:jc w:val="both"/>
      </w:pPr>
      <w:r w:rsidRPr="000917DA">
        <w:lastRenderedPageBreak/>
        <w:t>a)</w:t>
      </w:r>
      <w:r w:rsidRPr="000917DA">
        <w:rPr>
          <w:noProof/>
          <w:lang w:eastAsia="en-GB"/>
        </w:rPr>
        <w:drawing>
          <wp:inline distT="0" distB="0" distL="0" distR="0" wp14:anchorId="35D3F23C" wp14:editId="1F00B5F3">
            <wp:extent cx="2676525" cy="1904052"/>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355_powder_se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76525" cy="1904052"/>
                    </a:xfrm>
                    <a:prstGeom prst="rect">
                      <a:avLst/>
                    </a:prstGeom>
                  </pic:spPr>
                </pic:pic>
              </a:graphicData>
            </a:graphic>
          </wp:inline>
        </w:drawing>
      </w:r>
      <w:r w:rsidRPr="000917DA">
        <w:t>b)</w:t>
      </w:r>
      <w:r w:rsidRPr="000917DA">
        <w:rPr>
          <w:noProof/>
          <w:lang w:eastAsia="en-GB"/>
        </w:rPr>
        <w:drawing>
          <wp:inline distT="0" distB="0" distL="0" distR="0" wp14:anchorId="7950F00F" wp14:editId="311665E9">
            <wp:extent cx="2779655" cy="2019300"/>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355_powder_sizin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79655" cy="2019300"/>
                    </a:xfrm>
                    <a:prstGeom prst="rect">
                      <a:avLst/>
                    </a:prstGeom>
                  </pic:spPr>
                </pic:pic>
              </a:graphicData>
            </a:graphic>
          </wp:inline>
        </w:drawing>
      </w:r>
    </w:p>
    <w:tbl>
      <w:tblPr>
        <w:tblStyle w:val="TableGrid"/>
        <w:tblpPr w:leftFromText="180" w:rightFromText="180" w:vertAnchor="text" w:horzAnchor="page" w:tblpX="6358" w:tblpY="288"/>
        <w:tblW w:w="0" w:type="auto"/>
        <w:tblLook w:val="04A0" w:firstRow="1" w:lastRow="0" w:firstColumn="1" w:lastColumn="0" w:noHBand="0" w:noVBand="1"/>
      </w:tblPr>
      <w:tblGrid>
        <w:gridCol w:w="1622"/>
        <w:gridCol w:w="2496"/>
      </w:tblGrid>
      <w:tr w:rsidR="000133C1" w:rsidRPr="000917DA" w:rsidTr="005F688F">
        <w:trPr>
          <w:trHeight w:val="401"/>
        </w:trPr>
        <w:tc>
          <w:tcPr>
            <w:tcW w:w="1622" w:type="dxa"/>
          </w:tcPr>
          <w:p w:rsidR="000133C1" w:rsidRPr="000917DA" w:rsidRDefault="000133C1" w:rsidP="000917DA">
            <w:pPr>
              <w:spacing w:after="200" w:line="276" w:lineRule="auto"/>
              <w:jc w:val="both"/>
              <w:rPr>
                <w:b/>
                <w:u w:val="single"/>
              </w:rPr>
            </w:pPr>
            <w:r w:rsidRPr="000917DA">
              <w:rPr>
                <w:b/>
                <w:u w:val="single"/>
              </w:rPr>
              <w:t>Element</w:t>
            </w:r>
          </w:p>
        </w:tc>
        <w:tc>
          <w:tcPr>
            <w:tcW w:w="2496" w:type="dxa"/>
          </w:tcPr>
          <w:p w:rsidR="000133C1" w:rsidRPr="000917DA" w:rsidRDefault="000133C1" w:rsidP="000917DA">
            <w:pPr>
              <w:spacing w:after="200" w:line="276" w:lineRule="auto"/>
              <w:jc w:val="both"/>
              <w:rPr>
                <w:b/>
                <w:u w:val="single"/>
              </w:rPr>
            </w:pPr>
            <w:r w:rsidRPr="000917DA">
              <w:rPr>
                <w:b/>
                <w:u w:val="single"/>
              </w:rPr>
              <w:t>Atomic Percentage/%</w:t>
            </w:r>
          </w:p>
        </w:tc>
      </w:tr>
      <w:tr w:rsidR="000133C1" w:rsidRPr="000917DA" w:rsidTr="005F688F">
        <w:trPr>
          <w:trHeight w:val="424"/>
        </w:trPr>
        <w:tc>
          <w:tcPr>
            <w:tcW w:w="1622" w:type="dxa"/>
          </w:tcPr>
          <w:p w:rsidR="000133C1" w:rsidRPr="000917DA" w:rsidRDefault="000133C1" w:rsidP="000917DA">
            <w:pPr>
              <w:jc w:val="both"/>
            </w:pPr>
            <w:r w:rsidRPr="000917DA">
              <w:t>Fe</w:t>
            </w:r>
          </w:p>
        </w:tc>
        <w:tc>
          <w:tcPr>
            <w:tcW w:w="2496" w:type="dxa"/>
          </w:tcPr>
          <w:p w:rsidR="000133C1" w:rsidRPr="000917DA" w:rsidRDefault="000133C1" w:rsidP="000917DA">
            <w:pPr>
              <w:jc w:val="both"/>
            </w:pPr>
            <w:r w:rsidRPr="000917DA">
              <w:t xml:space="preserve">78.0 </w:t>
            </w:r>
            <w:r w:rsidRPr="000917DA">
              <w:rPr>
                <w:rFonts w:cstheme="minorHAnsi"/>
              </w:rPr>
              <w:t>±</w:t>
            </w:r>
            <w:r w:rsidRPr="000917DA">
              <w:t xml:space="preserve"> 5.7</w:t>
            </w:r>
          </w:p>
        </w:tc>
      </w:tr>
      <w:tr w:rsidR="000133C1" w:rsidRPr="000917DA" w:rsidTr="005F688F">
        <w:trPr>
          <w:trHeight w:val="424"/>
        </w:trPr>
        <w:tc>
          <w:tcPr>
            <w:tcW w:w="1622" w:type="dxa"/>
          </w:tcPr>
          <w:p w:rsidR="000133C1" w:rsidRPr="000917DA" w:rsidRDefault="000133C1" w:rsidP="000917DA">
            <w:pPr>
              <w:jc w:val="both"/>
            </w:pPr>
            <w:r w:rsidRPr="000917DA">
              <w:t>O</w:t>
            </w:r>
          </w:p>
        </w:tc>
        <w:tc>
          <w:tcPr>
            <w:tcW w:w="2496" w:type="dxa"/>
          </w:tcPr>
          <w:p w:rsidR="000133C1" w:rsidRPr="000917DA" w:rsidRDefault="000133C1" w:rsidP="000917DA">
            <w:pPr>
              <w:jc w:val="both"/>
            </w:pPr>
            <w:r w:rsidRPr="000917DA">
              <w:t xml:space="preserve">20.3 </w:t>
            </w:r>
            <w:r w:rsidRPr="000917DA">
              <w:rPr>
                <w:rFonts w:cstheme="minorHAnsi"/>
              </w:rPr>
              <w:t>±</w:t>
            </w:r>
            <w:r w:rsidRPr="000917DA">
              <w:t xml:space="preserve"> 5.9</w:t>
            </w:r>
          </w:p>
        </w:tc>
      </w:tr>
      <w:tr w:rsidR="000133C1" w:rsidRPr="000917DA" w:rsidTr="005F688F">
        <w:trPr>
          <w:trHeight w:val="424"/>
        </w:trPr>
        <w:tc>
          <w:tcPr>
            <w:tcW w:w="1622" w:type="dxa"/>
          </w:tcPr>
          <w:p w:rsidR="000133C1" w:rsidRPr="000917DA" w:rsidRDefault="000133C1" w:rsidP="000917DA">
            <w:pPr>
              <w:jc w:val="both"/>
            </w:pPr>
            <w:r w:rsidRPr="000917DA">
              <w:t>Mn</w:t>
            </w:r>
          </w:p>
        </w:tc>
        <w:tc>
          <w:tcPr>
            <w:tcW w:w="2496" w:type="dxa"/>
          </w:tcPr>
          <w:p w:rsidR="000133C1" w:rsidRPr="000917DA" w:rsidRDefault="000133C1" w:rsidP="000917DA">
            <w:pPr>
              <w:jc w:val="both"/>
            </w:pPr>
            <w:r w:rsidRPr="000917DA">
              <w:t xml:space="preserve">0.9 </w:t>
            </w:r>
            <w:r w:rsidRPr="000917DA">
              <w:rPr>
                <w:rFonts w:cstheme="minorHAnsi"/>
              </w:rPr>
              <w:t>±</w:t>
            </w:r>
            <w:r w:rsidRPr="000917DA">
              <w:t xml:space="preserve"> 0.1</w:t>
            </w:r>
          </w:p>
        </w:tc>
      </w:tr>
      <w:tr w:rsidR="000133C1" w:rsidRPr="000917DA" w:rsidTr="005F688F">
        <w:trPr>
          <w:trHeight w:val="401"/>
        </w:trPr>
        <w:tc>
          <w:tcPr>
            <w:tcW w:w="1622" w:type="dxa"/>
          </w:tcPr>
          <w:p w:rsidR="000133C1" w:rsidRPr="000917DA" w:rsidRDefault="000133C1" w:rsidP="000917DA">
            <w:pPr>
              <w:jc w:val="both"/>
            </w:pPr>
            <w:r w:rsidRPr="000917DA">
              <w:t>Si</w:t>
            </w:r>
          </w:p>
        </w:tc>
        <w:tc>
          <w:tcPr>
            <w:tcW w:w="2496" w:type="dxa"/>
          </w:tcPr>
          <w:p w:rsidR="000133C1" w:rsidRPr="000917DA" w:rsidRDefault="000133C1" w:rsidP="000917DA">
            <w:pPr>
              <w:jc w:val="both"/>
            </w:pPr>
            <w:r w:rsidRPr="000917DA">
              <w:t xml:space="preserve">0.4 </w:t>
            </w:r>
            <w:r w:rsidRPr="000917DA">
              <w:rPr>
                <w:rFonts w:cstheme="minorHAnsi"/>
              </w:rPr>
              <w:t>±</w:t>
            </w:r>
            <w:r w:rsidRPr="000917DA">
              <w:t xml:space="preserve"> 0.1</w:t>
            </w:r>
          </w:p>
        </w:tc>
      </w:tr>
      <w:tr w:rsidR="000133C1" w:rsidRPr="000917DA" w:rsidTr="005F688F">
        <w:trPr>
          <w:trHeight w:val="424"/>
        </w:trPr>
        <w:tc>
          <w:tcPr>
            <w:tcW w:w="1622" w:type="dxa"/>
          </w:tcPr>
          <w:p w:rsidR="000133C1" w:rsidRPr="000917DA" w:rsidRDefault="000133C1" w:rsidP="000917DA">
            <w:pPr>
              <w:jc w:val="both"/>
            </w:pPr>
            <w:r w:rsidRPr="000917DA">
              <w:t>C</w:t>
            </w:r>
          </w:p>
        </w:tc>
        <w:tc>
          <w:tcPr>
            <w:tcW w:w="2496" w:type="dxa"/>
          </w:tcPr>
          <w:p w:rsidR="000133C1" w:rsidRPr="000917DA" w:rsidRDefault="000133C1" w:rsidP="000917DA">
            <w:pPr>
              <w:jc w:val="both"/>
            </w:pPr>
            <w:r w:rsidRPr="000917DA">
              <w:t xml:space="preserve">0.4 </w:t>
            </w:r>
            <w:r w:rsidRPr="000917DA">
              <w:rPr>
                <w:rFonts w:cstheme="minorHAnsi"/>
              </w:rPr>
              <w:t>±</w:t>
            </w:r>
            <w:r w:rsidRPr="000917DA">
              <w:t xml:space="preserve"> 0.1</w:t>
            </w:r>
          </w:p>
        </w:tc>
      </w:tr>
    </w:tbl>
    <w:p w:rsidR="000133C1" w:rsidRPr="000917DA" w:rsidRDefault="000133C1" w:rsidP="000917DA">
      <w:pPr>
        <w:jc w:val="both"/>
      </w:pPr>
      <w:r w:rsidRPr="000917DA">
        <w:t>c)</w:t>
      </w:r>
      <w:r w:rsidRPr="000917DA">
        <w:rPr>
          <w:noProof/>
          <w:lang w:eastAsia="en-GB"/>
        </w:rPr>
        <w:drawing>
          <wp:inline distT="0" distB="0" distL="0" distR="0" wp14:anchorId="43507C3A" wp14:editId="01BA9C15">
            <wp:extent cx="2568224" cy="1838849"/>
            <wp:effectExtent l="0" t="0" r="381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355_powder_edx_spectrum.jpg"/>
                    <pic:cNvPicPr/>
                  </pic:nvPicPr>
                  <pic:blipFill rotWithShape="1">
                    <a:blip r:embed="rId11" cstate="print">
                      <a:extLst>
                        <a:ext uri="{28A0092B-C50C-407E-A947-70E740481C1C}">
                          <a14:useLocalDpi xmlns:a14="http://schemas.microsoft.com/office/drawing/2010/main" val="0"/>
                        </a:ext>
                      </a:extLst>
                    </a:blip>
                    <a:srcRect l="4488" t="10238" r="12406" b="4524"/>
                    <a:stretch/>
                  </pic:blipFill>
                  <pic:spPr bwMode="auto">
                    <a:xfrm>
                      <a:off x="0" y="0"/>
                      <a:ext cx="2568224" cy="1838849"/>
                    </a:xfrm>
                    <a:prstGeom prst="rect">
                      <a:avLst/>
                    </a:prstGeom>
                    <a:ln>
                      <a:noFill/>
                    </a:ln>
                    <a:extLst>
                      <a:ext uri="{53640926-AAD7-44D8-BBD7-CCE9431645EC}">
                        <a14:shadowObscured xmlns:a14="http://schemas.microsoft.com/office/drawing/2010/main"/>
                      </a:ext>
                    </a:extLst>
                  </pic:spPr>
                </pic:pic>
              </a:graphicData>
            </a:graphic>
          </wp:inline>
        </w:drawing>
      </w:r>
      <w:r w:rsidRPr="000917DA">
        <w:t>d)</w:t>
      </w:r>
    </w:p>
    <w:p w:rsidR="0096017D" w:rsidRPr="000917DA" w:rsidRDefault="000133C1" w:rsidP="000917DA">
      <w:pPr>
        <w:jc w:val="both"/>
      </w:pPr>
      <w:r w:rsidRPr="000917DA">
        <w:rPr>
          <w:b/>
        </w:rPr>
        <w:t>Figure SI</w:t>
      </w:r>
      <w:r w:rsidR="00400A8F" w:rsidRPr="000917DA">
        <w:rPr>
          <w:b/>
        </w:rPr>
        <w:t>2</w:t>
      </w:r>
      <w:r w:rsidRPr="000917DA">
        <w:t>. a) Electron micrograph of S355 steel powder, with b) the sizing of the S355 powder through analysis of electron micrographs. The curve included is a Gaussian fit. c) Example EDX spectra of S355 powder, with d) the evaluated atomic percentage analysis.</w:t>
      </w:r>
    </w:p>
    <w:p w:rsidR="0096017D" w:rsidRPr="000917DA" w:rsidRDefault="0096017D" w:rsidP="000917DA">
      <w:r w:rsidRPr="000917DA">
        <w:br w:type="page"/>
      </w:r>
    </w:p>
    <w:p w:rsidR="000133C1" w:rsidRPr="000917DA" w:rsidRDefault="000133C1" w:rsidP="000917DA">
      <w:pPr>
        <w:rPr>
          <w:rFonts w:cs="MyriadPro-Regular"/>
        </w:rPr>
      </w:pPr>
      <w:r w:rsidRPr="000917DA">
        <w:rPr>
          <w:rFonts w:cs="MyriadPro-Regular"/>
        </w:rPr>
        <w:lastRenderedPageBreak/>
        <w:t>a)</w:t>
      </w:r>
      <w:r w:rsidRPr="000917DA">
        <w:rPr>
          <w:rFonts w:cs="MyriadPro-Regular"/>
          <w:noProof/>
          <w:lang w:eastAsia="en-GB"/>
        </w:rPr>
        <w:drawing>
          <wp:inline distT="0" distB="0" distL="0" distR="0" wp14:anchorId="6F029164" wp14:editId="50909946">
            <wp:extent cx="2733675" cy="2050255"/>
            <wp:effectExtent l="0" t="0" r="0" b="7620"/>
            <wp:docPr id="18" name="Picture 18" descr="A black and white photo of a crow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JP_G_AW_10%_B_Z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38429" cy="2053820"/>
                    </a:xfrm>
                    <a:prstGeom prst="rect">
                      <a:avLst/>
                    </a:prstGeom>
                  </pic:spPr>
                </pic:pic>
              </a:graphicData>
            </a:graphic>
          </wp:inline>
        </w:drawing>
      </w:r>
      <w:r w:rsidRPr="000917DA">
        <w:rPr>
          <w:rFonts w:cs="MyriadPro-Regular"/>
        </w:rPr>
        <w:t>b)</w:t>
      </w:r>
      <w:r w:rsidRPr="000917DA">
        <w:rPr>
          <w:rFonts w:cs="MyriadPro-Regular"/>
          <w:noProof/>
          <w:lang w:eastAsia="en-GB"/>
        </w:rPr>
        <w:drawing>
          <wp:inline distT="0" distB="0" distL="0" distR="0" wp14:anchorId="5654EB38" wp14:editId="12D0A68D">
            <wp:extent cx="2533650" cy="2056586"/>
            <wp:effectExtent l="0" t="0" r="0" b="1270"/>
            <wp:docPr id="19" name="Picture 19" descr="A close up of a devic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idgarnet_edx.jpg"/>
                    <pic:cNvPicPr/>
                  </pic:nvPicPr>
                  <pic:blipFill rotWithShape="1">
                    <a:blip r:embed="rId13" cstate="print">
                      <a:extLst>
                        <a:ext uri="{28A0092B-C50C-407E-A947-70E740481C1C}">
                          <a14:useLocalDpi xmlns:a14="http://schemas.microsoft.com/office/drawing/2010/main" val="0"/>
                        </a:ext>
                      </a:extLst>
                    </a:blip>
                    <a:srcRect l="6666" t="9623" r="12308" b="5267"/>
                    <a:stretch/>
                  </pic:blipFill>
                  <pic:spPr bwMode="auto">
                    <a:xfrm>
                      <a:off x="0" y="0"/>
                      <a:ext cx="2555590" cy="2074395"/>
                    </a:xfrm>
                    <a:prstGeom prst="rect">
                      <a:avLst/>
                    </a:prstGeom>
                    <a:ln>
                      <a:noFill/>
                    </a:ln>
                    <a:extLst>
                      <a:ext uri="{53640926-AAD7-44D8-BBD7-CCE9431645EC}">
                        <a14:shadowObscured xmlns:a14="http://schemas.microsoft.com/office/drawing/2010/main"/>
                      </a:ext>
                    </a:extLst>
                  </pic:spPr>
                </pic:pic>
              </a:graphicData>
            </a:graphic>
          </wp:inline>
        </w:drawing>
      </w:r>
    </w:p>
    <w:p w:rsidR="000133C1" w:rsidRPr="000917DA" w:rsidRDefault="000133C1" w:rsidP="000917DA">
      <w:pPr>
        <w:jc w:val="center"/>
        <w:rPr>
          <w:rFonts w:cs="MyriadPro-Regular"/>
        </w:rPr>
      </w:pPr>
      <w:r w:rsidRPr="000917DA">
        <w:rPr>
          <w:rFonts w:cs="MyriadPro-Regular"/>
        </w:rPr>
        <w:t>c)</w:t>
      </w:r>
      <w:r w:rsidRPr="000917DA">
        <w:rPr>
          <w:noProof/>
          <w:lang w:eastAsia="en-GB"/>
        </w:rPr>
        <w:t xml:space="preserve"> </w:t>
      </w:r>
      <w:r w:rsidRPr="000917DA">
        <w:rPr>
          <w:noProof/>
          <w:lang w:eastAsia="en-GB"/>
        </w:rPr>
        <w:drawing>
          <wp:inline distT="0" distB="0" distL="0" distR="0" wp14:anchorId="69923594" wp14:editId="291E5E1C">
            <wp:extent cx="2624583" cy="2131161"/>
            <wp:effectExtent l="0" t="0" r="444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net_acid_treatment_ca_edx.jpg"/>
                    <pic:cNvPicPr/>
                  </pic:nvPicPr>
                  <pic:blipFill rotWithShape="1">
                    <a:blip r:embed="rId14" cstate="print">
                      <a:extLst>
                        <a:ext uri="{28A0092B-C50C-407E-A947-70E740481C1C}">
                          <a14:useLocalDpi xmlns:a14="http://schemas.microsoft.com/office/drawing/2010/main" val="0"/>
                        </a:ext>
                      </a:extLst>
                    </a:blip>
                    <a:srcRect l="6734" t="10995" r="13105" b="4772"/>
                    <a:stretch/>
                  </pic:blipFill>
                  <pic:spPr bwMode="auto">
                    <a:xfrm>
                      <a:off x="0" y="0"/>
                      <a:ext cx="2639788" cy="2143507"/>
                    </a:xfrm>
                    <a:prstGeom prst="rect">
                      <a:avLst/>
                    </a:prstGeom>
                    <a:ln>
                      <a:noFill/>
                    </a:ln>
                    <a:extLst>
                      <a:ext uri="{53640926-AAD7-44D8-BBD7-CCE9431645EC}">
                        <a14:shadowObscured xmlns:a14="http://schemas.microsoft.com/office/drawing/2010/main"/>
                      </a:ext>
                    </a:extLst>
                  </pic:spPr>
                </pic:pic>
              </a:graphicData>
            </a:graphic>
          </wp:inline>
        </w:drawing>
      </w:r>
      <w:r w:rsidRPr="000917DA">
        <w:rPr>
          <w:noProof/>
          <w:lang w:eastAsia="en-GB"/>
        </w:rPr>
        <w:t>d)</w:t>
      </w:r>
      <w:r w:rsidRPr="000917DA">
        <w:rPr>
          <w:rFonts w:cs="MyriadPro-Regular"/>
          <w:noProof/>
          <w:lang w:eastAsia="en-GB"/>
        </w:rPr>
        <w:drawing>
          <wp:inline distT="0" distB="0" distL="0" distR="0" wp14:anchorId="0D0D2EDE" wp14:editId="4DCBB431">
            <wp:extent cx="2790825" cy="2124190"/>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dgarnet_pxrd_reference.jpg"/>
                    <pic:cNvPicPr/>
                  </pic:nvPicPr>
                  <pic:blipFill rotWithShape="1">
                    <a:blip r:embed="rId15" cstate="print">
                      <a:extLst>
                        <a:ext uri="{28A0092B-C50C-407E-A947-70E740481C1C}">
                          <a14:useLocalDpi xmlns:a14="http://schemas.microsoft.com/office/drawing/2010/main" val="0"/>
                        </a:ext>
                      </a:extLst>
                    </a:blip>
                    <a:srcRect l="5485" t="8809" r="12405" b="1667"/>
                    <a:stretch/>
                  </pic:blipFill>
                  <pic:spPr bwMode="auto">
                    <a:xfrm>
                      <a:off x="0" y="0"/>
                      <a:ext cx="2794971" cy="2127346"/>
                    </a:xfrm>
                    <a:prstGeom prst="rect">
                      <a:avLst/>
                    </a:prstGeom>
                    <a:ln>
                      <a:noFill/>
                    </a:ln>
                    <a:extLst>
                      <a:ext uri="{53640926-AAD7-44D8-BBD7-CCE9431645EC}">
                        <a14:shadowObscured xmlns:a14="http://schemas.microsoft.com/office/drawing/2010/main"/>
                      </a:ext>
                    </a:extLst>
                  </pic:spPr>
                </pic:pic>
              </a:graphicData>
            </a:graphic>
          </wp:inline>
        </w:drawing>
      </w:r>
    </w:p>
    <w:p w:rsidR="000133C1" w:rsidRPr="000917DA" w:rsidRDefault="000133C1" w:rsidP="000917DA">
      <w:pPr>
        <w:jc w:val="both"/>
      </w:pPr>
      <w:r w:rsidRPr="000917DA">
        <w:rPr>
          <w:rFonts w:cs="MyriadPro-Regular"/>
          <w:b/>
        </w:rPr>
        <w:t>Figure SI3</w:t>
      </w:r>
      <w:r w:rsidRPr="000917DA">
        <w:rPr>
          <w:rFonts w:cs="MyriadPro-Regular"/>
        </w:rPr>
        <w:t>. a) Electron micrograph of gold-plated acid-washed garnet powder, supported on carbon tape. b) EDS spectra of the acid-washed garnet, sputtered with gold to improve conductivity. Identified elements are labels on the spectra. c) EDX image of the milled almandine garnet powder, before (red) and after (black) 10%/wt nitric acid washing and subsequent water rinsing. Intensities are normalised to allow for comparison between the two spectra. d) Powder X-ray Diffraction pattern of the acid-washed garnet powder (black), directly matching with database almandine garnet spectrum (red).</w:t>
      </w:r>
    </w:p>
    <w:p w:rsidR="00400A8F" w:rsidRPr="000917DA" w:rsidRDefault="00400A8F" w:rsidP="000917DA">
      <w:r w:rsidRPr="000917DA">
        <w:br w:type="page"/>
      </w:r>
    </w:p>
    <w:p w:rsidR="00400A8F" w:rsidRPr="000917DA" w:rsidRDefault="00400A8F" w:rsidP="000917DA">
      <w:pPr>
        <w:jc w:val="center"/>
      </w:pPr>
      <w:r w:rsidRPr="000917DA">
        <w:lastRenderedPageBreak/>
        <w:t>a)</w:t>
      </w:r>
      <w:r w:rsidRPr="000917DA">
        <w:rPr>
          <w:noProof/>
          <w:lang w:eastAsia="en-GB"/>
        </w:rPr>
        <w:drawing>
          <wp:inline distT="0" distB="0" distL="0" distR="0" wp14:anchorId="1ACCA8D3" wp14:editId="38756525">
            <wp:extent cx="5154148" cy="536257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2a.tif"/>
                    <pic:cNvPicPr/>
                  </pic:nvPicPr>
                  <pic:blipFill>
                    <a:blip r:embed="rId16">
                      <a:extLst>
                        <a:ext uri="{28A0092B-C50C-407E-A947-70E740481C1C}">
                          <a14:useLocalDpi xmlns:a14="http://schemas.microsoft.com/office/drawing/2010/main" val="0"/>
                        </a:ext>
                      </a:extLst>
                    </a:blip>
                    <a:stretch>
                      <a:fillRect/>
                    </a:stretch>
                  </pic:blipFill>
                  <pic:spPr>
                    <a:xfrm>
                      <a:off x="0" y="0"/>
                      <a:ext cx="5154697" cy="5363146"/>
                    </a:xfrm>
                    <a:prstGeom prst="rect">
                      <a:avLst/>
                    </a:prstGeom>
                  </pic:spPr>
                </pic:pic>
              </a:graphicData>
            </a:graphic>
          </wp:inline>
        </w:drawing>
      </w:r>
    </w:p>
    <w:p w:rsidR="00400A8F" w:rsidRPr="000917DA" w:rsidRDefault="00400A8F" w:rsidP="000917DA">
      <w:pPr>
        <w:jc w:val="center"/>
      </w:pPr>
      <w:r w:rsidRPr="000917DA">
        <w:t>b)</w:t>
      </w:r>
      <w:r w:rsidRPr="000917DA">
        <w:rPr>
          <w:noProof/>
          <w:lang w:eastAsia="en-GB"/>
        </w:rPr>
        <w:drawing>
          <wp:inline distT="0" distB="0" distL="0" distR="0" wp14:anchorId="0AB602A7" wp14:editId="03907BB7">
            <wp:extent cx="3111501" cy="2333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netite_ebsd.jpg"/>
                    <pic:cNvPicPr/>
                  </pic:nvPicPr>
                  <pic:blipFill>
                    <a:blip r:embed="rId17">
                      <a:extLst>
                        <a:ext uri="{28A0092B-C50C-407E-A947-70E740481C1C}">
                          <a14:useLocalDpi xmlns:a14="http://schemas.microsoft.com/office/drawing/2010/main" val="0"/>
                        </a:ext>
                      </a:extLst>
                    </a:blip>
                    <a:stretch>
                      <a:fillRect/>
                    </a:stretch>
                  </pic:blipFill>
                  <pic:spPr>
                    <a:xfrm>
                      <a:off x="0" y="0"/>
                      <a:ext cx="3124558" cy="2343418"/>
                    </a:xfrm>
                    <a:prstGeom prst="rect">
                      <a:avLst/>
                    </a:prstGeom>
                  </pic:spPr>
                </pic:pic>
              </a:graphicData>
            </a:graphic>
          </wp:inline>
        </w:drawing>
      </w:r>
    </w:p>
    <w:p w:rsidR="00055FE0" w:rsidRPr="000917DA" w:rsidRDefault="00400A8F" w:rsidP="000917DA">
      <w:pPr>
        <w:jc w:val="both"/>
      </w:pPr>
      <w:r w:rsidRPr="000917DA">
        <w:rPr>
          <w:b/>
        </w:rPr>
        <w:t>Figure SI4</w:t>
      </w:r>
      <w:r w:rsidRPr="000917DA">
        <w:t>.a) Typical iron 2p XPS peak for a polished steel sample, peak fits on the Fe 2p</w:t>
      </w:r>
      <w:r w:rsidRPr="000917DA">
        <w:rPr>
          <w:vertAlign w:val="subscript"/>
        </w:rPr>
        <w:t>3/2</w:t>
      </w:r>
      <w:r w:rsidRPr="000917DA">
        <w:t>. B) Typical crystallographic Kikuchi line diffraction pattern of backscattered electrons, from magnetite surface crystal.</w:t>
      </w:r>
    </w:p>
    <w:p w:rsidR="00055FE0" w:rsidRPr="000917DA" w:rsidRDefault="00055FE0" w:rsidP="000917DA">
      <w:pPr>
        <w:jc w:val="center"/>
        <w:rPr>
          <w:noProof/>
          <w:lang w:eastAsia="en-GB"/>
        </w:rPr>
      </w:pPr>
      <w:r w:rsidRPr="000917DA">
        <w:rPr>
          <w:noProof/>
          <w:lang w:eastAsia="en-GB"/>
        </w:rPr>
        <w:lastRenderedPageBreak/>
        <w:t>a)</w:t>
      </w:r>
      <w:r w:rsidRPr="000917DA">
        <w:rPr>
          <w:noProof/>
          <w:lang w:eastAsia="en-GB"/>
        </w:rPr>
        <w:drawing>
          <wp:inline distT="0" distB="0" distL="0" distR="0" wp14:anchorId="58E6D40D" wp14:editId="2A61D5E2">
            <wp:extent cx="4651820" cy="3543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a.tif"/>
                    <pic:cNvPicPr/>
                  </pic:nvPicPr>
                  <pic:blipFill rotWithShape="1">
                    <a:blip r:embed="rId18" cstate="print">
                      <a:extLst>
                        <a:ext uri="{28A0092B-C50C-407E-A947-70E740481C1C}">
                          <a14:useLocalDpi xmlns:a14="http://schemas.microsoft.com/office/drawing/2010/main" val="0"/>
                        </a:ext>
                      </a:extLst>
                    </a:blip>
                    <a:srcRect l="8642" t="9524" r="13237" b="5238"/>
                    <a:stretch/>
                  </pic:blipFill>
                  <pic:spPr bwMode="auto">
                    <a:xfrm>
                      <a:off x="0" y="0"/>
                      <a:ext cx="4663955" cy="3552544"/>
                    </a:xfrm>
                    <a:prstGeom prst="rect">
                      <a:avLst/>
                    </a:prstGeom>
                    <a:ln>
                      <a:noFill/>
                    </a:ln>
                    <a:extLst>
                      <a:ext uri="{53640926-AAD7-44D8-BBD7-CCE9431645EC}">
                        <a14:shadowObscured xmlns:a14="http://schemas.microsoft.com/office/drawing/2010/main"/>
                      </a:ext>
                    </a:extLst>
                  </pic:spPr>
                </pic:pic>
              </a:graphicData>
            </a:graphic>
          </wp:inline>
        </w:drawing>
      </w:r>
    </w:p>
    <w:p w:rsidR="00055FE0" w:rsidRPr="000917DA" w:rsidRDefault="00055FE0" w:rsidP="000917DA">
      <w:pPr>
        <w:jc w:val="center"/>
      </w:pPr>
      <w:r w:rsidRPr="000917DA">
        <w:rPr>
          <w:noProof/>
          <w:lang w:eastAsia="en-GB"/>
        </w:rPr>
        <w:t>b)</w:t>
      </w:r>
      <w:r w:rsidRPr="000917DA">
        <w:rPr>
          <w:noProof/>
          <w:lang w:eastAsia="en-GB"/>
        </w:rPr>
        <w:drawing>
          <wp:inline distT="0" distB="0" distL="0" distR="0" wp14:anchorId="06570CCE" wp14:editId="5492FC2C">
            <wp:extent cx="4591050" cy="352857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b.tif"/>
                    <pic:cNvPicPr/>
                  </pic:nvPicPr>
                  <pic:blipFill rotWithShape="1">
                    <a:blip r:embed="rId19" cstate="print">
                      <a:extLst>
                        <a:ext uri="{28A0092B-C50C-407E-A947-70E740481C1C}">
                          <a14:useLocalDpi xmlns:a14="http://schemas.microsoft.com/office/drawing/2010/main" val="0"/>
                        </a:ext>
                      </a:extLst>
                    </a:blip>
                    <a:srcRect l="8477" t="8572" r="13237" b="5238"/>
                    <a:stretch/>
                  </pic:blipFill>
                  <pic:spPr bwMode="auto">
                    <a:xfrm>
                      <a:off x="0" y="0"/>
                      <a:ext cx="4612544" cy="3545098"/>
                    </a:xfrm>
                    <a:prstGeom prst="rect">
                      <a:avLst/>
                    </a:prstGeom>
                    <a:ln>
                      <a:noFill/>
                    </a:ln>
                    <a:extLst>
                      <a:ext uri="{53640926-AAD7-44D8-BBD7-CCE9431645EC}">
                        <a14:shadowObscured xmlns:a14="http://schemas.microsoft.com/office/drawing/2010/main"/>
                      </a:ext>
                    </a:extLst>
                  </pic:spPr>
                </pic:pic>
              </a:graphicData>
            </a:graphic>
          </wp:inline>
        </w:drawing>
      </w:r>
    </w:p>
    <w:p w:rsidR="00055FE0" w:rsidRPr="000917DA" w:rsidRDefault="00055FE0" w:rsidP="000917DA">
      <w:pPr>
        <w:jc w:val="both"/>
      </w:pPr>
      <w:r w:rsidRPr="000917DA">
        <w:rPr>
          <w:b/>
        </w:rPr>
        <w:t>Figure SI5</w:t>
      </w:r>
      <w:r w:rsidRPr="000917DA">
        <w:t>. a) Calcium and b) aluminium levels in consecutive washings of 30 g of garnet. AW: 30 mL 10%/wt nitric acid wash, WW: 30 mL ultrapure water wash.</w:t>
      </w:r>
    </w:p>
    <w:p w:rsidR="00055FE0" w:rsidRPr="000917DA" w:rsidRDefault="00055FE0" w:rsidP="000917DA">
      <w:r w:rsidRPr="000917DA">
        <w:br w:type="page"/>
      </w:r>
    </w:p>
    <w:p w:rsidR="00087702" w:rsidRPr="000917DA" w:rsidRDefault="00055FE0" w:rsidP="000917DA">
      <w:pPr>
        <w:jc w:val="center"/>
      </w:pPr>
      <w:r w:rsidRPr="000917DA">
        <w:rPr>
          <w:noProof/>
          <w:lang w:eastAsia="en-GB"/>
        </w:rPr>
        <w:lastRenderedPageBreak/>
        <w:drawing>
          <wp:inline distT="0" distB="0" distL="0" distR="0" wp14:anchorId="25E10CD0" wp14:editId="45B53F76">
            <wp:extent cx="5143500" cy="3826263"/>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6.tif"/>
                    <pic:cNvPicPr/>
                  </pic:nvPicPr>
                  <pic:blipFill rotWithShape="1">
                    <a:blip r:embed="rId20" cstate="print">
                      <a:extLst>
                        <a:ext uri="{28A0092B-C50C-407E-A947-70E740481C1C}">
                          <a14:useLocalDpi xmlns:a14="http://schemas.microsoft.com/office/drawing/2010/main" val="0"/>
                        </a:ext>
                      </a:extLst>
                    </a:blip>
                    <a:srcRect l="6483" t="9048" r="11741" b="3809"/>
                    <a:stretch/>
                  </pic:blipFill>
                  <pic:spPr bwMode="auto">
                    <a:xfrm>
                      <a:off x="0" y="0"/>
                      <a:ext cx="5144317" cy="3826871"/>
                    </a:xfrm>
                    <a:prstGeom prst="rect">
                      <a:avLst/>
                    </a:prstGeom>
                    <a:ln>
                      <a:noFill/>
                    </a:ln>
                    <a:extLst>
                      <a:ext uri="{53640926-AAD7-44D8-BBD7-CCE9431645EC}">
                        <a14:shadowObscured xmlns:a14="http://schemas.microsoft.com/office/drawing/2010/main"/>
                      </a:ext>
                    </a:extLst>
                  </pic:spPr>
                </pic:pic>
              </a:graphicData>
            </a:graphic>
          </wp:inline>
        </w:drawing>
      </w:r>
    </w:p>
    <w:p w:rsidR="00060D03" w:rsidRPr="000917DA" w:rsidRDefault="00055FE0" w:rsidP="000917DA">
      <w:pPr>
        <w:jc w:val="both"/>
        <w:rPr>
          <w:vertAlign w:val="superscript"/>
        </w:rPr>
      </w:pPr>
      <w:r w:rsidRPr="000917DA">
        <w:rPr>
          <w:b/>
        </w:rPr>
        <w:t>Figure SI6.</w:t>
      </w:r>
      <w:r w:rsidRPr="000917DA">
        <w:t xml:space="preserve"> Example surface charge plot from an acid-base titration of acid-treated almandine garnet abrasive in a 50 g L</w:t>
      </w:r>
      <w:r w:rsidRPr="000917DA">
        <w:rPr>
          <w:vertAlign w:val="superscript"/>
        </w:rPr>
        <w:t>-1</w:t>
      </w:r>
      <w:r w:rsidRPr="000917DA">
        <w:t xml:space="preserve"> suspension, in different concentrations of sodium nitrate, a non-specifically adsorbing electrolyte.</w:t>
      </w:r>
      <w:r w:rsidR="00060D03" w:rsidRPr="000917DA">
        <w:t xml:space="preserve"> Black: 10 mM NaNO</w:t>
      </w:r>
      <w:r w:rsidR="00060D03" w:rsidRPr="000917DA">
        <w:rPr>
          <w:vertAlign w:val="subscript"/>
        </w:rPr>
        <w:t>3</w:t>
      </w:r>
      <w:r w:rsidR="00060D03" w:rsidRPr="000917DA">
        <w:t>, Blue: 100 mM NaNO</w:t>
      </w:r>
      <w:r w:rsidR="00060D03" w:rsidRPr="000917DA">
        <w:rPr>
          <w:vertAlign w:val="subscript"/>
        </w:rPr>
        <w:t>3</w:t>
      </w:r>
    </w:p>
    <w:p w:rsidR="00060D03" w:rsidRPr="000917DA" w:rsidRDefault="00060D03" w:rsidP="000917DA">
      <w:pPr>
        <w:jc w:val="center"/>
      </w:pPr>
      <w:r w:rsidRPr="000917DA">
        <w:rPr>
          <w:noProof/>
          <w:lang w:eastAsia="en-GB"/>
        </w:rPr>
        <w:drawing>
          <wp:inline distT="0" distB="0" distL="0" distR="0" wp14:anchorId="555058AC" wp14:editId="0666B147">
            <wp:extent cx="4619625" cy="3638203"/>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7.tif"/>
                    <pic:cNvPicPr/>
                  </pic:nvPicPr>
                  <pic:blipFill rotWithShape="1">
                    <a:blip r:embed="rId21" cstate="print">
                      <a:extLst>
                        <a:ext uri="{28A0092B-C50C-407E-A947-70E740481C1C}">
                          <a14:useLocalDpi xmlns:a14="http://schemas.microsoft.com/office/drawing/2010/main" val="0"/>
                        </a:ext>
                      </a:extLst>
                    </a:blip>
                    <a:srcRect l="9643" t="8942" r="12813" b="4634"/>
                    <a:stretch/>
                  </pic:blipFill>
                  <pic:spPr bwMode="auto">
                    <a:xfrm>
                      <a:off x="0" y="0"/>
                      <a:ext cx="4625631" cy="3642933"/>
                    </a:xfrm>
                    <a:prstGeom prst="rect">
                      <a:avLst/>
                    </a:prstGeom>
                    <a:ln>
                      <a:noFill/>
                    </a:ln>
                    <a:extLst>
                      <a:ext uri="{53640926-AAD7-44D8-BBD7-CCE9431645EC}">
                        <a14:shadowObscured xmlns:a14="http://schemas.microsoft.com/office/drawing/2010/main"/>
                      </a:ext>
                    </a:extLst>
                  </pic:spPr>
                </pic:pic>
              </a:graphicData>
            </a:graphic>
          </wp:inline>
        </w:drawing>
      </w:r>
    </w:p>
    <w:p w:rsidR="00060D03" w:rsidRPr="000917DA" w:rsidRDefault="00060D03" w:rsidP="000917DA">
      <w:pPr>
        <w:jc w:val="both"/>
      </w:pPr>
      <w:r w:rsidRPr="000917DA">
        <w:rPr>
          <w:b/>
        </w:rPr>
        <w:t>Figure SI7</w:t>
      </w:r>
      <w:r w:rsidRPr="000917DA">
        <w:t>. The surface coverage of calcium on the garnet-blasted S355 steel surface, determined by EDX elemental mapping, as a function of blasting time.</w:t>
      </w:r>
    </w:p>
    <w:p w:rsidR="00060D03" w:rsidRPr="000917DA" w:rsidRDefault="00060D03" w:rsidP="000917DA">
      <w:pPr>
        <w:jc w:val="center"/>
      </w:pPr>
      <w:r w:rsidRPr="000917DA">
        <w:rPr>
          <w:noProof/>
          <w:lang w:eastAsia="en-GB"/>
        </w:rPr>
        <w:lastRenderedPageBreak/>
        <w:drawing>
          <wp:inline distT="0" distB="0" distL="0" distR="0" wp14:anchorId="2CABAEC3" wp14:editId="515C2AA2">
            <wp:extent cx="4895850" cy="361496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8.tif"/>
                    <pic:cNvPicPr/>
                  </pic:nvPicPr>
                  <pic:blipFill rotWithShape="1">
                    <a:blip r:embed="rId22" cstate="print">
                      <a:extLst>
                        <a:ext uri="{28A0092B-C50C-407E-A947-70E740481C1C}">
                          <a14:useLocalDpi xmlns:a14="http://schemas.microsoft.com/office/drawing/2010/main" val="0"/>
                        </a:ext>
                      </a:extLst>
                    </a:blip>
                    <a:srcRect l="6485" t="7529" r="7654" b="2752"/>
                    <a:stretch/>
                  </pic:blipFill>
                  <pic:spPr bwMode="auto">
                    <a:xfrm>
                      <a:off x="0" y="0"/>
                      <a:ext cx="4908340" cy="3624183"/>
                    </a:xfrm>
                    <a:prstGeom prst="rect">
                      <a:avLst/>
                    </a:prstGeom>
                    <a:ln>
                      <a:noFill/>
                    </a:ln>
                    <a:extLst>
                      <a:ext uri="{53640926-AAD7-44D8-BBD7-CCE9431645EC}">
                        <a14:shadowObscured xmlns:a14="http://schemas.microsoft.com/office/drawing/2010/main"/>
                      </a:ext>
                    </a:extLst>
                  </pic:spPr>
                </pic:pic>
              </a:graphicData>
            </a:graphic>
          </wp:inline>
        </w:drawing>
      </w:r>
    </w:p>
    <w:p w:rsidR="00060D03" w:rsidRDefault="00060D03" w:rsidP="000917DA">
      <w:pPr>
        <w:jc w:val="both"/>
      </w:pPr>
      <w:r w:rsidRPr="000917DA">
        <w:rPr>
          <w:b/>
        </w:rPr>
        <w:t>Figure SI8</w:t>
      </w:r>
      <w:r w:rsidRPr="000917DA">
        <w:t>. TOF-SIMS elemental analysis of S355 steel samples, abrasive blasted for different durations at 40 psi pressure. Iron (purple), calcium (green), aluminium (blue) and silicon (magenta) signals are shown. The crossover points between the iron and calcium signals are highlighted.</w:t>
      </w:r>
    </w:p>
    <w:p w:rsidR="00060D03" w:rsidRPr="00060D03" w:rsidRDefault="00060D03" w:rsidP="000917DA">
      <w:pPr>
        <w:jc w:val="both"/>
      </w:pPr>
    </w:p>
    <w:sectPr w:rsidR="00060D03" w:rsidRPr="00060D03">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593D" w:rsidRDefault="009A593D" w:rsidP="000133C1">
      <w:pPr>
        <w:spacing w:after="0" w:line="240" w:lineRule="auto"/>
      </w:pPr>
      <w:r>
        <w:separator/>
      </w:r>
    </w:p>
  </w:endnote>
  <w:endnote w:type="continuationSeparator" w:id="0">
    <w:p w:rsidR="009A593D" w:rsidRDefault="009A593D" w:rsidP="000133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MyriadPro-Regular">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0718833"/>
      <w:docPartObj>
        <w:docPartGallery w:val="Page Numbers (Bottom of Page)"/>
        <w:docPartUnique/>
      </w:docPartObj>
    </w:sdtPr>
    <w:sdtEndPr>
      <w:rPr>
        <w:noProof/>
      </w:rPr>
    </w:sdtEndPr>
    <w:sdtContent>
      <w:p w:rsidR="000133C1" w:rsidRDefault="000133C1">
        <w:pPr>
          <w:pStyle w:val="Footer"/>
          <w:jc w:val="right"/>
        </w:pPr>
        <w:r>
          <w:t>S</w:t>
        </w:r>
        <w:r>
          <w:fldChar w:fldCharType="begin"/>
        </w:r>
        <w:r>
          <w:instrText xml:space="preserve"> PAGE   \* MERGEFORMAT </w:instrText>
        </w:r>
        <w:r>
          <w:fldChar w:fldCharType="separate"/>
        </w:r>
        <w:r w:rsidR="00F500D3">
          <w:rPr>
            <w:noProof/>
          </w:rPr>
          <w:t>4</w:t>
        </w:r>
        <w:r>
          <w:rPr>
            <w:noProof/>
          </w:rPr>
          <w:fldChar w:fldCharType="end"/>
        </w:r>
      </w:p>
    </w:sdtContent>
  </w:sdt>
  <w:p w:rsidR="000133C1" w:rsidRDefault="000133C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593D" w:rsidRDefault="009A593D" w:rsidP="000133C1">
      <w:pPr>
        <w:spacing w:after="0" w:line="240" w:lineRule="auto"/>
      </w:pPr>
      <w:r>
        <w:separator/>
      </w:r>
    </w:p>
  </w:footnote>
  <w:footnote w:type="continuationSeparator" w:id="0">
    <w:p w:rsidR="009A593D" w:rsidRDefault="009A593D" w:rsidP="000133C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33C1"/>
    <w:rsid w:val="000133C1"/>
    <w:rsid w:val="00047160"/>
    <w:rsid w:val="00055FE0"/>
    <w:rsid w:val="00060D03"/>
    <w:rsid w:val="000917DA"/>
    <w:rsid w:val="00174D23"/>
    <w:rsid w:val="001A23BB"/>
    <w:rsid w:val="001A65E6"/>
    <w:rsid w:val="0031690C"/>
    <w:rsid w:val="00347025"/>
    <w:rsid w:val="00400A8F"/>
    <w:rsid w:val="004444FD"/>
    <w:rsid w:val="005909E1"/>
    <w:rsid w:val="00815281"/>
    <w:rsid w:val="0091317A"/>
    <w:rsid w:val="0096017D"/>
    <w:rsid w:val="009A593D"/>
    <w:rsid w:val="00A0413D"/>
    <w:rsid w:val="00AA4A35"/>
    <w:rsid w:val="00B642D0"/>
    <w:rsid w:val="00D86B09"/>
    <w:rsid w:val="00DB3C77"/>
    <w:rsid w:val="00DF456B"/>
    <w:rsid w:val="00EF2B5D"/>
    <w:rsid w:val="00F500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33C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13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133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33C1"/>
    <w:rPr>
      <w:rFonts w:ascii="Tahoma" w:hAnsi="Tahoma" w:cs="Tahoma"/>
      <w:sz w:val="16"/>
      <w:szCs w:val="16"/>
    </w:rPr>
  </w:style>
  <w:style w:type="paragraph" w:styleId="Header">
    <w:name w:val="header"/>
    <w:basedOn w:val="Normal"/>
    <w:link w:val="HeaderChar"/>
    <w:uiPriority w:val="99"/>
    <w:unhideWhenUsed/>
    <w:rsid w:val="000133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33C1"/>
  </w:style>
  <w:style w:type="paragraph" w:styleId="Footer">
    <w:name w:val="footer"/>
    <w:basedOn w:val="Normal"/>
    <w:link w:val="FooterChar"/>
    <w:uiPriority w:val="99"/>
    <w:unhideWhenUsed/>
    <w:rsid w:val="000133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33C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33C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13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133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33C1"/>
    <w:rPr>
      <w:rFonts w:ascii="Tahoma" w:hAnsi="Tahoma" w:cs="Tahoma"/>
      <w:sz w:val="16"/>
      <w:szCs w:val="16"/>
    </w:rPr>
  </w:style>
  <w:style w:type="paragraph" w:styleId="Header">
    <w:name w:val="header"/>
    <w:basedOn w:val="Normal"/>
    <w:link w:val="HeaderChar"/>
    <w:uiPriority w:val="99"/>
    <w:unhideWhenUsed/>
    <w:rsid w:val="000133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33C1"/>
  </w:style>
  <w:style w:type="paragraph" w:styleId="Footer">
    <w:name w:val="footer"/>
    <w:basedOn w:val="Normal"/>
    <w:link w:val="FooterChar"/>
    <w:uiPriority w:val="99"/>
    <w:unhideWhenUsed/>
    <w:rsid w:val="000133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33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tif"/><Relationship Id="rId3" Type="http://schemas.openxmlformats.org/officeDocument/2006/relationships/settings" Target="settings.xml"/><Relationship Id="rId21" Type="http://schemas.openxmlformats.org/officeDocument/2006/relationships/image" Target="media/image15.tif"/><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0.tif"/><Relationship Id="rId20" Type="http://schemas.openxmlformats.org/officeDocument/2006/relationships/image" Target="media/image14.tif"/><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tif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536</Words>
  <Characters>3058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Jeffrey Poon</dc:creator>
  <cp:lastModifiedBy>Jeffrey Poon</cp:lastModifiedBy>
  <cp:revision>2</cp:revision>
  <dcterms:created xsi:type="dcterms:W3CDTF">2018-06-19T13:53:00Z</dcterms:created>
  <dcterms:modified xsi:type="dcterms:W3CDTF">2018-06-19T13:53:00Z</dcterms:modified>
</cp:coreProperties>
</file>