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067BE" w14:textId="77777777" w:rsidR="00CA10AA" w:rsidRDefault="00CA10AA" w:rsidP="00CA10AA">
      <w:pPr>
        <w:pStyle w:val="NoSpacing"/>
        <w:spacing w:line="360" w:lineRule="auto"/>
        <w:jc w:val="center"/>
        <w:rPr>
          <w:szCs w:val="18"/>
        </w:rPr>
      </w:pPr>
      <w:bookmarkStart w:id="0" w:name="_GoBack"/>
      <w:bookmarkEnd w:id="0"/>
      <w:r>
        <w:rPr>
          <w:szCs w:val="18"/>
        </w:rPr>
        <w:t>FEAR AND LOATHING IN DORSET: NO PUBLIC AUTHORITY DUTY TO PROTECT?</w:t>
      </w:r>
    </w:p>
    <w:p w14:paraId="1F889208" w14:textId="77777777" w:rsidR="00CA10AA" w:rsidRDefault="00CA10AA" w:rsidP="00CA10AA">
      <w:pPr>
        <w:pStyle w:val="NoSpacing"/>
        <w:spacing w:line="360" w:lineRule="auto"/>
        <w:jc w:val="center"/>
        <w:rPr>
          <w:szCs w:val="18"/>
        </w:rPr>
      </w:pPr>
    </w:p>
    <w:p w14:paraId="5557049D" w14:textId="77777777" w:rsidR="00CA10AA" w:rsidRPr="00530D31" w:rsidRDefault="00CA10AA" w:rsidP="00CA10AA">
      <w:pPr>
        <w:pStyle w:val="NoSpacing"/>
        <w:spacing w:line="360" w:lineRule="auto"/>
        <w:rPr>
          <w:sz w:val="20"/>
        </w:rPr>
      </w:pPr>
    </w:p>
    <w:p w14:paraId="0658CE5C" w14:textId="77777777" w:rsidR="00CA10AA" w:rsidRDefault="00CA10AA" w:rsidP="00CA10AA">
      <w:pPr>
        <w:spacing w:line="360" w:lineRule="auto"/>
        <w:rPr>
          <w:rFonts w:ascii="Times New Roman" w:hAnsi="Times New Roman"/>
        </w:rPr>
      </w:pPr>
      <w:r w:rsidRPr="00EC4D72">
        <w:rPr>
          <w:rFonts w:ascii="Times New Roman" w:hAnsi="Times New Roman" w:cstheme="minorHAnsi"/>
        </w:rPr>
        <w:t>A family in reduced circumstances, consisting of a mother and two children, one severely disabled, moved onto a social housing estate. A group of teenagers, led by a neighbour’s children, played rough games of football near the family’s house, causing damage to the mother’s car. She asked them to stop. They responded with a campaign of abuse, more damage, spitting, indecent exposure and threats of stabbing. The mother successfully persuaded their landlord, a company to which the local authority’s housing functions had been outsourced, to evict the neighbour. But that only made matters worse. The neighbour was rehoused close by and the harassment and intimidation continued, including threats of violence, stalking, abuse and “</w:t>
      </w:r>
      <w:r w:rsidRPr="00EC4D72">
        <w:rPr>
          <w:rFonts w:ascii="Times New Roman" w:hAnsi="Times New Roman"/>
        </w:rPr>
        <w:t>bricks through windows, pets stolen, rabbits mutilated, grass put on people’s windows, tyres cut, tyres slashed” (</w:t>
      </w:r>
      <w:r>
        <w:rPr>
          <w:rFonts w:ascii="Times New Roman" w:hAnsi="Times New Roman"/>
        </w:rPr>
        <w:t xml:space="preserve">C. </w:t>
      </w:r>
      <w:r w:rsidRPr="00EC4D72">
        <w:rPr>
          <w:rFonts w:ascii="Times New Roman" w:hAnsi="Times New Roman"/>
        </w:rPr>
        <w:t xml:space="preserve">Hayden and </w:t>
      </w:r>
      <w:r>
        <w:rPr>
          <w:rFonts w:ascii="Times New Roman" w:hAnsi="Times New Roman"/>
        </w:rPr>
        <w:t xml:space="preserve">A. </w:t>
      </w:r>
      <w:r w:rsidRPr="00EC4D72">
        <w:rPr>
          <w:rFonts w:ascii="Times New Roman" w:hAnsi="Times New Roman"/>
        </w:rPr>
        <w:t>Nardone</w:t>
      </w:r>
      <w:r>
        <w:rPr>
          <w:rFonts w:ascii="Times New Roman" w:hAnsi="Times New Roman"/>
        </w:rPr>
        <w:t>, “Moving in to Social Housing and the Dynamics of Difference: ‘Neighbours from Hell’ with Nothing to Lose?”</w:t>
      </w:r>
      <w:r w:rsidRPr="00EC4D72">
        <w:rPr>
          <w:rFonts w:ascii="Times New Roman" w:hAnsi="Times New Roman"/>
        </w:rPr>
        <w:t xml:space="preserve"> [2012] </w:t>
      </w:r>
      <w:r w:rsidRPr="009B60DF">
        <w:rPr>
          <w:rFonts w:ascii="Times New Roman" w:hAnsi="Times New Roman"/>
        </w:rPr>
        <w:t>Internet Journal of Criminology</w:t>
      </w:r>
      <w:r>
        <w:rPr>
          <w:rFonts w:ascii="Times New Roman" w:hAnsi="Times New Roman"/>
        </w:rPr>
        <w:t>,</w:t>
      </w:r>
      <w:r w:rsidRPr="00EC4D72">
        <w:rPr>
          <w:rFonts w:ascii="Times New Roman" w:hAnsi="Times New Roman"/>
        </w:rPr>
        <w:t xml:space="preserve"> at 7). The pressure on the younger child was so great that he attempted suicide. The mother turned constantly to the authorities. The police did little. The landlord facilitated the installation of protective equipment around the house but refused to help the family move. The local authority social services department also failed to help. The mother went to the media. That at least prompted a Home Office investigation, which heavily criticised the police and local authority. The mother and children then brought an action against the local authority, alleging common law negligence. The action was struck out by the Master. The High Court (Slade J.) restored a part of the action relating to the children’s claim against the local authority as a social services authority (</w:t>
      </w:r>
      <w:r w:rsidRPr="00EC4D72">
        <w:rPr>
          <w:rFonts w:ascii="Times New Roman" w:hAnsi="Times New Roman"/>
          <w:i/>
        </w:rPr>
        <w:t>CN v Poole Borough Council</w:t>
      </w:r>
      <w:r w:rsidRPr="00EC4D72">
        <w:rPr>
          <w:rFonts w:ascii="Times New Roman" w:hAnsi="Times New Roman"/>
        </w:rPr>
        <w:t xml:space="preserve"> [2016] EWHC 569 (QB)). The Court of Appeal (Davis, King and Irwin LL.J.), restored the order of the Master ([2017] EWCA </w:t>
      </w:r>
      <w:proofErr w:type="spellStart"/>
      <w:r w:rsidRPr="00EC4D72">
        <w:rPr>
          <w:rFonts w:ascii="Times New Roman" w:hAnsi="Times New Roman"/>
        </w:rPr>
        <w:t>Civ</w:t>
      </w:r>
      <w:proofErr w:type="spellEnd"/>
      <w:r w:rsidRPr="00EC4D72">
        <w:rPr>
          <w:rFonts w:ascii="Times New Roman" w:hAnsi="Times New Roman"/>
        </w:rPr>
        <w:t xml:space="preserve"> 2185).</w:t>
      </w:r>
    </w:p>
    <w:p w14:paraId="17F1524D" w14:textId="77777777" w:rsidR="00CA10AA" w:rsidRPr="00EC4D72" w:rsidRDefault="00CA10AA" w:rsidP="00CA10AA">
      <w:pPr>
        <w:spacing w:line="360" w:lineRule="auto"/>
        <w:rPr>
          <w:rFonts w:ascii="Times New Roman" w:hAnsi="Times New Roman"/>
        </w:rPr>
      </w:pPr>
      <w:r>
        <w:rPr>
          <w:rFonts w:ascii="Times New Roman" w:hAnsi="Times New Roman"/>
        </w:rPr>
        <w:tab/>
      </w:r>
      <w:r w:rsidRPr="00EC4D72">
        <w:rPr>
          <w:rFonts w:ascii="Times New Roman" w:hAnsi="Times New Roman" w:cstheme="minorHAnsi"/>
        </w:rPr>
        <w:t>The claimants’ difficulty was that any civil action against the police was blocked by</w:t>
      </w:r>
      <w:r w:rsidRPr="00EC4D72">
        <w:rPr>
          <w:rFonts w:ascii="Times New Roman" w:hAnsi="Times New Roman" w:cstheme="minorHAnsi"/>
          <w:i/>
        </w:rPr>
        <w:t xml:space="preserve"> Michael v Chief Constable of South Wales Police </w:t>
      </w:r>
      <w:r>
        <w:rPr>
          <w:rFonts w:ascii="Times New Roman" w:hAnsi="Times New Roman" w:cstheme="minorHAnsi"/>
        </w:rPr>
        <w:t>[2015] UKSC 2,</w:t>
      </w:r>
      <w:r w:rsidRPr="00EC4D72">
        <w:rPr>
          <w:rFonts w:ascii="Times New Roman" w:hAnsi="Times New Roman" w:cstheme="minorHAnsi"/>
        </w:rPr>
        <w:t xml:space="preserve"> [2015] A.C. 1732 and against the landlord or the local authority in its guise as housing authority by </w:t>
      </w:r>
      <w:r w:rsidRPr="00EC4D72">
        <w:rPr>
          <w:rFonts w:ascii="Times New Roman" w:hAnsi="Times New Roman" w:cstheme="minorHAnsi"/>
          <w:i/>
        </w:rPr>
        <w:t>Mitchell v Glasgow CC</w:t>
      </w:r>
      <w:r>
        <w:rPr>
          <w:rFonts w:ascii="Times New Roman" w:hAnsi="Times New Roman" w:cstheme="minorHAnsi"/>
        </w:rPr>
        <w:t xml:space="preserve"> [2009] UKHL 11,</w:t>
      </w:r>
      <w:r w:rsidRPr="00EC4D72">
        <w:rPr>
          <w:rFonts w:ascii="Times New Roman" w:hAnsi="Times New Roman" w:cstheme="minorHAnsi"/>
        </w:rPr>
        <w:t xml:space="preserve"> [2009] 1 A.C. 874. They nevertheless persisted, on the theory that the local authority should have removed the children from the family home and taken them to a safe place, using its powers under </w:t>
      </w:r>
      <w:r w:rsidRPr="00EC4D72">
        <w:rPr>
          <w:rFonts w:ascii="Times New Roman" w:hAnsi="Times New Roman" w:cstheme="minorHAnsi"/>
        </w:rPr>
        <w:lastRenderedPageBreak/>
        <w:t xml:space="preserve">the Children Act 1989. The negligence action was legally possible, the claimants said, because of the Court of Appeal’s judgment in </w:t>
      </w:r>
      <w:r w:rsidRPr="00EC4D72">
        <w:rPr>
          <w:rFonts w:ascii="Times New Roman" w:hAnsi="Times New Roman" w:cstheme="minorHAnsi"/>
          <w:i/>
        </w:rPr>
        <w:t>D v East Berkshire Community NHS Trus</w:t>
      </w:r>
      <w:r w:rsidRPr="00EC4D72">
        <w:rPr>
          <w:rFonts w:ascii="Times New Roman" w:hAnsi="Times New Roman" w:cstheme="minorHAnsi"/>
        </w:rPr>
        <w:t xml:space="preserve">t [2003] EWCA </w:t>
      </w:r>
      <w:proofErr w:type="spellStart"/>
      <w:r w:rsidRPr="00EC4D72">
        <w:rPr>
          <w:rFonts w:ascii="Times New Roman" w:hAnsi="Times New Roman" w:cstheme="minorHAnsi"/>
        </w:rPr>
        <w:t>Civ</w:t>
      </w:r>
      <w:proofErr w:type="spellEnd"/>
      <w:r>
        <w:rPr>
          <w:rFonts w:ascii="Times New Roman" w:hAnsi="Times New Roman" w:cstheme="minorHAnsi"/>
        </w:rPr>
        <w:t xml:space="preserve"> 1151,</w:t>
      </w:r>
      <w:r w:rsidRPr="00EC4D72">
        <w:rPr>
          <w:rFonts w:ascii="Times New Roman" w:hAnsi="Times New Roman" w:cstheme="minorHAnsi"/>
        </w:rPr>
        <w:t xml:space="preserve"> [2004] Q.B. 558, in which a social services authority was held to be in principle liable in negligence for wrongly removing children from their parents</w:t>
      </w:r>
      <w:r w:rsidR="008A028A">
        <w:rPr>
          <w:rFonts w:ascii="Times New Roman" w:hAnsi="Times New Roman" w:cstheme="minorHAnsi"/>
        </w:rPr>
        <w:t xml:space="preserve"> (a point not discussed in the subsequent appeal to the House of Lords </w:t>
      </w:r>
      <w:r w:rsidR="008A028A" w:rsidRPr="008A028A">
        <w:rPr>
          <w:rFonts w:ascii="Times New Roman" w:hAnsi="Times New Roman" w:cstheme="minorHAnsi"/>
        </w:rPr>
        <w:t>[</w:t>
      </w:r>
      <w:r w:rsidR="008A028A">
        <w:rPr>
          <w:rFonts w:ascii="Times New Roman" w:hAnsi="Times New Roman" w:cstheme="minorHAnsi"/>
        </w:rPr>
        <w:t>(</w:t>
      </w:r>
      <w:r w:rsidR="008A028A" w:rsidRPr="008A028A">
        <w:rPr>
          <w:rFonts w:ascii="Times New Roman" w:hAnsi="Times New Roman" w:cstheme="minorHAnsi"/>
        </w:rPr>
        <w:t>2005] UKHL 23; [2005] 2 A.C. 373</w:t>
      </w:r>
      <w:r w:rsidR="008A028A">
        <w:rPr>
          <w:rFonts w:ascii="Times New Roman" w:hAnsi="Times New Roman" w:cstheme="minorHAnsi"/>
        </w:rPr>
        <w:t>) on the different issue of liability to the parents</w:t>
      </w:r>
      <w:r w:rsidRPr="00EC4D72">
        <w:rPr>
          <w:rFonts w:ascii="Times New Roman" w:hAnsi="Times New Roman" w:cstheme="minorHAnsi"/>
        </w:rPr>
        <w:t xml:space="preserve">. The Court of Appeal in </w:t>
      </w:r>
      <w:r w:rsidRPr="00EC4D72">
        <w:rPr>
          <w:rFonts w:ascii="Times New Roman" w:hAnsi="Times New Roman" w:cstheme="minorHAnsi"/>
          <w:i/>
        </w:rPr>
        <w:t xml:space="preserve">D </w:t>
      </w:r>
      <w:r w:rsidRPr="00EC4D72">
        <w:rPr>
          <w:rFonts w:ascii="Times New Roman" w:hAnsi="Times New Roman" w:cstheme="minorHAnsi"/>
        </w:rPr>
        <w:t xml:space="preserve">had declared the restrictive House of Lords decision in </w:t>
      </w:r>
      <w:r w:rsidRPr="00EC4D72">
        <w:rPr>
          <w:rFonts w:ascii="Times New Roman" w:hAnsi="Times New Roman" w:cstheme="minorHAnsi"/>
          <w:i/>
        </w:rPr>
        <w:t>X (Minors) v Bedfordshire CC</w:t>
      </w:r>
      <w:r w:rsidRPr="00EC4D72">
        <w:rPr>
          <w:rFonts w:ascii="Times New Roman" w:hAnsi="Times New Roman" w:cstheme="minorHAnsi"/>
        </w:rPr>
        <w:t xml:space="preserve"> [1995] 2 A.C. 633 to have been superseded by the Human Rights Act 1998. The claimants said that </w:t>
      </w:r>
      <w:r w:rsidRPr="00EC4D72">
        <w:rPr>
          <w:rFonts w:ascii="Times New Roman" w:hAnsi="Times New Roman" w:cstheme="minorHAnsi"/>
          <w:i/>
        </w:rPr>
        <w:t>D</w:t>
      </w:r>
      <w:r w:rsidRPr="00EC4D72">
        <w:rPr>
          <w:rFonts w:ascii="Times New Roman" w:hAnsi="Times New Roman" w:cstheme="minorHAnsi"/>
        </w:rPr>
        <w:t xml:space="preserve"> still bound the Court of Appeal. The local authority retorted, and the Court of Appeal agreed, that </w:t>
      </w:r>
      <w:r w:rsidRPr="00EC4D72">
        <w:rPr>
          <w:rFonts w:ascii="Times New Roman" w:hAnsi="Times New Roman" w:cstheme="minorHAnsi"/>
          <w:i/>
        </w:rPr>
        <w:t>D</w:t>
      </w:r>
      <w:r w:rsidRPr="00EC4D72">
        <w:rPr>
          <w:rFonts w:ascii="Times New Roman" w:hAnsi="Times New Roman" w:cstheme="minorHAnsi"/>
        </w:rPr>
        <w:t xml:space="preserve"> was incompatible with subsequent House of Lords and Supreme Court authority, especially </w:t>
      </w:r>
      <w:r w:rsidRPr="00EC4D72">
        <w:rPr>
          <w:rFonts w:ascii="Times New Roman" w:hAnsi="Times New Roman" w:cstheme="minorHAnsi"/>
          <w:i/>
        </w:rPr>
        <w:t>Mitchell</w:t>
      </w:r>
      <w:r w:rsidRPr="00EC4D72">
        <w:rPr>
          <w:rFonts w:ascii="Times New Roman" w:hAnsi="Times New Roman" w:cstheme="minorHAnsi"/>
        </w:rPr>
        <w:t xml:space="preserve"> and </w:t>
      </w:r>
      <w:r w:rsidRPr="00EC4D72">
        <w:rPr>
          <w:rFonts w:ascii="Times New Roman" w:hAnsi="Times New Roman" w:cstheme="minorHAnsi"/>
          <w:i/>
        </w:rPr>
        <w:t>Michael</w:t>
      </w:r>
      <w:r w:rsidRPr="00EC4D72">
        <w:rPr>
          <w:rFonts w:ascii="Times New Roman" w:hAnsi="Times New Roman" w:cstheme="minorHAnsi"/>
        </w:rPr>
        <w:t xml:space="preserve">. </w:t>
      </w:r>
    </w:p>
    <w:p w14:paraId="1FEF1443" w14:textId="77777777" w:rsidR="00CA10AA" w:rsidRPr="00EC4D72" w:rsidRDefault="00CA10AA" w:rsidP="00CA10AA">
      <w:pPr>
        <w:spacing w:line="360" w:lineRule="auto"/>
        <w:rPr>
          <w:rFonts w:ascii="Times New Roman" w:hAnsi="Times New Roman" w:cstheme="minorHAnsi"/>
        </w:rPr>
      </w:pPr>
      <w:r>
        <w:rPr>
          <w:rFonts w:ascii="Times New Roman" w:hAnsi="Times New Roman" w:cstheme="minorHAnsi"/>
        </w:rPr>
        <w:tab/>
      </w:r>
      <w:r w:rsidRPr="00EC4D72">
        <w:rPr>
          <w:rFonts w:ascii="Times New Roman" w:hAnsi="Times New Roman" w:cstheme="minorHAnsi"/>
        </w:rPr>
        <w:t>As a strike out case, factual issues were strictly irrelevant, including whether attempting to use the Children Act powers would have worked, whether, given that using them implied separating children from their mother, not using them was unreasonable, or whether liability in negligence wo</w:t>
      </w:r>
      <w:r>
        <w:rPr>
          <w:rFonts w:ascii="Times New Roman" w:hAnsi="Times New Roman" w:cstheme="minorHAnsi"/>
        </w:rPr>
        <w:t>uld make social workers unduly “defensive” in their work or would “</w:t>
      </w:r>
      <w:r w:rsidRPr="00EC4D72">
        <w:rPr>
          <w:rFonts w:ascii="Times New Roman" w:hAnsi="Times New Roman" w:cstheme="minorHAnsi"/>
        </w:rPr>
        <w:t xml:space="preserve">complicate decision-making in </w:t>
      </w:r>
      <w:r>
        <w:rPr>
          <w:rFonts w:ascii="Times New Roman" w:hAnsi="Times New Roman" w:cstheme="minorHAnsi"/>
        </w:rPr>
        <w:t>a difficult and sensitive field”</w:t>
      </w:r>
      <w:r w:rsidR="008A028A">
        <w:rPr>
          <w:rFonts w:ascii="Times New Roman" w:hAnsi="Times New Roman" w:cstheme="minorHAnsi"/>
        </w:rPr>
        <w:t xml:space="preserve"> (at [94])</w:t>
      </w:r>
      <w:r w:rsidRPr="00EC4D72">
        <w:rPr>
          <w:rFonts w:ascii="Times New Roman" w:hAnsi="Times New Roman" w:cstheme="minorHAnsi"/>
        </w:rPr>
        <w:t xml:space="preserve">. The judges, however, could not help referring to them (see Irwin L.J. at [94], King L.J. at [110-113] and Davis L.J. at [116-118]), just as they could not help conflating issues of duty and breach (see </w:t>
      </w:r>
      <w:r>
        <w:rPr>
          <w:rFonts w:ascii="Times New Roman" w:hAnsi="Times New Roman" w:cstheme="minorHAnsi"/>
        </w:rPr>
        <w:t xml:space="preserve">D. </w:t>
      </w:r>
      <w:r w:rsidRPr="00EC4D72">
        <w:rPr>
          <w:rFonts w:ascii="Times New Roman" w:hAnsi="Times New Roman" w:cstheme="minorHAnsi"/>
        </w:rPr>
        <w:t>Howarth</w:t>
      </w:r>
      <w:r w:rsidR="002D47EF">
        <w:rPr>
          <w:rFonts w:ascii="Times New Roman" w:hAnsi="Times New Roman" w:cstheme="minorHAnsi"/>
        </w:rPr>
        <w:t xml:space="preserve">, “Negligence after </w:t>
      </w:r>
      <w:r w:rsidR="002D47EF" w:rsidRPr="003025C0">
        <w:rPr>
          <w:rFonts w:ascii="Times New Roman" w:hAnsi="Times New Roman" w:cstheme="minorHAnsi"/>
          <w:i/>
        </w:rPr>
        <w:t>Murphy:</w:t>
      </w:r>
      <w:r w:rsidR="002D47EF">
        <w:rPr>
          <w:rFonts w:ascii="Times New Roman" w:hAnsi="Times New Roman" w:cstheme="minorHAnsi"/>
        </w:rPr>
        <w:t xml:space="preserve"> Time to re-think”</w:t>
      </w:r>
      <w:r w:rsidRPr="00EC4D72">
        <w:rPr>
          <w:rFonts w:ascii="Times New Roman" w:hAnsi="Times New Roman" w:cstheme="minorHAnsi"/>
        </w:rPr>
        <w:t xml:space="preserve"> [1991] C.L.J. 58, 72-81). The strict issue was legal. Has the highest court definitively held that no action in negligence is possible against a social services department for failing to exercise its powers to protect a child from injury inflicted by a third party? </w:t>
      </w:r>
    </w:p>
    <w:p w14:paraId="31E92256" w14:textId="77777777" w:rsidR="00CA10AA" w:rsidRPr="00EC4D72" w:rsidRDefault="00CA10AA" w:rsidP="00CA10AA">
      <w:pPr>
        <w:spacing w:line="360" w:lineRule="auto"/>
        <w:rPr>
          <w:rFonts w:ascii="Times New Roman" w:hAnsi="Times New Roman" w:cstheme="minorHAnsi"/>
        </w:rPr>
      </w:pPr>
      <w:r>
        <w:rPr>
          <w:rFonts w:ascii="Times New Roman" w:hAnsi="Times New Roman" w:cstheme="minorHAnsi"/>
        </w:rPr>
        <w:tab/>
      </w:r>
      <w:r w:rsidRPr="00EC4D72">
        <w:rPr>
          <w:rFonts w:ascii="Times New Roman" w:hAnsi="Times New Roman" w:cstheme="minorHAnsi"/>
        </w:rPr>
        <w:t xml:space="preserve">The argument that </w:t>
      </w:r>
      <w:r w:rsidRPr="00EC4D72">
        <w:rPr>
          <w:rFonts w:ascii="Times New Roman" w:hAnsi="Times New Roman" w:cstheme="minorHAnsi"/>
          <w:i/>
        </w:rPr>
        <w:t>Mitchell</w:t>
      </w:r>
      <w:r w:rsidRPr="00EC4D72">
        <w:rPr>
          <w:rFonts w:ascii="Times New Roman" w:hAnsi="Times New Roman" w:cstheme="minorHAnsi"/>
        </w:rPr>
        <w:t xml:space="preserve"> and </w:t>
      </w:r>
      <w:r w:rsidRPr="00EC4D72">
        <w:rPr>
          <w:rFonts w:ascii="Times New Roman" w:hAnsi="Times New Roman" w:cstheme="minorHAnsi"/>
          <w:i/>
        </w:rPr>
        <w:t>Michael</w:t>
      </w:r>
      <w:r w:rsidRPr="00EC4D72">
        <w:rPr>
          <w:rFonts w:ascii="Times New Roman" w:hAnsi="Times New Roman" w:cstheme="minorHAnsi"/>
        </w:rPr>
        <w:t xml:space="preserve"> do rule out actions against social services departments is that they establish a rule that goes beyond the particular circumstances of housing authorities and the police, a rule that public authorities can only be liable in negligence when private individuals could be liable. That means, for example, that public authorities cannot be liable for pure omissions, including failures to warn of dangers (</w:t>
      </w:r>
      <w:r w:rsidRPr="00EC4D72">
        <w:rPr>
          <w:rFonts w:ascii="Times New Roman" w:hAnsi="Times New Roman" w:cstheme="minorHAnsi"/>
          <w:i/>
        </w:rPr>
        <w:t>Mitchell</w:t>
      </w:r>
      <w:r w:rsidRPr="00EC4D72">
        <w:rPr>
          <w:rFonts w:ascii="Times New Roman" w:hAnsi="Times New Roman" w:cstheme="minorHAnsi"/>
        </w:rPr>
        <w:t>) and failures to rescue or protect people from third party wrongdoers (</w:t>
      </w:r>
      <w:r w:rsidRPr="00EC4D72">
        <w:rPr>
          <w:rFonts w:ascii="Times New Roman" w:hAnsi="Times New Roman" w:cstheme="minorHAnsi"/>
          <w:i/>
        </w:rPr>
        <w:t>Michael</w:t>
      </w:r>
      <w:r w:rsidRPr="00EC4D72">
        <w:rPr>
          <w:rFonts w:ascii="Times New Roman" w:hAnsi="Times New Roman" w:cstheme="minorHAnsi"/>
        </w:rPr>
        <w:t xml:space="preserve">), unless the established exceptions apply, namely where the defendant had control over the third party or where the defendant had assumed a responsibility to safeguard the claimant. </w:t>
      </w:r>
    </w:p>
    <w:p w14:paraId="57D70878" w14:textId="77777777" w:rsidR="00CA10AA" w:rsidRPr="00EC4D72" w:rsidRDefault="00CA10AA" w:rsidP="00CA10AA">
      <w:pPr>
        <w:spacing w:line="360" w:lineRule="auto"/>
        <w:rPr>
          <w:rFonts w:ascii="Times New Roman" w:hAnsi="Times New Roman" w:cstheme="minorHAnsi"/>
        </w:rPr>
      </w:pPr>
      <w:r>
        <w:rPr>
          <w:rFonts w:ascii="Times New Roman" w:hAnsi="Times New Roman" w:cstheme="minorHAnsi"/>
        </w:rPr>
        <w:lastRenderedPageBreak/>
        <w:tab/>
      </w:r>
      <w:r w:rsidRPr="00EC4D72">
        <w:rPr>
          <w:rFonts w:ascii="Times New Roman" w:hAnsi="Times New Roman" w:cstheme="minorHAnsi"/>
        </w:rPr>
        <w:t xml:space="preserve">Judges have certainly referred to such a rule. In </w:t>
      </w:r>
      <w:r w:rsidRPr="00EC4D72">
        <w:rPr>
          <w:rFonts w:ascii="Times New Roman" w:hAnsi="Times New Roman" w:cstheme="minorHAnsi"/>
          <w:i/>
        </w:rPr>
        <w:t>Michael</w:t>
      </w:r>
      <w:r>
        <w:rPr>
          <w:rFonts w:ascii="Times New Roman" w:hAnsi="Times New Roman" w:cstheme="minorHAnsi"/>
        </w:rPr>
        <w:t>, for example, Lord Toulson</w:t>
      </w:r>
      <w:r w:rsidRPr="00EC4D72">
        <w:rPr>
          <w:rFonts w:ascii="Times New Roman" w:hAnsi="Times New Roman" w:cstheme="minorHAnsi"/>
        </w:rPr>
        <w:t xml:space="preserve"> said (at [101]</w:t>
      </w:r>
      <w:r>
        <w:rPr>
          <w:rFonts w:ascii="Times New Roman" w:hAnsi="Times New Roman" w:cstheme="minorHAnsi"/>
        </w:rPr>
        <w:t>) that “[t]</w:t>
      </w:r>
      <w:proofErr w:type="spellStart"/>
      <w:r w:rsidRPr="00EC4D72">
        <w:rPr>
          <w:rFonts w:ascii="Times New Roman" w:hAnsi="Times New Roman" w:cstheme="minorHAnsi"/>
        </w:rPr>
        <w:t>hese</w:t>
      </w:r>
      <w:proofErr w:type="spellEnd"/>
      <w:r w:rsidRPr="00EC4D72">
        <w:rPr>
          <w:rFonts w:ascii="Times New Roman" w:hAnsi="Times New Roman" w:cstheme="minorHAnsi"/>
        </w:rPr>
        <w:t xml:space="preserve"> general principles have been worked out for the most part in cases involving private litigants, but they are equally applicable where D is a public body</w:t>
      </w:r>
      <w:r>
        <w:rPr>
          <w:rFonts w:ascii="Times New Roman" w:hAnsi="Times New Roman" w:cstheme="minorHAnsi"/>
        </w:rPr>
        <w:t>”</w:t>
      </w:r>
      <w:r w:rsidRPr="00EC4D72">
        <w:rPr>
          <w:rFonts w:ascii="Times New Roman" w:hAnsi="Times New Roman" w:cstheme="minorHAnsi"/>
        </w:rPr>
        <w:t>.</w:t>
      </w:r>
      <w:r>
        <w:rPr>
          <w:rFonts w:ascii="Times New Roman" w:hAnsi="Times New Roman" w:cstheme="minorHAnsi"/>
        </w:rPr>
        <w:t xml:space="preserve"> The utility of this “equal applicability”</w:t>
      </w:r>
      <w:r w:rsidRPr="00EC4D72">
        <w:rPr>
          <w:rFonts w:ascii="Times New Roman" w:hAnsi="Times New Roman" w:cstheme="minorHAnsi"/>
        </w:rPr>
        <w:t xml:space="preserve"> rule is that it helps courts avoid saying that they are creating immunities to negligence and thus objections under Article 6 of the European C</w:t>
      </w:r>
      <w:r>
        <w:rPr>
          <w:rFonts w:ascii="Times New Roman" w:hAnsi="Times New Roman" w:cstheme="minorHAnsi"/>
        </w:rPr>
        <w:t>onvention on Human Rights. But “equal applicability”</w:t>
      </w:r>
      <w:r w:rsidRPr="00EC4D72">
        <w:rPr>
          <w:rFonts w:ascii="Times New Roman" w:hAnsi="Times New Roman" w:cstheme="minorHAnsi"/>
        </w:rPr>
        <w:t xml:space="preserve"> might be too simple an explanation of the cases. To see why, we need to return to the reasons for excluding negligence liability in cases of pure omissions. </w:t>
      </w:r>
    </w:p>
    <w:p w14:paraId="6F6CCB84" w14:textId="0140C5D8" w:rsidR="00CA10AA" w:rsidRPr="00EC4D72" w:rsidRDefault="00CA10AA" w:rsidP="00CA10AA">
      <w:pPr>
        <w:spacing w:line="360" w:lineRule="auto"/>
        <w:rPr>
          <w:rFonts w:ascii="Times New Roman" w:hAnsi="Times New Roman" w:cstheme="minorHAnsi"/>
        </w:rPr>
      </w:pPr>
      <w:r>
        <w:rPr>
          <w:rFonts w:ascii="Times New Roman" w:hAnsi="Times New Roman" w:cstheme="minorHAnsi"/>
        </w:rPr>
        <w:tab/>
      </w:r>
      <w:r w:rsidRPr="00EC4D72">
        <w:rPr>
          <w:rFonts w:ascii="Times New Roman" w:hAnsi="Times New Roman" w:cstheme="minorHAnsi"/>
        </w:rPr>
        <w:t>The principal reason is that liability for</w:t>
      </w:r>
      <w:r>
        <w:rPr>
          <w:rFonts w:ascii="Times New Roman" w:hAnsi="Times New Roman" w:cstheme="minorHAnsi"/>
        </w:rPr>
        <w:t xml:space="preserve"> pure omissions is oppressive. </w:t>
      </w:r>
      <w:r w:rsidR="00F345FE">
        <w:rPr>
          <w:rFonts w:ascii="Times New Roman" w:hAnsi="Times New Roman" w:cstheme="minorHAnsi"/>
        </w:rPr>
        <w:t xml:space="preserve">As </w:t>
      </w:r>
      <w:r w:rsidRPr="00EC4D72">
        <w:rPr>
          <w:rFonts w:ascii="Times New Roman" w:hAnsi="Times New Roman" w:cstheme="minorHAnsi"/>
        </w:rPr>
        <w:t>Lord Hoffmann</w:t>
      </w:r>
      <w:r w:rsidR="00F345FE">
        <w:rPr>
          <w:rFonts w:ascii="Times New Roman" w:hAnsi="Times New Roman" w:cstheme="minorHAnsi"/>
        </w:rPr>
        <w:t xml:space="preserve"> said</w:t>
      </w:r>
      <w:r w:rsidRPr="00EC4D72">
        <w:rPr>
          <w:rFonts w:ascii="Times New Roman" w:hAnsi="Times New Roman" w:cstheme="minorHAnsi"/>
        </w:rPr>
        <w:t xml:space="preserve"> in </w:t>
      </w:r>
      <w:r w:rsidRPr="00EC4D72">
        <w:rPr>
          <w:rFonts w:ascii="Times New Roman" w:hAnsi="Times New Roman" w:cstheme="minorHAnsi"/>
          <w:i/>
        </w:rPr>
        <w:t>Stovin v Wise</w:t>
      </w:r>
      <w:r w:rsidRPr="00EC4D72">
        <w:rPr>
          <w:rFonts w:ascii="Times New Roman" w:hAnsi="Times New Roman" w:cstheme="minorHAnsi"/>
        </w:rPr>
        <w:t xml:space="preserve"> [1996] A.C. 923</w:t>
      </w:r>
      <w:r w:rsidR="002D47EF">
        <w:rPr>
          <w:rFonts w:ascii="Times New Roman" w:hAnsi="Times New Roman" w:cstheme="minorHAnsi"/>
        </w:rPr>
        <w:t xml:space="preserve"> at 943</w:t>
      </w:r>
      <w:r w:rsidRPr="00EC4D72">
        <w:rPr>
          <w:rFonts w:ascii="Times New Roman" w:hAnsi="Times New Roman" w:cstheme="minorHAnsi"/>
        </w:rPr>
        <w:t xml:space="preserve">, </w:t>
      </w:r>
      <w:r w:rsidR="00F345FE">
        <w:rPr>
          <w:rFonts w:ascii="Times New Roman" w:hAnsi="Times New Roman" w:cstheme="minorHAnsi"/>
        </w:rPr>
        <w:t xml:space="preserve">in a passage </w:t>
      </w:r>
      <w:r w:rsidRPr="00EC4D72">
        <w:rPr>
          <w:rFonts w:ascii="Times New Roman" w:hAnsi="Times New Roman" w:cstheme="minorHAnsi"/>
        </w:rPr>
        <w:t xml:space="preserve">relied on in </w:t>
      </w:r>
      <w:r w:rsidRPr="00EC4D72">
        <w:rPr>
          <w:rFonts w:ascii="Times New Roman" w:hAnsi="Times New Roman" w:cstheme="minorHAnsi"/>
          <w:i/>
        </w:rPr>
        <w:t>CN</w:t>
      </w:r>
      <w:proofErr w:type="gramStart"/>
      <w:r>
        <w:rPr>
          <w:rFonts w:ascii="Times New Roman" w:hAnsi="Times New Roman" w:cstheme="minorHAnsi"/>
        </w:rPr>
        <w:t>)</w:t>
      </w:r>
      <w:r w:rsidR="00F345FE">
        <w:rPr>
          <w:rFonts w:ascii="Times New Roman" w:hAnsi="Times New Roman" w:cstheme="minorHAnsi"/>
        </w:rPr>
        <w:t>,</w:t>
      </w:r>
      <w:r w:rsidRPr="00EC4D72">
        <w:rPr>
          <w:rFonts w:ascii="Times New Roman" w:hAnsi="Times New Roman" w:cstheme="minorHAnsi"/>
        </w:rPr>
        <w:t xml:space="preserve"> </w:t>
      </w:r>
      <w:r>
        <w:rPr>
          <w:rFonts w:ascii="Times New Roman" w:hAnsi="Times New Roman" w:cstheme="minorHAnsi"/>
        </w:rPr>
        <w:t xml:space="preserve"> “</w:t>
      </w:r>
      <w:proofErr w:type="gramEnd"/>
      <w:r>
        <w:rPr>
          <w:rFonts w:ascii="Times New Roman" w:hAnsi="Times New Roman" w:cstheme="minorHAnsi"/>
        </w:rPr>
        <w:t>i</w:t>
      </w:r>
      <w:r w:rsidRPr="00EC4D72">
        <w:rPr>
          <w:rFonts w:ascii="Times New Roman" w:hAnsi="Times New Roman" w:cstheme="minorHAnsi"/>
        </w:rPr>
        <w:t>t is less of an invasion of an individual's freedom for the law to require him to consider the safety of others in his actions than to impose upon him a duty to rescue or protect</w:t>
      </w:r>
      <w:r>
        <w:rPr>
          <w:rFonts w:ascii="Times New Roman" w:hAnsi="Times New Roman" w:cstheme="minorHAnsi"/>
        </w:rPr>
        <w:t>”</w:t>
      </w:r>
      <w:r w:rsidRPr="00EC4D72">
        <w:rPr>
          <w:rFonts w:ascii="Times New Roman" w:hAnsi="Times New Roman" w:cstheme="minorHAnsi"/>
        </w:rPr>
        <w:t>.</w:t>
      </w:r>
      <w:r>
        <w:rPr>
          <w:rFonts w:ascii="Times New Roman" w:hAnsi="Times New Roman" w:cstheme="minorHAnsi"/>
        </w:rPr>
        <w:t xml:space="preserve"> </w:t>
      </w:r>
      <w:r w:rsidRPr="00EC4D72">
        <w:rPr>
          <w:rFonts w:ascii="Times New Roman" w:hAnsi="Times New Roman" w:cstheme="minorHAnsi"/>
        </w:rPr>
        <w:t>Lord Hoffmann bolstered this point of political philosophy with what he called a moral argument</w:t>
      </w:r>
      <w:r w:rsidR="002D47EF">
        <w:rPr>
          <w:rFonts w:ascii="Times New Roman" w:hAnsi="Times New Roman" w:cstheme="minorHAnsi"/>
        </w:rPr>
        <w:t xml:space="preserve"> (at 944)</w:t>
      </w:r>
      <w:r w:rsidRPr="00EC4D72">
        <w:rPr>
          <w:rFonts w:ascii="Times New Roman" w:hAnsi="Times New Roman" w:cstheme="minorHAnsi"/>
        </w:rPr>
        <w:t>:</w:t>
      </w:r>
    </w:p>
    <w:p w14:paraId="3BC884AF" w14:textId="77777777" w:rsidR="00CA10AA" w:rsidRPr="00EC4D72" w:rsidRDefault="00CA10AA" w:rsidP="00CA10AA">
      <w:pPr>
        <w:spacing w:line="360" w:lineRule="auto"/>
        <w:ind w:left="720"/>
        <w:rPr>
          <w:rFonts w:ascii="Times New Roman" w:hAnsi="Times New Roman" w:cstheme="minorHAnsi"/>
        </w:rPr>
      </w:pPr>
      <w:r w:rsidRPr="00EC4D72">
        <w:rPr>
          <w:rFonts w:ascii="Times New Roman" w:hAnsi="Times New Roman"/>
        </w:rPr>
        <w:t>A duty to prevent harm to others or to render assistance to a person in danger or distress may apply to a large and indeterminate class of people who happen to be able to do something. Why should one be held liable rather than another?</w:t>
      </w:r>
    </w:p>
    <w:p w14:paraId="1696FFA0" w14:textId="77777777" w:rsidR="00CA10AA" w:rsidRPr="00EC4D72" w:rsidRDefault="00CA10AA" w:rsidP="00CA10AA">
      <w:pPr>
        <w:spacing w:line="360" w:lineRule="auto"/>
        <w:rPr>
          <w:rFonts w:ascii="Times New Roman" w:hAnsi="Times New Roman" w:cstheme="minorHAnsi"/>
        </w:rPr>
      </w:pPr>
      <w:r w:rsidRPr="00EC4D72">
        <w:rPr>
          <w:rFonts w:ascii="Times New Roman" w:hAnsi="Times New Roman" w:cstheme="minorHAnsi"/>
        </w:rPr>
        <w:t>The problem is that these reasons do not necessarily apply to public authorities. The pure omission rule is designed to protect the individual from the state, not to protect the state from individuals. It is a rule against compulsory altruism and arbitrariness. But why should we be concerned about the “freedom” of a public body? And is not the reason for picking on a publicly funded body to carry out a rescue precisely that it has been funded to carry out rescues?</w:t>
      </w:r>
    </w:p>
    <w:p w14:paraId="39D94CA1" w14:textId="77777777" w:rsidR="00CA10AA" w:rsidRPr="00EC4D72" w:rsidRDefault="00CA10AA" w:rsidP="00CA10AA">
      <w:pPr>
        <w:spacing w:line="360" w:lineRule="auto"/>
        <w:rPr>
          <w:rFonts w:ascii="Times New Roman" w:hAnsi="Times New Roman" w:cstheme="minorHAnsi"/>
        </w:rPr>
      </w:pPr>
      <w:r>
        <w:rPr>
          <w:rFonts w:ascii="Times New Roman" w:hAnsi="Times New Roman" w:cstheme="minorHAnsi"/>
        </w:rPr>
        <w:tab/>
      </w:r>
      <w:r w:rsidRPr="00EC4D72">
        <w:rPr>
          <w:rFonts w:ascii="Times New Roman" w:hAnsi="Times New Roman" w:cstheme="minorHAnsi"/>
        </w:rPr>
        <w:t xml:space="preserve">The explanation for applying the pure omission rule to the state lies elsewhere: first, in the view that people should stand on their own two feet and not presume that they are entitled to assistance from the state; and, secondly, in the view that public authorities with limited budgets should not distort their priorities to reflect the risks of paying damages rather than meeting need. </w:t>
      </w:r>
      <w:r w:rsidRPr="00EC4D72">
        <w:rPr>
          <w:rFonts w:ascii="Times New Roman" w:hAnsi="Times New Roman" w:cstheme="minorHAnsi"/>
          <w:i/>
        </w:rPr>
        <w:t>Michael</w:t>
      </w:r>
      <w:r w:rsidRPr="00EC4D72">
        <w:rPr>
          <w:rFonts w:ascii="Times New Roman" w:hAnsi="Times New Roman" w:cstheme="minorHAnsi"/>
        </w:rPr>
        <w:t xml:space="preserve"> exemplifies both reasons. </w:t>
      </w:r>
      <w:r w:rsidRPr="00EC4D72">
        <w:rPr>
          <w:rFonts w:ascii="Times New Roman" w:hAnsi="Times New Roman" w:cstheme="minorHAnsi"/>
          <w:i/>
        </w:rPr>
        <w:t>Mitchell</w:t>
      </w:r>
      <w:r w:rsidRPr="00EC4D72">
        <w:rPr>
          <w:rFonts w:ascii="Times New Roman" w:hAnsi="Times New Roman" w:cstheme="minorHAnsi"/>
        </w:rPr>
        <w:t xml:space="preserve"> exemplifies at least the former. </w:t>
      </w:r>
    </w:p>
    <w:p w14:paraId="605D9C78" w14:textId="77777777" w:rsidR="00CA10AA" w:rsidRPr="00EC4D72" w:rsidRDefault="00CA10AA" w:rsidP="00CA10AA">
      <w:pPr>
        <w:spacing w:line="360" w:lineRule="auto"/>
        <w:rPr>
          <w:rFonts w:ascii="Times New Roman" w:hAnsi="Times New Roman" w:cstheme="minorHAnsi"/>
        </w:rPr>
      </w:pPr>
      <w:r>
        <w:rPr>
          <w:rFonts w:ascii="Times New Roman" w:hAnsi="Times New Roman" w:cstheme="minorHAnsi"/>
        </w:rPr>
        <w:tab/>
      </w:r>
      <w:r w:rsidRPr="00EC4D72">
        <w:rPr>
          <w:rFonts w:ascii="Times New Roman" w:hAnsi="Times New Roman" w:cstheme="minorHAnsi"/>
        </w:rPr>
        <w:t xml:space="preserve">But these two reasons are not applicable to all public authorities at all times. The first works for able-bodied adults with reasonable degrees of control over their own lives, but it does not work for people not in that position. The second works where the priorities implied by avoiding damages claims are different from those </w:t>
      </w:r>
      <w:r w:rsidRPr="00EC4D72">
        <w:rPr>
          <w:rFonts w:ascii="Times New Roman" w:hAnsi="Times New Roman" w:cstheme="minorHAnsi"/>
        </w:rPr>
        <w:lastRenderedPageBreak/>
        <w:t xml:space="preserve">implied by meeting needs but not where the priorities implied by allowing negligence actions reinforce those established by legislation. </w:t>
      </w:r>
    </w:p>
    <w:p w14:paraId="02489B96" w14:textId="77777777" w:rsidR="00CA10AA" w:rsidRPr="00EC4D72" w:rsidRDefault="00CA10AA" w:rsidP="00CA10AA">
      <w:pPr>
        <w:spacing w:line="360" w:lineRule="auto"/>
        <w:rPr>
          <w:rFonts w:ascii="Times New Roman" w:hAnsi="Times New Roman" w:cstheme="minorHAnsi"/>
        </w:rPr>
      </w:pPr>
      <w:r>
        <w:rPr>
          <w:rFonts w:ascii="Times New Roman" w:hAnsi="Times New Roman" w:cstheme="minorHAnsi"/>
        </w:rPr>
        <w:tab/>
      </w:r>
      <w:r w:rsidRPr="00EC4D72">
        <w:rPr>
          <w:rFonts w:ascii="Times New Roman" w:hAnsi="Times New Roman" w:cstheme="minorHAnsi"/>
        </w:rPr>
        <w:t xml:space="preserve">On the facts of </w:t>
      </w:r>
      <w:r w:rsidRPr="00EC4D72">
        <w:rPr>
          <w:rFonts w:ascii="Times New Roman" w:hAnsi="Times New Roman" w:cstheme="minorHAnsi"/>
          <w:i/>
        </w:rPr>
        <w:t>CN,</w:t>
      </w:r>
      <w:r w:rsidRPr="00EC4D72">
        <w:rPr>
          <w:rFonts w:ascii="Times New Roman" w:hAnsi="Times New Roman" w:cstheme="minorHAnsi"/>
        </w:rPr>
        <w:t xml:space="preserve"> the first reason plainly fails – the claimants were vulnerable children, one of them disabled. They cannot reasonably be told to look after themselves or not to look to the state for protection. On the second reason, the problem in police cases is that minimising damages implies putting more effort into investigations involving rich victims. That problem does not apply to social services cases, in which the victims are either children or poor. </w:t>
      </w:r>
    </w:p>
    <w:p w14:paraId="368583DD" w14:textId="7222B156" w:rsidR="00CA10AA" w:rsidRPr="00EC4D72" w:rsidRDefault="00CA10AA" w:rsidP="00CA10AA">
      <w:pPr>
        <w:spacing w:line="360" w:lineRule="auto"/>
        <w:rPr>
          <w:rFonts w:ascii="Times New Roman" w:hAnsi="Times New Roman" w:cstheme="minorHAnsi"/>
        </w:rPr>
      </w:pPr>
      <w:r>
        <w:rPr>
          <w:rFonts w:ascii="Times New Roman" w:hAnsi="Times New Roman" w:cstheme="minorHAnsi"/>
        </w:rPr>
        <w:tab/>
      </w:r>
      <w:r w:rsidRPr="00EC4D72">
        <w:rPr>
          <w:rFonts w:ascii="Times New Roman" w:hAnsi="Times New Roman" w:cstheme="minorHAnsi"/>
        </w:rPr>
        <w:t xml:space="preserve">The Court of Appeal pointed to two further reasons </w:t>
      </w:r>
      <w:r w:rsidR="00635E01">
        <w:rPr>
          <w:rFonts w:ascii="Times New Roman" w:hAnsi="Times New Roman" w:cstheme="minorHAnsi"/>
        </w:rPr>
        <w:t>for treating</w:t>
      </w:r>
      <w:r w:rsidR="00635E01" w:rsidRPr="00EC4D72">
        <w:rPr>
          <w:rFonts w:ascii="Times New Roman" w:hAnsi="Times New Roman" w:cstheme="minorHAnsi"/>
        </w:rPr>
        <w:t xml:space="preserve"> </w:t>
      </w:r>
      <w:proofErr w:type="gramStart"/>
      <w:r w:rsidRPr="00EC4D72">
        <w:rPr>
          <w:rFonts w:ascii="Times New Roman" w:hAnsi="Times New Roman" w:cstheme="minorHAnsi"/>
          <w:i/>
        </w:rPr>
        <w:t>D</w:t>
      </w:r>
      <w:r w:rsidRPr="00EC4D72">
        <w:rPr>
          <w:rFonts w:ascii="Times New Roman" w:hAnsi="Times New Roman" w:cstheme="minorHAnsi"/>
        </w:rPr>
        <w:t xml:space="preserve">  as</w:t>
      </w:r>
      <w:proofErr w:type="gramEnd"/>
      <w:r w:rsidRPr="00EC4D72">
        <w:rPr>
          <w:rFonts w:ascii="Times New Roman" w:hAnsi="Times New Roman" w:cstheme="minorHAnsi"/>
        </w:rPr>
        <w:t xml:space="preserve"> no longer good law. One was that, because of </w:t>
      </w:r>
      <w:r w:rsidRPr="00EC4D72">
        <w:rPr>
          <w:rFonts w:ascii="Times New Roman" w:hAnsi="Times New Roman" w:cstheme="minorHAnsi"/>
          <w:i/>
        </w:rPr>
        <w:t>Mitchell</w:t>
      </w:r>
      <w:r w:rsidRPr="00EC4D72">
        <w:rPr>
          <w:rFonts w:ascii="Times New Roman" w:hAnsi="Times New Roman" w:cstheme="minorHAnsi"/>
        </w:rPr>
        <w:t xml:space="preserve"> and </w:t>
      </w:r>
      <w:r w:rsidRPr="00EC4D72">
        <w:rPr>
          <w:rFonts w:ascii="Times New Roman" w:hAnsi="Times New Roman" w:cstheme="minorHAnsi"/>
          <w:i/>
        </w:rPr>
        <w:t>Michael</w:t>
      </w:r>
      <w:r w:rsidRPr="00EC4D72">
        <w:rPr>
          <w:rFonts w:ascii="Times New Roman" w:hAnsi="Times New Roman" w:cstheme="minorHAnsi"/>
        </w:rPr>
        <w:t xml:space="preserve">, social services departments no longer have recourse against landlords and the police even if they were more blameworthy. But it seems unfair on victims to delete their remaining cause of action just because other ones have been deleted. Another response is that if damages under the Human Rights Act turn out to be available, contribution would be possible if the defendants are “liable in respect of the same damage” under the Civil Liability (Contribution) Act 1978, s. 1, </w:t>
      </w:r>
      <w:r w:rsidR="00380CB9">
        <w:rPr>
          <w:rFonts w:ascii="Times New Roman" w:hAnsi="Times New Roman" w:cstheme="minorHAnsi"/>
        </w:rPr>
        <w:t xml:space="preserve">Thar itself </w:t>
      </w:r>
      <w:r w:rsidRPr="00EC4D72">
        <w:rPr>
          <w:rFonts w:ascii="Times New Roman" w:hAnsi="Times New Roman" w:cstheme="minorHAnsi"/>
        </w:rPr>
        <w:t>is</w:t>
      </w:r>
      <w:r w:rsidR="00380CB9">
        <w:rPr>
          <w:rFonts w:ascii="Times New Roman" w:hAnsi="Times New Roman" w:cstheme="minorHAnsi"/>
        </w:rPr>
        <w:t>, however,</w:t>
      </w:r>
      <w:r w:rsidRPr="00EC4D72">
        <w:rPr>
          <w:rFonts w:ascii="Times New Roman" w:hAnsi="Times New Roman" w:cstheme="minorHAnsi"/>
        </w:rPr>
        <w:t xml:space="preserve"> a potentially contestable point</w:t>
      </w:r>
      <w:r w:rsidR="006618C6">
        <w:rPr>
          <w:rFonts w:ascii="Times New Roman" w:hAnsi="Times New Roman" w:cstheme="minorHAnsi"/>
        </w:rPr>
        <w:t>, since</w:t>
      </w:r>
      <w:r w:rsidR="00331AC1">
        <w:rPr>
          <w:rFonts w:ascii="Times New Roman" w:hAnsi="Times New Roman" w:cstheme="minorHAnsi"/>
        </w:rPr>
        <w:t xml:space="preserve"> courts have said that the purpose of compensation under the Human Rights Act is different from that in tort (e.g. </w:t>
      </w:r>
      <w:r w:rsidR="00331AC1" w:rsidRPr="003025C0">
        <w:rPr>
          <w:rFonts w:ascii="Times New Roman" w:hAnsi="Times New Roman" w:cstheme="minorHAnsi"/>
          <w:i/>
        </w:rPr>
        <w:t>Van Colle  v Chief Constable of Hertfordshire Police</w:t>
      </w:r>
      <w:r w:rsidR="00331AC1">
        <w:rPr>
          <w:rFonts w:ascii="Times New Roman" w:hAnsi="Times New Roman" w:cstheme="minorHAnsi"/>
        </w:rPr>
        <w:t xml:space="preserve"> [2008] UKHL 50;</w:t>
      </w:r>
      <w:r w:rsidR="00331AC1" w:rsidRPr="00331AC1">
        <w:rPr>
          <w:rFonts w:ascii="Times New Roman" w:hAnsi="Times New Roman" w:cstheme="minorHAnsi"/>
        </w:rPr>
        <w:t xml:space="preserve"> [2009] AC 225</w:t>
      </w:r>
      <w:r w:rsidR="00331AC1">
        <w:rPr>
          <w:rFonts w:ascii="Times New Roman" w:hAnsi="Times New Roman" w:cstheme="minorHAnsi"/>
        </w:rPr>
        <w:t xml:space="preserve"> at [</w:t>
      </w:r>
      <w:r w:rsidR="00331AC1" w:rsidRPr="00331AC1">
        <w:rPr>
          <w:rFonts w:ascii="Times New Roman" w:hAnsi="Times New Roman" w:cstheme="minorHAnsi"/>
        </w:rPr>
        <w:t>138</w:t>
      </w:r>
      <w:r w:rsidR="00331AC1">
        <w:rPr>
          <w:rFonts w:ascii="Times New Roman" w:hAnsi="Times New Roman" w:cstheme="minorHAnsi"/>
        </w:rPr>
        <w:t xml:space="preserve">])and it is uncertain how </w:t>
      </w:r>
      <w:r w:rsidR="00380CB9">
        <w:rPr>
          <w:rFonts w:ascii="Times New Roman" w:hAnsi="Times New Roman" w:cstheme="minorHAnsi"/>
        </w:rPr>
        <w:t xml:space="preserve">in the light of such comments </w:t>
      </w:r>
      <w:r w:rsidR="00FC12D7">
        <w:rPr>
          <w:rFonts w:ascii="Times New Roman" w:hAnsi="Times New Roman" w:cstheme="minorHAnsi"/>
        </w:rPr>
        <w:t>judges</w:t>
      </w:r>
      <w:r w:rsidR="00331AC1">
        <w:rPr>
          <w:rFonts w:ascii="Times New Roman" w:hAnsi="Times New Roman" w:cstheme="minorHAnsi"/>
        </w:rPr>
        <w:t xml:space="preserve"> would apply the leading case on the meaning of “same damage”, </w:t>
      </w:r>
      <w:r w:rsidR="00331AC1" w:rsidRPr="003025C0">
        <w:rPr>
          <w:rFonts w:ascii="Times New Roman" w:hAnsi="Times New Roman" w:cstheme="minorHAnsi"/>
          <w:i/>
        </w:rPr>
        <w:t>Royal Brompton Hospital NHS Trust v Hammond (No.3)</w:t>
      </w:r>
      <w:r w:rsidR="00331AC1">
        <w:rPr>
          <w:rFonts w:ascii="Times New Roman" w:hAnsi="Times New Roman" w:cstheme="minorHAnsi"/>
        </w:rPr>
        <w:t xml:space="preserve"> </w:t>
      </w:r>
      <w:r w:rsidR="00331AC1" w:rsidRPr="00331AC1">
        <w:rPr>
          <w:rFonts w:ascii="Times New Roman" w:hAnsi="Times New Roman" w:cstheme="minorHAnsi"/>
        </w:rPr>
        <w:t>[2002] UKHL 14</w:t>
      </w:r>
      <w:r w:rsidR="00331AC1">
        <w:rPr>
          <w:rFonts w:ascii="Times New Roman" w:hAnsi="Times New Roman" w:cstheme="minorHAnsi"/>
        </w:rPr>
        <w:t xml:space="preserve">,  which </w:t>
      </w:r>
      <w:r w:rsidR="00380CB9">
        <w:rPr>
          <w:rFonts w:ascii="Times New Roman" w:hAnsi="Times New Roman" w:cstheme="minorHAnsi"/>
        </w:rPr>
        <w:t xml:space="preserve"> says, </w:t>
      </w:r>
      <w:r w:rsidR="00FC12D7">
        <w:rPr>
          <w:rFonts w:ascii="Times New Roman" w:hAnsi="Times New Roman" w:cstheme="minorHAnsi"/>
        </w:rPr>
        <w:t xml:space="preserve">perhaps </w:t>
      </w:r>
      <w:r w:rsidR="00380CB9">
        <w:rPr>
          <w:rFonts w:ascii="Times New Roman" w:hAnsi="Times New Roman" w:cstheme="minorHAnsi"/>
        </w:rPr>
        <w:t>unhelpfully, that the words are to be taken without “glosses” and in their “natural and ordinary meaning” (Lord Steyn at [27]).</w:t>
      </w:r>
    </w:p>
    <w:p w14:paraId="3B207BDF" w14:textId="77777777" w:rsidR="00CA10AA" w:rsidRPr="00EC4D72" w:rsidRDefault="00CA10AA" w:rsidP="00CA10AA">
      <w:pPr>
        <w:spacing w:line="360" w:lineRule="auto"/>
        <w:rPr>
          <w:rFonts w:ascii="Times New Roman" w:hAnsi="Times New Roman" w:cstheme="minorHAnsi"/>
        </w:rPr>
      </w:pPr>
      <w:r>
        <w:rPr>
          <w:rFonts w:ascii="Times New Roman" w:hAnsi="Times New Roman" w:cstheme="minorHAnsi"/>
        </w:rPr>
        <w:tab/>
      </w:r>
      <w:r w:rsidRPr="00EC4D72">
        <w:rPr>
          <w:rFonts w:ascii="Times New Roman" w:hAnsi="Times New Roman" w:cstheme="minorHAnsi"/>
        </w:rPr>
        <w:t xml:space="preserve">The second reason was that </w:t>
      </w:r>
      <w:r w:rsidRPr="00EC4D72">
        <w:rPr>
          <w:rFonts w:ascii="Times New Roman" w:hAnsi="Times New Roman" w:cstheme="minorHAnsi"/>
          <w:i/>
        </w:rPr>
        <w:t>D</w:t>
      </w:r>
      <w:r w:rsidRPr="00EC4D72">
        <w:rPr>
          <w:rFonts w:ascii="Times New Roman" w:hAnsi="Times New Roman" w:cstheme="minorHAnsi"/>
        </w:rPr>
        <w:t xml:space="preserve"> was decided when courts still thought that negligence should bend to the Human Rights Act. Subsequently, most notably in </w:t>
      </w:r>
      <w:r w:rsidRPr="00EC4D72">
        <w:rPr>
          <w:rFonts w:ascii="Times New Roman" w:hAnsi="Times New Roman" w:cstheme="minorHAnsi"/>
          <w:i/>
        </w:rPr>
        <w:t>Commissioner of Police for the Metropolis v DSD</w:t>
      </w:r>
      <w:r w:rsidRPr="00EC4D72">
        <w:rPr>
          <w:rFonts w:ascii="Times New Roman" w:hAnsi="Times New Roman" w:cstheme="minorHAnsi"/>
        </w:rPr>
        <w:t xml:space="preserve"> [2018] UKSC 11</w:t>
      </w:r>
      <w:r>
        <w:rPr>
          <w:rFonts w:ascii="Times New Roman" w:hAnsi="Times New Roman" w:cstheme="minorHAnsi"/>
        </w:rPr>
        <w:t>, [2018] 2 W.L.R. 895 (noted above)</w:t>
      </w:r>
      <w:r w:rsidRPr="00EC4D72">
        <w:rPr>
          <w:rFonts w:ascii="Times New Roman" w:hAnsi="Times New Roman" w:cstheme="minorHAnsi"/>
        </w:rPr>
        <w:t>, the Supreme Court has decided that negligence and human rights need not be consonant. But consonance being unnecessary does not entail that consonance is banned. Indeed, contrary to the idea that only one remedy should exist for each right, overlap can be helpful to ensure that meritorious cases do not slip through the gaps.</w:t>
      </w:r>
    </w:p>
    <w:p w14:paraId="408B003E" w14:textId="37FA2A73" w:rsidR="00B75240" w:rsidRPr="003025C0" w:rsidRDefault="00CA10AA" w:rsidP="003025C0">
      <w:pPr>
        <w:spacing w:line="360" w:lineRule="auto"/>
        <w:jc w:val="right"/>
        <w:rPr>
          <w:rFonts w:ascii="Times New Roman" w:hAnsi="Times New Roman"/>
          <w:sz w:val="20"/>
        </w:rPr>
      </w:pPr>
      <w:r>
        <w:rPr>
          <w:rFonts w:ascii="Times New Roman" w:hAnsi="Times New Roman"/>
          <w:sz w:val="20"/>
        </w:rPr>
        <w:t>DAVID HOWARTH</w:t>
      </w:r>
    </w:p>
    <w:sectPr w:rsidR="00B75240" w:rsidRPr="003025C0" w:rsidSect="00B7524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AA"/>
    <w:rsid w:val="001B46A8"/>
    <w:rsid w:val="002115A7"/>
    <w:rsid w:val="002B4082"/>
    <w:rsid w:val="002D47EF"/>
    <w:rsid w:val="003025C0"/>
    <w:rsid w:val="00331AC1"/>
    <w:rsid w:val="00380CB9"/>
    <w:rsid w:val="003D5B9A"/>
    <w:rsid w:val="0052492B"/>
    <w:rsid w:val="00635E01"/>
    <w:rsid w:val="006618C6"/>
    <w:rsid w:val="008A028A"/>
    <w:rsid w:val="009C261A"/>
    <w:rsid w:val="00C71C5F"/>
    <w:rsid w:val="00CA10AA"/>
    <w:rsid w:val="00D713BC"/>
    <w:rsid w:val="00ED7290"/>
    <w:rsid w:val="00F345FE"/>
    <w:rsid w:val="00FC12D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C144BE"/>
  <w15:docId w15:val="{985DD7D6-3285-4570-A418-0D725000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0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10AA"/>
    <w:rPr>
      <w:sz w:val="16"/>
      <w:szCs w:val="16"/>
    </w:rPr>
  </w:style>
  <w:style w:type="paragraph" w:styleId="CommentText">
    <w:name w:val="annotation text"/>
    <w:basedOn w:val="Normal"/>
    <w:link w:val="CommentTextChar"/>
    <w:uiPriority w:val="99"/>
    <w:unhideWhenUsed/>
    <w:rsid w:val="00CA10AA"/>
    <w:pPr>
      <w:spacing w:after="160"/>
    </w:pPr>
    <w:rPr>
      <w:rFonts w:ascii="Verdana" w:hAnsi="Verdana"/>
      <w:sz w:val="20"/>
      <w:szCs w:val="20"/>
      <w:lang w:val="en-NZ"/>
    </w:rPr>
  </w:style>
  <w:style w:type="character" w:customStyle="1" w:styleId="CommentTextChar">
    <w:name w:val="Comment Text Char"/>
    <w:basedOn w:val="DefaultParagraphFont"/>
    <w:link w:val="CommentText"/>
    <w:uiPriority w:val="99"/>
    <w:rsid w:val="00CA10AA"/>
    <w:rPr>
      <w:rFonts w:ascii="Verdana" w:hAnsi="Verdana"/>
      <w:lang w:val="en-NZ"/>
    </w:rPr>
  </w:style>
  <w:style w:type="paragraph" w:styleId="NoSpacing">
    <w:name w:val="No Spacing"/>
    <w:uiPriority w:val="1"/>
    <w:qFormat/>
    <w:rsid w:val="00CA10AA"/>
    <w:rPr>
      <w:rFonts w:ascii="Times New Roman" w:eastAsia="PMingLiU" w:hAnsi="Times New Roman" w:cs="Times New Roman"/>
      <w:sz w:val="24"/>
      <w:szCs w:val="24"/>
      <w:lang w:val="en-CA" w:eastAsia="zh-TW"/>
    </w:rPr>
  </w:style>
  <w:style w:type="paragraph" w:styleId="BalloonText">
    <w:name w:val="Balloon Text"/>
    <w:basedOn w:val="Normal"/>
    <w:link w:val="BalloonTextChar"/>
    <w:uiPriority w:val="99"/>
    <w:semiHidden/>
    <w:unhideWhenUsed/>
    <w:rsid w:val="00CA1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0A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A028A"/>
    <w:pPr>
      <w:spacing w:after="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8A028A"/>
    <w:rPr>
      <w:rFonts w:ascii="Verdana" w:hAnsi="Verdana"/>
      <w:b/>
      <w:bCs/>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49B7CB9-6309-4685-9C06-0493C8BA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Allison</dc:creator>
  <cp:keywords/>
  <cp:lastModifiedBy>David Howarth</cp:lastModifiedBy>
  <cp:revision>3</cp:revision>
  <dcterms:created xsi:type="dcterms:W3CDTF">2018-06-23T08:01:00Z</dcterms:created>
  <dcterms:modified xsi:type="dcterms:W3CDTF">2018-06-23T08:03:00Z</dcterms:modified>
</cp:coreProperties>
</file>