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CA0A9" w14:textId="77777777" w:rsidR="005B6F5C" w:rsidRPr="00BF2D75" w:rsidRDefault="005B6F5C" w:rsidP="005B6F5C">
      <w:pPr>
        <w:spacing w:line="480" w:lineRule="auto"/>
        <w:outlineLvl w:val="0"/>
        <w:rPr>
          <w:b/>
          <w:color w:val="000000" w:themeColor="text1"/>
        </w:rPr>
      </w:pPr>
      <w:r w:rsidRPr="00BF2D75">
        <w:rPr>
          <w:b/>
          <w:color w:val="000000" w:themeColor="text1"/>
        </w:rPr>
        <w:t>Supplemental Materials and Methods:</w:t>
      </w:r>
    </w:p>
    <w:p w14:paraId="6A9C2C7D" w14:textId="6595D5A9" w:rsidR="005B6F5C" w:rsidRPr="00BF2D75" w:rsidRDefault="005B6F5C" w:rsidP="005B6F5C">
      <w:pPr>
        <w:pStyle w:val="NormalWeb"/>
        <w:spacing w:before="0" w:beforeAutospacing="0" w:after="0" w:afterAutospacing="0" w:line="480" w:lineRule="auto"/>
        <w:rPr>
          <w:color w:val="000000" w:themeColor="text1"/>
          <w:sz w:val="24"/>
          <w:szCs w:val="24"/>
        </w:rPr>
      </w:pPr>
      <w:r w:rsidRPr="00BF2D75">
        <w:rPr>
          <w:b/>
          <w:i/>
          <w:color w:val="000000" w:themeColor="text1"/>
          <w:sz w:val="24"/>
          <w:szCs w:val="24"/>
        </w:rPr>
        <w:t xml:space="preserve">Materials: </w:t>
      </w:r>
      <w:r w:rsidRPr="00BF2D75">
        <w:rPr>
          <w:color w:val="000000" w:themeColor="text1"/>
          <w:sz w:val="24"/>
          <w:szCs w:val="24"/>
        </w:rPr>
        <w:t>Human AAT ELISA Kit was purchased from Abcam. Recombin</w:t>
      </w:r>
      <w:r w:rsidR="004A6DC9" w:rsidRPr="00BF2D75">
        <w:rPr>
          <w:color w:val="000000" w:themeColor="text1"/>
          <w:sz w:val="24"/>
          <w:szCs w:val="24"/>
        </w:rPr>
        <w:t>ant human AAT</w:t>
      </w:r>
      <w:r w:rsidR="00D71B02" w:rsidRPr="00BF2D75">
        <w:rPr>
          <w:color w:val="000000" w:themeColor="text1"/>
          <w:sz w:val="24"/>
          <w:szCs w:val="24"/>
        </w:rPr>
        <w:t>, chromogenic substrate for elastase</w:t>
      </w:r>
      <w:r w:rsidR="004A6DC9" w:rsidRPr="00BF2D75">
        <w:rPr>
          <w:color w:val="000000" w:themeColor="text1"/>
          <w:sz w:val="24"/>
          <w:szCs w:val="24"/>
        </w:rPr>
        <w:t xml:space="preserve"> and m</w:t>
      </w:r>
      <w:r w:rsidRPr="00BF2D75">
        <w:rPr>
          <w:color w:val="000000" w:themeColor="text1"/>
          <w:sz w:val="24"/>
          <w:szCs w:val="24"/>
        </w:rPr>
        <w:t>onoclonal anti-AAT antibody were purchased from Sigma-Aldrich. Recombinant human neutrophil elastase was purchased from AppliChem.</w:t>
      </w:r>
    </w:p>
    <w:p w14:paraId="0463A0FD" w14:textId="036DB6A7" w:rsidR="005B6F5C" w:rsidRPr="00BF2D75" w:rsidRDefault="005B6F5C" w:rsidP="005B6F5C">
      <w:pPr>
        <w:spacing w:line="480" w:lineRule="auto"/>
        <w:rPr>
          <w:b/>
          <w:i/>
          <w:color w:val="000000" w:themeColor="text1"/>
        </w:rPr>
      </w:pPr>
      <w:r w:rsidRPr="00BF2D75">
        <w:rPr>
          <w:b/>
          <w:i/>
          <w:color w:val="000000" w:themeColor="text1"/>
        </w:rPr>
        <w:t>Plasma samples:</w:t>
      </w:r>
      <w:r w:rsidRPr="00BF2D75">
        <w:rPr>
          <w:color w:val="000000" w:themeColor="text1"/>
        </w:rPr>
        <w:t xml:space="preserve"> </w:t>
      </w:r>
      <w:r w:rsidR="00F559B6" w:rsidRPr="00BF2D75">
        <w:rPr>
          <w:color w:val="000000" w:themeColor="text1"/>
        </w:rPr>
        <w:t>Plasma samples were obtained from Papworth Hospital Research Tissue Bank with ethical approval from Research Ethics Service and Research Ethics Committees (REC reference: 08/H0304/56+5).</w:t>
      </w:r>
      <w:r w:rsidR="00F559B6" w:rsidRPr="00BF2D75">
        <w:rPr>
          <w:b/>
          <w:i/>
          <w:color w:val="000000" w:themeColor="text1"/>
        </w:rPr>
        <w:t xml:space="preserve"> </w:t>
      </w:r>
      <w:r w:rsidRPr="00BF2D75">
        <w:rPr>
          <w:color w:val="000000" w:themeColor="text1"/>
        </w:rPr>
        <w:t>Plasma samples</w:t>
      </w:r>
      <w:r w:rsidR="00E257A8" w:rsidRPr="00BF2D75">
        <w:rPr>
          <w:color w:val="000000" w:themeColor="text1"/>
        </w:rPr>
        <w:t xml:space="preserve"> were</w:t>
      </w:r>
      <w:r w:rsidRPr="00BF2D75">
        <w:rPr>
          <w:color w:val="000000" w:themeColor="text1"/>
        </w:rPr>
        <w:t xml:space="preserve"> collected in EDTA tubes</w:t>
      </w:r>
      <w:r w:rsidR="00E257A8" w:rsidRPr="00BF2D75">
        <w:rPr>
          <w:color w:val="000000" w:themeColor="text1"/>
        </w:rPr>
        <w:t>.</w:t>
      </w:r>
      <w:r w:rsidRPr="00BF2D75">
        <w:rPr>
          <w:color w:val="000000" w:themeColor="text1"/>
        </w:rPr>
        <w:t xml:space="preserve">  IPAH and CTEPH patients were recruited from a specialist pulmonary hypertension cent</w:t>
      </w:r>
      <w:r w:rsidR="00B56B34" w:rsidRPr="00BF2D75">
        <w:rPr>
          <w:color w:val="000000" w:themeColor="text1"/>
        </w:rPr>
        <w:t>er</w:t>
      </w:r>
      <w:r w:rsidRPr="00BF2D75">
        <w:rPr>
          <w:color w:val="000000" w:themeColor="text1"/>
        </w:rPr>
        <w:t xml:space="preserve"> (Papworth Hospital, UK) and the diagnosis was </w:t>
      </w:r>
      <w:r w:rsidR="004A6DC9" w:rsidRPr="00BF2D75">
        <w:rPr>
          <w:color w:val="000000" w:themeColor="text1"/>
        </w:rPr>
        <w:t>based on international criteria</w:t>
      </w:r>
      <w:r w:rsidRPr="00BF2D75">
        <w:rPr>
          <w:color w:val="000000" w:themeColor="text1"/>
        </w:rPr>
        <w:t xml:space="preserve">.  Samples were excluded if active infection was present at the time of blood sampling.  The baseline characteristics of the groups were recorded closest to the time of blood sampling.  </w:t>
      </w:r>
    </w:p>
    <w:p w14:paraId="7D23BAC3" w14:textId="2572A7CF" w:rsidR="005B6F5C" w:rsidRPr="00BF2D75" w:rsidRDefault="005B6F5C" w:rsidP="005B6F5C">
      <w:pPr>
        <w:spacing w:line="480" w:lineRule="auto"/>
        <w:rPr>
          <w:color w:val="000000" w:themeColor="text1"/>
        </w:rPr>
      </w:pPr>
      <w:r w:rsidRPr="00BF2D75">
        <w:rPr>
          <w:b/>
          <w:i/>
          <w:color w:val="000000" w:themeColor="text1"/>
        </w:rPr>
        <w:t xml:space="preserve">Preparation of plasma samples for immunoblotting: </w:t>
      </w:r>
      <w:r w:rsidRPr="00BF2D75">
        <w:rPr>
          <w:color w:val="000000" w:themeColor="text1"/>
        </w:rPr>
        <w:t xml:space="preserve"> </w:t>
      </w:r>
      <w:proofErr w:type="spellStart"/>
      <w:r w:rsidRPr="00BF2D75">
        <w:rPr>
          <w:color w:val="000000" w:themeColor="text1"/>
        </w:rPr>
        <w:t>Pierce</w:t>
      </w:r>
      <w:r w:rsidRPr="00BF2D75">
        <w:rPr>
          <w:color w:val="000000" w:themeColor="text1"/>
          <w:vertAlign w:val="superscript"/>
        </w:rPr>
        <w:t>TM</w:t>
      </w:r>
      <w:proofErr w:type="spellEnd"/>
      <w:r w:rsidRPr="00BF2D75">
        <w:rPr>
          <w:color w:val="000000" w:themeColor="text1"/>
        </w:rPr>
        <w:t xml:space="preserve"> Albumin/IgG removal Kit was used to prepare plasma samples for immunoblotting</w:t>
      </w:r>
      <w:r w:rsidR="004A6DC9" w:rsidRPr="00BF2D75">
        <w:rPr>
          <w:color w:val="000000" w:themeColor="text1"/>
        </w:rPr>
        <w:t xml:space="preserve"> following manufacturer’s instruction. </w:t>
      </w:r>
    </w:p>
    <w:p w14:paraId="5EC0B529" w14:textId="7667E96D" w:rsidR="005B6F5C" w:rsidRPr="00BF2D75" w:rsidRDefault="005B6F5C" w:rsidP="005B6F5C">
      <w:pPr>
        <w:spacing w:line="480" w:lineRule="auto"/>
        <w:rPr>
          <w:color w:val="000000" w:themeColor="text1"/>
        </w:rPr>
      </w:pPr>
      <w:r w:rsidRPr="00BF2D75">
        <w:rPr>
          <w:b/>
          <w:i/>
          <w:color w:val="000000" w:themeColor="text1"/>
        </w:rPr>
        <w:t>AAT ELISA:</w:t>
      </w:r>
      <w:r w:rsidRPr="00BF2D75">
        <w:rPr>
          <w:color w:val="000000" w:themeColor="text1"/>
        </w:rPr>
        <w:t xml:space="preserve"> </w:t>
      </w:r>
      <w:r w:rsidR="00CC4927" w:rsidRPr="00BF2D75">
        <w:rPr>
          <w:color w:val="000000" w:themeColor="text1"/>
        </w:rPr>
        <w:t xml:space="preserve">Human </w:t>
      </w:r>
      <w:r w:rsidRPr="00BF2D75">
        <w:rPr>
          <w:color w:val="000000" w:themeColor="text1"/>
        </w:rPr>
        <w:t xml:space="preserve">AAT </w:t>
      </w:r>
      <w:r w:rsidRPr="00BF2D75">
        <w:rPr>
          <w:i/>
          <w:color w:val="000000" w:themeColor="text1"/>
        </w:rPr>
        <w:t>in vitro</w:t>
      </w:r>
      <w:r w:rsidRPr="00BF2D75">
        <w:rPr>
          <w:color w:val="000000" w:themeColor="text1"/>
        </w:rPr>
        <w:t xml:space="preserve"> competitive ELISA was carried out according to manufacturer’s instructions. </w:t>
      </w:r>
    </w:p>
    <w:p w14:paraId="5A6F4CDF" w14:textId="1367DEA9" w:rsidR="007734E0" w:rsidRPr="00BF2D75" w:rsidRDefault="0054289A" w:rsidP="005B6F5C">
      <w:pPr>
        <w:spacing w:line="480" w:lineRule="auto"/>
        <w:rPr>
          <w:color w:val="000000" w:themeColor="text1"/>
        </w:rPr>
      </w:pPr>
      <w:r w:rsidRPr="00BF2D75">
        <w:rPr>
          <w:b/>
          <w:i/>
          <w:color w:val="000000" w:themeColor="text1"/>
        </w:rPr>
        <w:t>Elastase-</w:t>
      </w:r>
      <w:r w:rsidR="007734E0" w:rsidRPr="00BF2D75">
        <w:rPr>
          <w:b/>
          <w:i/>
          <w:color w:val="000000" w:themeColor="text1"/>
        </w:rPr>
        <w:t xml:space="preserve">inhibition assay.  </w:t>
      </w:r>
      <w:r w:rsidR="007734E0" w:rsidRPr="00BF2D75">
        <w:rPr>
          <w:color w:val="000000" w:themeColor="text1"/>
        </w:rPr>
        <w:t xml:space="preserve">Human elastase (130 Unit/ml) was diluted 100-fold in assay buffer (20 </w:t>
      </w:r>
      <w:proofErr w:type="spellStart"/>
      <w:r w:rsidR="007734E0" w:rsidRPr="00BF2D75">
        <w:rPr>
          <w:color w:val="000000" w:themeColor="text1"/>
        </w:rPr>
        <w:t>mM</w:t>
      </w:r>
      <w:proofErr w:type="spellEnd"/>
      <w:r w:rsidR="007734E0" w:rsidRPr="00BF2D75">
        <w:rPr>
          <w:color w:val="000000" w:themeColor="text1"/>
        </w:rPr>
        <w:t xml:space="preserve"> Tris-</w:t>
      </w:r>
      <w:proofErr w:type="spellStart"/>
      <w:r w:rsidR="007734E0" w:rsidRPr="00BF2D75">
        <w:rPr>
          <w:color w:val="000000" w:themeColor="text1"/>
        </w:rPr>
        <w:t>HCl</w:t>
      </w:r>
      <w:proofErr w:type="spellEnd"/>
      <w:r w:rsidR="007734E0" w:rsidRPr="00BF2D75">
        <w:rPr>
          <w:color w:val="000000" w:themeColor="text1"/>
        </w:rPr>
        <w:t>, pH</w:t>
      </w:r>
      <w:r w:rsidR="00B857D1" w:rsidRPr="00BF2D75">
        <w:rPr>
          <w:color w:val="000000" w:themeColor="text1"/>
        </w:rPr>
        <w:t xml:space="preserve"> 7.4, 100 </w:t>
      </w:r>
      <w:proofErr w:type="spellStart"/>
      <w:r w:rsidR="00B857D1" w:rsidRPr="00BF2D75">
        <w:rPr>
          <w:color w:val="000000" w:themeColor="text1"/>
        </w:rPr>
        <w:t>mM</w:t>
      </w:r>
      <w:proofErr w:type="spellEnd"/>
      <w:r w:rsidR="00B857D1" w:rsidRPr="00BF2D75">
        <w:rPr>
          <w:color w:val="000000" w:themeColor="text1"/>
        </w:rPr>
        <w:t xml:space="preserve"> </w:t>
      </w:r>
      <w:proofErr w:type="spellStart"/>
      <w:r w:rsidR="00B857D1" w:rsidRPr="00BF2D75">
        <w:rPr>
          <w:color w:val="000000" w:themeColor="text1"/>
        </w:rPr>
        <w:t>NaCl</w:t>
      </w:r>
      <w:proofErr w:type="spellEnd"/>
      <w:r w:rsidR="00B857D1" w:rsidRPr="00BF2D75">
        <w:rPr>
          <w:color w:val="000000" w:themeColor="text1"/>
        </w:rPr>
        <w:t>, 0.1% PEG8000 and</w:t>
      </w:r>
      <w:r w:rsidR="007734E0" w:rsidRPr="00BF2D75">
        <w:rPr>
          <w:color w:val="000000" w:themeColor="text1"/>
        </w:rPr>
        <w:t xml:space="preserve"> 0.2% BSA). AAT standards were prepared by diluting the AAT stock in assay buffer to obtain the final concentrations of 34, 26, 17, 11, 6 and 2 </w:t>
      </w:r>
      <w:r w:rsidR="007734E0" w:rsidRPr="00BF2D75">
        <w:rPr>
          <w:color w:val="000000" w:themeColor="text1"/>
        </w:rPr>
        <w:sym w:font="Symbol" w:char="F06D"/>
      </w:r>
      <w:r w:rsidR="007734E0" w:rsidRPr="00BF2D75">
        <w:rPr>
          <w:color w:val="000000" w:themeColor="text1"/>
        </w:rPr>
        <w:t xml:space="preserve">g/ml, respectively. </w:t>
      </w:r>
      <w:r w:rsidR="00221920" w:rsidRPr="00BF2D75">
        <w:rPr>
          <w:color w:val="000000" w:themeColor="text1"/>
        </w:rPr>
        <w:t>The</w:t>
      </w:r>
      <w:r w:rsidR="003257DC" w:rsidRPr="00BF2D75">
        <w:rPr>
          <w:color w:val="000000" w:themeColor="text1"/>
        </w:rPr>
        <w:t xml:space="preserve"> </w:t>
      </w:r>
      <w:r w:rsidR="00E415ED" w:rsidRPr="00BF2D75">
        <w:rPr>
          <w:color w:val="000000" w:themeColor="text1"/>
        </w:rPr>
        <w:t xml:space="preserve">dilution of </w:t>
      </w:r>
      <w:r w:rsidR="003257DC" w:rsidRPr="00BF2D75">
        <w:rPr>
          <w:color w:val="000000" w:themeColor="text1"/>
        </w:rPr>
        <w:t xml:space="preserve">plasma </w:t>
      </w:r>
      <w:r w:rsidR="00221920" w:rsidRPr="00BF2D75">
        <w:rPr>
          <w:color w:val="000000" w:themeColor="text1"/>
        </w:rPr>
        <w:t xml:space="preserve">was optimized </w:t>
      </w:r>
      <w:r w:rsidR="003257DC" w:rsidRPr="00BF2D75">
        <w:rPr>
          <w:color w:val="000000" w:themeColor="text1"/>
        </w:rPr>
        <w:t xml:space="preserve">to ensure the </w:t>
      </w:r>
      <w:r w:rsidR="000C7258" w:rsidRPr="00BF2D75">
        <w:rPr>
          <w:color w:val="000000" w:themeColor="text1"/>
        </w:rPr>
        <w:t>OD reading</w:t>
      </w:r>
      <w:r w:rsidR="003257DC" w:rsidRPr="00BF2D75">
        <w:rPr>
          <w:color w:val="000000" w:themeColor="text1"/>
        </w:rPr>
        <w:t xml:space="preserve"> </w:t>
      </w:r>
      <w:r w:rsidR="003E40B0" w:rsidRPr="00BF2D75">
        <w:rPr>
          <w:color w:val="000000" w:themeColor="text1"/>
        </w:rPr>
        <w:t>fell</w:t>
      </w:r>
      <w:r w:rsidR="003257DC" w:rsidRPr="00BF2D75">
        <w:rPr>
          <w:color w:val="000000" w:themeColor="text1"/>
        </w:rPr>
        <w:t xml:space="preserve"> within the linear range of the inhibition (</w:t>
      </w:r>
      <w:r w:rsidR="00E257A8" w:rsidRPr="00BF2D75">
        <w:rPr>
          <w:color w:val="000000" w:themeColor="text1"/>
        </w:rPr>
        <w:t>S</w:t>
      </w:r>
      <w:r w:rsidR="003257DC" w:rsidRPr="00BF2D75">
        <w:rPr>
          <w:color w:val="000000" w:themeColor="text1"/>
        </w:rPr>
        <w:t>upplemental Figure 1)</w:t>
      </w:r>
      <w:r w:rsidR="00497108" w:rsidRPr="00BF2D75">
        <w:rPr>
          <w:color w:val="000000" w:themeColor="text1"/>
        </w:rPr>
        <w:t xml:space="preserve">, </w:t>
      </w:r>
      <w:r w:rsidR="00221920" w:rsidRPr="00BF2D75">
        <w:rPr>
          <w:color w:val="000000" w:themeColor="text1"/>
        </w:rPr>
        <w:t xml:space="preserve">and a </w:t>
      </w:r>
      <w:r w:rsidR="007734E0" w:rsidRPr="00BF2D75">
        <w:rPr>
          <w:color w:val="000000" w:themeColor="text1"/>
        </w:rPr>
        <w:t>200-fold</w:t>
      </w:r>
      <w:r w:rsidR="00221920" w:rsidRPr="00BF2D75">
        <w:rPr>
          <w:color w:val="000000" w:themeColor="text1"/>
        </w:rPr>
        <w:t xml:space="preserve"> dilution was chosen to use</w:t>
      </w:r>
      <w:r w:rsidR="007734E0" w:rsidRPr="00BF2D75">
        <w:rPr>
          <w:color w:val="000000" w:themeColor="text1"/>
        </w:rPr>
        <w:t xml:space="preserve"> </w:t>
      </w:r>
      <w:r w:rsidR="00497108" w:rsidRPr="00BF2D75">
        <w:rPr>
          <w:color w:val="000000" w:themeColor="text1"/>
        </w:rPr>
        <w:t>in final assay</w:t>
      </w:r>
      <w:r w:rsidR="007734E0" w:rsidRPr="00BF2D75">
        <w:rPr>
          <w:color w:val="000000" w:themeColor="text1"/>
        </w:rPr>
        <w:t xml:space="preserve">. The inhibition assay was carried out in a 96 well plate, with each well containing 30 </w:t>
      </w:r>
      <w:r w:rsidR="007734E0" w:rsidRPr="00BF2D75">
        <w:rPr>
          <w:color w:val="000000" w:themeColor="text1"/>
        </w:rPr>
        <w:sym w:font="Symbol" w:char="F06D"/>
      </w:r>
      <w:r w:rsidR="007734E0" w:rsidRPr="00BF2D75">
        <w:rPr>
          <w:color w:val="000000" w:themeColor="text1"/>
        </w:rPr>
        <w:t xml:space="preserve">l </w:t>
      </w:r>
      <w:r w:rsidR="00994BF3" w:rsidRPr="00BF2D75">
        <w:rPr>
          <w:color w:val="000000" w:themeColor="text1"/>
        </w:rPr>
        <w:t xml:space="preserve">of a </w:t>
      </w:r>
      <w:r w:rsidR="007734E0" w:rsidRPr="00BF2D75">
        <w:rPr>
          <w:color w:val="000000" w:themeColor="text1"/>
        </w:rPr>
        <w:t xml:space="preserve">standard or </w:t>
      </w:r>
      <w:r w:rsidR="00994BF3" w:rsidRPr="00BF2D75">
        <w:rPr>
          <w:color w:val="000000" w:themeColor="text1"/>
        </w:rPr>
        <w:t xml:space="preserve">a </w:t>
      </w:r>
      <w:r w:rsidR="007734E0" w:rsidRPr="00BF2D75">
        <w:rPr>
          <w:color w:val="000000" w:themeColor="text1"/>
        </w:rPr>
        <w:t xml:space="preserve">diluted plasma sample, 10 </w:t>
      </w:r>
      <w:r w:rsidR="007734E0" w:rsidRPr="00BF2D75">
        <w:rPr>
          <w:color w:val="000000" w:themeColor="text1"/>
        </w:rPr>
        <w:sym w:font="Symbol" w:char="F06D"/>
      </w:r>
      <w:r w:rsidR="007734E0" w:rsidRPr="00BF2D75">
        <w:rPr>
          <w:color w:val="000000" w:themeColor="text1"/>
        </w:rPr>
        <w:t xml:space="preserve">l of 100x diluted elastase, and 200 </w:t>
      </w:r>
      <w:r w:rsidR="007734E0" w:rsidRPr="00BF2D75">
        <w:rPr>
          <w:color w:val="000000" w:themeColor="text1"/>
        </w:rPr>
        <w:sym w:font="Symbol" w:char="F06D"/>
      </w:r>
      <w:r w:rsidR="007734E0" w:rsidRPr="00BF2D75">
        <w:rPr>
          <w:color w:val="000000" w:themeColor="text1"/>
        </w:rPr>
        <w:t xml:space="preserve">l of 800 </w:t>
      </w:r>
      <w:r w:rsidR="007734E0" w:rsidRPr="00BF2D75">
        <w:rPr>
          <w:color w:val="000000" w:themeColor="text1"/>
        </w:rPr>
        <w:sym w:font="Symbol" w:char="F06D"/>
      </w:r>
      <w:r w:rsidR="007734E0" w:rsidRPr="00BF2D75">
        <w:rPr>
          <w:color w:val="000000" w:themeColor="text1"/>
        </w:rPr>
        <w:t>M chromogenic substrate</w:t>
      </w:r>
      <w:r w:rsidR="00D71B02" w:rsidRPr="00BF2D75">
        <w:rPr>
          <w:color w:val="000000" w:themeColor="text1"/>
        </w:rPr>
        <w:t xml:space="preserve"> </w:t>
      </w:r>
      <w:r w:rsidR="007734E0" w:rsidRPr="00BF2D75">
        <w:rPr>
          <w:color w:val="000000" w:themeColor="text1"/>
        </w:rPr>
        <w:t xml:space="preserve">to ensure the substrate was in large excess. The reaction was carried out at 37 </w:t>
      </w:r>
      <w:r w:rsidR="007734E0" w:rsidRPr="00BF2D75">
        <w:rPr>
          <w:color w:val="000000" w:themeColor="text1"/>
        </w:rPr>
        <w:sym w:font="Symbol" w:char="F0B0"/>
      </w:r>
      <w:r w:rsidR="007734E0" w:rsidRPr="00BF2D75">
        <w:rPr>
          <w:color w:val="000000" w:themeColor="text1"/>
        </w:rPr>
        <w:t xml:space="preserve">C for 1 hour before the plate was read at </w:t>
      </w:r>
      <w:r w:rsidR="00E257A8" w:rsidRPr="00BF2D75">
        <w:rPr>
          <w:color w:val="000000" w:themeColor="text1"/>
        </w:rPr>
        <w:t>OD</w:t>
      </w:r>
      <w:r w:rsidR="007734E0" w:rsidRPr="00BF2D75">
        <w:rPr>
          <w:color w:val="000000" w:themeColor="text1"/>
          <w:vertAlign w:val="subscript"/>
        </w:rPr>
        <w:t>405nm</w:t>
      </w:r>
      <w:r w:rsidR="007734E0" w:rsidRPr="00BF2D75">
        <w:rPr>
          <w:color w:val="000000" w:themeColor="text1"/>
        </w:rPr>
        <w:t>. The remaining elastase activity was reflected by the increase in absorbance at 405 nm compar</w:t>
      </w:r>
      <w:r w:rsidR="00994BF3" w:rsidRPr="00BF2D75">
        <w:rPr>
          <w:color w:val="000000" w:themeColor="text1"/>
        </w:rPr>
        <w:t xml:space="preserve">ed with buffer alone controls. </w:t>
      </w:r>
      <w:r w:rsidR="007734E0" w:rsidRPr="00BF2D75">
        <w:rPr>
          <w:color w:val="000000" w:themeColor="text1"/>
        </w:rPr>
        <w:t xml:space="preserve">The </w:t>
      </w:r>
      <w:r w:rsidR="007734E0" w:rsidRPr="00BF2D75">
        <w:rPr>
          <w:color w:val="000000" w:themeColor="text1"/>
        </w:rPr>
        <w:lastRenderedPageBreak/>
        <w:t>percentage of elastase inhibitory activities in th</w:t>
      </w:r>
      <w:r w:rsidR="00A91582" w:rsidRPr="00BF2D75">
        <w:rPr>
          <w:color w:val="000000" w:themeColor="text1"/>
        </w:rPr>
        <w:t>e</w:t>
      </w:r>
      <w:r w:rsidR="007734E0" w:rsidRPr="00BF2D75">
        <w:rPr>
          <w:color w:val="000000" w:themeColor="text1"/>
        </w:rPr>
        <w:t xml:space="preserve"> diluted plasma samples was calculated as: [(</w:t>
      </w:r>
      <w:proofErr w:type="spellStart"/>
      <w:r w:rsidR="007734E0" w:rsidRPr="00BF2D75">
        <w:rPr>
          <w:color w:val="000000" w:themeColor="text1"/>
        </w:rPr>
        <w:t>OD</w:t>
      </w:r>
      <w:r w:rsidR="007734E0" w:rsidRPr="00BF2D75">
        <w:rPr>
          <w:color w:val="000000" w:themeColor="text1"/>
          <w:vertAlign w:val="subscript"/>
        </w:rPr>
        <w:t>without</w:t>
      </w:r>
      <w:proofErr w:type="spellEnd"/>
      <w:r w:rsidR="007734E0" w:rsidRPr="00BF2D75">
        <w:rPr>
          <w:color w:val="000000" w:themeColor="text1"/>
          <w:vertAlign w:val="subscript"/>
        </w:rPr>
        <w:t xml:space="preserve"> plasma </w:t>
      </w:r>
      <w:r w:rsidR="007734E0" w:rsidRPr="00BF2D75">
        <w:rPr>
          <w:color w:val="000000" w:themeColor="text1"/>
        </w:rPr>
        <w:t xml:space="preserve">- </w:t>
      </w:r>
      <w:proofErr w:type="spellStart"/>
      <w:r w:rsidR="007734E0" w:rsidRPr="00BF2D75">
        <w:rPr>
          <w:color w:val="000000" w:themeColor="text1"/>
        </w:rPr>
        <w:t>OD</w:t>
      </w:r>
      <w:r w:rsidR="007734E0" w:rsidRPr="00BF2D75">
        <w:rPr>
          <w:color w:val="000000" w:themeColor="text1"/>
          <w:vertAlign w:val="subscript"/>
        </w:rPr>
        <w:t>with</w:t>
      </w:r>
      <w:proofErr w:type="spellEnd"/>
      <w:r w:rsidR="007734E0" w:rsidRPr="00BF2D75">
        <w:rPr>
          <w:color w:val="000000" w:themeColor="text1"/>
          <w:vertAlign w:val="subscript"/>
        </w:rPr>
        <w:t xml:space="preserve"> plasma</w:t>
      </w:r>
      <w:r w:rsidR="007734E0" w:rsidRPr="00BF2D75">
        <w:rPr>
          <w:color w:val="000000" w:themeColor="text1"/>
        </w:rPr>
        <w:t>)/</w:t>
      </w:r>
      <w:proofErr w:type="spellStart"/>
      <w:r w:rsidR="007734E0" w:rsidRPr="00BF2D75">
        <w:rPr>
          <w:color w:val="000000" w:themeColor="text1"/>
        </w:rPr>
        <w:t>OD</w:t>
      </w:r>
      <w:r w:rsidR="007734E0" w:rsidRPr="00BF2D75">
        <w:rPr>
          <w:color w:val="000000" w:themeColor="text1"/>
          <w:vertAlign w:val="subscript"/>
        </w:rPr>
        <w:t>without</w:t>
      </w:r>
      <w:proofErr w:type="spellEnd"/>
      <w:r w:rsidR="007734E0" w:rsidRPr="00BF2D75">
        <w:rPr>
          <w:color w:val="000000" w:themeColor="text1"/>
          <w:vertAlign w:val="subscript"/>
        </w:rPr>
        <w:t xml:space="preserve"> plasma</w:t>
      </w:r>
      <w:r w:rsidR="007734E0" w:rsidRPr="00BF2D75">
        <w:rPr>
          <w:color w:val="000000" w:themeColor="text1"/>
        </w:rPr>
        <w:t>]x100.</w:t>
      </w:r>
    </w:p>
    <w:p w14:paraId="21F2DC82" w14:textId="35FE7C38" w:rsidR="005B6F5C" w:rsidRPr="00BF2D75" w:rsidRDefault="005B6F5C" w:rsidP="005B6F5C">
      <w:pPr>
        <w:spacing w:line="480" w:lineRule="auto"/>
        <w:rPr>
          <w:color w:val="000000" w:themeColor="text1"/>
        </w:rPr>
      </w:pPr>
      <w:r w:rsidRPr="00BF2D75">
        <w:rPr>
          <w:b/>
          <w:i/>
          <w:color w:val="000000" w:themeColor="text1"/>
        </w:rPr>
        <w:t>Statistical analysis</w:t>
      </w:r>
      <w:r w:rsidRPr="00BF2D75">
        <w:rPr>
          <w:i/>
          <w:color w:val="000000" w:themeColor="text1"/>
        </w:rPr>
        <w:t>:</w:t>
      </w:r>
      <w:r w:rsidRPr="00BF2D75">
        <w:rPr>
          <w:color w:val="000000" w:themeColor="text1"/>
        </w:rPr>
        <w:t xml:space="preserve"> The differences in phenotypic variables between groups were compared using a Fisher’s exact test for categorical data, and a Mann-Whitney </w:t>
      </w:r>
      <w:r w:rsidRPr="00BF2D75">
        <w:rPr>
          <w:i/>
          <w:color w:val="000000" w:themeColor="text1"/>
        </w:rPr>
        <w:t xml:space="preserve">U </w:t>
      </w:r>
      <w:r w:rsidRPr="00BF2D75">
        <w:rPr>
          <w:color w:val="000000" w:themeColor="text1"/>
        </w:rPr>
        <w:t xml:space="preserve">(2 groups) test or </w:t>
      </w:r>
      <w:proofErr w:type="spellStart"/>
      <w:r w:rsidRPr="00BF2D75">
        <w:rPr>
          <w:color w:val="000000" w:themeColor="text1"/>
        </w:rPr>
        <w:t>Kruskall</w:t>
      </w:r>
      <w:proofErr w:type="spellEnd"/>
      <w:r w:rsidRPr="00BF2D75">
        <w:rPr>
          <w:color w:val="000000" w:themeColor="text1"/>
        </w:rPr>
        <w:t xml:space="preserve">-Wallis test (3 groups) for continuous data.  A false discovery rate adjusted </w:t>
      </w:r>
      <w:r w:rsidR="00743B2D" w:rsidRPr="00BF2D75">
        <w:rPr>
          <w:color w:val="000000" w:themeColor="text1"/>
        </w:rPr>
        <w:t>P</w:t>
      </w:r>
      <w:r w:rsidRPr="00BF2D75">
        <w:rPr>
          <w:color w:val="000000" w:themeColor="text1"/>
        </w:rPr>
        <w:t xml:space="preserve">-value was used to account for multiple testing.  Differences in plasma AAT levels between groups </w:t>
      </w:r>
      <w:r w:rsidR="00934AA2" w:rsidRPr="00BF2D75">
        <w:rPr>
          <w:color w:val="000000" w:themeColor="text1"/>
        </w:rPr>
        <w:t xml:space="preserve">were </w:t>
      </w:r>
      <w:r w:rsidRPr="00BF2D75">
        <w:rPr>
          <w:color w:val="000000" w:themeColor="text1"/>
        </w:rPr>
        <w:t xml:space="preserve">compared using an unpaired t-test.  A </w:t>
      </w:r>
      <w:r w:rsidR="005B0E10" w:rsidRPr="00BF2D75">
        <w:rPr>
          <w:i/>
          <w:color w:val="000000" w:themeColor="text1"/>
        </w:rPr>
        <w:t>P</w:t>
      </w:r>
      <w:r w:rsidR="005B0E10" w:rsidRPr="00BF2D75">
        <w:rPr>
          <w:color w:val="000000" w:themeColor="text1"/>
        </w:rPr>
        <w:t>-</w:t>
      </w:r>
      <w:r w:rsidRPr="00BF2D75">
        <w:rPr>
          <w:color w:val="000000" w:themeColor="text1"/>
        </w:rPr>
        <w:t>value of &lt;0.05 was considered significant.</w:t>
      </w:r>
    </w:p>
    <w:p w14:paraId="66F5008D" w14:textId="06B27CEE" w:rsidR="00200C35" w:rsidRPr="00BF2D75" w:rsidRDefault="0044671F">
      <w:pPr>
        <w:spacing w:line="480" w:lineRule="auto"/>
        <w:rPr>
          <w:color w:val="000000" w:themeColor="text1"/>
        </w:rPr>
      </w:pPr>
      <w:r w:rsidRPr="00BF2D75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3284A588" wp14:editId="5F95426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56000" cy="2692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4389" w:rsidRPr="00BF2D75">
        <w:rPr>
          <w:color w:val="000000" w:themeColor="text1"/>
        </w:rPr>
        <w:t xml:space="preserve">Supplemental Figure 1. Standard of AAT in the elastase inhibition assay to illustrate the linear range of </w:t>
      </w:r>
      <w:r w:rsidR="00BF3998" w:rsidRPr="00BF2D75">
        <w:rPr>
          <w:color w:val="000000" w:themeColor="text1"/>
        </w:rPr>
        <w:t>the inhibition</w:t>
      </w:r>
      <w:r w:rsidR="00F84389" w:rsidRPr="00BF2D75">
        <w:rPr>
          <w:color w:val="000000" w:themeColor="text1"/>
        </w:rPr>
        <w:t>.</w:t>
      </w:r>
      <w:bookmarkStart w:id="0" w:name="_GoBack"/>
      <w:bookmarkEnd w:id="0"/>
    </w:p>
    <w:sectPr w:rsidR="00200C35" w:rsidRPr="00BF2D75" w:rsidSect="009A407D">
      <w:footerReference w:type="even" r:id="rId9"/>
      <w:footerReference w:type="default" r:id="rId10"/>
      <w:pgSz w:w="11900" w:h="16840"/>
      <w:pgMar w:top="1440" w:right="1080" w:bottom="1440" w:left="108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3E93C" w14:textId="77777777" w:rsidR="00666A82" w:rsidRDefault="00666A82" w:rsidP="008415FF">
      <w:r>
        <w:separator/>
      </w:r>
    </w:p>
  </w:endnote>
  <w:endnote w:type="continuationSeparator" w:id="0">
    <w:p w14:paraId="40FCB16D" w14:textId="77777777" w:rsidR="00666A82" w:rsidRDefault="00666A82" w:rsidP="0084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C0008" w14:textId="77777777" w:rsidR="00934AA2" w:rsidRDefault="00934AA2" w:rsidP="008415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B4B8A2" w14:textId="77777777" w:rsidR="00934AA2" w:rsidRDefault="00934A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D1300" w14:textId="14362203" w:rsidR="00934AA2" w:rsidRDefault="00934AA2" w:rsidP="008415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268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690622" w14:textId="77777777" w:rsidR="00934AA2" w:rsidRDefault="00934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3B1CD" w14:textId="77777777" w:rsidR="00666A82" w:rsidRDefault="00666A82" w:rsidP="008415FF">
      <w:r>
        <w:separator/>
      </w:r>
    </w:p>
  </w:footnote>
  <w:footnote w:type="continuationSeparator" w:id="0">
    <w:p w14:paraId="52837270" w14:textId="77777777" w:rsidR="00666A82" w:rsidRDefault="00666A82" w:rsidP="00841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230A"/>
    <w:multiLevelType w:val="hybridMultilevel"/>
    <w:tmpl w:val="E6BAF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E7DE6"/>
    <w:multiLevelType w:val="hybridMultilevel"/>
    <w:tmpl w:val="512C729C"/>
    <w:lvl w:ilvl="0" w:tplc="32E4C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F6F2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940E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76F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506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A876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169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C2B0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8AB7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5s0z55vu9e5zue5x5g5fz5evt00pav2992z&quot;&gt;Morrell&lt;record-ids&gt;&lt;item&gt;1047&lt;/item&gt;&lt;item&gt;1049&lt;/item&gt;&lt;item&gt;1052&lt;/item&gt;&lt;item&gt;1082&lt;/item&gt;&lt;/record-ids&gt;&lt;/item&gt;&lt;/Libraries&gt;"/>
  </w:docVars>
  <w:rsids>
    <w:rsidRoot w:val="00D317DE"/>
    <w:rsid w:val="00001E4C"/>
    <w:rsid w:val="00003C24"/>
    <w:rsid w:val="00004182"/>
    <w:rsid w:val="00005C7B"/>
    <w:rsid w:val="0001172A"/>
    <w:rsid w:val="00015892"/>
    <w:rsid w:val="0001642A"/>
    <w:rsid w:val="000228F8"/>
    <w:rsid w:val="000270E7"/>
    <w:rsid w:val="0002783D"/>
    <w:rsid w:val="00030A4B"/>
    <w:rsid w:val="00031F97"/>
    <w:rsid w:val="0003271B"/>
    <w:rsid w:val="000327A7"/>
    <w:rsid w:val="0003356A"/>
    <w:rsid w:val="00037563"/>
    <w:rsid w:val="0004059F"/>
    <w:rsid w:val="00041213"/>
    <w:rsid w:val="000420A6"/>
    <w:rsid w:val="00044FE1"/>
    <w:rsid w:val="00045254"/>
    <w:rsid w:val="00045848"/>
    <w:rsid w:val="00047041"/>
    <w:rsid w:val="000532B8"/>
    <w:rsid w:val="00055245"/>
    <w:rsid w:val="00056EB7"/>
    <w:rsid w:val="00060FAA"/>
    <w:rsid w:val="00061220"/>
    <w:rsid w:val="00064949"/>
    <w:rsid w:val="00071D75"/>
    <w:rsid w:val="0007491B"/>
    <w:rsid w:val="00077E82"/>
    <w:rsid w:val="00081AEB"/>
    <w:rsid w:val="00081EFA"/>
    <w:rsid w:val="00083DA0"/>
    <w:rsid w:val="000843B1"/>
    <w:rsid w:val="0008663D"/>
    <w:rsid w:val="00091BCF"/>
    <w:rsid w:val="000930CF"/>
    <w:rsid w:val="00095B1F"/>
    <w:rsid w:val="000A0933"/>
    <w:rsid w:val="000A5449"/>
    <w:rsid w:val="000A560B"/>
    <w:rsid w:val="000A5BB5"/>
    <w:rsid w:val="000A6539"/>
    <w:rsid w:val="000B0833"/>
    <w:rsid w:val="000B4CDF"/>
    <w:rsid w:val="000B4ED7"/>
    <w:rsid w:val="000C05B4"/>
    <w:rsid w:val="000C236F"/>
    <w:rsid w:val="000C46D2"/>
    <w:rsid w:val="000C7258"/>
    <w:rsid w:val="000D22F4"/>
    <w:rsid w:val="000D4273"/>
    <w:rsid w:val="000D7FB6"/>
    <w:rsid w:val="000E2BCB"/>
    <w:rsid w:val="000E30EB"/>
    <w:rsid w:val="000E69B7"/>
    <w:rsid w:val="000F2B07"/>
    <w:rsid w:val="000F321E"/>
    <w:rsid w:val="000F7595"/>
    <w:rsid w:val="000F7596"/>
    <w:rsid w:val="000F78B3"/>
    <w:rsid w:val="0010406E"/>
    <w:rsid w:val="00106791"/>
    <w:rsid w:val="001071EC"/>
    <w:rsid w:val="00107AD7"/>
    <w:rsid w:val="00107EEE"/>
    <w:rsid w:val="00117166"/>
    <w:rsid w:val="00120BAB"/>
    <w:rsid w:val="00121307"/>
    <w:rsid w:val="0012567A"/>
    <w:rsid w:val="00127AAF"/>
    <w:rsid w:val="00130F22"/>
    <w:rsid w:val="00142A5C"/>
    <w:rsid w:val="00142CA1"/>
    <w:rsid w:val="00142EE6"/>
    <w:rsid w:val="00144233"/>
    <w:rsid w:val="00144885"/>
    <w:rsid w:val="001464C0"/>
    <w:rsid w:val="00150B3B"/>
    <w:rsid w:val="00150C47"/>
    <w:rsid w:val="001520D4"/>
    <w:rsid w:val="00153194"/>
    <w:rsid w:val="00157AB3"/>
    <w:rsid w:val="00162D0D"/>
    <w:rsid w:val="0016497F"/>
    <w:rsid w:val="00165048"/>
    <w:rsid w:val="001676AC"/>
    <w:rsid w:val="001712B7"/>
    <w:rsid w:val="00174F94"/>
    <w:rsid w:val="00191FD4"/>
    <w:rsid w:val="00194655"/>
    <w:rsid w:val="001A14F9"/>
    <w:rsid w:val="001A32A5"/>
    <w:rsid w:val="001A365B"/>
    <w:rsid w:val="001A4D90"/>
    <w:rsid w:val="001A5B8F"/>
    <w:rsid w:val="001A5F4A"/>
    <w:rsid w:val="001A7A15"/>
    <w:rsid w:val="001B369F"/>
    <w:rsid w:val="001B4B41"/>
    <w:rsid w:val="001B7935"/>
    <w:rsid w:val="001C45F2"/>
    <w:rsid w:val="001C52E1"/>
    <w:rsid w:val="001C63B0"/>
    <w:rsid w:val="001D36DA"/>
    <w:rsid w:val="001D7097"/>
    <w:rsid w:val="001D73BE"/>
    <w:rsid w:val="001E59AC"/>
    <w:rsid w:val="001F4213"/>
    <w:rsid w:val="001F66C0"/>
    <w:rsid w:val="00200C35"/>
    <w:rsid w:val="0020440D"/>
    <w:rsid w:val="00204D3B"/>
    <w:rsid w:val="00214C31"/>
    <w:rsid w:val="002202FF"/>
    <w:rsid w:val="00221920"/>
    <w:rsid w:val="0022296A"/>
    <w:rsid w:val="0022533F"/>
    <w:rsid w:val="002279B1"/>
    <w:rsid w:val="00231E12"/>
    <w:rsid w:val="00233870"/>
    <w:rsid w:val="00235361"/>
    <w:rsid w:val="00247125"/>
    <w:rsid w:val="002472AC"/>
    <w:rsid w:val="0024777C"/>
    <w:rsid w:val="002514F4"/>
    <w:rsid w:val="002561F5"/>
    <w:rsid w:val="00257076"/>
    <w:rsid w:val="002605BA"/>
    <w:rsid w:val="00277C5A"/>
    <w:rsid w:val="00282949"/>
    <w:rsid w:val="00292812"/>
    <w:rsid w:val="00296CBF"/>
    <w:rsid w:val="002A0AEE"/>
    <w:rsid w:val="002A529D"/>
    <w:rsid w:val="002A598D"/>
    <w:rsid w:val="002B24EF"/>
    <w:rsid w:val="002B27A8"/>
    <w:rsid w:val="002B2A9E"/>
    <w:rsid w:val="002B32CB"/>
    <w:rsid w:val="002B52EE"/>
    <w:rsid w:val="002B5BE1"/>
    <w:rsid w:val="002B788E"/>
    <w:rsid w:val="002C00CB"/>
    <w:rsid w:val="002C143E"/>
    <w:rsid w:val="002C2A54"/>
    <w:rsid w:val="002C33C7"/>
    <w:rsid w:val="002C5B2B"/>
    <w:rsid w:val="002C6272"/>
    <w:rsid w:val="002D4F8A"/>
    <w:rsid w:val="002E1416"/>
    <w:rsid w:val="002E1B62"/>
    <w:rsid w:val="002E6C49"/>
    <w:rsid w:val="002E6E5B"/>
    <w:rsid w:val="002F1176"/>
    <w:rsid w:val="002F5456"/>
    <w:rsid w:val="00300A14"/>
    <w:rsid w:val="00300AE8"/>
    <w:rsid w:val="00304FF3"/>
    <w:rsid w:val="00307945"/>
    <w:rsid w:val="003178D1"/>
    <w:rsid w:val="00317D37"/>
    <w:rsid w:val="00320CCC"/>
    <w:rsid w:val="003257DC"/>
    <w:rsid w:val="00325E7C"/>
    <w:rsid w:val="00325FFF"/>
    <w:rsid w:val="003275D7"/>
    <w:rsid w:val="00330B9C"/>
    <w:rsid w:val="003352F4"/>
    <w:rsid w:val="0033560F"/>
    <w:rsid w:val="00341AB0"/>
    <w:rsid w:val="00344698"/>
    <w:rsid w:val="00347CC5"/>
    <w:rsid w:val="00347DCA"/>
    <w:rsid w:val="00350BFF"/>
    <w:rsid w:val="0036572D"/>
    <w:rsid w:val="00366F3F"/>
    <w:rsid w:val="003701A6"/>
    <w:rsid w:val="003703E4"/>
    <w:rsid w:val="003723BA"/>
    <w:rsid w:val="00373C43"/>
    <w:rsid w:val="0037758F"/>
    <w:rsid w:val="00380583"/>
    <w:rsid w:val="003810AE"/>
    <w:rsid w:val="00387553"/>
    <w:rsid w:val="00387867"/>
    <w:rsid w:val="00390E32"/>
    <w:rsid w:val="003911EF"/>
    <w:rsid w:val="003924D8"/>
    <w:rsid w:val="00393D46"/>
    <w:rsid w:val="003A2934"/>
    <w:rsid w:val="003A4257"/>
    <w:rsid w:val="003A7AAE"/>
    <w:rsid w:val="003A7D91"/>
    <w:rsid w:val="003B05F5"/>
    <w:rsid w:val="003B3480"/>
    <w:rsid w:val="003B43CE"/>
    <w:rsid w:val="003C4E5E"/>
    <w:rsid w:val="003C6356"/>
    <w:rsid w:val="003D0EE5"/>
    <w:rsid w:val="003D51B8"/>
    <w:rsid w:val="003D5265"/>
    <w:rsid w:val="003E3A93"/>
    <w:rsid w:val="003E3AC8"/>
    <w:rsid w:val="003E40B0"/>
    <w:rsid w:val="003E4309"/>
    <w:rsid w:val="003E4CF4"/>
    <w:rsid w:val="003F2628"/>
    <w:rsid w:val="003F341A"/>
    <w:rsid w:val="003F4835"/>
    <w:rsid w:val="003F5B7F"/>
    <w:rsid w:val="003F606C"/>
    <w:rsid w:val="00401105"/>
    <w:rsid w:val="00401B91"/>
    <w:rsid w:val="00404E46"/>
    <w:rsid w:val="00405FAF"/>
    <w:rsid w:val="0041158D"/>
    <w:rsid w:val="00412640"/>
    <w:rsid w:val="004167BA"/>
    <w:rsid w:val="004204D1"/>
    <w:rsid w:val="00424899"/>
    <w:rsid w:val="00432046"/>
    <w:rsid w:val="00433A71"/>
    <w:rsid w:val="00433DCC"/>
    <w:rsid w:val="0043706F"/>
    <w:rsid w:val="00441162"/>
    <w:rsid w:val="004433AB"/>
    <w:rsid w:val="0044397B"/>
    <w:rsid w:val="0044553B"/>
    <w:rsid w:val="0044671F"/>
    <w:rsid w:val="004504B6"/>
    <w:rsid w:val="00462901"/>
    <w:rsid w:val="00462925"/>
    <w:rsid w:val="0046656C"/>
    <w:rsid w:val="00466E00"/>
    <w:rsid w:val="00471FC1"/>
    <w:rsid w:val="00473CD6"/>
    <w:rsid w:val="004747D1"/>
    <w:rsid w:val="00476712"/>
    <w:rsid w:val="00477B82"/>
    <w:rsid w:val="00480195"/>
    <w:rsid w:val="00487377"/>
    <w:rsid w:val="00487771"/>
    <w:rsid w:val="0049038C"/>
    <w:rsid w:val="004909E8"/>
    <w:rsid w:val="00493F14"/>
    <w:rsid w:val="00497108"/>
    <w:rsid w:val="004A32C5"/>
    <w:rsid w:val="004A6DC9"/>
    <w:rsid w:val="004A7417"/>
    <w:rsid w:val="004A77FF"/>
    <w:rsid w:val="004A7F18"/>
    <w:rsid w:val="004B5987"/>
    <w:rsid w:val="004D0C8F"/>
    <w:rsid w:val="004D3190"/>
    <w:rsid w:val="004D595E"/>
    <w:rsid w:val="004D6312"/>
    <w:rsid w:val="004E35E0"/>
    <w:rsid w:val="004E42B0"/>
    <w:rsid w:val="004F611E"/>
    <w:rsid w:val="004F6601"/>
    <w:rsid w:val="005029F1"/>
    <w:rsid w:val="00507D87"/>
    <w:rsid w:val="00510E32"/>
    <w:rsid w:val="0051130F"/>
    <w:rsid w:val="005116DA"/>
    <w:rsid w:val="00512DFD"/>
    <w:rsid w:val="00514CC0"/>
    <w:rsid w:val="005202E0"/>
    <w:rsid w:val="005232B8"/>
    <w:rsid w:val="00527D0E"/>
    <w:rsid w:val="00531EB5"/>
    <w:rsid w:val="0053221C"/>
    <w:rsid w:val="00532D83"/>
    <w:rsid w:val="0053695B"/>
    <w:rsid w:val="005410D5"/>
    <w:rsid w:val="005427C5"/>
    <w:rsid w:val="0054289A"/>
    <w:rsid w:val="005512EB"/>
    <w:rsid w:val="0055766A"/>
    <w:rsid w:val="00557C2A"/>
    <w:rsid w:val="00564ACD"/>
    <w:rsid w:val="00573077"/>
    <w:rsid w:val="0057331B"/>
    <w:rsid w:val="0058147D"/>
    <w:rsid w:val="00581597"/>
    <w:rsid w:val="005824A7"/>
    <w:rsid w:val="00582B10"/>
    <w:rsid w:val="00583681"/>
    <w:rsid w:val="00586268"/>
    <w:rsid w:val="0059183F"/>
    <w:rsid w:val="005949B7"/>
    <w:rsid w:val="005969C3"/>
    <w:rsid w:val="005A071B"/>
    <w:rsid w:val="005A730B"/>
    <w:rsid w:val="005B0DE8"/>
    <w:rsid w:val="005B0E10"/>
    <w:rsid w:val="005B227A"/>
    <w:rsid w:val="005B501E"/>
    <w:rsid w:val="005B6F5C"/>
    <w:rsid w:val="005C0E4B"/>
    <w:rsid w:val="005C18BA"/>
    <w:rsid w:val="005C4510"/>
    <w:rsid w:val="005C67FC"/>
    <w:rsid w:val="005D07B1"/>
    <w:rsid w:val="005D07FE"/>
    <w:rsid w:val="005D15DA"/>
    <w:rsid w:val="005D2DA6"/>
    <w:rsid w:val="005D42FE"/>
    <w:rsid w:val="005D4EDC"/>
    <w:rsid w:val="005D5BBF"/>
    <w:rsid w:val="005D6314"/>
    <w:rsid w:val="005D72C5"/>
    <w:rsid w:val="005D7612"/>
    <w:rsid w:val="005E2314"/>
    <w:rsid w:val="005E31C9"/>
    <w:rsid w:val="005E3351"/>
    <w:rsid w:val="005F15AA"/>
    <w:rsid w:val="005F2466"/>
    <w:rsid w:val="005F46F8"/>
    <w:rsid w:val="005F70CD"/>
    <w:rsid w:val="00600F12"/>
    <w:rsid w:val="00602E11"/>
    <w:rsid w:val="00611B3C"/>
    <w:rsid w:val="00613605"/>
    <w:rsid w:val="00613BD1"/>
    <w:rsid w:val="00613C82"/>
    <w:rsid w:val="00613FF4"/>
    <w:rsid w:val="00614D6E"/>
    <w:rsid w:val="006178C4"/>
    <w:rsid w:val="0062228E"/>
    <w:rsid w:val="006229E2"/>
    <w:rsid w:val="00623BF5"/>
    <w:rsid w:val="00625885"/>
    <w:rsid w:val="00625A55"/>
    <w:rsid w:val="00633672"/>
    <w:rsid w:val="00634293"/>
    <w:rsid w:val="006346D8"/>
    <w:rsid w:val="00640022"/>
    <w:rsid w:val="00641DAD"/>
    <w:rsid w:val="00642CF0"/>
    <w:rsid w:val="00642F1E"/>
    <w:rsid w:val="00645B2D"/>
    <w:rsid w:val="006521F1"/>
    <w:rsid w:val="00655898"/>
    <w:rsid w:val="00656349"/>
    <w:rsid w:val="00665D27"/>
    <w:rsid w:val="00666A82"/>
    <w:rsid w:val="00672055"/>
    <w:rsid w:val="00673BB0"/>
    <w:rsid w:val="00674268"/>
    <w:rsid w:val="006743EB"/>
    <w:rsid w:val="0068108B"/>
    <w:rsid w:val="00682428"/>
    <w:rsid w:val="00685845"/>
    <w:rsid w:val="006910FB"/>
    <w:rsid w:val="006931C0"/>
    <w:rsid w:val="00695BE5"/>
    <w:rsid w:val="006A0D7D"/>
    <w:rsid w:val="006A2F05"/>
    <w:rsid w:val="006A38FD"/>
    <w:rsid w:val="006A4FDE"/>
    <w:rsid w:val="006A6614"/>
    <w:rsid w:val="006B7AC7"/>
    <w:rsid w:val="006C08C4"/>
    <w:rsid w:val="006C14C8"/>
    <w:rsid w:val="006C1BB7"/>
    <w:rsid w:val="006C2558"/>
    <w:rsid w:val="006C2A92"/>
    <w:rsid w:val="006C2D7F"/>
    <w:rsid w:val="006C521A"/>
    <w:rsid w:val="006C58F5"/>
    <w:rsid w:val="006C6A17"/>
    <w:rsid w:val="006D0DD1"/>
    <w:rsid w:val="006D18D3"/>
    <w:rsid w:val="006D4AA6"/>
    <w:rsid w:val="006D509C"/>
    <w:rsid w:val="006D732A"/>
    <w:rsid w:val="006E3B08"/>
    <w:rsid w:val="006E4AE6"/>
    <w:rsid w:val="006E789F"/>
    <w:rsid w:val="006F04EA"/>
    <w:rsid w:val="006F14F2"/>
    <w:rsid w:val="006F790E"/>
    <w:rsid w:val="007015A6"/>
    <w:rsid w:val="00703E6B"/>
    <w:rsid w:val="007041B4"/>
    <w:rsid w:val="0070469D"/>
    <w:rsid w:val="00705B96"/>
    <w:rsid w:val="00706A17"/>
    <w:rsid w:val="00710012"/>
    <w:rsid w:val="00711ECC"/>
    <w:rsid w:val="007228BD"/>
    <w:rsid w:val="007301EA"/>
    <w:rsid w:val="007319A8"/>
    <w:rsid w:val="00733A58"/>
    <w:rsid w:val="0073436E"/>
    <w:rsid w:val="00742B40"/>
    <w:rsid w:val="00743B2D"/>
    <w:rsid w:val="007470EF"/>
    <w:rsid w:val="00747C95"/>
    <w:rsid w:val="00750360"/>
    <w:rsid w:val="00751A80"/>
    <w:rsid w:val="00753133"/>
    <w:rsid w:val="007577B2"/>
    <w:rsid w:val="007608AD"/>
    <w:rsid w:val="00766DD1"/>
    <w:rsid w:val="0077258B"/>
    <w:rsid w:val="007734E0"/>
    <w:rsid w:val="007740D5"/>
    <w:rsid w:val="0077771A"/>
    <w:rsid w:val="0078147E"/>
    <w:rsid w:val="00784450"/>
    <w:rsid w:val="00786A0A"/>
    <w:rsid w:val="007878FA"/>
    <w:rsid w:val="0079241E"/>
    <w:rsid w:val="007A031D"/>
    <w:rsid w:val="007A226A"/>
    <w:rsid w:val="007A3005"/>
    <w:rsid w:val="007A341C"/>
    <w:rsid w:val="007A503A"/>
    <w:rsid w:val="007A7520"/>
    <w:rsid w:val="007A7594"/>
    <w:rsid w:val="007B47AC"/>
    <w:rsid w:val="007B6DB6"/>
    <w:rsid w:val="007B7714"/>
    <w:rsid w:val="007C2B1D"/>
    <w:rsid w:val="007C46FE"/>
    <w:rsid w:val="007C502B"/>
    <w:rsid w:val="007C5B1F"/>
    <w:rsid w:val="007C7E61"/>
    <w:rsid w:val="007D2742"/>
    <w:rsid w:val="007D2936"/>
    <w:rsid w:val="007D6E23"/>
    <w:rsid w:val="007E0FCB"/>
    <w:rsid w:val="007E140E"/>
    <w:rsid w:val="007E1D3B"/>
    <w:rsid w:val="007E240D"/>
    <w:rsid w:val="007E2A8E"/>
    <w:rsid w:val="007E2FCE"/>
    <w:rsid w:val="007E6D80"/>
    <w:rsid w:val="007F0891"/>
    <w:rsid w:val="007F428C"/>
    <w:rsid w:val="007F451E"/>
    <w:rsid w:val="007F4A7E"/>
    <w:rsid w:val="007F6973"/>
    <w:rsid w:val="007F73D0"/>
    <w:rsid w:val="007F75FA"/>
    <w:rsid w:val="00820265"/>
    <w:rsid w:val="00823B21"/>
    <w:rsid w:val="00823E66"/>
    <w:rsid w:val="00824B41"/>
    <w:rsid w:val="008254DD"/>
    <w:rsid w:val="0082605E"/>
    <w:rsid w:val="008320BD"/>
    <w:rsid w:val="00840F3E"/>
    <w:rsid w:val="008415FF"/>
    <w:rsid w:val="00841C69"/>
    <w:rsid w:val="00845811"/>
    <w:rsid w:val="008459D8"/>
    <w:rsid w:val="00855BB5"/>
    <w:rsid w:val="00857007"/>
    <w:rsid w:val="008626F1"/>
    <w:rsid w:val="008627B3"/>
    <w:rsid w:val="00864A2B"/>
    <w:rsid w:val="00881312"/>
    <w:rsid w:val="00881E6B"/>
    <w:rsid w:val="00882E31"/>
    <w:rsid w:val="00884DBB"/>
    <w:rsid w:val="00893104"/>
    <w:rsid w:val="0089570B"/>
    <w:rsid w:val="00896C42"/>
    <w:rsid w:val="008A426D"/>
    <w:rsid w:val="008A6972"/>
    <w:rsid w:val="008A7648"/>
    <w:rsid w:val="008B09FD"/>
    <w:rsid w:val="008B1DFD"/>
    <w:rsid w:val="008B253D"/>
    <w:rsid w:val="008B4212"/>
    <w:rsid w:val="008C2742"/>
    <w:rsid w:val="008C47C7"/>
    <w:rsid w:val="008C6249"/>
    <w:rsid w:val="008D169C"/>
    <w:rsid w:val="008D564F"/>
    <w:rsid w:val="008D6BC8"/>
    <w:rsid w:val="008E355A"/>
    <w:rsid w:val="008E5AFB"/>
    <w:rsid w:val="008E7087"/>
    <w:rsid w:val="008F2733"/>
    <w:rsid w:val="008F4F88"/>
    <w:rsid w:val="0090154E"/>
    <w:rsid w:val="0090171B"/>
    <w:rsid w:val="00902B0A"/>
    <w:rsid w:val="00913529"/>
    <w:rsid w:val="00915F85"/>
    <w:rsid w:val="00916236"/>
    <w:rsid w:val="009164A4"/>
    <w:rsid w:val="009204CA"/>
    <w:rsid w:val="0092575F"/>
    <w:rsid w:val="009259B2"/>
    <w:rsid w:val="00926AE8"/>
    <w:rsid w:val="00930C57"/>
    <w:rsid w:val="00933218"/>
    <w:rsid w:val="00934AA2"/>
    <w:rsid w:val="009425C5"/>
    <w:rsid w:val="009429DA"/>
    <w:rsid w:val="00945B8C"/>
    <w:rsid w:val="0094652F"/>
    <w:rsid w:val="00951EF5"/>
    <w:rsid w:val="00954844"/>
    <w:rsid w:val="00961565"/>
    <w:rsid w:val="009630BF"/>
    <w:rsid w:val="00967708"/>
    <w:rsid w:val="0097400C"/>
    <w:rsid w:val="009774BC"/>
    <w:rsid w:val="00980BE4"/>
    <w:rsid w:val="0098222B"/>
    <w:rsid w:val="009842E7"/>
    <w:rsid w:val="00991072"/>
    <w:rsid w:val="00993023"/>
    <w:rsid w:val="00994BF3"/>
    <w:rsid w:val="00995DB4"/>
    <w:rsid w:val="009A07AF"/>
    <w:rsid w:val="009A407D"/>
    <w:rsid w:val="009A4971"/>
    <w:rsid w:val="009A4974"/>
    <w:rsid w:val="009A6128"/>
    <w:rsid w:val="009B19E6"/>
    <w:rsid w:val="009B27CE"/>
    <w:rsid w:val="009B6617"/>
    <w:rsid w:val="009C048B"/>
    <w:rsid w:val="009C2B2C"/>
    <w:rsid w:val="009C44A5"/>
    <w:rsid w:val="009C7A93"/>
    <w:rsid w:val="009C7EDC"/>
    <w:rsid w:val="009D137B"/>
    <w:rsid w:val="009D41CD"/>
    <w:rsid w:val="009D73EF"/>
    <w:rsid w:val="009E1354"/>
    <w:rsid w:val="009E290E"/>
    <w:rsid w:val="009E5B47"/>
    <w:rsid w:val="009E66FD"/>
    <w:rsid w:val="009F1C89"/>
    <w:rsid w:val="009F3B5B"/>
    <w:rsid w:val="009F64EC"/>
    <w:rsid w:val="009F71B1"/>
    <w:rsid w:val="009F780B"/>
    <w:rsid w:val="00A01817"/>
    <w:rsid w:val="00A04A8A"/>
    <w:rsid w:val="00A04C5C"/>
    <w:rsid w:val="00A04DD8"/>
    <w:rsid w:val="00A06BB6"/>
    <w:rsid w:val="00A168B7"/>
    <w:rsid w:val="00A16AF0"/>
    <w:rsid w:val="00A21F6D"/>
    <w:rsid w:val="00A22531"/>
    <w:rsid w:val="00A30F47"/>
    <w:rsid w:val="00A32045"/>
    <w:rsid w:val="00A32531"/>
    <w:rsid w:val="00A35CFC"/>
    <w:rsid w:val="00A376C7"/>
    <w:rsid w:val="00A5065D"/>
    <w:rsid w:val="00A511D1"/>
    <w:rsid w:val="00A54146"/>
    <w:rsid w:val="00A56D48"/>
    <w:rsid w:val="00A56FEF"/>
    <w:rsid w:val="00A60052"/>
    <w:rsid w:val="00A605BC"/>
    <w:rsid w:val="00A61129"/>
    <w:rsid w:val="00A61844"/>
    <w:rsid w:val="00A637AF"/>
    <w:rsid w:val="00A71161"/>
    <w:rsid w:val="00A74C39"/>
    <w:rsid w:val="00A766F0"/>
    <w:rsid w:val="00A76E1C"/>
    <w:rsid w:val="00A82885"/>
    <w:rsid w:val="00A845C5"/>
    <w:rsid w:val="00A87DE9"/>
    <w:rsid w:val="00A91582"/>
    <w:rsid w:val="00A923AC"/>
    <w:rsid w:val="00A92609"/>
    <w:rsid w:val="00A9277E"/>
    <w:rsid w:val="00A95529"/>
    <w:rsid w:val="00A97720"/>
    <w:rsid w:val="00A978D9"/>
    <w:rsid w:val="00AA56EB"/>
    <w:rsid w:val="00AA68FF"/>
    <w:rsid w:val="00AA6F66"/>
    <w:rsid w:val="00AC0DE4"/>
    <w:rsid w:val="00AC1D38"/>
    <w:rsid w:val="00AC37DB"/>
    <w:rsid w:val="00AC421D"/>
    <w:rsid w:val="00AC4FBD"/>
    <w:rsid w:val="00AC59ED"/>
    <w:rsid w:val="00AC6F92"/>
    <w:rsid w:val="00AD7A07"/>
    <w:rsid w:val="00AE1BCB"/>
    <w:rsid w:val="00AF05AA"/>
    <w:rsid w:val="00AF09C8"/>
    <w:rsid w:val="00AF5506"/>
    <w:rsid w:val="00AF55ED"/>
    <w:rsid w:val="00AF6840"/>
    <w:rsid w:val="00B01080"/>
    <w:rsid w:val="00B01D01"/>
    <w:rsid w:val="00B11BB6"/>
    <w:rsid w:val="00B12686"/>
    <w:rsid w:val="00B17CD5"/>
    <w:rsid w:val="00B20419"/>
    <w:rsid w:val="00B21D39"/>
    <w:rsid w:val="00B22CE0"/>
    <w:rsid w:val="00B23565"/>
    <w:rsid w:val="00B260F8"/>
    <w:rsid w:val="00B30905"/>
    <w:rsid w:val="00B31B33"/>
    <w:rsid w:val="00B40B7F"/>
    <w:rsid w:val="00B41C1C"/>
    <w:rsid w:val="00B469F0"/>
    <w:rsid w:val="00B53A29"/>
    <w:rsid w:val="00B53F04"/>
    <w:rsid w:val="00B55C88"/>
    <w:rsid w:val="00B56B34"/>
    <w:rsid w:val="00B60FA7"/>
    <w:rsid w:val="00B62090"/>
    <w:rsid w:val="00B62F66"/>
    <w:rsid w:val="00B6324D"/>
    <w:rsid w:val="00B67522"/>
    <w:rsid w:val="00B70651"/>
    <w:rsid w:val="00B71F3E"/>
    <w:rsid w:val="00B7205A"/>
    <w:rsid w:val="00B72A55"/>
    <w:rsid w:val="00B75334"/>
    <w:rsid w:val="00B77CDD"/>
    <w:rsid w:val="00B77D49"/>
    <w:rsid w:val="00B80852"/>
    <w:rsid w:val="00B81748"/>
    <w:rsid w:val="00B83B3E"/>
    <w:rsid w:val="00B83F80"/>
    <w:rsid w:val="00B84DEE"/>
    <w:rsid w:val="00B84DF4"/>
    <w:rsid w:val="00B85207"/>
    <w:rsid w:val="00B857D1"/>
    <w:rsid w:val="00B90D70"/>
    <w:rsid w:val="00B911AF"/>
    <w:rsid w:val="00B95F1D"/>
    <w:rsid w:val="00B96C1C"/>
    <w:rsid w:val="00BA2B19"/>
    <w:rsid w:val="00BB1D03"/>
    <w:rsid w:val="00BB5044"/>
    <w:rsid w:val="00BB6012"/>
    <w:rsid w:val="00BB6C11"/>
    <w:rsid w:val="00BC0154"/>
    <w:rsid w:val="00BC140E"/>
    <w:rsid w:val="00BC2B75"/>
    <w:rsid w:val="00BC58B2"/>
    <w:rsid w:val="00BD25A3"/>
    <w:rsid w:val="00BD6189"/>
    <w:rsid w:val="00BE031A"/>
    <w:rsid w:val="00BE0E78"/>
    <w:rsid w:val="00BE16DD"/>
    <w:rsid w:val="00BE1853"/>
    <w:rsid w:val="00BE2F65"/>
    <w:rsid w:val="00BE3EB3"/>
    <w:rsid w:val="00BE438B"/>
    <w:rsid w:val="00BE6039"/>
    <w:rsid w:val="00BF2D75"/>
    <w:rsid w:val="00BF32A8"/>
    <w:rsid w:val="00BF36A0"/>
    <w:rsid w:val="00BF3998"/>
    <w:rsid w:val="00BF5707"/>
    <w:rsid w:val="00BF5CFD"/>
    <w:rsid w:val="00C05061"/>
    <w:rsid w:val="00C06934"/>
    <w:rsid w:val="00C06AC3"/>
    <w:rsid w:val="00C111FE"/>
    <w:rsid w:val="00C21A76"/>
    <w:rsid w:val="00C2397A"/>
    <w:rsid w:val="00C2556C"/>
    <w:rsid w:val="00C35161"/>
    <w:rsid w:val="00C417FA"/>
    <w:rsid w:val="00C421FA"/>
    <w:rsid w:val="00C42668"/>
    <w:rsid w:val="00C44F05"/>
    <w:rsid w:val="00C46BEB"/>
    <w:rsid w:val="00C50FF9"/>
    <w:rsid w:val="00C64B94"/>
    <w:rsid w:val="00C6518F"/>
    <w:rsid w:val="00C65B9C"/>
    <w:rsid w:val="00C65F53"/>
    <w:rsid w:val="00C7012E"/>
    <w:rsid w:val="00C71017"/>
    <w:rsid w:val="00C712B5"/>
    <w:rsid w:val="00C7455C"/>
    <w:rsid w:val="00C773C4"/>
    <w:rsid w:val="00C80332"/>
    <w:rsid w:val="00C83A50"/>
    <w:rsid w:val="00C85CDF"/>
    <w:rsid w:val="00C9594F"/>
    <w:rsid w:val="00C962C7"/>
    <w:rsid w:val="00CB13F5"/>
    <w:rsid w:val="00CB4529"/>
    <w:rsid w:val="00CB5645"/>
    <w:rsid w:val="00CB77F1"/>
    <w:rsid w:val="00CB7CD7"/>
    <w:rsid w:val="00CB7FDE"/>
    <w:rsid w:val="00CC094C"/>
    <w:rsid w:val="00CC16CD"/>
    <w:rsid w:val="00CC1DB4"/>
    <w:rsid w:val="00CC35B9"/>
    <w:rsid w:val="00CC4927"/>
    <w:rsid w:val="00CC4E56"/>
    <w:rsid w:val="00CC67B9"/>
    <w:rsid w:val="00CE0B80"/>
    <w:rsid w:val="00CE4320"/>
    <w:rsid w:val="00CE4CE6"/>
    <w:rsid w:val="00CE768C"/>
    <w:rsid w:val="00CF00A2"/>
    <w:rsid w:val="00CF1A97"/>
    <w:rsid w:val="00CF54B2"/>
    <w:rsid w:val="00CF59EC"/>
    <w:rsid w:val="00D017CC"/>
    <w:rsid w:val="00D03757"/>
    <w:rsid w:val="00D1046D"/>
    <w:rsid w:val="00D10D01"/>
    <w:rsid w:val="00D12B9E"/>
    <w:rsid w:val="00D13652"/>
    <w:rsid w:val="00D14103"/>
    <w:rsid w:val="00D14EB2"/>
    <w:rsid w:val="00D201FC"/>
    <w:rsid w:val="00D204EA"/>
    <w:rsid w:val="00D2052B"/>
    <w:rsid w:val="00D209F1"/>
    <w:rsid w:val="00D230C5"/>
    <w:rsid w:val="00D24972"/>
    <w:rsid w:val="00D256B4"/>
    <w:rsid w:val="00D27E2D"/>
    <w:rsid w:val="00D317DE"/>
    <w:rsid w:val="00D32AD1"/>
    <w:rsid w:val="00D36054"/>
    <w:rsid w:val="00D400F1"/>
    <w:rsid w:val="00D43639"/>
    <w:rsid w:val="00D46D9D"/>
    <w:rsid w:val="00D46EAD"/>
    <w:rsid w:val="00D470CE"/>
    <w:rsid w:val="00D57047"/>
    <w:rsid w:val="00D62D34"/>
    <w:rsid w:val="00D64C66"/>
    <w:rsid w:val="00D66FD9"/>
    <w:rsid w:val="00D67131"/>
    <w:rsid w:val="00D67D12"/>
    <w:rsid w:val="00D70886"/>
    <w:rsid w:val="00D717CC"/>
    <w:rsid w:val="00D71B02"/>
    <w:rsid w:val="00D7362A"/>
    <w:rsid w:val="00D747F5"/>
    <w:rsid w:val="00D76B0A"/>
    <w:rsid w:val="00D86718"/>
    <w:rsid w:val="00D9072F"/>
    <w:rsid w:val="00D919E3"/>
    <w:rsid w:val="00D930A8"/>
    <w:rsid w:val="00DA35BA"/>
    <w:rsid w:val="00DA4AA6"/>
    <w:rsid w:val="00DA53BD"/>
    <w:rsid w:val="00DA73CF"/>
    <w:rsid w:val="00DA76A0"/>
    <w:rsid w:val="00DB0C1F"/>
    <w:rsid w:val="00DB5BAC"/>
    <w:rsid w:val="00DB5D08"/>
    <w:rsid w:val="00DC1D11"/>
    <w:rsid w:val="00DD1BDE"/>
    <w:rsid w:val="00DD24AE"/>
    <w:rsid w:val="00DD6A96"/>
    <w:rsid w:val="00DE017F"/>
    <w:rsid w:val="00DE5F3F"/>
    <w:rsid w:val="00DE62E7"/>
    <w:rsid w:val="00DF225B"/>
    <w:rsid w:val="00E03B99"/>
    <w:rsid w:val="00E06451"/>
    <w:rsid w:val="00E06B77"/>
    <w:rsid w:val="00E11251"/>
    <w:rsid w:val="00E11465"/>
    <w:rsid w:val="00E1330F"/>
    <w:rsid w:val="00E1382C"/>
    <w:rsid w:val="00E257A8"/>
    <w:rsid w:val="00E27FAC"/>
    <w:rsid w:val="00E3316E"/>
    <w:rsid w:val="00E347C3"/>
    <w:rsid w:val="00E35AB7"/>
    <w:rsid w:val="00E40A59"/>
    <w:rsid w:val="00E415ED"/>
    <w:rsid w:val="00E47EB9"/>
    <w:rsid w:val="00E52406"/>
    <w:rsid w:val="00E52CC3"/>
    <w:rsid w:val="00E57B23"/>
    <w:rsid w:val="00E61384"/>
    <w:rsid w:val="00E6312B"/>
    <w:rsid w:val="00E6504E"/>
    <w:rsid w:val="00E70F6D"/>
    <w:rsid w:val="00E716A8"/>
    <w:rsid w:val="00E739FC"/>
    <w:rsid w:val="00E76176"/>
    <w:rsid w:val="00E80BC2"/>
    <w:rsid w:val="00E80D32"/>
    <w:rsid w:val="00E83AC0"/>
    <w:rsid w:val="00E853BD"/>
    <w:rsid w:val="00E85F89"/>
    <w:rsid w:val="00E86585"/>
    <w:rsid w:val="00E873E2"/>
    <w:rsid w:val="00E90E20"/>
    <w:rsid w:val="00E928D8"/>
    <w:rsid w:val="00E97799"/>
    <w:rsid w:val="00EA089A"/>
    <w:rsid w:val="00EA43F9"/>
    <w:rsid w:val="00EA617D"/>
    <w:rsid w:val="00EA628E"/>
    <w:rsid w:val="00EA650A"/>
    <w:rsid w:val="00EA7EF9"/>
    <w:rsid w:val="00EB332E"/>
    <w:rsid w:val="00EC2BDB"/>
    <w:rsid w:val="00EC5859"/>
    <w:rsid w:val="00EC5887"/>
    <w:rsid w:val="00EC6280"/>
    <w:rsid w:val="00EC67B5"/>
    <w:rsid w:val="00ED1BB7"/>
    <w:rsid w:val="00ED3166"/>
    <w:rsid w:val="00ED4733"/>
    <w:rsid w:val="00ED654F"/>
    <w:rsid w:val="00EE4752"/>
    <w:rsid w:val="00EF0824"/>
    <w:rsid w:val="00EF09E3"/>
    <w:rsid w:val="00EF4A70"/>
    <w:rsid w:val="00EF5363"/>
    <w:rsid w:val="00EF5F52"/>
    <w:rsid w:val="00F0129E"/>
    <w:rsid w:val="00F03390"/>
    <w:rsid w:val="00F04E22"/>
    <w:rsid w:val="00F075A4"/>
    <w:rsid w:val="00F12B63"/>
    <w:rsid w:val="00F14CD7"/>
    <w:rsid w:val="00F14E6E"/>
    <w:rsid w:val="00F1744B"/>
    <w:rsid w:val="00F25414"/>
    <w:rsid w:val="00F25878"/>
    <w:rsid w:val="00F27091"/>
    <w:rsid w:val="00F27B92"/>
    <w:rsid w:val="00F308DB"/>
    <w:rsid w:val="00F30B79"/>
    <w:rsid w:val="00F31901"/>
    <w:rsid w:val="00F36060"/>
    <w:rsid w:val="00F400FC"/>
    <w:rsid w:val="00F529B2"/>
    <w:rsid w:val="00F559B6"/>
    <w:rsid w:val="00F652C2"/>
    <w:rsid w:val="00F716A7"/>
    <w:rsid w:val="00F752AF"/>
    <w:rsid w:val="00F84389"/>
    <w:rsid w:val="00F8454B"/>
    <w:rsid w:val="00F84FF0"/>
    <w:rsid w:val="00F909FA"/>
    <w:rsid w:val="00F92A7F"/>
    <w:rsid w:val="00F96266"/>
    <w:rsid w:val="00F970F2"/>
    <w:rsid w:val="00F976E9"/>
    <w:rsid w:val="00FA28EF"/>
    <w:rsid w:val="00FA2F5E"/>
    <w:rsid w:val="00FA3605"/>
    <w:rsid w:val="00FB20E4"/>
    <w:rsid w:val="00FB24E4"/>
    <w:rsid w:val="00FC01DF"/>
    <w:rsid w:val="00FC3D1F"/>
    <w:rsid w:val="00FD1B83"/>
    <w:rsid w:val="00FD50B5"/>
    <w:rsid w:val="00FE36A1"/>
    <w:rsid w:val="00FE4C96"/>
    <w:rsid w:val="00FE538C"/>
    <w:rsid w:val="00FE5A25"/>
    <w:rsid w:val="00FF0EF9"/>
    <w:rsid w:val="00FF1043"/>
    <w:rsid w:val="00FF2E62"/>
    <w:rsid w:val="00FF3392"/>
    <w:rsid w:val="00FF3EB4"/>
    <w:rsid w:val="00FF4DC1"/>
    <w:rsid w:val="00FF5CCA"/>
    <w:rsid w:val="00FF6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1218BD"/>
  <w15:docId w15:val="{BFD52006-D021-4141-8257-0BDF0526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757"/>
    <w:rPr>
      <w:rFonts w:ascii="Times New Roman" w:eastAsia="Times New Roman" w:hAnsi="Times New Roman" w:cs="Times New Roman"/>
      <w:lang w:val="en-US" w:eastAsia="en-GB"/>
    </w:rPr>
  </w:style>
  <w:style w:type="paragraph" w:styleId="Heading1">
    <w:name w:val="heading 1"/>
    <w:basedOn w:val="Normal"/>
    <w:link w:val="Heading1Char"/>
    <w:uiPriority w:val="9"/>
    <w:qFormat/>
    <w:rsid w:val="009F64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0F78B3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0F78B3"/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3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360"/>
    <w:rPr>
      <w:rFonts w:ascii="Lucida Grande" w:hAnsi="Lucida Grande"/>
      <w:sz w:val="18"/>
      <w:szCs w:val="18"/>
    </w:rPr>
  </w:style>
  <w:style w:type="character" w:customStyle="1" w:styleId="nlm-surname">
    <w:name w:val="nlm-surname"/>
    <w:basedOn w:val="DefaultParagraphFont"/>
    <w:rsid w:val="00CE4CE6"/>
  </w:style>
  <w:style w:type="paragraph" w:styleId="ListParagraph">
    <w:name w:val="List Paragraph"/>
    <w:basedOn w:val="Normal"/>
    <w:uiPriority w:val="34"/>
    <w:qFormat/>
    <w:rsid w:val="00CE4CE6"/>
    <w:pPr>
      <w:ind w:left="720"/>
      <w:contextualSpacing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742B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B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B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B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B40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415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5FF"/>
  </w:style>
  <w:style w:type="character" w:styleId="PageNumber">
    <w:name w:val="page number"/>
    <w:basedOn w:val="DefaultParagraphFont"/>
    <w:uiPriority w:val="99"/>
    <w:semiHidden/>
    <w:unhideWhenUsed/>
    <w:rsid w:val="008415FF"/>
  </w:style>
  <w:style w:type="paragraph" w:styleId="Revision">
    <w:name w:val="Revision"/>
    <w:hidden/>
    <w:uiPriority w:val="99"/>
    <w:semiHidden/>
    <w:rsid w:val="00D204EA"/>
  </w:style>
  <w:style w:type="paragraph" w:styleId="NormalWeb">
    <w:name w:val="Normal (Web)"/>
    <w:basedOn w:val="Normal"/>
    <w:uiPriority w:val="99"/>
    <w:unhideWhenUsed/>
    <w:rsid w:val="00C6518F"/>
    <w:pPr>
      <w:spacing w:before="100" w:beforeAutospacing="1" w:after="100" w:afterAutospacing="1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F64E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F64EC"/>
    <w:rPr>
      <w:color w:val="0000FF"/>
      <w:u w:val="single"/>
    </w:rPr>
  </w:style>
  <w:style w:type="character" w:customStyle="1" w:styleId="highwire-citation-authors">
    <w:name w:val="highwire-citation-authors"/>
    <w:basedOn w:val="DefaultParagraphFont"/>
    <w:rsid w:val="00B62090"/>
  </w:style>
  <w:style w:type="character" w:styleId="LineNumber">
    <w:name w:val="line number"/>
    <w:basedOn w:val="DefaultParagraphFont"/>
    <w:uiPriority w:val="99"/>
    <w:semiHidden/>
    <w:unhideWhenUsed/>
    <w:rsid w:val="009A407D"/>
  </w:style>
  <w:style w:type="paragraph" w:styleId="Header">
    <w:name w:val="header"/>
    <w:basedOn w:val="Normal"/>
    <w:link w:val="HeaderChar"/>
    <w:uiPriority w:val="99"/>
    <w:unhideWhenUsed/>
    <w:rsid w:val="00060F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FAA"/>
    <w:rPr>
      <w:rFonts w:ascii="Times New Roman" w:eastAsia="Times New Roman" w:hAnsi="Times New Roman" w:cs="Times New Roman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7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1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8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01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9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0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40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81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E41E4E-E15D-D643-91DA-9803264A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Li</dc:creator>
  <cp:keywords/>
  <dc:description/>
  <cp:lastModifiedBy>Wei Li</cp:lastModifiedBy>
  <cp:revision>19</cp:revision>
  <cp:lastPrinted>2018-06-13T12:23:00Z</cp:lastPrinted>
  <dcterms:created xsi:type="dcterms:W3CDTF">2018-06-17T08:23:00Z</dcterms:created>
  <dcterms:modified xsi:type="dcterms:W3CDTF">2018-06-20T08:20:00Z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16th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7th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http://www.zotero.org/styles/vancouver</vt:lpwstr>
  </property>
  <property fmtid="{D5CDD505-2E9C-101B-9397-08002B2CF9AE}" pid="19" name="Mendeley Recent Style Name 8_1">
    <vt:lpwstr>Vancouver</vt:lpwstr>
  </property>
  <property fmtid="{D5CDD505-2E9C-101B-9397-08002B2CF9AE}" pid="20" name="Mendeley Recent Style Id 9_1">
    <vt:lpwstr>http://csl.mendeley.com/styles/197841831/vancouver-3</vt:lpwstr>
  </property>
  <property fmtid="{D5CDD505-2E9C-101B-9397-08002B2CF9AE}" pid="21" name="Mendeley Recent Style Name 9_1">
    <vt:lpwstr>Vancouver - Katharine Lodge</vt:lpwstr>
  </property>
</Properties>
</file>