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F3162A" w14:textId="239CBCE4" w:rsidR="00962A3D" w:rsidRDefault="00236F6B" w:rsidP="009E3AC1">
      <w:pPr>
        <w:spacing w:line="360" w:lineRule="auto"/>
        <w:jc w:val="both"/>
        <w:rPr>
          <w:rFonts w:ascii="Times New Roman" w:hAnsi="Times New Roman" w:cs="Times New Roman"/>
          <w:b/>
          <w:smallCaps/>
          <w:sz w:val="24"/>
          <w:szCs w:val="24"/>
        </w:rPr>
      </w:pPr>
      <w:r w:rsidRPr="00236F6B">
        <w:rPr>
          <w:rFonts w:ascii="Arial" w:hAnsi="Arial" w:cs="Arial"/>
          <w:b/>
          <w:iCs/>
          <w:sz w:val="24"/>
          <w:szCs w:val="24"/>
          <w:lang w:eastAsia="en-US"/>
        </w:rPr>
        <w:t>Tearing Down the Information Barrier: The Price Impacts of Energy Efficiency Ratings for Buildings in the German Rental Market</w:t>
      </w:r>
      <w:r w:rsidR="00247DED" w:rsidRPr="00236F6B">
        <w:rPr>
          <w:rFonts w:ascii="Times New Roman" w:hAnsi="Times New Roman" w:cs="Times New Roman"/>
          <w:b/>
          <w:smallCaps/>
          <w:sz w:val="24"/>
          <w:szCs w:val="24"/>
        </w:rPr>
        <w:t xml:space="preserve"> </w:t>
      </w:r>
    </w:p>
    <w:p w14:paraId="5564ACBC" w14:textId="77777777" w:rsidR="00962A3D" w:rsidRDefault="00962A3D" w:rsidP="00962A3D">
      <w:pPr>
        <w:autoSpaceDE w:val="0"/>
        <w:autoSpaceDN w:val="0"/>
        <w:adjustRightInd w:val="0"/>
        <w:spacing w:after="0" w:line="240" w:lineRule="auto"/>
        <w:rPr>
          <w:rFonts w:ascii="Times New Roman" w:eastAsiaTheme="minorHAnsi" w:hAnsi="Times New Roman" w:cs="Times New Roman"/>
          <w:b/>
          <w:bCs/>
          <w:sz w:val="14"/>
          <w:szCs w:val="14"/>
          <w:lang w:eastAsia="en-US"/>
        </w:rPr>
      </w:pPr>
      <w:r>
        <w:rPr>
          <w:rFonts w:ascii="Times New Roman" w:eastAsiaTheme="minorHAnsi" w:hAnsi="Times New Roman" w:cs="Times New Roman"/>
          <w:b/>
          <w:bCs/>
          <w:lang w:eastAsia="en-US"/>
        </w:rPr>
        <w:t>Marcelo CAJIAS</w:t>
      </w:r>
      <w:r>
        <w:rPr>
          <w:rFonts w:ascii="Times New Roman" w:eastAsiaTheme="minorHAnsi" w:hAnsi="Times New Roman" w:cs="Times New Roman"/>
          <w:b/>
          <w:bCs/>
          <w:sz w:val="14"/>
          <w:szCs w:val="14"/>
          <w:lang w:eastAsia="en-US"/>
        </w:rPr>
        <w:t>a</w:t>
      </w:r>
    </w:p>
    <w:p w14:paraId="12438B6E" w14:textId="77777777" w:rsidR="00962A3D" w:rsidRDefault="00962A3D" w:rsidP="00962A3D">
      <w:pPr>
        <w:autoSpaceDE w:val="0"/>
        <w:autoSpaceDN w:val="0"/>
        <w:adjustRightInd w:val="0"/>
        <w:spacing w:after="0" w:line="240" w:lineRule="auto"/>
        <w:rPr>
          <w:rFonts w:ascii="Times New Roman" w:eastAsiaTheme="minorHAnsi" w:hAnsi="Times New Roman" w:cs="Times New Roman"/>
          <w:b/>
          <w:bCs/>
          <w:sz w:val="14"/>
          <w:szCs w:val="14"/>
          <w:lang w:eastAsia="en-US"/>
        </w:rPr>
      </w:pPr>
      <w:r>
        <w:rPr>
          <w:rFonts w:ascii="Times New Roman" w:eastAsiaTheme="minorHAnsi" w:hAnsi="Times New Roman" w:cs="Times New Roman"/>
          <w:b/>
          <w:bCs/>
          <w:lang w:eastAsia="en-US"/>
        </w:rPr>
        <w:t>Franz FUERST</w:t>
      </w:r>
      <w:r>
        <w:rPr>
          <w:rFonts w:ascii="Times New Roman" w:eastAsiaTheme="minorHAnsi" w:hAnsi="Times New Roman" w:cs="Times New Roman"/>
          <w:b/>
          <w:bCs/>
          <w:sz w:val="14"/>
          <w:szCs w:val="14"/>
          <w:lang w:eastAsia="en-US"/>
        </w:rPr>
        <w:t>b</w:t>
      </w:r>
    </w:p>
    <w:p w14:paraId="4448BA5A" w14:textId="77777777" w:rsidR="00962A3D" w:rsidRDefault="00962A3D" w:rsidP="00962A3D">
      <w:pPr>
        <w:autoSpaceDE w:val="0"/>
        <w:autoSpaceDN w:val="0"/>
        <w:adjustRightInd w:val="0"/>
        <w:spacing w:after="0" w:line="240" w:lineRule="auto"/>
        <w:rPr>
          <w:rFonts w:ascii="Times New Roman" w:eastAsiaTheme="minorHAnsi" w:hAnsi="Times New Roman" w:cs="Times New Roman"/>
          <w:b/>
          <w:bCs/>
          <w:sz w:val="14"/>
          <w:szCs w:val="14"/>
          <w:lang w:eastAsia="en-US"/>
        </w:rPr>
      </w:pPr>
      <w:r>
        <w:rPr>
          <w:rFonts w:ascii="Times New Roman" w:eastAsiaTheme="minorHAnsi" w:hAnsi="Times New Roman" w:cs="Times New Roman"/>
          <w:b/>
          <w:bCs/>
          <w:lang w:eastAsia="en-US"/>
        </w:rPr>
        <w:t>Sven BIENERT</w:t>
      </w:r>
      <w:r>
        <w:rPr>
          <w:rFonts w:ascii="Times New Roman" w:eastAsiaTheme="minorHAnsi" w:hAnsi="Times New Roman" w:cs="Times New Roman"/>
          <w:b/>
          <w:bCs/>
          <w:sz w:val="14"/>
          <w:szCs w:val="14"/>
          <w:lang w:eastAsia="en-US"/>
        </w:rPr>
        <w:t>c</w:t>
      </w:r>
    </w:p>
    <w:p w14:paraId="3521DBCC" w14:textId="77777777" w:rsidR="00962A3D" w:rsidRDefault="00962A3D" w:rsidP="00962A3D">
      <w:pPr>
        <w:autoSpaceDE w:val="0"/>
        <w:autoSpaceDN w:val="0"/>
        <w:adjustRightInd w:val="0"/>
        <w:spacing w:after="0" w:line="240" w:lineRule="auto"/>
        <w:rPr>
          <w:rFonts w:ascii="Times New Roman" w:eastAsiaTheme="minorHAnsi" w:hAnsi="Times New Roman" w:cs="Times New Roman"/>
          <w:i/>
          <w:iCs/>
          <w:sz w:val="20"/>
          <w:szCs w:val="20"/>
          <w:lang w:eastAsia="en-US"/>
        </w:rPr>
      </w:pPr>
      <w:r>
        <w:rPr>
          <w:rFonts w:ascii="Times New Roman" w:eastAsiaTheme="minorHAnsi" w:hAnsi="Times New Roman" w:cs="Times New Roman"/>
          <w:sz w:val="13"/>
          <w:szCs w:val="13"/>
          <w:lang w:eastAsia="en-US"/>
        </w:rPr>
        <w:t xml:space="preserve">a </w:t>
      </w:r>
      <w:r>
        <w:rPr>
          <w:rFonts w:ascii="Times New Roman" w:eastAsiaTheme="minorHAnsi" w:hAnsi="Times New Roman" w:cs="Times New Roman"/>
          <w:b/>
          <w:bCs/>
          <w:i/>
          <w:iCs/>
          <w:sz w:val="20"/>
          <w:szCs w:val="20"/>
          <w:lang w:eastAsia="en-US"/>
        </w:rPr>
        <w:t xml:space="preserve">PATRIZIA </w:t>
      </w:r>
      <w:r>
        <w:rPr>
          <w:rFonts w:ascii="Times New Roman" w:eastAsiaTheme="minorHAnsi" w:hAnsi="Times New Roman" w:cs="Times New Roman"/>
          <w:i/>
          <w:iCs/>
          <w:sz w:val="20"/>
          <w:szCs w:val="20"/>
          <w:lang w:eastAsia="en-US"/>
        </w:rPr>
        <w:t>Immobilien AG, Fuggerstraße 26, 86150 Augsburg, GERMANY</w:t>
      </w:r>
    </w:p>
    <w:p w14:paraId="6EF9F76D" w14:textId="77777777" w:rsidR="00962A3D" w:rsidRDefault="00962A3D" w:rsidP="00962A3D">
      <w:pPr>
        <w:autoSpaceDE w:val="0"/>
        <w:autoSpaceDN w:val="0"/>
        <w:adjustRightInd w:val="0"/>
        <w:spacing w:after="0" w:line="240" w:lineRule="auto"/>
        <w:rPr>
          <w:rFonts w:ascii="Times New Roman" w:eastAsiaTheme="minorHAnsi" w:hAnsi="Times New Roman" w:cs="Times New Roman"/>
          <w:i/>
          <w:iCs/>
          <w:sz w:val="20"/>
          <w:szCs w:val="20"/>
          <w:lang w:eastAsia="en-US"/>
        </w:rPr>
      </w:pPr>
      <w:r>
        <w:rPr>
          <w:rFonts w:ascii="Times New Roman" w:eastAsiaTheme="minorHAnsi" w:hAnsi="Times New Roman" w:cs="Times New Roman"/>
          <w:sz w:val="13"/>
          <w:szCs w:val="13"/>
          <w:lang w:eastAsia="en-US"/>
        </w:rPr>
        <w:t xml:space="preserve">b </w:t>
      </w:r>
      <w:r>
        <w:rPr>
          <w:rFonts w:ascii="Times New Roman" w:eastAsiaTheme="minorHAnsi" w:hAnsi="Times New Roman" w:cs="Times New Roman"/>
          <w:b/>
          <w:bCs/>
          <w:i/>
          <w:iCs/>
          <w:sz w:val="20"/>
          <w:szCs w:val="20"/>
          <w:lang w:eastAsia="en-US"/>
        </w:rPr>
        <w:t>UNIVERSITY of Cambridge</w:t>
      </w:r>
      <w:r>
        <w:rPr>
          <w:rFonts w:ascii="Times New Roman" w:eastAsiaTheme="minorHAnsi" w:hAnsi="Times New Roman" w:cs="Times New Roman"/>
          <w:i/>
          <w:iCs/>
          <w:sz w:val="20"/>
          <w:szCs w:val="20"/>
          <w:lang w:eastAsia="en-US"/>
        </w:rPr>
        <w:t>, Department of Land Economy, 19 Silver Street, Cambridge CB3 9EP, UK</w:t>
      </w:r>
    </w:p>
    <w:p w14:paraId="0695F408" w14:textId="77777777" w:rsidR="00962A3D" w:rsidRDefault="00962A3D" w:rsidP="00962A3D">
      <w:pPr>
        <w:autoSpaceDE w:val="0"/>
        <w:autoSpaceDN w:val="0"/>
        <w:adjustRightInd w:val="0"/>
        <w:spacing w:after="0" w:line="240" w:lineRule="auto"/>
        <w:rPr>
          <w:rFonts w:ascii="Times New Roman" w:eastAsiaTheme="minorHAnsi" w:hAnsi="Times New Roman" w:cs="Times New Roman"/>
          <w:i/>
          <w:iCs/>
          <w:sz w:val="20"/>
          <w:szCs w:val="20"/>
          <w:lang w:eastAsia="en-US"/>
        </w:rPr>
      </w:pPr>
      <w:r>
        <w:rPr>
          <w:rFonts w:ascii="Times New Roman" w:eastAsiaTheme="minorHAnsi" w:hAnsi="Times New Roman" w:cs="Times New Roman"/>
          <w:sz w:val="13"/>
          <w:szCs w:val="13"/>
          <w:lang w:eastAsia="en-US"/>
        </w:rPr>
        <w:t xml:space="preserve">c </w:t>
      </w:r>
      <w:r>
        <w:rPr>
          <w:rFonts w:ascii="Times New Roman" w:eastAsiaTheme="minorHAnsi" w:hAnsi="Times New Roman" w:cs="Times New Roman"/>
          <w:b/>
          <w:bCs/>
          <w:i/>
          <w:iCs/>
          <w:sz w:val="20"/>
          <w:szCs w:val="20"/>
          <w:lang w:eastAsia="en-US"/>
        </w:rPr>
        <w:t>UNIVERSITY of Regensburg</w:t>
      </w:r>
      <w:r>
        <w:rPr>
          <w:rFonts w:ascii="Times New Roman" w:eastAsiaTheme="minorHAnsi" w:hAnsi="Times New Roman" w:cs="Times New Roman"/>
          <w:i/>
          <w:iCs/>
          <w:sz w:val="20"/>
          <w:szCs w:val="20"/>
          <w:lang w:eastAsia="en-US"/>
        </w:rPr>
        <w:t>, IREBS Institute, Universitätsstrasse 31, 93053, GERMANY</w:t>
      </w:r>
    </w:p>
    <w:p w14:paraId="41BF8BE1" w14:textId="77777777" w:rsidR="00962A3D" w:rsidRDefault="00962A3D" w:rsidP="00962A3D">
      <w:pPr>
        <w:autoSpaceDE w:val="0"/>
        <w:autoSpaceDN w:val="0"/>
        <w:adjustRightInd w:val="0"/>
        <w:spacing w:after="0" w:line="240" w:lineRule="auto"/>
        <w:rPr>
          <w:rFonts w:ascii="Times New Roman" w:eastAsiaTheme="minorHAnsi" w:hAnsi="Times New Roman" w:cs="Times New Roman"/>
          <w:b/>
          <w:bCs/>
          <w:sz w:val="18"/>
          <w:szCs w:val="18"/>
          <w:lang w:eastAsia="en-US"/>
        </w:rPr>
      </w:pPr>
      <w:r>
        <w:rPr>
          <w:rFonts w:ascii="Times New Roman" w:eastAsiaTheme="minorHAnsi" w:hAnsi="Times New Roman" w:cs="Times New Roman"/>
          <w:b/>
          <w:bCs/>
          <w:sz w:val="18"/>
          <w:szCs w:val="18"/>
          <w:lang w:eastAsia="en-US"/>
        </w:rPr>
        <w:t>ABSTRACT:</w:t>
      </w:r>
    </w:p>
    <w:p w14:paraId="2500D3A2" w14:textId="3754D417" w:rsidR="00962A3D" w:rsidRDefault="00962A3D" w:rsidP="00962A3D">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Improving the energy efficiency levels of the housing stock is of particular concern in the private rentalmarket where capital costs and utility cost savings are not shared in equal measure by landlords and tenants.</w:t>
      </w:r>
    </w:p>
    <w:p w14:paraId="2BC3C3A5" w14:textId="77777777" w:rsidR="00962A3D" w:rsidRDefault="00962A3D" w:rsidP="00962A3D">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This problem is particularly pronounced in the German housing market with its predominance of rented</w:t>
      </w:r>
    </w:p>
    <w:p w14:paraId="103569F6" w14:textId="77777777" w:rsidR="00962A3D" w:rsidRDefault="00962A3D" w:rsidP="00962A3D">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accommodation over owner occupancy. The present study is the largest to date to investigate the effect of</w:t>
      </w:r>
    </w:p>
    <w:p w14:paraId="6C2EADC0" w14:textId="77777777" w:rsidR="00962A3D" w:rsidRDefault="00962A3D" w:rsidP="00962A3D">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energy efficiency ratings on rental values. Using a semiparametric hedonic model and an empirical sample</w:t>
      </w:r>
    </w:p>
    <w:p w14:paraId="55CC7F1B" w14:textId="77777777" w:rsidR="00962A3D" w:rsidRDefault="00962A3D" w:rsidP="00962A3D">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of nearly 760 thousand observations across 403 local markets in Germany with full hedonic characteristics,</w:t>
      </w:r>
    </w:p>
    <w:p w14:paraId="21351F6E" w14:textId="77777777" w:rsidR="00962A3D" w:rsidRDefault="00962A3D" w:rsidP="00962A3D">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we find evidence that energy-efficient rental units are rented at a premium. However, this effect is not</w:t>
      </w:r>
    </w:p>
    <w:p w14:paraId="0E0372AA" w14:textId="77777777" w:rsidR="00962A3D" w:rsidRDefault="00962A3D" w:rsidP="00962A3D">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confirmed for the largest metropolitan housing markets. In a second step, a survival hazard model is</w:t>
      </w:r>
    </w:p>
    <w:p w14:paraId="3552A3F9" w14:textId="77777777" w:rsidR="00962A3D" w:rsidRDefault="00962A3D" w:rsidP="00962A3D">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estimated to study the impact of the energy ratings on time-on-market. It is found that energy inefficient</w:t>
      </w:r>
    </w:p>
    <w:p w14:paraId="3E69547C" w14:textId="77777777" w:rsidR="00962A3D" w:rsidRDefault="00962A3D" w:rsidP="00962A3D">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dwelling have longer marketing periods and are hence less liquid than their more energy efficient</w:t>
      </w:r>
    </w:p>
    <w:p w14:paraId="69DAE865" w14:textId="583DFC0B" w:rsidR="00962A3D" w:rsidRDefault="00962A3D" w:rsidP="00962A3D">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counterparts.</w:t>
      </w:r>
    </w:p>
    <w:p w14:paraId="5CFB1FD7" w14:textId="77777777" w:rsidR="00962A3D" w:rsidRDefault="00962A3D" w:rsidP="00962A3D">
      <w:pPr>
        <w:autoSpaceDE w:val="0"/>
        <w:autoSpaceDN w:val="0"/>
        <w:adjustRightInd w:val="0"/>
        <w:spacing w:after="0" w:line="240" w:lineRule="auto"/>
        <w:rPr>
          <w:rFonts w:ascii="Times New Roman" w:eastAsiaTheme="minorHAnsi" w:hAnsi="Times New Roman" w:cs="Times New Roman"/>
          <w:sz w:val="20"/>
          <w:szCs w:val="20"/>
          <w:lang w:eastAsia="en-US"/>
        </w:rPr>
      </w:pPr>
    </w:p>
    <w:p w14:paraId="0E12523F" w14:textId="5F391B03" w:rsidR="00962A3D" w:rsidRDefault="00962A3D" w:rsidP="00962A3D">
      <w:pPr>
        <w:autoSpaceDE w:val="0"/>
        <w:autoSpaceDN w:val="0"/>
        <w:adjustRightInd w:val="0"/>
        <w:spacing w:after="0" w:line="240" w:lineRule="auto"/>
        <w:rPr>
          <w:rFonts w:ascii="Times New Roman" w:eastAsiaTheme="minorHAnsi" w:hAnsi="Times New Roman" w:cs="Times New Roman"/>
          <w:sz w:val="18"/>
          <w:szCs w:val="18"/>
          <w:lang w:eastAsia="en-US"/>
        </w:rPr>
      </w:pPr>
      <w:r>
        <w:rPr>
          <w:rFonts w:ascii="Times New Roman" w:eastAsiaTheme="minorHAnsi" w:hAnsi="Times New Roman" w:cs="Times New Roman"/>
          <w:b/>
          <w:bCs/>
          <w:sz w:val="18"/>
          <w:szCs w:val="18"/>
          <w:lang w:eastAsia="en-US"/>
        </w:rPr>
        <w:t xml:space="preserve">KEYWORDS: </w:t>
      </w:r>
      <w:r>
        <w:rPr>
          <w:rFonts w:ascii="Times New Roman" w:eastAsiaTheme="minorHAnsi" w:hAnsi="Times New Roman" w:cs="Times New Roman"/>
          <w:sz w:val="18"/>
          <w:szCs w:val="18"/>
          <w:lang w:eastAsia="en-US"/>
        </w:rPr>
        <w:t>Energy efficiency, Residential buildings, Hedonic model, Hazard model, German housing market</w:t>
      </w:r>
    </w:p>
    <w:p w14:paraId="2CCE2226" w14:textId="77777777" w:rsidR="00962A3D" w:rsidRDefault="00962A3D" w:rsidP="00962A3D">
      <w:pPr>
        <w:autoSpaceDE w:val="0"/>
        <w:autoSpaceDN w:val="0"/>
        <w:adjustRightInd w:val="0"/>
        <w:spacing w:after="0" w:line="240" w:lineRule="auto"/>
        <w:rPr>
          <w:rFonts w:ascii="Times New Roman" w:eastAsiaTheme="minorHAnsi" w:hAnsi="Times New Roman" w:cs="Times New Roman"/>
          <w:sz w:val="18"/>
          <w:szCs w:val="18"/>
          <w:lang w:eastAsia="en-US"/>
        </w:rPr>
      </w:pPr>
    </w:p>
    <w:p w14:paraId="6FE9EF69" w14:textId="0A07BBF3" w:rsidR="00962A3D" w:rsidRDefault="00962A3D" w:rsidP="00962A3D">
      <w:pPr>
        <w:autoSpaceDE w:val="0"/>
        <w:autoSpaceDN w:val="0"/>
        <w:adjustRightInd w:val="0"/>
        <w:spacing w:after="0" w:line="240" w:lineRule="auto"/>
        <w:rPr>
          <w:rFonts w:ascii="Times New Roman" w:eastAsiaTheme="minorHAnsi" w:hAnsi="Times New Roman" w:cs="Times New Roman"/>
          <w:sz w:val="18"/>
          <w:szCs w:val="18"/>
          <w:lang w:eastAsia="en-US"/>
        </w:rPr>
      </w:pPr>
      <w:r>
        <w:rPr>
          <w:rFonts w:ascii="Times New Roman" w:eastAsiaTheme="minorHAnsi" w:hAnsi="Times New Roman" w:cs="Times New Roman"/>
          <w:b/>
          <w:bCs/>
          <w:sz w:val="18"/>
          <w:szCs w:val="18"/>
          <w:lang w:eastAsia="en-US"/>
        </w:rPr>
        <w:t>ACKNOWLEDGMENTS</w:t>
      </w:r>
      <w:r>
        <w:rPr>
          <w:rFonts w:ascii="Times New Roman" w:eastAsiaTheme="minorHAnsi" w:hAnsi="Times New Roman" w:cs="Times New Roman"/>
          <w:sz w:val="18"/>
          <w:szCs w:val="18"/>
          <w:lang w:eastAsia="en-US"/>
        </w:rPr>
        <w:t>:</w:t>
      </w:r>
      <w:r>
        <w:rPr>
          <w:rFonts w:ascii="Times New Roman" w:eastAsiaTheme="minorHAnsi" w:hAnsi="Times New Roman" w:cs="Times New Roman"/>
          <w:sz w:val="18"/>
          <w:szCs w:val="18"/>
          <w:lang w:eastAsia="en-US"/>
        </w:rPr>
        <w:t xml:space="preserve"> Acknowledgments: The authors </w:t>
      </w:r>
      <w:r>
        <w:rPr>
          <w:rFonts w:ascii="Times New Roman" w:eastAsiaTheme="minorHAnsi" w:hAnsi="Times New Roman" w:cs="Times New Roman"/>
          <w:sz w:val="18"/>
          <w:szCs w:val="18"/>
          <w:lang w:eastAsia="en-US"/>
        </w:rPr>
        <w:t>thank Patrizia AG for contributing the dataset</w:t>
      </w:r>
    </w:p>
    <w:p w14:paraId="7C9275A5" w14:textId="77777777" w:rsidR="00962A3D" w:rsidRDefault="00962A3D" w:rsidP="00962A3D">
      <w:pPr>
        <w:autoSpaceDE w:val="0"/>
        <w:autoSpaceDN w:val="0"/>
        <w:adjustRightInd w:val="0"/>
        <w:spacing w:after="0" w:line="240" w:lineRule="auto"/>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necessary to conduct this study. This research was also supported by Grant H2020-EE-2014-2015 of the European</w:t>
      </w:r>
    </w:p>
    <w:p w14:paraId="19B8275E" w14:textId="77777777" w:rsidR="00962A3D" w:rsidRDefault="00962A3D" w:rsidP="00962A3D">
      <w:pPr>
        <w:autoSpaceDE w:val="0"/>
        <w:autoSpaceDN w:val="0"/>
        <w:adjustRightInd w:val="0"/>
        <w:spacing w:after="0" w:line="240" w:lineRule="auto"/>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Commission and is part of the RentalCal project. www.rentalcal.eu. Franz Fuerst gratefully acknowledges the</w:t>
      </w:r>
    </w:p>
    <w:p w14:paraId="4F0738FD" w14:textId="48CAEE54" w:rsidR="00962A3D" w:rsidRDefault="00962A3D" w:rsidP="00962A3D">
      <w:pPr>
        <w:rPr>
          <w:rFonts w:ascii="Times New Roman" w:hAnsi="Times New Roman" w:cs="Times New Roman"/>
          <w:b/>
          <w:smallCaps/>
          <w:sz w:val="24"/>
          <w:szCs w:val="24"/>
        </w:rPr>
      </w:pPr>
      <w:r>
        <w:rPr>
          <w:rFonts w:ascii="Times New Roman" w:eastAsiaTheme="minorHAnsi" w:hAnsi="Times New Roman" w:cs="Times New Roman"/>
          <w:sz w:val="18"/>
          <w:szCs w:val="18"/>
          <w:lang w:eastAsia="en-US"/>
        </w:rPr>
        <w:t>continuous support of the Cambridge University Land Society (CULS) in supporting his research.</w:t>
      </w:r>
      <w:r>
        <w:rPr>
          <w:rFonts w:ascii="Times New Roman" w:hAnsi="Times New Roman" w:cs="Times New Roman"/>
          <w:b/>
          <w:smallCaps/>
          <w:sz w:val="24"/>
          <w:szCs w:val="24"/>
        </w:rPr>
        <w:br w:type="page"/>
      </w:r>
    </w:p>
    <w:p w14:paraId="1CB64D91" w14:textId="77777777" w:rsidR="00962A3D" w:rsidRDefault="00962A3D" w:rsidP="00962A3D">
      <w:pPr>
        <w:spacing w:line="360" w:lineRule="auto"/>
        <w:jc w:val="both"/>
        <w:rPr>
          <w:rFonts w:ascii="Times New Roman" w:hAnsi="Times New Roman" w:cs="Times New Roman"/>
          <w:b/>
          <w:smallCaps/>
          <w:sz w:val="24"/>
          <w:szCs w:val="24"/>
        </w:rPr>
      </w:pPr>
      <w:r w:rsidRPr="00236F6B">
        <w:rPr>
          <w:rFonts w:ascii="Arial" w:hAnsi="Arial" w:cs="Arial"/>
          <w:b/>
          <w:iCs/>
          <w:sz w:val="24"/>
          <w:szCs w:val="24"/>
          <w:lang w:eastAsia="en-US"/>
        </w:rPr>
        <w:lastRenderedPageBreak/>
        <w:t>Tearing Down the Information Barrier: The Price Impacts of Energy Efficiency Ratings for Buildings in the German Rental Market</w:t>
      </w:r>
      <w:r w:rsidRPr="00236F6B">
        <w:rPr>
          <w:rFonts w:ascii="Times New Roman" w:hAnsi="Times New Roman" w:cs="Times New Roman"/>
          <w:b/>
          <w:smallCaps/>
          <w:sz w:val="24"/>
          <w:szCs w:val="24"/>
        </w:rPr>
        <w:t xml:space="preserve"> </w:t>
      </w:r>
    </w:p>
    <w:p w14:paraId="3F39B335" w14:textId="77777777" w:rsidR="00BD5A10" w:rsidRPr="00236F6B" w:rsidRDefault="00BD5A10" w:rsidP="009E3AC1">
      <w:pPr>
        <w:spacing w:line="360" w:lineRule="auto"/>
        <w:jc w:val="both"/>
        <w:rPr>
          <w:b/>
          <w:sz w:val="24"/>
          <w:szCs w:val="24"/>
        </w:rPr>
      </w:pPr>
    </w:p>
    <w:p w14:paraId="57A609C5" w14:textId="77777777" w:rsidR="00CB1540" w:rsidRPr="00621265" w:rsidRDefault="00CB1540" w:rsidP="009E3AC1">
      <w:pPr>
        <w:pStyle w:val="----EBENE1"/>
        <w:widowControl/>
        <w:numPr>
          <w:ilvl w:val="0"/>
          <w:numId w:val="0"/>
        </w:numPr>
        <w:adjustRightInd/>
        <w:ind w:left="360"/>
        <w:jc w:val="both"/>
        <w:outlineLvl w:val="9"/>
      </w:pPr>
      <w:r w:rsidRPr="00621265">
        <w:t>Introduction</w:t>
      </w:r>
    </w:p>
    <w:p w14:paraId="12ADBAA3" w14:textId="171DE99A" w:rsidR="00B97B10" w:rsidRDefault="00CB1540" w:rsidP="009E3AC1">
      <w:pPr>
        <w:pStyle w:val="---TEXT"/>
        <w:jc w:val="both"/>
      </w:pPr>
      <w:r w:rsidRPr="00621265">
        <w:t>The building sector is crucial for climate change mitigation goals</w:t>
      </w:r>
      <w:r w:rsidR="008D1E04">
        <w:t xml:space="preserve"> as</w:t>
      </w:r>
      <w:r w:rsidR="008D1E04" w:rsidRPr="00621265">
        <w:t xml:space="preserve"> </w:t>
      </w:r>
      <w:r w:rsidR="008D1E04">
        <w:t>i</w:t>
      </w:r>
      <w:r w:rsidR="008D1E04" w:rsidRPr="00621265">
        <w:t xml:space="preserve">t </w:t>
      </w:r>
      <w:r w:rsidRPr="00621265">
        <w:t>accounts for a large fraction of CO</w:t>
      </w:r>
      <w:r w:rsidRPr="00621265">
        <w:rPr>
          <w:vertAlign w:val="subscript"/>
        </w:rPr>
        <w:t>2</w:t>
      </w:r>
      <w:r w:rsidRPr="00621265">
        <w:t xml:space="preserve"> emissions in developed economies. One of the </w:t>
      </w:r>
      <w:r w:rsidR="003171DC" w:rsidRPr="00621265">
        <w:t>principal</w:t>
      </w:r>
      <w:r w:rsidRPr="00621265">
        <w:t xml:space="preserve"> policies implemented in the European Union is the </w:t>
      </w:r>
      <w:r w:rsidRPr="00621265">
        <w:rPr>
          <w:rStyle w:val="st"/>
        </w:rPr>
        <w:t xml:space="preserve">2010 </w:t>
      </w:r>
      <w:r w:rsidRPr="00621265">
        <w:rPr>
          <w:rStyle w:val="Emphasis"/>
        </w:rPr>
        <w:t>Energy Performance of Buildings Directive</w:t>
      </w:r>
      <w:r w:rsidR="003171DC" w:rsidRPr="00621265">
        <w:rPr>
          <w:rStyle w:val="st"/>
        </w:rPr>
        <w:t xml:space="preserve"> along with</w:t>
      </w:r>
      <w:r w:rsidRPr="00621265">
        <w:rPr>
          <w:rStyle w:val="st"/>
        </w:rPr>
        <w:t xml:space="preserve"> the 2012 Energy Efficiency Directive which stipulate the use</w:t>
      </w:r>
      <w:r w:rsidRPr="00621265">
        <w:t xml:space="preserve"> of Energy Performance Certificates (EPC) for </w:t>
      </w:r>
      <w:r w:rsidR="001B3001" w:rsidRPr="00621265">
        <w:t xml:space="preserve">revealing the expected </w:t>
      </w:r>
      <w:r w:rsidRPr="00621265">
        <w:t xml:space="preserve">energy consumption </w:t>
      </w:r>
      <w:r w:rsidR="001B3001" w:rsidRPr="00621265">
        <w:t>of a building to prospective buyers and tenants</w:t>
      </w:r>
      <w:r w:rsidRPr="00621265">
        <w:t xml:space="preserve">. While EPCs throughout the European Union </w:t>
      </w:r>
      <w:r w:rsidR="001B3001" w:rsidRPr="00621265">
        <w:t xml:space="preserve">are part of a broader strategy </w:t>
      </w:r>
      <w:r w:rsidRPr="00621265">
        <w:t xml:space="preserve">to increase the </w:t>
      </w:r>
      <w:r w:rsidR="003171DC" w:rsidRPr="00621265">
        <w:t>mandatory</w:t>
      </w:r>
      <w:r w:rsidRPr="00621265">
        <w:t xml:space="preserve"> energy efficiency </w:t>
      </w:r>
      <w:r w:rsidR="003171DC" w:rsidRPr="00621265">
        <w:t>requirements</w:t>
      </w:r>
      <w:r w:rsidRPr="00621265">
        <w:t xml:space="preserve"> for buildings at both the European and national level</w:t>
      </w:r>
      <w:r w:rsidR="003171DC" w:rsidRPr="00621265">
        <w:t>s</w:t>
      </w:r>
      <w:r w:rsidRPr="00621265">
        <w:t>, they are primarily designed to increase the environmental awareness of market participants and enhance the transparency of property transactions with regard to energy consumption</w:t>
      </w:r>
      <w:r w:rsidR="00457E97">
        <w:t xml:space="preserve"> (European Parliament, 2010, Dixon et al 2008)</w:t>
      </w:r>
      <w:r w:rsidRPr="00621265">
        <w:t xml:space="preserve">. </w:t>
      </w:r>
      <w:r w:rsidR="003171DC" w:rsidRPr="00621265">
        <w:t>The</w:t>
      </w:r>
      <w:r w:rsidRPr="00621265">
        <w:t xml:space="preserve"> legislative implementation of EPCs has not been homogenous across EU members and compliance rates va</w:t>
      </w:r>
      <w:r w:rsidR="003171DC" w:rsidRPr="00621265">
        <w:t xml:space="preserve">ry across countries and regions. </w:t>
      </w:r>
    </w:p>
    <w:p w14:paraId="2DDDAECC" w14:textId="2E58581B" w:rsidR="0006702D" w:rsidRDefault="00B97B10" w:rsidP="00457E97">
      <w:pPr>
        <w:pStyle w:val="---TEXT"/>
        <w:jc w:val="both"/>
      </w:pPr>
      <w:r>
        <w:t>EPCs have received rather mixed reviews in the policy assessment literature.</w:t>
      </w:r>
      <w:r w:rsidR="00DA72BF">
        <w:t xml:space="preserve"> </w:t>
      </w:r>
      <w:r>
        <w:t xml:space="preserve">While it is generally acknowledged that they fill an important gap in the provision of energy efficiency information, empirical studies indicate that their effectiveness is limited, because they are not made available or are being ignored or their implications for household finances are not understood by buyers. These limitations are confirmed empirically by a number of studies, for example by Murphy (2012) </w:t>
      </w:r>
      <w:r w:rsidR="00457E97">
        <w:t xml:space="preserve">who found EPCs to have only a weak influence pre and post-purchase in the Netherlands and </w:t>
      </w:r>
      <w:r>
        <w:t xml:space="preserve">Amecke (2012) </w:t>
      </w:r>
      <w:r w:rsidR="00F52C12">
        <w:t xml:space="preserve">who arrived at the same conclusion </w:t>
      </w:r>
      <w:r>
        <w:t>in</w:t>
      </w:r>
      <w:r w:rsidR="00F52C12">
        <w:t xml:space="preserve"> his study of</w:t>
      </w:r>
      <w:r>
        <w:t xml:space="preserve"> Germany</w:t>
      </w:r>
      <w:r w:rsidR="00F52C12">
        <w:t xml:space="preserve">, citing limitations in design, legal status and overall low importance of energy efficiency as the main reasons. </w:t>
      </w:r>
    </w:p>
    <w:p w14:paraId="17D1B378" w14:textId="3F09E7C5" w:rsidR="00CB1540" w:rsidRPr="00621265" w:rsidRDefault="0006702D" w:rsidP="009E3AC1">
      <w:pPr>
        <w:pStyle w:val="---TEXT"/>
        <w:jc w:val="both"/>
      </w:pPr>
      <w:r>
        <w:t>Despite these limitations, it appears that the EPC was at least partially successful in mitigating informati</w:t>
      </w:r>
      <w:r w:rsidR="00F52C12">
        <w:t xml:space="preserve">on asymmetry in the marketplace and that information provision has improved over time. </w:t>
      </w:r>
      <w:r w:rsidR="002577B2">
        <w:t xml:space="preserve">Lack </w:t>
      </w:r>
      <w:r w:rsidR="002577B2" w:rsidRPr="002577B2">
        <w:t>of information about energy</w:t>
      </w:r>
      <w:r w:rsidR="002577B2">
        <w:t xml:space="preserve"> consumption patterns and </w:t>
      </w:r>
      <w:r w:rsidR="002577B2" w:rsidRPr="002577B2">
        <w:t>energy efficiency measures</w:t>
      </w:r>
      <w:r w:rsidR="002577B2">
        <w:t xml:space="preserve"> has been identified previously as a major barrier to energy efficiency in empirical studies on Germany (Schleich, 2009). </w:t>
      </w:r>
      <w:r w:rsidR="00CB1540" w:rsidRPr="00621265">
        <w:t xml:space="preserve">Additionally, the information conveyed by the disclosure of dwelling energy efficiency has arguably also played a supportive role in the ‘greening’ of the existing housing stock via energy efficiency retrofits that many government agencies in the European Union have sought to promote. </w:t>
      </w:r>
      <w:r w:rsidR="001B3001" w:rsidRPr="00621265">
        <w:t xml:space="preserve">The EPC provides a tool for estimating baseline and post-retrofit energy efficiency levels but may also have contributed in more indirect ways by strengthening public awareness of energy efficiency in buildings. </w:t>
      </w:r>
    </w:p>
    <w:p w14:paraId="62DEC175" w14:textId="497CFE29" w:rsidR="00CB1540" w:rsidRPr="00621265" w:rsidRDefault="001B3001" w:rsidP="009E3AC1">
      <w:pPr>
        <w:pStyle w:val="---TEXT"/>
        <w:jc w:val="both"/>
      </w:pPr>
      <w:r w:rsidRPr="00621265">
        <w:t>Making</w:t>
      </w:r>
      <w:r w:rsidR="003171DC" w:rsidRPr="00621265">
        <w:t xml:space="preserve"> information provision</w:t>
      </w:r>
      <w:r w:rsidRPr="00621265">
        <w:t xml:space="preserve"> compulsory</w:t>
      </w:r>
      <w:r w:rsidR="00CB1540" w:rsidRPr="00621265">
        <w:t xml:space="preserve"> in real estate markets creates – from a microeconom</w:t>
      </w:r>
      <w:r w:rsidR="003171DC" w:rsidRPr="00621265">
        <w:t>ic point of view –</w:t>
      </w:r>
      <w:r w:rsidR="005B2240" w:rsidRPr="00621265">
        <w:t xml:space="preserve"> </w:t>
      </w:r>
      <w:r w:rsidR="003171DC" w:rsidRPr="00621265">
        <w:t xml:space="preserve">a new information set for landlords and </w:t>
      </w:r>
      <w:r w:rsidR="00CB1540" w:rsidRPr="00621265">
        <w:t xml:space="preserve">tenants </w:t>
      </w:r>
      <w:r w:rsidR="003171DC" w:rsidRPr="00621265">
        <w:t>which in turn affects</w:t>
      </w:r>
      <w:r w:rsidR="00CB1540" w:rsidRPr="00621265">
        <w:t xml:space="preserve"> </w:t>
      </w:r>
      <w:r w:rsidR="00F52C12">
        <w:t>rent</w:t>
      </w:r>
      <w:r w:rsidR="005B3AF1" w:rsidRPr="00621265">
        <w:t xml:space="preserve"> formation</w:t>
      </w:r>
      <w:r w:rsidR="00CB1540" w:rsidRPr="00621265">
        <w:t xml:space="preserve">. While EPCs are </w:t>
      </w:r>
      <w:r w:rsidR="003171DC" w:rsidRPr="00621265">
        <w:t xml:space="preserve">generally </w:t>
      </w:r>
      <w:r w:rsidR="00CB1540" w:rsidRPr="00621265">
        <w:t xml:space="preserve">compulsory for landlords when leasing and selling residential properties, they are primarily </w:t>
      </w:r>
      <w:r w:rsidR="00621265" w:rsidRPr="00621265">
        <w:t>intended</w:t>
      </w:r>
      <w:r w:rsidR="00CB1540" w:rsidRPr="00621265">
        <w:t xml:space="preserve"> for b</w:t>
      </w:r>
      <w:r w:rsidR="005B3AF1" w:rsidRPr="00621265">
        <w:t>u</w:t>
      </w:r>
      <w:r w:rsidR="00CB1540" w:rsidRPr="00621265">
        <w:t>yers and tenants, which leads to diverging inf</w:t>
      </w:r>
      <w:r w:rsidR="00F52C12">
        <w:t>ormation sets and rental</w:t>
      </w:r>
      <w:r w:rsidR="00CB1540" w:rsidRPr="00621265">
        <w:t xml:space="preserve"> expectations. The latter arises whenever the expected marginal willingness to pay for energy efficiency by the tenant differs from the expected marginal rent premium</w:t>
      </w:r>
      <w:r w:rsidR="00621265" w:rsidRPr="00621265">
        <w:t xml:space="preserve"> asked</w:t>
      </w:r>
      <w:r w:rsidR="00CB1540" w:rsidRPr="00621265">
        <w:t xml:space="preserve"> by the landlord. And since EPCs aim at anchoring the </w:t>
      </w:r>
      <w:r w:rsidR="005B3AF1" w:rsidRPr="00621265">
        <w:t>energy efficiency</w:t>
      </w:r>
      <w:r w:rsidR="00CB1540" w:rsidRPr="00621265">
        <w:t xml:space="preserve"> awareness in the decision making process of both parties, the benefits might be reflected in a stronger willingness to pay for energy efficient a</w:t>
      </w:r>
      <w:r w:rsidR="005B3AF1" w:rsidRPr="00621265">
        <w:t>ssets</w:t>
      </w:r>
      <w:r w:rsidR="00CB1540" w:rsidRPr="00621265">
        <w:t>. In other words, EPCs might lead to a simultaneous increase in the marginal utility function of both parties.</w:t>
      </w:r>
      <w:r w:rsidR="005B3AF1" w:rsidRPr="00621265">
        <w:t xml:space="preserve"> In the longer run, this </w:t>
      </w:r>
      <w:r w:rsidR="00621265" w:rsidRPr="00621265">
        <w:t>may</w:t>
      </w:r>
      <w:r w:rsidR="005B3AF1" w:rsidRPr="00621265">
        <w:t xml:space="preserve"> also</w:t>
      </w:r>
      <w:r w:rsidR="00F52C12">
        <w:t xml:space="preserve"> entail lower equilibrium rents</w:t>
      </w:r>
      <w:r w:rsidR="005B3AF1" w:rsidRPr="00621265">
        <w:t xml:space="preserve"> for</w:t>
      </w:r>
      <w:r w:rsidR="00CB1540" w:rsidRPr="00621265">
        <w:t xml:space="preserve"> assets</w:t>
      </w:r>
      <w:r w:rsidR="005B3AF1" w:rsidRPr="00621265">
        <w:t xml:space="preserve"> with poor environmental performance</w:t>
      </w:r>
      <w:r w:rsidR="00CB1540" w:rsidRPr="00621265">
        <w:t xml:space="preserve"> and thus to elevated refurbishment levels in the residential stock.  </w:t>
      </w:r>
    </w:p>
    <w:p w14:paraId="16B08E8E" w14:textId="6DB409A9" w:rsidR="00CB1540" w:rsidRPr="00A9615D" w:rsidRDefault="00CB1540" w:rsidP="009E3AC1">
      <w:pPr>
        <w:pStyle w:val="---TEXT"/>
        <w:jc w:val="both"/>
      </w:pPr>
      <w:r w:rsidRPr="00621265">
        <w:t>Th</w:t>
      </w:r>
      <w:r w:rsidR="00621265" w:rsidRPr="00621265">
        <w:t>is</w:t>
      </w:r>
      <w:r w:rsidRPr="00621265">
        <w:t xml:space="preserve"> paper explores the mechanism by which energy efficiency is capitali</w:t>
      </w:r>
      <w:r w:rsidR="00621265" w:rsidRPr="00621265">
        <w:t>s</w:t>
      </w:r>
      <w:r w:rsidRPr="00621265">
        <w:t xml:space="preserve">ed into </w:t>
      </w:r>
      <w:r w:rsidR="0010160F">
        <w:t>residential</w:t>
      </w:r>
      <w:r w:rsidR="00542E71">
        <w:t xml:space="preserve"> rents</w:t>
      </w:r>
      <w:r w:rsidRPr="00621265">
        <w:t xml:space="preserve"> using market evidence from Germany. It estimates both the willingness to pay for energy efficiency and the liquidity of energy efficient assets relative to</w:t>
      </w:r>
      <w:r w:rsidRPr="00A872DC">
        <w:t xml:space="preserve"> their less efficient counterparts. By </w:t>
      </w:r>
      <w:r w:rsidR="00B97B10">
        <w:t>interrogating</w:t>
      </w:r>
      <w:r w:rsidRPr="00A872DC">
        <w:t xml:space="preserve"> one of the largest </w:t>
      </w:r>
      <w:r w:rsidR="00BD0B75" w:rsidRPr="00A9615D">
        <w:t xml:space="preserve">real estate </w:t>
      </w:r>
      <w:r w:rsidRPr="00A9615D">
        <w:t xml:space="preserve">databases </w:t>
      </w:r>
      <w:r w:rsidR="00BD0B75" w:rsidRPr="00A9615D">
        <w:t xml:space="preserve">in </w:t>
      </w:r>
      <w:r w:rsidRPr="00A9615D">
        <w:t>Germany</w:t>
      </w:r>
      <w:r w:rsidR="00BD0B75" w:rsidRPr="00A9615D">
        <w:t xml:space="preserve"> supplemented with information on</w:t>
      </w:r>
      <w:r w:rsidRPr="00A9615D">
        <w:t xml:space="preserve"> EPCs (</w:t>
      </w:r>
      <w:r w:rsidRPr="00A9615D">
        <w:rPr>
          <w:i/>
        </w:rPr>
        <w:t>Energieausweise</w:t>
      </w:r>
      <w:r w:rsidRPr="00A9615D">
        <w:t xml:space="preserve">), we </w:t>
      </w:r>
      <w:r w:rsidR="00BD0B75" w:rsidRPr="00A9615D">
        <w:t xml:space="preserve">empirically </w:t>
      </w:r>
      <w:r w:rsidRPr="00A9615D">
        <w:t>estimate the energy premium as well as the liquidity premium. Finally, we cons</w:t>
      </w:r>
      <w:r w:rsidR="00F52C12">
        <w:t>truct residential property rent</w:t>
      </w:r>
      <w:r w:rsidR="00774262">
        <w:t>al</w:t>
      </w:r>
      <w:r w:rsidRPr="00A9615D">
        <w:t xml:space="preserve"> indices to study the impact of EPCs when creating value in institutional portfolios. </w:t>
      </w:r>
    </w:p>
    <w:p w14:paraId="0E59AA64" w14:textId="28EBD009" w:rsidR="00CB1540" w:rsidRPr="00A9615D" w:rsidRDefault="00CB1540" w:rsidP="009E3AC1">
      <w:pPr>
        <w:pStyle w:val="---TEXT"/>
        <w:jc w:val="both"/>
      </w:pPr>
      <w:r w:rsidRPr="00A9615D">
        <w:t>This paper is organi</w:t>
      </w:r>
      <w:r w:rsidR="00621265" w:rsidRPr="00A9615D">
        <w:t>s</w:t>
      </w:r>
      <w:r w:rsidRPr="00A9615D">
        <w:t>ed as follows. We first position the current study in the existing literature, provide some background on the EPC in the German context and review the split incentive problem as a major obstacle towards achieving higher energy efficiency of the rental stock. The following sections</w:t>
      </w:r>
      <w:r w:rsidR="00774262">
        <w:t xml:space="preserve"> then</w:t>
      </w:r>
      <w:r w:rsidRPr="00A9615D">
        <w:t xml:space="preserve"> describe our research approach and econometric models, followed by </w:t>
      </w:r>
      <w:r w:rsidR="0010160F">
        <w:t xml:space="preserve">a description of the </w:t>
      </w:r>
      <w:r w:rsidRPr="00A9615D">
        <w:t xml:space="preserve">data, presentation of results and finally a discussion of the implications with a view towards deriving policy recommendations. </w:t>
      </w:r>
    </w:p>
    <w:p w14:paraId="20EA78C6" w14:textId="77777777" w:rsidR="00CB1540" w:rsidRPr="00A9615D" w:rsidRDefault="00CB1540" w:rsidP="009E3AC1">
      <w:pPr>
        <w:pStyle w:val="---TEXT"/>
        <w:jc w:val="both"/>
      </w:pPr>
    </w:p>
    <w:p w14:paraId="5E28117B" w14:textId="77777777" w:rsidR="00CB1540" w:rsidRPr="00A9615D" w:rsidRDefault="00CB1540" w:rsidP="009E3AC1">
      <w:pPr>
        <w:pStyle w:val="---TEXT"/>
        <w:jc w:val="both"/>
        <w:rPr>
          <w:b/>
        </w:rPr>
      </w:pPr>
      <w:r w:rsidRPr="00A9615D">
        <w:rPr>
          <w:b/>
        </w:rPr>
        <w:t xml:space="preserve">Previous research </w:t>
      </w:r>
    </w:p>
    <w:p w14:paraId="42337573" w14:textId="73F1B69E" w:rsidR="00CB1540" w:rsidRPr="00A9615D" w:rsidRDefault="00CB1540" w:rsidP="009E3AC1">
      <w:pPr>
        <w:pStyle w:val="---TEXT"/>
        <w:jc w:val="both"/>
      </w:pPr>
      <w:r w:rsidRPr="00A9615D">
        <w:t xml:space="preserve">Empirical research during the last years has </w:t>
      </w:r>
      <w:r w:rsidR="00BD0B75" w:rsidRPr="00A9615D">
        <w:t>provided</w:t>
      </w:r>
      <w:r w:rsidRPr="00A9615D">
        <w:t xml:space="preserve"> evidence for the existence of an energy</w:t>
      </w:r>
      <w:r w:rsidR="00774262">
        <w:t xml:space="preserve"> efficiency</w:t>
      </w:r>
      <w:r w:rsidRPr="00A9615D">
        <w:t xml:space="preserve"> premium across European residential markets. First evidence on green market effects were found in the </w:t>
      </w:r>
      <w:r w:rsidR="00774262">
        <w:t>Netherlands by Brounen and Kok (</w:t>
      </w:r>
      <w:r w:rsidRPr="00A9615D">
        <w:t>2010</w:t>
      </w:r>
      <w:r w:rsidR="00774262">
        <w:t>) and Kok and Jennen</w:t>
      </w:r>
      <w:r w:rsidRPr="00A9615D">
        <w:t xml:space="preserve"> </w:t>
      </w:r>
      <w:r w:rsidR="00774262">
        <w:t>(2012)</w:t>
      </w:r>
      <w:r w:rsidRPr="00A9615D">
        <w:t xml:space="preserve"> with increasing empirical research </w:t>
      </w:r>
      <w:r w:rsidR="00774262">
        <w:t xml:space="preserve">being carried out in </w:t>
      </w:r>
      <w:r w:rsidRPr="00A9615D">
        <w:t xml:space="preserve">several European countries: Germany (Cajias and Piazolo, 2013; Kholodilin and </w:t>
      </w:r>
      <w:r w:rsidRPr="00A9615D">
        <w:lastRenderedPageBreak/>
        <w:t xml:space="preserve">Michelsen, 2014), </w:t>
      </w:r>
      <w:r w:rsidR="00D65311">
        <w:t xml:space="preserve">England (Fuerst et al 2015), </w:t>
      </w:r>
      <w:r w:rsidRPr="00A9615D">
        <w:t>Wales (Fuerst et al, 2016), Finland (Fuerst</w:t>
      </w:r>
      <w:r w:rsidR="00D65311">
        <w:t>, Oikarinen and Harjung</w:t>
      </w:r>
      <w:r w:rsidRPr="00A9615D">
        <w:t xml:space="preserve">, 2016), Ireland (Hyland et al, 2012), Portugal (Ramos et al, 2015), Spain (De Ayala et al, 2016), among others. </w:t>
      </w:r>
      <w:r w:rsidR="00D65311">
        <w:t xml:space="preserve">Additionally, </w:t>
      </w:r>
      <w:r w:rsidRPr="00A9615D">
        <w:t>Fuerst et al., (2016) find sale prices premiums for high EPC-rated buy-to-let properties with premiums of 18.5% and 4% for A/B and C-rated properties respectively (relative to D-rated properties). However, no significant discount for F/G-rated buy-to let properties was found. The authors attribute this to the split incentive problem, i.e. landlords base their willingness to pay on achievable rental values which are net of utility costs as these are covered by tenants.</w:t>
      </w:r>
    </w:p>
    <w:p w14:paraId="4B2D877B" w14:textId="3912CC81" w:rsidR="00B97289" w:rsidRDefault="00A9615D" w:rsidP="009E3AC1">
      <w:pPr>
        <w:pStyle w:val="---TEXT"/>
        <w:jc w:val="both"/>
      </w:pPr>
      <w:r>
        <w:t>The notion that energy efficiency may be rewarded by real estate markets</w:t>
      </w:r>
      <w:r w:rsidR="00621265">
        <w:t xml:space="preserve"> </w:t>
      </w:r>
      <w:r w:rsidR="00CB1540" w:rsidRPr="00621265">
        <w:t>ha</w:t>
      </w:r>
      <w:r w:rsidR="00621265">
        <w:t>s</w:t>
      </w:r>
      <w:r w:rsidR="00CB1540" w:rsidRPr="00621265">
        <w:t xml:space="preserve"> not only</w:t>
      </w:r>
      <w:r w:rsidR="00621265">
        <w:t xml:space="preserve"> caused landlords and tenants to pay more attention to this dimension but has also </w:t>
      </w:r>
      <w:r w:rsidR="00B97289">
        <w:t xml:space="preserve">shaped the emergence of green investment and portfolio strategies by institutional investors </w:t>
      </w:r>
      <w:r w:rsidR="00CB1540" w:rsidRPr="00621265">
        <w:t xml:space="preserve"> (</w:t>
      </w:r>
      <w:r w:rsidR="00B97289">
        <w:t>e.g.</w:t>
      </w:r>
      <w:r w:rsidR="00CB1540" w:rsidRPr="00621265">
        <w:t xml:space="preserve"> Deutsche Bank,</w:t>
      </w:r>
      <w:r w:rsidR="00B97289">
        <w:t xml:space="preserve"> </w:t>
      </w:r>
      <w:r w:rsidR="00B97289" w:rsidRPr="00621265">
        <w:t>MSCI</w:t>
      </w:r>
      <w:r w:rsidR="005B5B55">
        <w:t xml:space="preserve"> or</w:t>
      </w:r>
      <w:r w:rsidR="005B5B55" w:rsidRPr="00621265">
        <w:t xml:space="preserve"> </w:t>
      </w:r>
      <w:r w:rsidR="00CB1540" w:rsidRPr="00621265">
        <w:t xml:space="preserve">SEB). However, while the first official </w:t>
      </w:r>
      <w:r w:rsidR="00CB1540" w:rsidRPr="00621265">
        <w:rPr>
          <w:color w:val="000000"/>
        </w:rPr>
        <w:t>evaluation report by the European Commission</w:t>
      </w:r>
      <w:r w:rsidR="00CB1540" w:rsidRPr="00621265">
        <w:t xml:space="preserve"> on the impact of EPCs </w:t>
      </w:r>
      <w:r w:rsidR="00B97289">
        <w:t>in</w:t>
      </w:r>
      <w:r w:rsidR="00CB1540" w:rsidRPr="00621265">
        <w:t xml:space="preserve"> real estate markets confirms a </w:t>
      </w:r>
      <w:r w:rsidR="00B97289">
        <w:t xml:space="preserve">general </w:t>
      </w:r>
      <w:r w:rsidR="00CB1540" w:rsidRPr="00621265">
        <w:t>statistical green energy premium effect on real estate prices and rents</w:t>
      </w:r>
      <w:r w:rsidR="00311654">
        <w:t xml:space="preserve"> (Bio Intelligence Service et al, 2013) </w:t>
      </w:r>
      <w:r w:rsidR="00CB1540" w:rsidRPr="00621265">
        <w:t xml:space="preserve">, two </w:t>
      </w:r>
      <w:r w:rsidR="00B97289">
        <w:t>caveats seem in order</w:t>
      </w:r>
      <w:r w:rsidR="00CB1540" w:rsidRPr="00621265">
        <w:t xml:space="preserve">. </w:t>
      </w:r>
      <w:r w:rsidR="00B97289">
        <w:t>Firstly</w:t>
      </w:r>
      <w:r w:rsidR="00CB1540" w:rsidRPr="00621265">
        <w:t>, the evaluation report focusses primarily on countries with highly owner-occupied residential markets such as Belgium, Ireland and the United Kingdom</w:t>
      </w:r>
      <w:r w:rsidR="00B97289">
        <w:t>.</w:t>
      </w:r>
      <w:r w:rsidR="00CB1540" w:rsidRPr="00621265">
        <w:t xml:space="preserve"> </w:t>
      </w:r>
      <w:r w:rsidR="00B97289">
        <w:t>Secondly, it highlights the large variations</w:t>
      </w:r>
      <w:r w:rsidR="00CB1540" w:rsidRPr="00621265">
        <w:t xml:space="preserve"> in the green premium effect between</w:t>
      </w:r>
      <w:r w:rsidR="00B97289">
        <w:t xml:space="preserve"> and within</w:t>
      </w:r>
      <w:r w:rsidR="00CB1540" w:rsidRPr="00621265">
        <w:t xml:space="preserve"> the observed countries, mainly ascribed to</w:t>
      </w:r>
      <w:r w:rsidR="00B97289">
        <w:t xml:space="preserve"> macroeconomic and legislative differences as well as</w:t>
      </w:r>
      <w:r w:rsidR="00CB1540" w:rsidRPr="00621265">
        <w:t xml:space="preserve"> local market conditions and/or regional factors. </w:t>
      </w:r>
    </w:p>
    <w:p w14:paraId="259BA3FB" w14:textId="1C3ED1F1" w:rsidR="00600F75" w:rsidRDefault="00B97289" w:rsidP="00311654">
      <w:pPr>
        <w:pStyle w:val="---TEXT"/>
        <w:jc w:val="both"/>
      </w:pPr>
      <w:r>
        <w:t>Hence</w:t>
      </w:r>
      <w:r w:rsidRPr="00621265">
        <w:t xml:space="preserve">, the green premium in the German residential </w:t>
      </w:r>
      <w:r w:rsidR="00311654">
        <w:t xml:space="preserve">market </w:t>
      </w:r>
      <w:r w:rsidRPr="00621265">
        <w:t>might differ significantly from other European countries due to the low ownership rate and the strong polycentric distribution of urban centres and consequently the importance of regional factors.</w:t>
      </w:r>
      <w:r w:rsidR="00B97B10">
        <w:t xml:space="preserve"> </w:t>
      </w:r>
      <w:r w:rsidR="00CB1540" w:rsidRPr="00621265">
        <w:t>There are two main studies of the impact of EPCs on the German residential market: While Cajias and Piazolo, 2013, find a rent premium of ca. 1.7 % based on 2,600 observations, Kholodilin and Michelsen, 2014, focus on the capitali</w:t>
      </w:r>
      <w:r w:rsidR="00621265">
        <w:t>s</w:t>
      </w:r>
      <w:r w:rsidR="00CB1540" w:rsidRPr="00621265">
        <w:t>ation effects in Berlin’s residential market</w:t>
      </w:r>
      <w:r w:rsidR="00CF1725">
        <w:t xml:space="preserve"> for</w:t>
      </w:r>
      <w:r w:rsidR="00CB1540" w:rsidRPr="00621265">
        <w:t xml:space="preserve"> 150</w:t>
      </w:r>
      <w:r w:rsidR="005B5B55">
        <w:t>,</w:t>
      </w:r>
      <w:r w:rsidR="00CB1540" w:rsidRPr="00621265">
        <w:t>000 observations</w:t>
      </w:r>
      <w:r w:rsidR="00311654">
        <w:t xml:space="preserve"> and find evidence that energy efficiency is capitalised in apartment prices although they also report that the value of energy cost savings is not matched by the implicit willingness to pay of tenants. </w:t>
      </w:r>
    </w:p>
    <w:p w14:paraId="2CB35732" w14:textId="010C7360" w:rsidR="00CB1540" w:rsidRPr="00621265" w:rsidRDefault="00C85E4E" w:rsidP="009E3AC1">
      <w:pPr>
        <w:pStyle w:val="---TEXT"/>
        <w:jc w:val="both"/>
      </w:pPr>
      <w:r>
        <w:t>Moreover, e</w:t>
      </w:r>
      <w:r w:rsidR="00CB1540" w:rsidRPr="00621265">
        <w:t xml:space="preserve">nergy efficient dwellings </w:t>
      </w:r>
      <w:r w:rsidR="00BD0B75" w:rsidRPr="00621265">
        <w:t xml:space="preserve">may also be more liquid and have </w:t>
      </w:r>
      <w:r w:rsidR="00CB1540" w:rsidRPr="00621265">
        <w:t xml:space="preserve">shorter </w:t>
      </w:r>
      <w:r w:rsidR="00BD0B75" w:rsidRPr="00621265">
        <w:t>marketing periods</w:t>
      </w:r>
      <w:r w:rsidR="00CB1540" w:rsidRPr="00621265">
        <w:t xml:space="preserve">. </w:t>
      </w:r>
      <w:r w:rsidR="00BD0B75" w:rsidRPr="00621265">
        <w:t>L</w:t>
      </w:r>
      <w:r w:rsidR="00CB1540" w:rsidRPr="00621265">
        <w:t xml:space="preserve">iquidity in the context of energy </w:t>
      </w:r>
      <w:r w:rsidR="00BD0B75" w:rsidRPr="00621265">
        <w:t>efficiency in the residential market has hitherto remained largely unexplored in the literature</w:t>
      </w:r>
      <w:r w:rsidR="00B97289">
        <w:t>, a gap that the present study seeks to fill</w:t>
      </w:r>
      <w:r w:rsidR="00CB1540" w:rsidRPr="00621265">
        <w:t>.</w:t>
      </w:r>
      <w:r>
        <w:t xml:space="preserve"> There are a number of existing studies that have explored time on market (TOM) empirically and conceptually in a broader context. Most of these studies report a positive relationship between list price and TOM (Kal</w:t>
      </w:r>
      <w:r w:rsidR="001D4309">
        <w:t>ra</w:t>
      </w:r>
      <w:r>
        <w:t xml:space="preserve"> </w:t>
      </w:r>
      <w:r w:rsidR="001D4309">
        <w:t>et al</w:t>
      </w:r>
      <w:r>
        <w:t xml:space="preserve"> 1994, Yavas and Yang 1995) with a divergent finding being reported by Kang and Gardner (1989) who find a negative correlation. Moving beyond the bid-ask spread argument, Haurin</w:t>
      </w:r>
      <w:r w:rsidR="001D4309">
        <w:t xml:space="preserve"> (1988)</w:t>
      </w:r>
      <w:r>
        <w:t xml:space="preserve"> uses search theory to demonstrate that TOM is longer where </w:t>
      </w:r>
      <w:r w:rsidR="00396DB7">
        <w:t>a large range of</w:t>
      </w:r>
      <w:r>
        <w:t xml:space="preserve"> offers exist and shorter where the bids of prospective buyers are of </w:t>
      </w:r>
      <w:r w:rsidR="00396DB7">
        <w:t xml:space="preserve">a </w:t>
      </w:r>
      <w:r>
        <w:t>similar order of magnitu</w:t>
      </w:r>
      <w:r w:rsidR="00396DB7">
        <w:t>de. Non-standard properties and/or sellers are more likely to elicit a larger range of bids as the fair property value may be harder to determine and sellers may provide information differently to the marketplace and through different channels (</w:t>
      </w:r>
      <w:r w:rsidR="001D4309">
        <w:t>Jud et al</w:t>
      </w:r>
      <w:r w:rsidR="00396DB7">
        <w:t xml:space="preserve"> 1996, Glower </w:t>
      </w:r>
      <w:r w:rsidR="001D4309">
        <w:t xml:space="preserve">et al </w:t>
      </w:r>
      <w:r w:rsidR="00396DB7">
        <w:t xml:space="preserve">1998, Ong et al 2000). In the context of this study, we expect that energy efficient dwellings exhibit smaller variation than their non-efficient counterparts as they have to conform to certain norms to achieve a high rating. It may also be expected that the owners of these dwellings are generally more up-to-date with building requirements and standards and may hence also take a more professional approach in marketing their properties than the owners of non-efficient buildings. </w:t>
      </w:r>
    </w:p>
    <w:p w14:paraId="7724E703" w14:textId="77777777" w:rsidR="000A009F" w:rsidRPr="00B97289" w:rsidRDefault="000A009F" w:rsidP="009E3AC1">
      <w:pPr>
        <w:pStyle w:val="---TEXT"/>
        <w:jc w:val="both"/>
      </w:pPr>
    </w:p>
    <w:p w14:paraId="5DBF53BA" w14:textId="3A1132E5" w:rsidR="00CB1540" w:rsidRPr="00B97289" w:rsidRDefault="005B5B55" w:rsidP="009E3AC1">
      <w:pPr>
        <w:pStyle w:val="---TEXT"/>
        <w:jc w:val="both"/>
        <w:rPr>
          <w:b/>
        </w:rPr>
      </w:pPr>
      <w:r>
        <w:rPr>
          <w:b/>
        </w:rPr>
        <w:t>Regulatory c</w:t>
      </w:r>
      <w:r w:rsidRPr="00B97289">
        <w:rPr>
          <w:b/>
        </w:rPr>
        <w:t xml:space="preserve">haracteristics </w:t>
      </w:r>
      <w:r w:rsidR="00CB1540" w:rsidRPr="00B97289">
        <w:rPr>
          <w:b/>
        </w:rPr>
        <w:t>of EPCs in Germany</w:t>
      </w:r>
    </w:p>
    <w:p w14:paraId="0FFBE74E" w14:textId="77777777" w:rsidR="00CB1540" w:rsidRPr="00A872DC" w:rsidRDefault="00CB1540" w:rsidP="009E3AC1">
      <w:pPr>
        <w:jc w:val="both"/>
        <w:rPr>
          <w:rFonts w:ascii="Corporate S" w:hAnsi="Corporate S"/>
        </w:rPr>
      </w:pPr>
    </w:p>
    <w:p w14:paraId="4DE561EB" w14:textId="3B6EE65A" w:rsidR="00CB1540" w:rsidRPr="00A9615D" w:rsidRDefault="00CB1540" w:rsidP="009E3AC1">
      <w:pPr>
        <w:pStyle w:val="---TEXT"/>
        <w:jc w:val="both"/>
      </w:pPr>
      <w:r w:rsidRPr="00A9615D">
        <w:t xml:space="preserve">The regulations pertaining to EPCs were initially laid out in the German Energy Savings Act (EnEV, 2009) which stipulates that all </w:t>
      </w:r>
      <w:r w:rsidR="00BD0B75" w:rsidRPr="00A9615D">
        <w:t>residential buildings require</w:t>
      </w:r>
      <w:r w:rsidRPr="00A9615D">
        <w:t xml:space="preserve"> an EPC whenever a sales or rental transaction occurs. The seller or landlord is obliged to provide a copy of the EPC to the buyer or tenant </w:t>
      </w:r>
      <w:r w:rsidR="00BD0B75" w:rsidRPr="00A9615D">
        <w:t>upon request</w:t>
      </w:r>
      <w:r w:rsidRPr="00A9615D">
        <w:t xml:space="preserve">. </w:t>
      </w:r>
      <w:r w:rsidR="00BD0B75" w:rsidRPr="00A9615D">
        <w:t>An important characteristic</w:t>
      </w:r>
      <w:r w:rsidRPr="00A9615D">
        <w:t xml:space="preserve"> of the German EPC compared to how the EU directive was implemented in other member states is that it combines the inspection based intrinsic evaluation system with a consumption based system. Most other EU countries have opted for one of these basic choices for determining the energy efficiency of a dwelling. The energy demand certificate (Bedarfsausweis) is based on an accredited expert’s opinion of the energy efficiency of a building after an inspection of roof and wall insulation, heating and electricity systems</w:t>
      </w:r>
      <w:r w:rsidR="005B2240" w:rsidRPr="00A9615D">
        <w:t>,</w:t>
      </w:r>
      <w:r w:rsidRPr="00A9615D">
        <w:t xml:space="preserve"> etc. By contrast, the energy usage certificate (Verbrauchsausweis) is based on actual meter readings and utility bills over the past three years. The energy demand </w:t>
      </w:r>
      <w:r w:rsidR="008B22AE">
        <w:t>certificate is considerably costlier</w:t>
      </w:r>
      <w:r w:rsidRPr="00A9615D">
        <w:t xml:space="preserve"> (around </w:t>
      </w:r>
      <w:r w:rsidR="001B3001" w:rsidRPr="00A9615D">
        <w:t>€</w:t>
      </w:r>
      <w:r w:rsidRPr="00A9615D">
        <w:t xml:space="preserve">500) than the usage certificate and is </w:t>
      </w:r>
      <w:r w:rsidR="00BD0B75" w:rsidRPr="00A9615D">
        <w:t xml:space="preserve">legally </w:t>
      </w:r>
      <w:r w:rsidRPr="00A9615D">
        <w:t xml:space="preserve">required unless the building is (a) a multi-apartment building with more than four units or (b) built to more recent (post-1977) standards. </w:t>
      </w:r>
      <w:r w:rsidR="008B22AE" w:rsidRPr="008B22AE">
        <w:t>‘</w:t>
      </w:r>
      <w:r w:rsidR="008B22AE">
        <w:t>The EPC measures or estimates the energy required for heating and</w:t>
      </w:r>
      <w:r w:rsidR="008B22AE" w:rsidRPr="008B22AE">
        <w:t xml:space="preserve"> distinguishe</w:t>
      </w:r>
      <w:r w:rsidR="008B22AE">
        <w:t xml:space="preserve">s between primary energy demand </w:t>
      </w:r>
      <w:r w:rsidR="008B22AE" w:rsidRPr="008B22AE">
        <w:t>and</w:t>
      </w:r>
      <w:r w:rsidR="008B22AE">
        <w:t xml:space="preserve"> final energy demand. This distinction is relevant as some heating systems, for example electric heating, do not generate emissions on-site when the property is heated but still have an unfavourable emissions profile when emissions in energy generation in </w:t>
      </w:r>
      <w:r w:rsidR="00351B73">
        <w:t xml:space="preserve">coal power plants etc are taken into account. </w:t>
      </w:r>
    </w:p>
    <w:p w14:paraId="73EA5241" w14:textId="77777777" w:rsidR="00CB1540" w:rsidRPr="00A9615D" w:rsidRDefault="00CB1540" w:rsidP="009E3AC1">
      <w:pPr>
        <w:pStyle w:val="---TEXT"/>
        <w:jc w:val="both"/>
      </w:pPr>
      <w:r w:rsidRPr="00A9615D">
        <w:t xml:space="preserve">While this dual approach to the EPC has its advantages in terms of flexibility towards particular types of dwellings and ownership </w:t>
      </w:r>
      <w:r w:rsidRPr="00A9615D">
        <w:lastRenderedPageBreak/>
        <w:t xml:space="preserve">constellations, it also has its drawbacks, notably in the comparability of ratings across dwellings and providing the consumer with clear and comprehensible information. The use of the consumption-based usage certificate is also limited by the fact that consumption is strongly dependent on the individual behaviour of occupants which may or may not be indicative of the expected bills of the prospective tenants or owners. </w:t>
      </w:r>
      <w:r w:rsidR="009E3AC1" w:rsidRPr="00A9615D">
        <w:t xml:space="preserve">Hence, future tenants may discount the information value of a consumption-based EPC as it may have low predictive power for the utility bills to be expected by these new tenants. Likewise, the intrinsic energy demand EPC may be discounted as it is not derived from actual consumption. </w:t>
      </w:r>
    </w:p>
    <w:p w14:paraId="7F62784D" w14:textId="77777777" w:rsidR="00CB1540" w:rsidRPr="00A9615D" w:rsidRDefault="00CB1540" w:rsidP="009E3AC1">
      <w:pPr>
        <w:pStyle w:val="---TEXT"/>
        <w:jc w:val="both"/>
      </w:pPr>
    </w:p>
    <w:p w14:paraId="7FAE295D" w14:textId="77777777" w:rsidR="00CB1540" w:rsidRPr="00A9615D" w:rsidRDefault="00CB1540" w:rsidP="009E3AC1">
      <w:pPr>
        <w:pStyle w:val="---TEXT"/>
        <w:jc w:val="both"/>
        <w:rPr>
          <w:b/>
        </w:rPr>
      </w:pPr>
      <w:r w:rsidRPr="00A9615D">
        <w:rPr>
          <w:b/>
        </w:rPr>
        <w:t xml:space="preserve">The split incentive problem </w:t>
      </w:r>
    </w:p>
    <w:p w14:paraId="5F370074" w14:textId="3492C69C" w:rsidR="00F0602E" w:rsidRDefault="009E3AC1" w:rsidP="00F0602E">
      <w:pPr>
        <w:pStyle w:val="---TEXT"/>
        <w:jc w:val="both"/>
      </w:pPr>
      <w:r w:rsidRPr="00A9615D">
        <w:t>Unlike the owner-occupied segment, the private rental market is subject to the</w:t>
      </w:r>
      <w:r w:rsidR="00CB1540" w:rsidRPr="00A9615D">
        <w:t xml:space="preserve"> split incentive problem. This problem occurs when costs and benefits of an investments accrue to different parties without any mechanism of redistributing costs and benefits </w:t>
      </w:r>
      <w:r w:rsidRPr="00A9615D">
        <w:t>in a fair manner</w:t>
      </w:r>
      <w:r w:rsidR="00CB1540" w:rsidRPr="00A9615D">
        <w:t>. This is the case in rented residential buildings where landlords are typically responsible for maintenance and tenants pay for electricity and heating bills directly. Any investment in the energy efficiency of a building, for example via a green retrofit would thus mainly benefit the tenant via lower utility bills while the landlord faces the burden of the capital investment. There are various mechanisms that may alleviate this split incentive problem, notably green leases which include a cost-benefit sharing mechanism but these are not widespread</w:t>
      </w:r>
      <w:r w:rsidRPr="00A9615D">
        <w:t xml:space="preserve"> and require specialised expertise</w:t>
      </w:r>
      <w:r w:rsidR="00CB1540" w:rsidRPr="00A9615D">
        <w:t xml:space="preserve">. </w:t>
      </w:r>
      <w:r w:rsidR="00CF1725">
        <w:t xml:space="preserve">The most important aspects of a green lease are </w:t>
      </w:r>
      <w:r w:rsidR="00A45D34">
        <w:t xml:space="preserve">improved (sub)metering and measurement of a tenant’s energy consumption as well as a clause that allows landlords to pass a part of the costs of energy upgrades to the tenant. </w:t>
      </w:r>
      <w:r w:rsidR="00CB1540" w:rsidRPr="00A9615D">
        <w:t xml:space="preserve">In the absence of an established mechanism, higher market rents for more energy-efficient buildings are the only possibility for landlords to recoup some of their investments. </w:t>
      </w:r>
      <w:r w:rsidRPr="00A9615D">
        <w:t xml:space="preserve">This adds practical relevance to the present study which aims to test the existence of such a market-based recoupment channel. </w:t>
      </w:r>
      <w:r w:rsidR="00F0602E">
        <w:t xml:space="preserve">In the German context, it is important to note that regulations allow a landlord to charge up to 11% p.a. in higher rents following a refurbishment. However, rents are generally capped at 20% above the average market rent. This regulation is a serious impediment for landlords of properties with above-average rents as they are prohibited by law to recoup these investments from their tenants. </w:t>
      </w:r>
    </w:p>
    <w:p w14:paraId="5FC630A7" w14:textId="77777777" w:rsidR="009E3AC1" w:rsidRPr="00A9615D" w:rsidRDefault="009E3AC1" w:rsidP="009E3AC1">
      <w:pPr>
        <w:pStyle w:val="---TEXT"/>
        <w:jc w:val="both"/>
      </w:pPr>
    </w:p>
    <w:p w14:paraId="51456BB5" w14:textId="77777777" w:rsidR="009C0233" w:rsidRPr="00A9615D" w:rsidRDefault="002A6C8C" w:rsidP="009E3AC1">
      <w:pPr>
        <w:pStyle w:val="----EBENE1"/>
        <w:numPr>
          <w:ilvl w:val="0"/>
          <w:numId w:val="0"/>
        </w:numPr>
        <w:ind w:left="360"/>
        <w:jc w:val="both"/>
      </w:pPr>
      <w:r w:rsidRPr="00A9615D">
        <w:t xml:space="preserve">Research </w:t>
      </w:r>
      <w:r w:rsidR="009E3AC1" w:rsidRPr="00A9615D">
        <w:t>approach</w:t>
      </w:r>
    </w:p>
    <w:p w14:paraId="6F41CDF3" w14:textId="2CF4EE3E" w:rsidR="0087255A" w:rsidRPr="00A9615D" w:rsidRDefault="009E3AC1" w:rsidP="009E3AC1">
      <w:pPr>
        <w:pStyle w:val="---TEXT"/>
        <w:jc w:val="both"/>
      </w:pPr>
      <w:r w:rsidRPr="00A9615D">
        <w:t>Our identification</w:t>
      </w:r>
      <w:r w:rsidR="0056551A" w:rsidRPr="00A9615D">
        <w:t xml:space="preserve"> strategy for the capitali</w:t>
      </w:r>
      <w:r w:rsidR="00621265">
        <w:t>s</w:t>
      </w:r>
      <w:r w:rsidR="0056551A" w:rsidRPr="00621265">
        <w:t>ation of energy efficiency into rents is twofold: firstly, we estimate the elasticity of asking prices wit</w:t>
      </w:r>
      <w:r w:rsidR="0056551A" w:rsidRPr="00A872DC">
        <w:t>h respect to energy consumption and/or EPC-categories in order to examine whether higher energy consumption has a significant (negative) e</w:t>
      </w:r>
      <w:r w:rsidR="008A07BE" w:rsidRPr="00A9615D">
        <w:t>ffect on prices</w:t>
      </w:r>
      <w:r w:rsidR="0056551A" w:rsidRPr="00A9615D">
        <w:t>. The functional form is a log-log equation with (</w:t>
      </w:r>
      <m:oMath>
        <m:r>
          <w:rPr>
            <w:rFonts w:ascii="Cambria Math" w:hAnsi="Cambria Math"/>
          </w:rPr>
          <m:t>R</m:t>
        </m:r>
      </m:oMath>
      <w:r w:rsidR="007D70A6" w:rsidRPr="00A9615D">
        <w:t>) representing</w:t>
      </w:r>
      <w:r w:rsidR="0056551A" w:rsidRPr="00A9615D">
        <w:t xml:space="preserve"> the response variable of asking rents in €</w:t>
      </w:r>
      <w:r w:rsidR="0051576F" w:rsidRPr="00A9615D">
        <w:t xml:space="preserve"> per month (p.m.)</w:t>
      </w:r>
      <w:r w:rsidR="0056551A" w:rsidRPr="00A9615D">
        <w:t xml:space="preserve"> and </w:t>
      </w:r>
      <w:r w:rsidR="007D70A6" w:rsidRPr="00A9615D">
        <w:t>a vector of</w:t>
      </w:r>
      <w:r w:rsidR="0056551A" w:rsidRPr="00A9615D">
        <w:t xml:space="preserve"> exogenous hedonic factors (</w:t>
      </w:r>
      <m:oMath>
        <m:r>
          <w:rPr>
            <w:rFonts w:ascii="Cambria Math" w:hAnsi="Cambria Math"/>
          </w:rPr>
          <m:t>X</m:t>
        </m:r>
      </m:oMath>
      <w:r w:rsidR="0056551A" w:rsidRPr="00A9615D">
        <w:t xml:space="preserve">), including both energy consumption and </w:t>
      </w:r>
      <w:r w:rsidR="007D70A6" w:rsidRPr="00A9615D">
        <w:t>EPC bands</w:t>
      </w:r>
      <w:r w:rsidR="0056551A" w:rsidRPr="00A9615D">
        <w:t xml:space="preserve">. </w:t>
      </w:r>
      <w:r w:rsidR="00A75A01" w:rsidRPr="00A9615D">
        <w:t>O</w:t>
      </w:r>
      <w:r w:rsidR="0056551A" w:rsidRPr="00A9615D">
        <w:t xml:space="preserve">ur dataset consists of pooled cross-sectional observations of residential </w:t>
      </w:r>
      <w:r w:rsidR="00B97289">
        <w:t>units</w:t>
      </w:r>
      <w:r w:rsidR="0056551A" w:rsidRPr="00B97289">
        <w:t xml:space="preserve"> (</w:t>
      </w:r>
      <m:oMath>
        <m:r>
          <w:rPr>
            <w:rFonts w:ascii="Cambria Math" w:hAnsi="Cambria Math"/>
          </w:rPr>
          <m:t>i</m:t>
        </m:r>
      </m:oMath>
      <w:r w:rsidR="0056551A" w:rsidRPr="00B97289">
        <w:t>) observed at different times (</w:t>
      </w:r>
      <m:oMath>
        <m:r>
          <w:rPr>
            <w:rFonts w:ascii="Cambria Math" w:hAnsi="Cambria Math"/>
          </w:rPr>
          <m:t>t</m:t>
        </m:r>
      </m:oMath>
      <w:r w:rsidR="0056551A" w:rsidRPr="00B97289">
        <w:t>), NUTS3-markets (</w:t>
      </w:r>
      <m:oMath>
        <m:r>
          <w:rPr>
            <w:rFonts w:ascii="Cambria Math" w:hAnsi="Cambria Math"/>
          </w:rPr>
          <m:t>j</m:t>
        </m:r>
      </m:oMath>
      <w:r w:rsidR="0056551A" w:rsidRPr="00B97289">
        <w:t>) and also includes socioeconomic variables (</w:t>
      </w:r>
      <m:oMath>
        <m:r>
          <w:rPr>
            <w:rFonts w:ascii="Cambria Math" w:hAnsi="Cambria Math"/>
          </w:rPr>
          <m:t>Z</m:t>
        </m:r>
      </m:oMath>
      <w:r w:rsidR="0056551A" w:rsidRPr="00051C33">
        <w:t xml:space="preserve">) </w:t>
      </w:r>
      <w:r w:rsidR="00D61723" w:rsidRPr="00051C33">
        <w:t xml:space="preserve">in </w:t>
      </w:r>
      <m:oMath>
        <m:r>
          <w:rPr>
            <w:rFonts w:ascii="Cambria Math" w:hAnsi="Cambria Math"/>
          </w:rPr>
          <m:t>j</m:t>
        </m:r>
      </m:oMath>
      <w:r w:rsidR="00A75A01" w:rsidRPr="00A872DC">
        <w:t xml:space="preserve">. </w:t>
      </w:r>
      <w:r w:rsidR="00C636A8">
        <w:t>The NUTS (Nomenclature of Territorial Units for Statistics) has a number of hierarchical spatial tiers whereby</w:t>
      </w:r>
      <w:r w:rsidR="00C636A8" w:rsidRPr="00A9615D">
        <w:t xml:space="preserve"> NUTS3 regions cover small regions similar to counties or administrative districts. </w:t>
      </w:r>
      <w:r w:rsidR="00A75A01" w:rsidRPr="00A872DC">
        <w:t>W</w:t>
      </w:r>
      <w:r w:rsidR="0056551A" w:rsidRPr="00A9615D">
        <w:t xml:space="preserve">e estimate our regression </w:t>
      </w:r>
      <w:r w:rsidRPr="00A9615D">
        <w:t>following the approach of</w:t>
      </w:r>
      <w:r w:rsidR="00557133" w:rsidRPr="00A9615D">
        <w:t xml:space="preserve"> </w:t>
      </w:r>
      <w:r w:rsidR="00A75A01" w:rsidRPr="00A9615D">
        <w:t xml:space="preserve">Rigby and Stasinopoulos </w:t>
      </w:r>
      <w:r w:rsidR="007D70A6" w:rsidRPr="00A9615D">
        <w:t>(</w:t>
      </w:r>
      <w:r w:rsidR="00A75A01" w:rsidRPr="00A9615D">
        <w:t>2005</w:t>
      </w:r>
      <w:r w:rsidR="007D70A6" w:rsidRPr="00A9615D">
        <w:t>)</w:t>
      </w:r>
      <w:r w:rsidR="00A75A01" w:rsidRPr="00A9615D">
        <w:t xml:space="preserve"> as a </w:t>
      </w:r>
      <w:r w:rsidR="00D61723" w:rsidRPr="00A9615D">
        <w:t>G</w:t>
      </w:r>
      <w:r w:rsidR="00557133" w:rsidRPr="00A9615D">
        <w:t xml:space="preserve">eneralized </w:t>
      </w:r>
      <w:r w:rsidR="00D61723" w:rsidRPr="00A9615D">
        <w:t>Additive Model for Location, Scale and Shape (GAMLSS) as follows</w:t>
      </w:r>
      <w:r w:rsidR="0056551A" w:rsidRPr="00A9615D">
        <w:t xml:space="preserve">: </w:t>
      </w:r>
      <w:r w:rsidR="0087255A" w:rsidRPr="00A9615D">
        <w:t xml:space="preserve"> </w:t>
      </w:r>
    </w:p>
    <w:p w14:paraId="4A86E341" w14:textId="77777777" w:rsidR="007D70A6" w:rsidRPr="00A9615D" w:rsidRDefault="007D70A6" w:rsidP="009E3AC1">
      <w:pPr>
        <w:pStyle w:val="---TEXT"/>
        <w:jc w:val="both"/>
      </w:pPr>
    </w:p>
    <w:p w14:paraId="33C917BF" w14:textId="77777777" w:rsidR="0087255A" w:rsidRPr="00A872DC" w:rsidRDefault="004541ED" w:rsidP="009E3AC1">
      <w:pPr>
        <w:pStyle w:val="---TEXT"/>
        <w:jc w:val="both"/>
      </w:pPr>
      <m:oMath>
        <m:sSub>
          <m:sSubPr>
            <m:ctrlPr>
              <w:rPr>
                <w:rFonts w:ascii="Cambria Math" w:hAnsi="Cambria Math"/>
                <w:i/>
              </w:rPr>
            </m:ctrlPr>
          </m:sSubPr>
          <m:e>
            <m:r>
              <w:rPr>
                <w:rFonts w:ascii="Cambria Math" w:hAnsi="Cambria Math"/>
              </w:rPr>
              <m:t>R</m:t>
            </m:r>
          </m:e>
          <m:sub>
            <m:r>
              <w:rPr>
                <w:rFonts w:ascii="Cambria Math" w:hAnsi="Cambria Math"/>
              </w:rPr>
              <m:t>i,j,t</m:t>
            </m:r>
          </m:sub>
        </m:sSub>
        <m:r>
          <w:rPr>
            <w:rFonts w:ascii="Cambria Math" w:hAnsi="Cambria Math"/>
          </w:rPr>
          <m:t>=</m:t>
        </m:r>
        <m:sSub>
          <m:sSubPr>
            <m:ctrlPr>
              <w:rPr>
                <w:rFonts w:ascii="Cambria Math" w:hAnsi="Cambria Math"/>
                <w:i/>
              </w:rPr>
            </m:ctrlPr>
          </m:sSubPr>
          <m:e>
            <m:r>
              <m:rPr>
                <m:sty m:val="bi"/>
              </m:rPr>
              <w:rPr>
                <w:rFonts w:ascii="Cambria Math" w:hAnsi="Cambria Math"/>
              </w:rPr>
              <m:t>X</m:t>
            </m:r>
          </m:e>
          <m:sub>
            <m:r>
              <w:rPr>
                <w:rFonts w:ascii="Cambria Math" w:hAnsi="Cambria Math"/>
              </w:rPr>
              <m:t>i,j,t</m:t>
            </m:r>
          </m:sub>
        </m:sSub>
        <m:r>
          <w:rPr>
            <w:rFonts w:ascii="Cambria Math" w:hAnsi="Cambria Math"/>
          </w:rPr>
          <m:t>β+</m:t>
        </m:r>
        <m:sSub>
          <m:sSubPr>
            <m:ctrlPr>
              <w:rPr>
                <w:rFonts w:ascii="Cambria Math" w:hAnsi="Cambria Math"/>
                <w:i/>
              </w:rPr>
            </m:ctrlPr>
          </m:sSubPr>
          <m:e>
            <m:r>
              <m:rPr>
                <m:sty m:val="bi"/>
              </m:rPr>
              <w:rPr>
                <w:rFonts w:ascii="Cambria Math" w:hAnsi="Cambria Math"/>
              </w:rPr>
              <m:t>Z</m:t>
            </m:r>
          </m:e>
          <m:sub>
            <m:r>
              <w:rPr>
                <w:rFonts w:ascii="Cambria Math" w:hAnsi="Cambria Math"/>
              </w:rPr>
              <m:t>j,t</m:t>
            </m:r>
          </m:sub>
        </m:sSub>
        <m:r>
          <w:rPr>
            <w:rFonts w:ascii="Cambria Math" w:hAnsi="Cambria Math"/>
          </w:rPr>
          <m:t>γ+</m:t>
        </m:r>
        <m:sSub>
          <m:sSubPr>
            <m:ctrlPr>
              <w:rPr>
                <w:rFonts w:ascii="Cambria Math" w:hAnsi="Cambria Math"/>
                <w:b/>
                <w:i/>
              </w:rPr>
            </m:ctrlPr>
          </m:sSubPr>
          <m:e>
            <m:r>
              <m:rPr>
                <m:sty m:val="bi"/>
              </m:rPr>
              <w:rPr>
                <w:rFonts w:ascii="Cambria Math" w:hAnsi="Cambria Math"/>
              </w:rPr>
              <m:t>μ</m:t>
            </m:r>
          </m:e>
          <m:sub>
            <m:r>
              <w:rPr>
                <w:rFonts w:ascii="Cambria Math" w:hAnsi="Cambria Math"/>
              </w:rPr>
              <m:t>j</m:t>
            </m:r>
          </m:sub>
        </m:sSub>
        <m:sSub>
          <m:sSubPr>
            <m:ctrlPr>
              <w:rPr>
                <w:rFonts w:ascii="Cambria Math" w:hAnsi="Cambria Math"/>
                <w:i/>
              </w:rPr>
            </m:ctrlPr>
          </m:sSubPr>
          <m:e>
            <m:r>
              <w:rPr>
                <w:rFonts w:ascii="Cambria Math" w:hAnsi="Cambria Math"/>
              </w:rPr>
              <m:t>α</m:t>
            </m:r>
          </m:e>
          <m:sub>
            <m:r>
              <w:rPr>
                <w:rFonts w:ascii="Cambria Math" w:hAnsi="Cambria Math"/>
              </w:rPr>
              <m:t>j</m:t>
            </m:r>
          </m:sub>
        </m:sSub>
        <m:r>
          <w:rPr>
            <w:rFonts w:ascii="Cambria Math" w:hAnsi="Cambria Math"/>
          </w:rPr>
          <m:t>+</m:t>
        </m:r>
        <m:sSub>
          <m:sSubPr>
            <m:ctrlPr>
              <w:rPr>
                <w:rFonts w:ascii="Cambria Math" w:hAnsi="Cambria Math"/>
                <w:b/>
                <w:i/>
              </w:rPr>
            </m:ctrlPr>
          </m:sSubPr>
          <m:e>
            <m:r>
              <m:rPr>
                <m:sty m:val="bi"/>
              </m:rPr>
              <w:rPr>
                <w:rFonts w:ascii="Cambria Math" w:hAnsi="Cambria Math"/>
              </w:rPr>
              <m:t>μ</m:t>
            </m:r>
          </m:e>
          <m:sub>
            <m:r>
              <w:rPr>
                <w:rFonts w:ascii="Cambria Math" w:hAnsi="Cambria Math"/>
              </w:rPr>
              <m:t>t</m:t>
            </m:r>
          </m:sub>
        </m:sSub>
        <m:sSub>
          <m:sSubPr>
            <m:ctrlPr>
              <w:rPr>
                <w:rFonts w:ascii="Cambria Math" w:hAnsi="Cambria Math"/>
                <w:i/>
              </w:rPr>
            </m:ctrlPr>
          </m:sSubPr>
          <m:e>
            <m:r>
              <w:rPr>
                <w:rFonts w:ascii="Cambria Math" w:hAnsi="Cambria Math"/>
              </w:rPr>
              <m:t>α</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i,j,t</m:t>
            </m:r>
          </m:sub>
        </m:sSub>
      </m:oMath>
      <w:r w:rsidR="0087255A" w:rsidRPr="00A872DC">
        <w:t xml:space="preserve">,                 </w:t>
      </w:r>
      <w:r w:rsidR="0087255A" w:rsidRPr="00A872DC">
        <w:tab/>
      </w:r>
      <w:r w:rsidR="0087255A" w:rsidRPr="00A872DC">
        <w:tab/>
        <w:t xml:space="preserve"> (1)</w:t>
      </w:r>
    </w:p>
    <w:p w14:paraId="44A0B9C7" w14:textId="77777777" w:rsidR="007D70A6" w:rsidRPr="00A9615D" w:rsidRDefault="007D70A6" w:rsidP="009E3AC1">
      <w:pPr>
        <w:pStyle w:val="---TEXT"/>
        <w:jc w:val="both"/>
      </w:pPr>
    </w:p>
    <w:p w14:paraId="6503D464" w14:textId="14A1C996" w:rsidR="00D64638" w:rsidRPr="00A9615D" w:rsidRDefault="0087255A" w:rsidP="009E3AC1">
      <w:pPr>
        <w:pStyle w:val="---TEXT"/>
        <w:jc w:val="both"/>
      </w:pPr>
      <w:r w:rsidRPr="00A9615D">
        <w:t xml:space="preserve">where </w:t>
      </w:r>
      <m:oMath>
        <m:sSub>
          <m:sSubPr>
            <m:ctrlPr>
              <w:rPr>
                <w:rFonts w:ascii="Cambria Math" w:hAnsi="Cambria Math"/>
                <w:b/>
                <w:i/>
              </w:rPr>
            </m:ctrlPr>
          </m:sSubPr>
          <m:e>
            <m:r>
              <m:rPr>
                <m:sty m:val="bi"/>
              </m:rPr>
              <w:rPr>
                <w:rFonts w:ascii="Cambria Math" w:hAnsi="Cambria Math"/>
              </w:rPr>
              <m:t>μ</m:t>
            </m:r>
          </m:e>
          <m:sub>
            <m:r>
              <w:rPr>
                <w:rFonts w:ascii="Cambria Math" w:hAnsi="Cambria Math"/>
              </w:rPr>
              <m:t>j</m:t>
            </m:r>
          </m:sub>
        </m:sSub>
      </m:oMath>
      <w:r w:rsidR="00D755C1" w:rsidRPr="00A872DC">
        <w:t xml:space="preserve"> and </w:t>
      </w:r>
      <m:oMath>
        <m:sSub>
          <m:sSubPr>
            <m:ctrlPr>
              <w:rPr>
                <w:rFonts w:ascii="Cambria Math" w:hAnsi="Cambria Math"/>
                <w:b/>
                <w:i/>
              </w:rPr>
            </m:ctrlPr>
          </m:sSubPr>
          <m:e>
            <m:r>
              <m:rPr>
                <m:sty m:val="bi"/>
              </m:rPr>
              <w:rPr>
                <w:rFonts w:ascii="Cambria Math" w:hAnsi="Cambria Math"/>
              </w:rPr>
              <m:t>μ</m:t>
            </m:r>
          </m:e>
          <m:sub>
            <m:r>
              <w:rPr>
                <w:rFonts w:ascii="Cambria Math" w:hAnsi="Cambria Math"/>
              </w:rPr>
              <m:t>t</m:t>
            </m:r>
          </m:sub>
        </m:sSub>
      </m:oMath>
      <w:r w:rsidRPr="00A872DC">
        <w:rPr>
          <w:b/>
        </w:rPr>
        <w:t xml:space="preserve"> </w:t>
      </w:r>
      <w:r w:rsidR="0056551A" w:rsidRPr="00A872DC">
        <w:t xml:space="preserve">form </w:t>
      </w:r>
      <w:r w:rsidRPr="00A9615D">
        <w:t>a matrix of NUTS3-region</w:t>
      </w:r>
      <w:r w:rsidR="0056551A" w:rsidRPr="00A9615D">
        <w:t>al</w:t>
      </w:r>
      <w:r w:rsidRPr="00A9615D">
        <w:t xml:space="preserve">-dummies and quarterly dummies respectively. </w:t>
      </w:r>
      <w:r w:rsidR="00D61723" w:rsidRPr="00A9615D">
        <w:t xml:space="preserve">The GAMLSS corresponds to a regression method in which all the parameters of observed distribution for the response are modelled as additive (non-linear) functions of the explanatory variables. The four moments of the response – the mean, variance, skewness and the kurtosis – vary depending on the observed variable and consequently on the underlying explanatory variables. Based on the research results of </w:t>
      </w:r>
      <w:r w:rsidR="001A37E8">
        <w:t xml:space="preserve">Cajias, 2018; </w:t>
      </w:r>
      <w:r w:rsidR="00D61723" w:rsidRPr="00A9615D">
        <w:t xml:space="preserve">Mayr et al. 2010; Florencio et al. 2011 and Razen et al. 2014, the GAMLSS has shown to be an accurate regression model </w:t>
      </w:r>
      <w:r w:rsidR="00A75A01" w:rsidRPr="00A9615D">
        <w:t xml:space="preserve">for real estate purposes, especially </w:t>
      </w:r>
      <w:r w:rsidR="00D61723" w:rsidRPr="00A9615D">
        <w:t>whe</w:t>
      </w:r>
      <w:r w:rsidR="00A75A01" w:rsidRPr="00A9615D">
        <w:t>n</w:t>
      </w:r>
      <w:r w:rsidR="00D61723" w:rsidRPr="00A9615D">
        <w:t xml:space="preserve"> the underlying variables are skewed and the sample is not centred about the estimators. </w:t>
      </w:r>
      <w:r w:rsidR="0010160F">
        <w:t>T</w:t>
      </w:r>
      <w:r w:rsidR="00D61723" w:rsidRPr="00A9615D">
        <w:t>he GAMLSS</w:t>
      </w:r>
      <w:r w:rsidR="001A37E8">
        <w:t xml:space="preserve"> approach</w:t>
      </w:r>
      <w:r w:rsidR="00D61723" w:rsidRPr="00A9615D">
        <w:t xml:space="preserve"> is a robust estimator whenever the expected conditional variance of the errors is not expected to be homoscedastic distributed across the sample.</w:t>
      </w:r>
      <w:r w:rsidR="00A75A01" w:rsidRPr="00A9615D">
        <w:t xml:space="preserve"> </w:t>
      </w:r>
      <w:r w:rsidR="00C01240" w:rsidRPr="00A9615D">
        <w:t>E</w:t>
      </w:r>
      <w:r w:rsidR="00B4768C" w:rsidRPr="00A9615D">
        <w:t>quation 1 controls for fixe</w:t>
      </w:r>
      <w:r w:rsidR="00F00E52" w:rsidRPr="00A9615D">
        <w:t xml:space="preserve">d effects across NUTS-3-markets, </w:t>
      </w:r>
      <w:r w:rsidR="00B4768C" w:rsidRPr="00A9615D">
        <w:t xml:space="preserve">fixed quarterly time effects and socioeconomic variables </w:t>
      </w:r>
      <w:r w:rsidR="001B3A3F" w:rsidRPr="00A9615D">
        <w:t xml:space="preserve">to control together for </w:t>
      </w:r>
      <w:r w:rsidR="00290AFA" w:rsidRPr="00A9615D">
        <w:t xml:space="preserve">unobserved </w:t>
      </w:r>
      <w:r w:rsidR="00542E7C" w:rsidRPr="00A9615D">
        <w:t xml:space="preserve">market-specific </w:t>
      </w:r>
      <w:r w:rsidR="00290AFA" w:rsidRPr="00A9615D">
        <w:t xml:space="preserve">and </w:t>
      </w:r>
      <w:r w:rsidR="00D755C1" w:rsidRPr="00A9615D">
        <w:t>household</w:t>
      </w:r>
      <w:r w:rsidR="00290AFA" w:rsidRPr="00A9615D">
        <w:t xml:space="preserve"> heterogeneity</w:t>
      </w:r>
      <w:r w:rsidR="00B4768C" w:rsidRPr="00A9615D">
        <w:t>.</w:t>
      </w:r>
      <w:r w:rsidR="00A75A01" w:rsidRPr="00A9615D">
        <w:t xml:space="preserve"> </w:t>
      </w:r>
    </w:p>
    <w:p w14:paraId="5EF7FD02" w14:textId="1A6D78F3" w:rsidR="003C5BFA" w:rsidRPr="00A9615D" w:rsidRDefault="003342B0" w:rsidP="009E3AC1">
      <w:pPr>
        <w:pStyle w:val="---TEXT"/>
        <w:jc w:val="both"/>
      </w:pPr>
      <w:r w:rsidRPr="00A9615D">
        <w:t xml:space="preserve">Finally, </w:t>
      </w:r>
      <w:r w:rsidR="004C717D" w:rsidRPr="00A9615D">
        <w:t xml:space="preserve">we focus on </w:t>
      </w:r>
      <w:r w:rsidR="0002612D" w:rsidRPr="00A9615D">
        <w:t xml:space="preserve">the construction of a </w:t>
      </w:r>
      <w:r w:rsidR="00987AB9" w:rsidRPr="00A9615D">
        <w:t xml:space="preserve">hedonic </w:t>
      </w:r>
      <w:r w:rsidR="0002612D" w:rsidRPr="00A9615D">
        <w:t xml:space="preserve">price index for the German housing market that accounts for </w:t>
      </w:r>
      <w:r w:rsidR="000305F5" w:rsidRPr="00A9615D">
        <w:t>differences in energy efficiency</w:t>
      </w:r>
      <w:r w:rsidR="0002612D" w:rsidRPr="00A9615D">
        <w:t xml:space="preserve">. </w:t>
      </w:r>
      <w:r w:rsidR="00F00E52" w:rsidRPr="00A9615D">
        <w:t>In this step</w:t>
      </w:r>
      <w:r w:rsidR="000305F5" w:rsidRPr="00A9615D">
        <w:t>,</w:t>
      </w:r>
      <w:r w:rsidR="00F00E52" w:rsidRPr="00A9615D">
        <w:t xml:space="preserve"> we </w:t>
      </w:r>
      <w:r w:rsidR="000305F5" w:rsidRPr="00A9615D">
        <w:t>test if</w:t>
      </w:r>
      <w:r w:rsidR="00F00E52" w:rsidRPr="00A9615D">
        <w:t xml:space="preserve"> portfolios including energy efficient dwellings diverge significantly from </w:t>
      </w:r>
      <w:r w:rsidR="000305F5" w:rsidRPr="00A9615D">
        <w:t>those made up of inefficient dwellings</w:t>
      </w:r>
      <w:r w:rsidR="00F00E52" w:rsidRPr="00A9615D">
        <w:t xml:space="preserve">. </w:t>
      </w:r>
      <w:r w:rsidR="00F71184" w:rsidRPr="00A9615D">
        <w:t>In line with the</w:t>
      </w:r>
      <w:r w:rsidR="0002612D" w:rsidRPr="00A9615D">
        <w:t xml:space="preserve"> “</w:t>
      </w:r>
      <w:r w:rsidR="00987AB9" w:rsidRPr="00A9615D">
        <w:t>H</w:t>
      </w:r>
      <w:r w:rsidR="0002612D" w:rsidRPr="00A9615D">
        <w:t>andbook on Residential Property Prices” of Eurostat</w:t>
      </w:r>
      <w:r w:rsidR="009F44BA">
        <w:t xml:space="preserve"> (de Haan &amp; Diewert, 2011)</w:t>
      </w:r>
      <w:r w:rsidR="0002612D" w:rsidRPr="00A9615D">
        <w:t xml:space="preserve">, we calculate a time dummy hedonic model </w:t>
      </w:r>
      <w:r w:rsidR="00F24997" w:rsidRPr="00A9615D">
        <w:t xml:space="preserve">without imputation </w:t>
      </w:r>
      <w:r w:rsidR="00C13334" w:rsidRPr="00A9615D">
        <w:t>and bui</w:t>
      </w:r>
      <w:r w:rsidR="000305F5" w:rsidRPr="00A9615D">
        <w:t>ld</w:t>
      </w:r>
      <w:r w:rsidR="0002612D" w:rsidRPr="00A9615D">
        <w:t xml:space="preserve"> </w:t>
      </w:r>
      <w:r w:rsidR="00225C94" w:rsidRPr="00A9615D">
        <w:t xml:space="preserve">an interaction term between the vector of quarterly dummies and a binary variable </w:t>
      </w:r>
      <m:oMath>
        <m:r>
          <w:rPr>
            <w:rFonts w:ascii="Cambria Math" w:hAnsi="Cambria Math"/>
          </w:rPr>
          <m:t>(</m:t>
        </m:r>
        <m:r>
          <m:rPr>
            <m:sty m:val="bi"/>
          </m:rPr>
          <w:rPr>
            <w:rFonts w:ascii="Cambria Math" w:hAnsi="Cambria Math"/>
          </w:rPr>
          <m:t>EP</m:t>
        </m:r>
        <m:sSub>
          <m:sSubPr>
            <m:ctrlPr>
              <w:rPr>
                <w:rFonts w:ascii="Cambria Math" w:hAnsi="Cambria Math"/>
                <w:b/>
                <w:i/>
              </w:rPr>
            </m:ctrlPr>
          </m:sSubPr>
          <m:e>
            <m:r>
              <m:rPr>
                <m:sty m:val="bi"/>
              </m:rPr>
              <w:rPr>
                <w:rFonts w:ascii="Cambria Math" w:hAnsi="Cambria Math"/>
              </w:rPr>
              <m:t>C</m:t>
            </m:r>
          </m:e>
          <m:sub>
            <m:r>
              <m:rPr>
                <m:sty m:val="bi"/>
              </m:rPr>
              <w:rPr>
                <w:rFonts w:ascii="Cambria Math" w:hAnsi="Cambria Math"/>
              </w:rPr>
              <m:t>i,j,t</m:t>
            </m:r>
          </m:sub>
        </m:sSub>
      </m:oMath>
      <w:r w:rsidR="0002612D" w:rsidRPr="00A872DC">
        <w:rPr>
          <w:b/>
        </w:rPr>
        <w:t>)</w:t>
      </w:r>
      <w:r w:rsidR="004C717D" w:rsidRPr="00A872DC">
        <w:rPr>
          <w:b/>
        </w:rPr>
        <w:t xml:space="preserve"> </w:t>
      </w:r>
      <w:r w:rsidR="00225C94" w:rsidRPr="00A9615D">
        <w:lastRenderedPageBreak/>
        <w:t xml:space="preserve">taking the value of </w:t>
      </w:r>
      <w:r w:rsidR="004C717D" w:rsidRPr="00A9615D">
        <w:t xml:space="preserve">1 for observations with </w:t>
      </w:r>
      <w:r w:rsidR="00D70CE2" w:rsidRPr="00A9615D">
        <w:t>energy</w:t>
      </w:r>
      <w:r w:rsidR="004C717D" w:rsidRPr="00A9615D">
        <w:t xml:space="preserve"> consumption </w:t>
      </w:r>
      <w:r w:rsidR="00E32CE1">
        <w:t>above</w:t>
      </w:r>
      <w:r w:rsidR="004C717D" w:rsidRPr="00A9615D">
        <w:t xml:space="preserve"> </w:t>
      </w:r>
      <w:r w:rsidR="00E32CE1">
        <w:t>a</w:t>
      </w:r>
      <w:r w:rsidR="00EE2301" w:rsidRPr="00A9615D">
        <w:t xml:space="preserve"> specific threshold. In order to show the sensitivity of</w:t>
      </w:r>
      <w:r w:rsidR="000C1B0E">
        <w:t xml:space="preserve"> energy efficient portfolios we define two different cut-off points: the more stringent portfolio is made up of properties up to</w:t>
      </w:r>
      <w:r w:rsidR="002B5FB3" w:rsidRPr="00A9615D">
        <w:t xml:space="preserve"> </w:t>
      </w:r>
      <w:r w:rsidR="00F24997" w:rsidRPr="00A9615D">
        <w:t>1</w:t>
      </w:r>
      <w:r w:rsidR="00144047" w:rsidRPr="00A9615D">
        <w:t>25</w:t>
      </w:r>
      <w:r w:rsidR="004C717D" w:rsidRPr="00A9615D">
        <w:t xml:space="preserve"> </w:t>
      </w:r>
      <w:r w:rsidR="00E32CE1">
        <w:rPr>
          <w:color w:val="000000" w:themeColor="text1"/>
        </w:rPr>
        <w:t>kilowatt hour per square</w:t>
      </w:r>
      <w:r w:rsidR="000C1B0E">
        <w:rPr>
          <w:color w:val="000000" w:themeColor="text1"/>
        </w:rPr>
        <w:t xml:space="preserve"> meter and</w:t>
      </w:r>
      <w:r w:rsidR="006F5659" w:rsidRPr="00A9615D">
        <w:rPr>
          <w:color w:val="000000" w:themeColor="text1"/>
        </w:rPr>
        <w:t xml:space="preserve"> year (kWh/m²/p.a.) </w:t>
      </w:r>
      <w:r w:rsidR="008B22AE">
        <w:rPr>
          <w:color w:val="000000" w:themeColor="text1"/>
        </w:rPr>
        <w:t xml:space="preserve">of primary energy consumption </w:t>
      </w:r>
      <w:r w:rsidR="002B5FB3" w:rsidRPr="00A9615D">
        <w:t>and</w:t>
      </w:r>
      <w:r w:rsidR="000C1B0E">
        <w:t xml:space="preserve"> the second portfolio includes a broader set up to</w:t>
      </w:r>
      <w:r w:rsidR="002B5FB3" w:rsidRPr="00A9615D">
        <w:t xml:space="preserve"> 200 kWh/m²/p.a.</w:t>
      </w:r>
      <w:r w:rsidR="0002612D" w:rsidRPr="00A9615D">
        <w:t>:</w:t>
      </w:r>
    </w:p>
    <w:p w14:paraId="6AB21927" w14:textId="77777777" w:rsidR="004C717D" w:rsidRPr="00B97289" w:rsidRDefault="004541ED" w:rsidP="009E3AC1">
      <w:pPr>
        <w:pStyle w:val="---TEXT"/>
        <w:ind w:left="0"/>
        <w:jc w:val="both"/>
      </w:pPr>
      <m:oMath>
        <m:sSub>
          <m:sSubPr>
            <m:ctrlPr>
              <w:rPr>
                <w:rFonts w:ascii="Cambria Math" w:hAnsi="Cambria Math"/>
                <w:i/>
              </w:rPr>
            </m:ctrlPr>
          </m:sSubPr>
          <m:e>
            <m:r>
              <w:rPr>
                <w:rFonts w:ascii="Cambria Math" w:hAnsi="Cambria Math"/>
              </w:rPr>
              <m:t>R</m:t>
            </m:r>
          </m:e>
          <m:sub>
            <m:r>
              <w:rPr>
                <w:rFonts w:ascii="Cambria Math" w:hAnsi="Cambria Math"/>
              </w:rPr>
              <m:t>i,j,t</m:t>
            </m:r>
          </m:sub>
        </m:sSub>
        <m:r>
          <w:rPr>
            <w:rFonts w:ascii="Cambria Math" w:hAnsi="Cambria Math"/>
          </w:rPr>
          <m:t>=</m:t>
        </m:r>
        <m:sSub>
          <m:sSubPr>
            <m:ctrlPr>
              <w:rPr>
                <w:rFonts w:ascii="Cambria Math" w:hAnsi="Cambria Math"/>
                <w:i/>
              </w:rPr>
            </m:ctrlPr>
          </m:sSubPr>
          <m:e>
            <m:r>
              <m:rPr>
                <m:sty m:val="bi"/>
              </m:rPr>
              <w:rPr>
                <w:rFonts w:ascii="Cambria Math" w:hAnsi="Cambria Math"/>
              </w:rPr>
              <m:t>X</m:t>
            </m:r>
          </m:e>
          <m:sub>
            <m:r>
              <w:rPr>
                <w:rFonts w:ascii="Cambria Math" w:hAnsi="Cambria Math"/>
              </w:rPr>
              <m:t>i,j,t</m:t>
            </m:r>
          </m:sub>
        </m:sSub>
        <m:r>
          <w:rPr>
            <w:rFonts w:ascii="Cambria Math" w:hAnsi="Cambria Math"/>
          </w:rPr>
          <m:t>β+</m:t>
        </m:r>
        <m:sSub>
          <m:sSubPr>
            <m:ctrlPr>
              <w:rPr>
                <w:rFonts w:ascii="Cambria Math" w:hAnsi="Cambria Math"/>
                <w:i/>
              </w:rPr>
            </m:ctrlPr>
          </m:sSubPr>
          <m:e>
            <m:r>
              <m:rPr>
                <m:sty m:val="bi"/>
              </m:rPr>
              <w:rPr>
                <w:rFonts w:ascii="Cambria Math" w:hAnsi="Cambria Math"/>
              </w:rPr>
              <m:t>Z</m:t>
            </m:r>
          </m:e>
          <m:sub>
            <m:r>
              <w:rPr>
                <w:rFonts w:ascii="Cambria Math" w:hAnsi="Cambria Math"/>
              </w:rPr>
              <m:t>j,t</m:t>
            </m:r>
          </m:sub>
        </m:sSub>
        <m:r>
          <w:rPr>
            <w:rFonts w:ascii="Cambria Math" w:hAnsi="Cambria Math"/>
          </w:rPr>
          <m:t>γ+</m:t>
        </m:r>
        <m:sSub>
          <m:sSubPr>
            <m:ctrlPr>
              <w:rPr>
                <w:rFonts w:ascii="Cambria Math" w:hAnsi="Cambria Math"/>
                <w:b/>
                <w:i/>
              </w:rPr>
            </m:ctrlPr>
          </m:sSubPr>
          <m:e>
            <m:r>
              <m:rPr>
                <m:sty m:val="bi"/>
              </m:rPr>
              <w:rPr>
                <w:rFonts w:ascii="Cambria Math" w:hAnsi="Cambria Math"/>
              </w:rPr>
              <m:t>μ</m:t>
            </m:r>
          </m:e>
          <m:sub>
            <m:r>
              <w:rPr>
                <w:rFonts w:ascii="Cambria Math" w:hAnsi="Cambria Math"/>
              </w:rPr>
              <m:t>j</m:t>
            </m:r>
          </m:sub>
        </m:sSub>
        <m:sSub>
          <m:sSubPr>
            <m:ctrlPr>
              <w:rPr>
                <w:rFonts w:ascii="Cambria Math" w:hAnsi="Cambria Math"/>
                <w:i/>
              </w:rPr>
            </m:ctrlPr>
          </m:sSubPr>
          <m:e>
            <m:r>
              <w:rPr>
                <w:rFonts w:ascii="Cambria Math" w:hAnsi="Cambria Math"/>
              </w:rPr>
              <m:t>α</m:t>
            </m:r>
          </m:e>
          <m:sub>
            <m:r>
              <w:rPr>
                <w:rFonts w:ascii="Cambria Math" w:hAnsi="Cambria Math"/>
              </w:rPr>
              <m:t>j</m:t>
            </m:r>
          </m:sub>
        </m:sSub>
        <m:r>
          <w:rPr>
            <w:rFonts w:ascii="Cambria Math" w:hAnsi="Cambria Math"/>
          </w:rPr>
          <m:t>+</m:t>
        </m:r>
        <m:r>
          <m:rPr>
            <m:sty m:val="bi"/>
          </m:rPr>
          <w:rPr>
            <w:rFonts w:ascii="Cambria Math" w:hAnsi="Cambria Math"/>
          </w:rPr>
          <m:t>EP</m:t>
        </m:r>
        <m:sSub>
          <m:sSubPr>
            <m:ctrlPr>
              <w:rPr>
                <w:rFonts w:ascii="Cambria Math" w:hAnsi="Cambria Math"/>
                <w:b/>
                <w:i/>
              </w:rPr>
            </m:ctrlPr>
          </m:sSubPr>
          <m:e>
            <m:r>
              <m:rPr>
                <m:sty m:val="bi"/>
              </m:rPr>
              <w:rPr>
                <w:rFonts w:ascii="Cambria Math" w:hAnsi="Cambria Math"/>
              </w:rPr>
              <m:t>C</m:t>
            </m:r>
          </m:e>
          <m:sub>
            <m:r>
              <m:rPr>
                <m:sty m:val="bi"/>
              </m:rPr>
              <w:rPr>
                <w:rFonts w:ascii="Cambria Math" w:hAnsi="Cambria Math"/>
              </w:rPr>
              <m:t>i,j,t</m:t>
            </m:r>
          </m:sub>
        </m:sSub>
        <m:r>
          <w:rPr>
            <w:rFonts w:ascii="Cambria Math" w:hAnsi="Cambria Math"/>
          </w:rPr>
          <m:t>ϕ+</m:t>
        </m:r>
        <m:d>
          <m:dPr>
            <m:begChr m:val="["/>
            <m:endChr m:val="]"/>
            <m:ctrlPr>
              <w:rPr>
                <w:rFonts w:ascii="Cambria Math" w:hAnsi="Cambria Math"/>
                <w:i/>
              </w:rPr>
            </m:ctrlPr>
          </m:dPr>
          <m:e>
            <m:r>
              <m:rPr>
                <m:sty m:val="bi"/>
              </m:rPr>
              <w:rPr>
                <w:rFonts w:ascii="Cambria Math" w:hAnsi="Cambria Math"/>
              </w:rPr>
              <m:t>EP</m:t>
            </m:r>
            <m:sSub>
              <m:sSubPr>
                <m:ctrlPr>
                  <w:rPr>
                    <w:rFonts w:ascii="Cambria Math" w:hAnsi="Cambria Math"/>
                    <w:b/>
                    <w:i/>
                  </w:rPr>
                </m:ctrlPr>
              </m:sSubPr>
              <m:e>
                <m:r>
                  <m:rPr>
                    <m:sty m:val="bi"/>
                  </m:rPr>
                  <w:rPr>
                    <w:rFonts w:ascii="Cambria Math" w:hAnsi="Cambria Math"/>
                  </w:rPr>
                  <m:t>C</m:t>
                </m:r>
              </m:e>
              <m:sub>
                <m:r>
                  <m:rPr>
                    <m:sty m:val="bi"/>
                  </m:rPr>
                  <w:rPr>
                    <w:rFonts w:ascii="Cambria Math" w:hAnsi="Cambria Math"/>
                  </w:rPr>
                  <m:t>i,j,t</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μ</m:t>
                </m:r>
              </m:e>
              <m:sub>
                <m:r>
                  <w:rPr>
                    <w:rFonts w:ascii="Cambria Math" w:hAnsi="Cambria Math"/>
                  </w:rPr>
                  <m:t>t</m:t>
                </m:r>
              </m:sub>
            </m:sSub>
          </m:e>
        </m:d>
        <m:sSub>
          <m:sSubPr>
            <m:ctrlPr>
              <w:rPr>
                <w:rFonts w:ascii="Cambria Math" w:hAnsi="Cambria Math"/>
                <w:i/>
              </w:rPr>
            </m:ctrlPr>
          </m:sSubPr>
          <m:e>
            <m:r>
              <m:rPr>
                <m:sty m:val="bi"/>
              </m:rPr>
              <w:rPr>
                <w:rFonts w:ascii="Cambria Math" w:hAnsi="Cambria Math"/>
              </w:rPr>
              <m:t>θ</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i,j,t</m:t>
            </m:r>
          </m:sub>
        </m:sSub>
      </m:oMath>
      <w:r w:rsidR="004C717D" w:rsidRPr="00B97289">
        <w:t xml:space="preserve">             (</w:t>
      </w:r>
      <w:r w:rsidR="00B861A6" w:rsidRPr="00B97289">
        <w:t>2</w:t>
      </w:r>
      <w:r w:rsidR="004C717D" w:rsidRPr="00B97289">
        <w:t>)</w:t>
      </w:r>
    </w:p>
    <w:p w14:paraId="2143F77A" w14:textId="77777777" w:rsidR="005747EC" w:rsidRDefault="00C13334" w:rsidP="009E3AC1">
      <w:pPr>
        <w:pStyle w:val="---TEXT"/>
        <w:jc w:val="both"/>
      </w:pPr>
      <w:r w:rsidRPr="00B97289">
        <w:t>A</w:t>
      </w:r>
      <w:r w:rsidR="0002612D" w:rsidRPr="00B97289">
        <w:t>fter applying the antilog of the coefficients of</w:t>
      </w:r>
      <m:oMath>
        <m:r>
          <w:rPr>
            <w:rFonts w:ascii="Cambria Math" w:hAnsi="Cambria Math"/>
          </w:rPr>
          <m:t xml:space="preserve"> </m:t>
        </m:r>
        <m:acc>
          <m:accPr>
            <m:ctrlPr>
              <w:rPr>
                <w:rFonts w:ascii="Cambria Math" w:hAnsi="Cambria Math"/>
                <w:i/>
              </w:rPr>
            </m:ctrlPr>
          </m:accPr>
          <m:e>
            <m:r>
              <w:rPr>
                <w:rFonts w:ascii="Cambria Math" w:hAnsi="Cambria Math"/>
              </w:rPr>
              <m:t>ϕ</m:t>
            </m:r>
          </m:e>
        </m:acc>
      </m:oMath>
      <w:r w:rsidR="00144047" w:rsidRPr="00B97289">
        <w:t xml:space="preserve"> and</w:t>
      </w:r>
      <w:r w:rsidR="0002612D" w:rsidRPr="00B97289">
        <w:t xml:space="preserve"> </w:t>
      </w:r>
      <m:oMath>
        <m:sSub>
          <m:sSubPr>
            <m:ctrlPr>
              <w:rPr>
                <w:rFonts w:ascii="Cambria Math" w:hAnsi="Cambria Math"/>
                <w:i/>
              </w:rPr>
            </m:ctrlPr>
          </m:sSubPr>
          <m:e>
            <m:acc>
              <m:accPr>
                <m:ctrlPr>
                  <w:rPr>
                    <w:rFonts w:ascii="Cambria Math" w:hAnsi="Cambria Math"/>
                    <w:b/>
                    <w:i/>
                  </w:rPr>
                </m:ctrlPr>
              </m:accPr>
              <m:e>
                <m:r>
                  <m:rPr>
                    <m:sty m:val="bi"/>
                  </m:rPr>
                  <w:rPr>
                    <w:rFonts w:ascii="Cambria Math" w:hAnsi="Cambria Math"/>
                  </w:rPr>
                  <m:t>θ</m:t>
                </m:r>
              </m:e>
            </m:acc>
          </m:e>
          <m:sub>
            <m:r>
              <w:rPr>
                <w:rFonts w:ascii="Cambria Math" w:hAnsi="Cambria Math"/>
              </w:rPr>
              <m:t>t</m:t>
            </m:r>
          </m:sub>
        </m:sSub>
      </m:oMath>
      <w:r w:rsidR="0002612D" w:rsidRPr="00B97289">
        <w:t xml:space="preserve"> </w:t>
      </w:r>
      <w:r w:rsidR="00595D38" w:rsidRPr="00B97289">
        <w:t xml:space="preserve">and </w:t>
      </w:r>
      <w:r w:rsidR="0002612D" w:rsidRPr="00B97289">
        <w:t xml:space="preserve">rebasing the values to 100 in 2013-Q1, we show the </w:t>
      </w:r>
      <w:r w:rsidRPr="00A872DC">
        <w:t xml:space="preserve">aggregated market </w:t>
      </w:r>
      <w:r w:rsidR="00595D38" w:rsidRPr="00A872DC">
        <w:t>development of low and high ene</w:t>
      </w:r>
      <w:r w:rsidR="00595D38" w:rsidRPr="00A9615D">
        <w:t xml:space="preserve">rgy consuming </w:t>
      </w:r>
      <w:r w:rsidR="00B97289">
        <w:t>dwellings</w:t>
      </w:r>
      <w:r w:rsidR="00595D38" w:rsidRPr="00B97289">
        <w:t xml:space="preserve"> over time. </w:t>
      </w:r>
      <w:r w:rsidR="00144047" w:rsidRPr="00B97289">
        <w:t xml:space="preserve">The index for low energy consuming </w:t>
      </w:r>
      <w:r w:rsidR="00B97289">
        <w:t>dwelling</w:t>
      </w:r>
      <w:r w:rsidR="00144047" w:rsidRPr="00B97289">
        <w:t xml:space="preserve">s is built </w:t>
      </w:r>
      <w:r w:rsidRPr="00B97289">
        <w:t>as</w:t>
      </w:r>
      <w:r w:rsidR="00144047" w:rsidRPr="00B97289">
        <w:t xml:space="preserve"> </w:t>
      </w:r>
      <m:oMath>
        <m:sSup>
          <m:sSupPr>
            <m:ctrlPr>
              <w:rPr>
                <w:rFonts w:ascii="Cambria Math" w:hAnsi="Cambria Math"/>
                <w:i/>
              </w:rPr>
            </m:ctrlPr>
          </m:sSupPr>
          <m:e>
            <m:r>
              <w:rPr>
                <w:rFonts w:ascii="Cambria Math" w:hAnsi="Cambria Math"/>
              </w:rPr>
              <m:t>e</m:t>
            </m:r>
          </m:e>
          <m:sup>
            <m:sSub>
              <m:sSubPr>
                <m:ctrlPr>
                  <w:rPr>
                    <w:rFonts w:ascii="Cambria Math" w:hAnsi="Cambria Math"/>
                    <w:i/>
                  </w:rPr>
                </m:ctrlPr>
              </m:sSubPr>
              <m:e>
                <m:acc>
                  <m:accPr>
                    <m:ctrlPr>
                      <w:rPr>
                        <w:rFonts w:ascii="Cambria Math" w:hAnsi="Cambria Math"/>
                        <w:i/>
                      </w:rPr>
                    </m:ctrlPr>
                  </m:accPr>
                  <m:e>
                    <m:r>
                      <w:rPr>
                        <w:rFonts w:ascii="Cambria Math" w:hAnsi="Cambria Math"/>
                      </w:rPr>
                      <m:t>θ</m:t>
                    </m:r>
                  </m:e>
                </m:acc>
              </m:e>
              <m:sub>
                <m:r>
                  <w:rPr>
                    <w:rFonts w:ascii="Cambria Math" w:hAnsi="Cambria Math"/>
                  </w:rPr>
                  <m:t>t</m:t>
                </m:r>
              </m:sub>
            </m:sSub>
          </m:sup>
        </m:sSup>
        <m:r>
          <w:rPr>
            <w:rFonts w:ascii="Cambria Math" w:hAnsi="Cambria Math"/>
          </w:rPr>
          <m:t>|EP</m:t>
        </m:r>
        <m:sSub>
          <m:sSubPr>
            <m:ctrlPr>
              <w:rPr>
                <w:rFonts w:ascii="Cambria Math" w:hAnsi="Cambria Math"/>
                <w:i/>
              </w:rPr>
            </m:ctrlPr>
          </m:sSubPr>
          <m:e>
            <m:r>
              <w:rPr>
                <w:rFonts w:ascii="Cambria Math" w:hAnsi="Cambria Math"/>
              </w:rPr>
              <m:t>C</m:t>
            </m:r>
          </m:e>
          <m:sub>
            <m:r>
              <w:rPr>
                <w:rFonts w:ascii="Cambria Math" w:hAnsi="Cambria Math"/>
              </w:rPr>
              <m:t>i,j,t</m:t>
            </m:r>
          </m:sub>
        </m:sSub>
        <m:r>
          <w:rPr>
            <w:rFonts w:ascii="Cambria Math" w:hAnsi="Cambria Math"/>
          </w:rPr>
          <m:t>=0</m:t>
        </m:r>
      </m:oMath>
      <w:r w:rsidR="00144047" w:rsidRPr="00B97289">
        <w:t xml:space="preserve">, whereas for high energy consuming </w:t>
      </w:r>
      <w:r w:rsidR="00B97289">
        <w:t xml:space="preserve">it is </w:t>
      </w:r>
      <w:r w:rsidR="00144047" w:rsidRPr="00B97289">
        <w:t xml:space="preserve"> </w:t>
      </w:r>
      <m:oMath>
        <m:sSup>
          <m:sSupPr>
            <m:ctrlPr>
              <w:rPr>
                <w:rFonts w:ascii="Cambria Math" w:hAnsi="Cambria Math"/>
                <w:i/>
              </w:rPr>
            </m:ctrlPr>
          </m:sSupPr>
          <m:e>
            <m:r>
              <w:rPr>
                <w:rFonts w:ascii="Cambria Math" w:hAnsi="Cambria Math"/>
              </w:rPr>
              <m:t>e</m:t>
            </m:r>
          </m:e>
          <m:sup>
            <m:r>
              <w:rPr>
                <w:rFonts w:ascii="Cambria Math" w:hAnsi="Cambria Math"/>
              </w:rPr>
              <m:t>(</m:t>
            </m:r>
            <m:acc>
              <m:accPr>
                <m:ctrlPr>
                  <w:rPr>
                    <w:rFonts w:ascii="Cambria Math" w:hAnsi="Cambria Math"/>
                    <w:i/>
                  </w:rPr>
                </m:ctrlPr>
              </m:accPr>
              <m:e>
                <m:r>
                  <w:rPr>
                    <w:rFonts w:ascii="Cambria Math" w:hAnsi="Cambria Math"/>
                  </w:rPr>
                  <m:t>ϕ</m:t>
                </m:r>
              </m:e>
            </m:acc>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θ</m:t>
                    </m:r>
                  </m:e>
                </m:acc>
              </m:e>
              <m:sub>
                <m:r>
                  <w:rPr>
                    <w:rFonts w:ascii="Cambria Math" w:hAnsi="Cambria Math"/>
                  </w:rPr>
                  <m:t>t</m:t>
                </m:r>
              </m:sub>
            </m:sSub>
            <m:r>
              <w:rPr>
                <w:rFonts w:ascii="Cambria Math" w:hAnsi="Cambria Math"/>
              </w:rPr>
              <m:t>)</m:t>
            </m:r>
          </m:sup>
        </m:sSup>
        <m:r>
          <w:rPr>
            <w:rFonts w:ascii="Cambria Math" w:hAnsi="Cambria Math"/>
          </w:rPr>
          <m:t>|EP</m:t>
        </m:r>
        <m:sSub>
          <m:sSubPr>
            <m:ctrlPr>
              <w:rPr>
                <w:rFonts w:ascii="Cambria Math" w:hAnsi="Cambria Math"/>
                <w:i/>
              </w:rPr>
            </m:ctrlPr>
          </m:sSubPr>
          <m:e>
            <m:r>
              <w:rPr>
                <w:rFonts w:ascii="Cambria Math" w:hAnsi="Cambria Math"/>
              </w:rPr>
              <m:t>C</m:t>
            </m:r>
          </m:e>
          <m:sub>
            <m:r>
              <w:rPr>
                <w:rFonts w:ascii="Cambria Math" w:hAnsi="Cambria Math"/>
              </w:rPr>
              <m:t>i,j,t</m:t>
            </m:r>
          </m:sub>
        </m:sSub>
        <m:r>
          <w:rPr>
            <w:rFonts w:ascii="Cambria Math" w:hAnsi="Cambria Math"/>
          </w:rPr>
          <m:t>=1</m:t>
        </m:r>
      </m:oMath>
      <w:r w:rsidR="005747EC">
        <w:t xml:space="preserve">. </w:t>
      </w:r>
    </w:p>
    <w:p w14:paraId="4E7BEB63" w14:textId="0D40AACE" w:rsidR="0013688C" w:rsidRPr="00B97289" w:rsidRDefault="0010160F" w:rsidP="009E3AC1">
      <w:pPr>
        <w:pStyle w:val="---TEXT"/>
        <w:jc w:val="both"/>
      </w:pPr>
      <w:r>
        <w:t xml:space="preserve">Next, we test for the existence of a green liquidity </w:t>
      </w:r>
      <w:r w:rsidR="000C1B0E">
        <w:t xml:space="preserve">premium </w:t>
      </w:r>
      <w:r>
        <w:t xml:space="preserve">as </w:t>
      </w:r>
      <w:r w:rsidR="00F00BBE" w:rsidRPr="00B97289">
        <w:t>reflected in</w:t>
      </w:r>
      <w:r>
        <w:t xml:space="preserve"> potentially</w:t>
      </w:r>
      <w:r w:rsidR="00F00BBE" w:rsidRPr="00B97289">
        <w:t xml:space="preserve"> shorter marketing periods of rental units with superior energy efficiency</w:t>
      </w:r>
      <w:r w:rsidR="007D70A6" w:rsidRPr="00A9615D">
        <w:t>. To do so, we require</w:t>
      </w:r>
      <w:r w:rsidR="78415B7C" w:rsidRPr="00A9615D">
        <w:t xml:space="preserve"> a regression model that captures the factors affecting</w:t>
      </w:r>
      <w:r w:rsidR="007D70A6" w:rsidRPr="00A9615D">
        <w:t xml:space="preserve"> user</w:t>
      </w:r>
      <w:r w:rsidR="00BD6358" w:rsidRPr="00A9615D">
        <w:t xml:space="preserve"> demand for dwellings.</w:t>
      </w:r>
      <w:r w:rsidR="78415B7C" w:rsidRPr="00A9615D">
        <w:t xml:space="preserve"> </w:t>
      </w:r>
      <w:r w:rsidR="007D70A6" w:rsidRPr="00A9615D">
        <w:t xml:space="preserve">However, since </w:t>
      </w:r>
      <w:r>
        <w:t>these</w:t>
      </w:r>
      <w:r w:rsidR="00BD6358" w:rsidRPr="00A9615D">
        <w:t xml:space="preserve"> factors a</w:t>
      </w:r>
      <w:r w:rsidR="007D70A6" w:rsidRPr="00A9615D">
        <w:t>re difficult to observe directly,</w:t>
      </w:r>
      <w:r w:rsidR="00BD6358" w:rsidRPr="00A9615D">
        <w:t xml:space="preserve"> </w:t>
      </w:r>
      <w:r w:rsidR="007D70A6" w:rsidRPr="00A9615D">
        <w:t xml:space="preserve">we proxy </w:t>
      </w:r>
      <w:r w:rsidR="00E61984" w:rsidRPr="00A9615D">
        <w:t>liquidity</w:t>
      </w:r>
      <w:r w:rsidR="007D70A6" w:rsidRPr="00A9615D">
        <w:t xml:space="preserve"> with</w:t>
      </w:r>
      <w:r w:rsidR="00BD6358" w:rsidRPr="00A9615D">
        <w:t xml:space="preserve"> the time a </w:t>
      </w:r>
      <w:r w:rsidR="00B97289">
        <w:t>dwelling</w:t>
      </w:r>
      <w:r w:rsidR="00BD6358" w:rsidRPr="00B97289">
        <w:t xml:space="preserve"> is available on the </w:t>
      </w:r>
      <w:r w:rsidR="007D70A6" w:rsidRPr="00B97289">
        <w:t>market</w:t>
      </w:r>
      <w:r w:rsidR="00BD6358" w:rsidRPr="00B97289">
        <w:t xml:space="preserve"> until it is </w:t>
      </w:r>
      <w:r w:rsidR="00B97289">
        <w:t>rented out</w:t>
      </w:r>
      <w:r w:rsidR="00B97289" w:rsidRPr="00B97289">
        <w:t xml:space="preserve"> </w:t>
      </w:r>
      <w:r w:rsidR="00BD6358" w:rsidRPr="00B97289">
        <w:t>to a new tenant.</w:t>
      </w:r>
      <w:r w:rsidR="007D70A6" w:rsidRPr="00B97289">
        <w:t xml:space="preserve"> S</w:t>
      </w:r>
      <w:r w:rsidR="78415B7C" w:rsidRPr="00B97289">
        <w:t>urvival</w:t>
      </w:r>
      <w:r w:rsidR="007D70A6" w:rsidRPr="00B97289">
        <w:t xml:space="preserve"> estimation</w:t>
      </w:r>
      <w:r w:rsidR="78415B7C" w:rsidRPr="00B97289">
        <w:t xml:space="preserve"> methods have</w:t>
      </w:r>
      <w:r>
        <w:t xml:space="preserve"> rarely</w:t>
      </w:r>
      <w:r w:rsidR="78415B7C" w:rsidRPr="00B97289">
        <w:t xml:space="preserve"> been employed in the research field of energy efficiency of buildings, perhaps due to restricted access to real-time market data</w:t>
      </w:r>
      <w:r w:rsidR="007D70A6" w:rsidRPr="00B97289">
        <w:t xml:space="preserve"> in previous studies</w:t>
      </w:r>
      <w:r w:rsidR="78415B7C" w:rsidRPr="00A872DC">
        <w:t xml:space="preserve">. </w:t>
      </w:r>
      <w:r>
        <w:t>They</w:t>
      </w:r>
      <w:r w:rsidR="00320065" w:rsidRPr="00A9615D">
        <w:t xml:space="preserve"> have, however, been </w:t>
      </w:r>
      <w:r>
        <w:t>used</w:t>
      </w:r>
      <w:r w:rsidRPr="00A9615D">
        <w:t xml:space="preserve"> </w:t>
      </w:r>
      <w:r w:rsidR="00320065" w:rsidRPr="00A9615D">
        <w:t xml:space="preserve">in a number of studies in various </w:t>
      </w:r>
      <w:r w:rsidR="007D70A6" w:rsidRPr="00A9615D">
        <w:t xml:space="preserve">other </w:t>
      </w:r>
      <w:r w:rsidR="00320065" w:rsidRPr="00A9615D">
        <w:t>research fields (</w:t>
      </w:r>
      <w:r w:rsidR="00FB4538">
        <w:t xml:space="preserve">Cajias, Freudenreich, 2018; </w:t>
      </w:r>
      <w:r w:rsidR="00FD46E1" w:rsidRPr="00A9615D">
        <w:t xml:space="preserve">Zahirovic-Herbert, Gibler, 2014; Larsen, 2012; </w:t>
      </w:r>
      <w:r w:rsidR="00995C7B" w:rsidRPr="00A9615D">
        <w:t>Benefield, Rutherford, Allen, 2012</w:t>
      </w:r>
      <w:r w:rsidR="00320065" w:rsidRPr="00A9615D">
        <w:t>). Since a survival model captures primarily the factors affecting the decision process when renting out a property</w:t>
      </w:r>
      <w:r w:rsidR="00E61984" w:rsidRPr="00A9615D">
        <w:t xml:space="preserve">, it can be </w:t>
      </w:r>
      <w:r w:rsidR="00320065" w:rsidRPr="00A9615D">
        <w:t>expanded to include exogenous factors such as energy consumption or energy categories in order to estimate whether the time-on-market</w:t>
      </w:r>
      <w:r w:rsidR="00E61984" w:rsidRPr="00A9615D">
        <w:t xml:space="preserve"> </w:t>
      </w:r>
      <w:r w:rsidR="00320065" w:rsidRPr="00A9615D">
        <w:t xml:space="preserve">for low-energy consuming </w:t>
      </w:r>
      <w:r w:rsidR="00B97289">
        <w:t>dwelling</w:t>
      </w:r>
      <w:r w:rsidR="00320065" w:rsidRPr="00B97289">
        <w:t xml:space="preserve">s is higher than their counteracts. Simply put, we estimate the elasticity (also </w:t>
      </w:r>
      <w:r w:rsidR="00320065" w:rsidRPr="00A872DC">
        <w:t xml:space="preserve">known as the odds) of a dwelling's time-on-market </w:t>
      </w:r>
      <w:r w:rsidR="00E61984" w:rsidRPr="00A872DC">
        <w:t>as a function of its</w:t>
      </w:r>
      <w:r w:rsidR="00320065" w:rsidRPr="00A9615D">
        <w:t xml:space="preserve"> energy consumption and EPC rating. </w:t>
      </w:r>
      <w:r w:rsidR="78415B7C" w:rsidRPr="00A9615D">
        <w:t>Before explaining the model parameteri</w:t>
      </w:r>
      <w:r w:rsidR="00621265">
        <w:t>s</w:t>
      </w:r>
      <w:r w:rsidR="78415B7C" w:rsidRPr="00621265">
        <w:t xml:space="preserve">ation, it is necessary to explain the statistical nature of the response and the underlying estimation method. </w:t>
      </w:r>
    </w:p>
    <w:p w14:paraId="03020A50" w14:textId="320FD60C" w:rsidR="78415B7C" w:rsidRPr="00A9615D" w:rsidRDefault="78415B7C" w:rsidP="009E3AC1">
      <w:pPr>
        <w:pStyle w:val="---TEXT"/>
        <w:jc w:val="both"/>
      </w:pPr>
      <w:r w:rsidRPr="00B97289">
        <w:t>The time</w:t>
      </w:r>
      <w:r w:rsidR="00320065" w:rsidRPr="00B97289">
        <w:t xml:space="preserve"> period</w:t>
      </w:r>
      <w:r w:rsidRPr="00B97289">
        <w:t xml:space="preserve"> </w:t>
      </w:r>
      <w:r w:rsidR="00222EB9" w:rsidRPr="00051C33">
        <w:t>(</w:t>
      </w:r>
      <m:oMath>
        <m:r>
          <w:rPr>
            <w:rFonts w:ascii="Cambria Math" w:hAnsi="Cambria Math"/>
          </w:rPr>
          <m:t>T</m:t>
        </m:r>
      </m:oMath>
      <w:r w:rsidR="00222EB9" w:rsidRPr="00051C33">
        <w:t xml:space="preserve">) </w:t>
      </w:r>
      <w:r w:rsidR="006C6BF8">
        <w:t xml:space="preserve">during which </w:t>
      </w:r>
      <w:r w:rsidRPr="00A872DC">
        <w:t xml:space="preserve">a </w:t>
      </w:r>
      <w:r w:rsidR="00B97289">
        <w:t>dwelling</w:t>
      </w:r>
      <w:r w:rsidRPr="00B97289">
        <w:t xml:space="preserve"> is offered on the </w:t>
      </w:r>
      <w:r w:rsidR="00320065" w:rsidRPr="00B97289">
        <w:t>market</w:t>
      </w:r>
      <w:r w:rsidR="006C6BF8">
        <w:t>,</w:t>
      </w:r>
      <w:r w:rsidR="00320065" w:rsidRPr="00B97289">
        <w:t xml:space="preserve"> </w:t>
      </w:r>
      <w:r w:rsidRPr="00B97289">
        <w:t>corresponds to a continuous positive response variable and is interpreted as the duration of a</w:t>
      </w:r>
      <w:r w:rsidR="0064705C" w:rsidRPr="00A872DC">
        <w:t>n</w:t>
      </w:r>
      <w:r w:rsidRPr="00A872DC">
        <w:t xml:space="preserve"> event (offer), in </w:t>
      </w:r>
      <w:r w:rsidR="006C6BF8">
        <w:t>this</w:t>
      </w:r>
      <w:r w:rsidRPr="00A872DC">
        <w:t xml:space="preserve"> case the time in weeks, </w:t>
      </w:r>
      <w:r w:rsidR="006C6BF8">
        <w:t>prior to</w:t>
      </w:r>
      <w:r w:rsidR="006C6BF8" w:rsidRPr="00A872DC">
        <w:t xml:space="preserve"> </w:t>
      </w:r>
      <w:r w:rsidRPr="00A872DC">
        <w:t>the occurrence of an event</w:t>
      </w:r>
      <w:r w:rsidR="00222EB9" w:rsidRPr="00A9615D">
        <w:t xml:space="preserve"> (</w:t>
      </w:r>
      <m:oMath>
        <m:r>
          <w:rPr>
            <w:rFonts w:ascii="Cambria Math" w:hAnsi="Cambria Math"/>
          </w:rPr>
          <m:t>t</m:t>
        </m:r>
      </m:oMath>
      <w:r w:rsidR="00222EB9" w:rsidRPr="00A9615D">
        <w:t>)</w:t>
      </w:r>
      <w:r w:rsidR="002F3DFE" w:rsidRPr="00A9615D">
        <w:t>, e.g.</w:t>
      </w:r>
      <w:r w:rsidRPr="00A9615D">
        <w:t xml:space="preserve"> </w:t>
      </w:r>
      <w:r w:rsidR="002F3DFE" w:rsidRPr="00A9615D">
        <w:t xml:space="preserve">the </w:t>
      </w:r>
      <w:r w:rsidRPr="00A9615D">
        <w:t>letting</w:t>
      </w:r>
      <w:r w:rsidR="00BD6358" w:rsidRPr="00A9615D">
        <w:t xml:space="preserve"> agreement</w:t>
      </w:r>
      <w:r w:rsidRPr="00A9615D">
        <w:t>. T</w:t>
      </w:r>
      <w:r w:rsidR="005B2240" w:rsidRPr="00A9615D">
        <w:t>w</w:t>
      </w:r>
      <w:r w:rsidRPr="00A9615D">
        <w:t xml:space="preserve">o </w:t>
      </w:r>
      <w:r w:rsidR="00F81A82" w:rsidRPr="00A9615D">
        <w:t>functions</w:t>
      </w:r>
      <w:r w:rsidRPr="00A9615D">
        <w:t xml:space="preserve"> are </w:t>
      </w:r>
      <w:r w:rsidR="00F81A82" w:rsidRPr="00A9615D">
        <w:t xml:space="preserve">relevant </w:t>
      </w:r>
      <w:r w:rsidRPr="00A9615D">
        <w:t xml:space="preserve">for </w:t>
      </w:r>
      <w:r w:rsidR="0064705C" w:rsidRPr="00A9615D">
        <w:t>estimati</w:t>
      </w:r>
      <w:r w:rsidR="002F3DFE" w:rsidRPr="00A9615D">
        <w:t>ng</w:t>
      </w:r>
      <w:r w:rsidR="0064705C" w:rsidRPr="00A9615D">
        <w:t xml:space="preserve"> </w:t>
      </w:r>
      <w:r w:rsidR="002F3DFE" w:rsidRPr="00A9615D">
        <w:t>s</w:t>
      </w:r>
      <w:r w:rsidRPr="00A9615D">
        <w:t>urvival models</w:t>
      </w:r>
      <w:r w:rsidR="0064705C" w:rsidRPr="00A9615D">
        <w:t>:</w:t>
      </w:r>
      <w:r w:rsidRPr="00A9615D">
        <w:t xml:space="preserve"> the surviv</w:t>
      </w:r>
      <w:r w:rsidR="00320065" w:rsidRPr="00A9615D">
        <w:t>al</w:t>
      </w:r>
      <w:r w:rsidRPr="00A9615D">
        <w:t xml:space="preserve"> function (</w:t>
      </w:r>
      <m:oMath>
        <m:r>
          <w:rPr>
            <w:rFonts w:ascii="Cambria Math" w:hAnsi="Cambria Math"/>
          </w:rPr>
          <m:t>S</m:t>
        </m:r>
      </m:oMath>
      <w:r w:rsidR="00FA4BD3" w:rsidRPr="00A9615D">
        <w:t xml:space="preserve">) and the hazard </w:t>
      </w:r>
      <w:r w:rsidRPr="00A9615D">
        <w:t>rate function (</w:t>
      </w:r>
      <m:oMath>
        <m:r>
          <w:rPr>
            <w:rFonts w:ascii="Cambria Math" w:hAnsi="Cambria Math"/>
          </w:rPr>
          <m:t>h</m:t>
        </m:r>
      </m:oMath>
      <w:r w:rsidRPr="00A9615D">
        <w:t>). While the former estimates the probability of each observation of surviving the event in dependence</w:t>
      </w:r>
      <w:r w:rsidR="00311654">
        <w:t xml:space="preserve"> of the time elapsed, the latter</w:t>
      </w:r>
      <w:r w:rsidRPr="00A9615D">
        <w:t xml:space="preserve"> estimates </w:t>
      </w:r>
      <w:r w:rsidR="002F3DFE" w:rsidRPr="00A9615D">
        <w:t xml:space="preserve">the </w:t>
      </w:r>
      <w:r w:rsidRPr="00A9615D">
        <w:t>rate of occurrence per unit of time of an event</w:t>
      </w:r>
      <w:r w:rsidR="00F81A82" w:rsidRPr="00A9615D">
        <w:t>, f</w:t>
      </w:r>
      <w:r w:rsidRPr="00A9615D">
        <w:t xml:space="preserve">ormally </w:t>
      </w:r>
      <w:r w:rsidR="00BD6358" w:rsidRPr="00A9615D">
        <w:t>expressed</w:t>
      </w:r>
      <w:r w:rsidRPr="00A9615D">
        <w:t xml:space="preserve"> as: </w:t>
      </w:r>
    </w:p>
    <w:p w14:paraId="00524E46" w14:textId="77777777" w:rsidR="008D66C1" w:rsidRPr="00A9615D" w:rsidRDefault="00390F6E" w:rsidP="009E3AC1">
      <w:pPr>
        <w:pStyle w:val="---TEXT"/>
        <w:jc w:val="both"/>
      </w:pPr>
      <m:oMath>
        <m:r>
          <w:rPr>
            <w:rFonts w:ascii="Cambria Math" w:hAnsi="Cambria Math"/>
          </w:rPr>
          <m:t>S</m:t>
        </m:r>
        <m:d>
          <m:dPr>
            <m:ctrlPr>
              <w:rPr>
                <w:rFonts w:ascii="Cambria Math" w:hAnsi="Cambria Math"/>
                <w:i/>
              </w:rPr>
            </m:ctrlPr>
          </m:dPr>
          <m:e>
            <m:r>
              <w:rPr>
                <w:rFonts w:ascii="Cambria Math" w:hAnsi="Cambria Math"/>
              </w:rPr>
              <m:t>t</m:t>
            </m:r>
          </m:e>
        </m:d>
        <m:r>
          <w:rPr>
            <w:rFonts w:ascii="Cambria Math" w:hAnsi="Cambria Math"/>
          </w:rPr>
          <m:t>=P</m:t>
        </m:r>
        <m:d>
          <m:dPr>
            <m:ctrlPr>
              <w:rPr>
                <w:rFonts w:ascii="Cambria Math" w:hAnsi="Cambria Math"/>
                <w:i/>
              </w:rPr>
            </m:ctrlPr>
          </m:dPr>
          <m:e>
            <m:r>
              <w:rPr>
                <w:rFonts w:ascii="Cambria Math" w:hAnsi="Cambria Math"/>
              </w:rPr>
              <m:t>T&gt;t</m:t>
            </m:r>
          </m:e>
        </m:d>
        <m:r>
          <w:rPr>
            <w:rFonts w:ascii="Cambria Math" w:hAnsi="Cambria Math"/>
          </w:rPr>
          <m:t>=1-</m:t>
        </m:r>
        <m:nary>
          <m:naryPr>
            <m:limLoc m:val="subSup"/>
            <m:ctrlPr>
              <w:rPr>
                <w:rFonts w:ascii="Cambria Math" w:hAnsi="Cambria Math"/>
                <w:i/>
              </w:rPr>
            </m:ctrlPr>
          </m:naryPr>
          <m:sub>
            <m:r>
              <w:rPr>
                <w:rFonts w:ascii="Cambria Math" w:hAnsi="Cambria Math"/>
              </w:rPr>
              <m:t>t</m:t>
            </m:r>
          </m:sub>
          <m:sup>
            <m:r>
              <w:rPr>
                <w:rFonts w:ascii="Cambria Math" w:hAnsi="Cambria Math"/>
              </w:rPr>
              <m:t>∞</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dx</m:t>
            </m:r>
          </m:e>
        </m:nary>
      </m:oMath>
      <w:r w:rsidRPr="00A872DC">
        <w:tab/>
      </w:r>
      <w:r w:rsidRPr="00A872DC">
        <w:tab/>
      </w:r>
      <w:r w:rsidRPr="00A872DC">
        <w:tab/>
      </w:r>
      <w:r w:rsidRPr="00A872DC">
        <w:tab/>
      </w:r>
      <w:r w:rsidRPr="00A872DC">
        <w:tab/>
        <w:t>(</w:t>
      </w:r>
      <w:r w:rsidR="00B861A6" w:rsidRPr="00A872DC">
        <w:t>3</w:t>
      </w:r>
      <w:r w:rsidRPr="00A9615D">
        <w:t>)</w:t>
      </w:r>
    </w:p>
    <w:p w14:paraId="7091712D" w14:textId="77777777" w:rsidR="00390F6E" w:rsidRPr="00A9615D" w:rsidRDefault="00390F6E" w:rsidP="009E3AC1">
      <w:pPr>
        <w:pStyle w:val="---TEXT"/>
        <w:jc w:val="both"/>
      </w:pPr>
      <m:oMath>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P(t&lt;T≤t+∆t|T&gt;t)</m:t>
            </m:r>
          </m:num>
          <m:den>
            <m:r>
              <w:rPr>
                <w:rFonts w:ascii="Cambria Math" w:hAnsi="Cambria Math"/>
              </w:rPr>
              <m:t>∆t</m:t>
            </m:r>
          </m:den>
        </m:f>
      </m:oMath>
      <w:r w:rsidRPr="00A872DC">
        <w:tab/>
      </w:r>
      <w:r w:rsidRPr="00A872DC">
        <w:tab/>
      </w:r>
      <w:r w:rsidRPr="00A872DC">
        <w:tab/>
      </w:r>
      <w:r w:rsidRPr="00A872DC">
        <w:tab/>
      </w:r>
      <w:r w:rsidRPr="00A872DC">
        <w:tab/>
        <w:t>(</w:t>
      </w:r>
      <w:r w:rsidR="00B861A6" w:rsidRPr="00A872DC">
        <w:t>4</w:t>
      </w:r>
      <w:r w:rsidRPr="00A9615D">
        <w:t>)</w:t>
      </w:r>
    </w:p>
    <w:p w14:paraId="16AFC075" w14:textId="44BC8A24" w:rsidR="008721B7" w:rsidRPr="00A9615D" w:rsidRDefault="00F81A82" w:rsidP="009E3AC1">
      <w:pPr>
        <w:pStyle w:val="---TEXT"/>
        <w:jc w:val="both"/>
      </w:pPr>
      <w:r w:rsidRPr="00A9615D">
        <w:t>T</w:t>
      </w:r>
      <w:r w:rsidR="00320065" w:rsidRPr="00A9615D">
        <w:t>he survival</w:t>
      </w:r>
      <w:r w:rsidR="00222EB9" w:rsidRPr="00A9615D">
        <w:t xml:space="preserve"> function </w:t>
      </w:r>
      <w:r w:rsidR="00F76492" w:rsidRPr="00A9615D">
        <w:t xml:space="preserve">gives the probability that a </w:t>
      </w:r>
      <w:r w:rsidR="00BD6358" w:rsidRPr="00A9615D">
        <w:t xml:space="preserve">dwelling </w:t>
      </w:r>
      <w:r w:rsidR="001B3001" w:rsidRPr="00A9615D">
        <w:t xml:space="preserve">remains on the market </w:t>
      </w:r>
      <w:r w:rsidR="002F3DFE" w:rsidRPr="00A9615D">
        <w:t>until</w:t>
      </w:r>
      <w:r w:rsidR="00F76492" w:rsidRPr="00A9615D">
        <w:t xml:space="preserve"> </w:t>
      </w:r>
      <w:r w:rsidR="00320065" w:rsidRPr="00A9615D">
        <w:t xml:space="preserve">a certain </w:t>
      </w:r>
      <w:r w:rsidR="00F76492" w:rsidRPr="00A9615D">
        <w:t xml:space="preserve">time </w:t>
      </w:r>
      <m:oMath>
        <m:r>
          <w:rPr>
            <w:rFonts w:ascii="Cambria Math" w:hAnsi="Cambria Math"/>
          </w:rPr>
          <m:t>t</m:t>
        </m:r>
      </m:oMath>
      <w:r w:rsidR="00F76492" w:rsidRPr="00A9615D">
        <w:t xml:space="preserve">, </w:t>
      </w:r>
      <w:r w:rsidRPr="00A9615D">
        <w:t xml:space="preserve">whereas </w:t>
      </w:r>
      <w:r w:rsidR="00F76492" w:rsidRPr="00A9615D">
        <w:t>the hazard</w:t>
      </w:r>
      <w:r w:rsidR="00FA4BD3" w:rsidRPr="00A9615D">
        <w:t xml:space="preserve"> specifies the rate of failure at </w:t>
      </w:r>
      <m:oMath>
        <m:r>
          <w:rPr>
            <w:rFonts w:ascii="Cambria Math" w:hAnsi="Cambria Math"/>
          </w:rPr>
          <m:t>T=t</m:t>
        </m:r>
      </m:oMath>
      <w:r w:rsidR="00FA4BD3" w:rsidRPr="00A9615D">
        <w:t xml:space="preserve"> given that the </w:t>
      </w:r>
      <w:r w:rsidR="00B97289">
        <w:t>dwelling</w:t>
      </w:r>
      <w:r w:rsidR="00FA4BD3" w:rsidRPr="00B97289">
        <w:t xml:space="preserve"> survived up to time </w:t>
      </w:r>
      <m:oMath>
        <m:r>
          <w:rPr>
            <w:rFonts w:ascii="Cambria Math" w:hAnsi="Cambria Math"/>
          </w:rPr>
          <m:t>t</m:t>
        </m:r>
      </m:oMath>
      <w:r w:rsidR="78415B7C" w:rsidRPr="00B97289">
        <w:t xml:space="preserve">. </w:t>
      </w:r>
      <w:r w:rsidR="00FA4BD3" w:rsidRPr="00051C33">
        <w:t>Since the numerator in</w:t>
      </w:r>
      <w:r w:rsidR="0021469B" w:rsidRPr="00051C33">
        <w:t xml:space="preserve"> equation </w:t>
      </w:r>
      <w:r w:rsidR="00FA4BD3" w:rsidRPr="00051C33">
        <w:t>(</w:t>
      </w:r>
      <w:r w:rsidR="00143B96" w:rsidRPr="00051C33">
        <w:t>4</w:t>
      </w:r>
      <w:r w:rsidR="00FA4BD3" w:rsidRPr="00051C33">
        <w:t>) corresponds to a conditional probability an</w:t>
      </w:r>
      <w:r w:rsidR="00311654">
        <w:t>d the denominator is elapsed</w:t>
      </w:r>
      <w:r w:rsidR="00FA4BD3" w:rsidRPr="00051C33">
        <w:t xml:space="preserve"> time </w:t>
      </w:r>
      <m:oMath>
        <m:r>
          <w:rPr>
            <w:rFonts w:ascii="Cambria Math" w:hAnsi="Cambria Math"/>
          </w:rPr>
          <m:t>∆t</m:t>
        </m:r>
      </m:oMath>
      <w:r w:rsidR="00FA4BD3" w:rsidRPr="00A872DC">
        <w:t xml:space="preserve">, the hazard function gives the </w:t>
      </w:r>
      <w:r w:rsidR="001C0EB9" w:rsidRPr="00A9615D">
        <w:t>probability or rate of “mortality”</w:t>
      </w:r>
      <w:r w:rsidR="00FA4BD3" w:rsidRPr="00A9615D">
        <w:t xml:space="preserve"> </w:t>
      </w:r>
      <w:r w:rsidR="001C0EB9" w:rsidRPr="00A9615D">
        <w:t xml:space="preserve">per units of time. </w:t>
      </w:r>
      <w:r w:rsidRPr="00A9615D">
        <w:t xml:space="preserve">A typical outcome in </w:t>
      </w:r>
      <w:r w:rsidR="78415B7C" w:rsidRPr="00A9615D">
        <w:t xml:space="preserve">survival </w:t>
      </w:r>
      <w:r w:rsidRPr="00A9615D">
        <w:t xml:space="preserve">analyses </w:t>
      </w:r>
      <w:r w:rsidR="78415B7C" w:rsidRPr="00A9615D">
        <w:t xml:space="preserve">is the fact that some </w:t>
      </w:r>
      <w:r w:rsidR="00BD6358" w:rsidRPr="00A9615D">
        <w:t>dwellings</w:t>
      </w:r>
      <w:r w:rsidR="78415B7C" w:rsidRPr="00A9615D">
        <w:t xml:space="preserve"> do not change the</w:t>
      </w:r>
      <w:r w:rsidR="00320065" w:rsidRPr="00A9615D">
        <w:t>ir</w:t>
      </w:r>
      <w:r w:rsidR="78415B7C" w:rsidRPr="00A9615D">
        <w:t xml:space="preserve"> </w:t>
      </w:r>
      <w:r w:rsidRPr="00A9615D">
        <w:t xml:space="preserve">survival </w:t>
      </w:r>
      <w:r w:rsidR="78415B7C" w:rsidRPr="00A9615D">
        <w:t>event status</w:t>
      </w:r>
      <w:r w:rsidR="001C0EB9" w:rsidRPr="00A9615D">
        <w:t>,</w:t>
      </w:r>
      <w:r w:rsidR="78415B7C" w:rsidRPr="00A9615D">
        <w:t xml:space="preserve"> either because they remain available </w:t>
      </w:r>
      <w:r w:rsidR="00320065" w:rsidRPr="00A9615D">
        <w:t>o</w:t>
      </w:r>
      <w:r w:rsidR="78415B7C" w:rsidRPr="00A9615D">
        <w:t xml:space="preserve">n the market or the </w:t>
      </w:r>
      <w:r w:rsidR="00BD6358" w:rsidRPr="00A9615D">
        <w:t>landlord</w:t>
      </w:r>
      <w:r w:rsidR="78415B7C" w:rsidRPr="00A9615D">
        <w:t xml:space="preserve"> do</w:t>
      </w:r>
      <w:r w:rsidRPr="00A9615D">
        <w:t>es</w:t>
      </w:r>
      <w:r w:rsidR="78415B7C" w:rsidRPr="00A9615D">
        <w:t xml:space="preserve"> not change the status</w:t>
      </w:r>
      <w:r w:rsidR="002F3DFE" w:rsidRPr="00A9615D">
        <w:t xml:space="preserve"> </w:t>
      </w:r>
      <w:r w:rsidR="00BD6358" w:rsidRPr="00A9615D">
        <w:t>in the database</w:t>
      </w:r>
      <w:r w:rsidR="00320065" w:rsidRPr="00A9615D">
        <w:t>.</w:t>
      </w:r>
      <w:r w:rsidR="78415B7C" w:rsidRPr="00A9615D">
        <w:t xml:space="preserve"> In this case, the</w:t>
      </w:r>
      <w:r w:rsidRPr="00A9615D">
        <w:t xml:space="preserve"> continuous</w:t>
      </w:r>
      <w:r w:rsidR="78415B7C" w:rsidRPr="00A9615D">
        <w:t xml:space="preserve"> response variable is s</w:t>
      </w:r>
      <w:r w:rsidR="002F3DFE" w:rsidRPr="00A9615D">
        <w:t>aid</w:t>
      </w:r>
      <w:r w:rsidR="78415B7C" w:rsidRPr="00A9615D">
        <w:t xml:space="preserve"> to be </w:t>
      </w:r>
      <w:r w:rsidR="001C0EB9" w:rsidRPr="00A9615D">
        <w:t>right-</w:t>
      </w:r>
      <w:r w:rsidR="78415B7C" w:rsidRPr="00A9615D">
        <w:t xml:space="preserve">censored. </w:t>
      </w:r>
      <w:r w:rsidR="00320065" w:rsidRPr="00A9615D">
        <w:t xml:space="preserve">To resolve this problem, proportional Cox hazard models do account for censoring in the response variable as they transform the response into a count variable per unit of time to estimate the effect of the covariates in a multiplicative way. In other words, the proportional Cox-hazard model decomposes the time of an event in units of time incorporating censoring into the count regression. Since the response variable is expressed as </w:t>
      </w:r>
      <w:r w:rsidRPr="00A9615D">
        <w:t xml:space="preserve">letting </w:t>
      </w:r>
      <w:r w:rsidR="00320065" w:rsidRPr="00A9615D">
        <w:t xml:space="preserve">time </w:t>
      </w:r>
      <m:oMath>
        <m:r>
          <w:rPr>
            <w:rFonts w:ascii="Cambria Math" w:hAnsi="Cambria Math"/>
          </w:rPr>
          <m:t>T</m:t>
        </m:r>
      </m:oMath>
      <w:r w:rsidR="00320065" w:rsidRPr="00A9615D">
        <w:t xml:space="preserve">, survival models estimate a conditional survival probability for an event for each observation. Therefore, the interpretation of a survival regression, as a proportional hazard model is expressed as the probability of changing </w:t>
      </w:r>
      <w:r w:rsidRPr="00A9615D">
        <w:t xml:space="preserve">the survival </w:t>
      </w:r>
      <w:r w:rsidR="00320065" w:rsidRPr="00A9615D">
        <w:t xml:space="preserve">status. </w:t>
      </w:r>
    </w:p>
    <w:p w14:paraId="6F770E8F" w14:textId="3A85047D" w:rsidR="008721B7" w:rsidRPr="00A872DC" w:rsidRDefault="008721B7" w:rsidP="009E3AC1">
      <w:pPr>
        <w:pStyle w:val="---TEXT"/>
        <w:jc w:val="both"/>
      </w:pPr>
      <w:r w:rsidRPr="00A9615D">
        <w:t>Endogeneity and the use of instrumental variables methods are a</w:t>
      </w:r>
      <w:r w:rsidR="007D70A6" w:rsidRPr="00A9615D">
        <w:t xml:space="preserve"> thoroughly</w:t>
      </w:r>
      <w:r w:rsidRPr="00A9615D">
        <w:t xml:space="preserve"> discussed topic in the </w:t>
      </w:r>
      <w:r w:rsidR="007D70A6" w:rsidRPr="00A9615D">
        <w:t>literature on</w:t>
      </w:r>
      <w:r w:rsidRPr="00A9615D">
        <w:t xml:space="preserve"> hedonic and survival equations. As proposed by Benefield, Cain, Johnson (2014), the estimation of both </w:t>
      </w:r>
      <w:r w:rsidR="001D3F0B">
        <w:t xml:space="preserve">the rental and time-on-market </w:t>
      </w:r>
      <w:r w:rsidRPr="00A9615D">
        <w:t>equations would lead primarily to inefficient estimators whenever they are used as endogenous and exogenous simultaneously. The two stage least square (2SLS) approach has been therefore recommended in order to avoid endogeneity problems and provide efficient estimates. Very important in this approach however is a closer look at the data generating process (</w:t>
      </w:r>
      <w:r w:rsidR="00C95B11" w:rsidRPr="00A9615D">
        <w:t>DGP</w:t>
      </w:r>
      <w:r w:rsidRPr="00A9615D">
        <w:t>) of both variables in the hedonic and survival equation model. Endogeneity arises in general when a covariate is correlated with the error term or used as both exogenous and endogenous variable. That is, when rents and time-on-market are simultaneously used on both the left hand and right hand side of the equations. H</w:t>
      </w:r>
      <w:r w:rsidRPr="00A9615D">
        <w:rPr>
          <w:vanish/>
        </w:rPr>
        <w:t>In my case h</w:t>
      </w:r>
      <w:r w:rsidRPr="00A9615D">
        <w:t xml:space="preserve">owever, in this paper the </w:t>
      </w:r>
      <w:r w:rsidR="00C95B11" w:rsidRPr="00A9615D">
        <w:t xml:space="preserve">DGP </w:t>
      </w:r>
      <w:r w:rsidRPr="00A9615D">
        <w:t xml:space="preserve">of rents </w:t>
      </w:r>
      <m:oMath>
        <m:r>
          <m:rPr>
            <m:sty m:val="p"/>
          </m:rPr>
          <w:rPr>
            <w:rFonts w:ascii="Cambria Math" w:hAnsi="Cambria Math"/>
          </w:rPr>
          <m:t>R</m:t>
        </m:r>
      </m:oMath>
      <w:r w:rsidRPr="00A9615D">
        <w:t xml:space="preserve"> and time-on-market </w:t>
      </w:r>
      <m:oMath>
        <m:r>
          <m:rPr>
            <m:sty m:val="p"/>
          </m:rPr>
          <w:rPr>
            <w:rFonts w:ascii="Cambria Math" w:hAnsi="Cambria Math"/>
          </w:rPr>
          <m:t>∆t</m:t>
        </m:r>
      </m:oMath>
      <w:r w:rsidRPr="00A9615D">
        <w:t xml:space="preserve"> is different. Landlords willing to let assets set an initial asking rent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0</m:t>
            </m:r>
          </m:sub>
        </m:sSub>
      </m:oMath>
      <w:r w:rsidRPr="00B97289">
        <w:t xml:space="preserve"> at time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oMath>
      <w:r w:rsidRPr="00B97289">
        <w:t xml:space="preserve"> and wait </w:t>
      </w:r>
      <m:oMath>
        <m:r>
          <m:rPr>
            <m:sty m:val="p"/>
          </m:rPr>
          <w:rPr>
            <w:rFonts w:ascii="Cambria Math" w:hAnsi="Cambria Math"/>
          </w:rPr>
          <m:t>∆t</m:t>
        </m:r>
      </m:oMath>
      <w:r w:rsidRPr="00B97289">
        <w:t xml:space="preserve"> in order to either hand over the asset to the tenant or reconsider the rent level to </w:t>
      </w:r>
      <m:oMath>
        <m:acc>
          <m:accPr>
            <m:chr m:val="̇"/>
            <m:ctrlPr>
              <w:rPr>
                <w:rFonts w:ascii="Cambria Math" w:hAnsi="Cambria Math"/>
              </w:rPr>
            </m:ctrlPr>
          </m:accPr>
          <m:e>
            <m:r>
              <m:rPr>
                <m:sty m:val="p"/>
              </m:rPr>
              <w:rPr>
                <w:rFonts w:ascii="Cambria Math" w:hAnsi="Cambria Math"/>
              </w:rPr>
              <m:t>R</m:t>
            </m:r>
          </m:e>
        </m:acc>
        <m:r>
          <m:rPr>
            <m:sty m:val="p"/>
          </m:rPr>
          <w:rPr>
            <w:rFonts w:ascii="Cambria Math" w:hAnsi="Cambria Math"/>
          </w:rPr>
          <m:t>&gt;R</m:t>
        </m:r>
      </m:oMath>
      <w:r w:rsidRPr="00B97289">
        <w:t xml:space="preserve"> or </w:t>
      </w:r>
      <m:oMath>
        <m:acc>
          <m:accPr>
            <m:chr m:val="̃"/>
            <m:ctrlPr>
              <w:rPr>
                <w:rFonts w:ascii="Cambria Math" w:hAnsi="Cambria Math"/>
              </w:rPr>
            </m:ctrlPr>
          </m:accPr>
          <m:e>
            <m:r>
              <m:rPr>
                <m:sty m:val="p"/>
              </m:rPr>
              <w:rPr>
                <w:rFonts w:ascii="Cambria Math" w:hAnsi="Cambria Math"/>
              </w:rPr>
              <m:t>R</m:t>
            </m:r>
          </m:e>
        </m:acc>
        <m:r>
          <m:rPr>
            <m:sty m:val="p"/>
          </m:rPr>
          <w:rPr>
            <w:rFonts w:ascii="Cambria Math" w:hAnsi="Cambria Math"/>
          </w:rPr>
          <m:t>&lt;R</m:t>
        </m:r>
      </m:oMath>
      <w:r w:rsidRPr="00B97289">
        <w:t xml:space="preserve"> and wait afterwards for a second letting agreement. During the first period </w:t>
      </w:r>
      <m:oMath>
        <m:r>
          <m:rPr>
            <m:sty m:val="p"/>
          </m:rPr>
          <w:rPr>
            <w:rFonts w:ascii="Cambria Math" w:hAnsi="Cambria Math"/>
          </w:rPr>
          <m:t>∆t</m:t>
        </m:r>
      </m:oMath>
      <w:r w:rsidRPr="00B97289">
        <w:t xml:space="preserve">, the </w:t>
      </w:r>
      <w:r w:rsidR="005B2240" w:rsidRPr="00B97289">
        <w:t xml:space="preserve">DGP </w:t>
      </w:r>
      <w:r w:rsidRPr="00B97289">
        <w:t xml:space="preserve">of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0</m:t>
            </m:r>
          </m:sub>
        </m:sSub>
      </m:oMath>
      <w:r w:rsidRPr="00B97289">
        <w:t xml:space="preserve"> is not determined by </w:t>
      </w:r>
      <m:oMath>
        <m:r>
          <m:rPr>
            <m:sty m:val="p"/>
          </m:rPr>
          <w:rPr>
            <w:rFonts w:ascii="Cambria Math" w:hAnsi="Cambria Math"/>
          </w:rPr>
          <m:t>∆t</m:t>
        </m:r>
      </m:oMath>
      <w:r w:rsidRPr="00B97289">
        <w:t xml:space="preserve"> as landlords are not aware of </w:t>
      </w:r>
      <m:oMath>
        <m:r>
          <m:rPr>
            <m:sty m:val="p"/>
          </m:rPr>
          <w:rPr>
            <w:rFonts w:ascii="Cambria Math" w:hAnsi="Cambria Math"/>
          </w:rPr>
          <m:t>∆t</m:t>
        </m:r>
      </m:oMath>
      <w:r w:rsidRPr="00B97289">
        <w:t xml:space="preserve"> in achieving the asking rent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0</m:t>
            </m:r>
          </m:sub>
        </m:sSub>
      </m:oMath>
      <w:r w:rsidRPr="00B97289">
        <w:t xml:space="preserve">. Therefore, the variable time-on-market is not included in the hedonic equation as it is ex-post generated by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0</m:t>
            </m:r>
          </m:sub>
        </m:sSub>
      </m:oMath>
      <w:r w:rsidRPr="00B97289">
        <w:t xml:space="preserve"> and the market conditions. In contrast, the </w:t>
      </w:r>
      <w:r w:rsidR="00C95B11" w:rsidRPr="00B97289">
        <w:t xml:space="preserve">DGP </w:t>
      </w:r>
      <w:r w:rsidRPr="00B97289">
        <w:t xml:space="preserve">of </w:t>
      </w:r>
      <m:oMath>
        <m:r>
          <m:rPr>
            <m:sty m:val="p"/>
          </m:rPr>
          <w:rPr>
            <w:rFonts w:ascii="Cambria Math" w:hAnsi="Cambria Math"/>
          </w:rPr>
          <m:t>∆t</m:t>
        </m:r>
      </m:oMath>
      <w:r w:rsidRPr="00B97289">
        <w:t xml:space="preserve"> is indeed influenced by the initial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0</m:t>
            </m:r>
          </m:sub>
        </m:sSub>
      </m:oMath>
      <w:r w:rsidRPr="00B97289">
        <w:t xml:space="preserve">, for which reason the vector of asking rents is used as a </w:t>
      </w:r>
      <w:r w:rsidRPr="00B97289">
        <w:lastRenderedPageBreak/>
        <w:t xml:space="preserve">covariate in the survival regression. Since the data base used here captures merely </w:t>
      </w:r>
      <m:oMath>
        <m:r>
          <m:rPr>
            <m:sty m:val="p"/>
          </m:rPr>
          <w:rPr>
            <w:rFonts w:ascii="Cambria Math" w:hAnsi="Cambria Math"/>
          </w:rPr>
          <m:t>∆t|</m:t>
        </m:r>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0</m:t>
            </m:r>
          </m:sub>
        </m:sSub>
      </m:oMath>
      <w:r w:rsidRPr="00B97289">
        <w:rPr>
          <w:iCs/>
        </w:rPr>
        <w:t xml:space="preserve"> </w:t>
      </w:r>
      <w:r w:rsidRPr="00B97289">
        <w:t xml:space="preserve">rather than </w:t>
      </w:r>
      <m:oMath>
        <m:acc>
          <m:accPr>
            <m:chr m:val="̇"/>
            <m:ctrlPr>
              <w:rPr>
                <w:rFonts w:ascii="Cambria Math" w:hAnsi="Cambria Math"/>
              </w:rPr>
            </m:ctrlPr>
          </m:accPr>
          <m:e>
            <m:r>
              <m:rPr>
                <m:sty m:val="p"/>
              </m:rPr>
              <w:rPr>
                <w:rFonts w:ascii="Cambria Math" w:hAnsi="Cambria Math"/>
              </w:rPr>
              <m:t>R</m:t>
            </m:r>
          </m:e>
        </m:acc>
      </m:oMath>
      <w:r w:rsidRPr="00B97289">
        <w:t xml:space="preserve"> and </w:t>
      </w:r>
      <m:oMath>
        <m:acc>
          <m:accPr>
            <m:chr m:val="̃"/>
            <m:ctrlPr>
              <w:rPr>
                <w:rFonts w:ascii="Cambria Math" w:hAnsi="Cambria Math"/>
              </w:rPr>
            </m:ctrlPr>
          </m:accPr>
          <m:e>
            <m:r>
              <m:rPr>
                <m:sty m:val="p"/>
              </m:rPr>
              <w:rPr>
                <w:rFonts w:ascii="Cambria Math" w:hAnsi="Cambria Math"/>
              </w:rPr>
              <m:t>R</m:t>
            </m:r>
          </m:e>
        </m:acc>
      </m:oMath>
      <w:r w:rsidRPr="00B97289">
        <w:t xml:space="preserve">, the use of 2SLS is not indispensable. </w:t>
      </w:r>
    </w:p>
    <w:p w14:paraId="45767DC8" w14:textId="77777777" w:rsidR="00D56B9B" w:rsidRPr="00A9615D" w:rsidRDefault="00320065" w:rsidP="009E3AC1">
      <w:pPr>
        <w:pStyle w:val="---TEXT"/>
        <w:jc w:val="both"/>
      </w:pPr>
      <w:r w:rsidRPr="00A9615D">
        <w:t>Based upon this information, we paramet</w:t>
      </w:r>
      <w:r w:rsidR="005B2240" w:rsidRPr="00A9615D">
        <w:t>eri</w:t>
      </w:r>
      <w:r w:rsidR="00621265" w:rsidRPr="00A9615D">
        <w:t>s</w:t>
      </w:r>
      <w:r w:rsidR="005B2240" w:rsidRPr="00A9615D">
        <w:t xml:space="preserve">e </w:t>
      </w:r>
      <w:r w:rsidRPr="00A9615D">
        <w:t>the equation of our parametric proportional hazard model as follows</w:t>
      </w:r>
      <w:r w:rsidR="78415B7C" w:rsidRPr="00A9615D">
        <w:t>:</w:t>
      </w:r>
    </w:p>
    <w:p w14:paraId="6DC448FB" w14:textId="77777777" w:rsidR="00D56B9B" w:rsidRPr="00A9615D" w:rsidRDefault="004541ED" w:rsidP="009E3AC1">
      <w:pPr>
        <w:pStyle w:val="---TEXT"/>
        <w:jc w:val="both"/>
      </w:pPr>
      <m:oMath>
        <m:sSub>
          <m:sSubPr>
            <m:ctrlPr>
              <w:rPr>
                <w:rFonts w:ascii="Cambria Math" w:hAnsi="Cambria Math"/>
                <w:i/>
              </w:rPr>
            </m:ctrlPr>
          </m:sSubPr>
          <m:e>
            <m:r>
              <w:rPr>
                <w:rFonts w:ascii="Cambria Math" w:hAnsi="Cambria Math"/>
              </w:rPr>
              <m:t>h</m:t>
            </m:r>
          </m:e>
          <m:sub>
            <m:r>
              <w:rPr>
                <w:rFonts w:ascii="Cambria Math" w:hAnsi="Cambria Math"/>
              </w:rPr>
              <m:t>i,j,t</m:t>
            </m:r>
          </m:sub>
        </m:sSub>
        <m:r>
          <w:rPr>
            <w:rFonts w:ascii="Cambria Math" w:hAnsi="Cambria Math"/>
          </w:rPr>
          <m:t>(t)=</m:t>
        </m:r>
        <m:r>
          <m:rPr>
            <m:sty m:val="p"/>
          </m:rPr>
          <w:rPr>
            <w:rFonts w:ascii="Cambria Math" w:hAnsi="Cambria Math"/>
          </w:rPr>
          <m:t>exp⁡</m:t>
        </m:r>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m:t>
        </m:r>
        <m:sSub>
          <m:sSubPr>
            <m:ctrlPr>
              <w:rPr>
                <w:rFonts w:ascii="Cambria Math" w:hAnsi="Cambria Math"/>
                <w:i/>
              </w:rPr>
            </m:ctrlPr>
          </m:sSubPr>
          <m:e>
            <m:r>
              <m:rPr>
                <m:sty m:val="bi"/>
              </m:rPr>
              <w:rPr>
                <w:rFonts w:ascii="Cambria Math" w:hAnsi="Cambria Math"/>
              </w:rPr>
              <m:t>X</m:t>
            </m:r>
          </m:e>
          <m:sub>
            <m:r>
              <w:rPr>
                <w:rFonts w:ascii="Cambria Math" w:hAnsi="Cambria Math"/>
              </w:rPr>
              <m:t>i,j,t</m:t>
            </m:r>
          </m:sub>
        </m:sSub>
        <m:r>
          <w:rPr>
            <w:rFonts w:ascii="Cambria Math" w:hAnsi="Cambria Math"/>
          </w:rPr>
          <m:t>β+</m:t>
        </m:r>
        <m:sSub>
          <m:sSubPr>
            <m:ctrlPr>
              <w:rPr>
                <w:rFonts w:ascii="Cambria Math" w:hAnsi="Cambria Math"/>
                <w:i/>
              </w:rPr>
            </m:ctrlPr>
          </m:sSubPr>
          <m:e>
            <m:r>
              <m:rPr>
                <m:sty m:val="bi"/>
              </m:rPr>
              <w:rPr>
                <w:rFonts w:ascii="Cambria Math" w:hAnsi="Cambria Math"/>
              </w:rPr>
              <m:t>Z</m:t>
            </m:r>
          </m:e>
          <m:sub>
            <m:r>
              <w:rPr>
                <w:rFonts w:ascii="Cambria Math" w:hAnsi="Cambria Math"/>
              </w:rPr>
              <m:t>j,t</m:t>
            </m:r>
          </m:sub>
        </m:sSub>
        <m:r>
          <w:rPr>
            <w:rFonts w:ascii="Cambria Math" w:hAnsi="Cambria Math"/>
          </w:rPr>
          <m:t>γ+</m:t>
        </m:r>
        <m:sSub>
          <m:sSubPr>
            <m:ctrlPr>
              <w:rPr>
                <w:rFonts w:ascii="Cambria Math" w:hAnsi="Cambria Math"/>
                <w:b/>
                <w:i/>
              </w:rPr>
            </m:ctrlPr>
          </m:sSubPr>
          <m:e>
            <m:r>
              <m:rPr>
                <m:sty m:val="bi"/>
              </m:rPr>
              <w:rPr>
                <w:rFonts w:ascii="Cambria Math" w:hAnsi="Cambria Math"/>
              </w:rPr>
              <m:t>μ</m:t>
            </m:r>
          </m:e>
          <m:sub>
            <m:r>
              <w:rPr>
                <w:rFonts w:ascii="Cambria Math" w:hAnsi="Cambria Math"/>
              </w:rPr>
              <m:t>j</m:t>
            </m:r>
          </m:sub>
        </m:sSub>
        <m:sSub>
          <m:sSubPr>
            <m:ctrlPr>
              <w:rPr>
                <w:rFonts w:ascii="Cambria Math" w:hAnsi="Cambria Math"/>
                <w:i/>
              </w:rPr>
            </m:ctrlPr>
          </m:sSubPr>
          <m:e>
            <m:r>
              <w:rPr>
                <w:rFonts w:ascii="Cambria Math" w:hAnsi="Cambria Math"/>
              </w:rPr>
              <m:t>α</m:t>
            </m:r>
          </m:e>
          <m:sub>
            <m:r>
              <w:rPr>
                <w:rFonts w:ascii="Cambria Math" w:hAnsi="Cambria Math"/>
              </w:rPr>
              <m:t>j</m:t>
            </m:r>
          </m:sub>
        </m:sSub>
        <m:r>
          <w:rPr>
            <w:rFonts w:ascii="Cambria Math" w:hAnsi="Cambria Math"/>
          </w:rPr>
          <m:t>)</m:t>
        </m:r>
      </m:oMath>
      <w:r w:rsidR="00B861A6" w:rsidRPr="00A872DC">
        <w:t xml:space="preserve">   </w:t>
      </w:r>
      <w:r w:rsidR="00B861A6" w:rsidRPr="00A872DC">
        <w:tab/>
      </w:r>
      <w:r w:rsidR="00B861A6" w:rsidRPr="00A872DC">
        <w:tab/>
      </w:r>
      <w:r w:rsidR="00B861A6" w:rsidRPr="00A872DC">
        <w:tab/>
        <w:t>(5</w:t>
      </w:r>
      <w:r w:rsidR="002017C8" w:rsidRPr="00A9615D">
        <w:t>)</w:t>
      </w:r>
    </w:p>
    <w:p w14:paraId="1E30B188" w14:textId="457393F4" w:rsidR="00DA0173" w:rsidRPr="00A872DC" w:rsidRDefault="002017C8" w:rsidP="009E3AC1">
      <w:pPr>
        <w:pStyle w:val="---TEXT"/>
        <w:jc w:val="both"/>
      </w:pPr>
      <w:r w:rsidRPr="00A9615D">
        <w:t xml:space="preserve">The </w:t>
      </w:r>
      <m:oMath>
        <m:r>
          <m:rPr>
            <m:sty m:val="bi"/>
          </m:rPr>
          <w:rPr>
            <w:rFonts w:ascii="Cambria Math" w:hAnsi="Cambria Math"/>
          </w:rPr>
          <m:t>X</m:t>
        </m:r>
      </m:oMath>
      <w:r w:rsidRPr="00A9615D">
        <w:t xml:space="preserve"> and </w:t>
      </w:r>
      <m:oMath>
        <m:r>
          <m:rPr>
            <m:sty m:val="bi"/>
          </m:rPr>
          <w:rPr>
            <w:rFonts w:ascii="Cambria Math" w:hAnsi="Cambria Math"/>
          </w:rPr>
          <m:t>Z</m:t>
        </m:r>
      </m:oMath>
      <w:r w:rsidRPr="00A9615D">
        <w:t xml:space="preserve"> matrix contain </w:t>
      </w:r>
      <w:r w:rsidR="00321E6E" w:rsidRPr="00A9615D">
        <w:t>identical</w:t>
      </w:r>
      <w:r w:rsidRPr="00A9615D">
        <w:t xml:space="preserve"> covariates as in the </w:t>
      </w:r>
      <w:r w:rsidR="001A6471" w:rsidRPr="00A9615D">
        <w:t>rent</w:t>
      </w:r>
      <w:r w:rsidRPr="00A9615D">
        <w:t xml:space="preserve"> model</w:t>
      </w:r>
      <w:r w:rsidR="003E5A77" w:rsidRPr="00A9615D">
        <w:t xml:space="preserve"> </w:t>
      </w:r>
      <w:r w:rsidR="00BD6358" w:rsidRPr="00A9615D">
        <w:t>but</w:t>
      </w:r>
      <w:r w:rsidRPr="00A9615D">
        <w:t xml:space="preserve"> include </w:t>
      </w:r>
      <w:r w:rsidR="003E5A77" w:rsidRPr="00A9615D">
        <w:t>rents as a</w:t>
      </w:r>
      <w:r w:rsidR="00F24997" w:rsidRPr="00A9615D">
        <w:t>n</w:t>
      </w:r>
      <w:r w:rsidR="003E5A77" w:rsidRPr="00A9615D">
        <w:t xml:space="preserve"> </w:t>
      </w:r>
      <w:r w:rsidR="00BD6358" w:rsidRPr="00A9615D">
        <w:t xml:space="preserve">additional </w:t>
      </w:r>
      <w:r w:rsidR="003E5A77" w:rsidRPr="00A9615D">
        <w:t xml:space="preserve">explanatory variable. In order to control for regional heterogeneity we </w:t>
      </w:r>
      <w:r w:rsidR="00321E6E" w:rsidRPr="00A9615D">
        <w:t xml:space="preserve">also </w:t>
      </w:r>
      <w:r w:rsidR="003E5A77" w:rsidRPr="00A9615D">
        <w:t xml:space="preserve">incorporate the </w:t>
      </w:r>
      <m:oMath>
        <m:sSub>
          <m:sSubPr>
            <m:ctrlPr>
              <w:rPr>
                <w:rFonts w:ascii="Cambria Math" w:hAnsi="Cambria Math"/>
                <w:b/>
                <w:i/>
              </w:rPr>
            </m:ctrlPr>
          </m:sSubPr>
          <m:e>
            <m:r>
              <m:rPr>
                <m:sty m:val="bi"/>
              </m:rPr>
              <w:rPr>
                <w:rFonts w:ascii="Cambria Math" w:hAnsi="Cambria Math"/>
              </w:rPr>
              <m:t>μ</m:t>
            </m:r>
          </m:e>
          <m:sub>
            <m:r>
              <w:rPr>
                <w:rFonts w:ascii="Cambria Math" w:hAnsi="Cambria Math"/>
              </w:rPr>
              <m:t>j</m:t>
            </m:r>
          </m:sub>
        </m:sSub>
      </m:oMath>
      <w:r w:rsidR="003E5A77" w:rsidRPr="00A872DC">
        <w:t xml:space="preserve"> matrix. </w:t>
      </w:r>
    </w:p>
    <w:p w14:paraId="4D177B0F" w14:textId="77777777" w:rsidR="009E0EF4" w:rsidRPr="00A9615D" w:rsidRDefault="009E0EF4" w:rsidP="009E3AC1">
      <w:pPr>
        <w:pStyle w:val="----EBENE1"/>
        <w:numPr>
          <w:ilvl w:val="0"/>
          <w:numId w:val="0"/>
        </w:numPr>
        <w:ind w:left="360"/>
        <w:jc w:val="both"/>
      </w:pPr>
      <w:r w:rsidRPr="00A9615D">
        <w:t xml:space="preserve">Data description </w:t>
      </w:r>
      <w:r w:rsidR="00BD6358" w:rsidRPr="00A9615D">
        <w:t>and preliminary statistics</w:t>
      </w:r>
    </w:p>
    <w:p w14:paraId="18D8C153" w14:textId="2524E000" w:rsidR="003E2DA8" w:rsidRPr="00A9615D" w:rsidRDefault="003E2DA8" w:rsidP="009E3AC1">
      <w:pPr>
        <w:pStyle w:val="---TEXT"/>
        <w:jc w:val="both"/>
        <w:rPr>
          <w:color w:val="000000" w:themeColor="text1"/>
        </w:rPr>
      </w:pPr>
      <w:r w:rsidRPr="00A9615D">
        <w:rPr>
          <w:color w:val="000000" w:themeColor="text1"/>
        </w:rPr>
        <w:t xml:space="preserve">The estimation sample comprises two merged databases. First, we gathered </w:t>
      </w:r>
      <w:r w:rsidR="00CF385C" w:rsidRPr="00CF385C">
        <w:rPr>
          <w:color w:val="000000" w:themeColor="text1"/>
        </w:rPr>
        <w:t>1</w:t>
      </w:r>
      <w:r w:rsidR="00CF385C">
        <w:rPr>
          <w:color w:val="000000" w:themeColor="text1"/>
        </w:rPr>
        <w:t>,</w:t>
      </w:r>
      <w:r w:rsidR="00CF385C" w:rsidRPr="00CF385C">
        <w:rPr>
          <w:color w:val="000000" w:themeColor="text1"/>
        </w:rPr>
        <w:t>029</w:t>
      </w:r>
      <w:r w:rsidR="00CF385C">
        <w:rPr>
          <w:color w:val="000000" w:themeColor="text1"/>
        </w:rPr>
        <w:t>,</w:t>
      </w:r>
      <w:r w:rsidR="00CF385C" w:rsidRPr="00CF385C">
        <w:rPr>
          <w:color w:val="000000" w:themeColor="text1"/>
        </w:rPr>
        <w:t>202</w:t>
      </w:r>
      <w:r w:rsidRPr="00A9615D">
        <w:rPr>
          <w:color w:val="000000" w:themeColor="text1"/>
        </w:rPr>
        <w:t xml:space="preserve">  observations of rental </w:t>
      </w:r>
      <w:r w:rsidR="00B97289">
        <w:rPr>
          <w:color w:val="000000" w:themeColor="text1"/>
        </w:rPr>
        <w:t>dwelling</w:t>
      </w:r>
      <w:r w:rsidRPr="00B97289">
        <w:rPr>
          <w:color w:val="000000" w:themeColor="text1"/>
        </w:rPr>
        <w:t xml:space="preserve">s from multiple listing services (MLS) in Germany from 2013-Q1 until </w:t>
      </w:r>
      <w:r w:rsidR="00CF385C" w:rsidRPr="00B97289">
        <w:rPr>
          <w:color w:val="000000" w:themeColor="text1"/>
        </w:rPr>
        <w:t>201</w:t>
      </w:r>
      <w:r w:rsidR="00CF385C">
        <w:rPr>
          <w:color w:val="000000" w:themeColor="text1"/>
        </w:rPr>
        <w:t>7</w:t>
      </w:r>
      <w:r w:rsidRPr="00B97289">
        <w:rPr>
          <w:color w:val="000000" w:themeColor="text1"/>
        </w:rPr>
        <w:t>-Q</w:t>
      </w:r>
      <w:r w:rsidR="00E049E6" w:rsidRPr="00A872DC">
        <w:rPr>
          <w:color w:val="000000" w:themeColor="text1"/>
        </w:rPr>
        <w:t>4</w:t>
      </w:r>
      <w:r w:rsidRPr="00A872DC">
        <w:rPr>
          <w:color w:val="000000" w:themeColor="text1"/>
        </w:rPr>
        <w:t xml:space="preserve"> as collected by the Empirica Systems database (www.empirica</w:t>
      </w:r>
      <w:r w:rsidRPr="00A9615D">
        <w:rPr>
          <w:color w:val="000000" w:themeColor="text1"/>
        </w:rPr>
        <w:t>-systeme.de), which contain the most important multiple listing service (MLS) providers such as Immoscout, Immonet and Immowelt as well as seven others. After filtering and deleting duplicates, the empirica system databank provides geographically referenced data with over 30 hedonic characteristics, including dwelling’s energy consumption in kilowatt hour per square met</w:t>
      </w:r>
      <w:r w:rsidR="00B97289">
        <w:rPr>
          <w:color w:val="000000" w:themeColor="text1"/>
        </w:rPr>
        <w:t>re</w:t>
      </w:r>
      <w:r w:rsidRPr="00B97289">
        <w:rPr>
          <w:color w:val="000000" w:themeColor="text1"/>
        </w:rPr>
        <w:t xml:space="preserve"> in a year (kWh/m²/p.a.) extracted from the environmental performance certificate (EPC). In order to avoid a large drop in sample size du</w:t>
      </w:r>
      <w:r w:rsidRPr="00A872DC">
        <w:rPr>
          <w:color w:val="000000" w:themeColor="text1"/>
        </w:rPr>
        <w:t xml:space="preserve">e to missing binary hedonic attributes such as wooden floor, sauna or laminate floor, we only include 12 relevant hedonic characteristics. </w:t>
      </w:r>
      <w:r w:rsidR="007D70A6" w:rsidRPr="00A9615D">
        <w:rPr>
          <w:color w:val="000000" w:themeColor="text1"/>
        </w:rPr>
        <w:t>W</w:t>
      </w:r>
      <w:r w:rsidRPr="00A9615D">
        <w:rPr>
          <w:color w:val="000000" w:themeColor="text1"/>
        </w:rPr>
        <w:t xml:space="preserve">e </w:t>
      </w:r>
      <w:r w:rsidR="007D70A6" w:rsidRPr="00A9615D">
        <w:rPr>
          <w:color w:val="000000" w:themeColor="text1"/>
        </w:rPr>
        <w:t xml:space="preserve">also </w:t>
      </w:r>
      <w:r w:rsidRPr="00A9615D">
        <w:rPr>
          <w:color w:val="000000" w:themeColor="text1"/>
        </w:rPr>
        <w:t>merge two socioeconomic variables</w:t>
      </w:r>
      <w:r w:rsidR="005B2240" w:rsidRPr="00A9615D">
        <w:rPr>
          <w:color w:val="000000" w:themeColor="text1"/>
        </w:rPr>
        <w:t>:</w:t>
      </w:r>
      <w:r w:rsidRPr="00A9615D">
        <w:rPr>
          <w:color w:val="000000" w:themeColor="text1"/>
        </w:rPr>
        <w:t xml:space="preserve"> the purchasing power per household and number of households on a </w:t>
      </w:r>
      <w:r w:rsidR="00051C33">
        <w:rPr>
          <w:color w:val="000000" w:themeColor="text1"/>
        </w:rPr>
        <w:t>postcode</w:t>
      </w:r>
      <w:r w:rsidR="00A94B18" w:rsidRPr="00051C33">
        <w:rPr>
          <w:color w:val="000000" w:themeColor="text1"/>
        </w:rPr>
        <w:t xml:space="preserve"> level from the GfK database</w:t>
      </w:r>
      <w:r w:rsidR="00CF385C">
        <w:rPr>
          <w:color w:val="000000" w:themeColor="text1"/>
        </w:rPr>
        <w:t xml:space="preserve"> (www.gfk.de)</w:t>
      </w:r>
      <w:r w:rsidR="00A94B18" w:rsidRPr="00051C33">
        <w:rPr>
          <w:color w:val="000000" w:themeColor="text1"/>
        </w:rPr>
        <w:t>. Next, we</w:t>
      </w:r>
      <w:r w:rsidRPr="00A872DC">
        <w:rPr>
          <w:color w:val="000000" w:themeColor="text1"/>
        </w:rPr>
        <w:t xml:space="preserve"> calculate two spatial gravity indicators measuring the Euclidian distance of each dwelling to the geographical centroid to the </w:t>
      </w:r>
      <w:r w:rsidR="00051C33">
        <w:rPr>
          <w:color w:val="000000" w:themeColor="text1"/>
        </w:rPr>
        <w:t>postcode</w:t>
      </w:r>
      <w:r w:rsidRPr="00051C33">
        <w:rPr>
          <w:color w:val="000000" w:themeColor="text1"/>
        </w:rPr>
        <w:t xml:space="preserve"> and NUTS3 polygons in kilometres</w:t>
      </w:r>
      <w:r w:rsidR="00CF385C">
        <w:rPr>
          <w:color w:val="000000" w:themeColor="text1"/>
        </w:rPr>
        <w:t xml:space="preserve"> by gathering geodata from Eurostat</w:t>
      </w:r>
      <w:r w:rsidRPr="00051C33">
        <w:rPr>
          <w:color w:val="000000" w:themeColor="text1"/>
        </w:rPr>
        <w:t xml:space="preserve">. Both </w:t>
      </w:r>
      <w:r w:rsidR="00A94B18" w:rsidRPr="00A872DC">
        <w:rPr>
          <w:color w:val="000000" w:themeColor="text1"/>
        </w:rPr>
        <w:t>of these variables are used to</w:t>
      </w:r>
      <w:r w:rsidRPr="00A872DC">
        <w:rPr>
          <w:color w:val="000000" w:themeColor="text1"/>
        </w:rPr>
        <w:t xml:space="preserve"> control for</w:t>
      </w:r>
      <w:r w:rsidR="00A94B18" w:rsidRPr="00A9615D">
        <w:rPr>
          <w:color w:val="000000" w:themeColor="text1"/>
        </w:rPr>
        <w:t xml:space="preserve"> the</w:t>
      </w:r>
      <w:r w:rsidRPr="00A9615D">
        <w:rPr>
          <w:color w:val="000000" w:themeColor="text1"/>
        </w:rPr>
        <w:t xml:space="preserve"> spatial distribution of dwellings within urban area</w:t>
      </w:r>
      <w:r w:rsidR="003B59CA" w:rsidRPr="00A9615D">
        <w:rPr>
          <w:color w:val="000000" w:themeColor="text1"/>
        </w:rPr>
        <w:t>s</w:t>
      </w:r>
      <w:r w:rsidRPr="00A9615D">
        <w:rPr>
          <w:color w:val="000000" w:themeColor="text1"/>
        </w:rPr>
        <w:t xml:space="preserve">. </w:t>
      </w:r>
    </w:p>
    <w:p w14:paraId="4E7D3C95" w14:textId="2C258102" w:rsidR="00B32A3E" w:rsidRPr="00A9615D" w:rsidRDefault="0021574B" w:rsidP="009E3AC1">
      <w:pPr>
        <w:pStyle w:val="---TEXT"/>
        <w:jc w:val="both"/>
      </w:pPr>
      <w:r w:rsidRPr="00A9615D">
        <w:t>Our final data ma</w:t>
      </w:r>
      <w:r w:rsidR="00A94B18" w:rsidRPr="00A9615D">
        <w:t xml:space="preserve">trix consists of </w:t>
      </w:r>
      <w:r w:rsidR="00CF385C">
        <w:t>more than one</w:t>
      </w:r>
      <w:r w:rsidR="00A94B18" w:rsidRPr="00A9615D">
        <w:t xml:space="preserve"> million </w:t>
      </w:r>
      <w:r w:rsidRPr="00A9615D">
        <w:t xml:space="preserve">residential </w:t>
      </w:r>
      <w:r w:rsidR="00B97289">
        <w:t>dwelling</w:t>
      </w:r>
      <w:r w:rsidRPr="00B97289">
        <w:t>s, each with a vector of 1</w:t>
      </w:r>
      <w:r w:rsidR="003E2DA8" w:rsidRPr="00A872DC">
        <w:t>2</w:t>
      </w:r>
      <w:r w:rsidRPr="00A872DC">
        <w:t xml:space="preserve"> hedonic characteristics across 4</w:t>
      </w:r>
      <w:r w:rsidR="003E2DA8" w:rsidRPr="00A9615D">
        <w:t>03</w:t>
      </w:r>
      <w:r w:rsidRPr="00A9615D">
        <w:t xml:space="preserve"> NUTS3 regions over </w:t>
      </w:r>
      <w:r w:rsidR="00CF385C">
        <w:t>60</w:t>
      </w:r>
      <w:r w:rsidR="00CF385C" w:rsidRPr="00A9615D">
        <w:t xml:space="preserve"> </w:t>
      </w:r>
      <w:r w:rsidRPr="00A9615D">
        <w:t xml:space="preserve">months. </w:t>
      </w:r>
      <w:r w:rsidR="00B32A3E" w:rsidRPr="00A9615D">
        <w:t xml:space="preserve">Table 1 shows the descriptive statistics of the entire sample. The mean asking rent of German flats during the last </w:t>
      </w:r>
      <w:r w:rsidR="007F106B">
        <w:t>five</w:t>
      </w:r>
      <w:r w:rsidR="007F106B" w:rsidRPr="00A9615D">
        <w:t xml:space="preserve"> </w:t>
      </w:r>
      <w:r w:rsidR="00B32A3E" w:rsidRPr="00A9615D">
        <w:t xml:space="preserve">years was </w:t>
      </w:r>
      <w:r w:rsidR="007F106B">
        <w:t>ca. 445</w:t>
      </w:r>
      <w:r w:rsidR="00B32A3E" w:rsidRPr="00A9615D">
        <w:t xml:space="preserve"> €/</w:t>
      </w:r>
      <w:r w:rsidR="00CF385C" w:rsidRPr="00A9615D" w:rsidDel="00CF385C">
        <w:t xml:space="preserve"> </w:t>
      </w:r>
      <w:r w:rsidR="00B32A3E" w:rsidRPr="00A9615D">
        <w:t xml:space="preserve">p.m. As expected, </w:t>
      </w:r>
      <w:r w:rsidR="007F106B">
        <w:t xml:space="preserve">log </w:t>
      </w:r>
      <w:r w:rsidR="00B32A3E" w:rsidRPr="00A9615D">
        <w:t xml:space="preserve">asking rents are positively correlated with value-enhancing hedonic characteristics such as a </w:t>
      </w:r>
      <w:r w:rsidR="003B59CA" w:rsidRPr="00A9615D">
        <w:t>built-in</w:t>
      </w:r>
      <w:r w:rsidR="00B32A3E" w:rsidRPr="00A9615D">
        <w:t xml:space="preserve"> kitchen</w:t>
      </w:r>
      <w:r w:rsidR="003B59CA" w:rsidRPr="00A9615D">
        <w:t xml:space="preserve"> or</w:t>
      </w:r>
      <w:r w:rsidR="00B32A3E" w:rsidRPr="00A9615D">
        <w:t xml:space="preserve"> </w:t>
      </w:r>
      <w:r w:rsidR="007F106B">
        <w:t>the number of rooms</w:t>
      </w:r>
      <w:r w:rsidR="00B32A3E" w:rsidRPr="00A9615D">
        <w:t xml:space="preserve">. </w:t>
      </w:r>
      <w:r w:rsidR="006F5659" w:rsidRPr="00A9615D">
        <w:t>In contrast, d</w:t>
      </w:r>
      <w:r w:rsidR="009A7BF4" w:rsidRPr="00A9615D">
        <w:t>wellings’ e</w:t>
      </w:r>
      <w:r w:rsidR="00B32A3E" w:rsidRPr="00A9615D">
        <w:t xml:space="preserve">nergy consumption </w:t>
      </w:r>
      <w:r w:rsidR="009A7BF4" w:rsidRPr="00A9615D">
        <w:t>shows</w:t>
      </w:r>
      <w:r w:rsidR="00B32A3E" w:rsidRPr="00A9615D">
        <w:t xml:space="preserve"> a mean value of ca. 130 kWh/m²/p.a./dwelling which corresponds to a D rating in the A</w:t>
      </w:r>
      <w:r w:rsidR="0020329B">
        <w:t>+</w:t>
      </w:r>
      <w:r w:rsidR="00B32A3E" w:rsidRPr="00A9615D">
        <w:t xml:space="preserve"> to H categories for EPCs in the German housing stock. To circumvent the problem of unobserved refurbishment of the historical building stock, we excluded all buildings that were built prior to 1900.</w:t>
      </w:r>
      <w:r w:rsidR="006F5659" w:rsidRPr="00A9615D">
        <w:t xml:space="preserve"> Finally, t</w:t>
      </w:r>
      <w:r w:rsidR="003B59CA" w:rsidRPr="00A9615D">
        <w:t>he gravity variables show that dwellings are located 7.</w:t>
      </w:r>
      <w:r w:rsidR="0020329B" w:rsidRPr="00A9615D">
        <w:t>4</w:t>
      </w:r>
      <w:r w:rsidR="0020329B">
        <w:t>6</w:t>
      </w:r>
      <w:r w:rsidR="0020329B" w:rsidRPr="00A9615D">
        <w:t xml:space="preserve"> </w:t>
      </w:r>
      <w:r w:rsidR="003B59CA" w:rsidRPr="00A9615D">
        <w:t>Km from the city centre on average (centroid to the NUTS3) and that rents and distance are negatively correlated.</w:t>
      </w:r>
      <w:r w:rsidR="00CA3052" w:rsidRPr="00A9615D">
        <w:t xml:space="preserve"> Finally, German landlords wait 9.</w:t>
      </w:r>
      <w:r w:rsidR="0020329B">
        <w:t>3</w:t>
      </w:r>
      <w:r w:rsidR="0020329B" w:rsidRPr="00A9615D">
        <w:t xml:space="preserve"> </w:t>
      </w:r>
      <w:r w:rsidR="00CA3052" w:rsidRPr="00A9615D">
        <w:t xml:space="preserve">weeks for a letting agreement on average. </w:t>
      </w:r>
    </w:p>
    <w:p w14:paraId="3589F925" w14:textId="77777777" w:rsidR="0000137B" w:rsidRPr="00A9615D" w:rsidRDefault="0000137B" w:rsidP="009E3AC1">
      <w:pPr>
        <w:pStyle w:val="---TEXT"/>
        <w:jc w:val="both"/>
      </w:pPr>
      <w:r w:rsidRPr="00A9615D">
        <w:t xml:space="preserve">[Table 1 </w:t>
      </w:r>
      <w:r w:rsidR="009E3AC1" w:rsidRPr="00A9615D">
        <w:t>here</w:t>
      </w:r>
      <w:r w:rsidRPr="00A9615D">
        <w:t>]</w:t>
      </w:r>
    </w:p>
    <w:p w14:paraId="748A8392" w14:textId="77777777" w:rsidR="00C63EC6" w:rsidRDefault="00DF3A92" w:rsidP="009E3AC1">
      <w:pPr>
        <w:pStyle w:val="---TEXT"/>
        <w:jc w:val="both"/>
      </w:pPr>
      <w:r w:rsidRPr="00A9615D">
        <w:t xml:space="preserve">The size of the data allows a closer look at the </w:t>
      </w:r>
      <w:r w:rsidR="00EB0643" w:rsidRPr="00A9615D">
        <w:t>variation</w:t>
      </w:r>
      <w:r w:rsidR="00D249D5" w:rsidRPr="00A9615D">
        <w:t>s</w:t>
      </w:r>
      <w:r w:rsidR="00EB0643" w:rsidRPr="00A9615D">
        <w:t xml:space="preserve"> across regional housing markets in Germany</w:t>
      </w:r>
      <w:r w:rsidR="00D249D5" w:rsidRPr="00A9615D">
        <w:t xml:space="preserve">. Therefore, </w:t>
      </w:r>
      <w:r w:rsidR="00EB0643" w:rsidRPr="00A9615D">
        <w:t xml:space="preserve">we supplement our estimation of the entire sample with results from two subsamples. The first subsample includes secondary markets, whereas the second subsample comprehends the top-7 German metropolitan areas Munich, Berlin, Frankfurt, Cologne, Hamburg Stuttgart and Dusseldorf. These cities account for almost 11.8 % of the German population and for ca. </w:t>
      </w:r>
      <w:r w:rsidR="00B225F4" w:rsidRPr="00A9615D">
        <w:t>18</w:t>
      </w:r>
      <w:r w:rsidR="00EB0643" w:rsidRPr="00A9615D">
        <w:t xml:space="preserve"> % of our data sample.</w:t>
      </w:r>
      <w:r w:rsidR="00D249D5" w:rsidRPr="00A9615D">
        <w:t xml:space="preserve"> A frequent concern when estimating green premiums is that a latent energy premium might be highly correlated with building age, i.e. newly-built or refurbished residential units</w:t>
      </w:r>
      <w:r w:rsidR="00A94B18" w:rsidRPr="00A9615D">
        <w:t xml:space="preserve"> achieve these premiums by virtue of being both energy-efficient and having a number of other desirable characteristics that remain unobserved in the model</w:t>
      </w:r>
      <w:r w:rsidR="00D249D5" w:rsidRPr="00A9615D">
        <w:t>. Hence, we present our econometric res</w:t>
      </w:r>
      <w:r w:rsidR="00A94B18" w:rsidRPr="00A9615D">
        <w:t>ults for both the entire sample and</w:t>
      </w:r>
      <w:r w:rsidR="00D249D5" w:rsidRPr="00A9615D">
        <w:t xml:space="preserve"> regional subsamples but including only units that have been refurbished, newly-built or renovated after 2010 and have been classified as equivalent to newly </w:t>
      </w:r>
      <w:r w:rsidR="00B225F4" w:rsidRPr="00A9615D">
        <w:t>build</w:t>
      </w:r>
      <w:r w:rsidR="00D249D5" w:rsidRPr="00A9615D">
        <w:t xml:space="preserve">. </w:t>
      </w:r>
    </w:p>
    <w:p w14:paraId="0927D231" w14:textId="15902EF5" w:rsidR="006727BD" w:rsidRPr="00A9615D" w:rsidRDefault="00D249D5" w:rsidP="000C663C">
      <w:pPr>
        <w:pStyle w:val="---TEXT"/>
        <w:jc w:val="both"/>
      </w:pPr>
      <w:r w:rsidRPr="00A9615D">
        <w:t>Table 2 presents the sample</w:t>
      </w:r>
      <w:r w:rsidR="00ED0F30" w:rsidRPr="00A9615D">
        <w:t xml:space="preserve"> </w:t>
      </w:r>
      <w:r w:rsidR="000C1B0E">
        <w:t>distribution across</w:t>
      </w:r>
      <w:r w:rsidRPr="00A9615D">
        <w:t xml:space="preserve"> the different subsamples as well as the mean asking rent and time-on-market by EPC category. </w:t>
      </w:r>
      <w:r w:rsidR="00ED0F30" w:rsidRPr="00A9615D">
        <w:t xml:space="preserve">The results show that almost 70 % of the dwellings concentrate </w:t>
      </w:r>
      <w:r w:rsidR="000C1B0E">
        <w:t>in the</w:t>
      </w:r>
      <w:r w:rsidR="00ED0F30" w:rsidRPr="00A9615D">
        <w:t xml:space="preserve"> EPC categories C, D and E </w:t>
      </w:r>
      <w:r w:rsidR="000C1B0E">
        <w:t>in each</w:t>
      </w:r>
      <w:r w:rsidR="00ED0F30" w:rsidRPr="00A9615D">
        <w:t xml:space="preserve"> subsample. </w:t>
      </w:r>
      <w:r w:rsidR="002E66E4">
        <w:t xml:space="preserve">Asking rents increase significantly for dwellings with an EPC equal </w:t>
      </w:r>
      <w:r w:rsidR="006C6BF8">
        <w:t xml:space="preserve">to </w:t>
      </w:r>
      <w:r w:rsidR="002E66E4">
        <w:t xml:space="preserve">or better than D </w:t>
      </w:r>
      <w:r w:rsidR="000C1B0E">
        <w:t>in each market and segment subsample</w:t>
      </w:r>
      <w:r w:rsidR="002E66E4">
        <w:t xml:space="preserve">. </w:t>
      </w:r>
      <w:r w:rsidR="006C6BF8">
        <w:t>It is noteworthy that</w:t>
      </w:r>
      <w:r w:rsidR="005747EC">
        <w:t xml:space="preserve"> </w:t>
      </w:r>
      <w:r w:rsidR="002E66E4">
        <w:t>the average asking rent for refurbished dwellings in the top 7</w:t>
      </w:r>
      <w:r w:rsidR="006C6BF8">
        <w:t xml:space="preserve"> markets</w:t>
      </w:r>
      <w:r w:rsidR="002E66E4">
        <w:t xml:space="preserve"> is higher than for </w:t>
      </w:r>
      <w:r w:rsidR="006C6BF8">
        <w:t>non-refurbished</w:t>
      </w:r>
      <w:r w:rsidR="002E66E4">
        <w:t xml:space="preserve"> dwellings</w:t>
      </w:r>
      <w:r w:rsidR="006C6BF8">
        <w:t xml:space="preserve"> whereas the opposite is found in secondary markets</w:t>
      </w:r>
      <w:r w:rsidR="002E66E4">
        <w:t xml:space="preserve">. </w:t>
      </w:r>
      <w:r w:rsidR="006C6BF8">
        <w:t xml:space="preserve">The analysis of </w:t>
      </w:r>
      <w:r w:rsidR="00CE18F4">
        <w:t xml:space="preserve">time on market </w:t>
      </w:r>
      <w:r w:rsidR="006C6BF8">
        <w:t xml:space="preserve">yields some mixed </w:t>
      </w:r>
      <w:r w:rsidR="005747EC">
        <w:t>evidence</w:t>
      </w:r>
      <w:r w:rsidR="00CE18F4">
        <w:t xml:space="preserve">. The </w:t>
      </w:r>
      <w:r w:rsidR="006C6BF8">
        <w:t>average</w:t>
      </w:r>
      <w:r w:rsidR="00CE18F4">
        <w:t xml:space="preserve"> time</w:t>
      </w:r>
      <w:r w:rsidR="009918DA">
        <w:t>-</w:t>
      </w:r>
      <w:r w:rsidR="00CE18F4">
        <w:t>on</w:t>
      </w:r>
      <w:r w:rsidR="009918DA">
        <w:t>-</w:t>
      </w:r>
      <w:r w:rsidR="00CE18F4">
        <w:t>market in the top 7 markets increases for dwelling</w:t>
      </w:r>
      <w:r w:rsidR="006C6BF8">
        <w:t>s</w:t>
      </w:r>
      <w:r w:rsidR="00CE18F4">
        <w:t xml:space="preserve"> with an EPC equal </w:t>
      </w:r>
      <w:r w:rsidR="006C6BF8">
        <w:t xml:space="preserve">to </w:t>
      </w:r>
      <w:r w:rsidR="00CE18F4">
        <w:t xml:space="preserve">or better than D </w:t>
      </w:r>
      <w:r w:rsidR="000C1B0E">
        <w:t>for each of the</w:t>
      </w:r>
      <w:r w:rsidR="00CE18F4">
        <w:t xml:space="preserve"> observed </w:t>
      </w:r>
      <w:r w:rsidR="000C1B0E">
        <w:t>subcategories</w:t>
      </w:r>
      <w:r w:rsidR="006C6BF8">
        <w:t xml:space="preserve"> of the dwelling stock</w:t>
      </w:r>
      <w:r w:rsidR="00CE18F4">
        <w:t xml:space="preserve">, pointing </w:t>
      </w:r>
      <w:r w:rsidR="009918DA">
        <w:t xml:space="preserve">to </w:t>
      </w:r>
      <w:r w:rsidR="006C6BF8">
        <w:t>somewhat</w:t>
      </w:r>
      <w:r w:rsidR="005747EC">
        <w:t xml:space="preserve"> </w:t>
      </w:r>
      <w:r w:rsidR="00CE18F4">
        <w:t xml:space="preserve">stronger demand for energy inefficient dwellings. </w:t>
      </w:r>
      <w:r w:rsidR="006C6BF8">
        <w:t>In the secondary markets, t</w:t>
      </w:r>
      <w:r w:rsidR="009918DA">
        <w:t xml:space="preserve">ime-on-market </w:t>
      </w:r>
      <w:r w:rsidR="00AC645E">
        <w:t>reveals that</w:t>
      </w:r>
      <w:r w:rsidR="009918DA">
        <w:t xml:space="preserve"> the </w:t>
      </w:r>
      <w:r w:rsidR="009918DA" w:rsidRPr="009918DA">
        <w:t>most sought after apartments</w:t>
      </w:r>
      <w:r w:rsidR="009918DA">
        <w:t xml:space="preserve"> </w:t>
      </w:r>
      <w:r w:rsidR="00AC645E">
        <w:t>appear to</w:t>
      </w:r>
      <w:r w:rsidR="000C1B0E">
        <w:t xml:space="preserve"> be</w:t>
      </w:r>
      <w:r w:rsidR="00AC645E">
        <w:t xml:space="preserve"> in the</w:t>
      </w:r>
      <w:r w:rsidR="009918DA">
        <w:t xml:space="preserve"> EPC </w:t>
      </w:r>
      <w:r w:rsidR="00AC645E">
        <w:t>bands</w:t>
      </w:r>
      <w:r w:rsidR="009918DA">
        <w:t xml:space="preserve"> A+, B and E, F and partly G. </w:t>
      </w:r>
      <w:r w:rsidR="00AC645E">
        <w:t xml:space="preserve">However, a more formal investigation with hedonic modelling is required to confirm this prima facie finding. </w:t>
      </w:r>
      <w:r w:rsidR="00A552C0" w:rsidRPr="00C63EC6">
        <w:t xml:space="preserve">Figure </w:t>
      </w:r>
      <w:r w:rsidR="0007469C" w:rsidRPr="00C63EC6">
        <w:t xml:space="preserve">1 shows the entire sample across </w:t>
      </w:r>
      <w:r w:rsidR="00C12ABD" w:rsidRPr="00C63EC6">
        <w:t>the 403 NUTS3 areas in Germany</w:t>
      </w:r>
      <w:r w:rsidR="0007469C" w:rsidRPr="00C63EC6">
        <w:t>.</w:t>
      </w:r>
      <w:r w:rsidR="0007469C" w:rsidRPr="00A9615D">
        <w:t xml:space="preserve"> </w:t>
      </w:r>
    </w:p>
    <w:p w14:paraId="57B75BCB" w14:textId="77777777" w:rsidR="006727BD" w:rsidRPr="00A9615D" w:rsidRDefault="006727BD" w:rsidP="009E3AC1">
      <w:pPr>
        <w:pStyle w:val="---TEXT"/>
        <w:jc w:val="both"/>
      </w:pPr>
      <w:r w:rsidRPr="00A9615D">
        <w:t xml:space="preserve">[Table </w:t>
      </w:r>
      <w:r w:rsidR="00E049E6" w:rsidRPr="00A9615D">
        <w:t>2</w:t>
      </w:r>
      <w:r w:rsidRPr="00A9615D">
        <w:t xml:space="preserve"> </w:t>
      </w:r>
      <w:r w:rsidR="009E3AC1" w:rsidRPr="00A9615D">
        <w:t>here</w:t>
      </w:r>
      <w:r w:rsidRPr="00A9615D">
        <w:t>]</w:t>
      </w:r>
    </w:p>
    <w:p w14:paraId="30496B37" w14:textId="77777777" w:rsidR="009E0EF4" w:rsidRPr="00A9615D" w:rsidRDefault="006727BD" w:rsidP="009E3AC1">
      <w:pPr>
        <w:pStyle w:val="---TEXT"/>
        <w:jc w:val="both"/>
      </w:pPr>
      <w:r w:rsidRPr="00A9615D">
        <w:t xml:space="preserve">[Figure 1 </w:t>
      </w:r>
      <w:r w:rsidR="009E3AC1" w:rsidRPr="00A9615D">
        <w:t>here</w:t>
      </w:r>
      <w:r w:rsidRPr="00A9615D">
        <w:t>]</w:t>
      </w:r>
    </w:p>
    <w:p w14:paraId="0BA2E91C" w14:textId="77777777" w:rsidR="00A94B18" w:rsidRPr="00A9615D" w:rsidRDefault="00A94B18" w:rsidP="009E3AC1">
      <w:pPr>
        <w:pStyle w:val="---TEXT"/>
        <w:jc w:val="both"/>
      </w:pPr>
    </w:p>
    <w:p w14:paraId="03D59FA2" w14:textId="77777777" w:rsidR="00D56B9B" w:rsidRPr="00A9615D" w:rsidRDefault="78415B7C" w:rsidP="00A94B18">
      <w:pPr>
        <w:pStyle w:val="----EBENE1"/>
        <w:numPr>
          <w:ilvl w:val="0"/>
          <w:numId w:val="0"/>
        </w:numPr>
        <w:ind w:left="360"/>
        <w:jc w:val="both"/>
      </w:pPr>
      <w:r w:rsidRPr="00A9615D">
        <w:lastRenderedPageBreak/>
        <w:t>Econometric results</w:t>
      </w:r>
    </w:p>
    <w:p w14:paraId="3559AFC4" w14:textId="77777777" w:rsidR="008A07BE" w:rsidRPr="00A9615D" w:rsidRDefault="008A07BE" w:rsidP="009E3AC1">
      <w:pPr>
        <w:pStyle w:val="---TEXT"/>
        <w:jc w:val="both"/>
      </w:pPr>
    </w:p>
    <w:p w14:paraId="4CB8C898" w14:textId="4B1299FE" w:rsidR="78415B7C" w:rsidRPr="00A9615D" w:rsidRDefault="008D2ACD" w:rsidP="009E3AC1">
      <w:pPr>
        <w:pStyle w:val="---TEXT"/>
        <w:jc w:val="both"/>
      </w:pPr>
      <w:r w:rsidRPr="00A9615D">
        <w:t xml:space="preserve">Table </w:t>
      </w:r>
      <w:r w:rsidR="00B861A6" w:rsidRPr="00A9615D">
        <w:t>3</w:t>
      </w:r>
      <w:r w:rsidR="00F9242A" w:rsidRPr="00A9615D">
        <w:t xml:space="preserve"> shows the results </w:t>
      </w:r>
      <w:r w:rsidR="00B861A6" w:rsidRPr="00A9615D">
        <w:t xml:space="preserve">of equation (1) with the log of asking rents </w:t>
      </w:r>
      <w:r w:rsidR="00CE3BDD">
        <w:t xml:space="preserve">in €/p.m. </w:t>
      </w:r>
      <w:r w:rsidR="00B861A6" w:rsidRPr="00A9615D">
        <w:t xml:space="preserve">as </w:t>
      </w:r>
      <w:r w:rsidR="00A94B18" w:rsidRPr="00A9615D">
        <w:t xml:space="preserve">an </w:t>
      </w:r>
      <w:r w:rsidR="00B861A6" w:rsidRPr="00A9615D">
        <w:t xml:space="preserve">endogenous variable </w:t>
      </w:r>
      <w:r w:rsidR="00A94B18" w:rsidRPr="00A9615D">
        <w:t xml:space="preserve">compared </w:t>
      </w:r>
      <w:r w:rsidR="00B861A6" w:rsidRPr="00A9615D">
        <w:t xml:space="preserve">to </w:t>
      </w:r>
      <w:r w:rsidR="001434BA" w:rsidRPr="00A9615D">
        <w:t xml:space="preserve">energy consumption, </w:t>
      </w:r>
      <w:r w:rsidR="00B861A6" w:rsidRPr="00A9615D">
        <w:t>hedonic, spatial, socioeconomic</w:t>
      </w:r>
      <w:r w:rsidR="001434BA" w:rsidRPr="00A9615D">
        <w:t xml:space="preserve"> and</w:t>
      </w:r>
      <w:r w:rsidR="00B861A6" w:rsidRPr="00A9615D">
        <w:t xml:space="preserve"> time covariates. </w:t>
      </w:r>
      <w:r w:rsidR="00AB6F2E" w:rsidRPr="00A9615D">
        <w:t xml:space="preserve">The regression models are estimated as Generalized Additive Model for Location, Scale and Shape (GAMLSS) including </w:t>
      </w:r>
      <w:r w:rsidR="00B37316" w:rsidRPr="00B37316">
        <w:t>1</w:t>
      </w:r>
      <w:r w:rsidR="00B37316">
        <w:t>,</w:t>
      </w:r>
      <w:r w:rsidR="00B37316" w:rsidRPr="00B37316">
        <w:t>029</w:t>
      </w:r>
      <w:r w:rsidR="00B37316">
        <w:t>,</w:t>
      </w:r>
      <w:r w:rsidR="00B37316" w:rsidRPr="00B37316">
        <w:t>202</w:t>
      </w:r>
      <w:r w:rsidR="00AB6F2E" w:rsidRPr="00A9615D">
        <w:t xml:space="preserve"> observations from </w:t>
      </w:r>
      <w:r w:rsidR="00A94B18" w:rsidRPr="00A9615D">
        <w:t>2013</w:t>
      </w:r>
      <w:r w:rsidR="006265BD" w:rsidRPr="00A9615D">
        <w:t>-</w:t>
      </w:r>
      <w:r w:rsidR="005B2240" w:rsidRPr="00A9615D">
        <w:t>Q1</w:t>
      </w:r>
      <w:r w:rsidR="00B37316">
        <w:t xml:space="preserve"> </w:t>
      </w:r>
      <w:r w:rsidR="00A94B18" w:rsidRPr="00A9615D">
        <w:t xml:space="preserve">to </w:t>
      </w:r>
      <w:r w:rsidR="00B37316" w:rsidRPr="00A9615D">
        <w:t>201</w:t>
      </w:r>
      <w:r w:rsidR="00B37316">
        <w:t>7</w:t>
      </w:r>
      <w:r w:rsidR="006265BD" w:rsidRPr="00A9615D">
        <w:t>-</w:t>
      </w:r>
      <w:r w:rsidR="005B2240" w:rsidRPr="00A9615D">
        <w:t>Q4</w:t>
      </w:r>
      <w:r w:rsidR="00AB6F2E" w:rsidRPr="00A9615D">
        <w:t xml:space="preserve">. </w:t>
      </w:r>
    </w:p>
    <w:p w14:paraId="67F4599D" w14:textId="77777777" w:rsidR="008A07BE" w:rsidRPr="00A9615D" w:rsidRDefault="008A07BE" w:rsidP="008A07BE">
      <w:pPr>
        <w:pStyle w:val="---TEXT"/>
        <w:jc w:val="both"/>
        <w:rPr>
          <w:i/>
        </w:rPr>
      </w:pPr>
      <w:r w:rsidRPr="00A9615D">
        <w:rPr>
          <w:i/>
        </w:rPr>
        <w:t>Pricing of energy efficiency in market rents</w:t>
      </w:r>
    </w:p>
    <w:p w14:paraId="241ED98B" w14:textId="1F9A05F9" w:rsidR="00C97DA9" w:rsidRPr="00A9615D" w:rsidRDefault="00454D0F" w:rsidP="009E3AC1">
      <w:pPr>
        <w:pStyle w:val="---TEXT"/>
        <w:jc w:val="both"/>
      </w:pPr>
      <w:r w:rsidRPr="00A9615D">
        <w:t xml:space="preserve">The results provide strong evidence that asking rents of </w:t>
      </w:r>
      <w:r w:rsidR="00A94B18" w:rsidRPr="00A9615D">
        <w:t>low energy consumption</w:t>
      </w:r>
      <w:r w:rsidRPr="00A9615D">
        <w:t xml:space="preserve"> dwellings are significantly higher compared to </w:t>
      </w:r>
      <w:r w:rsidR="00B97289">
        <w:t>those</w:t>
      </w:r>
      <w:r w:rsidRPr="00B97289">
        <w:t xml:space="preserve"> with elevated energy consumption. When focussing on the </w:t>
      </w:r>
      <w:r w:rsidR="00C97DA9" w:rsidRPr="00A872DC">
        <w:t xml:space="preserve">overall </w:t>
      </w:r>
      <w:r w:rsidRPr="00A872DC">
        <w:t>German</w:t>
      </w:r>
      <w:r w:rsidR="00C97DA9" w:rsidRPr="00A9615D">
        <w:t xml:space="preserve"> </w:t>
      </w:r>
      <w:r w:rsidRPr="00A9615D">
        <w:t>market</w:t>
      </w:r>
      <w:r w:rsidR="003749B9" w:rsidRPr="00A9615D">
        <w:t xml:space="preserve"> in the first column</w:t>
      </w:r>
      <w:r w:rsidR="006D68DA" w:rsidRPr="00A9615D">
        <w:t xml:space="preserve"> of Table 3</w:t>
      </w:r>
      <w:r w:rsidRPr="00A9615D">
        <w:t xml:space="preserve">, asking rents within the energy categories A+, A, B and C, are </w:t>
      </w:r>
      <w:r w:rsidR="00A94B18" w:rsidRPr="00A9615D">
        <w:t>on average</w:t>
      </w:r>
      <w:r w:rsidRPr="00A9615D">
        <w:t xml:space="preserve"> </w:t>
      </w:r>
      <w:r w:rsidR="00CE3BDD">
        <w:t>0</w:t>
      </w:r>
      <w:r w:rsidRPr="00A9615D">
        <w:t>.</w:t>
      </w:r>
      <w:r w:rsidR="00CE3BDD">
        <w:t>9</w:t>
      </w:r>
      <w:r w:rsidR="00CE3BDD" w:rsidRPr="00A9615D">
        <w:t xml:space="preserve"> </w:t>
      </w:r>
      <w:r w:rsidRPr="00A9615D">
        <w:t xml:space="preserve">%, </w:t>
      </w:r>
      <w:r w:rsidR="00CE3BDD">
        <w:t>1</w:t>
      </w:r>
      <w:r w:rsidRPr="00A9615D">
        <w:t>.</w:t>
      </w:r>
      <w:r w:rsidR="00CE3BDD">
        <w:t>4</w:t>
      </w:r>
      <w:r w:rsidR="00CE3BDD" w:rsidRPr="00A9615D">
        <w:t xml:space="preserve"> </w:t>
      </w:r>
      <w:r w:rsidRPr="00A9615D">
        <w:t xml:space="preserve">%, </w:t>
      </w:r>
      <w:r w:rsidR="00CE3BDD">
        <w:t>0</w:t>
      </w:r>
      <w:r w:rsidRPr="00A9615D">
        <w:t>.</w:t>
      </w:r>
      <w:r w:rsidR="00CE3BDD">
        <w:t>1</w:t>
      </w:r>
      <w:r w:rsidR="00CE3BDD" w:rsidRPr="00A9615D">
        <w:t xml:space="preserve"> </w:t>
      </w:r>
      <w:r w:rsidRPr="00A9615D">
        <w:t>% and 0.</w:t>
      </w:r>
      <w:r w:rsidR="00C97DA9" w:rsidRPr="00A9615D">
        <w:t>2</w:t>
      </w:r>
      <w:r w:rsidRPr="00A9615D">
        <w:t xml:space="preserve"> % higher than the </w:t>
      </w:r>
      <w:r w:rsidR="00A94B18" w:rsidRPr="00A9615D">
        <w:t>reference category D</w:t>
      </w:r>
      <w:r w:rsidRPr="00A9615D">
        <w:t xml:space="preserve">, whereas </w:t>
      </w:r>
      <w:r w:rsidR="00B97289">
        <w:t>dwelling</w:t>
      </w:r>
      <w:r w:rsidRPr="00B97289">
        <w:t>s in the subsequent categories sho</w:t>
      </w:r>
      <w:r w:rsidR="00311654">
        <w:t xml:space="preserve">w negative coefficients, i.e. </w:t>
      </w:r>
      <w:r w:rsidRPr="00B97289">
        <w:t>substantial renta</w:t>
      </w:r>
      <w:r w:rsidR="00C97DA9" w:rsidRPr="00A872DC">
        <w:t>l</w:t>
      </w:r>
      <w:r w:rsidRPr="00A872DC">
        <w:t xml:space="preserve"> discount</w:t>
      </w:r>
      <w:r w:rsidR="008A07BE" w:rsidRPr="00A9615D">
        <w:t>s</w:t>
      </w:r>
      <w:r w:rsidRPr="00A9615D">
        <w:t xml:space="preserve">. </w:t>
      </w:r>
      <w:r w:rsidR="003749B9" w:rsidRPr="00A9615D">
        <w:t xml:space="preserve">Energy inefficient dwellings in the categories </w:t>
      </w:r>
      <w:r w:rsidR="00822E0C" w:rsidRPr="00A9615D">
        <w:t xml:space="preserve">F, G and H </w:t>
      </w:r>
      <w:r w:rsidR="008A07BE" w:rsidRPr="00A9615D">
        <w:t>exhibit</w:t>
      </w:r>
      <w:r w:rsidR="00822E0C" w:rsidRPr="00A9615D">
        <w:t xml:space="preserve"> rental discount</w:t>
      </w:r>
      <w:r w:rsidR="006D68DA" w:rsidRPr="00A9615D">
        <w:t>s</w:t>
      </w:r>
      <w:r w:rsidR="00822E0C" w:rsidRPr="00A9615D">
        <w:t xml:space="preserve"> of up to -0.</w:t>
      </w:r>
      <w:r w:rsidR="00CE3BDD">
        <w:t>1</w:t>
      </w:r>
      <w:r w:rsidR="00CE3BDD" w:rsidRPr="00A9615D">
        <w:t xml:space="preserve"> </w:t>
      </w:r>
      <w:r w:rsidR="00822E0C" w:rsidRPr="00A9615D">
        <w:t>%, -0.</w:t>
      </w:r>
      <w:r w:rsidR="00CE3BDD">
        <w:t>3</w:t>
      </w:r>
      <w:r w:rsidR="00CE3BDD" w:rsidRPr="00A9615D">
        <w:t xml:space="preserve"> </w:t>
      </w:r>
      <w:r w:rsidR="00822E0C" w:rsidRPr="00A9615D">
        <w:t>% and -0.</w:t>
      </w:r>
      <w:r w:rsidR="00CE3BDD">
        <w:t>5</w:t>
      </w:r>
      <w:r w:rsidR="00CE3BDD" w:rsidRPr="00A9615D">
        <w:t xml:space="preserve"> </w:t>
      </w:r>
      <w:r w:rsidR="00822E0C" w:rsidRPr="00A9615D">
        <w:t xml:space="preserve">% </w:t>
      </w:r>
      <w:r w:rsidR="006D68DA" w:rsidRPr="00A9615D">
        <w:t>respectively</w:t>
      </w:r>
      <w:r w:rsidR="00822E0C" w:rsidRPr="00A9615D">
        <w:t xml:space="preserve">. </w:t>
      </w:r>
      <w:r w:rsidR="003749B9" w:rsidRPr="00A9615D">
        <w:t xml:space="preserve">When </w:t>
      </w:r>
      <w:r w:rsidR="008A07BE" w:rsidRPr="00A9615D">
        <w:t>re-estimating the models</w:t>
      </w:r>
      <w:r w:rsidR="003749B9" w:rsidRPr="00A9615D">
        <w:t xml:space="preserve"> </w:t>
      </w:r>
      <w:r w:rsidR="008A07BE" w:rsidRPr="00A9615D">
        <w:t>for each year separately</w:t>
      </w:r>
      <w:r w:rsidR="003749B9" w:rsidRPr="00A9615D">
        <w:t>, t</w:t>
      </w:r>
      <w:r w:rsidRPr="00A9615D">
        <w:t xml:space="preserve">he coefficients </w:t>
      </w:r>
      <w:r w:rsidR="003749B9" w:rsidRPr="00A9615D">
        <w:t xml:space="preserve">of the energy categories remain </w:t>
      </w:r>
      <w:r w:rsidR="00822E0C" w:rsidRPr="00A9615D">
        <w:t xml:space="preserve">stable and </w:t>
      </w:r>
      <w:r w:rsidR="003749B9" w:rsidRPr="00A9615D">
        <w:t>significant</w:t>
      </w:r>
      <w:r w:rsidR="006F5659" w:rsidRPr="00A9615D">
        <w:t xml:space="preserve"> but </w:t>
      </w:r>
      <w:r w:rsidR="008A07BE" w:rsidRPr="00A9615D">
        <w:t>show</w:t>
      </w:r>
      <w:r w:rsidR="003749B9" w:rsidRPr="00A9615D">
        <w:t xml:space="preserve"> slight differences</w:t>
      </w:r>
      <w:r w:rsidR="00814145">
        <w:t>. The rent premium of A+ dwellings is insignificant when looking at the different years. At the same time the effect of A dwellings increases over time from 0 % in 2013 to 1.4 % in 2017. T</w:t>
      </w:r>
      <w:r w:rsidR="00822E0C" w:rsidRPr="00A9615D">
        <w:t xml:space="preserve">he rental discount across the </w:t>
      </w:r>
      <w:r w:rsidR="00814145">
        <w:t xml:space="preserve">G and </w:t>
      </w:r>
      <w:r w:rsidR="00822E0C" w:rsidRPr="00A9615D">
        <w:t xml:space="preserve">H category </w:t>
      </w:r>
      <w:r w:rsidR="008A07BE" w:rsidRPr="00A9615D">
        <w:t>levels off</w:t>
      </w:r>
      <w:r w:rsidR="00822E0C" w:rsidRPr="00A9615D">
        <w:t xml:space="preserve"> </w:t>
      </w:r>
      <w:r w:rsidR="006D68DA" w:rsidRPr="00A9615D">
        <w:t xml:space="preserve">slightly </w:t>
      </w:r>
      <w:r w:rsidR="00822E0C" w:rsidRPr="00A9615D">
        <w:t xml:space="preserve">over time. </w:t>
      </w:r>
      <w:r w:rsidR="00AC645E">
        <w:t>The log</w:t>
      </w:r>
      <w:r w:rsidR="001623AA" w:rsidRPr="00A9615D">
        <w:t xml:space="preserve"> elasticity of asking rents to energy consumption </w:t>
      </w:r>
      <w:r w:rsidR="00AC645E">
        <w:t>is statistically</w:t>
      </w:r>
      <w:r w:rsidR="009816AA" w:rsidRPr="00A9615D">
        <w:t xml:space="preserve"> </w:t>
      </w:r>
      <w:r w:rsidR="006D68DA" w:rsidRPr="00A9615D">
        <w:t>significant</w:t>
      </w:r>
      <w:r w:rsidR="009816AA" w:rsidRPr="00A9615D">
        <w:t xml:space="preserve"> </w:t>
      </w:r>
      <w:r w:rsidR="00814145">
        <w:t>and time-invariant</w:t>
      </w:r>
      <w:r w:rsidR="00AC645E">
        <w:t xml:space="preserve"> negative</w:t>
      </w:r>
      <w:r w:rsidR="009816AA" w:rsidRPr="00A9615D">
        <w:t xml:space="preserve">. </w:t>
      </w:r>
    </w:p>
    <w:p w14:paraId="4E8C667D" w14:textId="2F281806" w:rsidR="00D917E4" w:rsidRPr="00051C33" w:rsidRDefault="00F556AD" w:rsidP="009E3AC1">
      <w:pPr>
        <w:pStyle w:val="---TEXT"/>
        <w:jc w:val="both"/>
      </w:pPr>
      <w:r w:rsidRPr="00A9615D">
        <w:t xml:space="preserve">The </w:t>
      </w:r>
      <w:r w:rsidR="00051C33">
        <w:t>continuous</w:t>
      </w:r>
      <w:r w:rsidRPr="00051C33">
        <w:t xml:space="preserve"> hedonic covariates show that rents res</w:t>
      </w:r>
      <w:r w:rsidR="008A07BE" w:rsidRPr="00051C33">
        <w:t xml:space="preserve">pond </w:t>
      </w:r>
      <w:r w:rsidR="00814145">
        <w:t xml:space="preserve">positively </w:t>
      </w:r>
      <w:r w:rsidR="008A07BE" w:rsidRPr="00051C33">
        <w:t>to dwelling</w:t>
      </w:r>
      <w:r w:rsidRPr="00051C33">
        <w:t xml:space="preserve"> size</w:t>
      </w:r>
      <w:r w:rsidR="00D917E4" w:rsidRPr="00051C33">
        <w:t xml:space="preserve"> </w:t>
      </w:r>
      <w:r w:rsidR="008A07BE" w:rsidRPr="00051C33">
        <w:t>and to age</w:t>
      </w:r>
      <w:r w:rsidR="00D917E4" w:rsidRPr="00051C33">
        <w:t xml:space="preserve"> whereas t</w:t>
      </w:r>
      <w:r w:rsidRPr="00051C33">
        <w:t xml:space="preserve">he effect of the number of rooms is </w:t>
      </w:r>
      <w:r w:rsidR="00814145">
        <w:t>negative</w:t>
      </w:r>
      <w:r w:rsidRPr="00051C33">
        <w:t>.</w:t>
      </w:r>
      <w:r w:rsidR="00D917E4" w:rsidRPr="00051C33">
        <w:t xml:space="preserve"> </w:t>
      </w:r>
      <w:r w:rsidR="00051C33">
        <w:t>Not surprisingly, cities</w:t>
      </w:r>
      <w:r w:rsidR="00D917E4" w:rsidRPr="00051C33">
        <w:t xml:space="preserve"> </w:t>
      </w:r>
      <w:r w:rsidR="00051C33">
        <w:t>and areas</w:t>
      </w:r>
      <w:r w:rsidR="00D917E4" w:rsidRPr="00051C33">
        <w:t xml:space="preserve"> with high purchasing power have on average higher rental values. As shown in the descriptive statistics, asking rents</w:t>
      </w:r>
      <w:r w:rsidR="00051C33">
        <w:t xml:space="preserve"> also</w:t>
      </w:r>
      <w:r w:rsidR="00D917E4" w:rsidRPr="00051C33">
        <w:t xml:space="preserve"> rise the closer a dwelling is located to either </w:t>
      </w:r>
      <w:r w:rsidR="00051C33">
        <w:t>to the</w:t>
      </w:r>
      <w:r w:rsidR="00D917E4" w:rsidRPr="00051C33">
        <w:t xml:space="preserve"> centroid</w:t>
      </w:r>
      <w:r w:rsidR="00051C33">
        <w:t xml:space="preserve"> of </w:t>
      </w:r>
      <w:r w:rsidR="00D917E4" w:rsidRPr="00051C33">
        <w:t xml:space="preserve">the municipality centre (NUTS3 area). </w:t>
      </w:r>
      <w:r w:rsidR="00051C33">
        <w:t xml:space="preserve">Nearly all </w:t>
      </w:r>
      <w:r w:rsidR="00D917E4" w:rsidRPr="00051C33">
        <w:t xml:space="preserve">binary hedonic characteristics </w:t>
      </w:r>
      <w:r w:rsidR="00051C33">
        <w:t>exhibit</w:t>
      </w:r>
      <w:r w:rsidR="00D917E4" w:rsidRPr="00051C33">
        <w:t xml:space="preserve"> a positive effect on asking rents. </w:t>
      </w:r>
      <w:r w:rsidR="00957D8C" w:rsidRPr="00051C33">
        <w:t xml:space="preserve">All models explain at least </w:t>
      </w:r>
      <w:r w:rsidR="004F6514">
        <w:t>83</w:t>
      </w:r>
      <w:r w:rsidR="004F6514" w:rsidRPr="00051C33">
        <w:t xml:space="preserve"> </w:t>
      </w:r>
      <w:r w:rsidR="00957D8C" w:rsidRPr="00051C33">
        <w:t>% of the rent variation</w:t>
      </w:r>
      <w:r w:rsidR="00C3764D" w:rsidRPr="00051C33">
        <w:t xml:space="preserve"> </w:t>
      </w:r>
      <w:r w:rsidR="006F5659" w:rsidRPr="00051C33">
        <w:t xml:space="preserve">across </w:t>
      </w:r>
      <w:r w:rsidR="00C3764D" w:rsidRPr="00051C33">
        <w:t xml:space="preserve">the different subsamples. </w:t>
      </w:r>
    </w:p>
    <w:p w14:paraId="7B449DB4" w14:textId="77777777" w:rsidR="00C3764D" w:rsidRPr="00A9615D" w:rsidRDefault="00C3764D" w:rsidP="009E3AC1">
      <w:pPr>
        <w:pStyle w:val="---TEXT"/>
        <w:jc w:val="both"/>
      </w:pPr>
      <w:r w:rsidRPr="00A872DC">
        <w:t xml:space="preserve">[Table 3 </w:t>
      </w:r>
      <w:r w:rsidR="009E3AC1" w:rsidRPr="00A872DC">
        <w:t>here</w:t>
      </w:r>
      <w:r w:rsidRPr="00A9615D">
        <w:t>]</w:t>
      </w:r>
    </w:p>
    <w:p w14:paraId="1262E97F" w14:textId="016553E9" w:rsidR="00454D0F" w:rsidRPr="00A9615D" w:rsidRDefault="009B4B9F" w:rsidP="009E3AC1">
      <w:pPr>
        <w:pStyle w:val="---TEXT"/>
        <w:jc w:val="both"/>
      </w:pPr>
      <w:r w:rsidRPr="00A9615D">
        <w:t>Table 4 present</w:t>
      </w:r>
      <w:r w:rsidR="004F6514">
        <w:t>s</w:t>
      </w:r>
      <w:r w:rsidRPr="00A9615D">
        <w:t xml:space="preserve"> the </w:t>
      </w:r>
      <w:r w:rsidR="004F6514">
        <w:t>results</w:t>
      </w:r>
      <w:r w:rsidRPr="00A9615D">
        <w:t xml:space="preserve"> of energy consumption </w:t>
      </w:r>
      <w:r w:rsidR="00113AC4" w:rsidRPr="00A9615D">
        <w:t xml:space="preserve">on asking rents </w:t>
      </w:r>
      <w:r w:rsidRPr="00A9615D">
        <w:t xml:space="preserve">for each market </w:t>
      </w:r>
      <w:r w:rsidR="00192BDA" w:rsidRPr="00A9615D">
        <w:t xml:space="preserve">and </w:t>
      </w:r>
      <w:r w:rsidR="00192BDA" w:rsidRPr="00B97289">
        <w:t xml:space="preserve">stock quality </w:t>
      </w:r>
      <w:r w:rsidRPr="00B97289">
        <w:t xml:space="preserve">subsample. </w:t>
      </w:r>
      <w:r w:rsidR="00454D0F" w:rsidRPr="00B97289">
        <w:t xml:space="preserve">The green premium and discount hold </w:t>
      </w:r>
      <w:r w:rsidR="00B41EA3" w:rsidRPr="00A872DC">
        <w:t>across the overall secondary markets,</w:t>
      </w:r>
      <w:r w:rsidR="00B41EA3" w:rsidRPr="00A9615D">
        <w:t xml:space="preserve"> but </w:t>
      </w:r>
      <w:r w:rsidR="00ED037F" w:rsidRPr="00A9615D">
        <w:t xml:space="preserve">at the same time </w:t>
      </w:r>
      <w:r w:rsidR="00B41EA3" w:rsidRPr="00A9615D">
        <w:t>across the subsamples on n</w:t>
      </w:r>
      <w:r w:rsidR="00454D0F" w:rsidRPr="00A9615D">
        <w:t>ewly built</w:t>
      </w:r>
      <w:r w:rsidR="00B41EA3" w:rsidRPr="00A9615D">
        <w:t xml:space="preserve"> and existing </w:t>
      </w:r>
      <w:r w:rsidR="00454D0F" w:rsidRPr="00A9615D">
        <w:t xml:space="preserve">flats. </w:t>
      </w:r>
      <w:r w:rsidR="00562883" w:rsidRPr="00A9615D">
        <w:t xml:space="preserve">The magnitude of the effects </w:t>
      </w:r>
      <w:r w:rsidR="00113AC4" w:rsidRPr="00A9615D">
        <w:t>increases</w:t>
      </w:r>
      <w:r w:rsidR="00562883" w:rsidRPr="00A9615D">
        <w:t xml:space="preserve"> </w:t>
      </w:r>
      <w:r w:rsidR="006831F0">
        <w:t xml:space="preserve">significantly </w:t>
      </w:r>
      <w:r w:rsidR="00562883" w:rsidRPr="00A9615D">
        <w:t xml:space="preserve">in contrast </w:t>
      </w:r>
      <w:r w:rsidR="00113AC4" w:rsidRPr="00A9615D">
        <w:t xml:space="preserve">to the results for </w:t>
      </w:r>
      <w:r w:rsidR="00ED037F" w:rsidRPr="00A9615D">
        <w:t xml:space="preserve">Germany </w:t>
      </w:r>
      <w:r w:rsidR="00113AC4" w:rsidRPr="00A9615D">
        <w:t xml:space="preserve">in Table 3. </w:t>
      </w:r>
      <w:r w:rsidR="00ED037F" w:rsidRPr="00A9615D">
        <w:t xml:space="preserve">Thus, </w:t>
      </w:r>
      <w:r w:rsidR="00B97289">
        <w:t>dwelling</w:t>
      </w:r>
      <w:r w:rsidR="00113AC4" w:rsidRPr="00B97289">
        <w:t xml:space="preserve">s </w:t>
      </w:r>
      <w:r w:rsidR="006F5659" w:rsidRPr="00B97289">
        <w:t xml:space="preserve">in secondary markets </w:t>
      </w:r>
      <w:r w:rsidR="00113AC4" w:rsidRPr="00B97289">
        <w:t xml:space="preserve">within </w:t>
      </w:r>
      <w:r w:rsidR="00744D0E" w:rsidRPr="00B97289">
        <w:t xml:space="preserve">EPC </w:t>
      </w:r>
      <w:r w:rsidR="00113AC4" w:rsidRPr="00A872DC">
        <w:t xml:space="preserve">A+ and A have a </w:t>
      </w:r>
      <w:r w:rsidR="00ED037F" w:rsidRPr="00A872DC">
        <w:t xml:space="preserve">green </w:t>
      </w:r>
      <w:r w:rsidR="00113AC4" w:rsidRPr="00A9615D">
        <w:t xml:space="preserve">premium of </w:t>
      </w:r>
      <w:r w:rsidR="006831F0">
        <w:t>2</w:t>
      </w:r>
      <w:r w:rsidR="00113AC4" w:rsidRPr="00A9615D">
        <w:t>.</w:t>
      </w:r>
      <w:r w:rsidR="006831F0">
        <w:t>3</w:t>
      </w:r>
      <w:r w:rsidR="006831F0" w:rsidRPr="00A9615D">
        <w:t xml:space="preserve"> </w:t>
      </w:r>
      <w:r w:rsidR="00113AC4" w:rsidRPr="00A9615D">
        <w:t>% and 2.</w:t>
      </w:r>
      <w:r w:rsidR="006831F0">
        <w:t>0</w:t>
      </w:r>
      <w:r w:rsidR="006831F0" w:rsidRPr="00A9615D">
        <w:t xml:space="preserve"> </w:t>
      </w:r>
      <w:r w:rsidR="00113AC4" w:rsidRPr="00A9615D">
        <w:t>%</w:t>
      </w:r>
      <w:r w:rsidR="00ED037F" w:rsidRPr="00A9615D">
        <w:t>, almost +1.</w:t>
      </w:r>
      <w:r w:rsidR="006831F0">
        <w:t>4</w:t>
      </w:r>
      <w:r w:rsidR="006831F0" w:rsidRPr="00A9615D">
        <w:t xml:space="preserve"> </w:t>
      </w:r>
      <w:r w:rsidR="00ED037F" w:rsidRPr="00A9615D">
        <w:t xml:space="preserve">%points and </w:t>
      </w:r>
      <w:r w:rsidR="00113AC4" w:rsidRPr="00A9615D">
        <w:t>+0.</w:t>
      </w:r>
      <w:r w:rsidR="006831F0">
        <w:t>6</w:t>
      </w:r>
      <w:r w:rsidR="006831F0" w:rsidRPr="00A9615D">
        <w:t xml:space="preserve"> </w:t>
      </w:r>
      <w:r w:rsidR="00113AC4" w:rsidRPr="00A9615D">
        <w:t>%points</w:t>
      </w:r>
      <w:r w:rsidR="00ED037F" w:rsidRPr="00A9615D">
        <w:t xml:space="preserve"> higher than the German average respectively</w:t>
      </w:r>
      <w:r w:rsidR="00113AC4" w:rsidRPr="00A9615D">
        <w:t>, whereas energy inefficient dwellings show stronger a discount of up to 0.</w:t>
      </w:r>
      <w:r w:rsidR="006831F0">
        <w:t>9</w:t>
      </w:r>
      <w:r w:rsidR="006831F0" w:rsidRPr="00A9615D">
        <w:t xml:space="preserve"> </w:t>
      </w:r>
      <w:r w:rsidR="00113AC4" w:rsidRPr="00A9615D">
        <w:t xml:space="preserve">%points, </w:t>
      </w:r>
      <w:r w:rsidR="006831F0">
        <w:t>1</w:t>
      </w:r>
      <w:r w:rsidR="00113AC4" w:rsidRPr="00A9615D">
        <w:t>.</w:t>
      </w:r>
      <w:r w:rsidR="006831F0">
        <w:t>7</w:t>
      </w:r>
      <w:r w:rsidR="006831F0" w:rsidRPr="00A9615D">
        <w:t xml:space="preserve"> </w:t>
      </w:r>
      <w:r w:rsidR="00113AC4" w:rsidRPr="00A9615D">
        <w:t xml:space="preserve">%points and </w:t>
      </w:r>
      <w:r w:rsidR="006831F0">
        <w:t>1</w:t>
      </w:r>
      <w:r w:rsidR="00113AC4" w:rsidRPr="00A9615D">
        <w:t>.8 %points</w:t>
      </w:r>
      <w:r w:rsidR="005B340B" w:rsidRPr="00A9615D">
        <w:t xml:space="preserve"> </w:t>
      </w:r>
      <w:r w:rsidR="00744D0E" w:rsidRPr="00A9615D">
        <w:t>in the F, G and H EPC categories</w:t>
      </w:r>
      <w:r w:rsidR="00673B5A" w:rsidRPr="00A9615D">
        <w:t xml:space="preserve"> respectively</w:t>
      </w:r>
      <w:r w:rsidR="00744D0E" w:rsidRPr="00A9615D">
        <w:t xml:space="preserve">. </w:t>
      </w:r>
      <w:r w:rsidR="00673B5A" w:rsidRPr="00A9615D">
        <w:t>T</w:t>
      </w:r>
      <w:r w:rsidR="00454D0F" w:rsidRPr="00A9615D">
        <w:t>he results show overall that energy efficiency commands a rental premium in s</w:t>
      </w:r>
      <w:r w:rsidR="008A07BE" w:rsidRPr="00A9615D">
        <w:t>econdary cities across Germany</w:t>
      </w:r>
      <w:r w:rsidR="00454D0F" w:rsidRPr="00A9615D">
        <w:t xml:space="preserve">. </w:t>
      </w:r>
    </w:p>
    <w:p w14:paraId="77A45E36" w14:textId="77777777" w:rsidR="00ED037F" w:rsidRPr="00A9615D" w:rsidRDefault="00ED037F" w:rsidP="009E3AC1">
      <w:pPr>
        <w:pStyle w:val="---TEXT"/>
        <w:jc w:val="both"/>
      </w:pPr>
      <w:r w:rsidRPr="00A9615D">
        <w:t xml:space="preserve">[Table 4 </w:t>
      </w:r>
      <w:r w:rsidR="009E3AC1" w:rsidRPr="00A9615D">
        <w:t>here</w:t>
      </w:r>
      <w:r w:rsidRPr="00A9615D">
        <w:t>]</w:t>
      </w:r>
    </w:p>
    <w:p w14:paraId="4CC78785" w14:textId="7C8E4839" w:rsidR="005747EC" w:rsidRDefault="00051C33" w:rsidP="009E3AC1">
      <w:pPr>
        <w:pStyle w:val="---TEXT"/>
        <w:jc w:val="both"/>
      </w:pPr>
      <w:r>
        <w:t>By contrast, t</w:t>
      </w:r>
      <w:r w:rsidR="00515987" w:rsidRPr="00051C33">
        <w:t xml:space="preserve">he results for the </w:t>
      </w:r>
      <w:r w:rsidR="00454D0F" w:rsidRPr="00051C33">
        <w:t>T</w:t>
      </w:r>
      <w:r w:rsidR="00515987" w:rsidRPr="00051C33">
        <w:t>op</w:t>
      </w:r>
      <w:r w:rsidR="00454D0F" w:rsidRPr="00051C33">
        <w:t xml:space="preserve"> </w:t>
      </w:r>
      <w:r w:rsidR="00515987" w:rsidRPr="00051C33">
        <w:t>7 markets</w:t>
      </w:r>
      <w:r w:rsidR="00D13892" w:rsidRPr="00051C33">
        <w:t xml:space="preserve"> in table </w:t>
      </w:r>
      <w:r w:rsidR="00882108">
        <w:t>4</w:t>
      </w:r>
      <w:r w:rsidR="00882108" w:rsidRPr="00051C33">
        <w:t xml:space="preserve"> </w:t>
      </w:r>
      <w:r w:rsidR="00515987" w:rsidRPr="00051C33">
        <w:t>show</w:t>
      </w:r>
      <w:r w:rsidR="006F5659" w:rsidRPr="00051C33">
        <w:t xml:space="preserve"> </w:t>
      </w:r>
      <w:r w:rsidR="00515987" w:rsidRPr="00051C33">
        <w:t xml:space="preserve">mixed results. </w:t>
      </w:r>
      <w:r w:rsidR="00DF26D6" w:rsidRPr="00051C33">
        <w:t>The same effect is observe</w:t>
      </w:r>
      <w:r>
        <w:t>d</w:t>
      </w:r>
      <w:r w:rsidR="00DF26D6" w:rsidRPr="00051C33">
        <w:t xml:space="preserve"> when looking at existing and refurbished flats. In both cases, asking rents for</w:t>
      </w:r>
      <w:r w:rsidR="00C73646">
        <w:t xml:space="preserve"> some categories of</w:t>
      </w:r>
      <w:r w:rsidR="00DF26D6" w:rsidRPr="00051C33">
        <w:t xml:space="preserve"> energy inefficient </w:t>
      </w:r>
      <w:r w:rsidR="00B97289">
        <w:t>dwelling</w:t>
      </w:r>
      <w:r w:rsidR="00DF26D6" w:rsidRPr="00B97289">
        <w:t>s are higher than the</w:t>
      </w:r>
      <w:r>
        <w:t xml:space="preserve"> medium</w:t>
      </w:r>
      <w:r w:rsidR="00DF26D6" w:rsidRPr="00B97289">
        <w:t xml:space="preserve"> reference D, leading to the conclusion that asking rents across the top 7 German markets </w:t>
      </w:r>
      <w:r w:rsidR="00C73646">
        <w:t xml:space="preserve">only show limited sensitivity to energy efficiency. It may be surmised that strong demand and inelastic supply in the top 7 markets may create shortages in some segments and locations that push energy efficiency down the list of rental pricing determinants in these markets. </w:t>
      </w:r>
      <w:r w:rsidR="00C376CA">
        <w:t xml:space="preserve">However, if this were the case, we might expect to see similar shifts in the pricing patterns of </w:t>
      </w:r>
      <w:r w:rsidR="00C73646">
        <w:t>other</w:t>
      </w:r>
      <w:r w:rsidR="00C376CA">
        <w:t xml:space="preserve"> less important</w:t>
      </w:r>
      <w:r w:rsidR="00C73646">
        <w:t xml:space="preserve"> </w:t>
      </w:r>
      <w:r w:rsidR="00C376CA">
        <w:t xml:space="preserve">hedonic characteristics. </w:t>
      </w:r>
      <w:r w:rsidR="00C73646">
        <w:t xml:space="preserve">Table 4 </w:t>
      </w:r>
      <w:r w:rsidR="00C376CA">
        <w:t>shows that some</w:t>
      </w:r>
      <w:r w:rsidR="00C73646">
        <w:t xml:space="preserve"> features such as distance to centroid, elevator and terrace </w:t>
      </w:r>
      <w:r w:rsidR="00C376CA">
        <w:t xml:space="preserve">indeed </w:t>
      </w:r>
      <w:r w:rsidR="00C73646">
        <w:t xml:space="preserve">appear to command higher prices in secondary. By and large, the coefficients of building characteristics seem larger in secondary markets but the relationship is </w:t>
      </w:r>
      <w:r w:rsidR="00C376CA">
        <w:t>far from conclusive</w:t>
      </w:r>
      <w:r w:rsidR="00C73646">
        <w:t xml:space="preserve">. </w:t>
      </w:r>
      <w:r w:rsidR="00DF3C0C">
        <w:t>Figure 2 summari</w:t>
      </w:r>
      <w:r w:rsidR="00AC645E">
        <w:t>s</w:t>
      </w:r>
      <w:r w:rsidR="00DF3C0C">
        <w:t xml:space="preserve">es the hedonic results of EPCs on log asking for Germany, the top 7 markets and the secondary markets extracted from Tables 3 and 4. </w:t>
      </w:r>
    </w:p>
    <w:p w14:paraId="5AAF975E" w14:textId="25BA234A" w:rsidR="00B77EE8" w:rsidRPr="00A9615D" w:rsidRDefault="00B77EE8" w:rsidP="009E3AC1">
      <w:pPr>
        <w:pStyle w:val="---TEXT"/>
        <w:jc w:val="both"/>
      </w:pPr>
      <w:r>
        <w:t>[Figure 2</w:t>
      </w:r>
      <w:r w:rsidR="005747EC">
        <w:t xml:space="preserve"> here</w:t>
      </w:r>
      <w:r>
        <w:t>]</w:t>
      </w:r>
    </w:p>
    <w:p w14:paraId="2BC07FFF" w14:textId="51B8C5F6" w:rsidR="00511A71" w:rsidRPr="00A872DC" w:rsidRDefault="00A872DC" w:rsidP="009E3AC1">
      <w:pPr>
        <w:pStyle w:val="---TEXT"/>
        <w:jc w:val="both"/>
      </w:pPr>
      <w:r>
        <w:t>Finally</w:t>
      </w:r>
      <w:r w:rsidR="00D57526" w:rsidRPr="00A872DC">
        <w:t xml:space="preserve">, </w:t>
      </w:r>
      <w:r w:rsidR="00D13892" w:rsidRPr="00A872DC">
        <w:t xml:space="preserve">Figure </w:t>
      </w:r>
      <w:r w:rsidR="00B77EE8">
        <w:t xml:space="preserve">3 </w:t>
      </w:r>
      <w:r>
        <w:t>shows</w:t>
      </w:r>
      <w:r w:rsidR="00D57526" w:rsidRPr="00A872DC">
        <w:t xml:space="preserve"> the results of the residential property price indices for energy efficient and inefficient dwellings </w:t>
      </w:r>
      <w:r>
        <w:t>using</w:t>
      </w:r>
      <w:r w:rsidRPr="00A872DC">
        <w:t xml:space="preserve"> </w:t>
      </w:r>
      <w:r w:rsidR="00D57526" w:rsidRPr="00A872DC">
        <w:t xml:space="preserve"> two subsamples</w:t>
      </w:r>
      <w:r w:rsidR="00521B45" w:rsidRPr="00A872DC">
        <w:t xml:space="preserve"> (</w:t>
      </w:r>
      <w:r w:rsidR="00D57526" w:rsidRPr="00A872DC">
        <w:t xml:space="preserve">secondary and </w:t>
      </w:r>
      <w:r w:rsidR="0051187F" w:rsidRPr="00A872DC">
        <w:t>Top 7</w:t>
      </w:r>
      <w:r w:rsidR="00D57526" w:rsidRPr="00A872DC">
        <w:t xml:space="preserve"> German markets</w:t>
      </w:r>
      <w:r w:rsidR="00521B45" w:rsidRPr="00A872DC">
        <w:t>) and two different energy thresholds (125 kWh/m²/p.a. and 200 kWh/m²/p.a.)</w:t>
      </w:r>
      <w:r w:rsidR="00511A71" w:rsidRPr="00A872DC">
        <w:t xml:space="preserve"> to </w:t>
      </w:r>
      <w:r>
        <w:t>test the sensitivity of</w:t>
      </w:r>
      <w:r w:rsidRPr="00A872DC">
        <w:t xml:space="preserve"> </w:t>
      </w:r>
      <w:r w:rsidR="00511A71" w:rsidRPr="00A872DC">
        <w:t>portfolio</w:t>
      </w:r>
      <w:r>
        <w:t>s to geographic location and stringency of energy efficiency requirements</w:t>
      </w:r>
      <w:r w:rsidR="00521B45" w:rsidRPr="00A872DC">
        <w:t xml:space="preserve">. </w:t>
      </w:r>
    </w:p>
    <w:p w14:paraId="12FB21CC" w14:textId="388F5AF0" w:rsidR="00511A71" w:rsidRPr="00A9615D" w:rsidRDefault="00511A71" w:rsidP="009E3AC1">
      <w:pPr>
        <w:pStyle w:val="---TEXT"/>
        <w:jc w:val="both"/>
      </w:pPr>
      <w:r w:rsidRPr="00A9615D">
        <w:t xml:space="preserve">[Figure </w:t>
      </w:r>
      <w:r w:rsidR="00B77EE8">
        <w:t>3</w:t>
      </w:r>
      <w:r w:rsidR="00B77EE8" w:rsidRPr="00A9615D">
        <w:t xml:space="preserve"> </w:t>
      </w:r>
      <w:r w:rsidR="009E3AC1" w:rsidRPr="00A9615D">
        <w:t>here</w:t>
      </w:r>
      <w:r w:rsidRPr="00A9615D">
        <w:t>]</w:t>
      </w:r>
    </w:p>
    <w:p w14:paraId="474C3F83" w14:textId="77777777" w:rsidR="000149D4" w:rsidRPr="00051C33" w:rsidRDefault="00D57526" w:rsidP="009E3AC1">
      <w:pPr>
        <w:pStyle w:val="---TEXT"/>
        <w:jc w:val="both"/>
      </w:pPr>
      <w:r w:rsidRPr="00A9615D">
        <w:t>T</w:t>
      </w:r>
      <w:r w:rsidR="0033686B" w:rsidRPr="00A9615D">
        <w:t xml:space="preserve">he hedonic indices </w:t>
      </w:r>
      <w:r w:rsidR="00A872DC">
        <w:t>demonstrate</w:t>
      </w:r>
      <w:r w:rsidR="0033686B" w:rsidRPr="00A872DC">
        <w:t xml:space="preserve"> </w:t>
      </w:r>
      <w:r w:rsidR="001D692F" w:rsidRPr="00A872DC">
        <w:t>an analogous</w:t>
      </w:r>
      <w:r w:rsidR="0033686B" w:rsidRPr="00A872DC">
        <w:t xml:space="preserve"> </w:t>
      </w:r>
      <w:r w:rsidRPr="00A872DC">
        <w:t xml:space="preserve">rental </w:t>
      </w:r>
      <w:r w:rsidR="0033686B" w:rsidRPr="00A872DC">
        <w:t xml:space="preserve">growth pattern </w:t>
      </w:r>
      <w:r w:rsidR="00CD2096" w:rsidRPr="00A872DC">
        <w:t xml:space="preserve">for highly efficient </w:t>
      </w:r>
      <w:r w:rsidRPr="00A872DC">
        <w:t xml:space="preserve">and inefficient </w:t>
      </w:r>
      <w:r w:rsidR="0033686B" w:rsidRPr="00A872DC">
        <w:t>dwellings</w:t>
      </w:r>
      <w:r w:rsidR="00521B45" w:rsidRPr="00A872DC">
        <w:t xml:space="preserve"> </w:t>
      </w:r>
      <w:r w:rsidR="000E5659" w:rsidRPr="00A872DC">
        <w:t>when choosing</w:t>
      </w:r>
      <w:r w:rsidR="00521B45" w:rsidRPr="00A872DC">
        <w:t xml:space="preserve"> 125 kWh/m²/p.a. as portfolio </w:t>
      </w:r>
      <w:r w:rsidR="000E5659" w:rsidRPr="00A872DC">
        <w:t>criteria</w:t>
      </w:r>
      <w:r w:rsidR="00CD2096" w:rsidRPr="00A872DC">
        <w:t xml:space="preserve">. </w:t>
      </w:r>
      <w:r w:rsidR="000E5659" w:rsidRPr="00A9615D">
        <w:t>However, w</w:t>
      </w:r>
      <w:r w:rsidR="00521B45" w:rsidRPr="00A9615D">
        <w:t xml:space="preserve">hen transferring the rental indices to absolute asking rents, </w:t>
      </w:r>
      <w:r w:rsidR="000E5659" w:rsidRPr="00A9615D">
        <w:t xml:space="preserve">a portfolio consisting of energy efficient </w:t>
      </w:r>
      <w:r w:rsidR="00B97289">
        <w:t>dwelling</w:t>
      </w:r>
      <w:r w:rsidR="000E5659" w:rsidRPr="00B97289">
        <w:t xml:space="preserve">s is expected to lead to higher income returns as rents in </w:t>
      </w:r>
      <w:r w:rsidR="00BB0427" w:rsidRPr="00A872DC">
        <w:t>the energy efficient</w:t>
      </w:r>
      <w:r w:rsidR="000E5659" w:rsidRPr="00A872DC">
        <w:t xml:space="preserve"> segment are clearly higher.</w:t>
      </w:r>
      <w:r w:rsidR="00BB0427" w:rsidRPr="00A872DC">
        <w:t xml:space="preserve"> A more flexible </w:t>
      </w:r>
      <w:r w:rsidR="006F7221" w:rsidRPr="00A872DC">
        <w:t xml:space="preserve">portfolio </w:t>
      </w:r>
      <w:r w:rsidR="00BB0427" w:rsidRPr="00A872DC">
        <w:t xml:space="preserve">approach consisting of </w:t>
      </w:r>
      <w:r w:rsidR="00B97289">
        <w:t>dwelling</w:t>
      </w:r>
      <w:r w:rsidR="00BB0427" w:rsidRPr="00B97289">
        <w:t xml:space="preserve">s above and below 200 kWh/m²/p.a. shows </w:t>
      </w:r>
      <w:r w:rsidR="00B3291F" w:rsidRPr="00B97289">
        <w:t xml:space="preserve">a </w:t>
      </w:r>
      <w:r w:rsidR="00BB0427" w:rsidRPr="00B97289">
        <w:t xml:space="preserve">remarkable </w:t>
      </w:r>
      <w:r w:rsidR="00B3291F" w:rsidRPr="00B97289">
        <w:t>result</w:t>
      </w:r>
      <w:r w:rsidR="00BB0427" w:rsidRPr="00051C33">
        <w:t xml:space="preserve">. </w:t>
      </w:r>
      <w:r w:rsidR="00B3291F" w:rsidRPr="00051C33">
        <w:t xml:space="preserve">Despite higher indexed rental </w:t>
      </w:r>
      <w:r w:rsidR="00B3291F" w:rsidRPr="00051C33">
        <w:lastRenderedPageBreak/>
        <w:t xml:space="preserve">growth of energy inefficient </w:t>
      </w:r>
      <w:r w:rsidR="00B97289">
        <w:t>dwelling</w:t>
      </w:r>
      <w:r w:rsidR="00B3291F" w:rsidRPr="00B97289">
        <w:t>s in the top 7, the income return of a</w:t>
      </w:r>
      <w:r w:rsidR="00B3291F" w:rsidRPr="00A872DC">
        <w:t xml:space="preserve"> portfolio targeting a more flexible sustainability approach </w:t>
      </w:r>
      <w:r w:rsidR="00A872DC">
        <w:t>is</w:t>
      </w:r>
      <w:r w:rsidR="00B3291F" w:rsidRPr="00A872DC">
        <w:t xml:space="preserve"> mainly generated by energy efficient </w:t>
      </w:r>
      <w:r w:rsidR="00B97289">
        <w:t>dwelling</w:t>
      </w:r>
      <w:r w:rsidR="00B3291F" w:rsidRPr="00B97289">
        <w:t>s.</w:t>
      </w:r>
      <w:r w:rsidR="00621268" w:rsidRPr="00B97289">
        <w:t xml:space="preserve"> </w:t>
      </w:r>
    </w:p>
    <w:p w14:paraId="532D6B77" w14:textId="2496B424" w:rsidR="009E5EA9" w:rsidRPr="00A872DC" w:rsidRDefault="00D77C1C" w:rsidP="009E3AC1">
      <w:pPr>
        <w:pStyle w:val="---TEXT"/>
        <w:jc w:val="both"/>
      </w:pPr>
      <w:r w:rsidRPr="00A872DC">
        <w:t xml:space="preserve">Overall, our results confirm that the energy efficiency premium </w:t>
      </w:r>
      <w:r w:rsidR="00A872DC">
        <w:t>found previously</w:t>
      </w:r>
      <w:r w:rsidR="00A872DC" w:rsidRPr="00A872DC">
        <w:t xml:space="preserve"> </w:t>
      </w:r>
      <w:r w:rsidRPr="00A872DC">
        <w:t>in several European countrie</w:t>
      </w:r>
      <w:r w:rsidR="00CF1725">
        <w:t>s is also observable in Germany which suggests that</w:t>
      </w:r>
      <w:r w:rsidRPr="00A872DC">
        <w:t xml:space="preserve"> the energy efficiency</w:t>
      </w:r>
      <w:r w:rsidR="00F2042F" w:rsidRPr="00A872DC">
        <w:t xml:space="preserve"> </w:t>
      </w:r>
      <w:r w:rsidRPr="00A872DC">
        <w:t xml:space="preserve">level of a rental unit </w:t>
      </w:r>
      <w:r w:rsidR="00A872DC">
        <w:t>ought to be</w:t>
      </w:r>
      <w:r w:rsidRPr="00A872DC">
        <w:t xml:space="preserve"> considered in the purchasing</w:t>
      </w:r>
      <w:r w:rsidR="00A872DC">
        <w:t xml:space="preserve"> or renting</w:t>
      </w:r>
      <w:r w:rsidRPr="00A872DC">
        <w:t xml:space="preserve"> decision. </w:t>
      </w:r>
    </w:p>
    <w:p w14:paraId="10809D22" w14:textId="77777777" w:rsidR="00A94B18" w:rsidRPr="00A9615D" w:rsidRDefault="00A94B18" w:rsidP="009E3AC1">
      <w:pPr>
        <w:pStyle w:val="---TEXT"/>
        <w:jc w:val="both"/>
        <w:rPr>
          <w:i/>
        </w:rPr>
      </w:pPr>
      <w:r w:rsidRPr="00A9615D">
        <w:rPr>
          <w:i/>
        </w:rPr>
        <w:t xml:space="preserve">Time on market estimates </w:t>
      </w:r>
    </w:p>
    <w:p w14:paraId="3118E038" w14:textId="18C24435" w:rsidR="00944D2D" w:rsidRPr="00B97289" w:rsidRDefault="008A07BE" w:rsidP="00EB3840">
      <w:pPr>
        <w:pStyle w:val="---TEXT"/>
        <w:jc w:val="both"/>
      </w:pPr>
      <w:r w:rsidRPr="00A9615D">
        <w:t>The</w:t>
      </w:r>
      <w:r w:rsidR="00E86A72" w:rsidRPr="00A9615D">
        <w:t xml:space="preserve"> parametric proportional </w:t>
      </w:r>
      <w:r w:rsidR="00481AB2" w:rsidRPr="00A9615D">
        <w:t>C</w:t>
      </w:r>
      <w:r w:rsidR="00E86A72" w:rsidRPr="00A9615D">
        <w:t>ox-hazard model</w:t>
      </w:r>
      <w:r w:rsidRPr="00A9615D">
        <w:t xml:space="preserve"> is estimated</w:t>
      </w:r>
      <w:r w:rsidR="00E86A72" w:rsidRPr="00A9615D">
        <w:t xml:space="preserve"> with </w:t>
      </w:r>
      <w:r w:rsidR="00EA5498" w:rsidRPr="00A9615D">
        <w:t xml:space="preserve">a </w:t>
      </w:r>
      <w:r w:rsidR="00DC23FB" w:rsidRPr="00A9615D">
        <w:t xml:space="preserve">right-censored </w:t>
      </w:r>
      <w:r w:rsidR="00EA5498" w:rsidRPr="00A9615D">
        <w:t xml:space="preserve">response </w:t>
      </w:r>
      <w:r w:rsidR="00FE3059" w:rsidRPr="00A9615D">
        <w:t xml:space="preserve">variable </w:t>
      </w:r>
      <w:r w:rsidR="00EA5498" w:rsidRPr="00A9615D">
        <w:t xml:space="preserve">defined as </w:t>
      </w:r>
      <w:r w:rsidR="00E86A72" w:rsidRPr="00A9615D">
        <w:t xml:space="preserve">the time a </w:t>
      </w:r>
      <w:r w:rsidR="00B97289">
        <w:t>property</w:t>
      </w:r>
      <w:r w:rsidR="00E86A72" w:rsidRPr="00B97289">
        <w:t xml:space="preserve"> is available on the internet</w:t>
      </w:r>
      <w:r w:rsidR="00A872DC">
        <w:t>,</w:t>
      </w:r>
      <w:r w:rsidRPr="00B97289">
        <w:t xml:space="preserve"> measured</w:t>
      </w:r>
      <w:r w:rsidR="00EA5498" w:rsidRPr="00B97289">
        <w:t xml:space="preserve"> in weeks</w:t>
      </w:r>
      <w:r w:rsidR="00E86A72" w:rsidRPr="00A872DC">
        <w:t xml:space="preserve">. </w:t>
      </w:r>
      <w:r w:rsidR="00EA5498" w:rsidRPr="00A872DC">
        <w:t xml:space="preserve">For simplicity of interpretation, we define the reference category as the </w:t>
      </w:r>
      <w:r w:rsidR="00791558" w:rsidRPr="00A872DC">
        <w:t xml:space="preserve">energy class </w:t>
      </w:r>
      <w:r w:rsidR="00CF2139">
        <w:t>D</w:t>
      </w:r>
      <w:r w:rsidR="00791558" w:rsidRPr="00A872DC">
        <w:t>.</w:t>
      </w:r>
      <w:r w:rsidR="00250A18" w:rsidRPr="00A872DC">
        <w:t xml:space="preserve"> </w:t>
      </w:r>
      <w:r w:rsidR="006631B1" w:rsidRPr="00A872DC">
        <w:t>C</w:t>
      </w:r>
      <w:r w:rsidR="00250A18" w:rsidRPr="00A9615D">
        <w:t>oefficient</w:t>
      </w:r>
      <w:r w:rsidR="006631B1" w:rsidRPr="00A9615D">
        <w:t>s</w:t>
      </w:r>
      <w:r w:rsidR="00250A18" w:rsidRPr="00A9615D">
        <w:t xml:space="preserve"> </w:t>
      </w:r>
      <w:r w:rsidR="006631B1" w:rsidRPr="00A9615D">
        <w:t xml:space="preserve">significantly </w:t>
      </w:r>
      <w:r w:rsidR="00250A18" w:rsidRPr="00A9615D">
        <w:t xml:space="preserve">below 1 </w:t>
      </w:r>
      <w:r w:rsidR="006631B1" w:rsidRPr="00A9615D">
        <w:t>are</w:t>
      </w:r>
      <w:r w:rsidR="00DB7316" w:rsidRPr="00A9615D">
        <w:t xml:space="preserve"> expected to </w:t>
      </w:r>
      <w:r w:rsidR="00600F75">
        <w:t>indicate longer</w:t>
      </w:r>
      <w:r w:rsidRPr="00A872DC">
        <w:t xml:space="preserve"> </w:t>
      </w:r>
      <w:r w:rsidR="00600F75">
        <w:t>‘</w:t>
      </w:r>
      <w:r w:rsidRPr="00A872DC">
        <w:t>survival time</w:t>
      </w:r>
      <w:r w:rsidR="00600F75">
        <w:t>’</w:t>
      </w:r>
      <w:r w:rsidRPr="00A872DC">
        <w:t xml:space="preserve"> of the dwelling on the market</w:t>
      </w:r>
      <w:r w:rsidR="00250A18" w:rsidRPr="00A9615D">
        <w:t>.</w:t>
      </w:r>
      <w:r w:rsidR="006631B1" w:rsidRPr="00A9615D">
        <w:t xml:space="preserve"> Table </w:t>
      </w:r>
      <w:r w:rsidR="00CF2139">
        <w:t>5</w:t>
      </w:r>
      <w:r w:rsidR="00CF2139" w:rsidRPr="00A9615D">
        <w:t xml:space="preserve"> </w:t>
      </w:r>
      <w:r w:rsidR="006631B1" w:rsidRPr="00A9615D">
        <w:t>shows the factors that boost or restrict the liquidi</w:t>
      </w:r>
      <w:r w:rsidRPr="00A9615D">
        <w:t>ty of German dwellings to be rented within a certain time frame</w:t>
      </w:r>
      <w:r w:rsidR="006631B1" w:rsidRPr="00A9615D">
        <w:t xml:space="preserve"> across different subsamples. </w:t>
      </w:r>
      <w:r w:rsidR="00AC645E">
        <w:t>The</w:t>
      </w:r>
      <w:r w:rsidR="00790277">
        <w:t xml:space="preserve"> results for Germany</w:t>
      </w:r>
      <w:r w:rsidR="00AC645E">
        <w:t xml:space="preserve"> overall</w:t>
      </w:r>
      <w:r w:rsidR="00790277">
        <w:t xml:space="preserve"> in the first column </w:t>
      </w:r>
      <w:r w:rsidR="00AC645E">
        <w:t xml:space="preserve">show that </w:t>
      </w:r>
      <w:r w:rsidR="00790277">
        <w:t xml:space="preserve">dwellings in the EPC categories E, F, G, H but also A </w:t>
      </w:r>
      <w:r w:rsidR="00AC645E">
        <w:t>remain</w:t>
      </w:r>
      <w:r w:rsidR="00790277">
        <w:t xml:space="preserve"> on </w:t>
      </w:r>
      <w:r w:rsidR="00AC645E">
        <w:t xml:space="preserve">the </w:t>
      </w:r>
      <w:r w:rsidR="00790277">
        <w:t xml:space="preserve">market </w:t>
      </w:r>
      <w:r w:rsidR="00AC645E">
        <w:t xml:space="preserve">for longer </w:t>
      </w:r>
      <w:r w:rsidR="00790277">
        <w:t xml:space="preserve">by 4 %, 5 %, 11 %, 14 % and 3 % </w:t>
      </w:r>
      <w:r w:rsidR="00AC645E">
        <w:t xml:space="preserve">respectively </w:t>
      </w:r>
      <w:r w:rsidR="00790277">
        <w:t xml:space="preserve">than the reference D. At the same time, the most sought after dwellings are to find in the EPC categories B and C, whereas the effects of 1% and 0.7 % are statistically significant but relatively low. </w:t>
      </w:r>
      <w:r w:rsidRPr="00A9615D">
        <w:t>Across all</w:t>
      </w:r>
      <w:r w:rsidR="00C764F5" w:rsidRPr="00A9615D">
        <w:t xml:space="preserve"> subsamples, the results fail </w:t>
      </w:r>
      <w:r w:rsidRPr="00A9615D">
        <w:t>to provide</w:t>
      </w:r>
      <w:r w:rsidR="00C764F5" w:rsidRPr="00A9615D">
        <w:t xml:space="preserve"> evidence for a green liquidity premium as the coefficients of the EPC categories are statistically not significant. However, the results </w:t>
      </w:r>
      <w:r w:rsidR="00F06242" w:rsidRPr="00A9615D">
        <w:t>show</w:t>
      </w:r>
      <w:r w:rsidRPr="00A9615D">
        <w:t xml:space="preserve"> </w:t>
      </w:r>
      <w:r w:rsidR="000C1B0E">
        <w:t xml:space="preserve">some </w:t>
      </w:r>
      <w:r w:rsidRPr="00A9615D">
        <w:t>empirical support that the most</w:t>
      </w:r>
      <w:r w:rsidR="00F06242" w:rsidRPr="00A9615D">
        <w:t xml:space="preserve"> energy inefficient dwellings </w:t>
      </w:r>
      <w:r w:rsidRPr="00A9615D">
        <w:t>incur a liquidity penalty on the German rental market</w:t>
      </w:r>
      <w:r w:rsidR="00F06242" w:rsidRPr="00A9615D">
        <w:t xml:space="preserve">. Hence, </w:t>
      </w:r>
      <w:r w:rsidR="00750C3C" w:rsidRPr="00A9615D">
        <w:t xml:space="preserve">energy inefficient dwellings </w:t>
      </w:r>
      <w:r w:rsidR="00EB3840">
        <w:t xml:space="preserve">with an H EPC </w:t>
      </w:r>
      <w:r w:rsidR="00750C3C" w:rsidRPr="00A9615D">
        <w:t xml:space="preserve">stay up to </w:t>
      </w:r>
      <w:r w:rsidR="00EB3840">
        <w:t>17</w:t>
      </w:r>
      <w:r w:rsidR="00EB3840" w:rsidRPr="00A9615D">
        <w:t xml:space="preserve"> </w:t>
      </w:r>
      <w:r w:rsidR="00750C3C" w:rsidRPr="00A9615D">
        <w:t xml:space="preserve">% and </w:t>
      </w:r>
      <w:r w:rsidR="00EB3840">
        <w:t>13</w:t>
      </w:r>
      <w:r w:rsidR="00EB3840" w:rsidRPr="00A9615D">
        <w:t xml:space="preserve"> </w:t>
      </w:r>
      <w:r w:rsidR="003E1F55" w:rsidRPr="00A9615D">
        <w:t xml:space="preserve">% </w:t>
      </w:r>
      <w:r w:rsidR="00750C3C" w:rsidRPr="00A9615D">
        <w:t xml:space="preserve">longer on market </w:t>
      </w:r>
      <w:r w:rsidR="003E1F55" w:rsidRPr="00A9615D">
        <w:t xml:space="preserve">in case of the top 7 </w:t>
      </w:r>
      <w:r w:rsidR="00EB3840">
        <w:t xml:space="preserve">and </w:t>
      </w:r>
      <w:r w:rsidR="00EB3840" w:rsidRPr="00A9615D">
        <w:t xml:space="preserve">secondary markets </w:t>
      </w:r>
      <w:r w:rsidR="003E1F55" w:rsidRPr="00A9615D">
        <w:t>respectively</w:t>
      </w:r>
      <w:r w:rsidR="00724900" w:rsidRPr="00A9615D">
        <w:t xml:space="preserve"> compared to </w:t>
      </w:r>
      <w:r w:rsidR="00EB3840">
        <w:t>reference category</w:t>
      </w:r>
      <w:r w:rsidR="00724900" w:rsidRPr="00A9615D">
        <w:t xml:space="preserve">. </w:t>
      </w:r>
      <w:r w:rsidR="006E4208">
        <w:t xml:space="preserve">It cannot be ruled out that the green rental premium interferes with the green liquidity premium to the extent that higher rental rates may delay the renting out of an apartment somewhat thereby offsetting some of the expected effect of shorter times on market. </w:t>
      </w:r>
    </w:p>
    <w:p w14:paraId="225E8708" w14:textId="61AE38EF" w:rsidR="006F5659" w:rsidRPr="00A872DC" w:rsidRDefault="006F5659" w:rsidP="009E3AC1">
      <w:pPr>
        <w:pStyle w:val="---TEXT"/>
        <w:jc w:val="both"/>
      </w:pPr>
      <w:r w:rsidRPr="00A872DC">
        <w:t xml:space="preserve">[Table </w:t>
      </w:r>
      <w:r w:rsidR="00EB3840">
        <w:t>5</w:t>
      </w:r>
      <w:r w:rsidR="00EB3840" w:rsidRPr="00A872DC">
        <w:t xml:space="preserve"> </w:t>
      </w:r>
      <w:r w:rsidR="009E3AC1" w:rsidRPr="00A872DC">
        <w:t>here</w:t>
      </w:r>
      <w:r w:rsidRPr="00A872DC">
        <w:t>]</w:t>
      </w:r>
    </w:p>
    <w:p w14:paraId="1F6F0AB6" w14:textId="6EA735CB" w:rsidR="00410E41" w:rsidRDefault="00863C7A" w:rsidP="009E3AC1">
      <w:pPr>
        <w:pStyle w:val="---TEXT"/>
        <w:jc w:val="both"/>
      </w:pPr>
      <w:r w:rsidRPr="00A872DC">
        <w:t xml:space="preserve">The </w:t>
      </w:r>
      <w:r w:rsidR="00531ED5" w:rsidRPr="00A872DC">
        <w:t>C</w:t>
      </w:r>
      <w:r w:rsidR="0030452B" w:rsidRPr="00A872DC">
        <w:t>ox</w:t>
      </w:r>
      <w:r w:rsidR="00531ED5" w:rsidRPr="00A872DC">
        <w:t xml:space="preserve"> </w:t>
      </w:r>
      <w:r w:rsidR="00414538" w:rsidRPr="00A872DC">
        <w:t>regression</w:t>
      </w:r>
      <w:r w:rsidR="00A9615D">
        <w:t xml:space="preserve"> in Table </w:t>
      </w:r>
      <w:r w:rsidR="00EB3840">
        <w:t>5</w:t>
      </w:r>
      <w:r w:rsidR="00EB3840" w:rsidRPr="00A872DC">
        <w:t xml:space="preserve"> </w:t>
      </w:r>
      <w:r w:rsidR="00A9615D">
        <w:t>yields robust and stable results.</w:t>
      </w:r>
      <w:r w:rsidR="00A872DC">
        <w:t xml:space="preserve"> </w:t>
      </w:r>
      <w:r w:rsidR="00A872DC" w:rsidRPr="00A872DC">
        <w:t xml:space="preserve">Since hazard models estimate event probabilities per units of time, a coefficient of determination just as in the OLS is difficult to obtain. As a substitute, we provide the Pseudo-R² based on Kendall’s Tau, which measures the concordance between estimated survival time and the observed survival time for only the non-censored response sample. </w:t>
      </w:r>
      <w:r w:rsidR="006E4208">
        <w:t xml:space="preserve">The goodness of fit measure indicates </w:t>
      </w:r>
      <w:r w:rsidR="00A872DC" w:rsidRPr="00A872DC">
        <w:t>a reasonable fit</w:t>
      </w:r>
      <w:r w:rsidR="006E4208">
        <w:t xml:space="preserve"> with a</w:t>
      </w:r>
      <w:r w:rsidR="006E4208" w:rsidRPr="006E4208">
        <w:t xml:space="preserve"> </w:t>
      </w:r>
      <w:r w:rsidR="006E4208" w:rsidRPr="00A872DC">
        <w:t xml:space="preserve">Pseudo-R² </w:t>
      </w:r>
      <w:r w:rsidR="006E4208">
        <w:t xml:space="preserve">around </w:t>
      </w:r>
      <w:r w:rsidR="006E4208" w:rsidRPr="00A872DC">
        <w:t>6</w:t>
      </w:r>
      <w:r w:rsidR="006E4208">
        <w:t xml:space="preserve">5 % for all model estimates. </w:t>
      </w:r>
      <w:r w:rsidR="00A872DC" w:rsidRPr="00A872DC">
        <w:t xml:space="preserve"> </w:t>
      </w:r>
      <w:r w:rsidR="00A872DC">
        <w:t xml:space="preserve">Turning to individual coefficient estimate, we observe that </w:t>
      </w:r>
      <w:r w:rsidR="00410E41" w:rsidRPr="00A872DC">
        <w:t xml:space="preserve">dwelling size </w:t>
      </w:r>
      <w:r w:rsidR="00EB3840">
        <w:t>and the number of rooms decreases</w:t>
      </w:r>
      <w:r w:rsidR="00EB3840" w:rsidRPr="00A872DC">
        <w:t xml:space="preserve"> </w:t>
      </w:r>
      <w:r w:rsidR="00414538" w:rsidRPr="00A872DC">
        <w:t>time-on-market</w:t>
      </w:r>
      <w:r w:rsidR="0063109C" w:rsidRPr="00A872DC">
        <w:t xml:space="preserve"> whereas age</w:t>
      </w:r>
      <w:r w:rsidR="00EB3840">
        <w:t xml:space="preserve"> restricts </w:t>
      </w:r>
      <w:r w:rsidR="0063109C" w:rsidRPr="00A872DC">
        <w:t>liquidity</w:t>
      </w:r>
      <w:r w:rsidR="00414538" w:rsidRPr="00A872DC">
        <w:t xml:space="preserve">. </w:t>
      </w:r>
      <w:r w:rsidR="00AC645E">
        <w:t>Proximity</w:t>
      </w:r>
      <w:r w:rsidR="00EB3840">
        <w:t xml:space="preserve"> to the city centre </w:t>
      </w:r>
      <w:r w:rsidR="00AC645E">
        <w:t>appears to be</w:t>
      </w:r>
      <w:r w:rsidR="00EB3840">
        <w:t xml:space="preserve">an important determinant of liquidity. </w:t>
      </w:r>
      <w:r w:rsidR="00AC645E">
        <w:t>The coefficient value below one implies</w:t>
      </w:r>
      <w:r w:rsidR="00EB3840">
        <w:t xml:space="preserve"> </w:t>
      </w:r>
      <w:r w:rsidR="00460FCE">
        <w:t>that time on market increases with distance from the city centre as expected</w:t>
      </w:r>
      <w:r w:rsidR="00AF2B4F">
        <w:t xml:space="preserve">. In terms of hedonic binary variables, the results show that landlords of dwellings with </w:t>
      </w:r>
      <w:r w:rsidR="00460FCE">
        <w:t>amenities such as a</w:t>
      </w:r>
      <w:r w:rsidR="005747EC">
        <w:t xml:space="preserve"> </w:t>
      </w:r>
      <w:r w:rsidR="008E4F3C">
        <w:t xml:space="preserve">bathtub, a parking </w:t>
      </w:r>
      <w:r w:rsidR="00AF2B4F">
        <w:t xml:space="preserve">lot and an elevator </w:t>
      </w:r>
      <w:r w:rsidR="00460FCE">
        <w:t>take longer to close on a lease</w:t>
      </w:r>
      <w:r w:rsidR="00AF2B4F">
        <w:t xml:space="preserve">. At the same time, the most liquid dwellings in Germany have a built-in-kitchen, a terrace and a balcony. </w:t>
      </w:r>
      <w:r w:rsidR="004A6BF1">
        <w:t xml:space="preserve">Figure 4 provides a graphical overview of the effect of energy consumption on the liquidity of dwellings in Germany and the different subsamples. </w:t>
      </w:r>
    </w:p>
    <w:p w14:paraId="4245C4B0" w14:textId="12B42D73" w:rsidR="004A6BF1" w:rsidRDefault="004A6BF1" w:rsidP="004A6BF1">
      <w:pPr>
        <w:pStyle w:val="---TEXT"/>
        <w:jc w:val="both"/>
      </w:pPr>
      <w:r>
        <w:t>[Figure 4]</w:t>
      </w:r>
    </w:p>
    <w:p w14:paraId="0E0E92E1" w14:textId="578A7F52" w:rsidR="001426FB" w:rsidRDefault="001426FB" w:rsidP="001426FB">
      <w:pPr>
        <w:pStyle w:val="---TEXT"/>
        <w:jc w:val="both"/>
      </w:pPr>
      <w:r>
        <w:t>[Figure 5]</w:t>
      </w:r>
    </w:p>
    <w:p w14:paraId="77435FA7" w14:textId="5B25F2F8" w:rsidR="001426FB" w:rsidRDefault="001426FB" w:rsidP="001426FB">
      <w:pPr>
        <w:pStyle w:val="---TEXT"/>
        <w:jc w:val="both"/>
      </w:pPr>
      <w:r>
        <w:t xml:space="preserve">Finally, survival models allow the estimation of </w:t>
      </w:r>
      <w:r w:rsidR="00460FCE">
        <w:t xml:space="preserve">the </w:t>
      </w:r>
      <w:r>
        <w:t xml:space="preserve">survival probability as a function of the time the dwellings are exposed to the market. </w:t>
      </w:r>
      <w:r w:rsidR="00460FCE">
        <w:t>T</w:t>
      </w:r>
      <w:r>
        <w:t xml:space="preserve">he cox proportional hazard models allow the estimation of the </w:t>
      </w:r>
      <w:r w:rsidR="00127954">
        <w:t>probability</w:t>
      </w:r>
      <w:r>
        <w:t xml:space="preserve"> of leaving the market after a certain time. Figure 5 shows the survival probability of a </w:t>
      </w:r>
      <w:r w:rsidR="00460FCE">
        <w:t>standard</w:t>
      </w:r>
      <w:r>
        <w:t xml:space="preserve"> dwelling with </w:t>
      </w:r>
      <w:r w:rsidR="00460FCE">
        <w:t>a fixed set of</w:t>
      </w:r>
      <w:r>
        <w:t xml:space="preserve"> hedonic characteristics (80m², 3 rooms, 7 years old and all hedonic binary attributes) across different cities</w:t>
      </w:r>
      <w:r w:rsidR="008B1769">
        <w:t xml:space="preserve"> within 10 weeks</w:t>
      </w:r>
      <w:r>
        <w:t xml:space="preserve">, i.e. Berlin and Munich from the Top 7 and Dresden and Regensburg from the secondary markets. </w:t>
      </w:r>
      <w:r w:rsidR="00460FCE">
        <w:t>D</w:t>
      </w:r>
      <w:r w:rsidR="008B1769">
        <w:t xml:space="preserve">wellings with an EPC of A+ leave the market </w:t>
      </w:r>
      <w:r w:rsidR="00460FCE">
        <w:t xml:space="preserve">more </w:t>
      </w:r>
      <w:r w:rsidR="008B1769">
        <w:t>quick</w:t>
      </w:r>
      <w:r w:rsidR="00460FCE">
        <w:t>ly</w:t>
      </w:r>
      <w:r w:rsidR="008B1769">
        <w:t xml:space="preserve"> than dwellings with an EPC of H regardless of the city</w:t>
      </w:r>
      <w:r w:rsidR="005747EC">
        <w:t xml:space="preserve"> </w:t>
      </w:r>
      <w:r w:rsidR="00460FCE">
        <w:t>but</w:t>
      </w:r>
      <w:r w:rsidR="008B1769">
        <w:t xml:space="preserve"> different gradients of the survival functions </w:t>
      </w:r>
      <w:r w:rsidR="00460FCE">
        <w:t>reflect the long-term differences in average marketing periods across cities.</w:t>
      </w:r>
    </w:p>
    <w:p w14:paraId="3234B868" w14:textId="77777777" w:rsidR="00E56DF6" w:rsidRPr="00A872DC" w:rsidRDefault="00E56DF6" w:rsidP="009E3AC1">
      <w:pPr>
        <w:pStyle w:val="---TEXT"/>
        <w:jc w:val="both"/>
      </w:pPr>
    </w:p>
    <w:p w14:paraId="332CA904" w14:textId="22681FD8" w:rsidR="00D56B9B" w:rsidRPr="00A9615D" w:rsidRDefault="0015561D" w:rsidP="008A07BE">
      <w:pPr>
        <w:pStyle w:val="----EBENE1"/>
        <w:numPr>
          <w:ilvl w:val="0"/>
          <w:numId w:val="0"/>
        </w:numPr>
        <w:ind w:left="360"/>
        <w:jc w:val="both"/>
      </w:pPr>
      <w:r>
        <w:t>Co</w:t>
      </w:r>
      <w:r w:rsidR="008E4F3C">
        <w:t>nclusions</w:t>
      </w:r>
    </w:p>
    <w:p w14:paraId="0674670E" w14:textId="404EEA94" w:rsidR="0091280E" w:rsidRDefault="0091280E" w:rsidP="009E3AC1">
      <w:pPr>
        <w:pStyle w:val="---TEXT"/>
        <w:jc w:val="both"/>
      </w:pPr>
      <w:r w:rsidRPr="00A9615D">
        <w:t>This paper set</w:t>
      </w:r>
      <w:r w:rsidR="00E56DF6">
        <w:t xml:space="preserve"> out to test empirically</w:t>
      </w:r>
      <w:r w:rsidR="00410E41" w:rsidRPr="00A9615D">
        <w:t xml:space="preserve"> whether energy </w:t>
      </w:r>
      <w:r w:rsidRPr="00A9615D">
        <w:t xml:space="preserve">efficiency is reflected in residential rents in Germany, the largest rental market in Europe. </w:t>
      </w:r>
      <w:r w:rsidR="00775797">
        <w:t>In our empirical analysis</w:t>
      </w:r>
      <w:r w:rsidR="00756F67" w:rsidRPr="00A9615D">
        <w:t xml:space="preserve">, we analyse </w:t>
      </w:r>
      <w:r w:rsidR="005747EC">
        <w:t xml:space="preserve">more than </w:t>
      </w:r>
      <w:r w:rsidR="005B2240" w:rsidRPr="00A9615D">
        <w:t xml:space="preserve">a million </w:t>
      </w:r>
      <w:r w:rsidR="00B35252" w:rsidRPr="00A9615D">
        <w:t>observations in order to</w:t>
      </w:r>
      <w:r w:rsidR="00E56DF6">
        <w:t xml:space="preserve"> estimate</w:t>
      </w:r>
      <w:r w:rsidR="00410E41" w:rsidRPr="00A9615D">
        <w:t xml:space="preserve"> the impact of EPC ratings on residential rents. The results</w:t>
      </w:r>
      <w:r w:rsidR="00B35252" w:rsidRPr="00A9615D">
        <w:t xml:space="preserve"> show that</w:t>
      </w:r>
      <w:r w:rsidR="00E0549F" w:rsidRPr="00A9615D">
        <w:t xml:space="preserve"> </w:t>
      </w:r>
      <w:r w:rsidR="003413DA" w:rsidRPr="00A9615D">
        <w:t xml:space="preserve">landlords </w:t>
      </w:r>
      <w:r w:rsidR="00410E41" w:rsidRPr="00A9615D">
        <w:t>obtain</w:t>
      </w:r>
      <w:r w:rsidR="00266CB6" w:rsidRPr="00A9615D">
        <w:t xml:space="preserve"> a </w:t>
      </w:r>
      <w:r w:rsidR="00410E41" w:rsidRPr="00A9615D">
        <w:t xml:space="preserve">small but </w:t>
      </w:r>
      <w:r w:rsidR="00B055ED" w:rsidRPr="00A9615D">
        <w:t xml:space="preserve">significant </w:t>
      </w:r>
      <w:r w:rsidR="00266CB6" w:rsidRPr="00A9615D">
        <w:t xml:space="preserve">green </w:t>
      </w:r>
      <w:r w:rsidR="00B055ED" w:rsidRPr="00A9615D">
        <w:t xml:space="preserve">premium </w:t>
      </w:r>
      <w:r w:rsidR="00266CB6" w:rsidRPr="00A9615D">
        <w:t xml:space="preserve">when leasing residential </w:t>
      </w:r>
      <w:r w:rsidR="007563F9" w:rsidRPr="00A9615D">
        <w:t>dwellings</w:t>
      </w:r>
      <w:r w:rsidR="00410E41" w:rsidRPr="00A9615D">
        <w:t>. The</w:t>
      </w:r>
      <w:r w:rsidR="00B35252" w:rsidRPr="00A9615D">
        <w:t xml:space="preserve"> </w:t>
      </w:r>
      <w:r w:rsidR="007563F9" w:rsidRPr="00A9615D">
        <w:t>results</w:t>
      </w:r>
      <w:r w:rsidR="00410E41" w:rsidRPr="00A9615D">
        <w:t xml:space="preserve"> also</w:t>
      </w:r>
      <w:r w:rsidR="007563F9" w:rsidRPr="00A9615D">
        <w:t xml:space="preserve"> provide robust evidence that energy efficiency </w:t>
      </w:r>
      <w:r w:rsidR="00B35252" w:rsidRPr="00A9615D">
        <w:t xml:space="preserve">is </w:t>
      </w:r>
      <w:r w:rsidR="0015561D">
        <w:t>reflected in rents</w:t>
      </w:r>
      <w:r w:rsidR="007563F9" w:rsidRPr="00A9615D">
        <w:t xml:space="preserve"> across the German residential market</w:t>
      </w:r>
      <w:r w:rsidR="00B35252" w:rsidRPr="00A9615D">
        <w:t>.</w:t>
      </w:r>
      <w:r w:rsidR="007563F9" w:rsidRPr="00A9615D">
        <w:t xml:space="preserve"> </w:t>
      </w:r>
      <w:r w:rsidR="000E0F36" w:rsidRPr="00A9615D">
        <w:t>Although</w:t>
      </w:r>
      <w:r w:rsidR="00B35252" w:rsidRPr="00A9615D">
        <w:t xml:space="preserve"> the </w:t>
      </w:r>
      <w:r w:rsidR="007563F9" w:rsidRPr="00A9615D">
        <w:t>effect</w:t>
      </w:r>
      <w:r w:rsidR="00B35252" w:rsidRPr="00A9615D">
        <w:t>s</w:t>
      </w:r>
      <w:r w:rsidR="007563F9" w:rsidRPr="00A9615D">
        <w:t xml:space="preserve"> </w:t>
      </w:r>
      <w:r w:rsidR="00B35252" w:rsidRPr="00A9615D">
        <w:t xml:space="preserve">are </w:t>
      </w:r>
      <w:r w:rsidR="007563F9" w:rsidRPr="00A9615D">
        <w:t>less pronounced across the seven major cities, Berlin, Hamburg, Munich, Frankfurt, Stuttgart, Cologne and D</w:t>
      </w:r>
      <w:r w:rsidR="00775797">
        <w:rPr>
          <w:rStyle w:val="smallcap"/>
        </w:rPr>
        <w:t>ü</w:t>
      </w:r>
      <w:r w:rsidR="007563F9" w:rsidRPr="00A9615D">
        <w:t>sseldorf</w:t>
      </w:r>
      <w:r w:rsidR="00B35252" w:rsidRPr="00A9615D">
        <w:t xml:space="preserve">, </w:t>
      </w:r>
      <w:r w:rsidR="00410E41" w:rsidRPr="00A9615D">
        <w:t>possibly due</w:t>
      </w:r>
      <w:r w:rsidR="00B35252" w:rsidRPr="00A9615D">
        <w:t xml:space="preserve"> to </w:t>
      </w:r>
      <w:r w:rsidR="007563F9" w:rsidRPr="00A9615D">
        <w:t>the strong demand for housing</w:t>
      </w:r>
      <w:r w:rsidR="00B35252" w:rsidRPr="00A9615D">
        <w:t xml:space="preserve"> and the low supply of housing</w:t>
      </w:r>
      <w:r w:rsidR="000E0F36" w:rsidRPr="00A9615D">
        <w:t xml:space="preserve"> </w:t>
      </w:r>
      <w:r w:rsidRPr="00A9615D">
        <w:t xml:space="preserve">over </w:t>
      </w:r>
      <w:r w:rsidR="000E0F36" w:rsidRPr="00A9615D">
        <w:t>the last four years</w:t>
      </w:r>
      <w:r w:rsidRPr="00A9615D">
        <w:t xml:space="preserve"> in the study period</w:t>
      </w:r>
      <w:r w:rsidR="00410E41" w:rsidRPr="00A9615D">
        <w:t xml:space="preserve"> in these cities</w:t>
      </w:r>
      <w:r w:rsidR="007E5CAA" w:rsidRPr="00A9615D">
        <w:t>,</w:t>
      </w:r>
      <w:r w:rsidR="007563F9" w:rsidRPr="00A9615D">
        <w:t xml:space="preserve"> </w:t>
      </w:r>
      <w:r w:rsidR="00410E41" w:rsidRPr="00A9615D">
        <w:t>our results</w:t>
      </w:r>
      <w:r w:rsidRPr="00A9615D">
        <w:t xml:space="preserve"> confirm that the provision of EPCs has a notable effect on residential rents</w:t>
      </w:r>
      <w:r w:rsidR="00B35252" w:rsidRPr="00A9615D">
        <w:t xml:space="preserve">. </w:t>
      </w:r>
      <w:r w:rsidR="00410E41" w:rsidRPr="00A9615D">
        <w:t xml:space="preserve">Overall, these </w:t>
      </w:r>
      <w:r w:rsidR="0015561D">
        <w:t>findings</w:t>
      </w:r>
      <w:r w:rsidR="00775797">
        <w:t xml:space="preserve"> suggest</w:t>
      </w:r>
      <w:r w:rsidR="00410E41" w:rsidRPr="00A9615D">
        <w:t xml:space="preserve"> that</w:t>
      </w:r>
      <w:r w:rsidR="00B35252" w:rsidRPr="00A9615D">
        <w:t xml:space="preserve"> the utility function of tenants </w:t>
      </w:r>
      <w:r w:rsidR="007D70A6" w:rsidRPr="00A9615D">
        <w:t>is</w:t>
      </w:r>
      <w:r w:rsidR="00B35252" w:rsidRPr="00A9615D">
        <w:t xml:space="preserve"> significantly affect</w:t>
      </w:r>
      <w:r w:rsidR="007D70A6" w:rsidRPr="00A9615D">
        <w:t>ed by the existence of EPCs, resulting in higher demand for more energy efficient</w:t>
      </w:r>
      <w:r w:rsidR="00B35252" w:rsidRPr="00A9615D">
        <w:t xml:space="preserve"> dwellings</w:t>
      </w:r>
      <w:r w:rsidR="0015561D">
        <w:t xml:space="preserve"> and lower demand for rental </w:t>
      </w:r>
      <w:r w:rsidR="0015561D">
        <w:lastRenderedPageBreak/>
        <w:t>properties that do not meet current energy efficiency standards</w:t>
      </w:r>
      <w:r w:rsidR="00B35252" w:rsidRPr="00A9615D">
        <w:t xml:space="preserve">. </w:t>
      </w:r>
      <w:r w:rsidR="00775797">
        <w:t>The</w:t>
      </w:r>
      <w:r w:rsidRPr="00A9615D">
        <w:t xml:space="preserve"> survival regression</w:t>
      </w:r>
      <w:r w:rsidR="007D70A6" w:rsidRPr="00A9615D">
        <w:t xml:space="preserve"> results for</w:t>
      </w:r>
      <w:r w:rsidRPr="00A9615D">
        <w:t xml:space="preserve"> the time-on-market </w:t>
      </w:r>
      <w:r w:rsidR="007D26AD" w:rsidRPr="00A9615D">
        <w:t xml:space="preserve">of dwellings </w:t>
      </w:r>
      <w:r w:rsidR="00775797">
        <w:t>confirm</w:t>
      </w:r>
      <w:r w:rsidR="00410E41" w:rsidRPr="00A9615D">
        <w:t xml:space="preserve"> that</w:t>
      </w:r>
      <w:r w:rsidR="007D26AD" w:rsidRPr="00A9615D">
        <w:t xml:space="preserve"> </w:t>
      </w:r>
      <w:bookmarkStart w:id="0" w:name="OLE_LINK3"/>
      <w:bookmarkStart w:id="1" w:name="OLE_LINK4"/>
      <w:bookmarkStart w:id="2" w:name="OLE_LINK5"/>
      <w:r w:rsidR="007D26AD" w:rsidRPr="00A9615D">
        <w:t xml:space="preserve">energy inefficient dwellings </w:t>
      </w:r>
      <w:bookmarkEnd w:id="0"/>
      <w:bookmarkEnd w:id="1"/>
      <w:bookmarkEnd w:id="2"/>
      <w:r w:rsidR="00410E41" w:rsidRPr="00A9615D">
        <w:t>incur a</w:t>
      </w:r>
      <w:r w:rsidR="0015561D">
        <w:t>n additional</w:t>
      </w:r>
      <w:r w:rsidR="00410E41" w:rsidRPr="00A9615D">
        <w:t xml:space="preserve"> ‘time penalty’ when offered on the market</w:t>
      </w:r>
      <w:r w:rsidR="007D26AD" w:rsidRPr="00A9615D">
        <w:t xml:space="preserve">. </w:t>
      </w:r>
    </w:p>
    <w:p w14:paraId="25EE0D90" w14:textId="319F2505" w:rsidR="00775797" w:rsidRPr="00A9615D" w:rsidRDefault="00775797" w:rsidP="009E3AC1">
      <w:pPr>
        <w:pStyle w:val="---TEXT"/>
        <w:jc w:val="both"/>
      </w:pPr>
      <w:r>
        <w:t xml:space="preserve">The presence of a measurable rental premium for energy efficiency should also act to mitigate the split incentive problem between landlords and tenants as described in the introduction. </w:t>
      </w:r>
      <w:r w:rsidR="007E7518">
        <w:t xml:space="preserve">A simple example illustrates this. In a pure split incentive case, a landlord upgrades the energy efficiency of a building but is unable to recoup the cost. Assuming a green rental premium, the investment becomes more feasible. Using the empirically estimated figures, a landlord can realistically hope to achieve a 1.4% rent increase after undertaking measures that improve the EPC rating from a standard D to </w:t>
      </w:r>
      <w:r w:rsidR="00FB7661">
        <w:t>an A</w:t>
      </w:r>
      <w:r w:rsidR="007E7518">
        <w:t xml:space="preserve"> rating. </w:t>
      </w:r>
      <w:r w:rsidR="00FB7661">
        <w:t>Taking the example of a</w:t>
      </w:r>
      <w:r w:rsidR="007E7518">
        <w:t xml:space="preserve"> landlord </w:t>
      </w:r>
      <w:r w:rsidR="00FB7661">
        <w:t xml:space="preserve">who owns an </w:t>
      </w:r>
      <w:r w:rsidR="007E7518">
        <w:t>apartment building with 6 rental units of 100 sqm each and a gross ren</w:t>
      </w:r>
      <w:r w:rsidR="00FB7661">
        <w:t>t of €10/sqm, the coefficient estimate suggests that they could</w:t>
      </w:r>
      <w:r w:rsidR="007E7518">
        <w:t xml:space="preserve"> obtain an extra €1,000 in ren</w:t>
      </w:r>
      <w:r w:rsidR="00430107">
        <w:t>tal cash flow each year</w:t>
      </w:r>
      <w:r w:rsidR="00FB7661">
        <w:t xml:space="preserve"> post-retrofit</w:t>
      </w:r>
      <w:r w:rsidR="00430107">
        <w:t>. Hence, they will be able to invest</w:t>
      </w:r>
      <w:r w:rsidR="007E7518">
        <w:t xml:space="preserve"> about</w:t>
      </w:r>
      <w:r w:rsidR="00FB7661">
        <w:t xml:space="preserve"> €2</w:t>
      </w:r>
      <w:r w:rsidR="00430107">
        <w:t xml:space="preserve">0,000 largely cost-neutrally </w:t>
      </w:r>
      <w:r w:rsidR="00FB7661">
        <w:t>to upgrade the energy efficiency of their property</w:t>
      </w:r>
      <w:r w:rsidR="00430107">
        <w:t xml:space="preserve"> if they accept</w:t>
      </w:r>
      <w:r w:rsidR="00FB7661">
        <w:t xml:space="preserve"> a standard 2</w:t>
      </w:r>
      <w:r w:rsidR="007E7518">
        <w:t>0 year payback period</w:t>
      </w:r>
      <w:r w:rsidR="00D31C3B">
        <w:t>.</w:t>
      </w:r>
      <w:r w:rsidR="007E7518">
        <w:t xml:space="preserve"> </w:t>
      </w:r>
      <w:r w:rsidR="00823727">
        <w:t xml:space="preserve">Shorter lease-up times may shorten this payback period further where applicable but other factors such as discount rates and inflation may extend it, at least slightly. </w:t>
      </w:r>
    </w:p>
    <w:p w14:paraId="3AA23F6C" w14:textId="379042B2" w:rsidR="00160B0F" w:rsidRPr="00A9615D" w:rsidRDefault="009259BE" w:rsidP="009E3AC1">
      <w:pPr>
        <w:pStyle w:val="---TEXT"/>
        <w:jc w:val="both"/>
      </w:pPr>
      <w:r w:rsidRPr="00A9615D">
        <w:t>While the design and metrics underlying the individual EPCs implemented in EU member countries has been subject to criticism</w:t>
      </w:r>
      <w:r w:rsidR="00E56DF6">
        <w:t xml:space="preserve"> as pointed out in the introduction</w:t>
      </w:r>
      <w:r w:rsidRPr="00A9615D">
        <w:t>,</w:t>
      </w:r>
      <w:r w:rsidR="00E56DF6">
        <w:t xml:space="preserve"> it appears clear that markets </w:t>
      </w:r>
      <w:r w:rsidRPr="00A9615D">
        <w:t xml:space="preserve">respond to the added transparency afforded to them by the energy efficiency </w:t>
      </w:r>
      <w:r w:rsidR="00E56DF6">
        <w:t>information. This information, even if imperfect and subject to important limitations, appears to be</w:t>
      </w:r>
      <w:r w:rsidRPr="00A9615D">
        <w:t xml:space="preserve"> not only valuable for tenants searching for dwellings</w:t>
      </w:r>
      <w:r w:rsidR="00E56DF6">
        <w:t xml:space="preserve"> to rent but potentially also for</w:t>
      </w:r>
      <w:r w:rsidRPr="00A9615D">
        <w:t xml:space="preserve"> private and institutional investors seeking to acqui</w:t>
      </w:r>
      <w:r w:rsidR="00E56DF6">
        <w:t xml:space="preserve">re portfolios comprising </w:t>
      </w:r>
      <w:r w:rsidRPr="00A9615D">
        <w:t xml:space="preserve">energy-efficient assets as an investment strategy. </w:t>
      </w:r>
    </w:p>
    <w:p w14:paraId="13C01E3B" w14:textId="77777777" w:rsidR="009E3AC1" w:rsidRPr="00A9615D" w:rsidRDefault="009E3AC1" w:rsidP="009E3AC1">
      <w:pPr>
        <w:ind w:left="284"/>
        <w:jc w:val="both"/>
        <w:rPr>
          <w:rFonts w:ascii="Times New Roman" w:hAnsi="Times New Roman" w:cs="Times New Roman"/>
        </w:rPr>
      </w:pPr>
    </w:p>
    <w:p w14:paraId="4C5488BC" w14:textId="77777777" w:rsidR="009E3AC1" w:rsidRPr="00A9615D" w:rsidRDefault="009E3AC1" w:rsidP="009E3AC1">
      <w:pPr>
        <w:ind w:left="284"/>
        <w:jc w:val="both"/>
        <w:rPr>
          <w:rFonts w:ascii="Times New Roman" w:hAnsi="Times New Roman" w:cs="Times New Roman"/>
          <w:b/>
        </w:rPr>
      </w:pPr>
      <w:r w:rsidRPr="00A9615D">
        <w:rPr>
          <w:rFonts w:ascii="Times New Roman" w:hAnsi="Times New Roman" w:cs="Times New Roman"/>
          <w:b/>
        </w:rPr>
        <w:t>References</w:t>
      </w:r>
    </w:p>
    <w:p w14:paraId="43AFE88E" w14:textId="77777777" w:rsidR="00CF1725" w:rsidRPr="0006702D" w:rsidRDefault="00CF1725" w:rsidP="0006702D">
      <w:pPr>
        <w:ind w:left="284"/>
        <w:jc w:val="both"/>
        <w:rPr>
          <w:rFonts w:ascii="Times New Roman" w:hAnsi="Times New Roman" w:cs="Times New Roman"/>
        </w:rPr>
      </w:pPr>
      <w:r w:rsidRPr="0006702D">
        <w:rPr>
          <w:rFonts w:ascii="Times New Roman" w:hAnsi="Times New Roman" w:cs="Times New Roman"/>
        </w:rPr>
        <w:t>Amecke, H., 2012. The impact of energy performance certificates: A survey of German home owners. Energy Policy, 46, pp.4-14.</w:t>
      </w:r>
    </w:p>
    <w:p w14:paraId="4E79641B" w14:textId="77777777" w:rsidR="00CF1725" w:rsidRPr="00A9615D" w:rsidRDefault="00CF1725" w:rsidP="009E3AC1">
      <w:pPr>
        <w:ind w:left="284"/>
        <w:jc w:val="both"/>
        <w:rPr>
          <w:rFonts w:ascii="Times New Roman" w:hAnsi="Times New Roman" w:cs="Times New Roman"/>
        </w:rPr>
      </w:pPr>
      <w:r w:rsidRPr="00A9615D">
        <w:rPr>
          <w:rFonts w:ascii="Times New Roman" w:hAnsi="Times New Roman" w:cs="Times New Roman"/>
        </w:rPr>
        <w:t>Anglin, P.M., Rutherford, R. &amp; Springer, T.M. 2003. The Trade-off Between the Selling Price of Residential Properties and Time-on-the-Market: The Impact of Price Setting. The Journal of Real Estate Finance and Economics, Vol. 26 No. 1, pp. 95-111.</w:t>
      </w:r>
    </w:p>
    <w:p w14:paraId="22023574" w14:textId="77777777" w:rsidR="00CF1725" w:rsidRPr="00A9615D" w:rsidRDefault="00CF1725" w:rsidP="009E3AC1">
      <w:pPr>
        <w:ind w:left="284"/>
        <w:jc w:val="both"/>
        <w:rPr>
          <w:rFonts w:ascii="Times New Roman" w:hAnsi="Times New Roman" w:cs="Times New Roman"/>
        </w:rPr>
      </w:pPr>
      <w:r w:rsidRPr="00A9615D">
        <w:rPr>
          <w:rFonts w:ascii="Times New Roman" w:hAnsi="Times New Roman" w:cs="Times New Roman"/>
        </w:rPr>
        <w:t>Benefield, J. D., Rutherford, R. C., Allen, M. T., 2012. The effects of estate sales of residential real estate on price and marketing time. Journal of Real Estate Finance and Economics, 45: 965-981.</w:t>
      </w:r>
    </w:p>
    <w:p w14:paraId="49C96E38" w14:textId="77777777" w:rsidR="00CF1725" w:rsidRPr="00A9615D" w:rsidRDefault="00CF1725" w:rsidP="009E3AC1">
      <w:pPr>
        <w:ind w:left="284"/>
        <w:jc w:val="both"/>
        <w:rPr>
          <w:rFonts w:ascii="Times New Roman" w:hAnsi="Times New Roman" w:cs="Times New Roman"/>
        </w:rPr>
      </w:pPr>
      <w:r w:rsidRPr="00A9615D">
        <w:rPr>
          <w:rFonts w:ascii="Times New Roman" w:hAnsi="Times New Roman" w:cs="Times New Roman"/>
        </w:rPr>
        <w:t>Benefield, J.D., Cain, C.L. &amp; Johnson, K.H. 2014. A review of literature utilizing simultaneous modelling technique for property price and time-on-market. Journal of real estate literature, Vol.  22, No. 2, pp. 149-175.</w:t>
      </w:r>
    </w:p>
    <w:p w14:paraId="4F963455" w14:textId="77777777" w:rsidR="00CF1725" w:rsidRPr="00A9615D" w:rsidRDefault="00CF1725" w:rsidP="009E3AC1">
      <w:pPr>
        <w:ind w:left="284"/>
        <w:jc w:val="both"/>
        <w:rPr>
          <w:rFonts w:ascii="Times New Roman" w:hAnsi="Times New Roman" w:cs="Times New Roman"/>
        </w:rPr>
      </w:pPr>
      <w:r w:rsidRPr="00A9615D">
        <w:rPr>
          <w:rFonts w:ascii="Times New Roman" w:hAnsi="Times New Roman" w:cs="Times New Roman"/>
        </w:rPr>
        <w:t xml:space="preserve">Bio Intelligence Service, Ronan Lyons and IEEP, 2013. Energy performance certificates in buildings and their impact on transaction prices and rents in selected EU countries, Final report prepared for European Commission (DG Energy). </w:t>
      </w:r>
    </w:p>
    <w:p w14:paraId="5062807D" w14:textId="77777777" w:rsidR="00CF1725" w:rsidRPr="00A9615D" w:rsidRDefault="00CF1725" w:rsidP="009E3AC1">
      <w:pPr>
        <w:ind w:left="284"/>
        <w:jc w:val="both"/>
        <w:rPr>
          <w:rFonts w:ascii="Times New Roman" w:hAnsi="Times New Roman" w:cs="Times New Roman"/>
        </w:rPr>
      </w:pPr>
      <w:r w:rsidRPr="00A9615D">
        <w:rPr>
          <w:rFonts w:ascii="Times New Roman" w:hAnsi="Times New Roman" w:cs="Times New Roman"/>
        </w:rPr>
        <w:t>Bourassa, S., Cantoni, E., Hoesli, M., 2010. Predicting House Prices with Spatial Dependence. Impact of Alternatives Submarkets Definitions. Journal of Real Estate Research, Vol. 32 No. 2, pp. 139–159.</w:t>
      </w:r>
    </w:p>
    <w:p w14:paraId="6DE80C8E" w14:textId="77777777" w:rsidR="00CF1725" w:rsidRPr="00A9615D" w:rsidRDefault="00CF1725" w:rsidP="009E3AC1">
      <w:pPr>
        <w:ind w:left="284"/>
        <w:jc w:val="both"/>
        <w:rPr>
          <w:rFonts w:ascii="Times New Roman" w:hAnsi="Times New Roman" w:cs="Times New Roman"/>
        </w:rPr>
      </w:pPr>
      <w:r w:rsidRPr="00A9615D">
        <w:rPr>
          <w:rFonts w:ascii="Times New Roman" w:hAnsi="Times New Roman" w:cs="Times New Roman"/>
        </w:rPr>
        <w:t>Brounen, D., Kok, N., 2010. On the economics of energy labels in the housing market. Journal of Environmental Economics and Management, 62(2): 166-179.</w:t>
      </w:r>
    </w:p>
    <w:p w14:paraId="7A3698EC" w14:textId="77777777" w:rsidR="00CF1725" w:rsidRDefault="00CF1725" w:rsidP="009E3AC1">
      <w:pPr>
        <w:ind w:left="284"/>
        <w:jc w:val="both"/>
        <w:rPr>
          <w:rFonts w:ascii="Times New Roman" w:hAnsi="Times New Roman" w:cs="Times New Roman"/>
        </w:rPr>
      </w:pPr>
      <w:r>
        <w:rPr>
          <w:rFonts w:ascii="Times New Roman" w:hAnsi="Times New Roman" w:cs="Times New Roman"/>
        </w:rPr>
        <w:t xml:space="preserve">Cajias, M., 2018. Is there room for another hedonic model? – The advantages of the GAMLSS approach in real estate research. Journal of European Real Estate Research, forthcoming. </w:t>
      </w:r>
    </w:p>
    <w:p w14:paraId="1B9580F6" w14:textId="77777777" w:rsidR="00CF1725" w:rsidRDefault="00CF1725" w:rsidP="009E3AC1">
      <w:pPr>
        <w:ind w:left="284"/>
        <w:jc w:val="both"/>
        <w:rPr>
          <w:rFonts w:ascii="Times New Roman" w:hAnsi="Times New Roman" w:cs="Times New Roman"/>
        </w:rPr>
      </w:pPr>
      <w:r>
        <w:rPr>
          <w:rFonts w:ascii="Times New Roman" w:hAnsi="Times New Roman" w:cs="Times New Roman"/>
        </w:rPr>
        <w:t>Cajias, M., Freudenreich, P., 2018. Exploring the determinants of liquidity with big data – Market heterogeneity in German markets. Journal of Property Investments and Finance, Vol. 36(1), pp. 3-18.</w:t>
      </w:r>
    </w:p>
    <w:p w14:paraId="51810E25" w14:textId="77777777" w:rsidR="00CF1725" w:rsidRPr="00A9615D" w:rsidRDefault="00CF1725" w:rsidP="009E3AC1">
      <w:pPr>
        <w:ind w:left="284"/>
        <w:jc w:val="both"/>
        <w:rPr>
          <w:rFonts w:ascii="Times New Roman" w:hAnsi="Times New Roman" w:cs="Times New Roman"/>
        </w:rPr>
      </w:pPr>
      <w:r w:rsidRPr="00A9615D">
        <w:rPr>
          <w:rFonts w:ascii="Times New Roman" w:hAnsi="Times New Roman" w:cs="Times New Roman"/>
        </w:rPr>
        <w:t>Cajias, M., Piazolo, D., 2013. Green performs better: energy efficiency and financial return of buildings. Journal of Corporate Real Estate, 15(1), 53-72.</w:t>
      </w:r>
    </w:p>
    <w:p w14:paraId="5F0884CB" w14:textId="77777777" w:rsidR="00CF1725" w:rsidRPr="00A9615D" w:rsidRDefault="00CF1725" w:rsidP="009E3AC1">
      <w:pPr>
        <w:ind w:left="284"/>
        <w:jc w:val="both"/>
        <w:rPr>
          <w:rFonts w:ascii="Times New Roman" w:hAnsi="Times New Roman" w:cs="Times New Roman"/>
        </w:rPr>
      </w:pPr>
      <w:r w:rsidRPr="00A9615D">
        <w:rPr>
          <w:rFonts w:ascii="Times New Roman" w:hAnsi="Times New Roman" w:cs="Times New Roman"/>
        </w:rPr>
        <w:t>Davidson, R., MacKinnon, J.G., 2003. Econometric Theory and Methods, second edition, 2003, New York, Oxford University Press.</w:t>
      </w:r>
    </w:p>
    <w:p w14:paraId="64DB5A67" w14:textId="77777777" w:rsidR="00CF1725" w:rsidRPr="00A9615D" w:rsidRDefault="00CF1725" w:rsidP="009E3AC1">
      <w:pPr>
        <w:ind w:left="284"/>
        <w:jc w:val="both"/>
        <w:rPr>
          <w:rFonts w:ascii="Times New Roman" w:hAnsi="Times New Roman" w:cs="Times New Roman"/>
        </w:rPr>
      </w:pPr>
      <w:r w:rsidRPr="00A9615D">
        <w:rPr>
          <w:rFonts w:ascii="Times New Roman" w:hAnsi="Times New Roman" w:cs="Times New Roman"/>
        </w:rPr>
        <w:t>de Ayala, A., Galarraga, I., Sparado, J.V. 2016. THe Price of energy efficiency in the Spanish housing market. Vol. 94, pp. 16-24.</w:t>
      </w:r>
    </w:p>
    <w:p w14:paraId="152AD764" w14:textId="20A43585" w:rsidR="009F44BA" w:rsidRDefault="009F44BA" w:rsidP="00457E97">
      <w:pPr>
        <w:ind w:left="284"/>
        <w:jc w:val="both"/>
        <w:rPr>
          <w:rFonts w:ascii="Times New Roman" w:hAnsi="Times New Roman" w:cs="Times New Roman"/>
        </w:rPr>
      </w:pPr>
      <w:r w:rsidRPr="009F44BA">
        <w:rPr>
          <w:rFonts w:ascii="Times New Roman" w:hAnsi="Times New Roman" w:cs="Times New Roman"/>
        </w:rPr>
        <w:t>de Ha</w:t>
      </w:r>
      <w:r>
        <w:rPr>
          <w:rFonts w:ascii="Times New Roman" w:hAnsi="Times New Roman" w:cs="Times New Roman"/>
        </w:rPr>
        <w:t>an, J., &amp; Diewert, W. E. (2011):</w:t>
      </w:r>
      <w:r w:rsidRPr="009F44BA">
        <w:rPr>
          <w:rFonts w:ascii="Times New Roman" w:hAnsi="Times New Roman" w:cs="Times New Roman"/>
        </w:rPr>
        <w:t xml:space="preserve"> Handbook on residential property price indexes. Luxembourg: Eurostat.</w:t>
      </w:r>
    </w:p>
    <w:p w14:paraId="0FFAFDB9" w14:textId="7BD428B6" w:rsidR="00457E97" w:rsidRPr="00457E97" w:rsidRDefault="00457E97" w:rsidP="00457E97">
      <w:pPr>
        <w:ind w:left="284"/>
        <w:jc w:val="both"/>
        <w:rPr>
          <w:rFonts w:ascii="Times New Roman" w:hAnsi="Times New Roman" w:cs="Times New Roman"/>
        </w:rPr>
      </w:pPr>
      <w:r w:rsidRPr="00457E97">
        <w:rPr>
          <w:rFonts w:ascii="Times New Roman" w:hAnsi="Times New Roman" w:cs="Times New Roman"/>
        </w:rPr>
        <w:t xml:space="preserve">Dixon, T., Keeping, M., &amp; Roberts, C. (2008). Facing the future: energy performance certificates and commercial property. </w:t>
      </w:r>
      <w:r w:rsidRPr="00457E97">
        <w:rPr>
          <w:rFonts w:ascii="Times New Roman" w:hAnsi="Times New Roman" w:cs="Times New Roman"/>
          <w:i/>
        </w:rPr>
        <w:t>Journal of Property Investment &amp; Finance</w:t>
      </w:r>
      <w:r w:rsidRPr="00457E97">
        <w:rPr>
          <w:rFonts w:ascii="Times New Roman" w:hAnsi="Times New Roman" w:cs="Times New Roman"/>
        </w:rPr>
        <w:t>, 26(1), 96-100.</w:t>
      </w:r>
    </w:p>
    <w:p w14:paraId="4E280885" w14:textId="60F77441" w:rsidR="00CF1725" w:rsidRPr="00A9615D" w:rsidRDefault="00CF1725" w:rsidP="009E3AC1">
      <w:pPr>
        <w:ind w:left="284"/>
        <w:jc w:val="both"/>
        <w:rPr>
          <w:rFonts w:ascii="Times New Roman" w:hAnsi="Times New Roman" w:cs="Times New Roman"/>
        </w:rPr>
      </w:pPr>
      <w:r w:rsidRPr="00A9615D">
        <w:rPr>
          <w:rFonts w:ascii="Times New Roman" w:hAnsi="Times New Roman" w:cs="Times New Roman"/>
        </w:rPr>
        <w:t>Eurostat, Handbook on Residential Property Prices Indices (RPPIs), 2013, ISBN: 978-92-2-127359-2.</w:t>
      </w:r>
    </w:p>
    <w:p w14:paraId="70DBADC1" w14:textId="77777777" w:rsidR="00CF1725" w:rsidRPr="00A872DC" w:rsidRDefault="00CF1725" w:rsidP="009E3AC1">
      <w:pPr>
        <w:ind w:left="284"/>
        <w:jc w:val="both"/>
        <w:rPr>
          <w:rFonts w:ascii="Times New Roman" w:hAnsi="Times New Roman" w:cs="Times New Roman"/>
        </w:rPr>
      </w:pPr>
      <w:r w:rsidRPr="008D1E04">
        <w:rPr>
          <w:rFonts w:ascii="Times New Roman" w:hAnsi="Times New Roman" w:cs="Times New Roman"/>
          <w:lang w:val="es-ES_tradnl"/>
        </w:rPr>
        <w:t xml:space="preserve">Florencio, L., Cribari-Neto, F. &amp; Ospina, R. 2011. </w:t>
      </w:r>
      <w:r w:rsidRPr="00621265">
        <w:rPr>
          <w:rFonts w:ascii="Times New Roman" w:hAnsi="Times New Roman" w:cs="Times New Roman"/>
        </w:rPr>
        <w:t>Real estate appraisal of land lots using GAMLSS models, Cornell University Library, arXiv preprint arXiv:1102.2015.</w:t>
      </w:r>
    </w:p>
    <w:p w14:paraId="36A5C458" w14:textId="77777777" w:rsidR="00CF1725" w:rsidRPr="00A9615D" w:rsidRDefault="00CF1725" w:rsidP="009E3AC1">
      <w:pPr>
        <w:ind w:left="284"/>
        <w:jc w:val="both"/>
        <w:rPr>
          <w:rFonts w:ascii="Times New Roman" w:hAnsi="Times New Roman" w:cs="Times New Roman"/>
        </w:rPr>
      </w:pPr>
      <w:r w:rsidRPr="00A9615D">
        <w:rPr>
          <w:rFonts w:ascii="Times New Roman" w:hAnsi="Times New Roman" w:cs="Times New Roman"/>
        </w:rPr>
        <w:t>Fuerst, F., McAllister, P., Nanda, A., Wyatt, P., 2015. Does energy efficiency matter to home-buyers? An investigation of EPC ratings and transaction prices in England. Energy Economics, 92, 20-33.</w:t>
      </w:r>
    </w:p>
    <w:p w14:paraId="106A27EF" w14:textId="77777777" w:rsidR="00CF1725" w:rsidRPr="00A9615D" w:rsidRDefault="00CF1725" w:rsidP="009E3AC1">
      <w:pPr>
        <w:ind w:left="284"/>
        <w:jc w:val="both"/>
        <w:rPr>
          <w:rFonts w:ascii="Times New Roman" w:hAnsi="Times New Roman" w:cs="Times New Roman"/>
        </w:rPr>
      </w:pPr>
      <w:r w:rsidRPr="00A9615D">
        <w:rPr>
          <w:rFonts w:ascii="Times New Roman" w:hAnsi="Times New Roman" w:cs="Times New Roman"/>
        </w:rPr>
        <w:t>Fuerst, F., McAllister, P., Nanda, A., Wyatt, P., 201</w:t>
      </w:r>
      <w:r>
        <w:rPr>
          <w:rFonts w:ascii="Times New Roman" w:hAnsi="Times New Roman" w:cs="Times New Roman"/>
        </w:rPr>
        <w:t>6</w:t>
      </w:r>
      <w:r w:rsidRPr="00A9615D">
        <w:rPr>
          <w:rFonts w:ascii="Times New Roman" w:hAnsi="Times New Roman" w:cs="Times New Roman"/>
        </w:rPr>
        <w:t xml:space="preserve"> Variations in the implicit pricing of energy performance by dwelling type and tenure: A study of Wales. </w:t>
      </w:r>
      <w:r>
        <w:rPr>
          <w:rFonts w:ascii="Times New Roman" w:hAnsi="Times New Roman" w:cs="Times New Roman"/>
        </w:rPr>
        <w:t xml:space="preserve">Energy Policy. </w:t>
      </w:r>
      <w:r w:rsidRPr="00A9615D">
        <w:rPr>
          <w:rFonts w:ascii="Times New Roman" w:hAnsi="Times New Roman" w:cs="Times New Roman"/>
        </w:rPr>
        <w:t>DOI: 10.13140/RG.2.1.4579.6961</w:t>
      </w:r>
    </w:p>
    <w:p w14:paraId="538AA5A2" w14:textId="77777777" w:rsidR="00CF1725" w:rsidRPr="00A9615D" w:rsidRDefault="00CF1725" w:rsidP="009E3AC1">
      <w:pPr>
        <w:ind w:left="284"/>
        <w:jc w:val="both"/>
        <w:rPr>
          <w:rFonts w:ascii="Times New Roman" w:hAnsi="Times New Roman" w:cs="Times New Roman"/>
        </w:rPr>
      </w:pPr>
      <w:r w:rsidRPr="00A9615D">
        <w:rPr>
          <w:rFonts w:ascii="Times New Roman" w:hAnsi="Times New Roman" w:cs="Times New Roman"/>
        </w:rPr>
        <w:t>Fuerst, F., Oikarinen, E., Harjunen, O. 2016. Green signalling effects in the market for energy-efficient residential buildings. Applied Energy, Vol. 180, pp. 560-571.</w:t>
      </w:r>
    </w:p>
    <w:p w14:paraId="09011F55" w14:textId="77777777" w:rsidR="00CF1725" w:rsidRPr="00A9615D" w:rsidRDefault="00CF1725" w:rsidP="009E3AC1">
      <w:pPr>
        <w:ind w:left="284"/>
        <w:jc w:val="both"/>
        <w:rPr>
          <w:rFonts w:ascii="Times New Roman" w:hAnsi="Times New Roman" w:cs="Times New Roman"/>
        </w:rPr>
      </w:pPr>
      <w:r w:rsidRPr="00A9615D">
        <w:rPr>
          <w:rFonts w:ascii="Times New Roman" w:hAnsi="Times New Roman" w:cs="Times New Roman"/>
        </w:rPr>
        <w:lastRenderedPageBreak/>
        <w:t xml:space="preserve">German Federal Ministry of Environment, Nature Conservation, Building and Nuclear Safety, 2016, http://www.bmub.bund.de/en/topics/europe-international/europe-and-environment/eu-strategy-for-sustainable-development/, 01-04-2016. </w:t>
      </w:r>
    </w:p>
    <w:p w14:paraId="0B1BAD70" w14:textId="77777777" w:rsidR="00CF1725" w:rsidRDefault="00CF1725" w:rsidP="009E3AC1">
      <w:pPr>
        <w:ind w:left="284"/>
        <w:jc w:val="both"/>
        <w:rPr>
          <w:rFonts w:ascii="Times New Roman" w:hAnsi="Times New Roman" w:cs="Times New Roman"/>
        </w:rPr>
      </w:pPr>
      <w:r w:rsidRPr="001D4309">
        <w:rPr>
          <w:rFonts w:ascii="Times New Roman" w:hAnsi="Times New Roman" w:cs="Times New Roman"/>
        </w:rPr>
        <w:t xml:space="preserve">Glower, M., Haurin, D. R., &amp; Hendershott, P. H. (1998). Selling time and selling price: The influence of </w:t>
      </w:r>
      <w:r>
        <w:rPr>
          <w:rFonts w:ascii="Times New Roman" w:hAnsi="Times New Roman" w:cs="Times New Roman"/>
        </w:rPr>
        <w:t xml:space="preserve">seller motivation. </w:t>
      </w:r>
      <w:r w:rsidRPr="001D4309">
        <w:rPr>
          <w:rFonts w:ascii="Times New Roman" w:hAnsi="Times New Roman" w:cs="Times New Roman"/>
          <w:i/>
        </w:rPr>
        <w:t>Real Estate Economics,</w:t>
      </w:r>
      <w:r w:rsidRPr="001D4309">
        <w:rPr>
          <w:rFonts w:ascii="Times New Roman" w:hAnsi="Times New Roman" w:cs="Times New Roman"/>
        </w:rPr>
        <w:t xml:space="preserve"> 26(4), 719-740.</w:t>
      </w:r>
    </w:p>
    <w:p w14:paraId="3FD965F3" w14:textId="77777777" w:rsidR="00CF1725" w:rsidRPr="00A9615D" w:rsidRDefault="00CF1725" w:rsidP="009E3AC1">
      <w:pPr>
        <w:ind w:left="284"/>
        <w:jc w:val="both"/>
        <w:rPr>
          <w:rFonts w:ascii="Times New Roman" w:hAnsi="Times New Roman" w:cs="Times New Roman"/>
        </w:rPr>
      </w:pPr>
      <w:r w:rsidRPr="00A9615D">
        <w:rPr>
          <w:rFonts w:ascii="Times New Roman" w:hAnsi="Times New Roman" w:cs="Times New Roman"/>
        </w:rPr>
        <w:t>Hardy, M.A., 1993. Regression with Dummy Variables, Sage, Berlin, pp. 56-59.</w:t>
      </w:r>
    </w:p>
    <w:p w14:paraId="1228E0F7" w14:textId="77777777" w:rsidR="00CF1725" w:rsidRPr="00A9615D" w:rsidRDefault="00CF1725" w:rsidP="009E3AC1">
      <w:pPr>
        <w:ind w:left="284"/>
        <w:jc w:val="both"/>
        <w:rPr>
          <w:rFonts w:ascii="Times New Roman" w:hAnsi="Times New Roman" w:cs="Times New Roman"/>
        </w:rPr>
      </w:pPr>
      <w:r w:rsidRPr="00A9615D">
        <w:rPr>
          <w:rFonts w:ascii="Times New Roman" w:hAnsi="Times New Roman" w:cs="Times New Roman"/>
        </w:rPr>
        <w:t>Hastie, T.J., Tibshirani, R.J., 1990. Generalized Additive Models, First Edition, Chapman &amp; Hall/CRC, 1990.</w:t>
      </w:r>
    </w:p>
    <w:p w14:paraId="454B145C" w14:textId="77777777" w:rsidR="00CF1725" w:rsidRPr="00A9615D" w:rsidRDefault="00CF1725" w:rsidP="009E3AC1">
      <w:pPr>
        <w:ind w:left="284"/>
        <w:jc w:val="both"/>
        <w:rPr>
          <w:rFonts w:ascii="Times New Roman" w:hAnsi="Times New Roman" w:cs="Times New Roman"/>
        </w:rPr>
      </w:pPr>
      <w:r w:rsidRPr="00A9615D">
        <w:rPr>
          <w:rFonts w:ascii="Times New Roman" w:hAnsi="Times New Roman" w:cs="Times New Roman"/>
        </w:rPr>
        <w:t>Haurin, D. 1988. The Duration of Marketing Time of Residential Housing. Journal of the American Real Estate and Urban Economics Association (now Real Estate Economics), Vol. 16, No. 4, pp 396-410.</w:t>
      </w:r>
    </w:p>
    <w:p w14:paraId="6C58E2D6" w14:textId="77777777" w:rsidR="00CF1725" w:rsidRDefault="00CF1725" w:rsidP="009E3AC1">
      <w:pPr>
        <w:ind w:left="284"/>
        <w:jc w:val="both"/>
        <w:rPr>
          <w:rFonts w:ascii="Times New Roman" w:hAnsi="Times New Roman" w:cs="Times New Roman"/>
        </w:rPr>
      </w:pPr>
      <w:r w:rsidRPr="00A9615D">
        <w:rPr>
          <w:rFonts w:ascii="Times New Roman" w:hAnsi="Times New Roman" w:cs="Times New Roman"/>
        </w:rPr>
        <w:t>Hyland, M., Lyons, R.C., Lyons S. 2013. The value of domestic energy efficiency – evidence from Ireland. Energy Economics, Vol. 40, pp. 943-952.</w:t>
      </w:r>
    </w:p>
    <w:p w14:paraId="29032EA5" w14:textId="77777777" w:rsidR="00CF1725" w:rsidRPr="00A9615D" w:rsidRDefault="00CF1725" w:rsidP="009E3AC1">
      <w:pPr>
        <w:ind w:left="284"/>
        <w:jc w:val="both"/>
        <w:rPr>
          <w:rFonts w:ascii="Times New Roman" w:hAnsi="Times New Roman" w:cs="Times New Roman"/>
        </w:rPr>
      </w:pPr>
      <w:r w:rsidRPr="001D4309">
        <w:rPr>
          <w:rFonts w:ascii="Times New Roman" w:hAnsi="Times New Roman" w:cs="Times New Roman"/>
        </w:rPr>
        <w:t xml:space="preserve">Jud, G. D., Benjamin, J. D., &amp; Sirmans, G. S. (1996). What do we know about apartments and their markets?. </w:t>
      </w:r>
      <w:r w:rsidRPr="001D4309">
        <w:rPr>
          <w:rFonts w:ascii="Times New Roman" w:hAnsi="Times New Roman" w:cs="Times New Roman"/>
          <w:i/>
        </w:rPr>
        <w:t>The Journal of Real Estate Research</w:t>
      </w:r>
      <w:r w:rsidRPr="001D4309">
        <w:rPr>
          <w:rFonts w:ascii="Times New Roman" w:hAnsi="Times New Roman" w:cs="Times New Roman"/>
        </w:rPr>
        <w:t>, 11(3), 243-257.</w:t>
      </w:r>
    </w:p>
    <w:p w14:paraId="7A213000" w14:textId="77777777" w:rsidR="00CF1725" w:rsidRPr="001D4309" w:rsidRDefault="00CF1725" w:rsidP="001D4309">
      <w:pPr>
        <w:ind w:left="284"/>
        <w:jc w:val="both"/>
        <w:rPr>
          <w:rFonts w:ascii="Times New Roman" w:hAnsi="Times New Roman" w:cs="Times New Roman"/>
        </w:rPr>
      </w:pPr>
      <w:r w:rsidRPr="001D4309">
        <w:rPr>
          <w:rFonts w:ascii="Times New Roman" w:hAnsi="Times New Roman" w:cs="Times New Roman"/>
        </w:rPr>
        <w:t xml:space="preserve">Kalra, R., Chan, K. C., &amp; Lai, P. (1997). Time on market and sales price of residential housing: A note. </w:t>
      </w:r>
      <w:r w:rsidRPr="001D4309">
        <w:rPr>
          <w:rFonts w:ascii="Times New Roman" w:hAnsi="Times New Roman" w:cs="Times New Roman"/>
          <w:i/>
        </w:rPr>
        <w:t>Journal of Economics and Finance</w:t>
      </w:r>
      <w:r w:rsidRPr="001D4309">
        <w:rPr>
          <w:rFonts w:ascii="Times New Roman" w:hAnsi="Times New Roman" w:cs="Times New Roman"/>
        </w:rPr>
        <w:t>, 21(2), 63-66.</w:t>
      </w:r>
    </w:p>
    <w:p w14:paraId="663B7BD0" w14:textId="77777777" w:rsidR="00CF1725" w:rsidRDefault="00CF1725" w:rsidP="001D4309">
      <w:pPr>
        <w:ind w:left="284"/>
        <w:jc w:val="both"/>
        <w:rPr>
          <w:rFonts w:ascii="Times New Roman" w:hAnsi="Times New Roman" w:cs="Times New Roman"/>
        </w:rPr>
      </w:pPr>
      <w:r w:rsidRPr="001D4309">
        <w:rPr>
          <w:rFonts w:ascii="Times New Roman" w:hAnsi="Times New Roman" w:cs="Times New Roman"/>
        </w:rPr>
        <w:t xml:space="preserve">Kang, H., &amp; Gardner, M. (1989). Selling price and marketing time in the residential real estate market. </w:t>
      </w:r>
      <w:r w:rsidRPr="001D4309">
        <w:rPr>
          <w:rFonts w:ascii="Times New Roman" w:hAnsi="Times New Roman" w:cs="Times New Roman"/>
          <w:i/>
        </w:rPr>
        <w:t>Journal of Real Estate Research</w:t>
      </w:r>
      <w:r w:rsidRPr="001D4309">
        <w:rPr>
          <w:rFonts w:ascii="Times New Roman" w:hAnsi="Times New Roman" w:cs="Times New Roman"/>
        </w:rPr>
        <w:t>, 4(1), 21-35.</w:t>
      </w:r>
    </w:p>
    <w:p w14:paraId="1309D8AB" w14:textId="77777777" w:rsidR="00CF1725" w:rsidRPr="00A9615D" w:rsidRDefault="00CF1725" w:rsidP="009E3AC1">
      <w:pPr>
        <w:ind w:left="284"/>
        <w:jc w:val="both"/>
        <w:rPr>
          <w:rFonts w:ascii="Times New Roman" w:hAnsi="Times New Roman" w:cs="Times New Roman"/>
        </w:rPr>
      </w:pPr>
      <w:r w:rsidRPr="00A9615D">
        <w:rPr>
          <w:rFonts w:ascii="Times New Roman" w:hAnsi="Times New Roman" w:cs="Times New Roman"/>
        </w:rPr>
        <w:t xml:space="preserve">Kholodilin, K., Michelsen, C., 2014. The market value of energy efficiency in buildings and the mode of tenure. DIW Berlin. </w:t>
      </w:r>
    </w:p>
    <w:p w14:paraId="7BC9E67E" w14:textId="77777777" w:rsidR="00CF1725" w:rsidRPr="00A9615D" w:rsidRDefault="00CF1725" w:rsidP="009E3AC1">
      <w:pPr>
        <w:ind w:left="284"/>
        <w:jc w:val="both"/>
        <w:rPr>
          <w:rFonts w:ascii="Times New Roman" w:hAnsi="Times New Roman" w:cs="Times New Roman"/>
        </w:rPr>
      </w:pPr>
      <w:r w:rsidRPr="00A9615D">
        <w:rPr>
          <w:rFonts w:ascii="Times New Roman" w:hAnsi="Times New Roman" w:cs="Times New Roman"/>
        </w:rPr>
        <w:t>Kim, Y.-J., Gu, C., 2004. Smoothing Spline Gaussian Regression: More Scalable Computation via Efficient Approximation. Journal of the Royal Statistical Society, 66, 2, 337-356.</w:t>
      </w:r>
    </w:p>
    <w:p w14:paraId="0B9C6FD4" w14:textId="77777777" w:rsidR="00CF1725" w:rsidRPr="00A9615D" w:rsidRDefault="00CF1725" w:rsidP="009E3AC1">
      <w:pPr>
        <w:ind w:left="284"/>
        <w:jc w:val="both"/>
        <w:rPr>
          <w:rFonts w:ascii="Times New Roman" w:hAnsi="Times New Roman" w:cs="Times New Roman"/>
        </w:rPr>
      </w:pPr>
      <w:r w:rsidRPr="00A9615D">
        <w:rPr>
          <w:rFonts w:ascii="Times New Roman" w:hAnsi="Times New Roman" w:cs="Times New Roman"/>
        </w:rPr>
        <w:t xml:space="preserve">Kok, N., Jennen, M., 2012. The impact of energy labels and accessibility on office rents. Energy Policy, 46, 489-497.  </w:t>
      </w:r>
    </w:p>
    <w:p w14:paraId="0B7ADBD4" w14:textId="77777777" w:rsidR="00CF1725" w:rsidRPr="00A9615D" w:rsidRDefault="00CF1725" w:rsidP="009E3AC1">
      <w:pPr>
        <w:ind w:left="284"/>
        <w:jc w:val="both"/>
        <w:rPr>
          <w:rFonts w:ascii="Times New Roman" w:hAnsi="Times New Roman" w:cs="Times New Roman"/>
        </w:rPr>
      </w:pPr>
      <w:r w:rsidRPr="00A9615D">
        <w:rPr>
          <w:rFonts w:ascii="Times New Roman" w:hAnsi="Times New Roman" w:cs="Times New Roman"/>
        </w:rPr>
        <w:t>Larsen, J. E., 2012. An empirical investigation of the market duration of repossessed single-family houses. International Journal of Housing Markets and Analysis, 5 (1), 5-19.</w:t>
      </w:r>
    </w:p>
    <w:p w14:paraId="03501642" w14:textId="77777777" w:rsidR="00CF1725" w:rsidRPr="00A9615D" w:rsidRDefault="00CF1725" w:rsidP="00B51D28">
      <w:pPr>
        <w:ind w:left="284"/>
        <w:jc w:val="both"/>
        <w:rPr>
          <w:rFonts w:ascii="Times New Roman" w:hAnsi="Times New Roman" w:cs="Times New Roman"/>
        </w:rPr>
      </w:pPr>
      <w:r w:rsidRPr="00A9615D">
        <w:rPr>
          <w:rFonts w:ascii="Times New Roman" w:hAnsi="Times New Roman" w:cs="Times New Roman"/>
        </w:rPr>
        <w:t>Mandell, S., Wilhelmsson, M., 2011. Willingess to pay for sustainable housing. Journal of Housing Reseach, Vol. 20, No. 1, pp. 35-51.</w:t>
      </w:r>
    </w:p>
    <w:p w14:paraId="327284F8" w14:textId="77777777" w:rsidR="00CF1725" w:rsidRPr="00A9615D" w:rsidRDefault="00CF1725" w:rsidP="009E3AC1">
      <w:pPr>
        <w:ind w:left="284"/>
        <w:jc w:val="both"/>
        <w:rPr>
          <w:rFonts w:ascii="Times New Roman" w:hAnsi="Times New Roman" w:cs="Times New Roman"/>
        </w:rPr>
      </w:pPr>
      <w:r w:rsidRPr="00B51D28">
        <w:rPr>
          <w:rFonts w:ascii="Times New Roman" w:hAnsi="Times New Roman" w:cs="Times New Roman"/>
        </w:rPr>
        <w:t xml:space="preserve">Mayr, A., Fenske, N., Hofner, B., Kneib T. &amp; M. Schmid. </w:t>
      </w:r>
      <w:r w:rsidRPr="00A9615D">
        <w:rPr>
          <w:rFonts w:ascii="Times New Roman" w:hAnsi="Times New Roman" w:cs="Times New Roman"/>
        </w:rPr>
        <w:t>2010. GAMLSS for high-dimensional data – a flexible approach based on boosting, Technical Report Number 098-2010, University of Munich.</w:t>
      </w:r>
    </w:p>
    <w:p w14:paraId="6E63F144" w14:textId="77777777" w:rsidR="00CF1725" w:rsidRPr="00B97B10" w:rsidRDefault="00CF1725" w:rsidP="00B97B10">
      <w:pPr>
        <w:ind w:left="284"/>
        <w:jc w:val="both"/>
        <w:rPr>
          <w:rFonts w:ascii="Times New Roman" w:hAnsi="Times New Roman" w:cs="Times New Roman"/>
        </w:rPr>
      </w:pPr>
      <w:r>
        <w:rPr>
          <w:rFonts w:ascii="Times New Roman" w:hAnsi="Times New Roman" w:cs="Times New Roman"/>
        </w:rPr>
        <w:t>Murphy, L. 2014. The Influence of the Energy Performance Certificate: The Dutch C</w:t>
      </w:r>
      <w:r w:rsidRPr="00B97B10">
        <w:rPr>
          <w:rFonts w:ascii="Times New Roman" w:hAnsi="Times New Roman" w:cs="Times New Roman"/>
        </w:rPr>
        <w:t>ase. Energy Policy, 67, 664-672.</w:t>
      </w:r>
    </w:p>
    <w:p w14:paraId="0B2BA003" w14:textId="77777777" w:rsidR="00CF1725" w:rsidRDefault="00CF1725" w:rsidP="009E3AC1">
      <w:pPr>
        <w:ind w:left="284"/>
        <w:jc w:val="both"/>
        <w:rPr>
          <w:rFonts w:ascii="Times New Roman" w:hAnsi="Times New Roman" w:cs="Times New Roman"/>
        </w:rPr>
      </w:pPr>
      <w:r w:rsidRPr="001D4309">
        <w:rPr>
          <w:rFonts w:ascii="Times New Roman" w:hAnsi="Times New Roman" w:cs="Times New Roman"/>
        </w:rPr>
        <w:t xml:space="preserve">Ong, S. E., &amp; Koh, Y. C. (2000). Time on-market and price trade-offs in high-rise housing sub-markets. </w:t>
      </w:r>
      <w:r w:rsidRPr="001D4309">
        <w:rPr>
          <w:rFonts w:ascii="Times New Roman" w:hAnsi="Times New Roman" w:cs="Times New Roman"/>
          <w:i/>
        </w:rPr>
        <w:t>Urban Studies</w:t>
      </w:r>
      <w:r w:rsidRPr="001D4309">
        <w:rPr>
          <w:rFonts w:ascii="Times New Roman" w:hAnsi="Times New Roman" w:cs="Times New Roman"/>
        </w:rPr>
        <w:t>, 37(11), 2057-2071.</w:t>
      </w:r>
    </w:p>
    <w:p w14:paraId="3FA27880" w14:textId="1FDE7534" w:rsidR="00457E97" w:rsidRDefault="00457E97" w:rsidP="009E3AC1">
      <w:pPr>
        <w:ind w:left="284"/>
        <w:jc w:val="both"/>
        <w:rPr>
          <w:rFonts w:ascii="Times New Roman" w:hAnsi="Times New Roman" w:cs="Times New Roman"/>
        </w:rPr>
      </w:pPr>
      <w:r>
        <w:rPr>
          <w:rFonts w:ascii="Times New Roman" w:hAnsi="Times New Roman" w:cs="Times New Roman"/>
        </w:rPr>
        <w:t>European Parliament</w:t>
      </w:r>
      <w:r w:rsidRPr="00457E97">
        <w:rPr>
          <w:rFonts w:ascii="Times New Roman" w:hAnsi="Times New Roman" w:cs="Times New Roman"/>
        </w:rPr>
        <w:t xml:space="preserve"> (2010). Directive 2010/31/EU of the European Parliament and of the Council of </w:t>
      </w:r>
      <w:r>
        <w:rPr>
          <w:rFonts w:ascii="Times New Roman" w:hAnsi="Times New Roman" w:cs="Times New Roman"/>
        </w:rPr>
        <w:t xml:space="preserve">Europe, </w:t>
      </w:r>
      <w:r w:rsidRPr="00457E97">
        <w:rPr>
          <w:rFonts w:ascii="Times New Roman" w:hAnsi="Times New Roman" w:cs="Times New Roman"/>
        </w:rPr>
        <w:t>19 May 2010 on the energy performance of buildings (recast). Official Journal of the European Union, 18(06), 2010.</w:t>
      </w:r>
    </w:p>
    <w:p w14:paraId="23A6528E" w14:textId="4FD87F8F" w:rsidR="00CF1725" w:rsidRPr="00A9615D" w:rsidRDefault="00CF1725" w:rsidP="009E3AC1">
      <w:pPr>
        <w:ind w:left="284"/>
        <w:jc w:val="both"/>
        <w:rPr>
          <w:rFonts w:ascii="Times New Roman" w:hAnsi="Times New Roman" w:cs="Times New Roman"/>
        </w:rPr>
      </w:pPr>
      <w:r w:rsidRPr="00A9615D">
        <w:rPr>
          <w:rFonts w:ascii="Times New Roman" w:hAnsi="Times New Roman" w:cs="Times New Roman"/>
        </w:rPr>
        <w:t>R Development Core Team. R: A Language and Environment for Statistical Computing, R Foundation for Statistical Computing. ISBN 3-900051-07-0, 2016.</w:t>
      </w:r>
    </w:p>
    <w:p w14:paraId="3EB9E5A8" w14:textId="77777777" w:rsidR="00CF1725" w:rsidRPr="008D1E04" w:rsidRDefault="00CF1725" w:rsidP="009E3AC1">
      <w:pPr>
        <w:ind w:left="284"/>
        <w:jc w:val="both"/>
        <w:rPr>
          <w:rFonts w:ascii="Times New Roman" w:hAnsi="Times New Roman" w:cs="Times New Roman"/>
          <w:lang w:val="de-DE"/>
        </w:rPr>
      </w:pPr>
      <w:r w:rsidRPr="00A9615D">
        <w:rPr>
          <w:rFonts w:ascii="Times New Roman" w:hAnsi="Times New Roman" w:cs="Times New Roman"/>
        </w:rPr>
        <w:t>Ramos, A., Pérez-Alonso, A., Silva, S. 2015. Valuing energy performance certificates in the Portuguese res</w:t>
      </w:r>
      <w:r>
        <w:rPr>
          <w:rFonts w:ascii="Times New Roman" w:hAnsi="Times New Roman" w:cs="Times New Roman"/>
        </w:rPr>
        <w:t>idential sector. Economics for E</w:t>
      </w:r>
      <w:r w:rsidRPr="00A9615D">
        <w:rPr>
          <w:rFonts w:ascii="Times New Roman" w:hAnsi="Times New Roman" w:cs="Times New Roman"/>
        </w:rPr>
        <w:t xml:space="preserve">nergy. </w:t>
      </w:r>
      <w:r w:rsidRPr="008D1E04">
        <w:rPr>
          <w:rFonts w:ascii="Times New Roman" w:hAnsi="Times New Roman" w:cs="Times New Roman"/>
          <w:lang w:val="de-DE"/>
        </w:rPr>
        <w:t>WP 02-2015.</w:t>
      </w:r>
    </w:p>
    <w:p w14:paraId="7CAC3039" w14:textId="77777777" w:rsidR="00CF1725" w:rsidRPr="00A872DC" w:rsidRDefault="00CF1725" w:rsidP="009E3AC1">
      <w:pPr>
        <w:ind w:left="284"/>
        <w:jc w:val="both"/>
        <w:rPr>
          <w:rFonts w:ascii="Times New Roman" w:hAnsi="Times New Roman" w:cs="Times New Roman"/>
        </w:rPr>
      </w:pPr>
      <w:r w:rsidRPr="008D1E04">
        <w:rPr>
          <w:rFonts w:ascii="Times New Roman" w:hAnsi="Times New Roman" w:cs="Times New Roman"/>
          <w:lang w:val="de-DE"/>
        </w:rPr>
        <w:t xml:space="preserve">Razen, A., Brunauer, W., Klein, N., Kneib, T., Lang, S. &amp; N. Umlauf. </w:t>
      </w:r>
      <w:r w:rsidRPr="00621265">
        <w:rPr>
          <w:rFonts w:ascii="Times New Roman" w:hAnsi="Times New Roman" w:cs="Times New Roman"/>
        </w:rPr>
        <w:t>2014. Statistical risk analysis for real estate collateral valuation using Bayesian distributional and quantile regression, Working papers in economics and statistics.</w:t>
      </w:r>
    </w:p>
    <w:p w14:paraId="74C304DF" w14:textId="77777777" w:rsidR="00CF1725" w:rsidRPr="00A9615D" w:rsidRDefault="00CF1725" w:rsidP="009E3AC1">
      <w:pPr>
        <w:ind w:left="284"/>
        <w:jc w:val="both"/>
        <w:rPr>
          <w:rFonts w:ascii="Times New Roman" w:hAnsi="Times New Roman" w:cs="Times New Roman"/>
        </w:rPr>
      </w:pPr>
      <w:r w:rsidRPr="00A9615D">
        <w:rPr>
          <w:rFonts w:ascii="Times New Roman" w:hAnsi="Times New Roman" w:cs="Times New Roman"/>
        </w:rPr>
        <w:t>Rigby, R.A. &amp; Stasinopoulos, D.M. 2005. Generalized additive models for location, scale and shape. Applied Statistics, Vol. 54, pp. 507–554.</w:t>
      </w:r>
    </w:p>
    <w:p w14:paraId="789EDD1D" w14:textId="77777777" w:rsidR="00CF1725" w:rsidRPr="00A9615D" w:rsidRDefault="00CF1725" w:rsidP="009E3AC1">
      <w:pPr>
        <w:ind w:left="284"/>
        <w:jc w:val="both"/>
        <w:rPr>
          <w:rFonts w:ascii="Times New Roman" w:hAnsi="Times New Roman" w:cs="Times New Roman"/>
        </w:rPr>
      </w:pPr>
      <w:r w:rsidRPr="00A9615D">
        <w:rPr>
          <w:rFonts w:ascii="Times New Roman" w:hAnsi="Times New Roman" w:cs="Times New Roman"/>
        </w:rPr>
        <w:t>Rutherford, R.C., Springer, T.M. &amp; Yavas, A. 2005. Conflicts between principals and agents: evidence from residential brokerage. Journal of Financial Economics, Vol. 76, No.3, pp. 627-665.</w:t>
      </w:r>
    </w:p>
    <w:p w14:paraId="0195965A" w14:textId="77777777" w:rsidR="00CF1725" w:rsidRPr="00DA72BF" w:rsidRDefault="00CF1725" w:rsidP="00DA72BF">
      <w:pPr>
        <w:ind w:left="284"/>
        <w:jc w:val="both"/>
        <w:rPr>
          <w:rFonts w:ascii="Times New Roman" w:hAnsi="Times New Roman" w:cs="Times New Roman"/>
        </w:rPr>
      </w:pPr>
      <w:r w:rsidRPr="00DA72BF">
        <w:rPr>
          <w:rFonts w:ascii="Times New Roman" w:hAnsi="Times New Roman" w:cs="Times New Roman"/>
        </w:rPr>
        <w:t>Schleich, J. (2009). Barriers to energy efficiency: A comparison across the German commercial and services sector. Ecological Economics, 68(7), 2150-2159.</w:t>
      </w:r>
    </w:p>
    <w:p w14:paraId="62B5B510" w14:textId="77777777" w:rsidR="00CF1725" w:rsidRPr="00A9615D" w:rsidRDefault="00CF1725" w:rsidP="009E3AC1">
      <w:pPr>
        <w:ind w:left="284"/>
        <w:jc w:val="both"/>
        <w:rPr>
          <w:rFonts w:ascii="Times New Roman" w:hAnsi="Times New Roman" w:cs="Times New Roman"/>
        </w:rPr>
      </w:pPr>
      <w:r w:rsidRPr="00A9615D">
        <w:rPr>
          <w:rFonts w:ascii="Times New Roman" w:hAnsi="Times New Roman" w:cs="Times New Roman"/>
        </w:rPr>
        <w:t>Widłak, M., Waszczuk, J., Olszewski, K., 2015. Spatial and hedonic analysis of house price dynamics in Warsaw. National Bank of Poland (NBP), Working Papers, No. 197.</w:t>
      </w:r>
    </w:p>
    <w:p w14:paraId="6FF013C2" w14:textId="77777777" w:rsidR="00CF1725" w:rsidRDefault="00CF1725" w:rsidP="009E3AC1">
      <w:pPr>
        <w:ind w:left="284"/>
        <w:jc w:val="both"/>
        <w:rPr>
          <w:rFonts w:ascii="Times New Roman" w:hAnsi="Times New Roman" w:cs="Times New Roman"/>
        </w:rPr>
      </w:pPr>
      <w:r w:rsidRPr="00A9615D">
        <w:rPr>
          <w:rFonts w:ascii="Times New Roman" w:hAnsi="Times New Roman" w:cs="Times New Roman"/>
        </w:rPr>
        <w:t>Wood, S., 2006. Generalized additive models: An introduction with R. Texts in statistical science, Chapman &amp; Hall/CRC.</w:t>
      </w:r>
    </w:p>
    <w:p w14:paraId="6832E2D3" w14:textId="77777777" w:rsidR="00CF1725" w:rsidRPr="001D4309" w:rsidRDefault="00CF1725" w:rsidP="001D4309">
      <w:pPr>
        <w:ind w:left="284"/>
        <w:jc w:val="both"/>
        <w:rPr>
          <w:rFonts w:ascii="Times New Roman" w:hAnsi="Times New Roman" w:cs="Times New Roman"/>
        </w:rPr>
      </w:pPr>
      <w:r w:rsidRPr="001D4309">
        <w:rPr>
          <w:rFonts w:ascii="Times New Roman" w:hAnsi="Times New Roman" w:cs="Times New Roman"/>
        </w:rPr>
        <w:t xml:space="preserve">Yavas, A., &amp; Yang, S. (1995). The strategic role of listing price in marketing real estate: theory and evidence. </w:t>
      </w:r>
      <w:r w:rsidRPr="001D4309">
        <w:rPr>
          <w:rFonts w:ascii="Times New Roman" w:hAnsi="Times New Roman" w:cs="Times New Roman"/>
          <w:i/>
        </w:rPr>
        <w:t>Real Estate Economics</w:t>
      </w:r>
      <w:r w:rsidRPr="001D4309">
        <w:rPr>
          <w:rFonts w:ascii="Times New Roman" w:hAnsi="Times New Roman" w:cs="Times New Roman"/>
        </w:rPr>
        <w:t>, 23(3), 347-368.</w:t>
      </w:r>
    </w:p>
    <w:p w14:paraId="0334A17B" w14:textId="29C86231" w:rsidR="00236F6B" w:rsidRDefault="00CF1725" w:rsidP="009E3AC1">
      <w:pPr>
        <w:ind w:left="284"/>
        <w:jc w:val="both"/>
        <w:rPr>
          <w:rFonts w:ascii="Times New Roman" w:hAnsi="Times New Roman" w:cs="Times New Roman"/>
        </w:rPr>
      </w:pPr>
      <w:r w:rsidRPr="008D1E04">
        <w:rPr>
          <w:rFonts w:ascii="Times New Roman" w:hAnsi="Times New Roman" w:cs="Times New Roman"/>
          <w:lang w:val="fr-FR"/>
        </w:rPr>
        <w:t xml:space="preserve">Zahirovic, V., Gibler, K. M., 2014. </w:t>
      </w:r>
      <w:r w:rsidRPr="00621265">
        <w:rPr>
          <w:rFonts w:ascii="Times New Roman" w:hAnsi="Times New Roman" w:cs="Times New Roman"/>
        </w:rPr>
        <w:t xml:space="preserve">Historic district influence on house prices and marketing duration. </w:t>
      </w:r>
      <w:r w:rsidRPr="001D4309">
        <w:rPr>
          <w:rFonts w:ascii="Times New Roman" w:hAnsi="Times New Roman" w:cs="Times New Roman"/>
          <w:i/>
        </w:rPr>
        <w:t>Journal of Real Estate Finance and Economics</w:t>
      </w:r>
      <w:r w:rsidRPr="00621265">
        <w:rPr>
          <w:rFonts w:ascii="Times New Roman" w:hAnsi="Times New Roman" w:cs="Times New Roman"/>
        </w:rPr>
        <w:t>, 48: 112-131.</w:t>
      </w:r>
      <w:r w:rsidRPr="00A872DC">
        <w:rPr>
          <w:rFonts w:ascii="Times New Roman" w:hAnsi="Times New Roman" w:cs="Times New Roman"/>
        </w:rPr>
        <w:t xml:space="preserve"> </w:t>
      </w:r>
    </w:p>
    <w:p w14:paraId="076BAC79" w14:textId="77777777" w:rsidR="00236F6B" w:rsidRDefault="00236F6B">
      <w:pPr>
        <w:rPr>
          <w:rFonts w:ascii="Times New Roman" w:hAnsi="Times New Roman" w:cs="Times New Roman"/>
        </w:rPr>
      </w:pPr>
      <w:r>
        <w:rPr>
          <w:rFonts w:ascii="Times New Roman" w:hAnsi="Times New Roman" w:cs="Times New Roman"/>
        </w:rPr>
        <w:br w:type="page"/>
      </w:r>
    </w:p>
    <w:p w14:paraId="28AA2CD9" w14:textId="77777777" w:rsidR="00723C88" w:rsidRDefault="00723C88" w:rsidP="004541ED">
      <w:pPr>
        <w:rPr>
          <w:b/>
          <w:sz w:val="28"/>
        </w:rPr>
        <w:sectPr w:rsidR="00723C88" w:rsidSect="00723C88">
          <w:pgSz w:w="16839" w:h="23814" w:code="8"/>
          <w:pgMar w:top="1417" w:right="1417" w:bottom="1134" w:left="1417" w:header="708" w:footer="708" w:gutter="0"/>
          <w:cols w:space="708"/>
          <w:docGrid w:linePitch="360"/>
        </w:sectPr>
      </w:pPr>
    </w:p>
    <w:p w14:paraId="72FB0D12" w14:textId="0C620D70" w:rsidR="004541ED" w:rsidRPr="007F425D" w:rsidRDefault="004541ED" w:rsidP="004541ED">
      <w:pPr>
        <w:rPr>
          <w:b/>
          <w:sz w:val="28"/>
        </w:rPr>
      </w:pPr>
      <w:bookmarkStart w:id="3" w:name="_GoBack"/>
      <w:bookmarkEnd w:id="3"/>
    </w:p>
    <w:tbl>
      <w:tblPr>
        <w:tblW w:w="22091" w:type="dxa"/>
        <w:tblInd w:w="55" w:type="dxa"/>
        <w:tblCellMar>
          <w:left w:w="70" w:type="dxa"/>
          <w:right w:w="70" w:type="dxa"/>
        </w:tblCellMar>
        <w:tblLook w:val="04A0" w:firstRow="1" w:lastRow="0" w:firstColumn="1" w:lastColumn="0" w:noHBand="0" w:noVBand="1"/>
      </w:tblPr>
      <w:tblGrid>
        <w:gridCol w:w="2488"/>
        <w:gridCol w:w="511"/>
        <w:gridCol w:w="2967"/>
        <w:gridCol w:w="1671"/>
        <w:gridCol w:w="696"/>
        <w:gridCol w:w="595"/>
        <w:gridCol w:w="601"/>
        <w:gridCol w:w="702"/>
        <w:gridCol w:w="702"/>
        <w:gridCol w:w="702"/>
        <w:gridCol w:w="579"/>
        <w:gridCol w:w="579"/>
        <w:gridCol w:w="579"/>
        <w:gridCol w:w="579"/>
        <w:gridCol w:w="579"/>
        <w:gridCol w:w="511"/>
        <w:gridCol w:w="511"/>
        <w:gridCol w:w="511"/>
        <w:gridCol w:w="579"/>
        <w:gridCol w:w="579"/>
        <w:gridCol w:w="511"/>
        <w:gridCol w:w="579"/>
        <w:gridCol w:w="478"/>
        <w:gridCol w:w="478"/>
        <w:gridCol w:w="579"/>
        <w:gridCol w:w="579"/>
        <w:gridCol w:w="511"/>
        <w:gridCol w:w="579"/>
        <w:gridCol w:w="579"/>
      </w:tblGrid>
      <w:tr w:rsidR="004541ED" w:rsidRPr="007F425D" w14:paraId="165E3104" w14:textId="77777777" w:rsidTr="004541ED">
        <w:trPr>
          <w:trHeight w:val="315"/>
        </w:trPr>
        <w:tc>
          <w:tcPr>
            <w:tcW w:w="22091" w:type="dxa"/>
            <w:gridSpan w:val="29"/>
            <w:tcBorders>
              <w:top w:val="nil"/>
              <w:left w:val="nil"/>
              <w:bottom w:val="single" w:sz="12" w:space="0" w:color="auto"/>
              <w:right w:val="nil"/>
            </w:tcBorders>
            <w:shd w:val="clear" w:color="auto" w:fill="auto"/>
            <w:noWrap/>
            <w:vAlign w:val="bottom"/>
            <w:hideMark/>
          </w:tcPr>
          <w:p w14:paraId="2431678C" w14:textId="77777777" w:rsidR="004541ED" w:rsidRPr="007F425D" w:rsidRDefault="004541ED" w:rsidP="004541ED">
            <w:pPr>
              <w:spacing w:after="0" w:line="240" w:lineRule="auto"/>
              <w:rPr>
                <w:rFonts w:ascii="Times New Roman" w:eastAsia="Times New Roman" w:hAnsi="Times New Roman" w:cs="Times New Roman"/>
                <w:b/>
                <w:color w:val="000000"/>
                <w:sz w:val="24"/>
                <w:szCs w:val="20"/>
                <w:lang w:eastAsia="de-DE"/>
              </w:rPr>
            </w:pPr>
            <w:r w:rsidRPr="007F425D">
              <w:rPr>
                <w:rFonts w:ascii="Times New Roman" w:eastAsia="Times New Roman" w:hAnsi="Times New Roman" w:cs="Times New Roman"/>
                <w:b/>
                <w:color w:val="000000"/>
                <w:sz w:val="24"/>
                <w:szCs w:val="20"/>
                <w:lang w:eastAsia="de-DE"/>
              </w:rPr>
              <w:t>Table 1: Descriptive statistics</w:t>
            </w:r>
          </w:p>
        </w:tc>
      </w:tr>
      <w:tr w:rsidR="004541ED" w:rsidRPr="007F425D" w14:paraId="6EE49273" w14:textId="77777777" w:rsidTr="004541ED">
        <w:trPr>
          <w:trHeight w:val="300"/>
        </w:trPr>
        <w:tc>
          <w:tcPr>
            <w:tcW w:w="0" w:type="auto"/>
            <w:gridSpan w:val="2"/>
            <w:vMerge w:val="restart"/>
            <w:tcBorders>
              <w:top w:val="single" w:sz="12" w:space="0" w:color="auto"/>
              <w:left w:val="single" w:sz="12" w:space="0" w:color="auto"/>
              <w:bottom w:val="single" w:sz="8" w:space="0" w:color="000000"/>
              <w:right w:val="nil"/>
            </w:tcBorders>
            <w:shd w:val="clear" w:color="auto" w:fill="auto"/>
            <w:noWrap/>
            <w:vAlign w:val="center"/>
            <w:hideMark/>
          </w:tcPr>
          <w:p w14:paraId="368B210C" w14:textId="77777777" w:rsidR="004541ED" w:rsidRPr="007F425D" w:rsidRDefault="004541ED" w:rsidP="004541ED">
            <w:pPr>
              <w:spacing w:after="0" w:line="240" w:lineRule="auto"/>
              <w:jc w:val="center"/>
              <w:rPr>
                <w:rFonts w:ascii="Times New Roman" w:eastAsia="Times New Roman" w:hAnsi="Times New Roman" w:cs="Times New Roman"/>
                <w:b/>
                <w:bCs/>
                <w:color w:val="000000"/>
                <w:sz w:val="20"/>
                <w:szCs w:val="20"/>
                <w:lang w:eastAsia="de-DE"/>
              </w:rPr>
            </w:pPr>
            <w:r w:rsidRPr="007F425D">
              <w:rPr>
                <w:rFonts w:ascii="Times New Roman" w:eastAsia="Times New Roman" w:hAnsi="Times New Roman" w:cs="Times New Roman"/>
                <w:b/>
                <w:bCs/>
                <w:color w:val="000000"/>
                <w:sz w:val="20"/>
                <w:szCs w:val="20"/>
                <w:lang w:eastAsia="de-DE"/>
              </w:rPr>
              <w:t>Variable</w:t>
            </w:r>
          </w:p>
        </w:tc>
        <w:tc>
          <w:tcPr>
            <w:tcW w:w="2943" w:type="dxa"/>
            <w:vMerge w:val="restart"/>
            <w:tcBorders>
              <w:top w:val="single" w:sz="12" w:space="0" w:color="auto"/>
              <w:left w:val="nil"/>
              <w:bottom w:val="single" w:sz="8" w:space="0" w:color="000000"/>
              <w:right w:val="nil"/>
            </w:tcBorders>
            <w:shd w:val="clear" w:color="auto" w:fill="auto"/>
            <w:noWrap/>
            <w:vAlign w:val="center"/>
            <w:hideMark/>
          </w:tcPr>
          <w:p w14:paraId="127FA4DA" w14:textId="77777777" w:rsidR="004541ED" w:rsidRPr="007F425D" w:rsidRDefault="004541ED" w:rsidP="004541ED">
            <w:pPr>
              <w:spacing w:after="0" w:line="240" w:lineRule="auto"/>
              <w:jc w:val="center"/>
              <w:rPr>
                <w:rFonts w:ascii="Times New Roman" w:eastAsia="Times New Roman" w:hAnsi="Times New Roman" w:cs="Times New Roman"/>
                <w:b/>
                <w:bCs/>
                <w:color w:val="000000"/>
                <w:sz w:val="20"/>
                <w:szCs w:val="20"/>
                <w:lang w:eastAsia="de-DE"/>
              </w:rPr>
            </w:pPr>
            <w:r w:rsidRPr="007F425D">
              <w:rPr>
                <w:rFonts w:ascii="Times New Roman" w:eastAsia="Times New Roman" w:hAnsi="Times New Roman" w:cs="Times New Roman"/>
                <w:b/>
                <w:bCs/>
                <w:color w:val="000000"/>
                <w:sz w:val="20"/>
                <w:szCs w:val="20"/>
                <w:lang w:eastAsia="de-DE"/>
              </w:rPr>
              <w:t>Unit</w:t>
            </w:r>
          </w:p>
        </w:tc>
        <w:tc>
          <w:tcPr>
            <w:tcW w:w="0" w:type="auto"/>
            <w:vMerge w:val="restart"/>
            <w:tcBorders>
              <w:top w:val="single" w:sz="12" w:space="0" w:color="auto"/>
              <w:left w:val="nil"/>
              <w:bottom w:val="single" w:sz="8" w:space="0" w:color="000000"/>
              <w:right w:val="single" w:sz="8" w:space="0" w:color="auto"/>
            </w:tcBorders>
            <w:shd w:val="clear" w:color="auto" w:fill="auto"/>
            <w:noWrap/>
            <w:vAlign w:val="center"/>
            <w:hideMark/>
          </w:tcPr>
          <w:p w14:paraId="45E3EA5B" w14:textId="77777777" w:rsidR="004541ED" w:rsidRPr="007F425D" w:rsidRDefault="004541ED" w:rsidP="004541ED">
            <w:pPr>
              <w:spacing w:after="0" w:line="240" w:lineRule="auto"/>
              <w:jc w:val="center"/>
              <w:rPr>
                <w:rFonts w:ascii="Times New Roman" w:eastAsia="Times New Roman" w:hAnsi="Times New Roman" w:cs="Times New Roman"/>
                <w:b/>
                <w:bCs/>
                <w:color w:val="000000"/>
                <w:sz w:val="20"/>
                <w:szCs w:val="20"/>
                <w:lang w:eastAsia="de-DE"/>
              </w:rPr>
            </w:pPr>
            <w:r w:rsidRPr="007F425D">
              <w:rPr>
                <w:rFonts w:ascii="Times New Roman" w:eastAsia="Times New Roman" w:hAnsi="Times New Roman" w:cs="Times New Roman"/>
                <w:b/>
                <w:bCs/>
                <w:color w:val="000000"/>
                <w:sz w:val="20"/>
                <w:szCs w:val="20"/>
                <w:lang w:eastAsia="de-DE"/>
              </w:rPr>
              <w:t>Source</w:t>
            </w:r>
          </w:p>
        </w:tc>
        <w:tc>
          <w:tcPr>
            <w:tcW w:w="0" w:type="auto"/>
            <w:gridSpan w:val="6"/>
            <w:tcBorders>
              <w:top w:val="single" w:sz="12" w:space="0" w:color="auto"/>
              <w:left w:val="nil"/>
              <w:bottom w:val="nil"/>
              <w:right w:val="single" w:sz="8" w:space="0" w:color="000000"/>
            </w:tcBorders>
            <w:shd w:val="clear" w:color="auto" w:fill="auto"/>
            <w:noWrap/>
            <w:vAlign w:val="bottom"/>
            <w:hideMark/>
          </w:tcPr>
          <w:p w14:paraId="53A27083" w14:textId="77777777" w:rsidR="004541ED" w:rsidRPr="007F425D" w:rsidRDefault="004541ED" w:rsidP="004541ED">
            <w:pPr>
              <w:spacing w:after="0" w:line="240" w:lineRule="auto"/>
              <w:jc w:val="center"/>
              <w:rPr>
                <w:rFonts w:ascii="Times New Roman" w:eastAsia="Times New Roman" w:hAnsi="Times New Roman" w:cs="Times New Roman"/>
                <w:b/>
                <w:bCs/>
                <w:color w:val="000000"/>
                <w:sz w:val="20"/>
                <w:szCs w:val="20"/>
                <w:lang w:eastAsia="de-DE"/>
              </w:rPr>
            </w:pPr>
            <w:r w:rsidRPr="007F425D">
              <w:rPr>
                <w:rFonts w:ascii="Times New Roman" w:eastAsia="Times New Roman" w:hAnsi="Times New Roman" w:cs="Times New Roman"/>
                <w:b/>
                <w:bCs/>
                <w:color w:val="000000"/>
                <w:sz w:val="20"/>
                <w:szCs w:val="20"/>
                <w:lang w:eastAsia="de-DE"/>
              </w:rPr>
              <w:t>Descriptive Statistics</w:t>
            </w:r>
          </w:p>
        </w:tc>
        <w:tc>
          <w:tcPr>
            <w:tcW w:w="0" w:type="auto"/>
            <w:gridSpan w:val="19"/>
            <w:tcBorders>
              <w:top w:val="single" w:sz="12" w:space="0" w:color="auto"/>
              <w:left w:val="nil"/>
              <w:bottom w:val="nil"/>
              <w:right w:val="single" w:sz="12" w:space="0" w:color="auto"/>
            </w:tcBorders>
            <w:shd w:val="clear" w:color="auto" w:fill="auto"/>
            <w:noWrap/>
            <w:vAlign w:val="bottom"/>
            <w:hideMark/>
          </w:tcPr>
          <w:p w14:paraId="19C3280F" w14:textId="77777777" w:rsidR="004541ED" w:rsidRPr="007F425D" w:rsidRDefault="004541ED" w:rsidP="004541ED">
            <w:pPr>
              <w:spacing w:after="0" w:line="240" w:lineRule="auto"/>
              <w:jc w:val="center"/>
              <w:rPr>
                <w:rFonts w:ascii="Times New Roman" w:eastAsia="Times New Roman" w:hAnsi="Times New Roman" w:cs="Times New Roman"/>
                <w:b/>
                <w:bCs/>
                <w:color w:val="000000"/>
                <w:sz w:val="20"/>
                <w:szCs w:val="20"/>
                <w:lang w:eastAsia="de-DE"/>
              </w:rPr>
            </w:pPr>
            <w:r w:rsidRPr="007F425D">
              <w:rPr>
                <w:rFonts w:ascii="Times New Roman" w:eastAsia="Times New Roman" w:hAnsi="Times New Roman" w:cs="Times New Roman"/>
                <w:b/>
                <w:bCs/>
                <w:color w:val="000000"/>
                <w:sz w:val="20"/>
                <w:szCs w:val="20"/>
                <w:lang w:eastAsia="de-DE"/>
              </w:rPr>
              <w:t>Pearson correlation</w:t>
            </w:r>
          </w:p>
        </w:tc>
      </w:tr>
      <w:tr w:rsidR="004541ED" w:rsidRPr="007F425D" w14:paraId="0D4CA14A" w14:textId="77777777" w:rsidTr="004541ED">
        <w:trPr>
          <w:trHeight w:val="315"/>
        </w:trPr>
        <w:tc>
          <w:tcPr>
            <w:tcW w:w="0" w:type="auto"/>
            <w:gridSpan w:val="2"/>
            <w:vMerge/>
            <w:tcBorders>
              <w:top w:val="single" w:sz="8" w:space="0" w:color="auto"/>
              <w:left w:val="single" w:sz="12" w:space="0" w:color="auto"/>
              <w:bottom w:val="single" w:sz="8" w:space="0" w:color="000000"/>
              <w:right w:val="nil"/>
            </w:tcBorders>
            <w:vAlign w:val="center"/>
            <w:hideMark/>
          </w:tcPr>
          <w:p w14:paraId="51D33F29" w14:textId="77777777" w:rsidR="004541ED" w:rsidRPr="007F425D" w:rsidRDefault="004541ED" w:rsidP="004541ED">
            <w:pPr>
              <w:spacing w:after="0" w:line="240" w:lineRule="auto"/>
              <w:rPr>
                <w:rFonts w:ascii="Times New Roman" w:eastAsia="Times New Roman" w:hAnsi="Times New Roman" w:cs="Times New Roman"/>
                <w:b/>
                <w:bCs/>
                <w:color w:val="000000"/>
                <w:sz w:val="20"/>
                <w:szCs w:val="20"/>
                <w:lang w:eastAsia="de-DE"/>
              </w:rPr>
            </w:pPr>
          </w:p>
        </w:tc>
        <w:tc>
          <w:tcPr>
            <w:tcW w:w="2943" w:type="dxa"/>
            <w:vMerge/>
            <w:tcBorders>
              <w:top w:val="nil"/>
              <w:left w:val="nil"/>
              <w:bottom w:val="single" w:sz="8" w:space="0" w:color="000000"/>
              <w:right w:val="nil"/>
            </w:tcBorders>
            <w:vAlign w:val="center"/>
            <w:hideMark/>
          </w:tcPr>
          <w:p w14:paraId="302AEBA0" w14:textId="77777777" w:rsidR="004541ED" w:rsidRPr="007F425D" w:rsidRDefault="004541ED" w:rsidP="004541ED">
            <w:pPr>
              <w:spacing w:after="0" w:line="240" w:lineRule="auto"/>
              <w:rPr>
                <w:rFonts w:ascii="Times New Roman" w:eastAsia="Times New Roman" w:hAnsi="Times New Roman" w:cs="Times New Roman"/>
                <w:b/>
                <w:bCs/>
                <w:color w:val="000000"/>
                <w:sz w:val="20"/>
                <w:szCs w:val="20"/>
                <w:lang w:eastAsia="de-DE"/>
              </w:rPr>
            </w:pPr>
          </w:p>
        </w:tc>
        <w:tc>
          <w:tcPr>
            <w:tcW w:w="0" w:type="auto"/>
            <w:vMerge/>
            <w:tcBorders>
              <w:top w:val="nil"/>
              <w:left w:val="nil"/>
              <w:bottom w:val="single" w:sz="8" w:space="0" w:color="000000"/>
              <w:right w:val="single" w:sz="8" w:space="0" w:color="auto"/>
            </w:tcBorders>
            <w:vAlign w:val="center"/>
            <w:hideMark/>
          </w:tcPr>
          <w:p w14:paraId="799E29E5" w14:textId="77777777" w:rsidR="004541ED" w:rsidRPr="007F425D" w:rsidRDefault="004541ED" w:rsidP="004541ED">
            <w:pPr>
              <w:spacing w:after="0" w:line="240" w:lineRule="auto"/>
              <w:rPr>
                <w:rFonts w:ascii="Times New Roman" w:eastAsia="Times New Roman" w:hAnsi="Times New Roman" w:cs="Times New Roman"/>
                <w:b/>
                <w:bCs/>
                <w:color w:val="000000"/>
                <w:sz w:val="20"/>
                <w:szCs w:val="20"/>
                <w:lang w:eastAsia="de-DE"/>
              </w:rPr>
            </w:pPr>
          </w:p>
        </w:tc>
        <w:tc>
          <w:tcPr>
            <w:tcW w:w="0" w:type="auto"/>
            <w:tcBorders>
              <w:top w:val="nil"/>
              <w:left w:val="nil"/>
              <w:bottom w:val="single" w:sz="8" w:space="0" w:color="auto"/>
              <w:right w:val="nil"/>
            </w:tcBorders>
            <w:shd w:val="clear" w:color="auto" w:fill="auto"/>
            <w:noWrap/>
            <w:vAlign w:val="bottom"/>
            <w:hideMark/>
          </w:tcPr>
          <w:p w14:paraId="43BA2F0D" w14:textId="77777777" w:rsidR="004541ED" w:rsidRPr="007F425D" w:rsidRDefault="004541ED" w:rsidP="004541ED">
            <w:pPr>
              <w:spacing w:after="0" w:line="240" w:lineRule="auto"/>
              <w:rPr>
                <w:rFonts w:ascii="Times New Roman" w:eastAsia="Times New Roman" w:hAnsi="Times New Roman" w:cs="Times New Roman"/>
                <w:b/>
                <w:bCs/>
                <w:color w:val="000000"/>
                <w:sz w:val="20"/>
                <w:szCs w:val="20"/>
                <w:lang w:eastAsia="de-DE"/>
              </w:rPr>
            </w:pPr>
            <w:r w:rsidRPr="007F425D">
              <w:rPr>
                <w:rFonts w:ascii="Times New Roman" w:eastAsia="Times New Roman" w:hAnsi="Times New Roman" w:cs="Times New Roman"/>
                <w:b/>
                <w:bCs/>
                <w:color w:val="000000"/>
                <w:sz w:val="20"/>
                <w:szCs w:val="20"/>
                <w:lang w:eastAsia="de-DE"/>
              </w:rPr>
              <w:t>Mean</w:t>
            </w:r>
          </w:p>
        </w:tc>
        <w:tc>
          <w:tcPr>
            <w:tcW w:w="0" w:type="auto"/>
            <w:tcBorders>
              <w:top w:val="nil"/>
              <w:left w:val="nil"/>
              <w:bottom w:val="single" w:sz="8" w:space="0" w:color="auto"/>
              <w:right w:val="nil"/>
            </w:tcBorders>
            <w:shd w:val="clear" w:color="auto" w:fill="auto"/>
            <w:noWrap/>
            <w:vAlign w:val="bottom"/>
            <w:hideMark/>
          </w:tcPr>
          <w:p w14:paraId="58ABDF1C" w14:textId="77777777" w:rsidR="004541ED" w:rsidRPr="007F425D" w:rsidRDefault="004541ED" w:rsidP="004541ED">
            <w:pPr>
              <w:spacing w:after="0" w:line="240" w:lineRule="auto"/>
              <w:rPr>
                <w:rFonts w:ascii="Times New Roman" w:eastAsia="Times New Roman" w:hAnsi="Times New Roman" w:cs="Times New Roman"/>
                <w:b/>
                <w:bCs/>
                <w:color w:val="000000"/>
                <w:sz w:val="20"/>
                <w:szCs w:val="20"/>
                <w:lang w:eastAsia="de-DE"/>
              </w:rPr>
            </w:pPr>
            <w:r w:rsidRPr="007F425D">
              <w:rPr>
                <w:rFonts w:ascii="Times New Roman" w:eastAsia="Times New Roman" w:hAnsi="Times New Roman" w:cs="Times New Roman"/>
                <w:b/>
                <w:bCs/>
                <w:color w:val="000000"/>
                <w:sz w:val="20"/>
                <w:szCs w:val="20"/>
                <w:lang w:eastAsia="de-DE"/>
              </w:rPr>
              <w:t>Sd</w:t>
            </w:r>
          </w:p>
        </w:tc>
        <w:tc>
          <w:tcPr>
            <w:tcW w:w="0" w:type="auto"/>
            <w:tcBorders>
              <w:top w:val="nil"/>
              <w:left w:val="nil"/>
              <w:bottom w:val="single" w:sz="8" w:space="0" w:color="auto"/>
              <w:right w:val="nil"/>
            </w:tcBorders>
            <w:shd w:val="clear" w:color="auto" w:fill="auto"/>
            <w:noWrap/>
            <w:vAlign w:val="bottom"/>
            <w:hideMark/>
          </w:tcPr>
          <w:p w14:paraId="549B29C2" w14:textId="77777777" w:rsidR="004541ED" w:rsidRPr="007F425D" w:rsidRDefault="004541ED" w:rsidP="004541ED">
            <w:pPr>
              <w:spacing w:after="0" w:line="240" w:lineRule="auto"/>
              <w:rPr>
                <w:rFonts w:ascii="Times New Roman" w:eastAsia="Times New Roman" w:hAnsi="Times New Roman" w:cs="Times New Roman"/>
                <w:b/>
                <w:bCs/>
                <w:color w:val="000000"/>
                <w:sz w:val="20"/>
                <w:szCs w:val="20"/>
                <w:lang w:eastAsia="de-DE"/>
              </w:rPr>
            </w:pPr>
            <w:r w:rsidRPr="007F425D">
              <w:rPr>
                <w:rFonts w:ascii="Times New Roman" w:eastAsia="Times New Roman" w:hAnsi="Times New Roman" w:cs="Times New Roman"/>
                <w:b/>
                <w:bCs/>
                <w:color w:val="000000"/>
                <w:sz w:val="20"/>
                <w:szCs w:val="20"/>
                <w:lang w:eastAsia="de-DE"/>
              </w:rPr>
              <w:t>Q5%</w:t>
            </w:r>
          </w:p>
        </w:tc>
        <w:tc>
          <w:tcPr>
            <w:tcW w:w="0" w:type="auto"/>
            <w:tcBorders>
              <w:top w:val="nil"/>
              <w:left w:val="nil"/>
              <w:bottom w:val="single" w:sz="8" w:space="0" w:color="auto"/>
              <w:right w:val="nil"/>
            </w:tcBorders>
            <w:shd w:val="clear" w:color="auto" w:fill="auto"/>
            <w:noWrap/>
            <w:vAlign w:val="bottom"/>
            <w:hideMark/>
          </w:tcPr>
          <w:p w14:paraId="5F9DE997" w14:textId="77777777" w:rsidR="004541ED" w:rsidRPr="007F425D" w:rsidRDefault="004541ED" w:rsidP="004541ED">
            <w:pPr>
              <w:spacing w:after="0" w:line="240" w:lineRule="auto"/>
              <w:rPr>
                <w:rFonts w:ascii="Times New Roman" w:eastAsia="Times New Roman" w:hAnsi="Times New Roman" w:cs="Times New Roman"/>
                <w:b/>
                <w:bCs/>
                <w:color w:val="000000"/>
                <w:sz w:val="20"/>
                <w:szCs w:val="20"/>
                <w:lang w:eastAsia="de-DE"/>
              </w:rPr>
            </w:pPr>
            <w:r w:rsidRPr="007F425D">
              <w:rPr>
                <w:rFonts w:ascii="Times New Roman" w:eastAsia="Times New Roman" w:hAnsi="Times New Roman" w:cs="Times New Roman"/>
                <w:b/>
                <w:bCs/>
                <w:color w:val="000000"/>
                <w:sz w:val="20"/>
                <w:szCs w:val="20"/>
                <w:lang w:eastAsia="de-DE"/>
              </w:rPr>
              <w:t>Q30%</w:t>
            </w:r>
          </w:p>
        </w:tc>
        <w:tc>
          <w:tcPr>
            <w:tcW w:w="0" w:type="auto"/>
            <w:tcBorders>
              <w:top w:val="nil"/>
              <w:left w:val="nil"/>
              <w:bottom w:val="single" w:sz="8" w:space="0" w:color="auto"/>
              <w:right w:val="nil"/>
            </w:tcBorders>
            <w:shd w:val="clear" w:color="auto" w:fill="auto"/>
            <w:noWrap/>
            <w:vAlign w:val="bottom"/>
            <w:hideMark/>
          </w:tcPr>
          <w:p w14:paraId="48173832" w14:textId="77777777" w:rsidR="004541ED" w:rsidRPr="007F425D" w:rsidRDefault="004541ED" w:rsidP="004541ED">
            <w:pPr>
              <w:spacing w:after="0" w:line="240" w:lineRule="auto"/>
              <w:rPr>
                <w:rFonts w:ascii="Times New Roman" w:eastAsia="Times New Roman" w:hAnsi="Times New Roman" w:cs="Times New Roman"/>
                <w:b/>
                <w:bCs/>
                <w:color w:val="000000"/>
                <w:sz w:val="20"/>
                <w:szCs w:val="20"/>
                <w:lang w:eastAsia="de-DE"/>
              </w:rPr>
            </w:pPr>
            <w:r w:rsidRPr="007F425D">
              <w:rPr>
                <w:rFonts w:ascii="Times New Roman" w:eastAsia="Times New Roman" w:hAnsi="Times New Roman" w:cs="Times New Roman"/>
                <w:b/>
                <w:bCs/>
                <w:color w:val="000000"/>
                <w:sz w:val="20"/>
                <w:szCs w:val="20"/>
                <w:lang w:eastAsia="de-DE"/>
              </w:rPr>
              <w:t>Q70%</w:t>
            </w:r>
          </w:p>
        </w:tc>
        <w:tc>
          <w:tcPr>
            <w:tcW w:w="0" w:type="auto"/>
            <w:tcBorders>
              <w:top w:val="nil"/>
              <w:left w:val="nil"/>
              <w:bottom w:val="single" w:sz="8" w:space="0" w:color="auto"/>
              <w:right w:val="single" w:sz="8" w:space="0" w:color="auto"/>
            </w:tcBorders>
            <w:shd w:val="clear" w:color="auto" w:fill="auto"/>
            <w:noWrap/>
            <w:vAlign w:val="bottom"/>
            <w:hideMark/>
          </w:tcPr>
          <w:p w14:paraId="3DD3B70C" w14:textId="77777777" w:rsidR="004541ED" w:rsidRPr="007F425D" w:rsidRDefault="004541ED" w:rsidP="004541ED">
            <w:pPr>
              <w:spacing w:after="0" w:line="240" w:lineRule="auto"/>
              <w:rPr>
                <w:rFonts w:ascii="Times New Roman" w:eastAsia="Times New Roman" w:hAnsi="Times New Roman" w:cs="Times New Roman"/>
                <w:b/>
                <w:bCs/>
                <w:color w:val="000000"/>
                <w:sz w:val="20"/>
                <w:szCs w:val="20"/>
                <w:lang w:eastAsia="de-DE"/>
              </w:rPr>
            </w:pPr>
            <w:r w:rsidRPr="007F425D">
              <w:rPr>
                <w:rFonts w:ascii="Times New Roman" w:eastAsia="Times New Roman" w:hAnsi="Times New Roman" w:cs="Times New Roman"/>
                <w:b/>
                <w:bCs/>
                <w:color w:val="000000"/>
                <w:sz w:val="20"/>
                <w:szCs w:val="20"/>
                <w:lang w:eastAsia="de-DE"/>
              </w:rPr>
              <w:t>Q90%</w:t>
            </w:r>
          </w:p>
        </w:tc>
        <w:tc>
          <w:tcPr>
            <w:tcW w:w="0" w:type="auto"/>
            <w:tcBorders>
              <w:top w:val="nil"/>
              <w:left w:val="nil"/>
              <w:bottom w:val="single" w:sz="8" w:space="0" w:color="auto"/>
              <w:right w:val="nil"/>
            </w:tcBorders>
            <w:shd w:val="clear" w:color="auto" w:fill="auto"/>
            <w:noWrap/>
            <w:vAlign w:val="bottom"/>
          </w:tcPr>
          <w:p w14:paraId="7E221BE0" w14:textId="77777777" w:rsidR="004541ED" w:rsidRPr="007F425D" w:rsidRDefault="004541ED" w:rsidP="004541ED">
            <w:pPr>
              <w:spacing w:after="0" w:line="240" w:lineRule="auto"/>
              <w:jc w:val="center"/>
              <w:rPr>
                <w:rFonts w:ascii="Times New Roman" w:eastAsia="Times New Roman" w:hAnsi="Times New Roman" w:cs="Times New Roman"/>
                <w:b/>
                <w:bCs/>
                <w:color w:val="000000"/>
                <w:sz w:val="20"/>
                <w:szCs w:val="20"/>
                <w:lang w:eastAsia="de-DE"/>
              </w:rPr>
            </w:pPr>
            <w:r w:rsidRPr="007F425D">
              <w:rPr>
                <w:rFonts w:ascii="Times New Roman" w:eastAsia="Times New Roman" w:hAnsi="Times New Roman" w:cs="Times New Roman"/>
                <w:b/>
                <w:bCs/>
                <w:color w:val="000000"/>
                <w:sz w:val="20"/>
                <w:szCs w:val="20"/>
                <w:lang w:eastAsia="de-DE"/>
              </w:rPr>
              <w:t>ii</w:t>
            </w:r>
          </w:p>
        </w:tc>
        <w:tc>
          <w:tcPr>
            <w:tcW w:w="0" w:type="auto"/>
            <w:tcBorders>
              <w:top w:val="nil"/>
              <w:left w:val="nil"/>
              <w:bottom w:val="single" w:sz="8" w:space="0" w:color="auto"/>
              <w:right w:val="nil"/>
            </w:tcBorders>
            <w:shd w:val="clear" w:color="auto" w:fill="auto"/>
            <w:noWrap/>
            <w:vAlign w:val="bottom"/>
          </w:tcPr>
          <w:p w14:paraId="7D945C61" w14:textId="77777777" w:rsidR="004541ED" w:rsidRPr="007F425D" w:rsidRDefault="004541ED" w:rsidP="004541ED">
            <w:pPr>
              <w:spacing w:after="0" w:line="240" w:lineRule="auto"/>
              <w:jc w:val="center"/>
              <w:rPr>
                <w:rFonts w:ascii="Times New Roman" w:eastAsia="Times New Roman" w:hAnsi="Times New Roman" w:cs="Times New Roman"/>
                <w:b/>
                <w:bCs/>
                <w:color w:val="000000"/>
                <w:sz w:val="20"/>
                <w:szCs w:val="20"/>
                <w:lang w:eastAsia="de-DE"/>
              </w:rPr>
            </w:pPr>
            <w:r w:rsidRPr="007F425D">
              <w:rPr>
                <w:rFonts w:ascii="Times New Roman" w:eastAsia="Times New Roman" w:hAnsi="Times New Roman" w:cs="Times New Roman"/>
                <w:b/>
                <w:bCs/>
                <w:color w:val="000000"/>
                <w:sz w:val="20"/>
                <w:szCs w:val="20"/>
                <w:lang w:eastAsia="de-DE"/>
              </w:rPr>
              <w:t>iii</w:t>
            </w:r>
          </w:p>
        </w:tc>
        <w:tc>
          <w:tcPr>
            <w:tcW w:w="0" w:type="auto"/>
            <w:tcBorders>
              <w:top w:val="nil"/>
              <w:left w:val="nil"/>
              <w:bottom w:val="single" w:sz="8" w:space="0" w:color="auto"/>
              <w:right w:val="nil"/>
            </w:tcBorders>
            <w:shd w:val="clear" w:color="auto" w:fill="auto"/>
            <w:noWrap/>
            <w:vAlign w:val="bottom"/>
          </w:tcPr>
          <w:p w14:paraId="3FA8E6C1" w14:textId="77777777" w:rsidR="004541ED" w:rsidRPr="007F425D" w:rsidRDefault="004541ED" w:rsidP="004541ED">
            <w:pPr>
              <w:spacing w:after="0" w:line="240" w:lineRule="auto"/>
              <w:jc w:val="center"/>
              <w:rPr>
                <w:rFonts w:ascii="Times New Roman" w:eastAsia="Times New Roman" w:hAnsi="Times New Roman" w:cs="Times New Roman"/>
                <w:b/>
                <w:bCs/>
                <w:color w:val="000000"/>
                <w:sz w:val="20"/>
                <w:szCs w:val="20"/>
                <w:lang w:eastAsia="de-DE"/>
              </w:rPr>
            </w:pPr>
            <w:r>
              <w:rPr>
                <w:rFonts w:ascii="Times New Roman" w:eastAsia="Times New Roman" w:hAnsi="Times New Roman" w:cs="Times New Roman"/>
                <w:b/>
                <w:bCs/>
                <w:color w:val="000000"/>
                <w:sz w:val="20"/>
                <w:szCs w:val="20"/>
                <w:lang w:eastAsia="de-DE"/>
              </w:rPr>
              <w:t>iv</w:t>
            </w:r>
          </w:p>
        </w:tc>
        <w:tc>
          <w:tcPr>
            <w:tcW w:w="0" w:type="auto"/>
            <w:tcBorders>
              <w:top w:val="nil"/>
              <w:left w:val="nil"/>
              <w:bottom w:val="single" w:sz="8" w:space="0" w:color="auto"/>
              <w:right w:val="nil"/>
            </w:tcBorders>
            <w:shd w:val="clear" w:color="auto" w:fill="auto"/>
            <w:noWrap/>
            <w:vAlign w:val="bottom"/>
          </w:tcPr>
          <w:p w14:paraId="4DA95B25" w14:textId="77777777" w:rsidR="004541ED" w:rsidRPr="007F425D" w:rsidRDefault="004541ED" w:rsidP="004541ED">
            <w:pPr>
              <w:spacing w:after="0" w:line="240" w:lineRule="auto"/>
              <w:jc w:val="center"/>
              <w:rPr>
                <w:rFonts w:ascii="Times New Roman" w:eastAsia="Times New Roman" w:hAnsi="Times New Roman" w:cs="Times New Roman"/>
                <w:b/>
                <w:bCs/>
                <w:color w:val="000000"/>
                <w:sz w:val="20"/>
                <w:szCs w:val="20"/>
                <w:lang w:eastAsia="de-DE"/>
              </w:rPr>
            </w:pPr>
            <w:r>
              <w:rPr>
                <w:rFonts w:ascii="Times New Roman" w:eastAsia="Times New Roman" w:hAnsi="Times New Roman" w:cs="Times New Roman"/>
                <w:b/>
                <w:bCs/>
                <w:color w:val="000000"/>
                <w:sz w:val="20"/>
                <w:szCs w:val="20"/>
                <w:lang w:eastAsia="de-DE"/>
              </w:rPr>
              <w:t>v</w:t>
            </w:r>
          </w:p>
        </w:tc>
        <w:tc>
          <w:tcPr>
            <w:tcW w:w="0" w:type="auto"/>
            <w:tcBorders>
              <w:top w:val="nil"/>
              <w:left w:val="nil"/>
              <w:bottom w:val="single" w:sz="8" w:space="0" w:color="auto"/>
              <w:right w:val="nil"/>
            </w:tcBorders>
            <w:shd w:val="clear" w:color="auto" w:fill="auto"/>
            <w:noWrap/>
            <w:vAlign w:val="bottom"/>
          </w:tcPr>
          <w:p w14:paraId="751A7CE5" w14:textId="77777777" w:rsidR="004541ED" w:rsidRPr="007F425D" w:rsidRDefault="004541ED" w:rsidP="004541ED">
            <w:pPr>
              <w:spacing w:after="0" w:line="240" w:lineRule="auto"/>
              <w:jc w:val="center"/>
              <w:rPr>
                <w:rFonts w:ascii="Times New Roman" w:eastAsia="Times New Roman" w:hAnsi="Times New Roman" w:cs="Times New Roman"/>
                <w:b/>
                <w:bCs/>
                <w:color w:val="000000"/>
                <w:sz w:val="20"/>
                <w:szCs w:val="20"/>
                <w:lang w:eastAsia="de-DE"/>
              </w:rPr>
            </w:pPr>
            <w:r>
              <w:rPr>
                <w:rFonts w:ascii="Times New Roman" w:eastAsia="Times New Roman" w:hAnsi="Times New Roman" w:cs="Times New Roman"/>
                <w:b/>
                <w:bCs/>
                <w:color w:val="000000"/>
                <w:sz w:val="20"/>
                <w:szCs w:val="20"/>
                <w:lang w:eastAsia="de-DE"/>
              </w:rPr>
              <w:t>vi</w:t>
            </w:r>
          </w:p>
        </w:tc>
        <w:tc>
          <w:tcPr>
            <w:tcW w:w="0" w:type="auto"/>
            <w:tcBorders>
              <w:top w:val="nil"/>
              <w:left w:val="nil"/>
              <w:bottom w:val="single" w:sz="8" w:space="0" w:color="auto"/>
              <w:right w:val="nil"/>
            </w:tcBorders>
            <w:shd w:val="clear" w:color="auto" w:fill="auto"/>
            <w:noWrap/>
            <w:vAlign w:val="bottom"/>
          </w:tcPr>
          <w:p w14:paraId="143650F5" w14:textId="77777777" w:rsidR="004541ED" w:rsidRPr="007F425D" w:rsidRDefault="004541ED" w:rsidP="004541ED">
            <w:pPr>
              <w:spacing w:after="0" w:line="240" w:lineRule="auto"/>
              <w:jc w:val="center"/>
              <w:rPr>
                <w:rFonts w:ascii="Times New Roman" w:eastAsia="Times New Roman" w:hAnsi="Times New Roman" w:cs="Times New Roman"/>
                <w:b/>
                <w:bCs/>
                <w:color w:val="000000"/>
                <w:sz w:val="20"/>
                <w:szCs w:val="20"/>
                <w:lang w:eastAsia="de-DE"/>
              </w:rPr>
            </w:pPr>
            <w:r>
              <w:rPr>
                <w:rFonts w:ascii="Times New Roman" w:eastAsia="Times New Roman" w:hAnsi="Times New Roman" w:cs="Times New Roman"/>
                <w:b/>
                <w:bCs/>
                <w:color w:val="000000"/>
                <w:sz w:val="20"/>
                <w:szCs w:val="20"/>
                <w:lang w:eastAsia="de-DE"/>
              </w:rPr>
              <w:t>vii</w:t>
            </w:r>
          </w:p>
        </w:tc>
        <w:tc>
          <w:tcPr>
            <w:tcW w:w="0" w:type="auto"/>
            <w:tcBorders>
              <w:top w:val="nil"/>
              <w:left w:val="nil"/>
              <w:bottom w:val="single" w:sz="8" w:space="0" w:color="auto"/>
              <w:right w:val="nil"/>
            </w:tcBorders>
            <w:shd w:val="clear" w:color="auto" w:fill="auto"/>
            <w:noWrap/>
            <w:vAlign w:val="bottom"/>
          </w:tcPr>
          <w:p w14:paraId="02CC92E9" w14:textId="77777777" w:rsidR="004541ED" w:rsidRPr="007F425D" w:rsidRDefault="004541ED" w:rsidP="004541ED">
            <w:pPr>
              <w:spacing w:after="0" w:line="240" w:lineRule="auto"/>
              <w:jc w:val="center"/>
              <w:rPr>
                <w:rFonts w:ascii="Times New Roman" w:eastAsia="Times New Roman" w:hAnsi="Times New Roman" w:cs="Times New Roman"/>
                <w:b/>
                <w:bCs/>
                <w:color w:val="000000"/>
                <w:sz w:val="20"/>
                <w:szCs w:val="20"/>
                <w:lang w:eastAsia="de-DE"/>
              </w:rPr>
            </w:pPr>
            <w:r>
              <w:rPr>
                <w:rFonts w:ascii="Times New Roman" w:eastAsia="Times New Roman" w:hAnsi="Times New Roman" w:cs="Times New Roman"/>
                <w:b/>
                <w:bCs/>
                <w:color w:val="000000"/>
                <w:sz w:val="20"/>
                <w:szCs w:val="20"/>
                <w:lang w:eastAsia="de-DE"/>
              </w:rPr>
              <w:t>viii</w:t>
            </w:r>
          </w:p>
        </w:tc>
        <w:tc>
          <w:tcPr>
            <w:tcW w:w="0" w:type="auto"/>
            <w:tcBorders>
              <w:top w:val="nil"/>
              <w:left w:val="nil"/>
              <w:bottom w:val="single" w:sz="8" w:space="0" w:color="auto"/>
              <w:right w:val="nil"/>
            </w:tcBorders>
            <w:shd w:val="clear" w:color="auto" w:fill="auto"/>
            <w:noWrap/>
            <w:vAlign w:val="bottom"/>
          </w:tcPr>
          <w:p w14:paraId="7D2CA831" w14:textId="77777777" w:rsidR="004541ED" w:rsidRPr="007F425D" w:rsidRDefault="004541ED" w:rsidP="004541ED">
            <w:pPr>
              <w:spacing w:after="0" w:line="240" w:lineRule="auto"/>
              <w:jc w:val="center"/>
              <w:rPr>
                <w:rFonts w:ascii="Times New Roman" w:eastAsia="Times New Roman" w:hAnsi="Times New Roman" w:cs="Times New Roman"/>
                <w:b/>
                <w:bCs/>
                <w:color w:val="000000"/>
                <w:sz w:val="20"/>
                <w:szCs w:val="20"/>
                <w:lang w:eastAsia="de-DE"/>
              </w:rPr>
            </w:pPr>
            <w:r>
              <w:rPr>
                <w:rFonts w:ascii="Times New Roman" w:eastAsia="Times New Roman" w:hAnsi="Times New Roman" w:cs="Times New Roman"/>
                <w:b/>
                <w:bCs/>
                <w:color w:val="000000"/>
                <w:sz w:val="20"/>
                <w:szCs w:val="20"/>
                <w:lang w:eastAsia="de-DE"/>
              </w:rPr>
              <w:t>ix</w:t>
            </w:r>
          </w:p>
        </w:tc>
        <w:tc>
          <w:tcPr>
            <w:tcW w:w="0" w:type="auto"/>
            <w:tcBorders>
              <w:top w:val="nil"/>
              <w:left w:val="nil"/>
              <w:bottom w:val="single" w:sz="8" w:space="0" w:color="auto"/>
              <w:right w:val="nil"/>
            </w:tcBorders>
            <w:shd w:val="clear" w:color="auto" w:fill="auto"/>
            <w:noWrap/>
            <w:vAlign w:val="bottom"/>
          </w:tcPr>
          <w:p w14:paraId="353D5ECF" w14:textId="77777777" w:rsidR="004541ED" w:rsidRPr="007F425D" w:rsidRDefault="004541ED" w:rsidP="004541ED">
            <w:pPr>
              <w:spacing w:after="0" w:line="240" w:lineRule="auto"/>
              <w:jc w:val="center"/>
              <w:rPr>
                <w:rFonts w:ascii="Times New Roman" w:eastAsia="Times New Roman" w:hAnsi="Times New Roman" w:cs="Times New Roman"/>
                <w:b/>
                <w:bCs/>
                <w:color w:val="000000"/>
                <w:sz w:val="20"/>
                <w:szCs w:val="20"/>
                <w:lang w:eastAsia="de-DE"/>
              </w:rPr>
            </w:pPr>
            <w:r>
              <w:rPr>
                <w:rFonts w:ascii="Times New Roman" w:eastAsia="Times New Roman" w:hAnsi="Times New Roman" w:cs="Times New Roman"/>
                <w:b/>
                <w:bCs/>
                <w:color w:val="000000"/>
                <w:sz w:val="20"/>
                <w:szCs w:val="20"/>
                <w:lang w:eastAsia="de-DE"/>
              </w:rPr>
              <w:t>x</w:t>
            </w:r>
          </w:p>
        </w:tc>
        <w:tc>
          <w:tcPr>
            <w:tcW w:w="0" w:type="auto"/>
            <w:tcBorders>
              <w:top w:val="nil"/>
              <w:left w:val="nil"/>
              <w:bottom w:val="single" w:sz="8" w:space="0" w:color="auto"/>
              <w:right w:val="nil"/>
            </w:tcBorders>
            <w:shd w:val="clear" w:color="auto" w:fill="auto"/>
            <w:noWrap/>
            <w:vAlign w:val="bottom"/>
          </w:tcPr>
          <w:p w14:paraId="0E6AF11C" w14:textId="77777777" w:rsidR="004541ED" w:rsidRPr="007F425D" w:rsidRDefault="004541ED" w:rsidP="004541ED">
            <w:pPr>
              <w:spacing w:after="0" w:line="240" w:lineRule="auto"/>
              <w:jc w:val="center"/>
              <w:rPr>
                <w:rFonts w:ascii="Times New Roman" w:eastAsia="Times New Roman" w:hAnsi="Times New Roman" w:cs="Times New Roman"/>
                <w:b/>
                <w:bCs/>
                <w:color w:val="000000"/>
                <w:sz w:val="20"/>
                <w:szCs w:val="20"/>
                <w:lang w:eastAsia="de-DE"/>
              </w:rPr>
            </w:pPr>
            <w:r>
              <w:rPr>
                <w:rFonts w:ascii="Times New Roman" w:eastAsia="Times New Roman" w:hAnsi="Times New Roman" w:cs="Times New Roman"/>
                <w:b/>
                <w:bCs/>
                <w:color w:val="000000"/>
                <w:sz w:val="20"/>
                <w:szCs w:val="20"/>
                <w:lang w:eastAsia="de-DE"/>
              </w:rPr>
              <w:t>xi</w:t>
            </w:r>
          </w:p>
        </w:tc>
        <w:tc>
          <w:tcPr>
            <w:tcW w:w="0" w:type="auto"/>
            <w:tcBorders>
              <w:top w:val="nil"/>
              <w:left w:val="nil"/>
              <w:bottom w:val="single" w:sz="8" w:space="0" w:color="auto"/>
              <w:right w:val="nil"/>
            </w:tcBorders>
            <w:shd w:val="clear" w:color="auto" w:fill="auto"/>
            <w:noWrap/>
            <w:vAlign w:val="bottom"/>
          </w:tcPr>
          <w:p w14:paraId="37B084B5" w14:textId="77777777" w:rsidR="004541ED" w:rsidRPr="007F425D" w:rsidRDefault="004541ED" w:rsidP="004541ED">
            <w:pPr>
              <w:spacing w:after="0" w:line="240" w:lineRule="auto"/>
              <w:jc w:val="center"/>
              <w:rPr>
                <w:rFonts w:ascii="Times New Roman" w:eastAsia="Times New Roman" w:hAnsi="Times New Roman" w:cs="Times New Roman"/>
                <w:b/>
                <w:bCs/>
                <w:color w:val="000000"/>
                <w:sz w:val="20"/>
                <w:szCs w:val="20"/>
                <w:lang w:eastAsia="de-DE"/>
              </w:rPr>
            </w:pPr>
            <w:r>
              <w:rPr>
                <w:rFonts w:ascii="Times New Roman" w:eastAsia="Times New Roman" w:hAnsi="Times New Roman" w:cs="Times New Roman"/>
                <w:b/>
                <w:bCs/>
                <w:color w:val="000000"/>
                <w:sz w:val="20"/>
                <w:szCs w:val="20"/>
                <w:lang w:eastAsia="de-DE"/>
              </w:rPr>
              <w:t>xii</w:t>
            </w:r>
          </w:p>
        </w:tc>
        <w:tc>
          <w:tcPr>
            <w:tcW w:w="0" w:type="auto"/>
            <w:tcBorders>
              <w:top w:val="nil"/>
              <w:left w:val="nil"/>
              <w:bottom w:val="single" w:sz="8" w:space="0" w:color="auto"/>
              <w:right w:val="nil"/>
            </w:tcBorders>
            <w:shd w:val="clear" w:color="auto" w:fill="auto"/>
            <w:noWrap/>
            <w:vAlign w:val="bottom"/>
          </w:tcPr>
          <w:p w14:paraId="09DFDCD0" w14:textId="77777777" w:rsidR="004541ED" w:rsidRPr="007F425D" w:rsidRDefault="004541ED" w:rsidP="004541ED">
            <w:pPr>
              <w:spacing w:after="0" w:line="240" w:lineRule="auto"/>
              <w:jc w:val="center"/>
              <w:rPr>
                <w:rFonts w:ascii="Times New Roman" w:eastAsia="Times New Roman" w:hAnsi="Times New Roman" w:cs="Times New Roman"/>
                <w:b/>
                <w:bCs/>
                <w:color w:val="000000"/>
                <w:sz w:val="20"/>
                <w:szCs w:val="20"/>
                <w:lang w:eastAsia="de-DE"/>
              </w:rPr>
            </w:pPr>
            <w:r>
              <w:rPr>
                <w:rFonts w:ascii="Times New Roman" w:eastAsia="Times New Roman" w:hAnsi="Times New Roman" w:cs="Times New Roman"/>
                <w:b/>
                <w:bCs/>
                <w:color w:val="000000"/>
                <w:sz w:val="20"/>
                <w:szCs w:val="20"/>
                <w:lang w:eastAsia="de-DE"/>
              </w:rPr>
              <w:t>xiii</w:t>
            </w:r>
          </w:p>
        </w:tc>
        <w:tc>
          <w:tcPr>
            <w:tcW w:w="0" w:type="auto"/>
            <w:tcBorders>
              <w:top w:val="nil"/>
              <w:left w:val="nil"/>
              <w:bottom w:val="single" w:sz="8" w:space="0" w:color="auto"/>
              <w:right w:val="nil"/>
            </w:tcBorders>
            <w:shd w:val="clear" w:color="auto" w:fill="auto"/>
            <w:noWrap/>
            <w:vAlign w:val="bottom"/>
          </w:tcPr>
          <w:p w14:paraId="6C26CEDB" w14:textId="77777777" w:rsidR="004541ED" w:rsidRPr="007F425D" w:rsidRDefault="004541ED" w:rsidP="004541ED">
            <w:pPr>
              <w:spacing w:after="0" w:line="240" w:lineRule="auto"/>
              <w:jc w:val="center"/>
              <w:rPr>
                <w:rFonts w:ascii="Times New Roman" w:eastAsia="Times New Roman" w:hAnsi="Times New Roman" w:cs="Times New Roman"/>
                <w:b/>
                <w:bCs/>
                <w:color w:val="000000"/>
                <w:sz w:val="20"/>
                <w:szCs w:val="20"/>
                <w:lang w:eastAsia="de-DE"/>
              </w:rPr>
            </w:pPr>
            <w:r>
              <w:rPr>
                <w:rFonts w:ascii="Times New Roman" w:eastAsia="Times New Roman" w:hAnsi="Times New Roman" w:cs="Times New Roman"/>
                <w:b/>
                <w:bCs/>
                <w:color w:val="000000"/>
                <w:sz w:val="20"/>
                <w:szCs w:val="20"/>
                <w:lang w:eastAsia="de-DE"/>
              </w:rPr>
              <w:t>xiv</w:t>
            </w:r>
          </w:p>
        </w:tc>
        <w:tc>
          <w:tcPr>
            <w:tcW w:w="0" w:type="auto"/>
            <w:tcBorders>
              <w:top w:val="nil"/>
              <w:left w:val="nil"/>
              <w:bottom w:val="single" w:sz="8" w:space="0" w:color="auto"/>
              <w:right w:val="nil"/>
            </w:tcBorders>
            <w:shd w:val="clear" w:color="auto" w:fill="auto"/>
            <w:noWrap/>
            <w:vAlign w:val="bottom"/>
          </w:tcPr>
          <w:p w14:paraId="27DAA9B6" w14:textId="77777777" w:rsidR="004541ED" w:rsidRPr="007F425D" w:rsidRDefault="004541ED" w:rsidP="004541ED">
            <w:pPr>
              <w:spacing w:after="0" w:line="240" w:lineRule="auto"/>
              <w:jc w:val="center"/>
              <w:rPr>
                <w:rFonts w:ascii="Times New Roman" w:eastAsia="Times New Roman" w:hAnsi="Times New Roman" w:cs="Times New Roman"/>
                <w:b/>
                <w:bCs/>
                <w:color w:val="000000"/>
                <w:sz w:val="20"/>
                <w:szCs w:val="20"/>
                <w:lang w:eastAsia="de-DE"/>
              </w:rPr>
            </w:pPr>
            <w:r>
              <w:rPr>
                <w:rFonts w:ascii="Times New Roman" w:eastAsia="Times New Roman" w:hAnsi="Times New Roman" w:cs="Times New Roman"/>
                <w:b/>
                <w:bCs/>
                <w:color w:val="000000"/>
                <w:sz w:val="20"/>
                <w:szCs w:val="20"/>
                <w:lang w:eastAsia="de-DE"/>
              </w:rPr>
              <w:t>xv</w:t>
            </w:r>
          </w:p>
        </w:tc>
        <w:tc>
          <w:tcPr>
            <w:tcW w:w="0" w:type="auto"/>
            <w:tcBorders>
              <w:top w:val="nil"/>
              <w:left w:val="nil"/>
              <w:bottom w:val="single" w:sz="8" w:space="0" w:color="auto"/>
              <w:right w:val="nil"/>
            </w:tcBorders>
            <w:shd w:val="clear" w:color="auto" w:fill="auto"/>
            <w:noWrap/>
            <w:vAlign w:val="bottom"/>
          </w:tcPr>
          <w:p w14:paraId="0AAD723A" w14:textId="77777777" w:rsidR="004541ED" w:rsidRPr="007F425D" w:rsidRDefault="004541ED" w:rsidP="004541ED">
            <w:pPr>
              <w:spacing w:after="0" w:line="240" w:lineRule="auto"/>
              <w:jc w:val="center"/>
              <w:rPr>
                <w:rFonts w:ascii="Times New Roman" w:eastAsia="Times New Roman" w:hAnsi="Times New Roman" w:cs="Times New Roman"/>
                <w:b/>
                <w:bCs/>
                <w:color w:val="000000"/>
                <w:sz w:val="20"/>
                <w:szCs w:val="20"/>
                <w:lang w:eastAsia="de-DE"/>
              </w:rPr>
            </w:pPr>
            <w:r>
              <w:rPr>
                <w:rFonts w:ascii="Times New Roman" w:eastAsia="Times New Roman" w:hAnsi="Times New Roman" w:cs="Times New Roman"/>
                <w:b/>
                <w:bCs/>
                <w:color w:val="000000"/>
                <w:sz w:val="20"/>
                <w:szCs w:val="20"/>
                <w:lang w:eastAsia="de-DE"/>
              </w:rPr>
              <w:t>xvi</w:t>
            </w:r>
          </w:p>
        </w:tc>
        <w:tc>
          <w:tcPr>
            <w:tcW w:w="0" w:type="auto"/>
            <w:tcBorders>
              <w:top w:val="nil"/>
              <w:left w:val="nil"/>
              <w:bottom w:val="single" w:sz="8" w:space="0" w:color="auto"/>
              <w:right w:val="nil"/>
            </w:tcBorders>
            <w:shd w:val="clear" w:color="auto" w:fill="auto"/>
            <w:noWrap/>
            <w:vAlign w:val="bottom"/>
          </w:tcPr>
          <w:p w14:paraId="3B03DD02" w14:textId="77777777" w:rsidR="004541ED" w:rsidRPr="007F425D" w:rsidRDefault="004541ED" w:rsidP="004541ED">
            <w:pPr>
              <w:spacing w:after="0" w:line="240" w:lineRule="auto"/>
              <w:jc w:val="center"/>
              <w:rPr>
                <w:rFonts w:ascii="Times New Roman" w:eastAsia="Times New Roman" w:hAnsi="Times New Roman" w:cs="Times New Roman"/>
                <w:b/>
                <w:bCs/>
                <w:color w:val="000000"/>
                <w:sz w:val="20"/>
                <w:szCs w:val="20"/>
                <w:lang w:eastAsia="de-DE"/>
              </w:rPr>
            </w:pPr>
            <w:r>
              <w:rPr>
                <w:rFonts w:ascii="Times New Roman" w:eastAsia="Times New Roman" w:hAnsi="Times New Roman" w:cs="Times New Roman"/>
                <w:b/>
                <w:bCs/>
                <w:color w:val="000000"/>
                <w:sz w:val="20"/>
                <w:szCs w:val="20"/>
                <w:lang w:eastAsia="de-DE"/>
              </w:rPr>
              <w:t>xvii</w:t>
            </w:r>
          </w:p>
        </w:tc>
        <w:tc>
          <w:tcPr>
            <w:tcW w:w="0" w:type="auto"/>
            <w:tcBorders>
              <w:top w:val="nil"/>
              <w:left w:val="nil"/>
              <w:bottom w:val="single" w:sz="8" w:space="0" w:color="auto"/>
              <w:right w:val="nil"/>
            </w:tcBorders>
            <w:shd w:val="clear" w:color="auto" w:fill="auto"/>
            <w:noWrap/>
            <w:vAlign w:val="bottom"/>
          </w:tcPr>
          <w:p w14:paraId="1E426993" w14:textId="77777777" w:rsidR="004541ED" w:rsidRPr="007F425D" w:rsidRDefault="004541ED" w:rsidP="004541ED">
            <w:pPr>
              <w:spacing w:after="0" w:line="240" w:lineRule="auto"/>
              <w:jc w:val="center"/>
              <w:rPr>
                <w:rFonts w:ascii="Times New Roman" w:eastAsia="Times New Roman" w:hAnsi="Times New Roman" w:cs="Times New Roman"/>
                <w:b/>
                <w:bCs/>
                <w:color w:val="000000"/>
                <w:sz w:val="20"/>
                <w:szCs w:val="20"/>
                <w:lang w:eastAsia="de-DE"/>
              </w:rPr>
            </w:pPr>
            <w:r>
              <w:rPr>
                <w:rFonts w:ascii="Times New Roman" w:eastAsia="Times New Roman" w:hAnsi="Times New Roman" w:cs="Times New Roman"/>
                <w:b/>
                <w:bCs/>
                <w:color w:val="000000"/>
                <w:sz w:val="20"/>
                <w:szCs w:val="20"/>
                <w:lang w:eastAsia="de-DE"/>
              </w:rPr>
              <w:t>xviii</w:t>
            </w:r>
          </w:p>
        </w:tc>
        <w:tc>
          <w:tcPr>
            <w:tcW w:w="0" w:type="auto"/>
            <w:tcBorders>
              <w:top w:val="nil"/>
              <w:left w:val="nil"/>
              <w:bottom w:val="single" w:sz="8" w:space="0" w:color="auto"/>
              <w:right w:val="nil"/>
            </w:tcBorders>
            <w:shd w:val="clear" w:color="auto" w:fill="auto"/>
            <w:noWrap/>
            <w:vAlign w:val="bottom"/>
          </w:tcPr>
          <w:p w14:paraId="74D8E9B1" w14:textId="77777777" w:rsidR="004541ED" w:rsidRPr="007F425D" w:rsidRDefault="004541ED" w:rsidP="004541ED">
            <w:pPr>
              <w:spacing w:after="0" w:line="240" w:lineRule="auto"/>
              <w:jc w:val="center"/>
              <w:rPr>
                <w:rFonts w:ascii="Times New Roman" w:eastAsia="Times New Roman" w:hAnsi="Times New Roman" w:cs="Times New Roman"/>
                <w:b/>
                <w:bCs/>
                <w:color w:val="000000"/>
                <w:sz w:val="20"/>
                <w:szCs w:val="20"/>
                <w:lang w:eastAsia="de-DE"/>
              </w:rPr>
            </w:pPr>
            <w:r>
              <w:rPr>
                <w:rFonts w:ascii="Times New Roman" w:eastAsia="Times New Roman" w:hAnsi="Times New Roman" w:cs="Times New Roman"/>
                <w:b/>
                <w:bCs/>
                <w:color w:val="000000"/>
                <w:sz w:val="20"/>
                <w:szCs w:val="20"/>
                <w:lang w:eastAsia="de-DE"/>
              </w:rPr>
              <w:t>xix</w:t>
            </w:r>
          </w:p>
        </w:tc>
        <w:tc>
          <w:tcPr>
            <w:tcW w:w="0" w:type="auto"/>
            <w:tcBorders>
              <w:top w:val="nil"/>
              <w:left w:val="nil"/>
              <w:bottom w:val="single" w:sz="8" w:space="0" w:color="auto"/>
              <w:right w:val="single" w:sz="12" w:space="0" w:color="auto"/>
            </w:tcBorders>
            <w:shd w:val="clear" w:color="auto" w:fill="auto"/>
            <w:noWrap/>
            <w:vAlign w:val="bottom"/>
          </w:tcPr>
          <w:p w14:paraId="408A1B78" w14:textId="77777777" w:rsidR="004541ED" w:rsidRPr="007F425D" w:rsidRDefault="004541ED" w:rsidP="004541ED">
            <w:pPr>
              <w:spacing w:after="0" w:line="240" w:lineRule="auto"/>
              <w:jc w:val="center"/>
              <w:rPr>
                <w:rFonts w:ascii="Times New Roman" w:eastAsia="Times New Roman" w:hAnsi="Times New Roman" w:cs="Times New Roman"/>
                <w:b/>
                <w:bCs/>
                <w:color w:val="000000"/>
                <w:sz w:val="20"/>
                <w:szCs w:val="20"/>
                <w:lang w:eastAsia="de-DE"/>
              </w:rPr>
            </w:pPr>
            <w:r>
              <w:rPr>
                <w:rFonts w:ascii="Times New Roman" w:eastAsia="Times New Roman" w:hAnsi="Times New Roman" w:cs="Times New Roman"/>
                <w:b/>
                <w:bCs/>
                <w:color w:val="000000"/>
                <w:sz w:val="20"/>
                <w:szCs w:val="20"/>
                <w:lang w:eastAsia="de-DE"/>
              </w:rPr>
              <w:t>xx</w:t>
            </w:r>
          </w:p>
        </w:tc>
      </w:tr>
      <w:tr w:rsidR="004541ED" w:rsidRPr="007F425D" w14:paraId="420FDFFB" w14:textId="77777777" w:rsidTr="004541ED">
        <w:trPr>
          <w:trHeight w:val="20"/>
        </w:trPr>
        <w:tc>
          <w:tcPr>
            <w:tcW w:w="0" w:type="auto"/>
            <w:tcBorders>
              <w:top w:val="nil"/>
              <w:left w:val="single" w:sz="12" w:space="0" w:color="auto"/>
              <w:bottom w:val="nil"/>
              <w:right w:val="nil"/>
            </w:tcBorders>
            <w:shd w:val="clear" w:color="auto" w:fill="auto"/>
            <w:noWrap/>
            <w:vAlign w:val="bottom"/>
            <w:hideMark/>
          </w:tcPr>
          <w:p w14:paraId="4FD44D6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xml:space="preserve">Log asking rent </w:t>
            </w:r>
          </w:p>
        </w:tc>
        <w:tc>
          <w:tcPr>
            <w:tcW w:w="0" w:type="auto"/>
            <w:tcBorders>
              <w:top w:val="nil"/>
              <w:left w:val="nil"/>
              <w:bottom w:val="nil"/>
              <w:right w:val="nil"/>
            </w:tcBorders>
            <w:shd w:val="clear" w:color="auto" w:fill="auto"/>
            <w:noWrap/>
            <w:vAlign w:val="bottom"/>
            <w:hideMark/>
          </w:tcPr>
          <w:p w14:paraId="1EAB3B9F"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i</w:t>
            </w:r>
          </w:p>
        </w:tc>
        <w:tc>
          <w:tcPr>
            <w:tcW w:w="2943" w:type="dxa"/>
            <w:tcBorders>
              <w:top w:val="nil"/>
              <w:left w:val="nil"/>
              <w:bottom w:val="nil"/>
              <w:right w:val="nil"/>
            </w:tcBorders>
            <w:shd w:val="clear" w:color="auto" w:fill="auto"/>
            <w:noWrap/>
            <w:vAlign w:val="bottom"/>
            <w:hideMark/>
          </w:tcPr>
          <w:p w14:paraId="2A1B014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Pr>
                <w:rFonts w:ascii="Times New Roman" w:eastAsia="Times New Roman" w:hAnsi="Times New Roman" w:cs="Times New Roman"/>
                <w:color w:val="000000"/>
                <w:sz w:val="20"/>
                <w:szCs w:val="20"/>
                <w:lang w:eastAsia="de-DE"/>
              </w:rPr>
              <w:t xml:space="preserve">Log </w:t>
            </w:r>
            <w:r w:rsidRPr="007F425D">
              <w:rPr>
                <w:rFonts w:ascii="Times New Roman" w:eastAsia="Times New Roman" w:hAnsi="Times New Roman" w:cs="Times New Roman"/>
                <w:color w:val="000000"/>
                <w:sz w:val="20"/>
                <w:szCs w:val="20"/>
                <w:lang w:eastAsia="de-DE"/>
              </w:rPr>
              <w:t>€/p.m.</w:t>
            </w:r>
          </w:p>
        </w:tc>
        <w:tc>
          <w:tcPr>
            <w:tcW w:w="0" w:type="auto"/>
            <w:tcBorders>
              <w:top w:val="nil"/>
              <w:left w:val="nil"/>
              <w:bottom w:val="nil"/>
              <w:right w:val="single" w:sz="8" w:space="0" w:color="auto"/>
            </w:tcBorders>
            <w:shd w:val="clear" w:color="auto" w:fill="auto"/>
            <w:noWrap/>
            <w:vAlign w:val="bottom"/>
            <w:hideMark/>
          </w:tcPr>
          <w:p w14:paraId="690BE0D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empirica</w:t>
            </w:r>
          </w:p>
        </w:tc>
        <w:tc>
          <w:tcPr>
            <w:tcW w:w="0" w:type="auto"/>
            <w:tcBorders>
              <w:top w:val="nil"/>
              <w:left w:val="nil"/>
              <w:bottom w:val="nil"/>
              <w:right w:val="nil"/>
            </w:tcBorders>
            <w:shd w:val="clear" w:color="auto" w:fill="auto"/>
            <w:noWrap/>
            <w:vAlign w:val="bottom"/>
            <w:hideMark/>
          </w:tcPr>
          <w:p w14:paraId="07BCB9B3"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09</w:t>
            </w:r>
          </w:p>
        </w:tc>
        <w:tc>
          <w:tcPr>
            <w:tcW w:w="0" w:type="auto"/>
            <w:tcBorders>
              <w:top w:val="nil"/>
              <w:left w:val="nil"/>
              <w:bottom w:val="nil"/>
              <w:right w:val="nil"/>
            </w:tcBorders>
            <w:shd w:val="clear" w:color="auto" w:fill="auto"/>
            <w:noWrap/>
            <w:vAlign w:val="bottom"/>
            <w:hideMark/>
          </w:tcPr>
          <w:p w14:paraId="6E2CC099"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48</w:t>
            </w:r>
          </w:p>
        </w:tc>
        <w:tc>
          <w:tcPr>
            <w:tcW w:w="0" w:type="auto"/>
            <w:tcBorders>
              <w:top w:val="nil"/>
              <w:left w:val="nil"/>
              <w:bottom w:val="nil"/>
              <w:right w:val="nil"/>
            </w:tcBorders>
            <w:shd w:val="clear" w:color="auto" w:fill="auto"/>
            <w:noWrap/>
            <w:vAlign w:val="bottom"/>
            <w:hideMark/>
          </w:tcPr>
          <w:p w14:paraId="45E58CBE"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39</w:t>
            </w:r>
          </w:p>
        </w:tc>
        <w:tc>
          <w:tcPr>
            <w:tcW w:w="0" w:type="auto"/>
            <w:tcBorders>
              <w:top w:val="nil"/>
              <w:left w:val="nil"/>
              <w:bottom w:val="nil"/>
              <w:right w:val="nil"/>
            </w:tcBorders>
            <w:shd w:val="clear" w:color="auto" w:fill="auto"/>
            <w:noWrap/>
            <w:vAlign w:val="bottom"/>
            <w:hideMark/>
          </w:tcPr>
          <w:p w14:paraId="125522E1"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82</w:t>
            </w:r>
          </w:p>
        </w:tc>
        <w:tc>
          <w:tcPr>
            <w:tcW w:w="0" w:type="auto"/>
            <w:tcBorders>
              <w:top w:val="nil"/>
              <w:left w:val="nil"/>
              <w:bottom w:val="nil"/>
              <w:right w:val="nil"/>
            </w:tcBorders>
            <w:shd w:val="clear" w:color="auto" w:fill="auto"/>
            <w:noWrap/>
            <w:vAlign w:val="bottom"/>
            <w:hideMark/>
          </w:tcPr>
          <w:p w14:paraId="6727BAA6"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31</w:t>
            </w:r>
          </w:p>
        </w:tc>
        <w:tc>
          <w:tcPr>
            <w:tcW w:w="0" w:type="auto"/>
            <w:tcBorders>
              <w:top w:val="nil"/>
              <w:left w:val="nil"/>
              <w:bottom w:val="nil"/>
              <w:right w:val="single" w:sz="8" w:space="0" w:color="auto"/>
            </w:tcBorders>
            <w:shd w:val="clear" w:color="auto" w:fill="auto"/>
            <w:noWrap/>
            <w:vAlign w:val="bottom"/>
            <w:hideMark/>
          </w:tcPr>
          <w:p w14:paraId="7A3052E2"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91</w:t>
            </w:r>
          </w:p>
        </w:tc>
        <w:tc>
          <w:tcPr>
            <w:tcW w:w="0" w:type="auto"/>
            <w:tcBorders>
              <w:top w:val="nil"/>
              <w:left w:val="nil"/>
              <w:bottom w:val="nil"/>
              <w:right w:val="nil"/>
            </w:tcBorders>
            <w:shd w:val="clear" w:color="auto" w:fill="auto"/>
            <w:noWrap/>
            <w:vAlign w:val="bottom"/>
            <w:hideMark/>
          </w:tcPr>
          <w:p w14:paraId="2AE8AD7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3B53E11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1BEED29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3411131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0E1724D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tcPr>
          <w:p w14:paraId="28ED15C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2A68A28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0B2FA98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3E865D8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43BEEF9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0EF95A4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0F083B8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49E010D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33F3ED4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2FE3052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334977C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248488C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0B80D7D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single" w:sz="12" w:space="0" w:color="auto"/>
            </w:tcBorders>
            <w:shd w:val="clear" w:color="auto" w:fill="auto"/>
            <w:noWrap/>
            <w:vAlign w:val="bottom"/>
            <w:hideMark/>
          </w:tcPr>
          <w:p w14:paraId="68E55C3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r>
      <w:tr w:rsidR="004541ED" w:rsidRPr="007F425D" w14:paraId="061EBD6F" w14:textId="77777777" w:rsidTr="004541ED">
        <w:trPr>
          <w:trHeight w:val="20"/>
        </w:trPr>
        <w:tc>
          <w:tcPr>
            <w:tcW w:w="0" w:type="auto"/>
            <w:tcBorders>
              <w:top w:val="nil"/>
              <w:left w:val="single" w:sz="12" w:space="0" w:color="auto"/>
              <w:bottom w:val="nil"/>
              <w:right w:val="nil"/>
            </w:tcBorders>
            <w:shd w:val="clear" w:color="auto" w:fill="auto"/>
            <w:noWrap/>
            <w:vAlign w:val="bottom"/>
            <w:hideMark/>
          </w:tcPr>
          <w:p w14:paraId="761081E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xml:space="preserve">Time on </w:t>
            </w:r>
            <w:r>
              <w:rPr>
                <w:rFonts w:ascii="Times New Roman" w:eastAsia="Times New Roman" w:hAnsi="Times New Roman" w:cs="Times New Roman"/>
                <w:color w:val="000000"/>
                <w:sz w:val="20"/>
                <w:szCs w:val="20"/>
                <w:lang w:eastAsia="de-DE"/>
              </w:rPr>
              <w:t>m</w:t>
            </w:r>
            <w:r w:rsidRPr="007F425D">
              <w:rPr>
                <w:rFonts w:ascii="Times New Roman" w:eastAsia="Times New Roman" w:hAnsi="Times New Roman" w:cs="Times New Roman"/>
                <w:color w:val="000000"/>
                <w:sz w:val="20"/>
                <w:szCs w:val="20"/>
                <w:lang w:eastAsia="de-DE"/>
              </w:rPr>
              <w:t xml:space="preserve">arket </w:t>
            </w:r>
          </w:p>
        </w:tc>
        <w:tc>
          <w:tcPr>
            <w:tcW w:w="0" w:type="auto"/>
            <w:tcBorders>
              <w:top w:val="nil"/>
              <w:left w:val="nil"/>
              <w:bottom w:val="nil"/>
              <w:right w:val="nil"/>
            </w:tcBorders>
            <w:shd w:val="clear" w:color="auto" w:fill="auto"/>
            <w:noWrap/>
            <w:vAlign w:val="bottom"/>
            <w:hideMark/>
          </w:tcPr>
          <w:p w14:paraId="7253DC45"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ii</w:t>
            </w:r>
          </w:p>
        </w:tc>
        <w:tc>
          <w:tcPr>
            <w:tcW w:w="2943" w:type="dxa"/>
            <w:tcBorders>
              <w:top w:val="nil"/>
              <w:left w:val="nil"/>
              <w:bottom w:val="nil"/>
              <w:right w:val="nil"/>
            </w:tcBorders>
            <w:shd w:val="clear" w:color="auto" w:fill="auto"/>
            <w:noWrap/>
            <w:vAlign w:val="bottom"/>
            <w:hideMark/>
          </w:tcPr>
          <w:p w14:paraId="1636382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Weeks</w:t>
            </w:r>
          </w:p>
        </w:tc>
        <w:tc>
          <w:tcPr>
            <w:tcW w:w="0" w:type="auto"/>
            <w:tcBorders>
              <w:top w:val="nil"/>
              <w:left w:val="nil"/>
              <w:bottom w:val="nil"/>
              <w:right w:val="single" w:sz="8" w:space="0" w:color="auto"/>
            </w:tcBorders>
            <w:shd w:val="clear" w:color="auto" w:fill="auto"/>
            <w:noWrap/>
            <w:vAlign w:val="bottom"/>
            <w:hideMark/>
          </w:tcPr>
          <w:p w14:paraId="391612F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empirica</w:t>
            </w:r>
          </w:p>
        </w:tc>
        <w:tc>
          <w:tcPr>
            <w:tcW w:w="0" w:type="auto"/>
            <w:tcBorders>
              <w:top w:val="nil"/>
              <w:left w:val="nil"/>
              <w:bottom w:val="nil"/>
              <w:right w:val="nil"/>
            </w:tcBorders>
            <w:shd w:val="clear" w:color="auto" w:fill="auto"/>
            <w:noWrap/>
            <w:vAlign w:val="bottom"/>
            <w:hideMark/>
          </w:tcPr>
          <w:p w14:paraId="1EE1F71B"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25</w:t>
            </w:r>
          </w:p>
        </w:tc>
        <w:tc>
          <w:tcPr>
            <w:tcW w:w="0" w:type="auto"/>
            <w:tcBorders>
              <w:top w:val="nil"/>
              <w:left w:val="nil"/>
              <w:bottom w:val="nil"/>
              <w:right w:val="nil"/>
            </w:tcBorders>
            <w:shd w:val="clear" w:color="auto" w:fill="auto"/>
            <w:noWrap/>
            <w:vAlign w:val="bottom"/>
            <w:hideMark/>
          </w:tcPr>
          <w:p w14:paraId="5DD17FD4"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86</w:t>
            </w:r>
          </w:p>
        </w:tc>
        <w:tc>
          <w:tcPr>
            <w:tcW w:w="0" w:type="auto"/>
            <w:tcBorders>
              <w:top w:val="nil"/>
              <w:left w:val="nil"/>
              <w:bottom w:val="nil"/>
              <w:right w:val="nil"/>
            </w:tcBorders>
            <w:shd w:val="clear" w:color="auto" w:fill="auto"/>
            <w:noWrap/>
            <w:vAlign w:val="bottom"/>
            <w:hideMark/>
          </w:tcPr>
          <w:p w14:paraId="4921CA9F"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20</w:t>
            </w:r>
          </w:p>
        </w:tc>
        <w:tc>
          <w:tcPr>
            <w:tcW w:w="0" w:type="auto"/>
            <w:tcBorders>
              <w:top w:val="nil"/>
              <w:left w:val="nil"/>
              <w:bottom w:val="nil"/>
              <w:right w:val="nil"/>
            </w:tcBorders>
            <w:shd w:val="clear" w:color="auto" w:fill="auto"/>
            <w:noWrap/>
            <w:vAlign w:val="bottom"/>
            <w:hideMark/>
          </w:tcPr>
          <w:p w14:paraId="3067111A"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80</w:t>
            </w:r>
          </w:p>
        </w:tc>
        <w:tc>
          <w:tcPr>
            <w:tcW w:w="0" w:type="auto"/>
            <w:tcBorders>
              <w:top w:val="nil"/>
              <w:left w:val="nil"/>
              <w:bottom w:val="nil"/>
              <w:right w:val="nil"/>
            </w:tcBorders>
            <w:shd w:val="clear" w:color="auto" w:fill="auto"/>
            <w:noWrap/>
            <w:vAlign w:val="bottom"/>
            <w:hideMark/>
          </w:tcPr>
          <w:p w14:paraId="7D07D607"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20</w:t>
            </w:r>
          </w:p>
        </w:tc>
        <w:tc>
          <w:tcPr>
            <w:tcW w:w="0" w:type="auto"/>
            <w:tcBorders>
              <w:top w:val="nil"/>
              <w:left w:val="nil"/>
              <w:bottom w:val="nil"/>
              <w:right w:val="single" w:sz="8" w:space="0" w:color="auto"/>
            </w:tcBorders>
            <w:shd w:val="clear" w:color="auto" w:fill="auto"/>
            <w:noWrap/>
            <w:vAlign w:val="bottom"/>
            <w:hideMark/>
          </w:tcPr>
          <w:p w14:paraId="30AAC49A"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60</w:t>
            </w:r>
          </w:p>
        </w:tc>
        <w:tc>
          <w:tcPr>
            <w:tcW w:w="0" w:type="auto"/>
            <w:tcBorders>
              <w:top w:val="nil"/>
              <w:left w:val="nil"/>
              <w:bottom w:val="nil"/>
              <w:right w:val="nil"/>
            </w:tcBorders>
            <w:shd w:val="clear" w:color="auto" w:fill="auto"/>
            <w:noWrap/>
            <w:vAlign w:val="bottom"/>
            <w:hideMark/>
          </w:tcPr>
          <w:p w14:paraId="22451DBE"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-11%</w:t>
            </w:r>
          </w:p>
        </w:tc>
        <w:tc>
          <w:tcPr>
            <w:tcW w:w="0" w:type="auto"/>
            <w:tcBorders>
              <w:top w:val="nil"/>
              <w:left w:val="nil"/>
              <w:bottom w:val="nil"/>
              <w:right w:val="nil"/>
            </w:tcBorders>
            <w:shd w:val="clear" w:color="auto" w:fill="auto"/>
            <w:noWrap/>
            <w:vAlign w:val="bottom"/>
            <w:hideMark/>
          </w:tcPr>
          <w:p w14:paraId="5092B4A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272A229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167E019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7B0F54D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tcPr>
          <w:p w14:paraId="1637BB2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73131C8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3F3A800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424F22E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70FAC9E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601FFEB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467C09C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1F8EDEF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470CB03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4CD17CA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1BA72B5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7736964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0430DED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single" w:sz="12" w:space="0" w:color="auto"/>
            </w:tcBorders>
            <w:shd w:val="clear" w:color="auto" w:fill="auto"/>
            <w:noWrap/>
            <w:vAlign w:val="bottom"/>
            <w:hideMark/>
          </w:tcPr>
          <w:p w14:paraId="61E0BF7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r>
      <w:tr w:rsidR="004541ED" w:rsidRPr="007F425D" w14:paraId="2533E3D5" w14:textId="77777777" w:rsidTr="004541ED">
        <w:trPr>
          <w:trHeight w:val="20"/>
        </w:trPr>
        <w:tc>
          <w:tcPr>
            <w:tcW w:w="0" w:type="auto"/>
            <w:tcBorders>
              <w:top w:val="nil"/>
              <w:left w:val="single" w:sz="12" w:space="0" w:color="auto"/>
              <w:bottom w:val="nil"/>
              <w:right w:val="nil"/>
            </w:tcBorders>
            <w:shd w:val="clear" w:color="auto" w:fill="auto"/>
            <w:noWrap/>
            <w:vAlign w:val="bottom"/>
            <w:hideMark/>
          </w:tcPr>
          <w:p w14:paraId="6456067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Energy consumption</w:t>
            </w:r>
          </w:p>
        </w:tc>
        <w:tc>
          <w:tcPr>
            <w:tcW w:w="0" w:type="auto"/>
            <w:tcBorders>
              <w:top w:val="nil"/>
              <w:left w:val="nil"/>
              <w:bottom w:val="nil"/>
              <w:right w:val="nil"/>
            </w:tcBorders>
            <w:shd w:val="clear" w:color="auto" w:fill="auto"/>
            <w:noWrap/>
            <w:vAlign w:val="bottom"/>
            <w:hideMark/>
          </w:tcPr>
          <w:p w14:paraId="534202F4"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iii</w:t>
            </w:r>
          </w:p>
        </w:tc>
        <w:tc>
          <w:tcPr>
            <w:tcW w:w="2943" w:type="dxa"/>
            <w:tcBorders>
              <w:top w:val="nil"/>
              <w:left w:val="nil"/>
              <w:bottom w:val="nil"/>
              <w:right w:val="nil"/>
            </w:tcBorders>
            <w:shd w:val="clear" w:color="auto" w:fill="auto"/>
            <w:noWrap/>
            <w:vAlign w:val="bottom"/>
            <w:hideMark/>
          </w:tcPr>
          <w:p w14:paraId="267825A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kWh/m²/p.a.</w:t>
            </w:r>
          </w:p>
        </w:tc>
        <w:tc>
          <w:tcPr>
            <w:tcW w:w="0" w:type="auto"/>
            <w:tcBorders>
              <w:top w:val="nil"/>
              <w:left w:val="nil"/>
              <w:bottom w:val="nil"/>
              <w:right w:val="single" w:sz="8" w:space="0" w:color="auto"/>
            </w:tcBorders>
            <w:shd w:val="clear" w:color="auto" w:fill="auto"/>
            <w:noWrap/>
            <w:vAlign w:val="bottom"/>
            <w:hideMark/>
          </w:tcPr>
          <w:p w14:paraId="6A4A524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empirica</w:t>
            </w:r>
          </w:p>
        </w:tc>
        <w:tc>
          <w:tcPr>
            <w:tcW w:w="0" w:type="auto"/>
            <w:tcBorders>
              <w:top w:val="nil"/>
              <w:left w:val="nil"/>
              <w:bottom w:val="nil"/>
              <w:right w:val="nil"/>
            </w:tcBorders>
            <w:shd w:val="clear" w:color="auto" w:fill="auto"/>
            <w:noWrap/>
            <w:vAlign w:val="bottom"/>
            <w:hideMark/>
          </w:tcPr>
          <w:p w14:paraId="40439EB3"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128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27</w:t>
            </w:r>
          </w:p>
        </w:tc>
        <w:tc>
          <w:tcPr>
            <w:tcW w:w="0" w:type="auto"/>
            <w:tcBorders>
              <w:top w:val="nil"/>
              <w:left w:val="nil"/>
              <w:bottom w:val="nil"/>
              <w:right w:val="nil"/>
            </w:tcBorders>
            <w:shd w:val="clear" w:color="auto" w:fill="auto"/>
            <w:noWrap/>
            <w:vAlign w:val="bottom"/>
            <w:hideMark/>
          </w:tcPr>
          <w:p w14:paraId="7D2C0D3E"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52</w:t>
            </w:r>
          </w:p>
        </w:tc>
        <w:tc>
          <w:tcPr>
            <w:tcW w:w="0" w:type="auto"/>
            <w:tcBorders>
              <w:top w:val="nil"/>
              <w:left w:val="nil"/>
              <w:bottom w:val="nil"/>
              <w:right w:val="nil"/>
            </w:tcBorders>
            <w:shd w:val="clear" w:color="auto" w:fill="auto"/>
            <w:noWrap/>
            <w:vAlign w:val="bottom"/>
            <w:hideMark/>
          </w:tcPr>
          <w:p w14:paraId="1E050A06"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nil"/>
            </w:tcBorders>
            <w:shd w:val="clear" w:color="auto" w:fill="auto"/>
            <w:noWrap/>
            <w:vAlign w:val="bottom"/>
            <w:hideMark/>
          </w:tcPr>
          <w:p w14:paraId="425E3D74"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101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40</w:t>
            </w:r>
          </w:p>
        </w:tc>
        <w:tc>
          <w:tcPr>
            <w:tcW w:w="0" w:type="auto"/>
            <w:tcBorders>
              <w:top w:val="nil"/>
              <w:left w:val="nil"/>
              <w:bottom w:val="nil"/>
              <w:right w:val="nil"/>
            </w:tcBorders>
            <w:shd w:val="clear" w:color="auto" w:fill="auto"/>
            <w:noWrap/>
            <w:vAlign w:val="bottom"/>
            <w:hideMark/>
          </w:tcPr>
          <w:p w14:paraId="34686A9A"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145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single" w:sz="8" w:space="0" w:color="auto"/>
            </w:tcBorders>
            <w:shd w:val="clear" w:color="auto" w:fill="auto"/>
            <w:noWrap/>
            <w:vAlign w:val="bottom"/>
            <w:hideMark/>
          </w:tcPr>
          <w:p w14:paraId="24CE5928"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209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nil"/>
            </w:tcBorders>
            <w:shd w:val="clear" w:color="auto" w:fill="auto"/>
            <w:noWrap/>
            <w:vAlign w:val="bottom"/>
            <w:hideMark/>
          </w:tcPr>
          <w:p w14:paraId="1B3F2AC0"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p>
        </w:tc>
        <w:tc>
          <w:tcPr>
            <w:tcW w:w="0" w:type="auto"/>
            <w:tcBorders>
              <w:top w:val="nil"/>
              <w:left w:val="nil"/>
              <w:bottom w:val="nil"/>
              <w:right w:val="nil"/>
            </w:tcBorders>
            <w:shd w:val="clear" w:color="auto" w:fill="auto"/>
            <w:noWrap/>
            <w:vAlign w:val="bottom"/>
            <w:hideMark/>
          </w:tcPr>
          <w:p w14:paraId="6157CBB5"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p>
        </w:tc>
        <w:tc>
          <w:tcPr>
            <w:tcW w:w="0" w:type="auto"/>
            <w:tcBorders>
              <w:top w:val="nil"/>
              <w:left w:val="nil"/>
              <w:bottom w:val="nil"/>
              <w:right w:val="nil"/>
            </w:tcBorders>
            <w:shd w:val="clear" w:color="auto" w:fill="auto"/>
            <w:noWrap/>
            <w:vAlign w:val="bottom"/>
            <w:hideMark/>
          </w:tcPr>
          <w:p w14:paraId="002ED54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1FB95F5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258C205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tcPr>
          <w:p w14:paraId="0BC1A29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1E88484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6D49FDE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4A9E312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31D1764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4BB3169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3077BEA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7CD923C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313E0B0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3439793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1BEAED0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1E93B6B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23D4E1B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single" w:sz="12" w:space="0" w:color="auto"/>
            </w:tcBorders>
            <w:shd w:val="clear" w:color="auto" w:fill="auto"/>
            <w:noWrap/>
            <w:vAlign w:val="bottom"/>
            <w:hideMark/>
          </w:tcPr>
          <w:p w14:paraId="38E430E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r>
      <w:tr w:rsidR="004541ED" w:rsidRPr="007F425D" w14:paraId="439A7BF5" w14:textId="77777777" w:rsidTr="004541ED">
        <w:trPr>
          <w:trHeight w:val="20"/>
        </w:trPr>
        <w:tc>
          <w:tcPr>
            <w:tcW w:w="0" w:type="auto"/>
            <w:tcBorders>
              <w:top w:val="nil"/>
              <w:left w:val="single" w:sz="12" w:space="0" w:color="auto"/>
              <w:bottom w:val="nil"/>
              <w:right w:val="nil"/>
            </w:tcBorders>
            <w:shd w:val="clear" w:color="auto" w:fill="auto"/>
            <w:noWrap/>
            <w:vAlign w:val="bottom"/>
            <w:hideMark/>
          </w:tcPr>
          <w:p w14:paraId="52B82FC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Living area</w:t>
            </w:r>
          </w:p>
        </w:tc>
        <w:tc>
          <w:tcPr>
            <w:tcW w:w="0" w:type="auto"/>
            <w:tcBorders>
              <w:top w:val="nil"/>
              <w:left w:val="nil"/>
              <w:bottom w:val="nil"/>
              <w:right w:val="nil"/>
            </w:tcBorders>
            <w:shd w:val="clear" w:color="auto" w:fill="auto"/>
            <w:noWrap/>
            <w:vAlign w:val="bottom"/>
            <w:hideMark/>
          </w:tcPr>
          <w:p w14:paraId="7F0DD77B"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iv</w:t>
            </w:r>
          </w:p>
        </w:tc>
        <w:tc>
          <w:tcPr>
            <w:tcW w:w="2943" w:type="dxa"/>
            <w:tcBorders>
              <w:top w:val="nil"/>
              <w:left w:val="nil"/>
              <w:bottom w:val="nil"/>
              <w:right w:val="nil"/>
            </w:tcBorders>
            <w:shd w:val="clear" w:color="auto" w:fill="auto"/>
            <w:noWrap/>
            <w:vAlign w:val="bottom"/>
            <w:hideMark/>
          </w:tcPr>
          <w:p w14:paraId="511082F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m²</w:t>
            </w:r>
          </w:p>
        </w:tc>
        <w:tc>
          <w:tcPr>
            <w:tcW w:w="0" w:type="auto"/>
            <w:tcBorders>
              <w:top w:val="nil"/>
              <w:left w:val="nil"/>
              <w:bottom w:val="nil"/>
              <w:right w:val="single" w:sz="8" w:space="0" w:color="auto"/>
            </w:tcBorders>
            <w:shd w:val="clear" w:color="auto" w:fill="auto"/>
            <w:noWrap/>
            <w:vAlign w:val="bottom"/>
            <w:hideMark/>
          </w:tcPr>
          <w:p w14:paraId="017E271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empirica</w:t>
            </w:r>
          </w:p>
        </w:tc>
        <w:tc>
          <w:tcPr>
            <w:tcW w:w="0" w:type="auto"/>
            <w:tcBorders>
              <w:top w:val="nil"/>
              <w:left w:val="nil"/>
              <w:bottom w:val="nil"/>
              <w:right w:val="nil"/>
            </w:tcBorders>
            <w:shd w:val="clear" w:color="auto" w:fill="auto"/>
            <w:noWrap/>
            <w:vAlign w:val="bottom"/>
            <w:hideMark/>
          </w:tcPr>
          <w:p w14:paraId="5FAF3908"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38</w:t>
            </w:r>
          </w:p>
        </w:tc>
        <w:tc>
          <w:tcPr>
            <w:tcW w:w="0" w:type="auto"/>
            <w:tcBorders>
              <w:top w:val="nil"/>
              <w:left w:val="nil"/>
              <w:bottom w:val="nil"/>
              <w:right w:val="nil"/>
            </w:tcBorders>
            <w:shd w:val="clear" w:color="auto" w:fill="auto"/>
            <w:noWrap/>
            <w:vAlign w:val="bottom"/>
            <w:hideMark/>
          </w:tcPr>
          <w:p w14:paraId="602BDC45"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14</w:t>
            </w:r>
          </w:p>
        </w:tc>
        <w:tc>
          <w:tcPr>
            <w:tcW w:w="0" w:type="auto"/>
            <w:tcBorders>
              <w:top w:val="nil"/>
              <w:left w:val="nil"/>
              <w:bottom w:val="nil"/>
              <w:right w:val="nil"/>
            </w:tcBorders>
            <w:shd w:val="clear" w:color="auto" w:fill="auto"/>
            <w:noWrap/>
            <w:vAlign w:val="bottom"/>
            <w:hideMark/>
          </w:tcPr>
          <w:p w14:paraId="0DAE2BBF"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45</w:t>
            </w:r>
          </w:p>
        </w:tc>
        <w:tc>
          <w:tcPr>
            <w:tcW w:w="0" w:type="auto"/>
            <w:tcBorders>
              <w:top w:val="nil"/>
              <w:left w:val="nil"/>
              <w:bottom w:val="nil"/>
              <w:right w:val="nil"/>
            </w:tcBorders>
            <w:shd w:val="clear" w:color="auto" w:fill="auto"/>
            <w:noWrap/>
            <w:vAlign w:val="bottom"/>
            <w:hideMark/>
          </w:tcPr>
          <w:p w14:paraId="6DD0E858"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nil"/>
            </w:tcBorders>
            <w:shd w:val="clear" w:color="auto" w:fill="auto"/>
            <w:noWrap/>
            <w:vAlign w:val="bottom"/>
            <w:hideMark/>
          </w:tcPr>
          <w:p w14:paraId="026E6D63"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31</w:t>
            </w:r>
          </w:p>
        </w:tc>
        <w:tc>
          <w:tcPr>
            <w:tcW w:w="0" w:type="auto"/>
            <w:tcBorders>
              <w:top w:val="nil"/>
              <w:left w:val="nil"/>
              <w:bottom w:val="nil"/>
              <w:right w:val="single" w:sz="8" w:space="0" w:color="auto"/>
            </w:tcBorders>
            <w:shd w:val="clear" w:color="auto" w:fill="auto"/>
            <w:noWrap/>
            <w:vAlign w:val="bottom"/>
            <w:hideMark/>
          </w:tcPr>
          <w:p w14:paraId="6167145A"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115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nil"/>
            </w:tcBorders>
            <w:shd w:val="clear" w:color="auto" w:fill="auto"/>
            <w:noWrap/>
            <w:vAlign w:val="bottom"/>
            <w:hideMark/>
          </w:tcPr>
          <w:p w14:paraId="4A84B30A"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75%</w:t>
            </w:r>
          </w:p>
        </w:tc>
        <w:tc>
          <w:tcPr>
            <w:tcW w:w="0" w:type="auto"/>
            <w:tcBorders>
              <w:top w:val="nil"/>
              <w:left w:val="nil"/>
              <w:bottom w:val="nil"/>
              <w:right w:val="nil"/>
            </w:tcBorders>
            <w:shd w:val="clear" w:color="auto" w:fill="auto"/>
            <w:noWrap/>
            <w:vAlign w:val="bottom"/>
            <w:hideMark/>
          </w:tcPr>
          <w:p w14:paraId="5FD55827"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w:t>
            </w:r>
          </w:p>
        </w:tc>
        <w:tc>
          <w:tcPr>
            <w:tcW w:w="0" w:type="auto"/>
            <w:tcBorders>
              <w:top w:val="nil"/>
              <w:left w:val="nil"/>
              <w:bottom w:val="nil"/>
              <w:right w:val="nil"/>
            </w:tcBorders>
            <w:shd w:val="clear" w:color="auto" w:fill="auto"/>
            <w:noWrap/>
            <w:vAlign w:val="bottom"/>
            <w:hideMark/>
          </w:tcPr>
          <w:p w14:paraId="16A3C1FD"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p>
        </w:tc>
        <w:tc>
          <w:tcPr>
            <w:tcW w:w="0" w:type="auto"/>
            <w:tcBorders>
              <w:top w:val="nil"/>
              <w:left w:val="nil"/>
              <w:bottom w:val="nil"/>
              <w:right w:val="nil"/>
            </w:tcBorders>
            <w:shd w:val="clear" w:color="auto" w:fill="auto"/>
            <w:noWrap/>
            <w:vAlign w:val="bottom"/>
            <w:hideMark/>
          </w:tcPr>
          <w:p w14:paraId="2355B70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2A5ADF7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tcPr>
          <w:p w14:paraId="7B3B5E8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2FA61E6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12E972F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20ED53B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4BB24ED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1287EF3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03EFF72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27E9708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418ED15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1F010E4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068EA62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2989A5A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20A5A07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single" w:sz="12" w:space="0" w:color="auto"/>
            </w:tcBorders>
            <w:shd w:val="clear" w:color="auto" w:fill="auto"/>
            <w:noWrap/>
            <w:vAlign w:val="bottom"/>
            <w:hideMark/>
          </w:tcPr>
          <w:p w14:paraId="0D0994B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r>
      <w:tr w:rsidR="004541ED" w:rsidRPr="007F425D" w14:paraId="17602FDD" w14:textId="77777777" w:rsidTr="004541ED">
        <w:trPr>
          <w:trHeight w:val="20"/>
        </w:trPr>
        <w:tc>
          <w:tcPr>
            <w:tcW w:w="0" w:type="auto"/>
            <w:tcBorders>
              <w:top w:val="nil"/>
              <w:left w:val="single" w:sz="12" w:space="0" w:color="auto"/>
              <w:bottom w:val="nil"/>
              <w:right w:val="nil"/>
            </w:tcBorders>
            <w:shd w:val="clear" w:color="auto" w:fill="auto"/>
            <w:noWrap/>
            <w:vAlign w:val="bottom"/>
            <w:hideMark/>
          </w:tcPr>
          <w:p w14:paraId="1892332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Age</w:t>
            </w:r>
          </w:p>
        </w:tc>
        <w:tc>
          <w:tcPr>
            <w:tcW w:w="0" w:type="auto"/>
            <w:tcBorders>
              <w:top w:val="nil"/>
              <w:left w:val="nil"/>
              <w:bottom w:val="nil"/>
              <w:right w:val="nil"/>
            </w:tcBorders>
            <w:shd w:val="clear" w:color="auto" w:fill="auto"/>
            <w:noWrap/>
            <w:vAlign w:val="bottom"/>
            <w:hideMark/>
          </w:tcPr>
          <w:p w14:paraId="3BC248FF"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Pr>
                <w:rFonts w:ascii="Times New Roman" w:eastAsia="Times New Roman" w:hAnsi="Times New Roman" w:cs="Times New Roman"/>
                <w:color w:val="000000"/>
                <w:sz w:val="20"/>
                <w:szCs w:val="20"/>
                <w:lang w:eastAsia="de-DE"/>
              </w:rPr>
              <w:t>v</w:t>
            </w:r>
          </w:p>
        </w:tc>
        <w:tc>
          <w:tcPr>
            <w:tcW w:w="2943" w:type="dxa"/>
            <w:tcBorders>
              <w:top w:val="nil"/>
              <w:left w:val="nil"/>
              <w:bottom w:val="nil"/>
              <w:right w:val="nil"/>
            </w:tcBorders>
            <w:shd w:val="clear" w:color="auto" w:fill="auto"/>
            <w:noWrap/>
            <w:vAlign w:val="bottom"/>
            <w:hideMark/>
          </w:tcPr>
          <w:p w14:paraId="27773DF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Years relative to 2017</w:t>
            </w:r>
          </w:p>
        </w:tc>
        <w:tc>
          <w:tcPr>
            <w:tcW w:w="0" w:type="auto"/>
            <w:tcBorders>
              <w:top w:val="nil"/>
              <w:left w:val="nil"/>
              <w:bottom w:val="nil"/>
              <w:right w:val="single" w:sz="8" w:space="0" w:color="auto"/>
            </w:tcBorders>
            <w:shd w:val="clear" w:color="auto" w:fill="auto"/>
            <w:noWrap/>
            <w:vAlign w:val="bottom"/>
            <w:hideMark/>
          </w:tcPr>
          <w:p w14:paraId="2490488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empirica</w:t>
            </w:r>
          </w:p>
        </w:tc>
        <w:tc>
          <w:tcPr>
            <w:tcW w:w="0" w:type="auto"/>
            <w:tcBorders>
              <w:top w:val="nil"/>
              <w:left w:val="nil"/>
              <w:bottom w:val="nil"/>
              <w:right w:val="nil"/>
            </w:tcBorders>
            <w:shd w:val="clear" w:color="auto" w:fill="auto"/>
            <w:noWrap/>
            <w:vAlign w:val="bottom"/>
            <w:hideMark/>
          </w:tcPr>
          <w:p w14:paraId="4E3C28AE"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72</w:t>
            </w:r>
          </w:p>
        </w:tc>
        <w:tc>
          <w:tcPr>
            <w:tcW w:w="0" w:type="auto"/>
            <w:tcBorders>
              <w:top w:val="nil"/>
              <w:left w:val="nil"/>
              <w:bottom w:val="nil"/>
              <w:right w:val="nil"/>
            </w:tcBorders>
            <w:shd w:val="clear" w:color="auto" w:fill="auto"/>
            <w:noWrap/>
            <w:vAlign w:val="bottom"/>
            <w:hideMark/>
          </w:tcPr>
          <w:p w14:paraId="74F184C8"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68</w:t>
            </w:r>
          </w:p>
        </w:tc>
        <w:tc>
          <w:tcPr>
            <w:tcW w:w="0" w:type="auto"/>
            <w:tcBorders>
              <w:top w:val="nil"/>
              <w:left w:val="nil"/>
              <w:bottom w:val="nil"/>
              <w:right w:val="nil"/>
            </w:tcBorders>
            <w:shd w:val="clear" w:color="auto" w:fill="auto"/>
            <w:noWrap/>
            <w:vAlign w:val="bottom"/>
            <w:hideMark/>
          </w:tcPr>
          <w:p w14:paraId="707FEA3C"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nil"/>
            </w:tcBorders>
            <w:shd w:val="clear" w:color="auto" w:fill="auto"/>
            <w:noWrap/>
            <w:vAlign w:val="bottom"/>
            <w:hideMark/>
          </w:tcPr>
          <w:p w14:paraId="7649EA1E"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nil"/>
            </w:tcBorders>
            <w:shd w:val="clear" w:color="auto" w:fill="auto"/>
            <w:noWrap/>
            <w:vAlign w:val="bottom"/>
            <w:hideMark/>
          </w:tcPr>
          <w:p w14:paraId="0CA77783"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single" w:sz="8" w:space="0" w:color="auto"/>
            </w:tcBorders>
            <w:shd w:val="clear" w:color="auto" w:fill="auto"/>
            <w:noWrap/>
            <w:vAlign w:val="bottom"/>
            <w:hideMark/>
          </w:tcPr>
          <w:p w14:paraId="0FA0A4C0"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117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nil"/>
            </w:tcBorders>
            <w:shd w:val="clear" w:color="auto" w:fill="auto"/>
            <w:noWrap/>
            <w:vAlign w:val="bottom"/>
            <w:hideMark/>
          </w:tcPr>
          <w:p w14:paraId="20DD0A28"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-10%</w:t>
            </w:r>
          </w:p>
        </w:tc>
        <w:tc>
          <w:tcPr>
            <w:tcW w:w="0" w:type="auto"/>
            <w:tcBorders>
              <w:top w:val="nil"/>
              <w:left w:val="nil"/>
              <w:bottom w:val="nil"/>
              <w:right w:val="nil"/>
            </w:tcBorders>
            <w:shd w:val="clear" w:color="auto" w:fill="auto"/>
            <w:noWrap/>
            <w:vAlign w:val="bottom"/>
            <w:hideMark/>
          </w:tcPr>
          <w:p w14:paraId="5ADB610B"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w:t>
            </w:r>
          </w:p>
        </w:tc>
        <w:tc>
          <w:tcPr>
            <w:tcW w:w="0" w:type="auto"/>
            <w:tcBorders>
              <w:top w:val="nil"/>
              <w:left w:val="nil"/>
              <w:bottom w:val="nil"/>
              <w:right w:val="nil"/>
            </w:tcBorders>
            <w:shd w:val="clear" w:color="auto" w:fill="auto"/>
            <w:noWrap/>
            <w:vAlign w:val="bottom"/>
            <w:hideMark/>
          </w:tcPr>
          <w:p w14:paraId="2D26CBE6"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18%</w:t>
            </w:r>
          </w:p>
        </w:tc>
        <w:tc>
          <w:tcPr>
            <w:tcW w:w="0" w:type="auto"/>
            <w:tcBorders>
              <w:top w:val="nil"/>
              <w:left w:val="nil"/>
              <w:bottom w:val="nil"/>
              <w:right w:val="nil"/>
            </w:tcBorders>
            <w:shd w:val="clear" w:color="auto" w:fill="auto"/>
            <w:noWrap/>
            <w:vAlign w:val="bottom"/>
            <w:hideMark/>
          </w:tcPr>
          <w:p w14:paraId="4468F56B"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w:t>
            </w:r>
          </w:p>
        </w:tc>
        <w:tc>
          <w:tcPr>
            <w:tcW w:w="0" w:type="auto"/>
            <w:tcBorders>
              <w:top w:val="nil"/>
              <w:left w:val="nil"/>
              <w:bottom w:val="nil"/>
              <w:right w:val="nil"/>
            </w:tcBorders>
            <w:shd w:val="clear" w:color="auto" w:fill="auto"/>
            <w:noWrap/>
            <w:vAlign w:val="bottom"/>
            <w:hideMark/>
          </w:tcPr>
          <w:p w14:paraId="099BF2E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tcPr>
          <w:p w14:paraId="3EC3148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5CF7AC9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24A4775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5482383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22B27A8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3412846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456D24B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0726C2D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750DB90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2A8106B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32EC1A1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26B0A16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612C616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single" w:sz="12" w:space="0" w:color="auto"/>
            </w:tcBorders>
            <w:shd w:val="clear" w:color="auto" w:fill="auto"/>
            <w:noWrap/>
            <w:vAlign w:val="bottom"/>
            <w:hideMark/>
          </w:tcPr>
          <w:p w14:paraId="7EA191B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r>
      <w:tr w:rsidR="004541ED" w:rsidRPr="007F425D" w14:paraId="1E4C027E" w14:textId="77777777" w:rsidTr="004541ED">
        <w:trPr>
          <w:trHeight w:val="20"/>
        </w:trPr>
        <w:tc>
          <w:tcPr>
            <w:tcW w:w="0" w:type="auto"/>
            <w:tcBorders>
              <w:top w:val="nil"/>
              <w:left w:val="single" w:sz="12" w:space="0" w:color="auto"/>
              <w:bottom w:val="nil"/>
              <w:right w:val="nil"/>
            </w:tcBorders>
            <w:shd w:val="clear" w:color="auto" w:fill="auto"/>
            <w:noWrap/>
            <w:vAlign w:val="bottom"/>
            <w:hideMark/>
          </w:tcPr>
          <w:p w14:paraId="6018FA0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Number of rooms</w:t>
            </w:r>
          </w:p>
        </w:tc>
        <w:tc>
          <w:tcPr>
            <w:tcW w:w="0" w:type="auto"/>
            <w:tcBorders>
              <w:top w:val="nil"/>
              <w:left w:val="nil"/>
              <w:bottom w:val="nil"/>
              <w:right w:val="nil"/>
            </w:tcBorders>
            <w:shd w:val="clear" w:color="auto" w:fill="auto"/>
            <w:noWrap/>
            <w:vAlign w:val="bottom"/>
            <w:hideMark/>
          </w:tcPr>
          <w:p w14:paraId="393D39C9"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vi</w:t>
            </w:r>
          </w:p>
        </w:tc>
        <w:tc>
          <w:tcPr>
            <w:tcW w:w="2943" w:type="dxa"/>
            <w:tcBorders>
              <w:top w:val="nil"/>
              <w:left w:val="nil"/>
              <w:bottom w:val="nil"/>
              <w:right w:val="nil"/>
            </w:tcBorders>
            <w:shd w:val="clear" w:color="auto" w:fill="auto"/>
            <w:noWrap/>
            <w:vAlign w:val="bottom"/>
            <w:hideMark/>
          </w:tcPr>
          <w:p w14:paraId="7CDE99E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Number</w:t>
            </w:r>
          </w:p>
        </w:tc>
        <w:tc>
          <w:tcPr>
            <w:tcW w:w="0" w:type="auto"/>
            <w:tcBorders>
              <w:top w:val="nil"/>
              <w:left w:val="nil"/>
              <w:bottom w:val="nil"/>
              <w:right w:val="single" w:sz="8" w:space="0" w:color="auto"/>
            </w:tcBorders>
            <w:shd w:val="clear" w:color="auto" w:fill="auto"/>
            <w:noWrap/>
            <w:vAlign w:val="bottom"/>
            <w:hideMark/>
          </w:tcPr>
          <w:p w14:paraId="02C4050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empirica</w:t>
            </w:r>
          </w:p>
        </w:tc>
        <w:tc>
          <w:tcPr>
            <w:tcW w:w="0" w:type="auto"/>
            <w:tcBorders>
              <w:top w:val="nil"/>
              <w:left w:val="nil"/>
              <w:bottom w:val="nil"/>
              <w:right w:val="nil"/>
            </w:tcBorders>
            <w:shd w:val="clear" w:color="auto" w:fill="auto"/>
            <w:noWrap/>
            <w:vAlign w:val="bottom"/>
            <w:hideMark/>
          </w:tcPr>
          <w:p w14:paraId="350073B1"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56</w:t>
            </w:r>
          </w:p>
        </w:tc>
        <w:tc>
          <w:tcPr>
            <w:tcW w:w="0" w:type="auto"/>
            <w:tcBorders>
              <w:top w:val="nil"/>
              <w:left w:val="nil"/>
              <w:bottom w:val="nil"/>
              <w:right w:val="nil"/>
            </w:tcBorders>
            <w:shd w:val="clear" w:color="auto" w:fill="auto"/>
            <w:noWrap/>
            <w:vAlign w:val="bottom"/>
            <w:hideMark/>
          </w:tcPr>
          <w:p w14:paraId="6D632AF6"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93</w:t>
            </w:r>
          </w:p>
        </w:tc>
        <w:tc>
          <w:tcPr>
            <w:tcW w:w="0" w:type="auto"/>
            <w:tcBorders>
              <w:top w:val="nil"/>
              <w:left w:val="nil"/>
              <w:bottom w:val="nil"/>
              <w:right w:val="nil"/>
            </w:tcBorders>
            <w:shd w:val="clear" w:color="auto" w:fill="auto"/>
            <w:noWrap/>
            <w:vAlign w:val="bottom"/>
            <w:hideMark/>
          </w:tcPr>
          <w:p w14:paraId="10741229"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nil"/>
            </w:tcBorders>
            <w:shd w:val="clear" w:color="auto" w:fill="auto"/>
            <w:noWrap/>
            <w:vAlign w:val="bottom"/>
            <w:hideMark/>
          </w:tcPr>
          <w:p w14:paraId="4FE96CDC"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nil"/>
            </w:tcBorders>
            <w:shd w:val="clear" w:color="auto" w:fill="auto"/>
            <w:noWrap/>
            <w:vAlign w:val="bottom"/>
            <w:hideMark/>
          </w:tcPr>
          <w:p w14:paraId="49021614"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single" w:sz="8" w:space="0" w:color="auto"/>
            </w:tcBorders>
            <w:shd w:val="clear" w:color="auto" w:fill="auto"/>
            <w:noWrap/>
            <w:vAlign w:val="bottom"/>
            <w:hideMark/>
          </w:tcPr>
          <w:p w14:paraId="7015D527"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nil"/>
            </w:tcBorders>
            <w:shd w:val="clear" w:color="auto" w:fill="auto"/>
            <w:noWrap/>
            <w:vAlign w:val="bottom"/>
            <w:hideMark/>
          </w:tcPr>
          <w:p w14:paraId="109F3BD9"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54%</w:t>
            </w:r>
          </w:p>
        </w:tc>
        <w:tc>
          <w:tcPr>
            <w:tcW w:w="0" w:type="auto"/>
            <w:tcBorders>
              <w:top w:val="nil"/>
              <w:left w:val="nil"/>
              <w:bottom w:val="nil"/>
              <w:right w:val="nil"/>
            </w:tcBorders>
            <w:shd w:val="clear" w:color="auto" w:fill="auto"/>
            <w:noWrap/>
            <w:vAlign w:val="bottom"/>
            <w:hideMark/>
          </w:tcPr>
          <w:p w14:paraId="47C79EEA"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w:t>
            </w:r>
          </w:p>
        </w:tc>
        <w:tc>
          <w:tcPr>
            <w:tcW w:w="0" w:type="auto"/>
            <w:tcBorders>
              <w:top w:val="nil"/>
              <w:left w:val="nil"/>
              <w:bottom w:val="nil"/>
              <w:right w:val="nil"/>
            </w:tcBorders>
            <w:shd w:val="clear" w:color="auto" w:fill="auto"/>
            <w:noWrap/>
            <w:vAlign w:val="bottom"/>
            <w:hideMark/>
          </w:tcPr>
          <w:p w14:paraId="502861DB"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p>
        </w:tc>
        <w:tc>
          <w:tcPr>
            <w:tcW w:w="0" w:type="auto"/>
            <w:tcBorders>
              <w:top w:val="nil"/>
              <w:left w:val="nil"/>
              <w:bottom w:val="nil"/>
              <w:right w:val="nil"/>
            </w:tcBorders>
            <w:shd w:val="clear" w:color="auto" w:fill="auto"/>
            <w:noWrap/>
            <w:vAlign w:val="bottom"/>
            <w:hideMark/>
          </w:tcPr>
          <w:p w14:paraId="383EE926"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78%</w:t>
            </w:r>
          </w:p>
        </w:tc>
        <w:tc>
          <w:tcPr>
            <w:tcW w:w="0" w:type="auto"/>
            <w:tcBorders>
              <w:top w:val="nil"/>
              <w:left w:val="nil"/>
              <w:bottom w:val="nil"/>
              <w:right w:val="nil"/>
            </w:tcBorders>
            <w:shd w:val="clear" w:color="auto" w:fill="auto"/>
            <w:noWrap/>
            <w:vAlign w:val="bottom"/>
            <w:hideMark/>
          </w:tcPr>
          <w:p w14:paraId="6083216E"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p>
        </w:tc>
        <w:tc>
          <w:tcPr>
            <w:tcW w:w="0" w:type="auto"/>
            <w:tcBorders>
              <w:top w:val="nil"/>
              <w:left w:val="nil"/>
              <w:bottom w:val="nil"/>
              <w:right w:val="nil"/>
            </w:tcBorders>
            <w:shd w:val="clear" w:color="auto" w:fill="auto"/>
            <w:noWrap/>
            <w:vAlign w:val="bottom"/>
          </w:tcPr>
          <w:p w14:paraId="21A675D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0A0497A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6D397DA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5196A07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1A981BC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586D790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7AC7F68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644A5B3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139AE8B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38DF494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690A8EC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5514DA7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1C0DBD1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single" w:sz="12" w:space="0" w:color="auto"/>
            </w:tcBorders>
            <w:shd w:val="clear" w:color="auto" w:fill="auto"/>
            <w:noWrap/>
            <w:vAlign w:val="bottom"/>
            <w:hideMark/>
          </w:tcPr>
          <w:p w14:paraId="561C7F4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r>
      <w:tr w:rsidR="004541ED" w:rsidRPr="007F425D" w14:paraId="0CD40CAF" w14:textId="77777777" w:rsidTr="004541ED">
        <w:trPr>
          <w:trHeight w:val="20"/>
        </w:trPr>
        <w:tc>
          <w:tcPr>
            <w:tcW w:w="0" w:type="auto"/>
            <w:tcBorders>
              <w:top w:val="nil"/>
              <w:left w:val="single" w:sz="12" w:space="0" w:color="auto"/>
              <w:bottom w:val="nil"/>
              <w:right w:val="nil"/>
            </w:tcBorders>
            <w:shd w:val="clear" w:color="auto" w:fill="auto"/>
            <w:noWrap/>
            <w:vAlign w:val="bottom"/>
            <w:hideMark/>
          </w:tcPr>
          <w:p w14:paraId="65084F9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With Bathtub</w:t>
            </w:r>
          </w:p>
        </w:tc>
        <w:tc>
          <w:tcPr>
            <w:tcW w:w="0" w:type="auto"/>
            <w:tcBorders>
              <w:top w:val="nil"/>
              <w:left w:val="nil"/>
              <w:bottom w:val="nil"/>
              <w:right w:val="nil"/>
            </w:tcBorders>
            <w:shd w:val="clear" w:color="auto" w:fill="auto"/>
            <w:noWrap/>
            <w:vAlign w:val="bottom"/>
            <w:hideMark/>
          </w:tcPr>
          <w:p w14:paraId="0AE37B47"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Pr>
                <w:rFonts w:ascii="Times New Roman" w:eastAsia="Times New Roman" w:hAnsi="Times New Roman" w:cs="Times New Roman"/>
                <w:color w:val="000000"/>
                <w:sz w:val="20"/>
                <w:szCs w:val="20"/>
                <w:lang w:eastAsia="de-DE"/>
              </w:rPr>
              <w:t>vii</w:t>
            </w:r>
          </w:p>
        </w:tc>
        <w:tc>
          <w:tcPr>
            <w:tcW w:w="2943" w:type="dxa"/>
            <w:tcBorders>
              <w:top w:val="nil"/>
              <w:left w:val="nil"/>
              <w:bottom w:val="nil"/>
              <w:right w:val="nil"/>
            </w:tcBorders>
            <w:shd w:val="clear" w:color="auto" w:fill="auto"/>
            <w:noWrap/>
            <w:vAlign w:val="bottom"/>
            <w:hideMark/>
          </w:tcPr>
          <w:p w14:paraId="53FD179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Binary 1=yes</w:t>
            </w:r>
          </w:p>
        </w:tc>
        <w:tc>
          <w:tcPr>
            <w:tcW w:w="0" w:type="auto"/>
            <w:tcBorders>
              <w:top w:val="nil"/>
              <w:left w:val="nil"/>
              <w:bottom w:val="nil"/>
              <w:right w:val="single" w:sz="8" w:space="0" w:color="auto"/>
            </w:tcBorders>
            <w:shd w:val="clear" w:color="auto" w:fill="auto"/>
            <w:noWrap/>
            <w:vAlign w:val="bottom"/>
            <w:hideMark/>
          </w:tcPr>
          <w:p w14:paraId="2F7E58D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empirica</w:t>
            </w:r>
          </w:p>
        </w:tc>
        <w:tc>
          <w:tcPr>
            <w:tcW w:w="0" w:type="auto"/>
            <w:tcBorders>
              <w:top w:val="nil"/>
              <w:left w:val="nil"/>
              <w:bottom w:val="nil"/>
              <w:right w:val="nil"/>
            </w:tcBorders>
            <w:shd w:val="clear" w:color="auto" w:fill="auto"/>
            <w:noWrap/>
            <w:vAlign w:val="bottom"/>
            <w:hideMark/>
          </w:tcPr>
          <w:p w14:paraId="1D23F6CC"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55</w:t>
            </w:r>
          </w:p>
        </w:tc>
        <w:tc>
          <w:tcPr>
            <w:tcW w:w="0" w:type="auto"/>
            <w:tcBorders>
              <w:top w:val="nil"/>
              <w:left w:val="nil"/>
              <w:bottom w:val="nil"/>
              <w:right w:val="nil"/>
            </w:tcBorders>
            <w:shd w:val="clear" w:color="auto" w:fill="auto"/>
            <w:noWrap/>
            <w:vAlign w:val="bottom"/>
            <w:hideMark/>
          </w:tcPr>
          <w:p w14:paraId="07BFA1CA"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50</w:t>
            </w:r>
          </w:p>
        </w:tc>
        <w:tc>
          <w:tcPr>
            <w:tcW w:w="0" w:type="auto"/>
            <w:tcBorders>
              <w:top w:val="nil"/>
              <w:left w:val="nil"/>
              <w:bottom w:val="nil"/>
              <w:right w:val="nil"/>
            </w:tcBorders>
            <w:shd w:val="clear" w:color="auto" w:fill="auto"/>
            <w:noWrap/>
            <w:vAlign w:val="bottom"/>
            <w:hideMark/>
          </w:tcPr>
          <w:p w14:paraId="5DAE8644"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nil"/>
            </w:tcBorders>
            <w:shd w:val="clear" w:color="auto" w:fill="auto"/>
            <w:noWrap/>
            <w:vAlign w:val="bottom"/>
            <w:hideMark/>
          </w:tcPr>
          <w:p w14:paraId="0B61CE46"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nil"/>
            </w:tcBorders>
            <w:shd w:val="clear" w:color="auto" w:fill="auto"/>
            <w:noWrap/>
            <w:vAlign w:val="bottom"/>
            <w:hideMark/>
          </w:tcPr>
          <w:p w14:paraId="423318AA"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single" w:sz="8" w:space="0" w:color="auto"/>
            </w:tcBorders>
            <w:shd w:val="clear" w:color="auto" w:fill="auto"/>
            <w:noWrap/>
            <w:vAlign w:val="bottom"/>
            <w:hideMark/>
          </w:tcPr>
          <w:p w14:paraId="3D46054E"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nil"/>
            </w:tcBorders>
            <w:shd w:val="clear" w:color="auto" w:fill="auto"/>
            <w:noWrap/>
            <w:vAlign w:val="bottom"/>
            <w:hideMark/>
          </w:tcPr>
          <w:p w14:paraId="4246491E"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14%</w:t>
            </w:r>
          </w:p>
        </w:tc>
        <w:tc>
          <w:tcPr>
            <w:tcW w:w="0" w:type="auto"/>
            <w:tcBorders>
              <w:top w:val="nil"/>
              <w:left w:val="nil"/>
              <w:bottom w:val="nil"/>
              <w:right w:val="nil"/>
            </w:tcBorders>
            <w:shd w:val="clear" w:color="auto" w:fill="auto"/>
            <w:noWrap/>
            <w:vAlign w:val="bottom"/>
            <w:hideMark/>
          </w:tcPr>
          <w:p w14:paraId="1D6FDE31"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w:t>
            </w:r>
          </w:p>
        </w:tc>
        <w:tc>
          <w:tcPr>
            <w:tcW w:w="0" w:type="auto"/>
            <w:tcBorders>
              <w:top w:val="nil"/>
              <w:left w:val="nil"/>
              <w:bottom w:val="nil"/>
              <w:right w:val="nil"/>
            </w:tcBorders>
            <w:shd w:val="clear" w:color="auto" w:fill="auto"/>
            <w:noWrap/>
            <w:vAlign w:val="bottom"/>
            <w:hideMark/>
          </w:tcPr>
          <w:p w14:paraId="67ABAC8E"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w:t>
            </w:r>
          </w:p>
        </w:tc>
        <w:tc>
          <w:tcPr>
            <w:tcW w:w="0" w:type="auto"/>
            <w:tcBorders>
              <w:top w:val="nil"/>
              <w:left w:val="nil"/>
              <w:bottom w:val="nil"/>
              <w:right w:val="nil"/>
            </w:tcBorders>
            <w:shd w:val="clear" w:color="auto" w:fill="auto"/>
            <w:noWrap/>
            <w:vAlign w:val="bottom"/>
            <w:hideMark/>
          </w:tcPr>
          <w:p w14:paraId="4007AA9D"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17%</w:t>
            </w:r>
          </w:p>
        </w:tc>
        <w:tc>
          <w:tcPr>
            <w:tcW w:w="0" w:type="auto"/>
            <w:tcBorders>
              <w:top w:val="nil"/>
              <w:left w:val="nil"/>
              <w:bottom w:val="nil"/>
              <w:right w:val="nil"/>
            </w:tcBorders>
            <w:shd w:val="clear" w:color="auto" w:fill="auto"/>
            <w:noWrap/>
            <w:vAlign w:val="bottom"/>
            <w:hideMark/>
          </w:tcPr>
          <w:p w14:paraId="01291983"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p>
        </w:tc>
        <w:tc>
          <w:tcPr>
            <w:tcW w:w="0" w:type="auto"/>
            <w:tcBorders>
              <w:top w:val="nil"/>
              <w:left w:val="nil"/>
              <w:bottom w:val="nil"/>
              <w:right w:val="nil"/>
            </w:tcBorders>
            <w:shd w:val="clear" w:color="auto" w:fill="auto"/>
            <w:noWrap/>
            <w:vAlign w:val="bottom"/>
          </w:tcPr>
          <w:p w14:paraId="20C46D37"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15%</w:t>
            </w:r>
          </w:p>
        </w:tc>
        <w:tc>
          <w:tcPr>
            <w:tcW w:w="0" w:type="auto"/>
            <w:tcBorders>
              <w:top w:val="nil"/>
              <w:left w:val="nil"/>
              <w:bottom w:val="nil"/>
              <w:right w:val="nil"/>
            </w:tcBorders>
            <w:shd w:val="clear" w:color="auto" w:fill="auto"/>
            <w:noWrap/>
            <w:vAlign w:val="bottom"/>
            <w:hideMark/>
          </w:tcPr>
          <w:p w14:paraId="2A9E9A6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2196CC2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3121FA9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7F97914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74ADB3E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46DCDD9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222D0CB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354DD12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055D84A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6FB60EE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366745E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32F29F5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single" w:sz="12" w:space="0" w:color="auto"/>
            </w:tcBorders>
            <w:shd w:val="clear" w:color="auto" w:fill="auto"/>
            <w:noWrap/>
            <w:vAlign w:val="bottom"/>
            <w:hideMark/>
          </w:tcPr>
          <w:p w14:paraId="20D7AB5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r>
      <w:tr w:rsidR="004541ED" w:rsidRPr="007F425D" w14:paraId="2180F9C6" w14:textId="77777777" w:rsidTr="004541ED">
        <w:trPr>
          <w:trHeight w:val="20"/>
        </w:trPr>
        <w:tc>
          <w:tcPr>
            <w:tcW w:w="0" w:type="auto"/>
            <w:tcBorders>
              <w:top w:val="nil"/>
              <w:left w:val="single" w:sz="12" w:space="0" w:color="auto"/>
              <w:bottom w:val="nil"/>
              <w:right w:val="nil"/>
            </w:tcBorders>
            <w:shd w:val="clear" w:color="auto" w:fill="auto"/>
            <w:noWrap/>
            <w:vAlign w:val="bottom"/>
            <w:hideMark/>
          </w:tcPr>
          <w:p w14:paraId="3DF7494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With built-in kitchen</w:t>
            </w:r>
          </w:p>
        </w:tc>
        <w:tc>
          <w:tcPr>
            <w:tcW w:w="0" w:type="auto"/>
            <w:tcBorders>
              <w:top w:val="nil"/>
              <w:left w:val="nil"/>
              <w:bottom w:val="nil"/>
              <w:right w:val="nil"/>
            </w:tcBorders>
            <w:shd w:val="clear" w:color="auto" w:fill="auto"/>
            <w:noWrap/>
            <w:vAlign w:val="bottom"/>
          </w:tcPr>
          <w:p w14:paraId="52C2E901"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Pr>
                <w:rFonts w:ascii="Times New Roman" w:eastAsia="Times New Roman" w:hAnsi="Times New Roman" w:cs="Times New Roman"/>
                <w:color w:val="000000"/>
                <w:sz w:val="20"/>
                <w:szCs w:val="20"/>
                <w:lang w:eastAsia="de-DE"/>
              </w:rPr>
              <w:t>viii</w:t>
            </w:r>
          </w:p>
        </w:tc>
        <w:tc>
          <w:tcPr>
            <w:tcW w:w="2943" w:type="dxa"/>
            <w:tcBorders>
              <w:top w:val="nil"/>
              <w:left w:val="nil"/>
              <w:bottom w:val="nil"/>
              <w:right w:val="nil"/>
            </w:tcBorders>
            <w:shd w:val="clear" w:color="auto" w:fill="auto"/>
            <w:noWrap/>
            <w:vAlign w:val="bottom"/>
            <w:hideMark/>
          </w:tcPr>
          <w:p w14:paraId="1A71BEC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Binary 1=yes</w:t>
            </w:r>
          </w:p>
        </w:tc>
        <w:tc>
          <w:tcPr>
            <w:tcW w:w="0" w:type="auto"/>
            <w:tcBorders>
              <w:top w:val="nil"/>
              <w:left w:val="nil"/>
              <w:bottom w:val="nil"/>
              <w:right w:val="single" w:sz="8" w:space="0" w:color="auto"/>
            </w:tcBorders>
            <w:shd w:val="clear" w:color="auto" w:fill="auto"/>
            <w:noWrap/>
            <w:vAlign w:val="bottom"/>
            <w:hideMark/>
          </w:tcPr>
          <w:p w14:paraId="18AFC17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empirica</w:t>
            </w:r>
          </w:p>
        </w:tc>
        <w:tc>
          <w:tcPr>
            <w:tcW w:w="0" w:type="auto"/>
            <w:tcBorders>
              <w:top w:val="nil"/>
              <w:left w:val="nil"/>
              <w:bottom w:val="nil"/>
              <w:right w:val="nil"/>
            </w:tcBorders>
            <w:shd w:val="clear" w:color="auto" w:fill="auto"/>
            <w:noWrap/>
            <w:vAlign w:val="bottom"/>
            <w:hideMark/>
          </w:tcPr>
          <w:p w14:paraId="299DB36B"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36</w:t>
            </w:r>
          </w:p>
        </w:tc>
        <w:tc>
          <w:tcPr>
            <w:tcW w:w="0" w:type="auto"/>
            <w:tcBorders>
              <w:top w:val="nil"/>
              <w:left w:val="nil"/>
              <w:bottom w:val="nil"/>
              <w:right w:val="nil"/>
            </w:tcBorders>
            <w:shd w:val="clear" w:color="auto" w:fill="auto"/>
            <w:noWrap/>
            <w:vAlign w:val="bottom"/>
            <w:hideMark/>
          </w:tcPr>
          <w:p w14:paraId="21F8EAC3"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48</w:t>
            </w:r>
          </w:p>
        </w:tc>
        <w:tc>
          <w:tcPr>
            <w:tcW w:w="0" w:type="auto"/>
            <w:tcBorders>
              <w:top w:val="nil"/>
              <w:left w:val="nil"/>
              <w:bottom w:val="nil"/>
              <w:right w:val="nil"/>
            </w:tcBorders>
            <w:shd w:val="clear" w:color="auto" w:fill="auto"/>
            <w:noWrap/>
            <w:vAlign w:val="bottom"/>
            <w:hideMark/>
          </w:tcPr>
          <w:p w14:paraId="6552FAFA"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nil"/>
            </w:tcBorders>
            <w:shd w:val="clear" w:color="auto" w:fill="auto"/>
            <w:noWrap/>
            <w:vAlign w:val="bottom"/>
            <w:hideMark/>
          </w:tcPr>
          <w:p w14:paraId="3B73353E"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nil"/>
            </w:tcBorders>
            <w:shd w:val="clear" w:color="auto" w:fill="auto"/>
            <w:noWrap/>
            <w:vAlign w:val="bottom"/>
            <w:hideMark/>
          </w:tcPr>
          <w:p w14:paraId="4DCE5EFE"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single" w:sz="8" w:space="0" w:color="auto"/>
            </w:tcBorders>
            <w:shd w:val="clear" w:color="auto" w:fill="auto"/>
            <w:noWrap/>
            <w:vAlign w:val="bottom"/>
            <w:hideMark/>
          </w:tcPr>
          <w:p w14:paraId="011F1D74"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nil"/>
            </w:tcBorders>
            <w:shd w:val="clear" w:color="auto" w:fill="auto"/>
            <w:noWrap/>
            <w:vAlign w:val="bottom"/>
            <w:hideMark/>
          </w:tcPr>
          <w:p w14:paraId="21B9A330"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31%</w:t>
            </w:r>
          </w:p>
        </w:tc>
        <w:tc>
          <w:tcPr>
            <w:tcW w:w="0" w:type="auto"/>
            <w:tcBorders>
              <w:top w:val="nil"/>
              <w:left w:val="nil"/>
              <w:bottom w:val="nil"/>
              <w:right w:val="nil"/>
            </w:tcBorders>
            <w:shd w:val="clear" w:color="auto" w:fill="auto"/>
            <w:noWrap/>
            <w:vAlign w:val="bottom"/>
            <w:hideMark/>
          </w:tcPr>
          <w:p w14:paraId="69B63D2E"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-9%</w:t>
            </w:r>
          </w:p>
        </w:tc>
        <w:tc>
          <w:tcPr>
            <w:tcW w:w="0" w:type="auto"/>
            <w:tcBorders>
              <w:top w:val="nil"/>
              <w:left w:val="nil"/>
              <w:bottom w:val="nil"/>
              <w:right w:val="nil"/>
            </w:tcBorders>
            <w:shd w:val="clear" w:color="auto" w:fill="auto"/>
            <w:noWrap/>
            <w:vAlign w:val="bottom"/>
            <w:hideMark/>
          </w:tcPr>
          <w:p w14:paraId="0F5603C4"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p>
        </w:tc>
        <w:tc>
          <w:tcPr>
            <w:tcW w:w="0" w:type="auto"/>
            <w:tcBorders>
              <w:top w:val="nil"/>
              <w:left w:val="nil"/>
              <w:bottom w:val="nil"/>
              <w:right w:val="nil"/>
            </w:tcBorders>
            <w:shd w:val="clear" w:color="auto" w:fill="auto"/>
            <w:noWrap/>
            <w:vAlign w:val="bottom"/>
            <w:hideMark/>
          </w:tcPr>
          <w:p w14:paraId="71DB1D2A"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11%</w:t>
            </w:r>
          </w:p>
        </w:tc>
        <w:tc>
          <w:tcPr>
            <w:tcW w:w="0" w:type="auto"/>
            <w:tcBorders>
              <w:top w:val="nil"/>
              <w:left w:val="nil"/>
              <w:bottom w:val="nil"/>
              <w:right w:val="nil"/>
            </w:tcBorders>
            <w:shd w:val="clear" w:color="auto" w:fill="auto"/>
            <w:noWrap/>
            <w:vAlign w:val="bottom"/>
            <w:hideMark/>
          </w:tcPr>
          <w:p w14:paraId="7DFABF7A"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-10%</w:t>
            </w:r>
          </w:p>
        </w:tc>
        <w:tc>
          <w:tcPr>
            <w:tcW w:w="0" w:type="auto"/>
            <w:tcBorders>
              <w:top w:val="nil"/>
              <w:left w:val="nil"/>
              <w:bottom w:val="nil"/>
              <w:right w:val="nil"/>
            </w:tcBorders>
            <w:shd w:val="clear" w:color="auto" w:fill="auto"/>
            <w:noWrap/>
            <w:vAlign w:val="bottom"/>
          </w:tcPr>
          <w:p w14:paraId="1790A8D4"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p>
        </w:tc>
        <w:tc>
          <w:tcPr>
            <w:tcW w:w="0" w:type="auto"/>
            <w:tcBorders>
              <w:top w:val="nil"/>
              <w:left w:val="nil"/>
              <w:bottom w:val="nil"/>
              <w:right w:val="nil"/>
            </w:tcBorders>
            <w:shd w:val="clear" w:color="auto" w:fill="auto"/>
            <w:noWrap/>
            <w:vAlign w:val="bottom"/>
            <w:hideMark/>
          </w:tcPr>
          <w:p w14:paraId="23A98A16"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w:t>
            </w:r>
          </w:p>
        </w:tc>
        <w:tc>
          <w:tcPr>
            <w:tcW w:w="0" w:type="auto"/>
            <w:tcBorders>
              <w:top w:val="nil"/>
              <w:left w:val="nil"/>
              <w:bottom w:val="nil"/>
              <w:right w:val="nil"/>
            </w:tcBorders>
            <w:shd w:val="clear" w:color="auto" w:fill="auto"/>
            <w:noWrap/>
            <w:vAlign w:val="bottom"/>
            <w:hideMark/>
          </w:tcPr>
          <w:p w14:paraId="3A2322E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70FE67C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6AE1480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5F9496C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6269E5C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139FE83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789B79C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7F9C19F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229DF66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21035C4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18F8283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single" w:sz="12" w:space="0" w:color="auto"/>
            </w:tcBorders>
            <w:shd w:val="clear" w:color="auto" w:fill="auto"/>
            <w:noWrap/>
            <w:vAlign w:val="bottom"/>
            <w:hideMark/>
          </w:tcPr>
          <w:p w14:paraId="032AF18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r>
      <w:tr w:rsidR="004541ED" w:rsidRPr="007F425D" w14:paraId="1F14DB17" w14:textId="77777777" w:rsidTr="004541ED">
        <w:trPr>
          <w:trHeight w:val="20"/>
        </w:trPr>
        <w:tc>
          <w:tcPr>
            <w:tcW w:w="0" w:type="auto"/>
            <w:tcBorders>
              <w:top w:val="nil"/>
              <w:left w:val="single" w:sz="12" w:space="0" w:color="auto"/>
              <w:bottom w:val="nil"/>
              <w:right w:val="nil"/>
            </w:tcBorders>
            <w:shd w:val="clear" w:color="auto" w:fill="auto"/>
            <w:noWrap/>
            <w:vAlign w:val="bottom"/>
            <w:hideMark/>
          </w:tcPr>
          <w:p w14:paraId="6BFAF51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Pr>
                <w:rFonts w:ascii="Times New Roman" w:eastAsia="Times New Roman" w:hAnsi="Times New Roman" w:cs="Times New Roman"/>
                <w:color w:val="000000"/>
                <w:sz w:val="20"/>
                <w:szCs w:val="20"/>
                <w:lang w:eastAsia="de-DE"/>
              </w:rPr>
              <w:t xml:space="preserve">With parking </w:t>
            </w:r>
            <w:r w:rsidRPr="007F425D">
              <w:rPr>
                <w:rFonts w:ascii="Times New Roman" w:eastAsia="Times New Roman" w:hAnsi="Times New Roman" w:cs="Times New Roman"/>
                <w:color w:val="000000"/>
                <w:sz w:val="20"/>
                <w:szCs w:val="20"/>
                <w:lang w:eastAsia="de-DE"/>
              </w:rPr>
              <w:t>lot</w:t>
            </w:r>
          </w:p>
        </w:tc>
        <w:tc>
          <w:tcPr>
            <w:tcW w:w="0" w:type="auto"/>
            <w:tcBorders>
              <w:top w:val="nil"/>
              <w:left w:val="nil"/>
              <w:bottom w:val="nil"/>
              <w:right w:val="nil"/>
            </w:tcBorders>
            <w:shd w:val="clear" w:color="auto" w:fill="auto"/>
            <w:noWrap/>
            <w:vAlign w:val="bottom"/>
          </w:tcPr>
          <w:p w14:paraId="1598CA13"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Pr>
                <w:rFonts w:ascii="Times New Roman" w:eastAsia="Times New Roman" w:hAnsi="Times New Roman" w:cs="Times New Roman"/>
                <w:color w:val="000000"/>
                <w:sz w:val="20"/>
                <w:szCs w:val="20"/>
                <w:lang w:eastAsia="de-DE"/>
              </w:rPr>
              <w:t>ix</w:t>
            </w:r>
          </w:p>
        </w:tc>
        <w:tc>
          <w:tcPr>
            <w:tcW w:w="2943" w:type="dxa"/>
            <w:tcBorders>
              <w:top w:val="nil"/>
              <w:left w:val="nil"/>
              <w:bottom w:val="nil"/>
              <w:right w:val="nil"/>
            </w:tcBorders>
            <w:shd w:val="clear" w:color="auto" w:fill="auto"/>
            <w:noWrap/>
            <w:vAlign w:val="bottom"/>
            <w:hideMark/>
          </w:tcPr>
          <w:p w14:paraId="218CEB3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Binary 1=yes</w:t>
            </w:r>
          </w:p>
        </w:tc>
        <w:tc>
          <w:tcPr>
            <w:tcW w:w="0" w:type="auto"/>
            <w:tcBorders>
              <w:top w:val="nil"/>
              <w:left w:val="nil"/>
              <w:bottom w:val="nil"/>
              <w:right w:val="single" w:sz="8" w:space="0" w:color="auto"/>
            </w:tcBorders>
            <w:shd w:val="clear" w:color="auto" w:fill="auto"/>
            <w:noWrap/>
            <w:vAlign w:val="bottom"/>
            <w:hideMark/>
          </w:tcPr>
          <w:p w14:paraId="3629165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Empirica</w:t>
            </w:r>
          </w:p>
        </w:tc>
        <w:tc>
          <w:tcPr>
            <w:tcW w:w="0" w:type="auto"/>
            <w:tcBorders>
              <w:top w:val="nil"/>
              <w:left w:val="nil"/>
              <w:bottom w:val="nil"/>
              <w:right w:val="nil"/>
            </w:tcBorders>
            <w:shd w:val="clear" w:color="auto" w:fill="auto"/>
            <w:noWrap/>
            <w:vAlign w:val="bottom"/>
            <w:hideMark/>
          </w:tcPr>
          <w:p w14:paraId="614AF4A0"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43</w:t>
            </w:r>
          </w:p>
        </w:tc>
        <w:tc>
          <w:tcPr>
            <w:tcW w:w="0" w:type="auto"/>
            <w:tcBorders>
              <w:top w:val="nil"/>
              <w:left w:val="nil"/>
              <w:bottom w:val="nil"/>
              <w:right w:val="nil"/>
            </w:tcBorders>
            <w:shd w:val="clear" w:color="auto" w:fill="auto"/>
            <w:noWrap/>
            <w:vAlign w:val="bottom"/>
            <w:hideMark/>
          </w:tcPr>
          <w:p w14:paraId="139782FB"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50</w:t>
            </w:r>
          </w:p>
        </w:tc>
        <w:tc>
          <w:tcPr>
            <w:tcW w:w="0" w:type="auto"/>
            <w:tcBorders>
              <w:top w:val="nil"/>
              <w:left w:val="nil"/>
              <w:bottom w:val="nil"/>
              <w:right w:val="nil"/>
            </w:tcBorders>
            <w:shd w:val="clear" w:color="auto" w:fill="auto"/>
            <w:noWrap/>
            <w:vAlign w:val="bottom"/>
            <w:hideMark/>
          </w:tcPr>
          <w:p w14:paraId="36889D64"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nil"/>
            </w:tcBorders>
            <w:shd w:val="clear" w:color="auto" w:fill="auto"/>
            <w:noWrap/>
            <w:vAlign w:val="bottom"/>
            <w:hideMark/>
          </w:tcPr>
          <w:p w14:paraId="320AE6BC"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nil"/>
            </w:tcBorders>
            <w:shd w:val="clear" w:color="auto" w:fill="auto"/>
            <w:noWrap/>
            <w:vAlign w:val="bottom"/>
            <w:hideMark/>
          </w:tcPr>
          <w:p w14:paraId="6742993B"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single" w:sz="8" w:space="0" w:color="auto"/>
            </w:tcBorders>
            <w:shd w:val="clear" w:color="auto" w:fill="auto"/>
            <w:noWrap/>
            <w:vAlign w:val="bottom"/>
            <w:hideMark/>
          </w:tcPr>
          <w:p w14:paraId="00FD4B99"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nil"/>
            </w:tcBorders>
            <w:shd w:val="clear" w:color="auto" w:fill="auto"/>
            <w:noWrap/>
            <w:vAlign w:val="bottom"/>
            <w:hideMark/>
          </w:tcPr>
          <w:p w14:paraId="1049D3EC"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25%</w:t>
            </w:r>
          </w:p>
        </w:tc>
        <w:tc>
          <w:tcPr>
            <w:tcW w:w="0" w:type="auto"/>
            <w:tcBorders>
              <w:top w:val="nil"/>
              <w:left w:val="nil"/>
              <w:bottom w:val="nil"/>
              <w:right w:val="nil"/>
            </w:tcBorders>
            <w:shd w:val="clear" w:color="auto" w:fill="auto"/>
            <w:noWrap/>
            <w:vAlign w:val="bottom"/>
            <w:hideMark/>
          </w:tcPr>
          <w:p w14:paraId="7B53C612"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p>
        </w:tc>
        <w:tc>
          <w:tcPr>
            <w:tcW w:w="0" w:type="auto"/>
            <w:tcBorders>
              <w:top w:val="nil"/>
              <w:left w:val="nil"/>
              <w:bottom w:val="nil"/>
              <w:right w:val="nil"/>
            </w:tcBorders>
            <w:shd w:val="clear" w:color="auto" w:fill="auto"/>
            <w:noWrap/>
            <w:vAlign w:val="bottom"/>
            <w:hideMark/>
          </w:tcPr>
          <w:p w14:paraId="57E294DD"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-9%</w:t>
            </w:r>
          </w:p>
        </w:tc>
        <w:tc>
          <w:tcPr>
            <w:tcW w:w="0" w:type="auto"/>
            <w:tcBorders>
              <w:top w:val="nil"/>
              <w:left w:val="nil"/>
              <w:bottom w:val="nil"/>
              <w:right w:val="nil"/>
            </w:tcBorders>
            <w:shd w:val="clear" w:color="auto" w:fill="auto"/>
            <w:noWrap/>
            <w:vAlign w:val="bottom"/>
            <w:hideMark/>
          </w:tcPr>
          <w:p w14:paraId="2A75CF4F"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22%</w:t>
            </w:r>
          </w:p>
        </w:tc>
        <w:tc>
          <w:tcPr>
            <w:tcW w:w="0" w:type="auto"/>
            <w:tcBorders>
              <w:top w:val="nil"/>
              <w:left w:val="nil"/>
              <w:bottom w:val="nil"/>
              <w:right w:val="nil"/>
            </w:tcBorders>
            <w:shd w:val="clear" w:color="auto" w:fill="auto"/>
            <w:noWrap/>
            <w:vAlign w:val="bottom"/>
            <w:hideMark/>
          </w:tcPr>
          <w:p w14:paraId="049EC832"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-36%</w:t>
            </w:r>
          </w:p>
        </w:tc>
        <w:tc>
          <w:tcPr>
            <w:tcW w:w="0" w:type="auto"/>
            <w:tcBorders>
              <w:top w:val="nil"/>
              <w:left w:val="nil"/>
              <w:bottom w:val="nil"/>
              <w:right w:val="nil"/>
            </w:tcBorders>
            <w:shd w:val="clear" w:color="auto" w:fill="auto"/>
            <w:noWrap/>
            <w:vAlign w:val="bottom"/>
          </w:tcPr>
          <w:p w14:paraId="5A72C602"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11%</w:t>
            </w:r>
          </w:p>
        </w:tc>
        <w:tc>
          <w:tcPr>
            <w:tcW w:w="0" w:type="auto"/>
            <w:tcBorders>
              <w:top w:val="nil"/>
              <w:left w:val="nil"/>
              <w:bottom w:val="nil"/>
              <w:right w:val="nil"/>
            </w:tcBorders>
            <w:shd w:val="clear" w:color="auto" w:fill="auto"/>
            <w:noWrap/>
            <w:vAlign w:val="bottom"/>
            <w:hideMark/>
          </w:tcPr>
          <w:p w14:paraId="00231C23"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9%</w:t>
            </w:r>
          </w:p>
        </w:tc>
        <w:tc>
          <w:tcPr>
            <w:tcW w:w="0" w:type="auto"/>
            <w:tcBorders>
              <w:top w:val="nil"/>
              <w:left w:val="nil"/>
              <w:bottom w:val="nil"/>
              <w:right w:val="nil"/>
            </w:tcBorders>
            <w:shd w:val="clear" w:color="auto" w:fill="auto"/>
            <w:noWrap/>
            <w:vAlign w:val="bottom"/>
            <w:hideMark/>
          </w:tcPr>
          <w:p w14:paraId="5DFB2349"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20%</w:t>
            </w:r>
          </w:p>
        </w:tc>
        <w:tc>
          <w:tcPr>
            <w:tcW w:w="0" w:type="auto"/>
            <w:tcBorders>
              <w:top w:val="nil"/>
              <w:left w:val="nil"/>
              <w:bottom w:val="nil"/>
              <w:right w:val="nil"/>
            </w:tcBorders>
            <w:shd w:val="clear" w:color="auto" w:fill="auto"/>
            <w:noWrap/>
            <w:vAlign w:val="bottom"/>
            <w:hideMark/>
          </w:tcPr>
          <w:p w14:paraId="068586A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4B8C9D4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6C7B4F8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51A64BC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73B6D10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477D3C4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2A7D4D4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240A511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3AD5D75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38B210D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single" w:sz="12" w:space="0" w:color="auto"/>
            </w:tcBorders>
            <w:shd w:val="clear" w:color="auto" w:fill="auto"/>
            <w:noWrap/>
            <w:vAlign w:val="bottom"/>
            <w:hideMark/>
          </w:tcPr>
          <w:p w14:paraId="223D272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r>
      <w:tr w:rsidR="004541ED" w:rsidRPr="007F425D" w14:paraId="46EE2C0A" w14:textId="77777777" w:rsidTr="004541ED">
        <w:trPr>
          <w:trHeight w:val="20"/>
        </w:trPr>
        <w:tc>
          <w:tcPr>
            <w:tcW w:w="0" w:type="auto"/>
            <w:tcBorders>
              <w:top w:val="nil"/>
              <w:left w:val="single" w:sz="12" w:space="0" w:color="auto"/>
              <w:bottom w:val="nil"/>
              <w:right w:val="nil"/>
            </w:tcBorders>
            <w:shd w:val="clear" w:color="auto" w:fill="auto"/>
            <w:noWrap/>
            <w:vAlign w:val="bottom"/>
            <w:hideMark/>
          </w:tcPr>
          <w:p w14:paraId="7E25D0D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With terrace</w:t>
            </w:r>
          </w:p>
        </w:tc>
        <w:tc>
          <w:tcPr>
            <w:tcW w:w="0" w:type="auto"/>
            <w:tcBorders>
              <w:top w:val="nil"/>
              <w:left w:val="nil"/>
              <w:bottom w:val="nil"/>
              <w:right w:val="nil"/>
            </w:tcBorders>
            <w:shd w:val="clear" w:color="auto" w:fill="auto"/>
            <w:noWrap/>
            <w:vAlign w:val="bottom"/>
          </w:tcPr>
          <w:p w14:paraId="0BCA30B0"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Pr>
                <w:rFonts w:ascii="Times New Roman" w:eastAsia="Times New Roman" w:hAnsi="Times New Roman" w:cs="Times New Roman"/>
                <w:color w:val="000000"/>
                <w:sz w:val="20"/>
                <w:szCs w:val="20"/>
                <w:lang w:eastAsia="de-DE"/>
              </w:rPr>
              <w:t>x</w:t>
            </w:r>
          </w:p>
        </w:tc>
        <w:tc>
          <w:tcPr>
            <w:tcW w:w="2943" w:type="dxa"/>
            <w:tcBorders>
              <w:top w:val="nil"/>
              <w:left w:val="nil"/>
              <w:bottom w:val="nil"/>
              <w:right w:val="nil"/>
            </w:tcBorders>
            <w:shd w:val="clear" w:color="auto" w:fill="auto"/>
            <w:noWrap/>
            <w:vAlign w:val="bottom"/>
            <w:hideMark/>
          </w:tcPr>
          <w:p w14:paraId="66BA7C3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Binary 1=yes</w:t>
            </w:r>
          </w:p>
        </w:tc>
        <w:tc>
          <w:tcPr>
            <w:tcW w:w="0" w:type="auto"/>
            <w:tcBorders>
              <w:top w:val="nil"/>
              <w:left w:val="nil"/>
              <w:bottom w:val="nil"/>
              <w:right w:val="single" w:sz="8" w:space="0" w:color="auto"/>
            </w:tcBorders>
            <w:shd w:val="clear" w:color="auto" w:fill="auto"/>
            <w:noWrap/>
            <w:vAlign w:val="bottom"/>
            <w:hideMark/>
          </w:tcPr>
          <w:p w14:paraId="1B3C579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Empirica</w:t>
            </w:r>
          </w:p>
        </w:tc>
        <w:tc>
          <w:tcPr>
            <w:tcW w:w="0" w:type="auto"/>
            <w:tcBorders>
              <w:top w:val="nil"/>
              <w:left w:val="nil"/>
              <w:bottom w:val="nil"/>
              <w:right w:val="nil"/>
            </w:tcBorders>
            <w:shd w:val="clear" w:color="auto" w:fill="auto"/>
            <w:noWrap/>
            <w:vAlign w:val="bottom"/>
            <w:hideMark/>
          </w:tcPr>
          <w:p w14:paraId="74F94798"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12</w:t>
            </w:r>
          </w:p>
        </w:tc>
        <w:tc>
          <w:tcPr>
            <w:tcW w:w="0" w:type="auto"/>
            <w:tcBorders>
              <w:top w:val="nil"/>
              <w:left w:val="nil"/>
              <w:bottom w:val="nil"/>
              <w:right w:val="nil"/>
            </w:tcBorders>
            <w:shd w:val="clear" w:color="auto" w:fill="auto"/>
            <w:noWrap/>
            <w:vAlign w:val="bottom"/>
            <w:hideMark/>
          </w:tcPr>
          <w:p w14:paraId="1A3C8935"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33</w:t>
            </w:r>
          </w:p>
        </w:tc>
        <w:tc>
          <w:tcPr>
            <w:tcW w:w="0" w:type="auto"/>
            <w:tcBorders>
              <w:top w:val="nil"/>
              <w:left w:val="nil"/>
              <w:bottom w:val="nil"/>
              <w:right w:val="nil"/>
            </w:tcBorders>
            <w:shd w:val="clear" w:color="auto" w:fill="auto"/>
            <w:noWrap/>
            <w:vAlign w:val="bottom"/>
            <w:hideMark/>
          </w:tcPr>
          <w:p w14:paraId="1F687AD1"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nil"/>
            </w:tcBorders>
            <w:shd w:val="clear" w:color="auto" w:fill="auto"/>
            <w:noWrap/>
            <w:vAlign w:val="bottom"/>
            <w:hideMark/>
          </w:tcPr>
          <w:p w14:paraId="063C5F1F"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nil"/>
            </w:tcBorders>
            <w:shd w:val="clear" w:color="auto" w:fill="auto"/>
            <w:noWrap/>
            <w:vAlign w:val="bottom"/>
            <w:hideMark/>
          </w:tcPr>
          <w:p w14:paraId="5519EEC5"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single" w:sz="8" w:space="0" w:color="auto"/>
            </w:tcBorders>
            <w:shd w:val="clear" w:color="auto" w:fill="auto"/>
            <w:noWrap/>
            <w:vAlign w:val="bottom"/>
            <w:hideMark/>
          </w:tcPr>
          <w:p w14:paraId="5EE9D27B"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nil"/>
            </w:tcBorders>
            <w:shd w:val="clear" w:color="auto" w:fill="auto"/>
            <w:noWrap/>
            <w:vAlign w:val="bottom"/>
            <w:hideMark/>
          </w:tcPr>
          <w:p w14:paraId="4B3CAD7F"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19%</w:t>
            </w:r>
          </w:p>
        </w:tc>
        <w:tc>
          <w:tcPr>
            <w:tcW w:w="0" w:type="auto"/>
            <w:tcBorders>
              <w:top w:val="nil"/>
              <w:left w:val="nil"/>
              <w:bottom w:val="nil"/>
              <w:right w:val="nil"/>
            </w:tcBorders>
            <w:shd w:val="clear" w:color="auto" w:fill="auto"/>
            <w:noWrap/>
            <w:vAlign w:val="bottom"/>
            <w:hideMark/>
          </w:tcPr>
          <w:p w14:paraId="71D8C1CB"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p>
        </w:tc>
        <w:tc>
          <w:tcPr>
            <w:tcW w:w="0" w:type="auto"/>
            <w:tcBorders>
              <w:top w:val="nil"/>
              <w:left w:val="nil"/>
              <w:bottom w:val="nil"/>
              <w:right w:val="nil"/>
            </w:tcBorders>
            <w:shd w:val="clear" w:color="auto" w:fill="auto"/>
            <w:noWrap/>
            <w:vAlign w:val="bottom"/>
            <w:hideMark/>
          </w:tcPr>
          <w:p w14:paraId="238F6EBA"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p>
        </w:tc>
        <w:tc>
          <w:tcPr>
            <w:tcW w:w="0" w:type="auto"/>
            <w:tcBorders>
              <w:top w:val="nil"/>
              <w:left w:val="nil"/>
              <w:bottom w:val="nil"/>
              <w:right w:val="nil"/>
            </w:tcBorders>
            <w:shd w:val="clear" w:color="auto" w:fill="auto"/>
            <w:noWrap/>
            <w:vAlign w:val="bottom"/>
            <w:hideMark/>
          </w:tcPr>
          <w:p w14:paraId="5097914A"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17%</w:t>
            </w:r>
          </w:p>
        </w:tc>
        <w:tc>
          <w:tcPr>
            <w:tcW w:w="0" w:type="auto"/>
            <w:tcBorders>
              <w:top w:val="nil"/>
              <w:left w:val="nil"/>
              <w:bottom w:val="nil"/>
              <w:right w:val="nil"/>
            </w:tcBorders>
            <w:shd w:val="clear" w:color="auto" w:fill="auto"/>
            <w:noWrap/>
            <w:vAlign w:val="bottom"/>
            <w:hideMark/>
          </w:tcPr>
          <w:p w14:paraId="61AD94CE"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-15%</w:t>
            </w:r>
          </w:p>
        </w:tc>
        <w:tc>
          <w:tcPr>
            <w:tcW w:w="0" w:type="auto"/>
            <w:tcBorders>
              <w:top w:val="nil"/>
              <w:left w:val="nil"/>
              <w:bottom w:val="nil"/>
              <w:right w:val="nil"/>
            </w:tcBorders>
            <w:shd w:val="clear" w:color="auto" w:fill="auto"/>
            <w:noWrap/>
            <w:vAlign w:val="bottom"/>
          </w:tcPr>
          <w:p w14:paraId="5B328344"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w:t>
            </w:r>
          </w:p>
        </w:tc>
        <w:tc>
          <w:tcPr>
            <w:tcW w:w="0" w:type="auto"/>
            <w:tcBorders>
              <w:top w:val="nil"/>
              <w:left w:val="nil"/>
              <w:bottom w:val="nil"/>
              <w:right w:val="nil"/>
            </w:tcBorders>
            <w:shd w:val="clear" w:color="auto" w:fill="auto"/>
            <w:noWrap/>
            <w:vAlign w:val="bottom"/>
            <w:hideMark/>
          </w:tcPr>
          <w:p w14:paraId="3BE2BF24"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p>
        </w:tc>
        <w:tc>
          <w:tcPr>
            <w:tcW w:w="0" w:type="auto"/>
            <w:tcBorders>
              <w:top w:val="nil"/>
              <w:left w:val="nil"/>
              <w:bottom w:val="nil"/>
              <w:right w:val="nil"/>
            </w:tcBorders>
            <w:shd w:val="clear" w:color="auto" w:fill="auto"/>
            <w:noWrap/>
            <w:vAlign w:val="bottom"/>
            <w:hideMark/>
          </w:tcPr>
          <w:p w14:paraId="04CB9017"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9%</w:t>
            </w:r>
          </w:p>
        </w:tc>
        <w:tc>
          <w:tcPr>
            <w:tcW w:w="0" w:type="auto"/>
            <w:tcBorders>
              <w:top w:val="nil"/>
              <w:left w:val="nil"/>
              <w:bottom w:val="nil"/>
              <w:right w:val="nil"/>
            </w:tcBorders>
            <w:shd w:val="clear" w:color="auto" w:fill="auto"/>
            <w:noWrap/>
            <w:vAlign w:val="bottom"/>
            <w:hideMark/>
          </w:tcPr>
          <w:p w14:paraId="106364D3"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16%</w:t>
            </w:r>
          </w:p>
        </w:tc>
        <w:tc>
          <w:tcPr>
            <w:tcW w:w="0" w:type="auto"/>
            <w:tcBorders>
              <w:top w:val="nil"/>
              <w:left w:val="nil"/>
              <w:bottom w:val="nil"/>
              <w:right w:val="nil"/>
            </w:tcBorders>
            <w:shd w:val="clear" w:color="auto" w:fill="auto"/>
            <w:noWrap/>
            <w:vAlign w:val="bottom"/>
            <w:hideMark/>
          </w:tcPr>
          <w:p w14:paraId="501FBB6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6C656CE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0A10D2B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42713BE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0D14034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53CFA0E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5F5B8D8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5651AAA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160C48A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single" w:sz="12" w:space="0" w:color="auto"/>
            </w:tcBorders>
            <w:shd w:val="clear" w:color="auto" w:fill="auto"/>
            <w:noWrap/>
            <w:vAlign w:val="bottom"/>
            <w:hideMark/>
          </w:tcPr>
          <w:p w14:paraId="704CA1F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r>
      <w:tr w:rsidR="004541ED" w:rsidRPr="007F425D" w14:paraId="29BA35F6" w14:textId="77777777" w:rsidTr="004541ED">
        <w:trPr>
          <w:trHeight w:val="20"/>
        </w:trPr>
        <w:tc>
          <w:tcPr>
            <w:tcW w:w="0" w:type="auto"/>
            <w:tcBorders>
              <w:top w:val="nil"/>
              <w:left w:val="single" w:sz="12" w:space="0" w:color="auto"/>
              <w:bottom w:val="nil"/>
              <w:right w:val="nil"/>
            </w:tcBorders>
            <w:shd w:val="clear" w:color="auto" w:fill="auto"/>
            <w:noWrap/>
            <w:vAlign w:val="bottom"/>
            <w:hideMark/>
          </w:tcPr>
          <w:p w14:paraId="3A1C552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With balcony</w:t>
            </w:r>
          </w:p>
        </w:tc>
        <w:tc>
          <w:tcPr>
            <w:tcW w:w="0" w:type="auto"/>
            <w:tcBorders>
              <w:top w:val="nil"/>
              <w:left w:val="nil"/>
              <w:bottom w:val="nil"/>
              <w:right w:val="nil"/>
            </w:tcBorders>
            <w:shd w:val="clear" w:color="auto" w:fill="auto"/>
            <w:noWrap/>
            <w:vAlign w:val="bottom"/>
          </w:tcPr>
          <w:p w14:paraId="6BFC5525"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Pr>
                <w:rFonts w:ascii="Times New Roman" w:eastAsia="Times New Roman" w:hAnsi="Times New Roman" w:cs="Times New Roman"/>
                <w:color w:val="000000"/>
                <w:sz w:val="20"/>
                <w:szCs w:val="20"/>
                <w:lang w:eastAsia="de-DE"/>
              </w:rPr>
              <w:t>xi</w:t>
            </w:r>
          </w:p>
        </w:tc>
        <w:tc>
          <w:tcPr>
            <w:tcW w:w="2943" w:type="dxa"/>
            <w:tcBorders>
              <w:top w:val="nil"/>
              <w:left w:val="nil"/>
              <w:bottom w:val="nil"/>
              <w:right w:val="nil"/>
            </w:tcBorders>
            <w:shd w:val="clear" w:color="auto" w:fill="auto"/>
            <w:noWrap/>
            <w:vAlign w:val="bottom"/>
            <w:hideMark/>
          </w:tcPr>
          <w:p w14:paraId="4A5B565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Binary 1=yes</w:t>
            </w:r>
          </w:p>
        </w:tc>
        <w:tc>
          <w:tcPr>
            <w:tcW w:w="0" w:type="auto"/>
            <w:tcBorders>
              <w:top w:val="nil"/>
              <w:left w:val="nil"/>
              <w:bottom w:val="nil"/>
              <w:right w:val="single" w:sz="8" w:space="0" w:color="auto"/>
            </w:tcBorders>
            <w:shd w:val="clear" w:color="auto" w:fill="auto"/>
            <w:noWrap/>
            <w:vAlign w:val="bottom"/>
            <w:hideMark/>
          </w:tcPr>
          <w:p w14:paraId="2D0B2E3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Empirica</w:t>
            </w:r>
          </w:p>
        </w:tc>
        <w:tc>
          <w:tcPr>
            <w:tcW w:w="0" w:type="auto"/>
            <w:tcBorders>
              <w:top w:val="nil"/>
              <w:left w:val="nil"/>
              <w:bottom w:val="nil"/>
              <w:right w:val="nil"/>
            </w:tcBorders>
            <w:shd w:val="clear" w:color="auto" w:fill="auto"/>
            <w:noWrap/>
            <w:vAlign w:val="bottom"/>
            <w:hideMark/>
          </w:tcPr>
          <w:p w14:paraId="20F947E1"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59</w:t>
            </w:r>
          </w:p>
        </w:tc>
        <w:tc>
          <w:tcPr>
            <w:tcW w:w="0" w:type="auto"/>
            <w:tcBorders>
              <w:top w:val="nil"/>
              <w:left w:val="nil"/>
              <w:bottom w:val="nil"/>
              <w:right w:val="nil"/>
            </w:tcBorders>
            <w:shd w:val="clear" w:color="auto" w:fill="auto"/>
            <w:noWrap/>
            <w:vAlign w:val="bottom"/>
            <w:hideMark/>
          </w:tcPr>
          <w:p w14:paraId="1647504B"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49</w:t>
            </w:r>
          </w:p>
        </w:tc>
        <w:tc>
          <w:tcPr>
            <w:tcW w:w="0" w:type="auto"/>
            <w:tcBorders>
              <w:top w:val="nil"/>
              <w:left w:val="nil"/>
              <w:bottom w:val="nil"/>
              <w:right w:val="nil"/>
            </w:tcBorders>
            <w:shd w:val="clear" w:color="auto" w:fill="auto"/>
            <w:noWrap/>
            <w:vAlign w:val="bottom"/>
            <w:hideMark/>
          </w:tcPr>
          <w:p w14:paraId="48E000A6"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nil"/>
            </w:tcBorders>
            <w:shd w:val="clear" w:color="auto" w:fill="auto"/>
            <w:noWrap/>
            <w:vAlign w:val="bottom"/>
            <w:hideMark/>
          </w:tcPr>
          <w:p w14:paraId="5485AB02"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nil"/>
            </w:tcBorders>
            <w:shd w:val="clear" w:color="auto" w:fill="auto"/>
            <w:noWrap/>
            <w:vAlign w:val="bottom"/>
            <w:hideMark/>
          </w:tcPr>
          <w:p w14:paraId="26FE493D"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single" w:sz="8" w:space="0" w:color="auto"/>
            </w:tcBorders>
            <w:shd w:val="clear" w:color="auto" w:fill="auto"/>
            <w:noWrap/>
            <w:vAlign w:val="bottom"/>
            <w:hideMark/>
          </w:tcPr>
          <w:p w14:paraId="044C7704"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nil"/>
            </w:tcBorders>
            <w:shd w:val="clear" w:color="auto" w:fill="auto"/>
            <w:noWrap/>
            <w:vAlign w:val="bottom"/>
            <w:hideMark/>
          </w:tcPr>
          <w:p w14:paraId="047E7D5E"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17%</w:t>
            </w:r>
          </w:p>
        </w:tc>
        <w:tc>
          <w:tcPr>
            <w:tcW w:w="0" w:type="auto"/>
            <w:tcBorders>
              <w:top w:val="nil"/>
              <w:left w:val="nil"/>
              <w:bottom w:val="nil"/>
              <w:right w:val="nil"/>
            </w:tcBorders>
            <w:shd w:val="clear" w:color="auto" w:fill="auto"/>
            <w:noWrap/>
            <w:vAlign w:val="bottom"/>
            <w:hideMark/>
          </w:tcPr>
          <w:p w14:paraId="039C395F"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p>
        </w:tc>
        <w:tc>
          <w:tcPr>
            <w:tcW w:w="0" w:type="auto"/>
            <w:tcBorders>
              <w:top w:val="nil"/>
              <w:left w:val="nil"/>
              <w:bottom w:val="nil"/>
              <w:right w:val="nil"/>
            </w:tcBorders>
            <w:shd w:val="clear" w:color="auto" w:fill="auto"/>
            <w:noWrap/>
            <w:vAlign w:val="bottom"/>
            <w:hideMark/>
          </w:tcPr>
          <w:p w14:paraId="1B51AA29"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w:t>
            </w:r>
          </w:p>
        </w:tc>
        <w:tc>
          <w:tcPr>
            <w:tcW w:w="0" w:type="auto"/>
            <w:tcBorders>
              <w:top w:val="nil"/>
              <w:left w:val="nil"/>
              <w:bottom w:val="nil"/>
              <w:right w:val="nil"/>
            </w:tcBorders>
            <w:shd w:val="clear" w:color="auto" w:fill="auto"/>
            <w:noWrap/>
            <w:vAlign w:val="bottom"/>
            <w:hideMark/>
          </w:tcPr>
          <w:p w14:paraId="26F9A6A9"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14%</w:t>
            </w:r>
          </w:p>
        </w:tc>
        <w:tc>
          <w:tcPr>
            <w:tcW w:w="0" w:type="auto"/>
            <w:tcBorders>
              <w:top w:val="nil"/>
              <w:left w:val="nil"/>
              <w:bottom w:val="nil"/>
              <w:right w:val="nil"/>
            </w:tcBorders>
            <w:shd w:val="clear" w:color="auto" w:fill="auto"/>
            <w:noWrap/>
            <w:vAlign w:val="bottom"/>
            <w:hideMark/>
          </w:tcPr>
          <w:p w14:paraId="527B6AF9"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-21%</w:t>
            </w:r>
          </w:p>
        </w:tc>
        <w:tc>
          <w:tcPr>
            <w:tcW w:w="0" w:type="auto"/>
            <w:tcBorders>
              <w:top w:val="nil"/>
              <w:left w:val="nil"/>
              <w:bottom w:val="nil"/>
              <w:right w:val="nil"/>
            </w:tcBorders>
            <w:shd w:val="clear" w:color="auto" w:fill="auto"/>
            <w:noWrap/>
            <w:vAlign w:val="bottom"/>
          </w:tcPr>
          <w:p w14:paraId="63C3BA88"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14%</w:t>
            </w:r>
          </w:p>
        </w:tc>
        <w:tc>
          <w:tcPr>
            <w:tcW w:w="0" w:type="auto"/>
            <w:tcBorders>
              <w:top w:val="nil"/>
              <w:left w:val="nil"/>
              <w:bottom w:val="nil"/>
              <w:right w:val="nil"/>
            </w:tcBorders>
            <w:shd w:val="clear" w:color="auto" w:fill="auto"/>
            <w:noWrap/>
            <w:vAlign w:val="bottom"/>
            <w:hideMark/>
          </w:tcPr>
          <w:p w14:paraId="66D7D8B5"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12%</w:t>
            </w:r>
          </w:p>
        </w:tc>
        <w:tc>
          <w:tcPr>
            <w:tcW w:w="0" w:type="auto"/>
            <w:tcBorders>
              <w:top w:val="nil"/>
              <w:left w:val="nil"/>
              <w:bottom w:val="nil"/>
              <w:right w:val="nil"/>
            </w:tcBorders>
            <w:shd w:val="clear" w:color="auto" w:fill="auto"/>
            <w:noWrap/>
            <w:vAlign w:val="bottom"/>
            <w:hideMark/>
          </w:tcPr>
          <w:p w14:paraId="01A187C7"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p>
        </w:tc>
        <w:tc>
          <w:tcPr>
            <w:tcW w:w="0" w:type="auto"/>
            <w:tcBorders>
              <w:top w:val="nil"/>
              <w:left w:val="nil"/>
              <w:bottom w:val="nil"/>
              <w:right w:val="nil"/>
            </w:tcBorders>
            <w:shd w:val="clear" w:color="auto" w:fill="auto"/>
            <w:noWrap/>
            <w:vAlign w:val="bottom"/>
            <w:hideMark/>
          </w:tcPr>
          <w:p w14:paraId="2CE27F9D"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10%</w:t>
            </w:r>
          </w:p>
        </w:tc>
        <w:tc>
          <w:tcPr>
            <w:tcW w:w="0" w:type="auto"/>
            <w:tcBorders>
              <w:top w:val="nil"/>
              <w:left w:val="nil"/>
              <w:bottom w:val="nil"/>
              <w:right w:val="nil"/>
            </w:tcBorders>
            <w:shd w:val="clear" w:color="auto" w:fill="auto"/>
            <w:noWrap/>
            <w:vAlign w:val="bottom"/>
            <w:hideMark/>
          </w:tcPr>
          <w:p w14:paraId="084664DC"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-12%</w:t>
            </w:r>
          </w:p>
        </w:tc>
        <w:tc>
          <w:tcPr>
            <w:tcW w:w="0" w:type="auto"/>
            <w:tcBorders>
              <w:top w:val="nil"/>
              <w:left w:val="nil"/>
              <w:bottom w:val="nil"/>
              <w:right w:val="nil"/>
            </w:tcBorders>
            <w:shd w:val="clear" w:color="auto" w:fill="auto"/>
            <w:noWrap/>
            <w:vAlign w:val="bottom"/>
            <w:hideMark/>
          </w:tcPr>
          <w:p w14:paraId="0F97FB1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5488752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1203994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2F1AE4E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35CC0B5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6FDB125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425C883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72E2D81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single" w:sz="12" w:space="0" w:color="auto"/>
            </w:tcBorders>
            <w:shd w:val="clear" w:color="auto" w:fill="auto"/>
            <w:noWrap/>
            <w:vAlign w:val="bottom"/>
            <w:hideMark/>
          </w:tcPr>
          <w:p w14:paraId="0388949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r>
      <w:tr w:rsidR="004541ED" w:rsidRPr="007F425D" w14:paraId="2AC8113A" w14:textId="77777777" w:rsidTr="004541ED">
        <w:trPr>
          <w:trHeight w:val="113"/>
        </w:trPr>
        <w:tc>
          <w:tcPr>
            <w:tcW w:w="0" w:type="auto"/>
            <w:tcBorders>
              <w:top w:val="nil"/>
              <w:left w:val="single" w:sz="12" w:space="0" w:color="auto"/>
              <w:bottom w:val="nil"/>
              <w:right w:val="nil"/>
            </w:tcBorders>
            <w:shd w:val="clear" w:color="auto" w:fill="auto"/>
            <w:noWrap/>
            <w:vAlign w:val="bottom"/>
            <w:hideMark/>
          </w:tcPr>
          <w:p w14:paraId="67B4D98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With elevator</w:t>
            </w:r>
          </w:p>
        </w:tc>
        <w:tc>
          <w:tcPr>
            <w:tcW w:w="0" w:type="auto"/>
            <w:tcBorders>
              <w:top w:val="nil"/>
              <w:left w:val="nil"/>
              <w:bottom w:val="nil"/>
              <w:right w:val="nil"/>
            </w:tcBorders>
            <w:shd w:val="clear" w:color="auto" w:fill="auto"/>
            <w:noWrap/>
            <w:vAlign w:val="bottom"/>
          </w:tcPr>
          <w:p w14:paraId="200B2FD3"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Pr>
                <w:rFonts w:ascii="Times New Roman" w:eastAsia="Times New Roman" w:hAnsi="Times New Roman" w:cs="Times New Roman"/>
                <w:color w:val="000000"/>
                <w:sz w:val="20"/>
                <w:szCs w:val="20"/>
                <w:lang w:eastAsia="de-DE"/>
              </w:rPr>
              <w:t>xii</w:t>
            </w:r>
          </w:p>
        </w:tc>
        <w:tc>
          <w:tcPr>
            <w:tcW w:w="2943" w:type="dxa"/>
            <w:tcBorders>
              <w:top w:val="nil"/>
              <w:left w:val="nil"/>
              <w:bottom w:val="nil"/>
              <w:right w:val="nil"/>
            </w:tcBorders>
            <w:shd w:val="clear" w:color="auto" w:fill="auto"/>
            <w:noWrap/>
            <w:vAlign w:val="bottom"/>
            <w:hideMark/>
          </w:tcPr>
          <w:p w14:paraId="6836623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Binary 1=yes</w:t>
            </w:r>
          </w:p>
        </w:tc>
        <w:tc>
          <w:tcPr>
            <w:tcW w:w="0" w:type="auto"/>
            <w:tcBorders>
              <w:top w:val="nil"/>
              <w:left w:val="nil"/>
              <w:bottom w:val="nil"/>
              <w:right w:val="single" w:sz="8" w:space="0" w:color="auto"/>
            </w:tcBorders>
            <w:shd w:val="clear" w:color="auto" w:fill="auto"/>
            <w:noWrap/>
            <w:vAlign w:val="bottom"/>
            <w:hideMark/>
          </w:tcPr>
          <w:p w14:paraId="096259B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Empirica</w:t>
            </w:r>
          </w:p>
        </w:tc>
        <w:tc>
          <w:tcPr>
            <w:tcW w:w="0" w:type="auto"/>
            <w:tcBorders>
              <w:top w:val="nil"/>
              <w:left w:val="nil"/>
              <w:bottom w:val="nil"/>
              <w:right w:val="nil"/>
            </w:tcBorders>
            <w:shd w:val="clear" w:color="auto" w:fill="auto"/>
            <w:noWrap/>
            <w:vAlign w:val="bottom"/>
            <w:hideMark/>
          </w:tcPr>
          <w:p w14:paraId="1D182F0D"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21</w:t>
            </w:r>
          </w:p>
        </w:tc>
        <w:tc>
          <w:tcPr>
            <w:tcW w:w="0" w:type="auto"/>
            <w:tcBorders>
              <w:top w:val="nil"/>
              <w:left w:val="nil"/>
              <w:bottom w:val="nil"/>
              <w:right w:val="nil"/>
            </w:tcBorders>
            <w:shd w:val="clear" w:color="auto" w:fill="auto"/>
            <w:noWrap/>
            <w:vAlign w:val="bottom"/>
            <w:hideMark/>
          </w:tcPr>
          <w:p w14:paraId="43D1C556"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41</w:t>
            </w:r>
          </w:p>
        </w:tc>
        <w:tc>
          <w:tcPr>
            <w:tcW w:w="0" w:type="auto"/>
            <w:tcBorders>
              <w:top w:val="nil"/>
              <w:left w:val="nil"/>
              <w:bottom w:val="nil"/>
              <w:right w:val="nil"/>
            </w:tcBorders>
            <w:shd w:val="clear" w:color="auto" w:fill="auto"/>
            <w:noWrap/>
            <w:vAlign w:val="bottom"/>
            <w:hideMark/>
          </w:tcPr>
          <w:p w14:paraId="618C563F"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nil"/>
            </w:tcBorders>
            <w:shd w:val="clear" w:color="auto" w:fill="auto"/>
            <w:noWrap/>
            <w:vAlign w:val="bottom"/>
            <w:hideMark/>
          </w:tcPr>
          <w:p w14:paraId="5FD59F34"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nil"/>
            </w:tcBorders>
            <w:shd w:val="clear" w:color="auto" w:fill="auto"/>
            <w:noWrap/>
            <w:vAlign w:val="bottom"/>
            <w:hideMark/>
          </w:tcPr>
          <w:p w14:paraId="21497272"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single" w:sz="8" w:space="0" w:color="auto"/>
            </w:tcBorders>
            <w:shd w:val="clear" w:color="auto" w:fill="auto"/>
            <w:noWrap/>
            <w:vAlign w:val="bottom"/>
            <w:hideMark/>
          </w:tcPr>
          <w:p w14:paraId="19B8501D"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nil"/>
            </w:tcBorders>
            <w:shd w:val="clear" w:color="auto" w:fill="auto"/>
            <w:noWrap/>
            <w:vAlign w:val="bottom"/>
            <w:hideMark/>
          </w:tcPr>
          <w:p w14:paraId="4EE63410"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13%</w:t>
            </w:r>
          </w:p>
        </w:tc>
        <w:tc>
          <w:tcPr>
            <w:tcW w:w="0" w:type="auto"/>
            <w:tcBorders>
              <w:top w:val="nil"/>
              <w:left w:val="nil"/>
              <w:bottom w:val="nil"/>
              <w:right w:val="nil"/>
            </w:tcBorders>
            <w:shd w:val="clear" w:color="auto" w:fill="auto"/>
            <w:noWrap/>
            <w:vAlign w:val="bottom"/>
            <w:hideMark/>
          </w:tcPr>
          <w:p w14:paraId="7068273F"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p>
        </w:tc>
        <w:tc>
          <w:tcPr>
            <w:tcW w:w="0" w:type="auto"/>
            <w:tcBorders>
              <w:top w:val="nil"/>
              <w:left w:val="nil"/>
              <w:bottom w:val="nil"/>
              <w:right w:val="nil"/>
            </w:tcBorders>
            <w:shd w:val="clear" w:color="auto" w:fill="auto"/>
            <w:noWrap/>
            <w:vAlign w:val="bottom"/>
            <w:hideMark/>
          </w:tcPr>
          <w:p w14:paraId="66B68921"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-10%</w:t>
            </w:r>
          </w:p>
        </w:tc>
        <w:tc>
          <w:tcPr>
            <w:tcW w:w="0" w:type="auto"/>
            <w:tcBorders>
              <w:top w:val="nil"/>
              <w:left w:val="nil"/>
              <w:bottom w:val="nil"/>
              <w:right w:val="nil"/>
            </w:tcBorders>
            <w:shd w:val="clear" w:color="auto" w:fill="auto"/>
            <w:noWrap/>
            <w:vAlign w:val="bottom"/>
            <w:hideMark/>
          </w:tcPr>
          <w:p w14:paraId="03B7B0E7"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p>
        </w:tc>
        <w:tc>
          <w:tcPr>
            <w:tcW w:w="0" w:type="auto"/>
            <w:tcBorders>
              <w:top w:val="nil"/>
              <w:left w:val="nil"/>
              <w:bottom w:val="nil"/>
              <w:right w:val="nil"/>
            </w:tcBorders>
            <w:shd w:val="clear" w:color="auto" w:fill="auto"/>
            <w:noWrap/>
            <w:vAlign w:val="bottom"/>
            <w:hideMark/>
          </w:tcPr>
          <w:p w14:paraId="390A2F56"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-19%</w:t>
            </w:r>
          </w:p>
        </w:tc>
        <w:tc>
          <w:tcPr>
            <w:tcW w:w="0" w:type="auto"/>
            <w:tcBorders>
              <w:top w:val="nil"/>
              <w:left w:val="nil"/>
              <w:bottom w:val="nil"/>
              <w:right w:val="nil"/>
            </w:tcBorders>
            <w:shd w:val="clear" w:color="auto" w:fill="auto"/>
            <w:noWrap/>
            <w:vAlign w:val="bottom"/>
          </w:tcPr>
          <w:p w14:paraId="56C6D088"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w:t>
            </w:r>
          </w:p>
        </w:tc>
        <w:tc>
          <w:tcPr>
            <w:tcW w:w="0" w:type="auto"/>
            <w:tcBorders>
              <w:top w:val="nil"/>
              <w:left w:val="nil"/>
              <w:bottom w:val="nil"/>
              <w:right w:val="nil"/>
            </w:tcBorders>
            <w:shd w:val="clear" w:color="auto" w:fill="auto"/>
            <w:noWrap/>
            <w:vAlign w:val="bottom"/>
            <w:hideMark/>
          </w:tcPr>
          <w:p w14:paraId="243AC687"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p>
        </w:tc>
        <w:tc>
          <w:tcPr>
            <w:tcW w:w="0" w:type="auto"/>
            <w:tcBorders>
              <w:top w:val="nil"/>
              <w:left w:val="nil"/>
              <w:bottom w:val="nil"/>
              <w:right w:val="nil"/>
            </w:tcBorders>
            <w:shd w:val="clear" w:color="auto" w:fill="auto"/>
            <w:noWrap/>
            <w:vAlign w:val="bottom"/>
            <w:hideMark/>
          </w:tcPr>
          <w:p w14:paraId="7DDEE9B4"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w:t>
            </w:r>
          </w:p>
        </w:tc>
        <w:tc>
          <w:tcPr>
            <w:tcW w:w="0" w:type="auto"/>
            <w:tcBorders>
              <w:top w:val="nil"/>
              <w:left w:val="nil"/>
              <w:bottom w:val="nil"/>
              <w:right w:val="nil"/>
            </w:tcBorders>
            <w:shd w:val="clear" w:color="auto" w:fill="auto"/>
            <w:noWrap/>
            <w:vAlign w:val="bottom"/>
            <w:hideMark/>
          </w:tcPr>
          <w:p w14:paraId="6BB89539"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w:t>
            </w:r>
          </w:p>
        </w:tc>
        <w:tc>
          <w:tcPr>
            <w:tcW w:w="0" w:type="auto"/>
            <w:tcBorders>
              <w:top w:val="nil"/>
              <w:left w:val="nil"/>
              <w:bottom w:val="nil"/>
              <w:right w:val="nil"/>
            </w:tcBorders>
            <w:shd w:val="clear" w:color="auto" w:fill="auto"/>
            <w:noWrap/>
            <w:vAlign w:val="bottom"/>
            <w:hideMark/>
          </w:tcPr>
          <w:p w14:paraId="2341AF35"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p>
        </w:tc>
        <w:tc>
          <w:tcPr>
            <w:tcW w:w="0" w:type="auto"/>
            <w:tcBorders>
              <w:top w:val="nil"/>
              <w:left w:val="nil"/>
              <w:bottom w:val="nil"/>
              <w:right w:val="nil"/>
            </w:tcBorders>
            <w:shd w:val="clear" w:color="auto" w:fill="auto"/>
            <w:noWrap/>
            <w:vAlign w:val="bottom"/>
            <w:hideMark/>
          </w:tcPr>
          <w:p w14:paraId="29EB55B4"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13%</w:t>
            </w:r>
          </w:p>
        </w:tc>
        <w:tc>
          <w:tcPr>
            <w:tcW w:w="0" w:type="auto"/>
            <w:tcBorders>
              <w:top w:val="nil"/>
              <w:left w:val="nil"/>
              <w:bottom w:val="nil"/>
              <w:right w:val="nil"/>
            </w:tcBorders>
            <w:shd w:val="clear" w:color="auto" w:fill="auto"/>
            <w:noWrap/>
            <w:vAlign w:val="bottom"/>
            <w:hideMark/>
          </w:tcPr>
          <w:p w14:paraId="44439EE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7132D1F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45ADBB5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34F98EF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64EE6BB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29A6A74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796CA5F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single" w:sz="12" w:space="0" w:color="auto"/>
            </w:tcBorders>
            <w:shd w:val="clear" w:color="auto" w:fill="auto"/>
            <w:noWrap/>
            <w:vAlign w:val="bottom"/>
            <w:hideMark/>
          </w:tcPr>
          <w:p w14:paraId="5828A82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r>
      <w:tr w:rsidR="004541ED" w:rsidRPr="007F425D" w14:paraId="4EB9A8EA" w14:textId="77777777" w:rsidTr="004541ED">
        <w:trPr>
          <w:trHeight w:val="57"/>
        </w:trPr>
        <w:tc>
          <w:tcPr>
            <w:tcW w:w="0" w:type="auto"/>
            <w:tcBorders>
              <w:top w:val="nil"/>
              <w:left w:val="single" w:sz="12" w:space="0" w:color="auto"/>
              <w:bottom w:val="nil"/>
              <w:right w:val="nil"/>
            </w:tcBorders>
            <w:shd w:val="clear" w:color="auto" w:fill="auto"/>
            <w:noWrap/>
            <w:vAlign w:val="bottom"/>
            <w:hideMark/>
          </w:tcPr>
          <w:p w14:paraId="584999D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As good as new</w:t>
            </w:r>
          </w:p>
        </w:tc>
        <w:tc>
          <w:tcPr>
            <w:tcW w:w="0" w:type="auto"/>
            <w:tcBorders>
              <w:top w:val="nil"/>
              <w:left w:val="nil"/>
              <w:bottom w:val="nil"/>
              <w:right w:val="nil"/>
            </w:tcBorders>
            <w:shd w:val="clear" w:color="auto" w:fill="auto"/>
            <w:noWrap/>
            <w:vAlign w:val="bottom"/>
          </w:tcPr>
          <w:p w14:paraId="1AA08B2E"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Pr>
                <w:rFonts w:ascii="Times New Roman" w:eastAsia="Times New Roman" w:hAnsi="Times New Roman" w:cs="Times New Roman"/>
                <w:color w:val="000000"/>
                <w:sz w:val="20"/>
                <w:szCs w:val="20"/>
                <w:lang w:eastAsia="de-DE"/>
              </w:rPr>
              <w:t>xiii</w:t>
            </w:r>
          </w:p>
        </w:tc>
        <w:tc>
          <w:tcPr>
            <w:tcW w:w="2943" w:type="dxa"/>
            <w:tcBorders>
              <w:top w:val="nil"/>
              <w:left w:val="nil"/>
              <w:bottom w:val="nil"/>
              <w:right w:val="nil"/>
            </w:tcBorders>
            <w:shd w:val="clear" w:color="auto" w:fill="auto"/>
            <w:noWrap/>
            <w:vAlign w:val="bottom"/>
            <w:hideMark/>
          </w:tcPr>
          <w:p w14:paraId="1C0819A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Binary 1=yes</w:t>
            </w:r>
          </w:p>
        </w:tc>
        <w:tc>
          <w:tcPr>
            <w:tcW w:w="0" w:type="auto"/>
            <w:tcBorders>
              <w:top w:val="nil"/>
              <w:left w:val="nil"/>
              <w:bottom w:val="nil"/>
              <w:right w:val="single" w:sz="8" w:space="0" w:color="auto"/>
            </w:tcBorders>
            <w:shd w:val="clear" w:color="auto" w:fill="auto"/>
            <w:noWrap/>
            <w:vAlign w:val="bottom"/>
            <w:hideMark/>
          </w:tcPr>
          <w:p w14:paraId="7DCD39D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Empirica</w:t>
            </w:r>
          </w:p>
        </w:tc>
        <w:tc>
          <w:tcPr>
            <w:tcW w:w="0" w:type="auto"/>
            <w:tcBorders>
              <w:top w:val="nil"/>
              <w:left w:val="nil"/>
              <w:bottom w:val="nil"/>
              <w:right w:val="nil"/>
            </w:tcBorders>
            <w:shd w:val="clear" w:color="auto" w:fill="auto"/>
            <w:noWrap/>
            <w:vAlign w:val="bottom"/>
            <w:hideMark/>
          </w:tcPr>
          <w:p w14:paraId="4530D7F4"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06</w:t>
            </w:r>
          </w:p>
        </w:tc>
        <w:tc>
          <w:tcPr>
            <w:tcW w:w="0" w:type="auto"/>
            <w:tcBorders>
              <w:top w:val="nil"/>
              <w:left w:val="nil"/>
              <w:bottom w:val="nil"/>
              <w:right w:val="nil"/>
            </w:tcBorders>
            <w:shd w:val="clear" w:color="auto" w:fill="auto"/>
            <w:noWrap/>
            <w:vAlign w:val="bottom"/>
            <w:hideMark/>
          </w:tcPr>
          <w:p w14:paraId="7DD98660"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23</w:t>
            </w:r>
          </w:p>
        </w:tc>
        <w:tc>
          <w:tcPr>
            <w:tcW w:w="0" w:type="auto"/>
            <w:tcBorders>
              <w:top w:val="nil"/>
              <w:left w:val="nil"/>
              <w:bottom w:val="nil"/>
              <w:right w:val="nil"/>
            </w:tcBorders>
            <w:shd w:val="clear" w:color="auto" w:fill="auto"/>
            <w:noWrap/>
            <w:vAlign w:val="bottom"/>
            <w:hideMark/>
          </w:tcPr>
          <w:p w14:paraId="1D050FCE"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nil"/>
            </w:tcBorders>
            <w:shd w:val="clear" w:color="auto" w:fill="auto"/>
            <w:noWrap/>
            <w:vAlign w:val="bottom"/>
            <w:hideMark/>
          </w:tcPr>
          <w:p w14:paraId="663C2049"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nil"/>
            </w:tcBorders>
            <w:shd w:val="clear" w:color="auto" w:fill="auto"/>
            <w:noWrap/>
            <w:vAlign w:val="bottom"/>
            <w:hideMark/>
          </w:tcPr>
          <w:p w14:paraId="2BAF712E"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single" w:sz="8" w:space="0" w:color="auto"/>
            </w:tcBorders>
            <w:shd w:val="clear" w:color="auto" w:fill="auto"/>
            <w:noWrap/>
            <w:vAlign w:val="bottom"/>
            <w:hideMark/>
          </w:tcPr>
          <w:p w14:paraId="0495B154"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nil"/>
            </w:tcBorders>
            <w:shd w:val="clear" w:color="auto" w:fill="auto"/>
            <w:noWrap/>
            <w:vAlign w:val="bottom"/>
            <w:hideMark/>
          </w:tcPr>
          <w:p w14:paraId="7DC09F28"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16%</w:t>
            </w:r>
          </w:p>
        </w:tc>
        <w:tc>
          <w:tcPr>
            <w:tcW w:w="0" w:type="auto"/>
            <w:tcBorders>
              <w:top w:val="nil"/>
              <w:left w:val="nil"/>
              <w:bottom w:val="nil"/>
              <w:right w:val="nil"/>
            </w:tcBorders>
            <w:shd w:val="clear" w:color="auto" w:fill="auto"/>
            <w:noWrap/>
            <w:vAlign w:val="bottom"/>
            <w:hideMark/>
          </w:tcPr>
          <w:p w14:paraId="61A6B1D9"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p>
        </w:tc>
        <w:tc>
          <w:tcPr>
            <w:tcW w:w="0" w:type="auto"/>
            <w:tcBorders>
              <w:top w:val="nil"/>
              <w:left w:val="nil"/>
              <w:bottom w:val="nil"/>
              <w:right w:val="nil"/>
            </w:tcBorders>
            <w:shd w:val="clear" w:color="auto" w:fill="auto"/>
            <w:noWrap/>
            <w:vAlign w:val="bottom"/>
            <w:hideMark/>
          </w:tcPr>
          <w:p w14:paraId="5301B676"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p>
        </w:tc>
        <w:tc>
          <w:tcPr>
            <w:tcW w:w="0" w:type="auto"/>
            <w:tcBorders>
              <w:top w:val="nil"/>
              <w:left w:val="nil"/>
              <w:bottom w:val="nil"/>
              <w:right w:val="nil"/>
            </w:tcBorders>
            <w:shd w:val="clear" w:color="auto" w:fill="auto"/>
            <w:noWrap/>
            <w:vAlign w:val="bottom"/>
            <w:hideMark/>
          </w:tcPr>
          <w:p w14:paraId="03C1A48A"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w:t>
            </w:r>
          </w:p>
        </w:tc>
        <w:tc>
          <w:tcPr>
            <w:tcW w:w="0" w:type="auto"/>
            <w:tcBorders>
              <w:top w:val="nil"/>
              <w:left w:val="nil"/>
              <w:bottom w:val="nil"/>
              <w:right w:val="nil"/>
            </w:tcBorders>
            <w:shd w:val="clear" w:color="auto" w:fill="auto"/>
            <w:noWrap/>
            <w:vAlign w:val="bottom"/>
            <w:hideMark/>
          </w:tcPr>
          <w:p w14:paraId="36D1E32D"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p>
        </w:tc>
        <w:tc>
          <w:tcPr>
            <w:tcW w:w="0" w:type="auto"/>
            <w:tcBorders>
              <w:top w:val="nil"/>
              <w:left w:val="nil"/>
              <w:bottom w:val="nil"/>
              <w:right w:val="nil"/>
            </w:tcBorders>
            <w:shd w:val="clear" w:color="auto" w:fill="auto"/>
            <w:noWrap/>
            <w:vAlign w:val="bottom"/>
          </w:tcPr>
          <w:p w14:paraId="2D051329"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w:t>
            </w:r>
          </w:p>
        </w:tc>
        <w:tc>
          <w:tcPr>
            <w:tcW w:w="0" w:type="auto"/>
            <w:tcBorders>
              <w:top w:val="nil"/>
              <w:left w:val="nil"/>
              <w:bottom w:val="nil"/>
              <w:right w:val="nil"/>
            </w:tcBorders>
            <w:shd w:val="clear" w:color="auto" w:fill="auto"/>
            <w:noWrap/>
            <w:vAlign w:val="bottom"/>
            <w:hideMark/>
          </w:tcPr>
          <w:p w14:paraId="36BCCF42"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p>
        </w:tc>
        <w:tc>
          <w:tcPr>
            <w:tcW w:w="0" w:type="auto"/>
            <w:tcBorders>
              <w:top w:val="nil"/>
              <w:left w:val="nil"/>
              <w:bottom w:val="nil"/>
              <w:right w:val="nil"/>
            </w:tcBorders>
            <w:shd w:val="clear" w:color="auto" w:fill="auto"/>
            <w:noWrap/>
            <w:vAlign w:val="bottom"/>
            <w:hideMark/>
          </w:tcPr>
          <w:p w14:paraId="0467D5C5"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p>
        </w:tc>
        <w:tc>
          <w:tcPr>
            <w:tcW w:w="0" w:type="auto"/>
            <w:tcBorders>
              <w:top w:val="nil"/>
              <w:left w:val="nil"/>
              <w:bottom w:val="nil"/>
              <w:right w:val="nil"/>
            </w:tcBorders>
            <w:shd w:val="clear" w:color="auto" w:fill="auto"/>
            <w:noWrap/>
            <w:vAlign w:val="bottom"/>
            <w:hideMark/>
          </w:tcPr>
          <w:p w14:paraId="1E80A249"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p>
        </w:tc>
        <w:tc>
          <w:tcPr>
            <w:tcW w:w="0" w:type="auto"/>
            <w:tcBorders>
              <w:top w:val="nil"/>
              <w:left w:val="nil"/>
              <w:bottom w:val="nil"/>
              <w:right w:val="nil"/>
            </w:tcBorders>
            <w:shd w:val="clear" w:color="auto" w:fill="auto"/>
            <w:noWrap/>
            <w:vAlign w:val="bottom"/>
            <w:hideMark/>
          </w:tcPr>
          <w:p w14:paraId="47DE9B71"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w:t>
            </w:r>
          </w:p>
        </w:tc>
        <w:tc>
          <w:tcPr>
            <w:tcW w:w="0" w:type="auto"/>
            <w:tcBorders>
              <w:top w:val="nil"/>
              <w:left w:val="nil"/>
              <w:bottom w:val="nil"/>
              <w:right w:val="nil"/>
            </w:tcBorders>
            <w:shd w:val="clear" w:color="auto" w:fill="auto"/>
            <w:noWrap/>
            <w:vAlign w:val="bottom"/>
            <w:hideMark/>
          </w:tcPr>
          <w:p w14:paraId="41FE1E7C"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p>
        </w:tc>
        <w:tc>
          <w:tcPr>
            <w:tcW w:w="0" w:type="auto"/>
            <w:tcBorders>
              <w:top w:val="nil"/>
              <w:left w:val="nil"/>
              <w:bottom w:val="nil"/>
              <w:right w:val="nil"/>
            </w:tcBorders>
            <w:shd w:val="clear" w:color="auto" w:fill="auto"/>
            <w:noWrap/>
            <w:vAlign w:val="bottom"/>
            <w:hideMark/>
          </w:tcPr>
          <w:p w14:paraId="4CE44C1E"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w:t>
            </w:r>
          </w:p>
        </w:tc>
        <w:tc>
          <w:tcPr>
            <w:tcW w:w="0" w:type="auto"/>
            <w:tcBorders>
              <w:top w:val="nil"/>
              <w:left w:val="nil"/>
              <w:bottom w:val="nil"/>
              <w:right w:val="nil"/>
            </w:tcBorders>
            <w:shd w:val="clear" w:color="auto" w:fill="auto"/>
            <w:noWrap/>
            <w:vAlign w:val="bottom"/>
            <w:hideMark/>
          </w:tcPr>
          <w:p w14:paraId="6D49094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25F564E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522C944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134282D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79A2AB1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708AF05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single" w:sz="12" w:space="0" w:color="auto"/>
            </w:tcBorders>
            <w:shd w:val="clear" w:color="auto" w:fill="auto"/>
            <w:noWrap/>
            <w:vAlign w:val="bottom"/>
            <w:hideMark/>
          </w:tcPr>
          <w:p w14:paraId="1D33290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r>
      <w:tr w:rsidR="004541ED" w:rsidRPr="007F425D" w14:paraId="5068AD72" w14:textId="77777777" w:rsidTr="004541ED">
        <w:trPr>
          <w:trHeight w:val="113"/>
        </w:trPr>
        <w:tc>
          <w:tcPr>
            <w:tcW w:w="0" w:type="auto"/>
            <w:tcBorders>
              <w:top w:val="nil"/>
              <w:left w:val="single" w:sz="12" w:space="0" w:color="auto"/>
              <w:bottom w:val="nil"/>
              <w:right w:val="nil"/>
            </w:tcBorders>
            <w:shd w:val="clear" w:color="auto" w:fill="auto"/>
            <w:noWrap/>
            <w:vAlign w:val="bottom"/>
            <w:hideMark/>
          </w:tcPr>
          <w:p w14:paraId="4391FBC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Refurbished</w:t>
            </w:r>
          </w:p>
        </w:tc>
        <w:tc>
          <w:tcPr>
            <w:tcW w:w="0" w:type="auto"/>
            <w:tcBorders>
              <w:top w:val="nil"/>
              <w:left w:val="nil"/>
              <w:bottom w:val="nil"/>
              <w:right w:val="nil"/>
            </w:tcBorders>
            <w:shd w:val="clear" w:color="auto" w:fill="auto"/>
            <w:noWrap/>
            <w:vAlign w:val="bottom"/>
          </w:tcPr>
          <w:p w14:paraId="5274511D"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Pr>
                <w:rFonts w:ascii="Times New Roman" w:eastAsia="Times New Roman" w:hAnsi="Times New Roman" w:cs="Times New Roman"/>
                <w:color w:val="000000"/>
                <w:sz w:val="20"/>
                <w:szCs w:val="20"/>
                <w:lang w:eastAsia="de-DE"/>
              </w:rPr>
              <w:t>xiv</w:t>
            </w:r>
          </w:p>
        </w:tc>
        <w:tc>
          <w:tcPr>
            <w:tcW w:w="2943" w:type="dxa"/>
            <w:tcBorders>
              <w:top w:val="nil"/>
              <w:left w:val="nil"/>
              <w:bottom w:val="nil"/>
              <w:right w:val="nil"/>
            </w:tcBorders>
            <w:shd w:val="clear" w:color="auto" w:fill="auto"/>
            <w:noWrap/>
            <w:vAlign w:val="bottom"/>
            <w:hideMark/>
          </w:tcPr>
          <w:p w14:paraId="5358A73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Binary 1=yes</w:t>
            </w:r>
          </w:p>
        </w:tc>
        <w:tc>
          <w:tcPr>
            <w:tcW w:w="0" w:type="auto"/>
            <w:tcBorders>
              <w:top w:val="nil"/>
              <w:left w:val="nil"/>
              <w:bottom w:val="nil"/>
              <w:right w:val="single" w:sz="8" w:space="0" w:color="auto"/>
            </w:tcBorders>
            <w:shd w:val="clear" w:color="auto" w:fill="auto"/>
            <w:noWrap/>
            <w:vAlign w:val="bottom"/>
            <w:hideMark/>
          </w:tcPr>
          <w:p w14:paraId="0B14C9F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Empirica</w:t>
            </w:r>
          </w:p>
        </w:tc>
        <w:tc>
          <w:tcPr>
            <w:tcW w:w="0" w:type="auto"/>
            <w:tcBorders>
              <w:top w:val="nil"/>
              <w:left w:val="nil"/>
              <w:bottom w:val="nil"/>
              <w:right w:val="nil"/>
            </w:tcBorders>
            <w:shd w:val="clear" w:color="auto" w:fill="auto"/>
            <w:noWrap/>
            <w:vAlign w:val="bottom"/>
            <w:hideMark/>
          </w:tcPr>
          <w:p w14:paraId="3794FDC5"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19</w:t>
            </w:r>
          </w:p>
        </w:tc>
        <w:tc>
          <w:tcPr>
            <w:tcW w:w="0" w:type="auto"/>
            <w:tcBorders>
              <w:top w:val="nil"/>
              <w:left w:val="nil"/>
              <w:bottom w:val="nil"/>
              <w:right w:val="nil"/>
            </w:tcBorders>
            <w:shd w:val="clear" w:color="auto" w:fill="auto"/>
            <w:noWrap/>
            <w:vAlign w:val="bottom"/>
            <w:hideMark/>
          </w:tcPr>
          <w:p w14:paraId="69D83DC3"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43</w:t>
            </w:r>
          </w:p>
        </w:tc>
        <w:tc>
          <w:tcPr>
            <w:tcW w:w="0" w:type="auto"/>
            <w:tcBorders>
              <w:top w:val="nil"/>
              <w:left w:val="nil"/>
              <w:bottom w:val="nil"/>
              <w:right w:val="nil"/>
            </w:tcBorders>
            <w:shd w:val="clear" w:color="auto" w:fill="auto"/>
            <w:noWrap/>
            <w:vAlign w:val="bottom"/>
            <w:hideMark/>
          </w:tcPr>
          <w:p w14:paraId="27C661D2"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nil"/>
            </w:tcBorders>
            <w:shd w:val="clear" w:color="auto" w:fill="auto"/>
            <w:noWrap/>
            <w:vAlign w:val="bottom"/>
            <w:hideMark/>
          </w:tcPr>
          <w:p w14:paraId="00A3720F"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nil"/>
            </w:tcBorders>
            <w:shd w:val="clear" w:color="auto" w:fill="auto"/>
            <w:noWrap/>
            <w:vAlign w:val="bottom"/>
            <w:hideMark/>
          </w:tcPr>
          <w:p w14:paraId="195B68D7"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single" w:sz="8" w:space="0" w:color="auto"/>
            </w:tcBorders>
            <w:shd w:val="clear" w:color="auto" w:fill="auto"/>
            <w:noWrap/>
            <w:vAlign w:val="bottom"/>
            <w:hideMark/>
          </w:tcPr>
          <w:p w14:paraId="62D1CD35"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nil"/>
              <w:left w:val="nil"/>
              <w:bottom w:val="nil"/>
              <w:right w:val="nil"/>
            </w:tcBorders>
            <w:shd w:val="clear" w:color="auto" w:fill="auto"/>
            <w:noWrap/>
            <w:vAlign w:val="bottom"/>
            <w:hideMark/>
          </w:tcPr>
          <w:p w14:paraId="25BA4C13"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w:t>
            </w:r>
          </w:p>
        </w:tc>
        <w:tc>
          <w:tcPr>
            <w:tcW w:w="0" w:type="auto"/>
            <w:tcBorders>
              <w:top w:val="nil"/>
              <w:left w:val="nil"/>
              <w:bottom w:val="nil"/>
              <w:right w:val="nil"/>
            </w:tcBorders>
            <w:shd w:val="clear" w:color="auto" w:fill="auto"/>
            <w:noWrap/>
            <w:vAlign w:val="bottom"/>
            <w:hideMark/>
          </w:tcPr>
          <w:p w14:paraId="77054094"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p>
        </w:tc>
        <w:tc>
          <w:tcPr>
            <w:tcW w:w="0" w:type="auto"/>
            <w:tcBorders>
              <w:top w:val="nil"/>
              <w:left w:val="nil"/>
              <w:bottom w:val="nil"/>
              <w:right w:val="nil"/>
            </w:tcBorders>
            <w:shd w:val="clear" w:color="auto" w:fill="auto"/>
            <w:noWrap/>
            <w:vAlign w:val="bottom"/>
            <w:hideMark/>
          </w:tcPr>
          <w:p w14:paraId="1F8B5924"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w:t>
            </w:r>
          </w:p>
        </w:tc>
        <w:tc>
          <w:tcPr>
            <w:tcW w:w="0" w:type="auto"/>
            <w:tcBorders>
              <w:top w:val="nil"/>
              <w:left w:val="nil"/>
              <w:bottom w:val="nil"/>
              <w:right w:val="nil"/>
            </w:tcBorders>
            <w:shd w:val="clear" w:color="auto" w:fill="auto"/>
            <w:noWrap/>
            <w:vAlign w:val="bottom"/>
            <w:hideMark/>
          </w:tcPr>
          <w:p w14:paraId="3FE778CB"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p>
        </w:tc>
        <w:tc>
          <w:tcPr>
            <w:tcW w:w="0" w:type="auto"/>
            <w:tcBorders>
              <w:top w:val="nil"/>
              <w:left w:val="nil"/>
              <w:bottom w:val="nil"/>
              <w:right w:val="nil"/>
            </w:tcBorders>
            <w:shd w:val="clear" w:color="auto" w:fill="auto"/>
            <w:noWrap/>
            <w:vAlign w:val="bottom"/>
            <w:hideMark/>
          </w:tcPr>
          <w:p w14:paraId="2E11DEDC"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w:t>
            </w:r>
          </w:p>
        </w:tc>
        <w:tc>
          <w:tcPr>
            <w:tcW w:w="0" w:type="auto"/>
            <w:tcBorders>
              <w:top w:val="nil"/>
              <w:left w:val="nil"/>
              <w:bottom w:val="nil"/>
              <w:right w:val="nil"/>
            </w:tcBorders>
            <w:shd w:val="clear" w:color="auto" w:fill="auto"/>
            <w:noWrap/>
            <w:vAlign w:val="bottom"/>
          </w:tcPr>
          <w:p w14:paraId="7E9F72F6"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p>
        </w:tc>
        <w:tc>
          <w:tcPr>
            <w:tcW w:w="0" w:type="auto"/>
            <w:tcBorders>
              <w:top w:val="nil"/>
              <w:left w:val="nil"/>
              <w:bottom w:val="nil"/>
              <w:right w:val="nil"/>
            </w:tcBorders>
            <w:shd w:val="clear" w:color="auto" w:fill="auto"/>
            <w:noWrap/>
            <w:vAlign w:val="bottom"/>
            <w:hideMark/>
          </w:tcPr>
          <w:p w14:paraId="460A4DCA"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p>
        </w:tc>
        <w:tc>
          <w:tcPr>
            <w:tcW w:w="0" w:type="auto"/>
            <w:tcBorders>
              <w:top w:val="nil"/>
              <w:left w:val="nil"/>
              <w:bottom w:val="nil"/>
              <w:right w:val="nil"/>
            </w:tcBorders>
            <w:shd w:val="clear" w:color="auto" w:fill="auto"/>
            <w:noWrap/>
            <w:vAlign w:val="bottom"/>
            <w:hideMark/>
          </w:tcPr>
          <w:p w14:paraId="14571321"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w:t>
            </w:r>
          </w:p>
        </w:tc>
        <w:tc>
          <w:tcPr>
            <w:tcW w:w="0" w:type="auto"/>
            <w:tcBorders>
              <w:top w:val="nil"/>
              <w:left w:val="nil"/>
              <w:bottom w:val="nil"/>
              <w:right w:val="nil"/>
            </w:tcBorders>
            <w:shd w:val="clear" w:color="auto" w:fill="auto"/>
            <w:noWrap/>
            <w:vAlign w:val="bottom"/>
            <w:hideMark/>
          </w:tcPr>
          <w:p w14:paraId="6B859D2C"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p>
        </w:tc>
        <w:tc>
          <w:tcPr>
            <w:tcW w:w="0" w:type="auto"/>
            <w:tcBorders>
              <w:top w:val="nil"/>
              <w:left w:val="nil"/>
              <w:bottom w:val="nil"/>
              <w:right w:val="nil"/>
            </w:tcBorders>
            <w:shd w:val="clear" w:color="auto" w:fill="auto"/>
            <w:noWrap/>
            <w:vAlign w:val="bottom"/>
            <w:hideMark/>
          </w:tcPr>
          <w:p w14:paraId="7FEB860F"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p>
        </w:tc>
        <w:tc>
          <w:tcPr>
            <w:tcW w:w="0" w:type="auto"/>
            <w:tcBorders>
              <w:top w:val="nil"/>
              <w:left w:val="nil"/>
              <w:bottom w:val="nil"/>
              <w:right w:val="nil"/>
            </w:tcBorders>
            <w:shd w:val="clear" w:color="auto" w:fill="auto"/>
            <w:noWrap/>
            <w:vAlign w:val="bottom"/>
            <w:hideMark/>
          </w:tcPr>
          <w:p w14:paraId="0982EF01"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p>
        </w:tc>
        <w:tc>
          <w:tcPr>
            <w:tcW w:w="0" w:type="auto"/>
            <w:tcBorders>
              <w:top w:val="nil"/>
              <w:left w:val="nil"/>
              <w:bottom w:val="nil"/>
              <w:right w:val="nil"/>
            </w:tcBorders>
            <w:shd w:val="clear" w:color="auto" w:fill="auto"/>
            <w:noWrap/>
            <w:vAlign w:val="bottom"/>
            <w:hideMark/>
          </w:tcPr>
          <w:p w14:paraId="7F17AF15"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p>
        </w:tc>
        <w:tc>
          <w:tcPr>
            <w:tcW w:w="0" w:type="auto"/>
            <w:tcBorders>
              <w:top w:val="nil"/>
              <w:left w:val="nil"/>
              <w:bottom w:val="nil"/>
              <w:right w:val="nil"/>
            </w:tcBorders>
            <w:shd w:val="clear" w:color="auto" w:fill="auto"/>
            <w:noWrap/>
            <w:vAlign w:val="bottom"/>
            <w:hideMark/>
          </w:tcPr>
          <w:p w14:paraId="4AA4C1E6"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w:t>
            </w:r>
          </w:p>
        </w:tc>
        <w:tc>
          <w:tcPr>
            <w:tcW w:w="0" w:type="auto"/>
            <w:tcBorders>
              <w:top w:val="nil"/>
              <w:left w:val="nil"/>
              <w:bottom w:val="nil"/>
              <w:right w:val="nil"/>
            </w:tcBorders>
            <w:shd w:val="clear" w:color="auto" w:fill="auto"/>
            <w:noWrap/>
            <w:vAlign w:val="bottom"/>
            <w:hideMark/>
          </w:tcPr>
          <w:p w14:paraId="2DAF656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3CD1F9E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5E6C284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7652B33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5DB31DE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single" w:sz="12" w:space="0" w:color="auto"/>
            </w:tcBorders>
            <w:shd w:val="clear" w:color="auto" w:fill="auto"/>
            <w:noWrap/>
            <w:vAlign w:val="bottom"/>
            <w:hideMark/>
          </w:tcPr>
          <w:p w14:paraId="3B8DF7D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r>
      <w:tr w:rsidR="004541ED" w:rsidRPr="007F425D" w14:paraId="28E7F178" w14:textId="77777777" w:rsidTr="004541ED">
        <w:trPr>
          <w:trHeight w:val="57"/>
        </w:trPr>
        <w:tc>
          <w:tcPr>
            <w:tcW w:w="0" w:type="auto"/>
            <w:tcBorders>
              <w:top w:val="nil"/>
              <w:left w:val="single" w:sz="12" w:space="0" w:color="auto"/>
              <w:bottom w:val="nil"/>
              <w:right w:val="nil"/>
            </w:tcBorders>
            <w:shd w:val="clear" w:color="auto" w:fill="auto"/>
            <w:noWrap/>
            <w:vAlign w:val="bottom"/>
            <w:hideMark/>
          </w:tcPr>
          <w:p w14:paraId="5AD2C1C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Longitude</w:t>
            </w:r>
          </w:p>
        </w:tc>
        <w:tc>
          <w:tcPr>
            <w:tcW w:w="0" w:type="auto"/>
            <w:tcBorders>
              <w:top w:val="nil"/>
              <w:left w:val="nil"/>
              <w:bottom w:val="nil"/>
              <w:right w:val="nil"/>
            </w:tcBorders>
            <w:shd w:val="clear" w:color="auto" w:fill="auto"/>
            <w:noWrap/>
            <w:vAlign w:val="bottom"/>
          </w:tcPr>
          <w:p w14:paraId="62620268"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Pr>
                <w:rFonts w:ascii="Times New Roman" w:eastAsia="Times New Roman" w:hAnsi="Times New Roman" w:cs="Times New Roman"/>
                <w:color w:val="000000"/>
                <w:sz w:val="20"/>
                <w:szCs w:val="20"/>
                <w:lang w:eastAsia="de-DE"/>
              </w:rPr>
              <w:t>xv</w:t>
            </w:r>
          </w:p>
        </w:tc>
        <w:tc>
          <w:tcPr>
            <w:tcW w:w="2943" w:type="dxa"/>
            <w:tcBorders>
              <w:top w:val="nil"/>
              <w:left w:val="nil"/>
              <w:bottom w:val="nil"/>
              <w:right w:val="nil"/>
            </w:tcBorders>
            <w:shd w:val="clear" w:color="auto" w:fill="auto"/>
            <w:noWrap/>
            <w:vAlign w:val="bottom"/>
            <w:hideMark/>
          </w:tcPr>
          <w:p w14:paraId="6503324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Gaussian coordinates</w:t>
            </w:r>
          </w:p>
        </w:tc>
        <w:tc>
          <w:tcPr>
            <w:tcW w:w="0" w:type="auto"/>
            <w:tcBorders>
              <w:top w:val="nil"/>
              <w:left w:val="nil"/>
              <w:bottom w:val="nil"/>
              <w:right w:val="single" w:sz="8" w:space="0" w:color="auto"/>
            </w:tcBorders>
            <w:shd w:val="clear" w:color="auto" w:fill="auto"/>
            <w:noWrap/>
            <w:vAlign w:val="bottom"/>
            <w:hideMark/>
          </w:tcPr>
          <w:p w14:paraId="46ADFB6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Empirica</w:t>
            </w:r>
          </w:p>
        </w:tc>
        <w:tc>
          <w:tcPr>
            <w:tcW w:w="0" w:type="auto"/>
            <w:tcBorders>
              <w:top w:val="nil"/>
              <w:left w:val="nil"/>
              <w:bottom w:val="nil"/>
              <w:right w:val="nil"/>
            </w:tcBorders>
            <w:shd w:val="clear" w:color="auto" w:fill="auto"/>
            <w:noWrap/>
            <w:vAlign w:val="bottom"/>
            <w:hideMark/>
          </w:tcPr>
          <w:p w14:paraId="1B939908"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w:t>
            </w:r>
          </w:p>
        </w:tc>
        <w:tc>
          <w:tcPr>
            <w:tcW w:w="0" w:type="auto"/>
            <w:tcBorders>
              <w:top w:val="nil"/>
              <w:left w:val="nil"/>
              <w:bottom w:val="nil"/>
              <w:right w:val="nil"/>
            </w:tcBorders>
            <w:shd w:val="clear" w:color="auto" w:fill="auto"/>
            <w:noWrap/>
            <w:vAlign w:val="bottom"/>
            <w:hideMark/>
          </w:tcPr>
          <w:p w14:paraId="08629B3B"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40</w:t>
            </w:r>
          </w:p>
        </w:tc>
        <w:tc>
          <w:tcPr>
            <w:tcW w:w="0" w:type="auto"/>
            <w:tcBorders>
              <w:top w:val="nil"/>
              <w:left w:val="nil"/>
              <w:bottom w:val="nil"/>
              <w:right w:val="nil"/>
            </w:tcBorders>
            <w:shd w:val="clear" w:color="auto" w:fill="auto"/>
            <w:noWrap/>
            <w:vAlign w:val="bottom"/>
            <w:hideMark/>
          </w:tcPr>
          <w:p w14:paraId="49E9D94F"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75</w:t>
            </w:r>
          </w:p>
        </w:tc>
        <w:tc>
          <w:tcPr>
            <w:tcW w:w="0" w:type="auto"/>
            <w:tcBorders>
              <w:top w:val="nil"/>
              <w:left w:val="nil"/>
              <w:bottom w:val="nil"/>
              <w:right w:val="nil"/>
            </w:tcBorders>
            <w:shd w:val="clear" w:color="auto" w:fill="auto"/>
            <w:noWrap/>
            <w:vAlign w:val="bottom"/>
            <w:hideMark/>
          </w:tcPr>
          <w:p w14:paraId="2B42925A"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28</w:t>
            </w:r>
          </w:p>
        </w:tc>
        <w:tc>
          <w:tcPr>
            <w:tcW w:w="0" w:type="auto"/>
            <w:tcBorders>
              <w:top w:val="nil"/>
              <w:left w:val="nil"/>
              <w:bottom w:val="nil"/>
              <w:right w:val="nil"/>
            </w:tcBorders>
            <w:shd w:val="clear" w:color="auto" w:fill="auto"/>
            <w:noWrap/>
            <w:vAlign w:val="bottom"/>
            <w:hideMark/>
          </w:tcPr>
          <w:p w14:paraId="33F55AB1"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85</w:t>
            </w:r>
          </w:p>
        </w:tc>
        <w:tc>
          <w:tcPr>
            <w:tcW w:w="0" w:type="auto"/>
            <w:tcBorders>
              <w:top w:val="nil"/>
              <w:left w:val="nil"/>
              <w:bottom w:val="nil"/>
              <w:right w:val="single" w:sz="8" w:space="0" w:color="auto"/>
            </w:tcBorders>
            <w:shd w:val="clear" w:color="auto" w:fill="auto"/>
            <w:noWrap/>
            <w:vAlign w:val="bottom"/>
            <w:hideMark/>
          </w:tcPr>
          <w:p w14:paraId="66A50387"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69</w:t>
            </w:r>
          </w:p>
        </w:tc>
        <w:tc>
          <w:tcPr>
            <w:tcW w:w="0" w:type="auto"/>
            <w:tcBorders>
              <w:top w:val="nil"/>
              <w:left w:val="nil"/>
              <w:bottom w:val="nil"/>
              <w:right w:val="nil"/>
            </w:tcBorders>
            <w:shd w:val="clear" w:color="auto" w:fill="auto"/>
            <w:noWrap/>
            <w:vAlign w:val="bottom"/>
            <w:hideMark/>
          </w:tcPr>
          <w:p w14:paraId="638539F7"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-10%</w:t>
            </w:r>
          </w:p>
        </w:tc>
        <w:tc>
          <w:tcPr>
            <w:tcW w:w="0" w:type="auto"/>
            <w:tcBorders>
              <w:top w:val="nil"/>
              <w:left w:val="nil"/>
              <w:bottom w:val="nil"/>
              <w:right w:val="nil"/>
            </w:tcBorders>
            <w:shd w:val="clear" w:color="auto" w:fill="auto"/>
            <w:noWrap/>
            <w:vAlign w:val="bottom"/>
            <w:hideMark/>
          </w:tcPr>
          <w:p w14:paraId="090DB677"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11%</w:t>
            </w:r>
          </w:p>
        </w:tc>
        <w:tc>
          <w:tcPr>
            <w:tcW w:w="0" w:type="auto"/>
            <w:tcBorders>
              <w:top w:val="nil"/>
              <w:left w:val="nil"/>
              <w:bottom w:val="nil"/>
              <w:right w:val="nil"/>
            </w:tcBorders>
            <w:shd w:val="clear" w:color="auto" w:fill="auto"/>
            <w:noWrap/>
            <w:vAlign w:val="bottom"/>
            <w:hideMark/>
          </w:tcPr>
          <w:p w14:paraId="6E1D9EC3"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-18%</w:t>
            </w:r>
          </w:p>
        </w:tc>
        <w:tc>
          <w:tcPr>
            <w:tcW w:w="0" w:type="auto"/>
            <w:tcBorders>
              <w:top w:val="nil"/>
              <w:left w:val="nil"/>
              <w:bottom w:val="nil"/>
              <w:right w:val="nil"/>
            </w:tcBorders>
            <w:shd w:val="clear" w:color="auto" w:fill="auto"/>
            <w:noWrap/>
            <w:vAlign w:val="bottom"/>
            <w:hideMark/>
          </w:tcPr>
          <w:p w14:paraId="01608D23"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-9%</w:t>
            </w:r>
          </w:p>
        </w:tc>
        <w:tc>
          <w:tcPr>
            <w:tcW w:w="0" w:type="auto"/>
            <w:tcBorders>
              <w:top w:val="nil"/>
              <w:left w:val="nil"/>
              <w:bottom w:val="nil"/>
              <w:right w:val="nil"/>
            </w:tcBorders>
            <w:shd w:val="clear" w:color="auto" w:fill="auto"/>
            <w:noWrap/>
            <w:vAlign w:val="bottom"/>
            <w:hideMark/>
          </w:tcPr>
          <w:p w14:paraId="70133993"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16%</w:t>
            </w:r>
          </w:p>
        </w:tc>
        <w:tc>
          <w:tcPr>
            <w:tcW w:w="0" w:type="auto"/>
            <w:tcBorders>
              <w:top w:val="nil"/>
              <w:left w:val="nil"/>
              <w:bottom w:val="nil"/>
              <w:right w:val="nil"/>
            </w:tcBorders>
            <w:shd w:val="clear" w:color="auto" w:fill="auto"/>
            <w:noWrap/>
            <w:vAlign w:val="bottom"/>
          </w:tcPr>
          <w:p w14:paraId="2C94AFA5"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-9%</w:t>
            </w:r>
          </w:p>
        </w:tc>
        <w:tc>
          <w:tcPr>
            <w:tcW w:w="0" w:type="auto"/>
            <w:tcBorders>
              <w:top w:val="nil"/>
              <w:left w:val="nil"/>
              <w:bottom w:val="nil"/>
              <w:right w:val="nil"/>
            </w:tcBorders>
            <w:shd w:val="clear" w:color="auto" w:fill="auto"/>
            <w:noWrap/>
            <w:vAlign w:val="bottom"/>
            <w:hideMark/>
          </w:tcPr>
          <w:p w14:paraId="5F2319E4"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9%</w:t>
            </w:r>
          </w:p>
        </w:tc>
        <w:tc>
          <w:tcPr>
            <w:tcW w:w="0" w:type="auto"/>
            <w:tcBorders>
              <w:top w:val="nil"/>
              <w:left w:val="nil"/>
              <w:bottom w:val="nil"/>
              <w:right w:val="nil"/>
            </w:tcBorders>
            <w:shd w:val="clear" w:color="auto" w:fill="auto"/>
            <w:noWrap/>
            <w:vAlign w:val="bottom"/>
            <w:hideMark/>
          </w:tcPr>
          <w:p w14:paraId="60A52E92"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p>
        </w:tc>
        <w:tc>
          <w:tcPr>
            <w:tcW w:w="0" w:type="auto"/>
            <w:tcBorders>
              <w:top w:val="nil"/>
              <w:left w:val="nil"/>
              <w:bottom w:val="nil"/>
              <w:right w:val="nil"/>
            </w:tcBorders>
            <w:shd w:val="clear" w:color="auto" w:fill="auto"/>
            <w:noWrap/>
            <w:vAlign w:val="bottom"/>
            <w:hideMark/>
          </w:tcPr>
          <w:p w14:paraId="3BF882B6"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w:t>
            </w:r>
          </w:p>
        </w:tc>
        <w:tc>
          <w:tcPr>
            <w:tcW w:w="0" w:type="auto"/>
            <w:tcBorders>
              <w:top w:val="nil"/>
              <w:left w:val="nil"/>
              <w:bottom w:val="nil"/>
              <w:right w:val="nil"/>
            </w:tcBorders>
            <w:shd w:val="clear" w:color="auto" w:fill="auto"/>
            <w:noWrap/>
            <w:vAlign w:val="bottom"/>
            <w:hideMark/>
          </w:tcPr>
          <w:p w14:paraId="47BB5AA1"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p>
        </w:tc>
        <w:tc>
          <w:tcPr>
            <w:tcW w:w="0" w:type="auto"/>
            <w:tcBorders>
              <w:top w:val="nil"/>
              <w:left w:val="nil"/>
              <w:bottom w:val="nil"/>
              <w:right w:val="nil"/>
            </w:tcBorders>
            <w:shd w:val="clear" w:color="auto" w:fill="auto"/>
            <w:noWrap/>
            <w:vAlign w:val="bottom"/>
            <w:hideMark/>
          </w:tcPr>
          <w:p w14:paraId="7990BC82"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p>
        </w:tc>
        <w:tc>
          <w:tcPr>
            <w:tcW w:w="0" w:type="auto"/>
            <w:tcBorders>
              <w:top w:val="nil"/>
              <w:left w:val="nil"/>
              <w:bottom w:val="nil"/>
              <w:right w:val="nil"/>
            </w:tcBorders>
            <w:shd w:val="clear" w:color="auto" w:fill="auto"/>
            <w:noWrap/>
            <w:vAlign w:val="bottom"/>
            <w:hideMark/>
          </w:tcPr>
          <w:p w14:paraId="409CC841"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w:t>
            </w:r>
          </w:p>
        </w:tc>
        <w:tc>
          <w:tcPr>
            <w:tcW w:w="0" w:type="auto"/>
            <w:tcBorders>
              <w:top w:val="nil"/>
              <w:left w:val="nil"/>
              <w:bottom w:val="nil"/>
              <w:right w:val="nil"/>
            </w:tcBorders>
            <w:shd w:val="clear" w:color="auto" w:fill="auto"/>
            <w:noWrap/>
            <w:vAlign w:val="bottom"/>
            <w:hideMark/>
          </w:tcPr>
          <w:p w14:paraId="59BB375C"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p>
        </w:tc>
        <w:tc>
          <w:tcPr>
            <w:tcW w:w="0" w:type="auto"/>
            <w:tcBorders>
              <w:top w:val="nil"/>
              <w:left w:val="nil"/>
              <w:bottom w:val="nil"/>
              <w:right w:val="nil"/>
            </w:tcBorders>
            <w:shd w:val="clear" w:color="auto" w:fill="auto"/>
            <w:noWrap/>
            <w:vAlign w:val="bottom"/>
            <w:hideMark/>
          </w:tcPr>
          <w:p w14:paraId="7E47A4C7"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p>
        </w:tc>
        <w:tc>
          <w:tcPr>
            <w:tcW w:w="0" w:type="auto"/>
            <w:tcBorders>
              <w:top w:val="nil"/>
              <w:left w:val="nil"/>
              <w:bottom w:val="nil"/>
              <w:right w:val="nil"/>
            </w:tcBorders>
            <w:shd w:val="clear" w:color="auto" w:fill="auto"/>
            <w:noWrap/>
            <w:vAlign w:val="bottom"/>
            <w:hideMark/>
          </w:tcPr>
          <w:p w14:paraId="1D8956C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38D2430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7562CC6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6A49136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single" w:sz="12" w:space="0" w:color="auto"/>
            </w:tcBorders>
            <w:shd w:val="clear" w:color="auto" w:fill="auto"/>
            <w:noWrap/>
            <w:vAlign w:val="bottom"/>
            <w:hideMark/>
          </w:tcPr>
          <w:p w14:paraId="1079BA2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r>
      <w:tr w:rsidR="004541ED" w:rsidRPr="007F425D" w14:paraId="7CD777C8" w14:textId="77777777" w:rsidTr="004541ED">
        <w:trPr>
          <w:trHeight w:val="57"/>
        </w:trPr>
        <w:tc>
          <w:tcPr>
            <w:tcW w:w="0" w:type="auto"/>
            <w:tcBorders>
              <w:top w:val="nil"/>
              <w:left w:val="single" w:sz="12" w:space="0" w:color="auto"/>
              <w:bottom w:val="nil"/>
              <w:right w:val="nil"/>
            </w:tcBorders>
            <w:shd w:val="clear" w:color="auto" w:fill="auto"/>
            <w:noWrap/>
            <w:vAlign w:val="bottom"/>
            <w:hideMark/>
          </w:tcPr>
          <w:p w14:paraId="6527470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Latitude</w:t>
            </w:r>
          </w:p>
        </w:tc>
        <w:tc>
          <w:tcPr>
            <w:tcW w:w="0" w:type="auto"/>
            <w:tcBorders>
              <w:top w:val="nil"/>
              <w:left w:val="nil"/>
              <w:bottom w:val="nil"/>
              <w:right w:val="nil"/>
            </w:tcBorders>
            <w:shd w:val="clear" w:color="auto" w:fill="auto"/>
            <w:noWrap/>
            <w:vAlign w:val="bottom"/>
          </w:tcPr>
          <w:p w14:paraId="2EDBFD55"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Pr>
                <w:rFonts w:ascii="Times New Roman" w:eastAsia="Times New Roman" w:hAnsi="Times New Roman" w:cs="Times New Roman"/>
                <w:color w:val="000000"/>
                <w:sz w:val="20"/>
                <w:szCs w:val="20"/>
                <w:lang w:eastAsia="de-DE"/>
              </w:rPr>
              <w:t>xvi</w:t>
            </w:r>
          </w:p>
        </w:tc>
        <w:tc>
          <w:tcPr>
            <w:tcW w:w="2943" w:type="dxa"/>
            <w:tcBorders>
              <w:top w:val="nil"/>
              <w:left w:val="nil"/>
              <w:bottom w:val="nil"/>
              <w:right w:val="nil"/>
            </w:tcBorders>
            <w:shd w:val="clear" w:color="auto" w:fill="auto"/>
            <w:noWrap/>
            <w:vAlign w:val="bottom"/>
            <w:hideMark/>
          </w:tcPr>
          <w:p w14:paraId="4892650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Gaussian coordinates</w:t>
            </w:r>
          </w:p>
        </w:tc>
        <w:tc>
          <w:tcPr>
            <w:tcW w:w="0" w:type="auto"/>
            <w:tcBorders>
              <w:top w:val="nil"/>
              <w:left w:val="nil"/>
              <w:bottom w:val="nil"/>
              <w:right w:val="single" w:sz="8" w:space="0" w:color="auto"/>
            </w:tcBorders>
            <w:shd w:val="clear" w:color="auto" w:fill="auto"/>
            <w:noWrap/>
            <w:vAlign w:val="bottom"/>
            <w:hideMark/>
          </w:tcPr>
          <w:p w14:paraId="333B358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Empirica</w:t>
            </w:r>
          </w:p>
        </w:tc>
        <w:tc>
          <w:tcPr>
            <w:tcW w:w="0" w:type="auto"/>
            <w:tcBorders>
              <w:top w:val="nil"/>
              <w:left w:val="nil"/>
              <w:bottom w:val="nil"/>
              <w:right w:val="nil"/>
            </w:tcBorders>
            <w:shd w:val="clear" w:color="auto" w:fill="auto"/>
            <w:noWrap/>
            <w:vAlign w:val="bottom"/>
            <w:hideMark/>
          </w:tcPr>
          <w:p w14:paraId="01826B45"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32</w:t>
            </w:r>
          </w:p>
        </w:tc>
        <w:tc>
          <w:tcPr>
            <w:tcW w:w="0" w:type="auto"/>
            <w:tcBorders>
              <w:top w:val="nil"/>
              <w:left w:val="nil"/>
              <w:bottom w:val="nil"/>
              <w:right w:val="nil"/>
            </w:tcBorders>
            <w:shd w:val="clear" w:color="auto" w:fill="auto"/>
            <w:noWrap/>
            <w:vAlign w:val="bottom"/>
            <w:hideMark/>
          </w:tcPr>
          <w:p w14:paraId="0359F203"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54</w:t>
            </w:r>
          </w:p>
        </w:tc>
        <w:tc>
          <w:tcPr>
            <w:tcW w:w="0" w:type="auto"/>
            <w:tcBorders>
              <w:top w:val="nil"/>
              <w:left w:val="nil"/>
              <w:bottom w:val="nil"/>
              <w:right w:val="nil"/>
            </w:tcBorders>
            <w:shd w:val="clear" w:color="auto" w:fill="auto"/>
            <w:noWrap/>
            <w:vAlign w:val="bottom"/>
            <w:hideMark/>
          </w:tcPr>
          <w:p w14:paraId="2CA61C8F"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27</w:t>
            </w:r>
          </w:p>
        </w:tc>
        <w:tc>
          <w:tcPr>
            <w:tcW w:w="0" w:type="auto"/>
            <w:tcBorders>
              <w:top w:val="nil"/>
              <w:left w:val="nil"/>
              <w:bottom w:val="nil"/>
              <w:right w:val="nil"/>
            </w:tcBorders>
            <w:shd w:val="clear" w:color="auto" w:fill="auto"/>
            <w:noWrap/>
            <w:vAlign w:val="bottom"/>
            <w:hideMark/>
          </w:tcPr>
          <w:p w14:paraId="7BA25326"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85</w:t>
            </w:r>
          </w:p>
        </w:tc>
        <w:tc>
          <w:tcPr>
            <w:tcW w:w="0" w:type="auto"/>
            <w:tcBorders>
              <w:top w:val="nil"/>
              <w:left w:val="nil"/>
              <w:bottom w:val="nil"/>
              <w:right w:val="nil"/>
            </w:tcBorders>
            <w:shd w:val="clear" w:color="auto" w:fill="auto"/>
            <w:noWrap/>
            <w:vAlign w:val="bottom"/>
            <w:hideMark/>
          </w:tcPr>
          <w:p w14:paraId="1D5CD85F"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08</w:t>
            </w:r>
          </w:p>
        </w:tc>
        <w:tc>
          <w:tcPr>
            <w:tcW w:w="0" w:type="auto"/>
            <w:tcBorders>
              <w:top w:val="nil"/>
              <w:left w:val="nil"/>
              <w:bottom w:val="nil"/>
              <w:right w:val="single" w:sz="8" w:space="0" w:color="auto"/>
            </w:tcBorders>
            <w:shd w:val="clear" w:color="auto" w:fill="auto"/>
            <w:noWrap/>
            <w:vAlign w:val="bottom"/>
            <w:hideMark/>
          </w:tcPr>
          <w:p w14:paraId="0DE5849D"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80</w:t>
            </w:r>
          </w:p>
        </w:tc>
        <w:tc>
          <w:tcPr>
            <w:tcW w:w="0" w:type="auto"/>
            <w:tcBorders>
              <w:top w:val="nil"/>
              <w:left w:val="nil"/>
              <w:bottom w:val="nil"/>
              <w:right w:val="nil"/>
            </w:tcBorders>
            <w:shd w:val="clear" w:color="auto" w:fill="auto"/>
            <w:noWrap/>
            <w:vAlign w:val="bottom"/>
            <w:hideMark/>
          </w:tcPr>
          <w:p w14:paraId="391D352E"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-19%</w:t>
            </w:r>
          </w:p>
        </w:tc>
        <w:tc>
          <w:tcPr>
            <w:tcW w:w="0" w:type="auto"/>
            <w:tcBorders>
              <w:top w:val="nil"/>
              <w:left w:val="nil"/>
              <w:bottom w:val="nil"/>
              <w:right w:val="nil"/>
            </w:tcBorders>
            <w:shd w:val="clear" w:color="auto" w:fill="auto"/>
            <w:noWrap/>
            <w:vAlign w:val="bottom"/>
            <w:hideMark/>
          </w:tcPr>
          <w:p w14:paraId="308DFDC1"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p>
        </w:tc>
        <w:tc>
          <w:tcPr>
            <w:tcW w:w="0" w:type="auto"/>
            <w:tcBorders>
              <w:top w:val="nil"/>
              <w:left w:val="nil"/>
              <w:bottom w:val="nil"/>
              <w:right w:val="nil"/>
            </w:tcBorders>
            <w:shd w:val="clear" w:color="auto" w:fill="auto"/>
            <w:noWrap/>
            <w:vAlign w:val="bottom"/>
            <w:hideMark/>
          </w:tcPr>
          <w:p w14:paraId="524C98FF"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p>
        </w:tc>
        <w:tc>
          <w:tcPr>
            <w:tcW w:w="0" w:type="auto"/>
            <w:tcBorders>
              <w:top w:val="nil"/>
              <w:left w:val="nil"/>
              <w:bottom w:val="nil"/>
              <w:right w:val="nil"/>
            </w:tcBorders>
            <w:shd w:val="clear" w:color="auto" w:fill="auto"/>
            <w:noWrap/>
            <w:vAlign w:val="bottom"/>
            <w:hideMark/>
          </w:tcPr>
          <w:p w14:paraId="5F965E34"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-10%</w:t>
            </w:r>
          </w:p>
        </w:tc>
        <w:tc>
          <w:tcPr>
            <w:tcW w:w="0" w:type="auto"/>
            <w:tcBorders>
              <w:top w:val="nil"/>
              <w:left w:val="nil"/>
              <w:bottom w:val="nil"/>
              <w:right w:val="nil"/>
            </w:tcBorders>
            <w:shd w:val="clear" w:color="auto" w:fill="auto"/>
            <w:noWrap/>
            <w:vAlign w:val="bottom"/>
            <w:hideMark/>
          </w:tcPr>
          <w:p w14:paraId="26A8DC7D"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13%</w:t>
            </w:r>
          </w:p>
        </w:tc>
        <w:tc>
          <w:tcPr>
            <w:tcW w:w="0" w:type="auto"/>
            <w:tcBorders>
              <w:top w:val="nil"/>
              <w:left w:val="nil"/>
              <w:bottom w:val="nil"/>
              <w:right w:val="nil"/>
            </w:tcBorders>
            <w:shd w:val="clear" w:color="auto" w:fill="auto"/>
            <w:noWrap/>
            <w:vAlign w:val="bottom"/>
          </w:tcPr>
          <w:p w14:paraId="371F7AF5"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w:t>
            </w:r>
          </w:p>
        </w:tc>
        <w:tc>
          <w:tcPr>
            <w:tcW w:w="0" w:type="auto"/>
            <w:tcBorders>
              <w:top w:val="nil"/>
              <w:left w:val="nil"/>
              <w:bottom w:val="nil"/>
              <w:right w:val="nil"/>
            </w:tcBorders>
            <w:shd w:val="clear" w:color="auto" w:fill="auto"/>
            <w:noWrap/>
            <w:vAlign w:val="bottom"/>
            <w:hideMark/>
          </w:tcPr>
          <w:p w14:paraId="4DBCD0C9"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p>
        </w:tc>
        <w:tc>
          <w:tcPr>
            <w:tcW w:w="0" w:type="auto"/>
            <w:tcBorders>
              <w:top w:val="nil"/>
              <w:left w:val="nil"/>
              <w:bottom w:val="nil"/>
              <w:right w:val="nil"/>
            </w:tcBorders>
            <w:shd w:val="clear" w:color="auto" w:fill="auto"/>
            <w:noWrap/>
            <w:vAlign w:val="bottom"/>
            <w:hideMark/>
          </w:tcPr>
          <w:p w14:paraId="5FA2894E"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p>
        </w:tc>
        <w:tc>
          <w:tcPr>
            <w:tcW w:w="0" w:type="auto"/>
            <w:tcBorders>
              <w:top w:val="nil"/>
              <w:left w:val="nil"/>
              <w:bottom w:val="nil"/>
              <w:right w:val="nil"/>
            </w:tcBorders>
            <w:shd w:val="clear" w:color="auto" w:fill="auto"/>
            <w:noWrap/>
            <w:vAlign w:val="bottom"/>
            <w:hideMark/>
          </w:tcPr>
          <w:p w14:paraId="797A70D1"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-22%</w:t>
            </w:r>
          </w:p>
        </w:tc>
        <w:tc>
          <w:tcPr>
            <w:tcW w:w="0" w:type="auto"/>
            <w:tcBorders>
              <w:top w:val="nil"/>
              <w:left w:val="nil"/>
              <w:bottom w:val="nil"/>
              <w:right w:val="nil"/>
            </w:tcBorders>
            <w:shd w:val="clear" w:color="auto" w:fill="auto"/>
            <w:noWrap/>
            <w:vAlign w:val="bottom"/>
            <w:hideMark/>
          </w:tcPr>
          <w:p w14:paraId="6946E8F3"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w:t>
            </w:r>
          </w:p>
        </w:tc>
        <w:tc>
          <w:tcPr>
            <w:tcW w:w="0" w:type="auto"/>
            <w:tcBorders>
              <w:top w:val="nil"/>
              <w:left w:val="nil"/>
              <w:bottom w:val="nil"/>
              <w:right w:val="nil"/>
            </w:tcBorders>
            <w:shd w:val="clear" w:color="auto" w:fill="auto"/>
            <w:noWrap/>
            <w:vAlign w:val="bottom"/>
            <w:hideMark/>
          </w:tcPr>
          <w:p w14:paraId="6063A930"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p>
        </w:tc>
        <w:tc>
          <w:tcPr>
            <w:tcW w:w="0" w:type="auto"/>
            <w:tcBorders>
              <w:top w:val="nil"/>
              <w:left w:val="nil"/>
              <w:bottom w:val="nil"/>
              <w:right w:val="nil"/>
            </w:tcBorders>
            <w:shd w:val="clear" w:color="auto" w:fill="auto"/>
            <w:noWrap/>
            <w:vAlign w:val="bottom"/>
            <w:hideMark/>
          </w:tcPr>
          <w:p w14:paraId="6A5E7A64"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w:t>
            </w:r>
          </w:p>
        </w:tc>
        <w:tc>
          <w:tcPr>
            <w:tcW w:w="0" w:type="auto"/>
            <w:tcBorders>
              <w:top w:val="nil"/>
              <w:left w:val="nil"/>
              <w:bottom w:val="nil"/>
              <w:right w:val="nil"/>
            </w:tcBorders>
            <w:shd w:val="clear" w:color="auto" w:fill="auto"/>
            <w:noWrap/>
            <w:vAlign w:val="bottom"/>
            <w:hideMark/>
          </w:tcPr>
          <w:p w14:paraId="458A3401"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p>
        </w:tc>
        <w:tc>
          <w:tcPr>
            <w:tcW w:w="0" w:type="auto"/>
            <w:tcBorders>
              <w:top w:val="nil"/>
              <w:left w:val="nil"/>
              <w:bottom w:val="nil"/>
              <w:right w:val="nil"/>
            </w:tcBorders>
            <w:shd w:val="clear" w:color="auto" w:fill="auto"/>
            <w:noWrap/>
            <w:vAlign w:val="bottom"/>
            <w:hideMark/>
          </w:tcPr>
          <w:p w14:paraId="61F9F6DC"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w:t>
            </w:r>
          </w:p>
        </w:tc>
        <w:tc>
          <w:tcPr>
            <w:tcW w:w="0" w:type="auto"/>
            <w:tcBorders>
              <w:top w:val="nil"/>
              <w:left w:val="nil"/>
              <w:bottom w:val="nil"/>
              <w:right w:val="nil"/>
            </w:tcBorders>
            <w:shd w:val="clear" w:color="auto" w:fill="auto"/>
            <w:noWrap/>
            <w:vAlign w:val="bottom"/>
            <w:hideMark/>
          </w:tcPr>
          <w:p w14:paraId="4D80305C"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12%</w:t>
            </w:r>
          </w:p>
        </w:tc>
        <w:tc>
          <w:tcPr>
            <w:tcW w:w="0" w:type="auto"/>
            <w:tcBorders>
              <w:top w:val="nil"/>
              <w:left w:val="nil"/>
              <w:bottom w:val="nil"/>
              <w:right w:val="nil"/>
            </w:tcBorders>
            <w:shd w:val="clear" w:color="auto" w:fill="auto"/>
            <w:noWrap/>
            <w:vAlign w:val="bottom"/>
            <w:hideMark/>
          </w:tcPr>
          <w:p w14:paraId="49CC1C7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366D531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1B1A040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single" w:sz="12" w:space="0" w:color="auto"/>
            </w:tcBorders>
            <w:shd w:val="clear" w:color="auto" w:fill="auto"/>
            <w:noWrap/>
            <w:vAlign w:val="bottom"/>
            <w:hideMark/>
          </w:tcPr>
          <w:p w14:paraId="50197CD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r>
      <w:tr w:rsidR="004541ED" w:rsidRPr="007F425D" w14:paraId="7FA8693C" w14:textId="77777777" w:rsidTr="004541ED">
        <w:trPr>
          <w:trHeight w:val="113"/>
        </w:trPr>
        <w:tc>
          <w:tcPr>
            <w:tcW w:w="0" w:type="auto"/>
            <w:tcBorders>
              <w:top w:val="nil"/>
              <w:left w:val="single" w:sz="12" w:space="0" w:color="auto"/>
              <w:bottom w:val="nil"/>
              <w:right w:val="nil"/>
            </w:tcBorders>
            <w:shd w:val="clear" w:color="auto" w:fill="auto"/>
            <w:noWrap/>
            <w:vAlign w:val="bottom"/>
            <w:hideMark/>
          </w:tcPr>
          <w:p w14:paraId="711B238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Distance to ZIP Centroid</w:t>
            </w:r>
          </w:p>
        </w:tc>
        <w:tc>
          <w:tcPr>
            <w:tcW w:w="0" w:type="auto"/>
            <w:tcBorders>
              <w:top w:val="nil"/>
              <w:left w:val="nil"/>
              <w:bottom w:val="nil"/>
              <w:right w:val="nil"/>
            </w:tcBorders>
            <w:shd w:val="clear" w:color="auto" w:fill="auto"/>
            <w:noWrap/>
            <w:vAlign w:val="bottom"/>
          </w:tcPr>
          <w:p w14:paraId="392EACDD"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Pr>
                <w:rFonts w:ascii="Times New Roman" w:eastAsia="Times New Roman" w:hAnsi="Times New Roman" w:cs="Times New Roman"/>
                <w:color w:val="000000"/>
                <w:sz w:val="20"/>
                <w:szCs w:val="20"/>
                <w:lang w:eastAsia="de-DE"/>
              </w:rPr>
              <w:t>xvii</w:t>
            </w:r>
          </w:p>
        </w:tc>
        <w:tc>
          <w:tcPr>
            <w:tcW w:w="2943" w:type="dxa"/>
            <w:tcBorders>
              <w:top w:val="nil"/>
              <w:left w:val="nil"/>
              <w:bottom w:val="nil"/>
              <w:right w:val="nil"/>
            </w:tcBorders>
            <w:shd w:val="clear" w:color="auto" w:fill="auto"/>
            <w:noWrap/>
            <w:vAlign w:val="bottom"/>
            <w:hideMark/>
          </w:tcPr>
          <w:p w14:paraId="4EAA646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Km.</w:t>
            </w:r>
          </w:p>
        </w:tc>
        <w:tc>
          <w:tcPr>
            <w:tcW w:w="0" w:type="auto"/>
            <w:tcBorders>
              <w:top w:val="nil"/>
              <w:left w:val="nil"/>
              <w:bottom w:val="nil"/>
              <w:right w:val="single" w:sz="8" w:space="0" w:color="auto"/>
            </w:tcBorders>
            <w:shd w:val="clear" w:color="auto" w:fill="auto"/>
            <w:noWrap/>
            <w:vAlign w:val="bottom"/>
            <w:hideMark/>
          </w:tcPr>
          <w:p w14:paraId="79DA1C7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xml:space="preserve">Eurostat,GIS via R </w:t>
            </w:r>
          </w:p>
        </w:tc>
        <w:tc>
          <w:tcPr>
            <w:tcW w:w="0" w:type="auto"/>
            <w:tcBorders>
              <w:top w:val="nil"/>
              <w:left w:val="nil"/>
              <w:bottom w:val="nil"/>
              <w:right w:val="nil"/>
            </w:tcBorders>
            <w:shd w:val="clear" w:color="auto" w:fill="auto"/>
            <w:noWrap/>
            <w:vAlign w:val="bottom"/>
            <w:hideMark/>
          </w:tcPr>
          <w:p w14:paraId="3F827CF6"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24</w:t>
            </w:r>
          </w:p>
        </w:tc>
        <w:tc>
          <w:tcPr>
            <w:tcW w:w="0" w:type="auto"/>
            <w:tcBorders>
              <w:top w:val="nil"/>
              <w:left w:val="nil"/>
              <w:bottom w:val="nil"/>
              <w:right w:val="nil"/>
            </w:tcBorders>
            <w:shd w:val="clear" w:color="auto" w:fill="auto"/>
            <w:noWrap/>
            <w:vAlign w:val="bottom"/>
            <w:hideMark/>
          </w:tcPr>
          <w:p w14:paraId="0C00B5B9"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w:t>
            </w:r>
          </w:p>
        </w:tc>
        <w:tc>
          <w:tcPr>
            <w:tcW w:w="0" w:type="auto"/>
            <w:tcBorders>
              <w:top w:val="nil"/>
              <w:left w:val="nil"/>
              <w:bottom w:val="nil"/>
              <w:right w:val="nil"/>
            </w:tcBorders>
            <w:shd w:val="clear" w:color="auto" w:fill="auto"/>
            <w:noWrap/>
            <w:vAlign w:val="bottom"/>
            <w:hideMark/>
          </w:tcPr>
          <w:p w14:paraId="12483135"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22</w:t>
            </w:r>
          </w:p>
        </w:tc>
        <w:tc>
          <w:tcPr>
            <w:tcW w:w="0" w:type="auto"/>
            <w:tcBorders>
              <w:top w:val="nil"/>
              <w:left w:val="nil"/>
              <w:bottom w:val="nil"/>
              <w:right w:val="nil"/>
            </w:tcBorders>
            <w:shd w:val="clear" w:color="auto" w:fill="auto"/>
            <w:noWrap/>
            <w:vAlign w:val="bottom"/>
            <w:hideMark/>
          </w:tcPr>
          <w:p w14:paraId="76947E2A"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65</w:t>
            </w:r>
          </w:p>
        </w:tc>
        <w:tc>
          <w:tcPr>
            <w:tcW w:w="0" w:type="auto"/>
            <w:tcBorders>
              <w:top w:val="nil"/>
              <w:left w:val="nil"/>
              <w:bottom w:val="nil"/>
              <w:right w:val="nil"/>
            </w:tcBorders>
            <w:shd w:val="clear" w:color="auto" w:fill="auto"/>
            <w:noWrap/>
            <w:vAlign w:val="bottom"/>
            <w:hideMark/>
          </w:tcPr>
          <w:p w14:paraId="39B90F23"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44</w:t>
            </w:r>
          </w:p>
        </w:tc>
        <w:tc>
          <w:tcPr>
            <w:tcW w:w="0" w:type="auto"/>
            <w:tcBorders>
              <w:top w:val="nil"/>
              <w:left w:val="nil"/>
              <w:bottom w:val="nil"/>
              <w:right w:val="single" w:sz="8" w:space="0" w:color="auto"/>
            </w:tcBorders>
            <w:shd w:val="clear" w:color="auto" w:fill="auto"/>
            <w:noWrap/>
            <w:vAlign w:val="bottom"/>
            <w:hideMark/>
          </w:tcPr>
          <w:p w14:paraId="0B86918D"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11</w:t>
            </w:r>
          </w:p>
        </w:tc>
        <w:tc>
          <w:tcPr>
            <w:tcW w:w="0" w:type="auto"/>
            <w:tcBorders>
              <w:top w:val="nil"/>
              <w:left w:val="nil"/>
              <w:bottom w:val="nil"/>
              <w:right w:val="nil"/>
            </w:tcBorders>
            <w:shd w:val="clear" w:color="auto" w:fill="auto"/>
            <w:noWrap/>
            <w:vAlign w:val="bottom"/>
            <w:hideMark/>
          </w:tcPr>
          <w:p w14:paraId="448A8DE9"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-16%</w:t>
            </w:r>
          </w:p>
        </w:tc>
        <w:tc>
          <w:tcPr>
            <w:tcW w:w="0" w:type="auto"/>
            <w:tcBorders>
              <w:top w:val="nil"/>
              <w:left w:val="nil"/>
              <w:bottom w:val="nil"/>
              <w:right w:val="nil"/>
            </w:tcBorders>
            <w:shd w:val="clear" w:color="auto" w:fill="auto"/>
            <w:noWrap/>
            <w:vAlign w:val="bottom"/>
            <w:hideMark/>
          </w:tcPr>
          <w:p w14:paraId="12730C9F"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w:t>
            </w:r>
          </w:p>
        </w:tc>
        <w:tc>
          <w:tcPr>
            <w:tcW w:w="0" w:type="auto"/>
            <w:tcBorders>
              <w:top w:val="nil"/>
              <w:left w:val="nil"/>
              <w:bottom w:val="nil"/>
              <w:right w:val="nil"/>
            </w:tcBorders>
            <w:shd w:val="clear" w:color="auto" w:fill="auto"/>
            <w:noWrap/>
            <w:vAlign w:val="bottom"/>
            <w:hideMark/>
          </w:tcPr>
          <w:p w14:paraId="62B7F598"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p>
        </w:tc>
        <w:tc>
          <w:tcPr>
            <w:tcW w:w="0" w:type="auto"/>
            <w:tcBorders>
              <w:top w:val="nil"/>
              <w:left w:val="nil"/>
              <w:bottom w:val="nil"/>
              <w:right w:val="nil"/>
            </w:tcBorders>
            <w:shd w:val="clear" w:color="auto" w:fill="auto"/>
            <w:noWrap/>
            <w:vAlign w:val="bottom"/>
            <w:hideMark/>
          </w:tcPr>
          <w:p w14:paraId="4655AD26"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p>
        </w:tc>
        <w:tc>
          <w:tcPr>
            <w:tcW w:w="0" w:type="auto"/>
            <w:tcBorders>
              <w:top w:val="nil"/>
              <w:left w:val="nil"/>
              <w:bottom w:val="nil"/>
              <w:right w:val="nil"/>
            </w:tcBorders>
            <w:shd w:val="clear" w:color="auto" w:fill="auto"/>
            <w:noWrap/>
            <w:vAlign w:val="bottom"/>
            <w:hideMark/>
          </w:tcPr>
          <w:p w14:paraId="5FE057FB"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-12%</w:t>
            </w:r>
          </w:p>
        </w:tc>
        <w:tc>
          <w:tcPr>
            <w:tcW w:w="0" w:type="auto"/>
            <w:tcBorders>
              <w:top w:val="nil"/>
              <w:left w:val="nil"/>
              <w:bottom w:val="nil"/>
              <w:right w:val="nil"/>
            </w:tcBorders>
            <w:shd w:val="clear" w:color="auto" w:fill="auto"/>
            <w:noWrap/>
            <w:vAlign w:val="bottom"/>
          </w:tcPr>
          <w:p w14:paraId="3C9C1578"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w:t>
            </w:r>
          </w:p>
        </w:tc>
        <w:tc>
          <w:tcPr>
            <w:tcW w:w="0" w:type="auto"/>
            <w:tcBorders>
              <w:top w:val="nil"/>
              <w:left w:val="nil"/>
              <w:bottom w:val="nil"/>
              <w:right w:val="nil"/>
            </w:tcBorders>
            <w:shd w:val="clear" w:color="auto" w:fill="auto"/>
            <w:noWrap/>
            <w:vAlign w:val="bottom"/>
            <w:hideMark/>
          </w:tcPr>
          <w:p w14:paraId="4AF07BE7"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p>
        </w:tc>
        <w:tc>
          <w:tcPr>
            <w:tcW w:w="0" w:type="auto"/>
            <w:tcBorders>
              <w:top w:val="nil"/>
              <w:left w:val="nil"/>
              <w:bottom w:val="nil"/>
              <w:right w:val="nil"/>
            </w:tcBorders>
            <w:shd w:val="clear" w:color="auto" w:fill="auto"/>
            <w:noWrap/>
            <w:vAlign w:val="bottom"/>
            <w:hideMark/>
          </w:tcPr>
          <w:p w14:paraId="06CE288F"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w:t>
            </w:r>
          </w:p>
        </w:tc>
        <w:tc>
          <w:tcPr>
            <w:tcW w:w="0" w:type="auto"/>
            <w:tcBorders>
              <w:top w:val="nil"/>
              <w:left w:val="nil"/>
              <w:bottom w:val="nil"/>
              <w:right w:val="nil"/>
            </w:tcBorders>
            <w:shd w:val="clear" w:color="auto" w:fill="auto"/>
            <w:noWrap/>
            <w:vAlign w:val="bottom"/>
            <w:hideMark/>
          </w:tcPr>
          <w:p w14:paraId="2DF6AF0C"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11%</w:t>
            </w:r>
          </w:p>
        </w:tc>
        <w:tc>
          <w:tcPr>
            <w:tcW w:w="0" w:type="auto"/>
            <w:tcBorders>
              <w:top w:val="nil"/>
              <w:left w:val="nil"/>
              <w:bottom w:val="nil"/>
              <w:right w:val="nil"/>
            </w:tcBorders>
            <w:shd w:val="clear" w:color="auto" w:fill="auto"/>
            <w:noWrap/>
            <w:vAlign w:val="bottom"/>
            <w:hideMark/>
          </w:tcPr>
          <w:p w14:paraId="6BA62291"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p>
        </w:tc>
        <w:tc>
          <w:tcPr>
            <w:tcW w:w="0" w:type="auto"/>
            <w:tcBorders>
              <w:top w:val="nil"/>
              <w:left w:val="nil"/>
              <w:bottom w:val="nil"/>
              <w:right w:val="nil"/>
            </w:tcBorders>
            <w:shd w:val="clear" w:color="auto" w:fill="auto"/>
            <w:noWrap/>
            <w:vAlign w:val="bottom"/>
            <w:hideMark/>
          </w:tcPr>
          <w:p w14:paraId="5F891241"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p>
        </w:tc>
        <w:tc>
          <w:tcPr>
            <w:tcW w:w="0" w:type="auto"/>
            <w:tcBorders>
              <w:top w:val="nil"/>
              <w:left w:val="nil"/>
              <w:bottom w:val="nil"/>
              <w:right w:val="nil"/>
            </w:tcBorders>
            <w:shd w:val="clear" w:color="auto" w:fill="auto"/>
            <w:noWrap/>
            <w:vAlign w:val="bottom"/>
            <w:hideMark/>
          </w:tcPr>
          <w:p w14:paraId="288E31F0"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-11%</w:t>
            </w:r>
          </w:p>
        </w:tc>
        <w:tc>
          <w:tcPr>
            <w:tcW w:w="0" w:type="auto"/>
            <w:tcBorders>
              <w:top w:val="nil"/>
              <w:left w:val="nil"/>
              <w:bottom w:val="nil"/>
              <w:right w:val="nil"/>
            </w:tcBorders>
            <w:shd w:val="clear" w:color="auto" w:fill="auto"/>
            <w:noWrap/>
            <w:vAlign w:val="bottom"/>
            <w:hideMark/>
          </w:tcPr>
          <w:p w14:paraId="721E945C"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w:t>
            </w:r>
          </w:p>
        </w:tc>
        <w:tc>
          <w:tcPr>
            <w:tcW w:w="0" w:type="auto"/>
            <w:tcBorders>
              <w:top w:val="nil"/>
              <w:left w:val="nil"/>
              <w:bottom w:val="nil"/>
              <w:right w:val="nil"/>
            </w:tcBorders>
            <w:shd w:val="clear" w:color="auto" w:fill="auto"/>
            <w:noWrap/>
            <w:vAlign w:val="bottom"/>
            <w:hideMark/>
          </w:tcPr>
          <w:p w14:paraId="1A2E74E7"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p>
        </w:tc>
        <w:tc>
          <w:tcPr>
            <w:tcW w:w="0" w:type="auto"/>
            <w:tcBorders>
              <w:top w:val="nil"/>
              <w:left w:val="nil"/>
              <w:bottom w:val="nil"/>
              <w:right w:val="nil"/>
            </w:tcBorders>
            <w:shd w:val="clear" w:color="auto" w:fill="auto"/>
            <w:noWrap/>
            <w:vAlign w:val="bottom"/>
            <w:hideMark/>
          </w:tcPr>
          <w:p w14:paraId="03476F8E"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p>
        </w:tc>
        <w:tc>
          <w:tcPr>
            <w:tcW w:w="0" w:type="auto"/>
            <w:tcBorders>
              <w:top w:val="nil"/>
              <w:left w:val="nil"/>
              <w:bottom w:val="nil"/>
              <w:right w:val="nil"/>
            </w:tcBorders>
            <w:shd w:val="clear" w:color="auto" w:fill="auto"/>
            <w:noWrap/>
            <w:vAlign w:val="bottom"/>
            <w:hideMark/>
          </w:tcPr>
          <w:p w14:paraId="668F3F73"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p>
        </w:tc>
        <w:tc>
          <w:tcPr>
            <w:tcW w:w="0" w:type="auto"/>
            <w:tcBorders>
              <w:top w:val="nil"/>
              <w:left w:val="nil"/>
              <w:bottom w:val="nil"/>
              <w:right w:val="nil"/>
            </w:tcBorders>
            <w:shd w:val="clear" w:color="auto" w:fill="auto"/>
            <w:noWrap/>
            <w:vAlign w:val="bottom"/>
            <w:hideMark/>
          </w:tcPr>
          <w:p w14:paraId="208206B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bottom"/>
            <w:hideMark/>
          </w:tcPr>
          <w:p w14:paraId="374815C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single" w:sz="12" w:space="0" w:color="auto"/>
            </w:tcBorders>
            <w:shd w:val="clear" w:color="auto" w:fill="auto"/>
            <w:noWrap/>
            <w:vAlign w:val="bottom"/>
            <w:hideMark/>
          </w:tcPr>
          <w:p w14:paraId="6377A2A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r>
      <w:tr w:rsidR="004541ED" w:rsidRPr="007F425D" w14:paraId="58C8D66D" w14:textId="77777777" w:rsidTr="004541ED">
        <w:trPr>
          <w:trHeight w:val="20"/>
        </w:trPr>
        <w:tc>
          <w:tcPr>
            <w:tcW w:w="0" w:type="auto"/>
            <w:tcBorders>
              <w:top w:val="nil"/>
              <w:left w:val="single" w:sz="12" w:space="0" w:color="auto"/>
              <w:bottom w:val="nil"/>
              <w:right w:val="nil"/>
            </w:tcBorders>
            <w:shd w:val="clear" w:color="auto" w:fill="auto"/>
            <w:noWrap/>
            <w:vAlign w:val="bottom"/>
            <w:hideMark/>
          </w:tcPr>
          <w:p w14:paraId="7ADA314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Distance to NUTS3 Centroid</w:t>
            </w:r>
          </w:p>
        </w:tc>
        <w:tc>
          <w:tcPr>
            <w:tcW w:w="0" w:type="auto"/>
            <w:tcBorders>
              <w:top w:val="nil"/>
              <w:left w:val="nil"/>
              <w:bottom w:val="nil"/>
              <w:right w:val="nil"/>
            </w:tcBorders>
            <w:shd w:val="clear" w:color="auto" w:fill="auto"/>
            <w:noWrap/>
            <w:vAlign w:val="bottom"/>
          </w:tcPr>
          <w:p w14:paraId="1FA2901F"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Pr>
                <w:rFonts w:ascii="Times New Roman" w:eastAsia="Times New Roman" w:hAnsi="Times New Roman" w:cs="Times New Roman"/>
                <w:color w:val="000000"/>
                <w:sz w:val="20"/>
                <w:szCs w:val="20"/>
                <w:lang w:eastAsia="de-DE"/>
              </w:rPr>
              <w:t>xviii</w:t>
            </w:r>
          </w:p>
        </w:tc>
        <w:tc>
          <w:tcPr>
            <w:tcW w:w="2943" w:type="dxa"/>
            <w:tcBorders>
              <w:top w:val="nil"/>
              <w:left w:val="nil"/>
              <w:bottom w:val="nil"/>
              <w:right w:val="nil"/>
            </w:tcBorders>
            <w:shd w:val="clear" w:color="auto" w:fill="auto"/>
            <w:noWrap/>
            <w:vAlign w:val="bottom"/>
            <w:hideMark/>
          </w:tcPr>
          <w:p w14:paraId="3A7FC8C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Km.</w:t>
            </w:r>
          </w:p>
        </w:tc>
        <w:tc>
          <w:tcPr>
            <w:tcW w:w="0" w:type="auto"/>
            <w:tcBorders>
              <w:top w:val="nil"/>
              <w:left w:val="nil"/>
              <w:bottom w:val="nil"/>
              <w:right w:val="single" w:sz="8" w:space="0" w:color="auto"/>
            </w:tcBorders>
            <w:shd w:val="clear" w:color="auto" w:fill="auto"/>
            <w:noWrap/>
            <w:vAlign w:val="bottom"/>
            <w:hideMark/>
          </w:tcPr>
          <w:p w14:paraId="534774F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xml:space="preserve">Eurostat,GIS via R </w:t>
            </w:r>
          </w:p>
        </w:tc>
        <w:tc>
          <w:tcPr>
            <w:tcW w:w="0" w:type="auto"/>
            <w:tcBorders>
              <w:top w:val="nil"/>
              <w:left w:val="nil"/>
              <w:bottom w:val="nil"/>
              <w:right w:val="nil"/>
            </w:tcBorders>
            <w:shd w:val="clear" w:color="auto" w:fill="auto"/>
            <w:noWrap/>
            <w:vAlign w:val="bottom"/>
            <w:hideMark/>
          </w:tcPr>
          <w:p w14:paraId="775F9B78"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36</w:t>
            </w:r>
          </w:p>
        </w:tc>
        <w:tc>
          <w:tcPr>
            <w:tcW w:w="0" w:type="auto"/>
            <w:tcBorders>
              <w:top w:val="nil"/>
              <w:left w:val="nil"/>
              <w:bottom w:val="nil"/>
              <w:right w:val="nil"/>
            </w:tcBorders>
            <w:shd w:val="clear" w:color="auto" w:fill="auto"/>
            <w:noWrap/>
            <w:vAlign w:val="bottom"/>
            <w:hideMark/>
          </w:tcPr>
          <w:p w14:paraId="29DC4614"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57</w:t>
            </w:r>
          </w:p>
        </w:tc>
        <w:tc>
          <w:tcPr>
            <w:tcW w:w="0" w:type="auto"/>
            <w:tcBorders>
              <w:top w:val="nil"/>
              <w:left w:val="nil"/>
              <w:bottom w:val="nil"/>
              <w:right w:val="nil"/>
            </w:tcBorders>
            <w:shd w:val="clear" w:color="auto" w:fill="auto"/>
            <w:noWrap/>
            <w:vAlign w:val="bottom"/>
            <w:hideMark/>
          </w:tcPr>
          <w:p w14:paraId="02792DEF"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23</w:t>
            </w:r>
          </w:p>
        </w:tc>
        <w:tc>
          <w:tcPr>
            <w:tcW w:w="0" w:type="auto"/>
            <w:tcBorders>
              <w:top w:val="nil"/>
              <w:left w:val="nil"/>
              <w:bottom w:val="nil"/>
              <w:right w:val="nil"/>
            </w:tcBorders>
            <w:shd w:val="clear" w:color="auto" w:fill="auto"/>
            <w:noWrap/>
            <w:vAlign w:val="bottom"/>
            <w:hideMark/>
          </w:tcPr>
          <w:p w14:paraId="7DE3D3EE"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80</w:t>
            </w:r>
          </w:p>
        </w:tc>
        <w:tc>
          <w:tcPr>
            <w:tcW w:w="0" w:type="auto"/>
            <w:tcBorders>
              <w:top w:val="nil"/>
              <w:left w:val="nil"/>
              <w:bottom w:val="nil"/>
              <w:right w:val="nil"/>
            </w:tcBorders>
            <w:shd w:val="clear" w:color="auto" w:fill="auto"/>
            <w:noWrap/>
            <w:vAlign w:val="bottom"/>
            <w:hideMark/>
          </w:tcPr>
          <w:p w14:paraId="284654D0"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w:t>
            </w:r>
          </w:p>
        </w:tc>
        <w:tc>
          <w:tcPr>
            <w:tcW w:w="0" w:type="auto"/>
            <w:tcBorders>
              <w:top w:val="nil"/>
              <w:left w:val="nil"/>
              <w:bottom w:val="nil"/>
              <w:right w:val="single" w:sz="8" w:space="0" w:color="auto"/>
            </w:tcBorders>
            <w:shd w:val="clear" w:color="auto" w:fill="auto"/>
            <w:noWrap/>
            <w:vAlign w:val="bottom"/>
            <w:hideMark/>
          </w:tcPr>
          <w:p w14:paraId="2D308A01"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63</w:t>
            </w:r>
          </w:p>
        </w:tc>
        <w:tc>
          <w:tcPr>
            <w:tcW w:w="0" w:type="auto"/>
            <w:tcBorders>
              <w:top w:val="nil"/>
              <w:left w:val="nil"/>
              <w:bottom w:val="nil"/>
              <w:right w:val="nil"/>
            </w:tcBorders>
            <w:shd w:val="clear" w:color="auto" w:fill="auto"/>
            <w:noWrap/>
            <w:vAlign w:val="bottom"/>
            <w:hideMark/>
          </w:tcPr>
          <w:p w14:paraId="3A2B050E"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-9%</w:t>
            </w:r>
          </w:p>
        </w:tc>
        <w:tc>
          <w:tcPr>
            <w:tcW w:w="0" w:type="auto"/>
            <w:tcBorders>
              <w:top w:val="nil"/>
              <w:left w:val="nil"/>
              <w:bottom w:val="nil"/>
              <w:right w:val="nil"/>
            </w:tcBorders>
            <w:shd w:val="clear" w:color="auto" w:fill="auto"/>
            <w:noWrap/>
            <w:vAlign w:val="bottom"/>
            <w:hideMark/>
          </w:tcPr>
          <w:p w14:paraId="1F6DC8DF"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w:t>
            </w:r>
          </w:p>
        </w:tc>
        <w:tc>
          <w:tcPr>
            <w:tcW w:w="0" w:type="auto"/>
            <w:tcBorders>
              <w:top w:val="nil"/>
              <w:left w:val="nil"/>
              <w:bottom w:val="nil"/>
              <w:right w:val="nil"/>
            </w:tcBorders>
            <w:shd w:val="clear" w:color="auto" w:fill="auto"/>
            <w:noWrap/>
            <w:vAlign w:val="bottom"/>
            <w:hideMark/>
          </w:tcPr>
          <w:p w14:paraId="51BFE43C"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p>
        </w:tc>
        <w:tc>
          <w:tcPr>
            <w:tcW w:w="0" w:type="auto"/>
            <w:tcBorders>
              <w:top w:val="nil"/>
              <w:left w:val="nil"/>
              <w:bottom w:val="nil"/>
              <w:right w:val="nil"/>
            </w:tcBorders>
            <w:shd w:val="clear" w:color="auto" w:fill="auto"/>
            <w:noWrap/>
            <w:vAlign w:val="bottom"/>
            <w:hideMark/>
          </w:tcPr>
          <w:p w14:paraId="49A3A7BD"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p>
        </w:tc>
        <w:tc>
          <w:tcPr>
            <w:tcW w:w="0" w:type="auto"/>
            <w:tcBorders>
              <w:top w:val="nil"/>
              <w:left w:val="nil"/>
              <w:bottom w:val="nil"/>
              <w:right w:val="nil"/>
            </w:tcBorders>
            <w:shd w:val="clear" w:color="auto" w:fill="auto"/>
            <w:noWrap/>
            <w:vAlign w:val="bottom"/>
            <w:hideMark/>
          </w:tcPr>
          <w:p w14:paraId="2666E49D"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-16%</w:t>
            </w:r>
          </w:p>
        </w:tc>
        <w:tc>
          <w:tcPr>
            <w:tcW w:w="0" w:type="auto"/>
            <w:tcBorders>
              <w:top w:val="nil"/>
              <w:left w:val="nil"/>
              <w:bottom w:val="nil"/>
              <w:right w:val="nil"/>
            </w:tcBorders>
            <w:shd w:val="clear" w:color="auto" w:fill="auto"/>
            <w:noWrap/>
            <w:vAlign w:val="bottom"/>
          </w:tcPr>
          <w:p w14:paraId="545D248A"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w:t>
            </w:r>
          </w:p>
        </w:tc>
        <w:tc>
          <w:tcPr>
            <w:tcW w:w="0" w:type="auto"/>
            <w:tcBorders>
              <w:top w:val="nil"/>
              <w:left w:val="nil"/>
              <w:bottom w:val="nil"/>
              <w:right w:val="nil"/>
            </w:tcBorders>
            <w:shd w:val="clear" w:color="auto" w:fill="auto"/>
            <w:noWrap/>
            <w:vAlign w:val="bottom"/>
            <w:hideMark/>
          </w:tcPr>
          <w:p w14:paraId="144FA33E"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p>
        </w:tc>
        <w:tc>
          <w:tcPr>
            <w:tcW w:w="0" w:type="auto"/>
            <w:tcBorders>
              <w:top w:val="nil"/>
              <w:left w:val="nil"/>
              <w:bottom w:val="nil"/>
              <w:right w:val="nil"/>
            </w:tcBorders>
            <w:shd w:val="clear" w:color="auto" w:fill="auto"/>
            <w:noWrap/>
            <w:vAlign w:val="bottom"/>
            <w:hideMark/>
          </w:tcPr>
          <w:p w14:paraId="4E364495"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p>
        </w:tc>
        <w:tc>
          <w:tcPr>
            <w:tcW w:w="0" w:type="auto"/>
            <w:tcBorders>
              <w:top w:val="nil"/>
              <w:left w:val="nil"/>
              <w:bottom w:val="nil"/>
              <w:right w:val="nil"/>
            </w:tcBorders>
            <w:shd w:val="clear" w:color="auto" w:fill="auto"/>
            <w:noWrap/>
            <w:vAlign w:val="bottom"/>
            <w:hideMark/>
          </w:tcPr>
          <w:p w14:paraId="12F1F7C6"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12%</w:t>
            </w:r>
          </w:p>
        </w:tc>
        <w:tc>
          <w:tcPr>
            <w:tcW w:w="0" w:type="auto"/>
            <w:tcBorders>
              <w:top w:val="nil"/>
              <w:left w:val="nil"/>
              <w:bottom w:val="nil"/>
              <w:right w:val="nil"/>
            </w:tcBorders>
            <w:shd w:val="clear" w:color="auto" w:fill="auto"/>
            <w:noWrap/>
            <w:vAlign w:val="bottom"/>
            <w:hideMark/>
          </w:tcPr>
          <w:p w14:paraId="67BB3321"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w:t>
            </w:r>
          </w:p>
        </w:tc>
        <w:tc>
          <w:tcPr>
            <w:tcW w:w="0" w:type="auto"/>
            <w:tcBorders>
              <w:top w:val="nil"/>
              <w:left w:val="nil"/>
              <w:bottom w:val="nil"/>
              <w:right w:val="nil"/>
            </w:tcBorders>
            <w:shd w:val="clear" w:color="auto" w:fill="auto"/>
            <w:noWrap/>
            <w:vAlign w:val="bottom"/>
            <w:hideMark/>
          </w:tcPr>
          <w:p w14:paraId="13A56EC7"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p>
        </w:tc>
        <w:tc>
          <w:tcPr>
            <w:tcW w:w="0" w:type="auto"/>
            <w:tcBorders>
              <w:top w:val="nil"/>
              <w:left w:val="nil"/>
              <w:bottom w:val="nil"/>
              <w:right w:val="nil"/>
            </w:tcBorders>
            <w:shd w:val="clear" w:color="auto" w:fill="auto"/>
            <w:noWrap/>
            <w:vAlign w:val="bottom"/>
            <w:hideMark/>
          </w:tcPr>
          <w:p w14:paraId="4C979073"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-9%</w:t>
            </w:r>
          </w:p>
        </w:tc>
        <w:tc>
          <w:tcPr>
            <w:tcW w:w="0" w:type="auto"/>
            <w:tcBorders>
              <w:top w:val="nil"/>
              <w:left w:val="nil"/>
              <w:bottom w:val="nil"/>
              <w:right w:val="nil"/>
            </w:tcBorders>
            <w:shd w:val="clear" w:color="auto" w:fill="auto"/>
            <w:noWrap/>
            <w:vAlign w:val="bottom"/>
            <w:hideMark/>
          </w:tcPr>
          <w:p w14:paraId="6D8D628B"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p>
        </w:tc>
        <w:tc>
          <w:tcPr>
            <w:tcW w:w="0" w:type="auto"/>
            <w:tcBorders>
              <w:top w:val="nil"/>
              <w:left w:val="nil"/>
              <w:bottom w:val="nil"/>
              <w:right w:val="nil"/>
            </w:tcBorders>
            <w:shd w:val="clear" w:color="auto" w:fill="auto"/>
            <w:noWrap/>
            <w:vAlign w:val="bottom"/>
            <w:hideMark/>
          </w:tcPr>
          <w:p w14:paraId="640A555F"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p>
        </w:tc>
        <w:tc>
          <w:tcPr>
            <w:tcW w:w="0" w:type="auto"/>
            <w:tcBorders>
              <w:top w:val="nil"/>
              <w:left w:val="nil"/>
              <w:bottom w:val="nil"/>
              <w:right w:val="nil"/>
            </w:tcBorders>
            <w:shd w:val="clear" w:color="auto" w:fill="auto"/>
            <w:noWrap/>
            <w:vAlign w:val="bottom"/>
            <w:hideMark/>
          </w:tcPr>
          <w:p w14:paraId="7B7A067C"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17%</w:t>
            </w:r>
          </w:p>
        </w:tc>
        <w:tc>
          <w:tcPr>
            <w:tcW w:w="0" w:type="auto"/>
            <w:tcBorders>
              <w:top w:val="nil"/>
              <w:left w:val="nil"/>
              <w:bottom w:val="nil"/>
              <w:right w:val="nil"/>
            </w:tcBorders>
            <w:shd w:val="clear" w:color="auto" w:fill="auto"/>
            <w:noWrap/>
            <w:vAlign w:val="bottom"/>
            <w:hideMark/>
          </w:tcPr>
          <w:p w14:paraId="1357AF3F"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14%</w:t>
            </w:r>
          </w:p>
        </w:tc>
        <w:tc>
          <w:tcPr>
            <w:tcW w:w="0" w:type="auto"/>
            <w:tcBorders>
              <w:top w:val="nil"/>
              <w:left w:val="nil"/>
              <w:bottom w:val="nil"/>
              <w:right w:val="nil"/>
            </w:tcBorders>
            <w:shd w:val="clear" w:color="auto" w:fill="auto"/>
            <w:noWrap/>
            <w:vAlign w:val="bottom"/>
            <w:hideMark/>
          </w:tcPr>
          <w:p w14:paraId="25EAC274"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32%</w:t>
            </w:r>
          </w:p>
        </w:tc>
        <w:tc>
          <w:tcPr>
            <w:tcW w:w="0" w:type="auto"/>
            <w:tcBorders>
              <w:top w:val="nil"/>
              <w:left w:val="nil"/>
              <w:bottom w:val="nil"/>
              <w:right w:val="nil"/>
            </w:tcBorders>
            <w:shd w:val="clear" w:color="auto" w:fill="auto"/>
            <w:noWrap/>
            <w:vAlign w:val="bottom"/>
            <w:hideMark/>
          </w:tcPr>
          <w:p w14:paraId="3A32A95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nil"/>
              <w:left w:val="nil"/>
              <w:bottom w:val="nil"/>
              <w:right w:val="single" w:sz="12" w:space="0" w:color="auto"/>
            </w:tcBorders>
            <w:shd w:val="clear" w:color="auto" w:fill="auto"/>
            <w:noWrap/>
            <w:vAlign w:val="bottom"/>
            <w:hideMark/>
          </w:tcPr>
          <w:p w14:paraId="449665B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r>
      <w:tr w:rsidR="004541ED" w:rsidRPr="007F425D" w14:paraId="1A5C0E14" w14:textId="77777777" w:rsidTr="004541ED">
        <w:trPr>
          <w:trHeight w:val="57"/>
        </w:trPr>
        <w:tc>
          <w:tcPr>
            <w:tcW w:w="0" w:type="auto"/>
            <w:tcBorders>
              <w:top w:val="nil"/>
              <w:left w:val="single" w:sz="12" w:space="0" w:color="auto"/>
              <w:bottom w:val="nil"/>
              <w:right w:val="nil"/>
            </w:tcBorders>
            <w:shd w:val="clear" w:color="auto" w:fill="auto"/>
            <w:noWrap/>
            <w:vAlign w:val="bottom"/>
            <w:hideMark/>
          </w:tcPr>
          <w:p w14:paraId="2BD6EF3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Log purchasing power</w:t>
            </w:r>
          </w:p>
        </w:tc>
        <w:tc>
          <w:tcPr>
            <w:tcW w:w="0" w:type="auto"/>
            <w:tcBorders>
              <w:top w:val="nil"/>
              <w:left w:val="nil"/>
              <w:bottom w:val="nil"/>
              <w:right w:val="nil"/>
            </w:tcBorders>
            <w:shd w:val="clear" w:color="auto" w:fill="auto"/>
            <w:noWrap/>
            <w:vAlign w:val="bottom"/>
          </w:tcPr>
          <w:p w14:paraId="6FA4B041"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Pr>
                <w:rFonts w:ascii="Times New Roman" w:eastAsia="Times New Roman" w:hAnsi="Times New Roman" w:cs="Times New Roman"/>
                <w:color w:val="000000"/>
                <w:sz w:val="20"/>
                <w:szCs w:val="20"/>
                <w:lang w:eastAsia="de-DE"/>
              </w:rPr>
              <w:t>xix</w:t>
            </w:r>
          </w:p>
        </w:tc>
        <w:tc>
          <w:tcPr>
            <w:tcW w:w="2943" w:type="dxa"/>
            <w:tcBorders>
              <w:top w:val="nil"/>
              <w:left w:val="nil"/>
              <w:bottom w:val="nil"/>
              <w:right w:val="nil"/>
            </w:tcBorders>
            <w:shd w:val="clear" w:color="auto" w:fill="auto"/>
            <w:noWrap/>
            <w:vAlign w:val="bottom"/>
            <w:hideMark/>
          </w:tcPr>
          <w:p w14:paraId="1C0A973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€/household/p.a.</w:t>
            </w:r>
          </w:p>
        </w:tc>
        <w:tc>
          <w:tcPr>
            <w:tcW w:w="0" w:type="auto"/>
            <w:tcBorders>
              <w:top w:val="nil"/>
              <w:left w:val="nil"/>
              <w:bottom w:val="nil"/>
              <w:right w:val="single" w:sz="8" w:space="0" w:color="auto"/>
            </w:tcBorders>
            <w:shd w:val="clear" w:color="auto" w:fill="auto"/>
            <w:noWrap/>
            <w:vAlign w:val="bottom"/>
            <w:hideMark/>
          </w:tcPr>
          <w:p w14:paraId="5D56E3B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GfK</w:t>
            </w:r>
          </w:p>
        </w:tc>
        <w:tc>
          <w:tcPr>
            <w:tcW w:w="0" w:type="auto"/>
            <w:tcBorders>
              <w:top w:val="nil"/>
              <w:left w:val="nil"/>
              <w:bottom w:val="nil"/>
              <w:right w:val="nil"/>
            </w:tcBorders>
            <w:shd w:val="clear" w:color="auto" w:fill="auto"/>
            <w:noWrap/>
            <w:vAlign w:val="bottom"/>
            <w:hideMark/>
          </w:tcPr>
          <w:p w14:paraId="696B47DC"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62</w:t>
            </w:r>
          </w:p>
        </w:tc>
        <w:tc>
          <w:tcPr>
            <w:tcW w:w="0" w:type="auto"/>
            <w:tcBorders>
              <w:top w:val="nil"/>
              <w:left w:val="nil"/>
              <w:bottom w:val="nil"/>
              <w:right w:val="nil"/>
            </w:tcBorders>
            <w:shd w:val="clear" w:color="auto" w:fill="auto"/>
            <w:noWrap/>
            <w:vAlign w:val="bottom"/>
            <w:hideMark/>
          </w:tcPr>
          <w:p w14:paraId="53B0B556"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20</w:t>
            </w:r>
          </w:p>
        </w:tc>
        <w:tc>
          <w:tcPr>
            <w:tcW w:w="0" w:type="auto"/>
            <w:tcBorders>
              <w:top w:val="nil"/>
              <w:left w:val="nil"/>
              <w:bottom w:val="nil"/>
              <w:right w:val="nil"/>
            </w:tcBorders>
            <w:shd w:val="clear" w:color="auto" w:fill="auto"/>
            <w:noWrap/>
            <w:vAlign w:val="bottom"/>
            <w:hideMark/>
          </w:tcPr>
          <w:p w14:paraId="3D298C18"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33</w:t>
            </w:r>
          </w:p>
        </w:tc>
        <w:tc>
          <w:tcPr>
            <w:tcW w:w="0" w:type="auto"/>
            <w:tcBorders>
              <w:top w:val="nil"/>
              <w:left w:val="nil"/>
              <w:bottom w:val="nil"/>
              <w:right w:val="nil"/>
            </w:tcBorders>
            <w:shd w:val="clear" w:color="auto" w:fill="auto"/>
            <w:noWrap/>
            <w:vAlign w:val="bottom"/>
            <w:hideMark/>
          </w:tcPr>
          <w:p w14:paraId="7DF0451D"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48</w:t>
            </w:r>
          </w:p>
        </w:tc>
        <w:tc>
          <w:tcPr>
            <w:tcW w:w="0" w:type="auto"/>
            <w:tcBorders>
              <w:top w:val="nil"/>
              <w:left w:val="nil"/>
              <w:bottom w:val="nil"/>
              <w:right w:val="nil"/>
            </w:tcBorders>
            <w:shd w:val="clear" w:color="auto" w:fill="auto"/>
            <w:noWrap/>
            <w:vAlign w:val="bottom"/>
            <w:hideMark/>
          </w:tcPr>
          <w:p w14:paraId="059865EC"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74</w:t>
            </w:r>
          </w:p>
        </w:tc>
        <w:tc>
          <w:tcPr>
            <w:tcW w:w="0" w:type="auto"/>
            <w:tcBorders>
              <w:top w:val="nil"/>
              <w:left w:val="nil"/>
              <w:bottom w:val="nil"/>
              <w:right w:val="single" w:sz="8" w:space="0" w:color="auto"/>
            </w:tcBorders>
            <w:shd w:val="clear" w:color="auto" w:fill="auto"/>
            <w:noWrap/>
            <w:vAlign w:val="bottom"/>
            <w:hideMark/>
          </w:tcPr>
          <w:p w14:paraId="428AAFEE"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96</w:t>
            </w:r>
          </w:p>
        </w:tc>
        <w:tc>
          <w:tcPr>
            <w:tcW w:w="0" w:type="auto"/>
            <w:tcBorders>
              <w:top w:val="nil"/>
              <w:left w:val="nil"/>
              <w:bottom w:val="nil"/>
              <w:right w:val="nil"/>
            </w:tcBorders>
            <w:shd w:val="clear" w:color="auto" w:fill="auto"/>
            <w:noWrap/>
            <w:vAlign w:val="bottom"/>
            <w:hideMark/>
          </w:tcPr>
          <w:p w14:paraId="5D8C02D8"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39%</w:t>
            </w:r>
          </w:p>
        </w:tc>
        <w:tc>
          <w:tcPr>
            <w:tcW w:w="0" w:type="auto"/>
            <w:tcBorders>
              <w:top w:val="nil"/>
              <w:left w:val="nil"/>
              <w:bottom w:val="nil"/>
              <w:right w:val="nil"/>
            </w:tcBorders>
            <w:shd w:val="clear" w:color="auto" w:fill="auto"/>
            <w:noWrap/>
            <w:vAlign w:val="bottom"/>
            <w:hideMark/>
          </w:tcPr>
          <w:p w14:paraId="5F55F9F3"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-15%</w:t>
            </w:r>
          </w:p>
        </w:tc>
        <w:tc>
          <w:tcPr>
            <w:tcW w:w="0" w:type="auto"/>
            <w:tcBorders>
              <w:top w:val="nil"/>
              <w:left w:val="nil"/>
              <w:bottom w:val="nil"/>
              <w:right w:val="nil"/>
            </w:tcBorders>
            <w:shd w:val="clear" w:color="auto" w:fill="auto"/>
            <w:noWrap/>
            <w:vAlign w:val="bottom"/>
            <w:hideMark/>
          </w:tcPr>
          <w:p w14:paraId="0062C52F"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9%</w:t>
            </w:r>
          </w:p>
        </w:tc>
        <w:tc>
          <w:tcPr>
            <w:tcW w:w="0" w:type="auto"/>
            <w:tcBorders>
              <w:top w:val="nil"/>
              <w:left w:val="nil"/>
              <w:bottom w:val="nil"/>
              <w:right w:val="nil"/>
            </w:tcBorders>
            <w:shd w:val="clear" w:color="auto" w:fill="auto"/>
            <w:noWrap/>
            <w:vAlign w:val="bottom"/>
            <w:hideMark/>
          </w:tcPr>
          <w:p w14:paraId="683350BF"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21%</w:t>
            </w:r>
          </w:p>
        </w:tc>
        <w:tc>
          <w:tcPr>
            <w:tcW w:w="0" w:type="auto"/>
            <w:tcBorders>
              <w:top w:val="nil"/>
              <w:left w:val="nil"/>
              <w:bottom w:val="nil"/>
              <w:right w:val="nil"/>
            </w:tcBorders>
            <w:shd w:val="clear" w:color="auto" w:fill="auto"/>
            <w:noWrap/>
            <w:vAlign w:val="bottom"/>
            <w:hideMark/>
          </w:tcPr>
          <w:p w14:paraId="13ADA3D4"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-33%</w:t>
            </w:r>
          </w:p>
        </w:tc>
        <w:tc>
          <w:tcPr>
            <w:tcW w:w="0" w:type="auto"/>
            <w:tcBorders>
              <w:top w:val="nil"/>
              <w:left w:val="nil"/>
              <w:bottom w:val="nil"/>
              <w:right w:val="nil"/>
            </w:tcBorders>
            <w:shd w:val="clear" w:color="auto" w:fill="auto"/>
            <w:noWrap/>
            <w:vAlign w:val="bottom"/>
          </w:tcPr>
          <w:p w14:paraId="0772C839"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11%</w:t>
            </w:r>
          </w:p>
        </w:tc>
        <w:tc>
          <w:tcPr>
            <w:tcW w:w="0" w:type="auto"/>
            <w:tcBorders>
              <w:top w:val="nil"/>
              <w:left w:val="nil"/>
              <w:bottom w:val="nil"/>
              <w:right w:val="nil"/>
            </w:tcBorders>
            <w:shd w:val="clear" w:color="auto" w:fill="auto"/>
            <w:noWrap/>
            <w:vAlign w:val="bottom"/>
            <w:hideMark/>
          </w:tcPr>
          <w:p w14:paraId="5977DBC4"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p>
        </w:tc>
        <w:tc>
          <w:tcPr>
            <w:tcW w:w="0" w:type="auto"/>
            <w:tcBorders>
              <w:top w:val="nil"/>
              <w:left w:val="nil"/>
              <w:bottom w:val="nil"/>
              <w:right w:val="nil"/>
            </w:tcBorders>
            <w:shd w:val="clear" w:color="auto" w:fill="auto"/>
            <w:noWrap/>
            <w:vAlign w:val="bottom"/>
            <w:hideMark/>
          </w:tcPr>
          <w:p w14:paraId="6636DCB8"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22%</w:t>
            </w:r>
          </w:p>
        </w:tc>
        <w:tc>
          <w:tcPr>
            <w:tcW w:w="0" w:type="auto"/>
            <w:tcBorders>
              <w:top w:val="nil"/>
              <w:left w:val="nil"/>
              <w:bottom w:val="nil"/>
              <w:right w:val="nil"/>
            </w:tcBorders>
            <w:shd w:val="clear" w:color="auto" w:fill="auto"/>
            <w:noWrap/>
            <w:vAlign w:val="bottom"/>
            <w:hideMark/>
          </w:tcPr>
          <w:p w14:paraId="61BE7BF9"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32%</w:t>
            </w:r>
          </w:p>
        </w:tc>
        <w:tc>
          <w:tcPr>
            <w:tcW w:w="0" w:type="auto"/>
            <w:tcBorders>
              <w:top w:val="nil"/>
              <w:left w:val="nil"/>
              <w:bottom w:val="nil"/>
              <w:right w:val="nil"/>
            </w:tcBorders>
            <w:shd w:val="clear" w:color="auto" w:fill="auto"/>
            <w:noWrap/>
            <w:vAlign w:val="bottom"/>
            <w:hideMark/>
          </w:tcPr>
          <w:p w14:paraId="63A6E655"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14%</w:t>
            </w:r>
          </w:p>
        </w:tc>
        <w:tc>
          <w:tcPr>
            <w:tcW w:w="0" w:type="auto"/>
            <w:tcBorders>
              <w:top w:val="nil"/>
              <w:left w:val="nil"/>
              <w:bottom w:val="nil"/>
              <w:right w:val="nil"/>
            </w:tcBorders>
            <w:shd w:val="clear" w:color="auto" w:fill="auto"/>
            <w:noWrap/>
            <w:vAlign w:val="bottom"/>
            <w:hideMark/>
          </w:tcPr>
          <w:p w14:paraId="14DF33C8"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w:t>
            </w:r>
          </w:p>
        </w:tc>
        <w:tc>
          <w:tcPr>
            <w:tcW w:w="0" w:type="auto"/>
            <w:tcBorders>
              <w:top w:val="nil"/>
              <w:left w:val="nil"/>
              <w:bottom w:val="nil"/>
              <w:right w:val="nil"/>
            </w:tcBorders>
            <w:shd w:val="clear" w:color="auto" w:fill="auto"/>
            <w:noWrap/>
            <w:vAlign w:val="bottom"/>
            <w:hideMark/>
          </w:tcPr>
          <w:p w14:paraId="51D23E85"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p>
        </w:tc>
        <w:tc>
          <w:tcPr>
            <w:tcW w:w="0" w:type="auto"/>
            <w:tcBorders>
              <w:top w:val="nil"/>
              <w:left w:val="nil"/>
              <w:bottom w:val="nil"/>
              <w:right w:val="nil"/>
            </w:tcBorders>
            <w:shd w:val="clear" w:color="auto" w:fill="auto"/>
            <w:noWrap/>
            <w:vAlign w:val="bottom"/>
            <w:hideMark/>
          </w:tcPr>
          <w:p w14:paraId="09B55D5F"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p>
        </w:tc>
        <w:tc>
          <w:tcPr>
            <w:tcW w:w="0" w:type="auto"/>
            <w:tcBorders>
              <w:top w:val="nil"/>
              <w:left w:val="nil"/>
              <w:bottom w:val="nil"/>
              <w:right w:val="nil"/>
            </w:tcBorders>
            <w:shd w:val="clear" w:color="auto" w:fill="auto"/>
            <w:noWrap/>
            <w:vAlign w:val="bottom"/>
            <w:hideMark/>
          </w:tcPr>
          <w:p w14:paraId="0DCBABF4"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p>
        </w:tc>
        <w:tc>
          <w:tcPr>
            <w:tcW w:w="0" w:type="auto"/>
            <w:tcBorders>
              <w:top w:val="nil"/>
              <w:left w:val="nil"/>
              <w:bottom w:val="nil"/>
              <w:right w:val="nil"/>
            </w:tcBorders>
            <w:shd w:val="clear" w:color="auto" w:fill="auto"/>
            <w:noWrap/>
            <w:vAlign w:val="bottom"/>
            <w:hideMark/>
          </w:tcPr>
          <w:p w14:paraId="59906A15"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-41%</w:t>
            </w:r>
          </w:p>
        </w:tc>
        <w:tc>
          <w:tcPr>
            <w:tcW w:w="0" w:type="auto"/>
            <w:tcBorders>
              <w:top w:val="nil"/>
              <w:left w:val="nil"/>
              <w:bottom w:val="nil"/>
              <w:right w:val="nil"/>
            </w:tcBorders>
            <w:shd w:val="clear" w:color="auto" w:fill="auto"/>
            <w:noWrap/>
            <w:vAlign w:val="bottom"/>
            <w:hideMark/>
          </w:tcPr>
          <w:p w14:paraId="14429B8C"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-38%</w:t>
            </w:r>
          </w:p>
        </w:tc>
        <w:tc>
          <w:tcPr>
            <w:tcW w:w="0" w:type="auto"/>
            <w:tcBorders>
              <w:top w:val="nil"/>
              <w:left w:val="nil"/>
              <w:bottom w:val="nil"/>
              <w:right w:val="nil"/>
            </w:tcBorders>
            <w:shd w:val="clear" w:color="auto" w:fill="auto"/>
            <w:noWrap/>
            <w:vAlign w:val="bottom"/>
            <w:hideMark/>
          </w:tcPr>
          <w:p w14:paraId="5A55FD42"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13%</w:t>
            </w:r>
          </w:p>
        </w:tc>
        <w:tc>
          <w:tcPr>
            <w:tcW w:w="0" w:type="auto"/>
            <w:tcBorders>
              <w:top w:val="nil"/>
              <w:left w:val="nil"/>
              <w:bottom w:val="nil"/>
              <w:right w:val="nil"/>
            </w:tcBorders>
            <w:shd w:val="clear" w:color="auto" w:fill="auto"/>
            <w:noWrap/>
            <w:vAlign w:val="bottom"/>
            <w:hideMark/>
          </w:tcPr>
          <w:p w14:paraId="2FE1BE0B"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15%</w:t>
            </w:r>
          </w:p>
        </w:tc>
        <w:tc>
          <w:tcPr>
            <w:tcW w:w="0" w:type="auto"/>
            <w:tcBorders>
              <w:top w:val="nil"/>
              <w:left w:val="nil"/>
              <w:bottom w:val="nil"/>
              <w:right w:val="single" w:sz="12" w:space="0" w:color="auto"/>
            </w:tcBorders>
            <w:shd w:val="clear" w:color="auto" w:fill="auto"/>
            <w:noWrap/>
            <w:vAlign w:val="bottom"/>
            <w:hideMark/>
          </w:tcPr>
          <w:p w14:paraId="0244898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r>
      <w:tr w:rsidR="004541ED" w:rsidRPr="007F425D" w14:paraId="1608923D" w14:textId="77777777" w:rsidTr="004541ED">
        <w:trPr>
          <w:trHeight w:val="113"/>
        </w:trPr>
        <w:tc>
          <w:tcPr>
            <w:tcW w:w="0" w:type="auto"/>
            <w:tcBorders>
              <w:top w:val="nil"/>
              <w:left w:val="single" w:sz="12" w:space="0" w:color="auto"/>
              <w:bottom w:val="single" w:sz="12" w:space="0" w:color="auto"/>
              <w:right w:val="nil"/>
            </w:tcBorders>
            <w:shd w:val="clear" w:color="auto" w:fill="auto"/>
            <w:noWrap/>
            <w:vAlign w:val="bottom"/>
            <w:hideMark/>
          </w:tcPr>
          <w:p w14:paraId="5894E48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Log number of households</w:t>
            </w:r>
          </w:p>
        </w:tc>
        <w:tc>
          <w:tcPr>
            <w:tcW w:w="0" w:type="auto"/>
            <w:tcBorders>
              <w:top w:val="nil"/>
              <w:left w:val="nil"/>
              <w:bottom w:val="single" w:sz="12" w:space="0" w:color="auto"/>
              <w:right w:val="nil"/>
            </w:tcBorders>
            <w:shd w:val="clear" w:color="auto" w:fill="auto"/>
            <w:noWrap/>
            <w:vAlign w:val="bottom"/>
          </w:tcPr>
          <w:p w14:paraId="631079B7"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Pr>
                <w:rFonts w:ascii="Times New Roman" w:eastAsia="Times New Roman" w:hAnsi="Times New Roman" w:cs="Times New Roman"/>
                <w:color w:val="000000"/>
                <w:sz w:val="20"/>
                <w:szCs w:val="20"/>
                <w:lang w:eastAsia="de-DE"/>
              </w:rPr>
              <w:t>xx</w:t>
            </w:r>
          </w:p>
        </w:tc>
        <w:tc>
          <w:tcPr>
            <w:tcW w:w="2943" w:type="dxa"/>
            <w:tcBorders>
              <w:top w:val="nil"/>
              <w:left w:val="nil"/>
              <w:bottom w:val="single" w:sz="12" w:space="0" w:color="auto"/>
              <w:right w:val="nil"/>
            </w:tcBorders>
            <w:shd w:val="clear" w:color="auto" w:fill="auto"/>
            <w:noWrap/>
            <w:vAlign w:val="bottom"/>
            <w:hideMark/>
          </w:tcPr>
          <w:p w14:paraId="0A1A5DC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Number</w:t>
            </w:r>
          </w:p>
        </w:tc>
        <w:tc>
          <w:tcPr>
            <w:tcW w:w="0" w:type="auto"/>
            <w:tcBorders>
              <w:top w:val="nil"/>
              <w:left w:val="nil"/>
              <w:bottom w:val="single" w:sz="12" w:space="0" w:color="auto"/>
              <w:right w:val="single" w:sz="8" w:space="0" w:color="auto"/>
            </w:tcBorders>
            <w:shd w:val="clear" w:color="auto" w:fill="auto"/>
            <w:noWrap/>
            <w:vAlign w:val="bottom"/>
            <w:hideMark/>
          </w:tcPr>
          <w:p w14:paraId="308CCEF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GfK</w:t>
            </w:r>
          </w:p>
        </w:tc>
        <w:tc>
          <w:tcPr>
            <w:tcW w:w="0" w:type="auto"/>
            <w:tcBorders>
              <w:top w:val="nil"/>
              <w:left w:val="nil"/>
              <w:bottom w:val="single" w:sz="12" w:space="0" w:color="auto"/>
              <w:right w:val="nil"/>
            </w:tcBorders>
            <w:shd w:val="clear" w:color="auto" w:fill="auto"/>
            <w:noWrap/>
            <w:vAlign w:val="bottom"/>
            <w:hideMark/>
          </w:tcPr>
          <w:p w14:paraId="24ECEFF7"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20</w:t>
            </w:r>
          </w:p>
        </w:tc>
        <w:tc>
          <w:tcPr>
            <w:tcW w:w="0" w:type="auto"/>
            <w:tcBorders>
              <w:top w:val="nil"/>
              <w:left w:val="nil"/>
              <w:bottom w:val="single" w:sz="12" w:space="0" w:color="auto"/>
              <w:right w:val="nil"/>
            </w:tcBorders>
            <w:shd w:val="clear" w:color="auto" w:fill="auto"/>
            <w:noWrap/>
            <w:vAlign w:val="bottom"/>
            <w:hideMark/>
          </w:tcPr>
          <w:p w14:paraId="30BE917A"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53</w:t>
            </w:r>
          </w:p>
        </w:tc>
        <w:tc>
          <w:tcPr>
            <w:tcW w:w="0" w:type="auto"/>
            <w:tcBorders>
              <w:top w:val="nil"/>
              <w:left w:val="nil"/>
              <w:bottom w:val="single" w:sz="12" w:space="0" w:color="auto"/>
              <w:right w:val="nil"/>
            </w:tcBorders>
            <w:shd w:val="clear" w:color="auto" w:fill="auto"/>
            <w:noWrap/>
            <w:vAlign w:val="bottom"/>
            <w:hideMark/>
          </w:tcPr>
          <w:p w14:paraId="19DFB862"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16</w:t>
            </w:r>
          </w:p>
        </w:tc>
        <w:tc>
          <w:tcPr>
            <w:tcW w:w="0" w:type="auto"/>
            <w:tcBorders>
              <w:top w:val="nil"/>
              <w:left w:val="nil"/>
              <w:bottom w:val="single" w:sz="12" w:space="0" w:color="auto"/>
              <w:right w:val="nil"/>
            </w:tcBorders>
            <w:shd w:val="clear" w:color="auto" w:fill="auto"/>
            <w:noWrap/>
            <w:vAlign w:val="bottom"/>
            <w:hideMark/>
          </w:tcPr>
          <w:p w14:paraId="36B150E2"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08</w:t>
            </w:r>
          </w:p>
        </w:tc>
        <w:tc>
          <w:tcPr>
            <w:tcW w:w="0" w:type="auto"/>
            <w:tcBorders>
              <w:top w:val="nil"/>
              <w:left w:val="nil"/>
              <w:bottom w:val="single" w:sz="12" w:space="0" w:color="auto"/>
              <w:right w:val="nil"/>
            </w:tcBorders>
            <w:shd w:val="clear" w:color="auto" w:fill="auto"/>
            <w:noWrap/>
            <w:vAlign w:val="bottom"/>
            <w:hideMark/>
          </w:tcPr>
          <w:p w14:paraId="4B78BA4E"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48</w:t>
            </w:r>
          </w:p>
        </w:tc>
        <w:tc>
          <w:tcPr>
            <w:tcW w:w="0" w:type="auto"/>
            <w:tcBorders>
              <w:top w:val="nil"/>
              <w:left w:val="nil"/>
              <w:bottom w:val="single" w:sz="12" w:space="0" w:color="auto"/>
              <w:right w:val="single" w:sz="8" w:space="0" w:color="auto"/>
            </w:tcBorders>
            <w:shd w:val="clear" w:color="auto" w:fill="auto"/>
            <w:noWrap/>
            <w:vAlign w:val="bottom"/>
            <w:hideMark/>
          </w:tcPr>
          <w:p w14:paraId="719011C2"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87</w:t>
            </w:r>
          </w:p>
        </w:tc>
        <w:tc>
          <w:tcPr>
            <w:tcW w:w="0" w:type="auto"/>
            <w:tcBorders>
              <w:top w:val="nil"/>
              <w:left w:val="nil"/>
              <w:bottom w:val="single" w:sz="12" w:space="0" w:color="auto"/>
              <w:right w:val="nil"/>
            </w:tcBorders>
            <w:shd w:val="clear" w:color="auto" w:fill="auto"/>
            <w:noWrap/>
            <w:vAlign w:val="bottom"/>
            <w:hideMark/>
          </w:tcPr>
          <w:p w14:paraId="3F062DFF"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p>
        </w:tc>
        <w:tc>
          <w:tcPr>
            <w:tcW w:w="0" w:type="auto"/>
            <w:tcBorders>
              <w:top w:val="nil"/>
              <w:left w:val="nil"/>
              <w:bottom w:val="single" w:sz="12" w:space="0" w:color="auto"/>
              <w:right w:val="nil"/>
            </w:tcBorders>
            <w:shd w:val="clear" w:color="auto" w:fill="auto"/>
            <w:noWrap/>
            <w:vAlign w:val="bottom"/>
            <w:hideMark/>
          </w:tcPr>
          <w:p w14:paraId="6B1F667A"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w:t>
            </w:r>
          </w:p>
        </w:tc>
        <w:tc>
          <w:tcPr>
            <w:tcW w:w="0" w:type="auto"/>
            <w:tcBorders>
              <w:top w:val="nil"/>
              <w:left w:val="nil"/>
              <w:bottom w:val="single" w:sz="12" w:space="0" w:color="auto"/>
              <w:right w:val="nil"/>
            </w:tcBorders>
            <w:shd w:val="clear" w:color="auto" w:fill="auto"/>
            <w:noWrap/>
            <w:vAlign w:val="bottom"/>
            <w:hideMark/>
          </w:tcPr>
          <w:p w14:paraId="2EAB442B"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p>
        </w:tc>
        <w:tc>
          <w:tcPr>
            <w:tcW w:w="0" w:type="auto"/>
            <w:tcBorders>
              <w:top w:val="nil"/>
              <w:left w:val="nil"/>
              <w:bottom w:val="single" w:sz="12" w:space="0" w:color="auto"/>
              <w:right w:val="nil"/>
            </w:tcBorders>
            <w:shd w:val="clear" w:color="auto" w:fill="auto"/>
            <w:noWrap/>
            <w:vAlign w:val="bottom"/>
            <w:hideMark/>
          </w:tcPr>
          <w:p w14:paraId="7B62E42F"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-9%</w:t>
            </w:r>
          </w:p>
        </w:tc>
        <w:tc>
          <w:tcPr>
            <w:tcW w:w="0" w:type="auto"/>
            <w:tcBorders>
              <w:top w:val="nil"/>
              <w:left w:val="nil"/>
              <w:bottom w:val="single" w:sz="12" w:space="0" w:color="auto"/>
              <w:right w:val="nil"/>
            </w:tcBorders>
            <w:shd w:val="clear" w:color="auto" w:fill="auto"/>
            <w:noWrap/>
            <w:vAlign w:val="bottom"/>
            <w:hideMark/>
          </w:tcPr>
          <w:p w14:paraId="1BD8D29E"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9%</w:t>
            </w:r>
          </w:p>
        </w:tc>
        <w:tc>
          <w:tcPr>
            <w:tcW w:w="0" w:type="auto"/>
            <w:tcBorders>
              <w:top w:val="nil"/>
              <w:left w:val="nil"/>
              <w:bottom w:val="single" w:sz="12" w:space="0" w:color="auto"/>
              <w:right w:val="nil"/>
            </w:tcBorders>
            <w:shd w:val="clear" w:color="auto" w:fill="auto"/>
            <w:noWrap/>
            <w:vAlign w:val="bottom"/>
          </w:tcPr>
          <w:p w14:paraId="6814AE78"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w:t>
            </w:r>
          </w:p>
        </w:tc>
        <w:tc>
          <w:tcPr>
            <w:tcW w:w="0" w:type="auto"/>
            <w:tcBorders>
              <w:top w:val="nil"/>
              <w:left w:val="nil"/>
              <w:bottom w:val="single" w:sz="12" w:space="0" w:color="auto"/>
              <w:right w:val="nil"/>
            </w:tcBorders>
            <w:shd w:val="clear" w:color="auto" w:fill="auto"/>
            <w:noWrap/>
            <w:vAlign w:val="bottom"/>
            <w:hideMark/>
          </w:tcPr>
          <w:p w14:paraId="7C761ED6"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p>
        </w:tc>
        <w:tc>
          <w:tcPr>
            <w:tcW w:w="0" w:type="auto"/>
            <w:tcBorders>
              <w:top w:val="nil"/>
              <w:left w:val="nil"/>
              <w:bottom w:val="single" w:sz="12" w:space="0" w:color="auto"/>
              <w:right w:val="nil"/>
            </w:tcBorders>
            <w:shd w:val="clear" w:color="auto" w:fill="auto"/>
            <w:noWrap/>
            <w:vAlign w:val="bottom"/>
            <w:hideMark/>
          </w:tcPr>
          <w:p w14:paraId="5A89F180"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w:t>
            </w:r>
          </w:p>
        </w:tc>
        <w:tc>
          <w:tcPr>
            <w:tcW w:w="0" w:type="auto"/>
            <w:tcBorders>
              <w:top w:val="nil"/>
              <w:left w:val="nil"/>
              <w:bottom w:val="single" w:sz="12" w:space="0" w:color="auto"/>
              <w:right w:val="nil"/>
            </w:tcBorders>
            <w:shd w:val="clear" w:color="auto" w:fill="auto"/>
            <w:noWrap/>
            <w:vAlign w:val="bottom"/>
            <w:hideMark/>
          </w:tcPr>
          <w:p w14:paraId="79029BC8"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-13%</w:t>
            </w:r>
          </w:p>
        </w:tc>
        <w:tc>
          <w:tcPr>
            <w:tcW w:w="0" w:type="auto"/>
            <w:tcBorders>
              <w:top w:val="nil"/>
              <w:left w:val="nil"/>
              <w:bottom w:val="single" w:sz="12" w:space="0" w:color="auto"/>
              <w:right w:val="nil"/>
            </w:tcBorders>
            <w:shd w:val="clear" w:color="auto" w:fill="auto"/>
            <w:noWrap/>
            <w:vAlign w:val="bottom"/>
            <w:hideMark/>
          </w:tcPr>
          <w:p w14:paraId="741F3127"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w:t>
            </w:r>
          </w:p>
        </w:tc>
        <w:tc>
          <w:tcPr>
            <w:tcW w:w="0" w:type="auto"/>
            <w:tcBorders>
              <w:top w:val="nil"/>
              <w:left w:val="nil"/>
              <w:bottom w:val="single" w:sz="12" w:space="0" w:color="auto"/>
              <w:right w:val="nil"/>
            </w:tcBorders>
            <w:shd w:val="clear" w:color="auto" w:fill="auto"/>
            <w:noWrap/>
            <w:vAlign w:val="bottom"/>
            <w:hideMark/>
          </w:tcPr>
          <w:p w14:paraId="6BAD9BC7"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p>
        </w:tc>
        <w:tc>
          <w:tcPr>
            <w:tcW w:w="0" w:type="auto"/>
            <w:tcBorders>
              <w:top w:val="nil"/>
              <w:left w:val="nil"/>
              <w:bottom w:val="single" w:sz="12" w:space="0" w:color="auto"/>
              <w:right w:val="nil"/>
            </w:tcBorders>
            <w:shd w:val="clear" w:color="auto" w:fill="auto"/>
            <w:noWrap/>
            <w:vAlign w:val="bottom"/>
            <w:hideMark/>
          </w:tcPr>
          <w:p w14:paraId="7E3E0FCF"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w:t>
            </w:r>
          </w:p>
        </w:tc>
        <w:tc>
          <w:tcPr>
            <w:tcW w:w="0" w:type="auto"/>
            <w:tcBorders>
              <w:top w:val="nil"/>
              <w:left w:val="nil"/>
              <w:bottom w:val="single" w:sz="12" w:space="0" w:color="auto"/>
              <w:right w:val="nil"/>
            </w:tcBorders>
            <w:shd w:val="clear" w:color="auto" w:fill="auto"/>
            <w:noWrap/>
            <w:vAlign w:val="bottom"/>
            <w:hideMark/>
          </w:tcPr>
          <w:p w14:paraId="2DF17568"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p>
        </w:tc>
        <w:tc>
          <w:tcPr>
            <w:tcW w:w="0" w:type="auto"/>
            <w:tcBorders>
              <w:top w:val="nil"/>
              <w:left w:val="nil"/>
              <w:bottom w:val="single" w:sz="12" w:space="0" w:color="auto"/>
              <w:right w:val="nil"/>
            </w:tcBorders>
            <w:shd w:val="clear" w:color="auto" w:fill="auto"/>
            <w:noWrap/>
            <w:vAlign w:val="bottom"/>
            <w:hideMark/>
          </w:tcPr>
          <w:p w14:paraId="2331DE57"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p>
        </w:tc>
        <w:tc>
          <w:tcPr>
            <w:tcW w:w="0" w:type="auto"/>
            <w:tcBorders>
              <w:top w:val="nil"/>
              <w:left w:val="nil"/>
              <w:bottom w:val="single" w:sz="12" w:space="0" w:color="auto"/>
              <w:right w:val="nil"/>
            </w:tcBorders>
            <w:shd w:val="clear" w:color="auto" w:fill="auto"/>
            <w:noWrap/>
            <w:vAlign w:val="bottom"/>
            <w:hideMark/>
          </w:tcPr>
          <w:p w14:paraId="4B2B74FD"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w:t>
            </w:r>
          </w:p>
        </w:tc>
        <w:tc>
          <w:tcPr>
            <w:tcW w:w="0" w:type="auto"/>
            <w:tcBorders>
              <w:top w:val="nil"/>
              <w:left w:val="nil"/>
              <w:bottom w:val="single" w:sz="12" w:space="0" w:color="auto"/>
              <w:right w:val="nil"/>
            </w:tcBorders>
            <w:shd w:val="clear" w:color="auto" w:fill="auto"/>
            <w:noWrap/>
            <w:vAlign w:val="bottom"/>
            <w:hideMark/>
          </w:tcPr>
          <w:p w14:paraId="5D33EF64"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11%</w:t>
            </w:r>
          </w:p>
        </w:tc>
        <w:tc>
          <w:tcPr>
            <w:tcW w:w="0" w:type="auto"/>
            <w:tcBorders>
              <w:top w:val="nil"/>
              <w:left w:val="nil"/>
              <w:bottom w:val="single" w:sz="12" w:space="0" w:color="auto"/>
              <w:right w:val="nil"/>
            </w:tcBorders>
            <w:shd w:val="clear" w:color="auto" w:fill="auto"/>
            <w:noWrap/>
            <w:vAlign w:val="bottom"/>
            <w:hideMark/>
          </w:tcPr>
          <w:p w14:paraId="2C73B53B"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w:t>
            </w:r>
          </w:p>
        </w:tc>
        <w:tc>
          <w:tcPr>
            <w:tcW w:w="0" w:type="auto"/>
            <w:tcBorders>
              <w:top w:val="nil"/>
              <w:left w:val="nil"/>
              <w:bottom w:val="single" w:sz="12" w:space="0" w:color="auto"/>
              <w:right w:val="nil"/>
            </w:tcBorders>
            <w:shd w:val="clear" w:color="auto" w:fill="auto"/>
            <w:noWrap/>
            <w:vAlign w:val="bottom"/>
            <w:hideMark/>
          </w:tcPr>
          <w:p w14:paraId="6DFC7378"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-18%</w:t>
            </w:r>
          </w:p>
        </w:tc>
        <w:tc>
          <w:tcPr>
            <w:tcW w:w="0" w:type="auto"/>
            <w:tcBorders>
              <w:top w:val="nil"/>
              <w:left w:val="nil"/>
              <w:bottom w:val="single" w:sz="12" w:space="0" w:color="auto"/>
              <w:right w:val="single" w:sz="12" w:space="0" w:color="auto"/>
            </w:tcBorders>
            <w:shd w:val="clear" w:color="auto" w:fill="auto"/>
            <w:noWrap/>
            <w:vAlign w:val="bottom"/>
            <w:hideMark/>
          </w:tcPr>
          <w:p w14:paraId="08E6B709" w14:textId="77777777" w:rsidR="004541ED" w:rsidRPr="007F425D" w:rsidRDefault="004541ED" w:rsidP="004541ED">
            <w:pPr>
              <w:spacing w:after="0" w:line="240" w:lineRule="auto"/>
              <w:jc w:val="right"/>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-21%</w:t>
            </w:r>
          </w:p>
        </w:tc>
      </w:tr>
      <w:tr w:rsidR="004541ED" w:rsidRPr="003D0E92" w14:paraId="3FC20D88" w14:textId="77777777" w:rsidTr="004541ED">
        <w:trPr>
          <w:trHeight w:val="300"/>
        </w:trPr>
        <w:tc>
          <w:tcPr>
            <w:tcW w:w="22091" w:type="dxa"/>
            <w:gridSpan w:val="29"/>
            <w:tcBorders>
              <w:top w:val="single" w:sz="12" w:space="0" w:color="auto"/>
              <w:left w:val="nil"/>
              <w:bottom w:val="nil"/>
              <w:right w:val="nil"/>
            </w:tcBorders>
            <w:shd w:val="clear" w:color="auto" w:fill="auto"/>
            <w:noWrap/>
            <w:vAlign w:val="bottom"/>
            <w:hideMark/>
          </w:tcPr>
          <w:p w14:paraId="61DEE9F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b/>
                <w:color w:val="000000"/>
                <w:sz w:val="20"/>
                <w:szCs w:val="20"/>
                <w:lang w:eastAsia="de-DE"/>
              </w:rPr>
              <w:t>Notes</w:t>
            </w:r>
            <w:r w:rsidRPr="007F425D">
              <w:rPr>
                <w:rFonts w:ascii="Times New Roman" w:eastAsia="Times New Roman" w:hAnsi="Times New Roman" w:cs="Times New Roman"/>
                <w:color w:val="000000"/>
                <w:sz w:val="20"/>
                <w:szCs w:val="20"/>
                <w:lang w:eastAsia="de-DE"/>
              </w:rPr>
              <w:t>: Sample includes</w:t>
            </w:r>
            <w:r w:rsidRPr="007F425D">
              <w:rPr>
                <w:rFonts w:ascii="Times New Roman" w:eastAsia="Times New Roman" w:hAnsi="Times New Roman" w:cs="Times New Roman"/>
                <w:color w:val="000000" w:themeColor="text1"/>
                <w:sz w:val="20"/>
                <w:szCs w:val="20"/>
                <w:lang w:eastAsia="de-DE"/>
              </w:rPr>
              <w:t xml:space="preserve"> 1</w:t>
            </w:r>
            <w:r>
              <w:rPr>
                <w:rFonts w:ascii="Times New Roman" w:eastAsia="Times New Roman" w:hAnsi="Times New Roman" w:cs="Times New Roman"/>
                <w:color w:val="000000" w:themeColor="text1"/>
                <w:sz w:val="20"/>
                <w:szCs w:val="20"/>
                <w:lang w:eastAsia="de-DE"/>
              </w:rPr>
              <w:t>,</w:t>
            </w:r>
            <w:r w:rsidRPr="007F425D">
              <w:rPr>
                <w:rFonts w:ascii="Times New Roman" w:eastAsia="Times New Roman" w:hAnsi="Times New Roman" w:cs="Times New Roman"/>
                <w:color w:val="000000" w:themeColor="text1"/>
                <w:sz w:val="20"/>
                <w:szCs w:val="20"/>
                <w:lang w:eastAsia="de-DE"/>
              </w:rPr>
              <w:t>029</w:t>
            </w:r>
            <w:r>
              <w:rPr>
                <w:rFonts w:ascii="Times New Roman" w:eastAsia="Times New Roman" w:hAnsi="Times New Roman" w:cs="Times New Roman"/>
                <w:color w:val="000000" w:themeColor="text1"/>
                <w:sz w:val="20"/>
                <w:szCs w:val="20"/>
                <w:lang w:eastAsia="de-DE"/>
              </w:rPr>
              <w:t>,</w:t>
            </w:r>
            <w:r w:rsidRPr="007F425D">
              <w:rPr>
                <w:rFonts w:ascii="Times New Roman" w:eastAsia="Times New Roman" w:hAnsi="Times New Roman" w:cs="Times New Roman"/>
                <w:color w:val="000000" w:themeColor="text1"/>
                <w:sz w:val="20"/>
                <w:szCs w:val="20"/>
                <w:lang w:eastAsia="de-DE"/>
              </w:rPr>
              <w:t xml:space="preserve">202 </w:t>
            </w:r>
            <w:r w:rsidRPr="007F425D">
              <w:rPr>
                <w:rFonts w:ascii="Times New Roman" w:eastAsia="Times New Roman" w:hAnsi="Times New Roman" w:cs="Times New Roman"/>
                <w:color w:val="000000"/>
                <w:sz w:val="20"/>
                <w:szCs w:val="20"/>
                <w:lang w:eastAsia="de-DE"/>
              </w:rPr>
              <w:t xml:space="preserve">observations of internet offers of rental flats in Germany from 2013-Q1 until 2017-Q4 across 403 NUTS3 regions. NUTS3 regions cover small regions similar to counties or administrative districts. </w:t>
            </w:r>
          </w:p>
        </w:tc>
      </w:tr>
    </w:tbl>
    <w:p w14:paraId="128DF6B9" w14:textId="77777777" w:rsidR="004541ED" w:rsidRPr="007F425D" w:rsidRDefault="004541ED" w:rsidP="004541ED"/>
    <w:p w14:paraId="6B3EC24A" w14:textId="77777777" w:rsidR="004541ED" w:rsidRPr="007F425D" w:rsidRDefault="004541ED" w:rsidP="004541ED"/>
    <w:p w14:paraId="61B07BBB" w14:textId="77777777" w:rsidR="004541ED" w:rsidRPr="007F425D" w:rsidRDefault="004541ED" w:rsidP="004541ED"/>
    <w:p w14:paraId="4A878FAC" w14:textId="77777777" w:rsidR="004541ED" w:rsidRPr="007F425D" w:rsidRDefault="004541ED" w:rsidP="004541ED">
      <w:r w:rsidRPr="007F425D">
        <w:br w:type="page"/>
      </w:r>
    </w:p>
    <w:tbl>
      <w:tblPr>
        <w:tblW w:w="0" w:type="auto"/>
        <w:tblInd w:w="55" w:type="dxa"/>
        <w:tblCellMar>
          <w:left w:w="70" w:type="dxa"/>
          <w:right w:w="70" w:type="dxa"/>
        </w:tblCellMar>
        <w:tblLook w:val="04A0" w:firstRow="1" w:lastRow="0" w:firstColumn="1" w:lastColumn="0" w:noHBand="0" w:noVBand="1"/>
      </w:tblPr>
      <w:tblGrid>
        <w:gridCol w:w="1129"/>
        <w:gridCol w:w="1572"/>
        <w:gridCol w:w="1048"/>
        <w:gridCol w:w="608"/>
        <w:gridCol w:w="508"/>
        <w:gridCol w:w="508"/>
        <w:gridCol w:w="558"/>
        <w:gridCol w:w="558"/>
        <w:gridCol w:w="558"/>
        <w:gridCol w:w="658"/>
        <w:gridCol w:w="658"/>
        <w:gridCol w:w="658"/>
        <w:gridCol w:w="658"/>
        <w:gridCol w:w="558"/>
        <w:gridCol w:w="558"/>
      </w:tblGrid>
      <w:tr w:rsidR="004541ED" w:rsidRPr="003D0E92" w14:paraId="7DB2CB05" w14:textId="77777777" w:rsidTr="004541ED">
        <w:trPr>
          <w:trHeight w:val="315"/>
        </w:trPr>
        <w:tc>
          <w:tcPr>
            <w:tcW w:w="10791" w:type="dxa"/>
            <w:gridSpan w:val="15"/>
            <w:tcBorders>
              <w:top w:val="nil"/>
              <w:left w:val="nil"/>
              <w:bottom w:val="single" w:sz="12" w:space="0" w:color="auto"/>
              <w:right w:val="nil"/>
            </w:tcBorders>
          </w:tcPr>
          <w:p w14:paraId="4D9F920D" w14:textId="77777777" w:rsidR="004541ED" w:rsidRPr="007F425D" w:rsidRDefault="004541ED" w:rsidP="004541ED">
            <w:pPr>
              <w:spacing w:after="0" w:line="240" w:lineRule="auto"/>
              <w:rPr>
                <w:rFonts w:ascii="Times New Roman" w:eastAsia="Times New Roman" w:hAnsi="Times New Roman" w:cs="Times New Roman"/>
                <w:b/>
                <w:color w:val="000000"/>
                <w:sz w:val="20"/>
                <w:szCs w:val="20"/>
                <w:lang w:eastAsia="de-DE"/>
              </w:rPr>
            </w:pPr>
            <w:r w:rsidRPr="007F425D">
              <w:rPr>
                <w:rFonts w:ascii="Times New Roman" w:eastAsia="Times New Roman" w:hAnsi="Times New Roman" w:cs="Times New Roman"/>
                <w:b/>
                <w:color w:val="000000"/>
                <w:sz w:val="20"/>
                <w:szCs w:val="20"/>
                <w:lang w:eastAsia="de-DE"/>
              </w:rPr>
              <w:lastRenderedPageBreak/>
              <w:t xml:space="preserve">Table 2: Description of sample and metrics of the responses by energy categories </w:t>
            </w:r>
          </w:p>
        </w:tc>
      </w:tr>
      <w:tr w:rsidR="004541ED" w:rsidRPr="007F425D" w14:paraId="5918AA69" w14:textId="77777777" w:rsidTr="004541ED">
        <w:trPr>
          <w:trHeight w:val="300"/>
        </w:trPr>
        <w:tc>
          <w:tcPr>
            <w:tcW w:w="1128" w:type="dxa"/>
            <w:tcBorders>
              <w:top w:val="single" w:sz="12" w:space="0" w:color="auto"/>
              <w:left w:val="single" w:sz="12" w:space="0" w:color="auto"/>
              <w:bottom w:val="single" w:sz="6" w:space="0" w:color="auto"/>
              <w:right w:val="nil"/>
            </w:tcBorders>
            <w:shd w:val="clear" w:color="auto" w:fill="auto"/>
            <w:noWrap/>
            <w:vAlign w:val="center"/>
            <w:hideMark/>
          </w:tcPr>
          <w:p w14:paraId="4F2377E6"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p>
        </w:tc>
        <w:tc>
          <w:tcPr>
            <w:tcW w:w="1570" w:type="dxa"/>
            <w:tcBorders>
              <w:top w:val="single" w:sz="12" w:space="0" w:color="auto"/>
              <w:left w:val="nil"/>
              <w:bottom w:val="single" w:sz="6" w:space="0" w:color="auto"/>
              <w:right w:val="single" w:sz="6" w:space="0" w:color="auto"/>
            </w:tcBorders>
            <w:shd w:val="clear" w:color="auto" w:fill="auto"/>
            <w:noWrap/>
            <w:vAlign w:val="center"/>
            <w:hideMark/>
          </w:tcPr>
          <w:p w14:paraId="1EBBA0C7"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p>
        </w:tc>
        <w:tc>
          <w:tcPr>
            <w:tcW w:w="1047"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1F13AD30"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N</w:t>
            </w:r>
          </w:p>
        </w:tc>
        <w:tc>
          <w:tcPr>
            <w:tcW w:w="0" w:type="auto"/>
            <w:gridSpan w:val="3"/>
            <w:tcBorders>
              <w:top w:val="single" w:sz="12" w:space="0" w:color="auto"/>
              <w:left w:val="single" w:sz="6" w:space="0" w:color="auto"/>
              <w:bottom w:val="single" w:sz="6" w:space="0" w:color="auto"/>
              <w:right w:val="single" w:sz="6" w:space="0" w:color="auto"/>
            </w:tcBorders>
          </w:tcPr>
          <w:p w14:paraId="50E7DB6F"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as of</w:t>
            </w:r>
          </w:p>
        </w:tc>
        <w:tc>
          <w:tcPr>
            <w:tcW w:w="0" w:type="auto"/>
            <w:tcBorders>
              <w:top w:val="single" w:sz="12" w:space="0" w:color="auto"/>
              <w:left w:val="single" w:sz="6" w:space="0" w:color="auto"/>
              <w:bottom w:val="single" w:sz="6" w:space="0" w:color="auto"/>
              <w:right w:val="nil"/>
            </w:tcBorders>
            <w:shd w:val="clear" w:color="auto" w:fill="auto"/>
            <w:noWrap/>
            <w:vAlign w:val="bottom"/>
            <w:hideMark/>
          </w:tcPr>
          <w:p w14:paraId="69DA18B9" w14:textId="77777777" w:rsidR="004541ED" w:rsidRPr="007F425D" w:rsidRDefault="004541ED" w:rsidP="004541ED">
            <w:pPr>
              <w:spacing w:after="0" w:line="240" w:lineRule="auto"/>
              <w:jc w:val="center"/>
              <w:rPr>
                <w:rFonts w:ascii="Times New Roman" w:eastAsia="Times New Roman" w:hAnsi="Times New Roman" w:cs="Times New Roman"/>
                <w:b/>
                <w:color w:val="000000"/>
                <w:sz w:val="20"/>
                <w:szCs w:val="20"/>
                <w:lang w:eastAsia="de-DE"/>
              </w:rPr>
            </w:pPr>
            <w:r w:rsidRPr="007F425D">
              <w:rPr>
                <w:rFonts w:ascii="Times New Roman" w:eastAsia="Times New Roman" w:hAnsi="Times New Roman" w:cs="Times New Roman"/>
                <w:b/>
                <w:color w:val="000000"/>
                <w:sz w:val="20"/>
                <w:szCs w:val="20"/>
                <w:lang w:eastAsia="de-DE"/>
              </w:rPr>
              <w:t>A+</w:t>
            </w:r>
          </w:p>
        </w:tc>
        <w:tc>
          <w:tcPr>
            <w:tcW w:w="0" w:type="auto"/>
            <w:tcBorders>
              <w:top w:val="single" w:sz="12" w:space="0" w:color="auto"/>
              <w:left w:val="nil"/>
              <w:bottom w:val="single" w:sz="6" w:space="0" w:color="auto"/>
              <w:right w:val="nil"/>
            </w:tcBorders>
            <w:shd w:val="clear" w:color="auto" w:fill="auto"/>
            <w:noWrap/>
            <w:vAlign w:val="bottom"/>
            <w:hideMark/>
          </w:tcPr>
          <w:p w14:paraId="6EF36485" w14:textId="77777777" w:rsidR="004541ED" w:rsidRPr="007F425D" w:rsidRDefault="004541ED" w:rsidP="004541ED">
            <w:pPr>
              <w:spacing w:after="0" w:line="240" w:lineRule="auto"/>
              <w:jc w:val="center"/>
              <w:rPr>
                <w:rFonts w:ascii="Times New Roman" w:eastAsia="Times New Roman" w:hAnsi="Times New Roman" w:cs="Times New Roman"/>
                <w:b/>
                <w:color w:val="000000"/>
                <w:sz w:val="20"/>
                <w:szCs w:val="20"/>
                <w:lang w:eastAsia="de-DE"/>
              </w:rPr>
            </w:pPr>
            <w:r w:rsidRPr="007F425D">
              <w:rPr>
                <w:rFonts w:ascii="Times New Roman" w:eastAsia="Times New Roman" w:hAnsi="Times New Roman" w:cs="Times New Roman"/>
                <w:b/>
                <w:color w:val="000000"/>
                <w:sz w:val="20"/>
                <w:szCs w:val="20"/>
                <w:lang w:eastAsia="de-DE"/>
              </w:rPr>
              <w:t>A</w:t>
            </w:r>
          </w:p>
        </w:tc>
        <w:tc>
          <w:tcPr>
            <w:tcW w:w="0" w:type="auto"/>
            <w:tcBorders>
              <w:top w:val="single" w:sz="12" w:space="0" w:color="auto"/>
              <w:left w:val="nil"/>
              <w:bottom w:val="single" w:sz="6" w:space="0" w:color="auto"/>
              <w:right w:val="nil"/>
            </w:tcBorders>
            <w:shd w:val="clear" w:color="auto" w:fill="auto"/>
            <w:noWrap/>
            <w:vAlign w:val="bottom"/>
            <w:hideMark/>
          </w:tcPr>
          <w:p w14:paraId="0A643110" w14:textId="77777777" w:rsidR="004541ED" w:rsidRPr="007F425D" w:rsidRDefault="004541ED" w:rsidP="004541ED">
            <w:pPr>
              <w:spacing w:after="0" w:line="240" w:lineRule="auto"/>
              <w:jc w:val="center"/>
              <w:rPr>
                <w:rFonts w:ascii="Times New Roman" w:eastAsia="Times New Roman" w:hAnsi="Times New Roman" w:cs="Times New Roman"/>
                <w:b/>
                <w:color w:val="000000"/>
                <w:sz w:val="20"/>
                <w:szCs w:val="20"/>
                <w:lang w:eastAsia="de-DE"/>
              </w:rPr>
            </w:pPr>
            <w:r w:rsidRPr="007F425D">
              <w:rPr>
                <w:rFonts w:ascii="Times New Roman" w:eastAsia="Times New Roman" w:hAnsi="Times New Roman" w:cs="Times New Roman"/>
                <w:b/>
                <w:color w:val="000000"/>
                <w:sz w:val="20"/>
                <w:szCs w:val="20"/>
                <w:lang w:eastAsia="de-DE"/>
              </w:rPr>
              <w:t>B</w:t>
            </w:r>
          </w:p>
        </w:tc>
        <w:tc>
          <w:tcPr>
            <w:tcW w:w="0" w:type="auto"/>
            <w:tcBorders>
              <w:top w:val="single" w:sz="12" w:space="0" w:color="auto"/>
              <w:left w:val="nil"/>
              <w:bottom w:val="single" w:sz="6" w:space="0" w:color="auto"/>
              <w:right w:val="nil"/>
            </w:tcBorders>
            <w:shd w:val="clear" w:color="auto" w:fill="auto"/>
            <w:noWrap/>
            <w:vAlign w:val="bottom"/>
            <w:hideMark/>
          </w:tcPr>
          <w:p w14:paraId="40BAF845" w14:textId="77777777" w:rsidR="004541ED" w:rsidRPr="007F425D" w:rsidRDefault="004541ED" w:rsidP="004541ED">
            <w:pPr>
              <w:spacing w:after="0" w:line="240" w:lineRule="auto"/>
              <w:jc w:val="center"/>
              <w:rPr>
                <w:rFonts w:ascii="Times New Roman" w:eastAsia="Times New Roman" w:hAnsi="Times New Roman" w:cs="Times New Roman"/>
                <w:b/>
                <w:color w:val="000000"/>
                <w:sz w:val="20"/>
                <w:szCs w:val="20"/>
                <w:lang w:eastAsia="de-DE"/>
              </w:rPr>
            </w:pPr>
            <w:r w:rsidRPr="007F425D">
              <w:rPr>
                <w:rFonts w:ascii="Times New Roman" w:eastAsia="Times New Roman" w:hAnsi="Times New Roman" w:cs="Times New Roman"/>
                <w:b/>
                <w:color w:val="000000"/>
                <w:sz w:val="20"/>
                <w:szCs w:val="20"/>
                <w:lang w:eastAsia="de-DE"/>
              </w:rPr>
              <w:t>C</w:t>
            </w:r>
          </w:p>
        </w:tc>
        <w:tc>
          <w:tcPr>
            <w:tcW w:w="0" w:type="auto"/>
            <w:tcBorders>
              <w:top w:val="single" w:sz="12" w:space="0" w:color="auto"/>
              <w:left w:val="nil"/>
              <w:bottom w:val="single" w:sz="6" w:space="0" w:color="auto"/>
              <w:right w:val="nil"/>
            </w:tcBorders>
            <w:shd w:val="clear" w:color="auto" w:fill="auto"/>
            <w:noWrap/>
            <w:vAlign w:val="bottom"/>
            <w:hideMark/>
          </w:tcPr>
          <w:p w14:paraId="5FD35784" w14:textId="77777777" w:rsidR="004541ED" w:rsidRPr="007F425D" w:rsidRDefault="004541ED" w:rsidP="004541ED">
            <w:pPr>
              <w:spacing w:after="0" w:line="240" w:lineRule="auto"/>
              <w:jc w:val="center"/>
              <w:rPr>
                <w:rFonts w:ascii="Times New Roman" w:eastAsia="Times New Roman" w:hAnsi="Times New Roman" w:cs="Times New Roman"/>
                <w:b/>
                <w:color w:val="000000"/>
                <w:sz w:val="20"/>
                <w:szCs w:val="20"/>
                <w:lang w:eastAsia="de-DE"/>
              </w:rPr>
            </w:pPr>
            <w:r w:rsidRPr="007F425D">
              <w:rPr>
                <w:rFonts w:ascii="Times New Roman" w:eastAsia="Times New Roman" w:hAnsi="Times New Roman" w:cs="Times New Roman"/>
                <w:b/>
                <w:color w:val="000000"/>
                <w:sz w:val="20"/>
                <w:szCs w:val="20"/>
                <w:lang w:eastAsia="de-DE"/>
              </w:rPr>
              <w:t>D</w:t>
            </w:r>
          </w:p>
        </w:tc>
        <w:tc>
          <w:tcPr>
            <w:tcW w:w="0" w:type="auto"/>
            <w:tcBorders>
              <w:top w:val="single" w:sz="12" w:space="0" w:color="auto"/>
              <w:left w:val="nil"/>
              <w:bottom w:val="single" w:sz="6" w:space="0" w:color="auto"/>
              <w:right w:val="nil"/>
            </w:tcBorders>
            <w:shd w:val="clear" w:color="auto" w:fill="auto"/>
            <w:noWrap/>
            <w:vAlign w:val="bottom"/>
            <w:hideMark/>
          </w:tcPr>
          <w:p w14:paraId="49D144BC" w14:textId="77777777" w:rsidR="004541ED" w:rsidRPr="007F425D" w:rsidRDefault="004541ED" w:rsidP="004541ED">
            <w:pPr>
              <w:spacing w:after="0" w:line="240" w:lineRule="auto"/>
              <w:jc w:val="center"/>
              <w:rPr>
                <w:rFonts w:ascii="Times New Roman" w:eastAsia="Times New Roman" w:hAnsi="Times New Roman" w:cs="Times New Roman"/>
                <w:b/>
                <w:color w:val="000000"/>
                <w:sz w:val="20"/>
                <w:szCs w:val="20"/>
                <w:lang w:eastAsia="de-DE"/>
              </w:rPr>
            </w:pPr>
            <w:r w:rsidRPr="007F425D">
              <w:rPr>
                <w:rFonts w:ascii="Times New Roman" w:eastAsia="Times New Roman" w:hAnsi="Times New Roman" w:cs="Times New Roman"/>
                <w:b/>
                <w:color w:val="000000"/>
                <w:sz w:val="20"/>
                <w:szCs w:val="20"/>
                <w:lang w:eastAsia="de-DE"/>
              </w:rPr>
              <w:t>E</w:t>
            </w:r>
          </w:p>
        </w:tc>
        <w:tc>
          <w:tcPr>
            <w:tcW w:w="0" w:type="auto"/>
            <w:tcBorders>
              <w:top w:val="single" w:sz="12" w:space="0" w:color="auto"/>
              <w:left w:val="nil"/>
              <w:bottom w:val="single" w:sz="6" w:space="0" w:color="auto"/>
              <w:right w:val="nil"/>
            </w:tcBorders>
            <w:shd w:val="clear" w:color="auto" w:fill="auto"/>
            <w:noWrap/>
            <w:vAlign w:val="bottom"/>
            <w:hideMark/>
          </w:tcPr>
          <w:p w14:paraId="7C46BBB5" w14:textId="77777777" w:rsidR="004541ED" w:rsidRPr="007F425D" w:rsidRDefault="004541ED" w:rsidP="004541ED">
            <w:pPr>
              <w:spacing w:after="0" w:line="240" w:lineRule="auto"/>
              <w:jc w:val="center"/>
              <w:rPr>
                <w:rFonts w:ascii="Times New Roman" w:eastAsia="Times New Roman" w:hAnsi="Times New Roman" w:cs="Times New Roman"/>
                <w:b/>
                <w:color w:val="000000"/>
                <w:sz w:val="20"/>
                <w:szCs w:val="20"/>
                <w:lang w:eastAsia="de-DE"/>
              </w:rPr>
            </w:pPr>
            <w:r w:rsidRPr="007F425D">
              <w:rPr>
                <w:rFonts w:ascii="Times New Roman" w:eastAsia="Times New Roman" w:hAnsi="Times New Roman" w:cs="Times New Roman"/>
                <w:b/>
                <w:color w:val="000000"/>
                <w:sz w:val="20"/>
                <w:szCs w:val="20"/>
                <w:lang w:eastAsia="de-DE"/>
              </w:rPr>
              <w:t>F</w:t>
            </w:r>
          </w:p>
        </w:tc>
        <w:tc>
          <w:tcPr>
            <w:tcW w:w="0" w:type="auto"/>
            <w:tcBorders>
              <w:top w:val="single" w:sz="12" w:space="0" w:color="auto"/>
              <w:left w:val="nil"/>
              <w:bottom w:val="single" w:sz="6" w:space="0" w:color="auto"/>
              <w:right w:val="nil"/>
            </w:tcBorders>
            <w:shd w:val="clear" w:color="auto" w:fill="auto"/>
            <w:noWrap/>
            <w:vAlign w:val="bottom"/>
            <w:hideMark/>
          </w:tcPr>
          <w:p w14:paraId="409BFFAC" w14:textId="77777777" w:rsidR="004541ED" w:rsidRPr="007F425D" w:rsidRDefault="004541ED" w:rsidP="004541ED">
            <w:pPr>
              <w:spacing w:after="0" w:line="240" w:lineRule="auto"/>
              <w:jc w:val="center"/>
              <w:rPr>
                <w:rFonts w:ascii="Times New Roman" w:eastAsia="Times New Roman" w:hAnsi="Times New Roman" w:cs="Times New Roman"/>
                <w:b/>
                <w:color w:val="000000"/>
                <w:sz w:val="20"/>
                <w:szCs w:val="20"/>
                <w:lang w:eastAsia="de-DE"/>
              </w:rPr>
            </w:pPr>
            <w:r w:rsidRPr="007F425D">
              <w:rPr>
                <w:rFonts w:ascii="Times New Roman" w:eastAsia="Times New Roman" w:hAnsi="Times New Roman" w:cs="Times New Roman"/>
                <w:b/>
                <w:color w:val="000000"/>
                <w:sz w:val="20"/>
                <w:szCs w:val="20"/>
                <w:lang w:eastAsia="de-DE"/>
              </w:rPr>
              <w:t>G</w:t>
            </w:r>
          </w:p>
        </w:tc>
        <w:tc>
          <w:tcPr>
            <w:tcW w:w="0" w:type="auto"/>
            <w:tcBorders>
              <w:top w:val="single" w:sz="12" w:space="0" w:color="auto"/>
              <w:left w:val="nil"/>
              <w:bottom w:val="single" w:sz="6" w:space="0" w:color="auto"/>
              <w:right w:val="single" w:sz="12" w:space="0" w:color="auto"/>
            </w:tcBorders>
            <w:shd w:val="clear" w:color="auto" w:fill="auto"/>
            <w:noWrap/>
            <w:vAlign w:val="bottom"/>
            <w:hideMark/>
          </w:tcPr>
          <w:p w14:paraId="3BAC3922" w14:textId="77777777" w:rsidR="004541ED" w:rsidRPr="007F425D" w:rsidRDefault="004541ED" w:rsidP="004541ED">
            <w:pPr>
              <w:spacing w:after="0" w:line="240" w:lineRule="auto"/>
              <w:jc w:val="center"/>
              <w:rPr>
                <w:rFonts w:ascii="Times New Roman" w:eastAsia="Times New Roman" w:hAnsi="Times New Roman" w:cs="Times New Roman"/>
                <w:b/>
                <w:color w:val="000000"/>
                <w:sz w:val="20"/>
                <w:szCs w:val="20"/>
                <w:lang w:eastAsia="de-DE"/>
              </w:rPr>
            </w:pPr>
            <w:r w:rsidRPr="007F425D">
              <w:rPr>
                <w:rFonts w:ascii="Times New Roman" w:eastAsia="Times New Roman" w:hAnsi="Times New Roman" w:cs="Times New Roman"/>
                <w:b/>
                <w:color w:val="000000"/>
                <w:sz w:val="20"/>
                <w:szCs w:val="20"/>
                <w:lang w:eastAsia="de-DE"/>
              </w:rPr>
              <w:t>H</w:t>
            </w:r>
          </w:p>
        </w:tc>
      </w:tr>
      <w:tr w:rsidR="004541ED" w:rsidRPr="007F425D" w14:paraId="19ED9606" w14:textId="77777777" w:rsidTr="004541ED">
        <w:trPr>
          <w:trHeight w:val="300"/>
        </w:trPr>
        <w:tc>
          <w:tcPr>
            <w:tcW w:w="2698" w:type="dxa"/>
            <w:gridSpan w:val="2"/>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224E6EEA"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All Sample</w:t>
            </w:r>
          </w:p>
        </w:tc>
        <w:tc>
          <w:tcPr>
            <w:tcW w:w="104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601C8A5"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1.029.202</w:t>
            </w:r>
          </w:p>
        </w:tc>
        <w:tc>
          <w:tcPr>
            <w:tcW w:w="0" w:type="auto"/>
            <w:tcBorders>
              <w:top w:val="single" w:sz="6" w:space="0" w:color="auto"/>
              <w:left w:val="single" w:sz="6" w:space="0" w:color="auto"/>
              <w:bottom w:val="single" w:sz="6" w:space="0" w:color="auto"/>
              <w:right w:val="nil"/>
            </w:tcBorders>
          </w:tcPr>
          <w:p w14:paraId="7D7B4046"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100%</w:t>
            </w:r>
          </w:p>
        </w:tc>
        <w:tc>
          <w:tcPr>
            <w:tcW w:w="0" w:type="auto"/>
            <w:tcBorders>
              <w:top w:val="single" w:sz="6" w:space="0" w:color="auto"/>
              <w:left w:val="nil"/>
              <w:bottom w:val="single" w:sz="6" w:space="0" w:color="auto"/>
              <w:right w:val="nil"/>
            </w:tcBorders>
            <w:shd w:val="clear" w:color="auto" w:fill="auto"/>
            <w:noWrap/>
            <w:vAlign w:val="center"/>
            <w:hideMark/>
          </w:tcPr>
          <w:p w14:paraId="7C5DB191"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p>
        </w:tc>
        <w:tc>
          <w:tcPr>
            <w:tcW w:w="0" w:type="auto"/>
            <w:tcBorders>
              <w:top w:val="single" w:sz="6" w:space="0" w:color="auto"/>
              <w:left w:val="nil"/>
              <w:bottom w:val="single" w:sz="6" w:space="0" w:color="auto"/>
              <w:right w:val="single" w:sz="6" w:space="0" w:color="auto"/>
            </w:tcBorders>
            <w:shd w:val="clear" w:color="auto" w:fill="auto"/>
            <w:noWrap/>
            <w:vAlign w:val="center"/>
            <w:hideMark/>
          </w:tcPr>
          <w:p w14:paraId="3171F67F"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p>
        </w:tc>
        <w:tc>
          <w:tcPr>
            <w:tcW w:w="0" w:type="auto"/>
            <w:tcBorders>
              <w:top w:val="single" w:sz="6" w:space="0" w:color="auto"/>
              <w:left w:val="single" w:sz="6" w:space="0" w:color="auto"/>
              <w:bottom w:val="single" w:sz="6" w:space="0" w:color="auto"/>
              <w:right w:val="nil"/>
            </w:tcBorders>
            <w:shd w:val="clear" w:color="auto" w:fill="auto"/>
            <w:noWrap/>
            <w:vAlign w:val="bottom"/>
            <w:hideMark/>
          </w:tcPr>
          <w:p w14:paraId="7C0A327C"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w:t>
            </w:r>
          </w:p>
        </w:tc>
        <w:tc>
          <w:tcPr>
            <w:tcW w:w="0" w:type="auto"/>
            <w:tcBorders>
              <w:top w:val="single" w:sz="6" w:space="0" w:color="auto"/>
              <w:left w:val="nil"/>
              <w:bottom w:val="single" w:sz="6" w:space="0" w:color="auto"/>
              <w:right w:val="nil"/>
            </w:tcBorders>
            <w:shd w:val="clear" w:color="auto" w:fill="auto"/>
            <w:noWrap/>
            <w:vAlign w:val="bottom"/>
            <w:hideMark/>
          </w:tcPr>
          <w:p w14:paraId="2E3FC2C6"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w:t>
            </w:r>
          </w:p>
        </w:tc>
        <w:tc>
          <w:tcPr>
            <w:tcW w:w="0" w:type="auto"/>
            <w:tcBorders>
              <w:top w:val="single" w:sz="6" w:space="0" w:color="auto"/>
              <w:left w:val="nil"/>
              <w:bottom w:val="single" w:sz="6" w:space="0" w:color="auto"/>
              <w:right w:val="nil"/>
            </w:tcBorders>
            <w:shd w:val="clear" w:color="auto" w:fill="auto"/>
            <w:noWrap/>
            <w:vAlign w:val="bottom"/>
            <w:hideMark/>
          </w:tcPr>
          <w:p w14:paraId="5F1FE5FE"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w:t>
            </w:r>
          </w:p>
        </w:tc>
        <w:tc>
          <w:tcPr>
            <w:tcW w:w="0" w:type="auto"/>
            <w:tcBorders>
              <w:top w:val="single" w:sz="6" w:space="0" w:color="auto"/>
              <w:left w:val="nil"/>
              <w:bottom w:val="single" w:sz="6" w:space="0" w:color="auto"/>
              <w:right w:val="nil"/>
            </w:tcBorders>
            <w:shd w:val="clear" w:color="auto" w:fill="auto"/>
            <w:noWrap/>
            <w:vAlign w:val="bottom"/>
            <w:hideMark/>
          </w:tcPr>
          <w:p w14:paraId="65C726B9"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w:t>
            </w:r>
          </w:p>
        </w:tc>
        <w:tc>
          <w:tcPr>
            <w:tcW w:w="0" w:type="auto"/>
            <w:tcBorders>
              <w:top w:val="single" w:sz="6" w:space="0" w:color="auto"/>
              <w:left w:val="nil"/>
              <w:bottom w:val="single" w:sz="6" w:space="0" w:color="auto"/>
              <w:right w:val="nil"/>
            </w:tcBorders>
            <w:shd w:val="clear" w:color="auto" w:fill="auto"/>
            <w:noWrap/>
            <w:vAlign w:val="bottom"/>
            <w:hideMark/>
          </w:tcPr>
          <w:p w14:paraId="2425852A"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w:t>
            </w:r>
          </w:p>
        </w:tc>
        <w:tc>
          <w:tcPr>
            <w:tcW w:w="0" w:type="auto"/>
            <w:tcBorders>
              <w:top w:val="single" w:sz="6" w:space="0" w:color="auto"/>
              <w:left w:val="nil"/>
              <w:bottom w:val="single" w:sz="6" w:space="0" w:color="auto"/>
              <w:right w:val="nil"/>
            </w:tcBorders>
            <w:shd w:val="clear" w:color="auto" w:fill="auto"/>
            <w:noWrap/>
            <w:vAlign w:val="bottom"/>
            <w:hideMark/>
          </w:tcPr>
          <w:p w14:paraId="4E725CB2"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w:t>
            </w:r>
          </w:p>
        </w:tc>
        <w:tc>
          <w:tcPr>
            <w:tcW w:w="0" w:type="auto"/>
            <w:tcBorders>
              <w:top w:val="single" w:sz="6" w:space="0" w:color="auto"/>
              <w:left w:val="nil"/>
              <w:bottom w:val="single" w:sz="6" w:space="0" w:color="auto"/>
              <w:right w:val="nil"/>
            </w:tcBorders>
            <w:shd w:val="clear" w:color="auto" w:fill="auto"/>
            <w:noWrap/>
            <w:vAlign w:val="bottom"/>
            <w:hideMark/>
          </w:tcPr>
          <w:p w14:paraId="145AFA99"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w:t>
            </w:r>
          </w:p>
        </w:tc>
        <w:tc>
          <w:tcPr>
            <w:tcW w:w="0" w:type="auto"/>
            <w:tcBorders>
              <w:top w:val="single" w:sz="6" w:space="0" w:color="auto"/>
              <w:left w:val="nil"/>
              <w:bottom w:val="single" w:sz="6" w:space="0" w:color="auto"/>
              <w:right w:val="nil"/>
            </w:tcBorders>
            <w:shd w:val="clear" w:color="auto" w:fill="auto"/>
            <w:noWrap/>
            <w:vAlign w:val="bottom"/>
            <w:hideMark/>
          </w:tcPr>
          <w:p w14:paraId="014C8292"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w:t>
            </w:r>
          </w:p>
        </w:tc>
        <w:tc>
          <w:tcPr>
            <w:tcW w:w="0" w:type="auto"/>
            <w:tcBorders>
              <w:top w:val="single" w:sz="6" w:space="0" w:color="auto"/>
              <w:left w:val="nil"/>
              <w:bottom w:val="single" w:sz="6" w:space="0" w:color="auto"/>
              <w:right w:val="single" w:sz="12" w:space="0" w:color="auto"/>
            </w:tcBorders>
            <w:shd w:val="clear" w:color="auto" w:fill="auto"/>
            <w:noWrap/>
            <w:vAlign w:val="bottom"/>
            <w:hideMark/>
          </w:tcPr>
          <w:p w14:paraId="6F39DD59"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w:t>
            </w:r>
          </w:p>
        </w:tc>
      </w:tr>
      <w:tr w:rsidR="004541ED" w:rsidRPr="007F425D" w14:paraId="701E6C3E" w14:textId="77777777" w:rsidTr="004541ED">
        <w:trPr>
          <w:trHeight w:val="300"/>
        </w:trPr>
        <w:tc>
          <w:tcPr>
            <w:tcW w:w="1128" w:type="dxa"/>
            <w:vMerge w:val="restart"/>
            <w:tcBorders>
              <w:top w:val="single" w:sz="6" w:space="0" w:color="auto"/>
              <w:left w:val="single" w:sz="12" w:space="0" w:color="auto"/>
              <w:right w:val="nil"/>
            </w:tcBorders>
            <w:shd w:val="clear" w:color="auto" w:fill="auto"/>
            <w:noWrap/>
            <w:vAlign w:val="center"/>
            <w:hideMark/>
          </w:tcPr>
          <w:p w14:paraId="4AA11868"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Top 7</w:t>
            </w:r>
          </w:p>
          <w:p w14:paraId="21321869"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markets</w:t>
            </w:r>
          </w:p>
        </w:tc>
        <w:tc>
          <w:tcPr>
            <w:tcW w:w="1570" w:type="dxa"/>
            <w:tcBorders>
              <w:top w:val="single" w:sz="6" w:space="0" w:color="auto"/>
              <w:left w:val="nil"/>
              <w:bottom w:val="nil"/>
              <w:right w:val="single" w:sz="6" w:space="0" w:color="auto"/>
            </w:tcBorders>
            <w:shd w:val="clear" w:color="auto" w:fill="auto"/>
            <w:noWrap/>
            <w:vAlign w:val="center"/>
            <w:hideMark/>
          </w:tcPr>
          <w:p w14:paraId="19DF4AB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All sample</w:t>
            </w:r>
          </w:p>
        </w:tc>
        <w:tc>
          <w:tcPr>
            <w:tcW w:w="1047" w:type="dxa"/>
            <w:tcBorders>
              <w:top w:val="single" w:sz="6" w:space="0" w:color="auto"/>
              <w:left w:val="single" w:sz="6" w:space="0" w:color="auto"/>
              <w:bottom w:val="nil"/>
              <w:right w:val="single" w:sz="6" w:space="0" w:color="auto"/>
            </w:tcBorders>
            <w:shd w:val="clear" w:color="auto" w:fill="auto"/>
            <w:noWrap/>
            <w:vAlign w:val="center"/>
            <w:hideMark/>
          </w:tcPr>
          <w:p w14:paraId="264113E9"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187.478</w:t>
            </w:r>
          </w:p>
        </w:tc>
        <w:tc>
          <w:tcPr>
            <w:tcW w:w="0" w:type="auto"/>
            <w:tcBorders>
              <w:top w:val="single" w:sz="6" w:space="0" w:color="auto"/>
              <w:left w:val="single" w:sz="6" w:space="0" w:color="auto"/>
              <w:bottom w:val="nil"/>
              <w:right w:val="nil"/>
            </w:tcBorders>
          </w:tcPr>
          <w:p w14:paraId="29A5A08C"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p>
        </w:tc>
        <w:tc>
          <w:tcPr>
            <w:tcW w:w="0" w:type="auto"/>
            <w:tcBorders>
              <w:top w:val="single" w:sz="6" w:space="0" w:color="auto"/>
              <w:left w:val="nil"/>
              <w:bottom w:val="nil"/>
              <w:right w:val="nil"/>
            </w:tcBorders>
            <w:shd w:val="clear" w:color="auto" w:fill="auto"/>
            <w:noWrap/>
            <w:vAlign w:val="center"/>
            <w:hideMark/>
          </w:tcPr>
          <w:p w14:paraId="520CD899"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18%</w:t>
            </w:r>
          </w:p>
        </w:tc>
        <w:tc>
          <w:tcPr>
            <w:tcW w:w="0" w:type="auto"/>
            <w:tcBorders>
              <w:top w:val="single" w:sz="6" w:space="0" w:color="auto"/>
              <w:left w:val="nil"/>
              <w:bottom w:val="nil"/>
              <w:right w:val="single" w:sz="6" w:space="0" w:color="auto"/>
            </w:tcBorders>
            <w:shd w:val="clear" w:color="auto" w:fill="auto"/>
            <w:noWrap/>
            <w:vAlign w:val="center"/>
            <w:hideMark/>
          </w:tcPr>
          <w:p w14:paraId="51DE5932"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p>
        </w:tc>
        <w:tc>
          <w:tcPr>
            <w:tcW w:w="0" w:type="auto"/>
            <w:tcBorders>
              <w:top w:val="single" w:sz="6" w:space="0" w:color="auto"/>
              <w:left w:val="single" w:sz="6" w:space="0" w:color="auto"/>
              <w:bottom w:val="nil"/>
              <w:right w:val="nil"/>
            </w:tcBorders>
            <w:shd w:val="clear" w:color="auto" w:fill="auto"/>
            <w:noWrap/>
            <w:vAlign w:val="bottom"/>
            <w:hideMark/>
          </w:tcPr>
          <w:p w14:paraId="5A10B76B"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w:t>
            </w:r>
          </w:p>
        </w:tc>
        <w:tc>
          <w:tcPr>
            <w:tcW w:w="0" w:type="auto"/>
            <w:tcBorders>
              <w:top w:val="single" w:sz="6" w:space="0" w:color="auto"/>
              <w:left w:val="nil"/>
              <w:bottom w:val="nil"/>
              <w:right w:val="nil"/>
            </w:tcBorders>
            <w:shd w:val="clear" w:color="auto" w:fill="auto"/>
            <w:noWrap/>
            <w:vAlign w:val="bottom"/>
            <w:hideMark/>
          </w:tcPr>
          <w:p w14:paraId="4E595F0F"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w:t>
            </w:r>
          </w:p>
        </w:tc>
        <w:tc>
          <w:tcPr>
            <w:tcW w:w="0" w:type="auto"/>
            <w:tcBorders>
              <w:top w:val="single" w:sz="6" w:space="0" w:color="auto"/>
              <w:left w:val="nil"/>
              <w:bottom w:val="nil"/>
              <w:right w:val="nil"/>
            </w:tcBorders>
            <w:shd w:val="clear" w:color="auto" w:fill="auto"/>
            <w:noWrap/>
            <w:vAlign w:val="bottom"/>
            <w:hideMark/>
          </w:tcPr>
          <w:p w14:paraId="55A09E76"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w:t>
            </w:r>
          </w:p>
        </w:tc>
        <w:tc>
          <w:tcPr>
            <w:tcW w:w="0" w:type="auto"/>
            <w:tcBorders>
              <w:top w:val="single" w:sz="6" w:space="0" w:color="auto"/>
              <w:left w:val="nil"/>
              <w:bottom w:val="nil"/>
              <w:right w:val="nil"/>
            </w:tcBorders>
            <w:shd w:val="clear" w:color="auto" w:fill="auto"/>
            <w:noWrap/>
            <w:vAlign w:val="bottom"/>
            <w:hideMark/>
          </w:tcPr>
          <w:p w14:paraId="0DEBF0CF"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w:t>
            </w:r>
          </w:p>
        </w:tc>
        <w:tc>
          <w:tcPr>
            <w:tcW w:w="0" w:type="auto"/>
            <w:tcBorders>
              <w:top w:val="single" w:sz="6" w:space="0" w:color="auto"/>
              <w:left w:val="nil"/>
              <w:bottom w:val="nil"/>
              <w:right w:val="nil"/>
            </w:tcBorders>
            <w:shd w:val="clear" w:color="auto" w:fill="auto"/>
            <w:noWrap/>
            <w:vAlign w:val="bottom"/>
            <w:hideMark/>
          </w:tcPr>
          <w:p w14:paraId="2F81E3CE"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w:t>
            </w:r>
          </w:p>
        </w:tc>
        <w:tc>
          <w:tcPr>
            <w:tcW w:w="0" w:type="auto"/>
            <w:tcBorders>
              <w:top w:val="single" w:sz="6" w:space="0" w:color="auto"/>
              <w:left w:val="nil"/>
              <w:bottom w:val="nil"/>
              <w:right w:val="nil"/>
            </w:tcBorders>
            <w:shd w:val="clear" w:color="auto" w:fill="auto"/>
            <w:noWrap/>
            <w:vAlign w:val="bottom"/>
            <w:hideMark/>
          </w:tcPr>
          <w:p w14:paraId="250D2EED"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w:t>
            </w:r>
          </w:p>
        </w:tc>
        <w:tc>
          <w:tcPr>
            <w:tcW w:w="0" w:type="auto"/>
            <w:tcBorders>
              <w:top w:val="single" w:sz="6" w:space="0" w:color="auto"/>
              <w:left w:val="nil"/>
              <w:bottom w:val="nil"/>
              <w:right w:val="nil"/>
            </w:tcBorders>
            <w:shd w:val="clear" w:color="auto" w:fill="auto"/>
            <w:noWrap/>
            <w:vAlign w:val="bottom"/>
            <w:hideMark/>
          </w:tcPr>
          <w:p w14:paraId="05CE12D1"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w:t>
            </w:r>
          </w:p>
        </w:tc>
        <w:tc>
          <w:tcPr>
            <w:tcW w:w="0" w:type="auto"/>
            <w:tcBorders>
              <w:top w:val="single" w:sz="6" w:space="0" w:color="auto"/>
              <w:left w:val="nil"/>
              <w:bottom w:val="nil"/>
              <w:right w:val="nil"/>
            </w:tcBorders>
            <w:shd w:val="clear" w:color="auto" w:fill="auto"/>
            <w:noWrap/>
            <w:vAlign w:val="bottom"/>
            <w:hideMark/>
          </w:tcPr>
          <w:p w14:paraId="4DB491CC"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w:t>
            </w:r>
          </w:p>
        </w:tc>
        <w:tc>
          <w:tcPr>
            <w:tcW w:w="0" w:type="auto"/>
            <w:tcBorders>
              <w:top w:val="single" w:sz="6" w:space="0" w:color="auto"/>
              <w:left w:val="nil"/>
              <w:bottom w:val="nil"/>
              <w:right w:val="single" w:sz="12" w:space="0" w:color="auto"/>
            </w:tcBorders>
            <w:shd w:val="clear" w:color="auto" w:fill="auto"/>
            <w:noWrap/>
            <w:vAlign w:val="bottom"/>
            <w:hideMark/>
          </w:tcPr>
          <w:p w14:paraId="234A2FF4"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w:t>
            </w:r>
          </w:p>
        </w:tc>
      </w:tr>
      <w:tr w:rsidR="004541ED" w:rsidRPr="007F425D" w14:paraId="1C2E0554" w14:textId="77777777" w:rsidTr="004541ED">
        <w:trPr>
          <w:trHeight w:val="300"/>
        </w:trPr>
        <w:tc>
          <w:tcPr>
            <w:tcW w:w="1128" w:type="dxa"/>
            <w:vMerge/>
            <w:tcBorders>
              <w:left w:val="single" w:sz="12" w:space="0" w:color="auto"/>
              <w:right w:val="nil"/>
            </w:tcBorders>
            <w:shd w:val="clear" w:color="auto" w:fill="auto"/>
            <w:noWrap/>
            <w:vAlign w:val="center"/>
            <w:hideMark/>
          </w:tcPr>
          <w:p w14:paraId="5A2B8719"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p>
        </w:tc>
        <w:tc>
          <w:tcPr>
            <w:tcW w:w="1570" w:type="dxa"/>
            <w:tcBorders>
              <w:top w:val="nil"/>
              <w:left w:val="nil"/>
              <w:bottom w:val="nil"/>
              <w:right w:val="single" w:sz="6" w:space="0" w:color="auto"/>
            </w:tcBorders>
            <w:shd w:val="clear" w:color="auto" w:fill="auto"/>
            <w:noWrap/>
            <w:vAlign w:val="center"/>
            <w:hideMark/>
          </w:tcPr>
          <w:p w14:paraId="52EABE9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Refurbished</w:t>
            </w:r>
          </w:p>
        </w:tc>
        <w:tc>
          <w:tcPr>
            <w:tcW w:w="1047" w:type="dxa"/>
            <w:tcBorders>
              <w:top w:val="nil"/>
              <w:left w:val="single" w:sz="6" w:space="0" w:color="auto"/>
              <w:bottom w:val="nil"/>
              <w:right w:val="single" w:sz="6" w:space="0" w:color="auto"/>
            </w:tcBorders>
            <w:shd w:val="clear" w:color="auto" w:fill="auto"/>
            <w:noWrap/>
            <w:vAlign w:val="center"/>
            <w:hideMark/>
          </w:tcPr>
          <w:p w14:paraId="129EB85F"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59.492</w:t>
            </w:r>
          </w:p>
        </w:tc>
        <w:tc>
          <w:tcPr>
            <w:tcW w:w="0" w:type="auto"/>
            <w:tcBorders>
              <w:top w:val="nil"/>
              <w:left w:val="single" w:sz="6" w:space="0" w:color="auto"/>
              <w:bottom w:val="nil"/>
              <w:right w:val="nil"/>
            </w:tcBorders>
          </w:tcPr>
          <w:p w14:paraId="6E13BE3F"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center"/>
            <w:hideMark/>
          </w:tcPr>
          <w:p w14:paraId="06765766"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p>
        </w:tc>
        <w:tc>
          <w:tcPr>
            <w:tcW w:w="0" w:type="auto"/>
            <w:tcBorders>
              <w:top w:val="nil"/>
              <w:left w:val="nil"/>
              <w:bottom w:val="nil"/>
              <w:right w:val="single" w:sz="6" w:space="0" w:color="auto"/>
            </w:tcBorders>
            <w:shd w:val="clear" w:color="auto" w:fill="auto"/>
            <w:noWrap/>
            <w:vAlign w:val="center"/>
            <w:hideMark/>
          </w:tcPr>
          <w:p w14:paraId="050395BC"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32%</w:t>
            </w:r>
          </w:p>
        </w:tc>
        <w:tc>
          <w:tcPr>
            <w:tcW w:w="0" w:type="auto"/>
            <w:tcBorders>
              <w:top w:val="nil"/>
              <w:left w:val="single" w:sz="6" w:space="0" w:color="auto"/>
              <w:bottom w:val="nil"/>
              <w:right w:val="nil"/>
            </w:tcBorders>
            <w:shd w:val="clear" w:color="auto" w:fill="auto"/>
            <w:noWrap/>
            <w:vAlign w:val="bottom"/>
            <w:hideMark/>
          </w:tcPr>
          <w:p w14:paraId="7594112E"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w:t>
            </w:r>
          </w:p>
        </w:tc>
        <w:tc>
          <w:tcPr>
            <w:tcW w:w="0" w:type="auto"/>
            <w:tcBorders>
              <w:top w:val="nil"/>
              <w:left w:val="nil"/>
              <w:bottom w:val="nil"/>
              <w:right w:val="nil"/>
            </w:tcBorders>
            <w:shd w:val="clear" w:color="auto" w:fill="auto"/>
            <w:noWrap/>
            <w:vAlign w:val="bottom"/>
            <w:hideMark/>
          </w:tcPr>
          <w:p w14:paraId="4C640147"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w:t>
            </w:r>
          </w:p>
        </w:tc>
        <w:tc>
          <w:tcPr>
            <w:tcW w:w="0" w:type="auto"/>
            <w:tcBorders>
              <w:top w:val="nil"/>
              <w:left w:val="nil"/>
              <w:bottom w:val="nil"/>
              <w:right w:val="nil"/>
            </w:tcBorders>
            <w:shd w:val="clear" w:color="auto" w:fill="auto"/>
            <w:noWrap/>
            <w:vAlign w:val="bottom"/>
            <w:hideMark/>
          </w:tcPr>
          <w:p w14:paraId="3391EC77"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w:t>
            </w:r>
          </w:p>
        </w:tc>
        <w:tc>
          <w:tcPr>
            <w:tcW w:w="0" w:type="auto"/>
            <w:tcBorders>
              <w:top w:val="nil"/>
              <w:left w:val="nil"/>
              <w:bottom w:val="nil"/>
              <w:right w:val="nil"/>
            </w:tcBorders>
            <w:shd w:val="clear" w:color="auto" w:fill="auto"/>
            <w:noWrap/>
            <w:vAlign w:val="bottom"/>
            <w:hideMark/>
          </w:tcPr>
          <w:p w14:paraId="00296BC0"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w:t>
            </w:r>
          </w:p>
        </w:tc>
        <w:tc>
          <w:tcPr>
            <w:tcW w:w="0" w:type="auto"/>
            <w:tcBorders>
              <w:top w:val="nil"/>
              <w:left w:val="nil"/>
              <w:bottom w:val="nil"/>
              <w:right w:val="nil"/>
            </w:tcBorders>
            <w:shd w:val="clear" w:color="auto" w:fill="auto"/>
            <w:noWrap/>
            <w:vAlign w:val="bottom"/>
            <w:hideMark/>
          </w:tcPr>
          <w:p w14:paraId="5017420C"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w:t>
            </w:r>
          </w:p>
        </w:tc>
        <w:tc>
          <w:tcPr>
            <w:tcW w:w="0" w:type="auto"/>
            <w:tcBorders>
              <w:top w:val="nil"/>
              <w:left w:val="nil"/>
              <w:bottom w:val="nil"/>
              <w:right w:val="nil"/>
            </w:tcBorders>
            <w:shd w:val="clear" w:color="auto" w:fill="auto"/>
            <w:noWrap/>
            <w:vAlign w:val="bottom"/>
            <w:hideMark/>
          </w:tcPr>
          <w:p w14:paraId="274DA107"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w:t>
            </w:r>
          </w:p>
        </w:tc>
        <w:tc>
          <w:tcPr>
            <w:tcW w:w="0" w:type="auto"/>
            <w:tcBorders>
              <w:top w:val="nil"/>
              <w:left w:val="nil"/>
              <w:bottom w:val="nil"/>
              <w:right w:val="nil"/>
            </w:tcBorders>
            <w:shd w:val="clear" w:color="auto" w:fill="auto"/>
            <w:noWrap/>
            <w:vAlign w:val="bottom"/>
            <w:hideMark/>
          </w:tcPr>
          <w:p w14:paraId="68274329"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w:t>
            </w:r>
          </w:p>
        </w:tc>
        <w:tc>
          <w:tcPr>
            <w:tcW w:w="0" w:type="auto"/>
            <w:tcBorders>
              <w:top w:val="nil"/>
              <w:left w:val="nil"/>
              <w:bottom w:val="nil"/>
              <w:right w:val="nil"/>
            </w:tcBorders>
            <w:shd w:val="clear" w:color="auto" w:fill="auto"/>
            <w:noWrap/>
            <w:vAlign w:val="bottom"/>
            <w:hideMark/>
          </w:tcPr>
          <w:p w14:paraId="45486FE2"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w:t>
            </w:r>
          </w:p>
        </w:tc>
        <w:tc>
          <w:tcPr>
            <w:tcW w:w="0" w:type="auto"/>
            <w:tcBorders>
              <w:top w:val="nil"/>
              <w:left w:val="nil"/>
              <w:bottom w:val="nil"/>
              <w:right w:val="single" w:sz="12" w:space="0" w:color="auto"/>
            </w:tcBorders>
            <w:shd w:val="clear" w:color="auto" w:fill="auto"/>
            <w:noWrap/>
            <w:vAlign w:val="bottom"/>
            <w:hideMark/>
          </w:tcPr>
          <w:p w14:paraId="06F911D6"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w:t>
            </w:r>
          </w:p>
        </w:tc>
      </w:tr>
      <w:tr w:rsidR="004541ED" w:rsidRPr="007F425D" w14:paraId="56D85DF3" w14:textId="77777777" w:rsidTr="004541ED">
        <w:trPr>
          <w:trHeight w:val="300"/>
        </w:trPr>
        <w:tc>
          <w:tcPr>
            <w:tcW w:w="1128" w:type="dxa"/>
            <w:vMerge/>
            <w:tcBorders>
              <w:left w:val="single" w:sz="12" w:space="0" w:color="auto"/>
              <w:bottom w:val="single" w:sz="6" w:space="0" w:color="auto"/>
              <w:right w:val="nil"/>
            </w:tcBorders>
            <w:shd w:val="clear" w:color="auto" w:fill="auto"/>
            <w:noWrap/>
            <w:vAlign w:val="center"/>
            <w:hideMark/>
          </w:tcPr>
          <w:p w14:paraId="2C8F1F0A"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p>
        </w:tc>
        <w:tc>
          <w:tcPr>
            <w:tcW w:w="1570" w:type="dxa"/>
            <w:tcBorders>
              <w:top w:val="nil"/>
              <w:left w:val="nil"/>
              <w:bottom w:val="single" w:sz="6" w:space="0" w:color="auto"/>
              <w:right w:val="single" w:sz="6" w:space="0" w:color="auto"/>
            </w:tcBorders>
            <w:shd w:val="clear" w:color="auto" w:fill="auto"/>
            <w:noWrap/>
            <w:vAlign w:val="center"/>
            <w:hideMark/>
          </w:tcPr>
          <w:p w14:paraId="09A68CF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Non-refurbished</w:t>
            </w:r>
          </w:p>
        </w:tc>
        <w:tc>
          <w:tcPr>
            <w:tcW w:w="1047" w:type="dxa"/>
            <w:tcBorders>
              <w:top w:val="nil"/>
              <w:left w:val="single" w:sz="6" w:space="0" w:color="auto"/>
              <w:bottom w:val="single" w:sz="6" w:space="0" w:color="auto"/>
              <w:right w:val="single" w:sz="6" w:space="0" w:color="auto"/>
            </w:tcBorders>
            <w:shd w:val="clear" w:color="auto" w:fill="auto"/>
            <w:noWrap/>
            <w:vAlign w:val="center"/>
            <w:hideMark/>
          </w:tcPr>
          <w:p w14:paraId="557A9A66"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127.986</w:t>
            </w:r>
          </w:p>
        </w:tc>
        <w:tc>
          <w:tcPr>
            <w:tcW w:w="0" w:type="auto"/>
            <w:tcBorders>
              <w:top w:val="nil"/>
              <w:left w:val="single" w:sz="6" w:space="0" w:color="auto"/>
              <w:bottom w:val="single" w:sz="6" w:space="0" w:color="auto"/>
              <w:right w:val="nil"/>
            </w:tcBorders>
          </w:tcPr>
          <w:p w14:paraId="5B821D82"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p>
        </w:tc>
        <w:tc>
          <w:tcPr>
            <w:tcW w:w="0" w:type="auto"/>
            <w:tcBorders>
              <w:top w:val="nil"/>
              <w:left w:val="nil"/>
              <w:bottom w:val="single" w:sz="6" w:space="0" w:color="auto"/>
              <w:right w:val="nil"/>
            </w:tcBorders>
            <w:shd w:val="clear" w:color="auto" w:fill="auto"/>
            <w:noWrap/>
            <w:vAlign w:val="center"/>
            <w:hideMark/>
          </w:tcPr>
          <w:p w14:paraId="29B2F7FE"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p>
        </w:tc>
        <w:tc>
          <w:tcPr>
            <w:tcW w:w="0" w:type="auto"/>
            <w:tcBorders>
              <w:top w:val="nil"/>
              <w:left w:val="nil"/>
              <w:bottom w:val="single" w:sz="6" w:space="0" w:color="auto"/>
              <w:right w:val="single" w:sz="6" w:space="0" w:color="auto"/>
            </w:tcBorders>
            <w:shd w:val="clear" w:color="auto" w:fill="auto"/>
            <w:noWrap/>
            <w:vAlign w:val="center"/>
            <w:hideMark/>
          </w:tcPr>
          <w:p w14:paraId="51E0971A"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68%</w:t>
            </w:r>
          </w:p>
        </w:tc>
        <w:tc>
          <w:tcPr>
            <w:tcW w:w="0" w:type="auto"/>
            <w:tcBorders>
              <w:top w:val="nil"/>
              <w:left w:val="single" w:sz="6" w:space="0" w:color="auto"/>
              <w:bottom w:val="single" w:sz="6" w:space="0" w:color="auto"/>
              <w:right w:val="nil"/>
            </w:tcBorders>
            <w:shd w:val="clear" w:color="auto" w:fill="auto"/>
            <w:noWrap/>
            <w:vAlign w:val="bottom"/>
            <w:hideMark/>
          </w:tcPr>
          <w:p w14:paraId="30119364"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w:t>
            </w:r>
          </w:p>
        </w:tc>
        <w:tc>
          <w:tcPr>
            <w:tcW w:w="0" w:type="auto"/>
            <w:tcBorders>
              <w:top w:val="nil"/>
              <w:left w:val="nil"/>
              <w:bottom w:val="single" w:sz="6" w:space="0" w:color="auto"/>
              <w:right w:val="nil"/>
            </w:tcBorders>
            <w:shd w:val="clear" w:color="auto" w:fill="auto"/>
            <w:noWrap/>
            <w:vAlign w:val="bottom"/>
            <w:hideMark/>
          </w:tcPr>
          <w:p w14:paraId="2D504017"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w:t>
            </w:r>
          </w:p>
        </w:tc>
        <w:tc>
          <w:tcPr>
            <w:tcW w:w="0" w:type="auto"/>
            <w:tcBorders>
              <w:top w:val="nil"/>
              <w:left w:val="nil"/>
              <w:bottom w:val="single" w:sz="6" w:space="0" w:color="auto"/>
              <w:right w:val="nil"/>
            </w:tcBorders>
            <w:shd w:val="clear" w:color="auto" w:fill="auto"/>
            <w:noWrap/>
            <w:vAlign w:val="bottom"/>
            <w:hideMark/>
          </w:tcPr>
          <w:p w14:paraId="7AB7873F"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w:t>
            </w:r>
          </w:p>
        </w:tc>
        <w:tc>
          <w:tcPr>
            <w:tcW w:w="0" w:type="auto"/>
            <w:tcBorders>
              <w:top w:val="nil"/>
              <w:left w:val="nil"/>
              <w:bottom w:val="single" w:sz="6" w:space="0" w:color="auto"/>
              <w:right w:val="nil"/>
            </w:tcBorders>
            <w:shd w:val="clear" w:color="auto" w:fill="auto"/>
            <w:noWrap/>
            <w:vAlign w:val="bottom"/>
            <w:hideMark/>
          </w:tcPr>
          <w:p w14:paraId="6DCC745E"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w:t>
            </w:r>
          </w:p>
        </w:tc>
        <w:tc>
          <w:tcPr>
            <w:tcW w:w="0" w:type="auto"/>
            <w:tcBorders>
              <w:top w:val="nil"/>
              <w:left w:val="nil"/>
              <w:bottom w:val="single" w:sz="6" w:space="0" w:color="auto"/>
              <w:right w:val="nil"/>
            </w:tcBorders>
            <w:shd w:val="clear" w:color="auto" w:fill="auto"/>
            <w:noWrap/>
            <w:vAlign w:val="bottom"/>
            <w:hideMark/>
          </w:tcPr>
          <w:p w14:paraId="57993D59"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w:t>
            </w:r>
          </w:p>
        </w:tc>
        <w:tc>
          <w:tcPr>
            <w:tcW w:w="0" w:type="auto"/>
            <w:tcBorders>
              <w:top w:val="nil"/>
              <w:left w:val="nil"/>
              <w:bottom w:val="single" w:sz="6" w:space="0" w:color="auto"/>
              <w:right w:val="nil"/>
            </w:tcBorders>
            <w:shd w:val="clear" w:color="auto" w:fill="auto"/>
            <w:noWrap/>
            <w:vAlign w:val="bottom"/>
            <w:hideMark/>
          </w:tcPr>
          <w:p w14:paraId="2CD35B45"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w:t>
            </w:r>
          </w:p>
        </w:tc>
        <w:tc>
          <w:tcPr>
            <w:tcW w:w="0" w:type="auto"/>
            <w:tcBorders>
              <w:top w:val="nil"/>
              <w:left w:val="nil"/>
              <w:bottom w:val="single" w:sz="6" w:space="0" w:color="auto"/>
              <w:right w:val="nil"/>
            </w:tcBorders>
            <w:shd w:val="clear" w:color="auto" w:fill="auto"/>
            <w:noWrap/>
            <w:vAlign w:val="bottom"/>
            <w:hideMark/>
          </w:tcPr>
          <w:p w14:paraId="43613B09"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w:t>
            </w:r>
          </w:p>
        </w:tc>
        <w:tc>
          <w:tcPr>
            <w:tcW w:w="0" w:type="auto"/>
            <w:tcBorders>
              <w:top w:val="nil"/>
              <w:left w:val="nil"/>
              <w:bottom w:val="single" w:sz="6" w:space="0" w:color="auto"/>
              <w:right w:val="nil"/>
            </w:tcBorders>
            <w:shd w:val="clear" w:color="auto" w:fill="auto"/>
            <w:noWrap/>
            <w:vAlign w:val="bottom"/>
            <w:hideMark/>
          </w:tcPr>
          <w:p w14:paraId="0422A15D"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w:t>
            </w:r>
          </w:p>
        </w:tc>
        <w:tc>
          <w:tcPr>
            <w:tcW w:w="0" w:type="auto"/>
            <w:tcBorders>
              <w:top w:val="nil"/>
              <w:left w:val="nil"/>
              <w:bottom w:val="single" w:sz="6" w:space="0" w:color="auto"/>
              <w:right w:val="single" w:sz="12" w:space="0" w:color="auto"/>
            </w:tcBorders>
            <w:shd w:val="clear" w:color="auto" w:fill="auto"/>
            <w:noWrap/>
            <w:vAlign w:val="bottom"/>
            <w:hideMark/>
          </w:tcPr>
          <w:p w14:paraId="3F951F23"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w:t>
            </w:r>
          </w:p>
        </w:tc>
      </w:tr>
      <w:tr w:rsidR="004541ED" w:rsidRPr="007F425D" w14:paraId="222CE862" w14:textId="77777777" w:rsidTr="004541ED">
        <w:trPr>
          <w:trHeight w:val="300"/>
        </w:trPr>
        <w:tc>
          <w:tcPr>
            <w:tcW w:w="1128" w:type="dxa"/>
            <w:vMerge w:val="restart"/>
            <w:tcBorders>
              <w:top w:val="single" w:sz="6" w:space="0" w:color="auto"/>
              <w:left w:val="single" w:sz="12" w:space="0" w:color="auto"/>
              <w:right w:val="nil"/>
            </w:tcBorders>
            <w:shd w:val="clear" w:color="auto" w:fill="auto"/>
            <w:noWrap/>
            <w:vAlign w:val="center"/>
            <w:hideMark/>
          </w:tcPr>
          <w:p w14:paraId="4599241F"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xml:space="preserve">Secondary </w:t>
            </w:r>
          </w:p>
          <w:p w14:paraId="1F0B81DF"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markets</w:t>
            </w:r>
          </w:p>
        </w:tc>
        <w:tc>
          <w:tcPr>
            <w:tcW w:w="1570" w:type="dxa"/>
            <w:tcBorders>
              <w:top w:val="single" w:sz="6" w:space="0" w:color="auto"/>
              <w:left w:val="nil"/>
              <w:bottom w:val="nil"/>
              <w:right w:val="single" w:sz="6" w:space="0" w:color="auto"/>
            </w:tcBorders>
            <w:shd w:val="clear" w:color="auto" w:fill="auto"/>
            <w:noWrap/>
            <w:vAlign w:val="center"/>
            <w:hideMark/>
          </w:tcPr>
          <w:p w14:paraId="1781FBD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All sample</w:t>
            </w:r>
          </w:p>
        </w:tc>
        <w:tc>
          <w:tcPr>
            <w:tcW w:w="1047" w:type="dxa"/>
            <w:tcBorders>
              <w:top w:val="single" w:sz="6" w:space="0" w:color="auto"/>
              <w:left w:val="single" w:sz="6" w:space="0" w:color="auto"/>
              <w:bottom w:val="nil"/>
              <w:right w:val="single" w:sz="6" w:space="0" w:color="auto"/>
            </w:tcBorders>
            <w:shd w:val="clear" w:color="auto" w:fill="auto"/>
            <w:noWrap/>
            <w:vAlign w:val="center"/>
            <w:hideMark/>
          </w:tcPr>
          <w:p w14:paraId="70A81B6F"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841.724</w:t>
            </w:r>
          </w:p>
        </w:tc>
        <w:tc>
          <w:tcPr>
            <w:tcW w:w="0" w:type="auto"/>
            <w:tcBorders>
              <w:top w:val="single" w:sz="6" w:space="0" w:color="auto"/>
              <w:left w:val="single" w:sz="6" w:space="0" w:color="auto"/>
              <w:bottom w:val="nil"/>
              <w:right w:val="nil"/>
            </w:tcBorders>
          </w:tcPr>
          <w:p w14:paraId="7C315C78"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p>
        </w:tc>
        <w:tc>
          <w:tcPr>
            <w:tcW w:w="0" w:type="auto"/>
            <w:tcBorders>
              <w:top w:val="single" w:sz="6" w:space="0" w:color="auto"/>
              <w:left w:val="nil"/>
              <w:bottom w:val="nil"/>
              <w:right w:val="nil"/>
            </w:tcBorders>
            <w:shd w:val="clear" w:color="auto" w:fill="auto"/>
            <w:noWrap/>
            <w:vAlign w:val="center"/>
            <w:hideMark/>
          </w:tcPr>
          <w:p w14:paraId="0CB55E35"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82%</w:t>
            </w:r>
          </w:p>
        </w:tc>
        <w:tc>
          <w:tcPr>
            <w:tcW w:w="0" w:type="auto"/>
            <w:tcBorders>
              <w:top w:val="single" w:sz="6" w:space="0" w:color="auto"/>
              <w:left w:val="nil"/>
              <w:bottom w:val="nil"/>
              <w:right w:val="single" w:sz="6" w:space="0" w:color="auto"/>
            </w:tcBorders>
            <w:shd w:val="clear" w:color="auto" w:fill="auto"/>
            <w:noWrap/>
            <w:vAlign w:val="center"/>
            <w:hideMark/>
          </w:tcPr>
          <w:p w14:paraId="24EBDF69"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p>
        </w:tc>
        <w:tc>
          <w:tcPr>
            <w:tcW w:w="0" w:type="auto"/>
            <w:tcBorders>
              <w:top w:val="single" w:sz="6" w:space="0" w:color="auto"/>
              <w:left w:val="single" w:sz="6" w:space="0" w:color="auto"/>
              <w:bottom w:val="nil"/>
              <w:right w:val="nil"/>
            </w:tcBorders>
            <w:shd w:val="clear" w:color="auto" w:fill="auto"/>
            <w:noWrap/>
            <w:vAlign w:val="bottom"/>
            <w:hideMark/>
          </w:tcPr>
          <w:p w14:paraId="07E695EA"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w:t>
            </w:r>
          </w:p>
        </w:tc>
        <w:tc>
          <w:tcPr>
            <w:tcW w:w="0" w:type="auto"/>
            <w:tcBorders>
              <w:top w:val="single" w:sz="6" w:space="0" w:color="auto"/>
              <w:left w:val="nil"/>
              <w:bottom w:val="nil"/>
              <w:right w:val="nil"/>
            </w:tcBorders>
            <w:shd w:val="clear" w:color="auto" w:fill="auto"/>
            <w:noWrap/>
            <w:vAlign w:val="bottom"/>
            <w:hideMark/>
          </w:tcPr>
          <w:p w14:paraId="3411F286"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w:t>
            </w:r>
          </w:p>
        </w:tc>
        <w:tc>
          <w:tcPr>
            <w:tcW w:w="0" w:type="auto"/>
            <w:tcBorders>
              <w:top w:val="single" w:sz="6" w:space="0" w:color="auto"/>
              <w:left w:val="nil"/>
              <w:bottom w:val="nil"/>
              <w:right w:val="nil"/>
            </w:tcBorders>
            <w:shd w:val="clear" w:color="auto" w:fill="auto"/>
            <w:noWrap/>
            <w:vAlign w:val="bottom"/>
            <w:hideMark/>
          </w:tcPr>
          <w:p w14:paraId="2F91C138"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w:t>
            </w:r>
          </w:p>
        </w:tc>
        <w:tc>
          <w:tcPr>
            <w:tcW w:w="0" w:type="auto"/>
            <w:tcBorders>
              <w:top w:val="single" w:sz="6" w:space="0" w:color="auto"/>
              <w:left w:val="nil"/>
              <w:bottom w:val="nil"/>
              <w:right w:val="nil"/>
            </w:tcBorders>
            <w:shd w:val="clear" w:color="auto" w:fill="auto"/>
            <w:noWrap/>
            <w:vAlign w:val="bottom"/>
            <w:hideMark/>
          </w:tcPr>
          <w:p w14:paraId="05AE4036"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w:t>
            </w:r>
          </w:p>
        </w:tc>
        <w:tc>
          <w:tcPr>
            <w:tcW w:w="0" w:type="auto"/>
            <w:tcBorders>
              <w:top w:val="single" w:sz="6" w:space="0" w:color="auto"/>
              <w:left w:val="nil"/>
              <w:bottom w:val="nil"/>
              <w:right w:val="nil"/>
            </w:tcBorders>
            <w:shd w:val="clear" w:color="auto" w:fill="auto"/>
            <w:noWrap/>
            <w:vAlign w:val="bottom"/>
            <w:hideMark/>
          </w:tcPr>
          <w:p w14:paraId="08E21A4F"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w:t>
            </w:r>
          </w:p>
        </w:tc>
        <w:tc>
          <w:tcPr>
            <w:tcW w:w="0" w:type="auto"/>
            <w:tcBorders>
              <w:top w:val="single" w:sz="6" w:space="0" w:color="auto"/>
              <w:left w:val="nil"/>
              <w:bottom w:val="nil"/>
              <w:right w:val="nil"/>
            </w:tcBorders>
            <w:shd w:val="clear" w:color="auto" w:fill="auto"/>
            <w:noWrap/>
            <w:vAlign w:val="bottom"/>
            <w:hideMark/>
          </w:tcPr>
          <w:p w14:paraId="6517EF23"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w:t>
            </w:r>
          </w:p>
        </w:tc>
        <w:tc>
          <w:tcPr>
            <w:tcW w:w="0" w:type="auto"/>
            <w:tcBorders>
              <w:top w:val="single" w:sz="6" w:space="0" w:color="auto"/>
              <w:left w:val="nil"/>
              <w:bottom w:val="nil"/>
              <w:right w:val="nil"/>
            </w:tcBorders>
            <w:shd w:val="clear" w:color="auto" w:fill="auto"/>
            <w:noWrap/>
            <w:vAlign w:val="bottom"/>
            <w:hideMark/>
          </w:tcPr>
          <w:p w14:paraId="623DF285"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w:t>
            </w:r>
          </w:p>
        </w:tc>
        <w:tc>
          <w:tcPr>
            <w:tcW w:w="0" w:type="auto"/>
            <w:tcBorders>
              <w:top w:val="single" w:sz="6" w:space="0" w:color="auto"/>
              <w:left w:val="nil"/>
              <w:bottom w:val="nil"/>
              <w:right w:val="nil"/>
            </w:tcBorders>
            <w:shd w:val="clear" w:color="auto" w:fill="auto"/>
            <w:noWrap/>
            <w:vAlign w:val="bottom"/>
            <w:hideMark/>
          </w:tcPr>
          <w:p w14:paraId="7D8DCC3A"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w:t>
            </w:r>
          </w:p>
        </w:tc>
        <w:tc>
          <w:tcPr>
            <w:tcW w:w="0" w:type="auto"/>
            <w:tcBorders>
              <w:top w:val="single" w:sz="6" w:space="0" w:color="auto"/>
              <w:left w:val="nil"/>
              <w:bottom w:val="nil"/>
              <w:right w:val="single" w:sz="12" w:space="0" w:color="auto"/>
            </w:tcBorders>
            <w:shd w:val="clear" w:color="auto" w:fill="auto"/>
            <w:noWrap/>
            <w:vAlign w:val="bottom"/>
            <w:hideMark/>
          </w:tcPr>
          <w:p w14:paraId="43E0CD33"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w:t>
            </w:r>
          </w:p>
        </w:tc>
      </w:tr>
      <w:tr w:rsidR="004541ED" w:rsidRPr="007F425D" w14:paraId="11F16605" w14:textId="77777777" w:rsidTr="004541ED">
        <w:trPr>
          <w:trHeight w:val="300"/>
        </w:trPr>
        <w:tc>
          <w:tcPr>
            <w:tcW w:w="1128" w:type="dxa"/>
            <w:vMerge/>
            <w:tcBorders>
              <w:left w:val="single" w:sz="12" w:space="0" w:color="auto"/>
              <w:right w:val="nil"/>
            </w:tcBorders>
            <w:shd w:val="clear" w:color="auto" w:fill="auto"/>
            <w:noWrap/>
            <w:vAlign w:val="center"/>
            <w:hideMark/>
          </w:tcPr>
          <w:p w14:paraId="2FDBBCB0"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p>
        </w:tc>
        <w:tc>
          <w:tcPr>
            <w:tcW w:w="1570" w:type="dxa"/>
            <w:tcBorders>
              <w:top w:val="nil"/>
              <w:left w:val="nil"/>
              <w:bottom w:val="nil"/>
              <w:right w:val="single" w:sz="6" w:space="0" w:color="auto"/>
            </w:tcBorders>
            <w:shd w:val="clear" w:color="auto" w:fill="auto"/>
            <w:noWrap/>
            <w:vAlign w:val="center"/>
            <w:hideMark/>
          </w:tcPr>
          <w:p w14:paraId="1BE2718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Refurbished</w:t>
            </w:r>
          </w:p>
        </w:tc>
        <w:tc>
          <w:tcPr>
            <w:tcW w:w="1047" w:type="dxa"/>
            <w:tcBorders>
              <w:top w:val="nil"/>
              <w:left w:val="single" w:sz="6" w:space="0" w:color="auto"/>
              <w:bottom w:val="nil"/>
              <w:right w:val="single" w:sz="6" w:space="0" w:color="auto"/>
            </w:tcBorders>
            <w:shd w:val="clear" w:color="auto" w:fill="auto"/>
            <w:noWrap/>
            <w:vAlign w:val="center"/>
            <w:hideMark/>
          </w:tcPr>
          <w:p w14:paraId="592AD7E2"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196.040</w:t>
            </w:r>
          </w:p>
        </w:tc>
        <w:tc>
          <w:tcPr>
            <w:tcW w:w="0" w:type="auto"/>
            <w:tcBorders>
              <w:top w:val="nil"/>
              <w:left w:val="single" w:sz="6" w:space="0" w:color="auto"/>
              <w:bottom w:val="nil"/>
              <w:right w:val="nil"/>
            </w:tcBorders>
          </w:tcPr>
          <w:p w14:paraId="5BA8D2A4"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p>
        </w:tc>
        <w:tc>
          <w:tcPr>
            <w:tcW w:w="0" w:type="auto"/>
            <w:tcBorders>
              <w:top w:val="nil"/>
              <w:left w:val="nil"/>
              <w:bottom w:val="nil"/>
              <w:right w:val="nil"/>
            </w:tcBorders>
            <w:shd w:val="clear" w:color="auto" w:fill="auto"/>
            <w:noWrap/>
            <w:vAlign w:val="center"/>
            <w:hideMark/>
          </w:tcPr>
          <w:p w14:paraId="76A5B9BD"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p>
        </w:tc>
        <w:tc>
          <w:tcPr>
            <w:tcW w:w="0" w:type="auto"/>
            <w:tcBorders>
              <w:top w:val="nil"/>
              <w:left w:val="nil"/>
              <w:bottom w:val="nil"/>
              <w:right w:val="single" w:sz="6" w:space="0" w:color="auto"/>
            </w:tcBorders>
            <w:shd w:val="clear" w:color="auto" w:fill="auto"/>
            <w:noWrap/>
            <w:vAlign w:val="center"/>
            <w:hideMark/>
          </w:tcPr>
          <w:p w14:paraId="4ED37189"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23%</w:t>
            </w:r>
          </w:p>
        </w:tc>
        <w:tc>
          <w:tcPr>
            <w:tcW w:w="0" w:type="auto"/>
            <w:tcBorders>
              <w:top w:val="nil"/>
              <w:left w:val="single" w:sz="6" w:space="0" w:color="auto"/>
              <w:bottom w:val="nil"/>
              <w:right w:val="nil"/>
            </w:tcBorders>
            <w:shd w:val="clear" w:color="auto" w:fill="auto"/>
            <w:noWrap/>
            <w:vAlign w:val="bottom"/>
            <w:hideMark/>
          </w:tcPr>
          <w:p w14:paraId="20B76193"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w:t>
            </w:r>
          </w:p>
        </w:tc>
        <w:tc>
          <w:tcPr>
            <w:tcW w:w="0" w:type="auto"/>
            <w:tcBorders>
              <w:top w:val="nil"/>
              <w:left w:val="nil"/>
              <w:bottom w:val="nil"/>
              <w:right w:val="nil"/>
            </w:tcBorders>
            <w:shd w:val="clear" w:color="auto" w:fill="auto"/>
            <w:noWrap/>
            <w:vAlign w:val="bottom"/>
            <w:hideMark/>
          </w:tcPr>
          <w:p w14:paraId="3626FED9"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w:t>
            </w:r>
          </w:p>
        </w:tc>
        <w:tc>
          <w:tcPr>
            <w:tcW w:w="0" w:type="auto"/>
            <w:tcBorders>
              <w:top w:val="nil"/>
              <w:left w:val="nil"/>
              <w:bottom w:val="nil"/>
              <w:right w:val="nil"/>
            </w:tcBorders>
            <w:shd w:val="clear" w:color="auto" w:fill="auto"/>
            <w:noWrap/>
            <w:vAlign w:val="bottom"/>
            <w:hideMark/>
          </w:tcPr>
          <w:p w14:paraId="110B9863"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w:t>
            </w:r>
          </w:p>
        </w:tc>
        <w:tc>
          <w:tcPr>
            <w:tcW w:w="0" w:type="auto"/>
            <w:tcBorders>
              <w:top w:val="nil"/>
              <w:left w:val="nil"/>
              <w:bottom w:val="nil"/>
              <w:right w:val="nil"/>
            </w:tcBorders>
            <w:shd w:val="clear" w:color="auto" w:fill="auto"/>
            <w:noWrap/>
            <w:vAlign w:val="bottom"/>
            <w:hideMark/>
          </w:tcPr>
          <w:p w14:paraId="04E1C15F"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w:t>
            </w:r>
          </w:p>
        </w:tc>
        <w:tc>
          <w:tcPr>
            <w:tcW w:w="0" w:type="auto"/>
            <w:tcBorders>
              <w:top w:val="nil"/>
              <w:left w:val="nil"/>
              <w:bottom w:val="nil"/>
              <w:right w:val="nil"/>
            </w:tcBorders>
            <w:shd w:val="clear" w:color="auto" w:fill="auto"/>
            <w:noWrap/>
            <w:vAlign w:val="bottom"/>
            <w:hideMark/>
          </w:tcPr>
          <w:p w14:paraId="63C3FDDA"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w:t>
            </w:r>
          </w:p>
        </w:tc>
        <w:tc>
          <w:tcPr>
            <w:tcW w:w="0" w:type="auto"/>
            <w:tcBorders>
              <w:top w:val="nil"/>
              <w:left w:val="nil"/>
              <w:bottom w:val="nil"/>
              <w:right w:val="nil"/>
            </w:tcBorders>
            <w:shd w:val="clear" w:color="auto" w:fill="auto"/>
            <w:noWrap/>
            <w:vAlign w:val="bottom"/>
            <w:hideMark/>
          </w:tcPr>
          <w:p w14:paraId="70EE71B4"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w:t>
            </w:r>
          </w:p>
        </w:tc>
        <w:tc>
          <w:tcPr>
            <w:tcW w:w="0" w:type="auto"/>
            <w:tcBorders>
              <w:top w:val="nil"/>
              <w:left w:val="nil"/>
              <w:bottom w:val="nil"/>
              <w:right w:val="nil"/>
            </w:tcBorders>
            <w:shd w:val="clear" w:color="auto" w:fill="auto"/>
            <w:noWrap/>
            <w:vAlign w:val="bottom"/>
            <w:hideMark/>
          </w:tcPr>
          <w:p w14:paraId="068CFA9C"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w:t>
            </w:r>
          </w:p>
        </w:tc>
        <w:tc>
          <w:tcPr>
            <w:tcW w:w="0" w:type="auto"/>
            <w:tcBorders>
              <w:top w:val="nil"/>
              <w:left w:val="nil"/>
              <w:bottom w:val="nil"/>
              <w:right w:val="nil"/>
            </w:tcBorders>
            <w:shd w:val="clear" w:color="auto" w:fill="auto"/>
            <w:noWrap/>
            <w:vAlign w:val="bottom"/>
            <w:hideMark/>
          </w:tcPr>
          <w:p w14:paraId="6976DBA8"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w:t>
            </w:r>
          </w:p>
        </w:tc>
        <w:tc>
          <w:tcPr>
            <w:tcW w:w="0" w:type="auto"/>
            <w:tcBorders>
              <w:top w:val="nil"/>
              <w:left w:val="nil"/>
              <w:bottom w:val="nil"/>
              <w:right w:val="single" w:sz="12" w:space="0" w:color="auto"/>
            </w:tcBorders>
            <w:shd w:val="clear" w:color="auto" w:fill="auto"/>
            <w:noWrap/>
            <w:vAlign w:val="bottom"/>
            <w:hideMark/>
          </w:tcPr>
          <w:p w14:paraId="0FD5A396"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w:t>
            </w:r>
          </w:p>
        </w:tc>
      </w:tr>
      <w:tr w:rsidR="004541ED" w:rsidRPr="007F425D" w14:paraId="6BFDA75B" w14:textId="77777777" w:rsidTr="004541ED">
        <w:trPr>
          <w:trHeight w:val="315"/>
        </w:trPr>
        <w:tc>
          <w:tcPr>
            <w:tcW w:w="1128" w:type="dxa"/>
            <w:vMerge/>
            <w:tcBorders>
              <w:left w:val="single" w:sz="12" w:space="0" w:color="auto"/>
              <w:bottom w:val="single" w:sz="12" w:space="0" w:color="auto"/>
              <w:right w:val="nil"/>
            </w:tcBorders>
            <w:shd w:val="clear" w:color="auto" w:fill="auto"/>
            <w:noWrap/>
            <w:vAlign w:val="center"/>
            <w:hideMark/>
          </w:tcPr>
          <w:p w14:paraId="74E38DF4"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p>
        </w:tc>
        <w:tc>
          <w:tcPr>
            <w:tcW w:w="1570" w:type="dxa"/>
            <w:tcBorders>
              <w:top w:val="nil"/>
              <w:left w:val="nil"/>
              <w:bottom w:val="single" w:sz="12" w:space="0" w:color="auto"/>
              <w:right w:val="single" w:sz="6" w:space="0" w:color="auto"/>
            </w:tcBorders>
            <w:shd w:val="clear" w:color="auto" w:fill="auto"/>
            <w:noWrap/>
            <w:vAlign w:val="center"/>
            <w:hideMark/>
          </w:tcPr>
          <w:p w14:paraId="58C9B61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Non-refurbished</w:t>
            </w:r>
          </w:p>
        </w:tc>
        <w:tc>
          <w:tcPr>
            <w:tcW w:w="1047" w:type="dxa"/>
            <w:tcBorders>
              <w:top w:val="nil"/>
              <w:left w:val="single" w:sz="6" w:space="0" w:color="auto"/>
              <w:bottom w:val="single" w:sz="12" w:space="0" w:color="auto"/>
              <w:right w:val="single" w:sz="6" w:space="0" w:color="auto"/>
            </w:tcBorders>
            <w:shd w:val="clear" w:color="auto" w:fill="auto"/>
            <w:noWrap/>
            <w:vAlign w:val="center"/>
            <w:hideMark/>
          </w:tcPr>
          <w:p w14:paraId="4D5A575B"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645.684</w:t>
            </w:r>
          </w:p>
        </w:tc>
        <w:tc>
          <w:tcPr>
            <w:tcW w:w="0" w:type="auto"/>
            <w:tcBorders>
              <w:top w:val="nil"/>
              <w:left w:val="single" w:sz="6" w:space="0" w:color="auto"/>
              <w:bottom w:val="single" w:sz="12" w:space="0" w:color="auto"/>
              <w:right w:val="nil"/>
            </w:tcBorders>
          </w:tcPr>
          <w:p w14:paraId="1DD62C35"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p>
        </w:tc>
        <w:tc>
          <w:tcPr>
            <w:tcW w:w="0" w:type="auto"/>
            <w:tcBorders>
              <w:top w:val="nil"/>
              <w:left w:val="nil"/>
              <w:bottom w:val="single" w:sz="12" w:space="0" w:color="auto"/>
              <w:right w:val="nil"/>
            </w:tcBorders>
            <w:shd w:val="clear" w:color="auto" w:fill="auto"/>
            <w:noWrap/>
            <w:vAlign w:val="center"/>
            <w:hideMark/>
          </w:tcPr>
          <w:p w14:paraId="3C6AA12E"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p>
        </w:tc>
        <w:tc>
          <w:tcPr>
            <w:tcW w:w="0" w:type="auto"/>
            <w:tcBorders>
              <w:top w:val="nil"/>
              <w:left w:val="nil"/>
              <w:bottom w:val="single" w:sz="12" w:space="0" w:color="auto"/>
              <w:right w:val="single" w:sz="6" w:space="0" w:color="auto"/>
            </w:tcBorders>
            <w:shd w:val="clear" w:color="auto" w:fill="auto"/>
            <w:noWrap/>
            <w:vAlign w:val="center"/>
            <w:hideMark/>
          </w:tcPr>
          <w:p w14:paraId="61B636D4"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77%</w:t>
            </w:r>
          </w:p>
        </w:tc>
        <w:tc>
          <w:tcPr>
            <w:tcW w:w="0" w:type="auto"/>
            <w:tcBorders>
              <w:top w:val="nil"/>
              <w:left w:val="single" w:sz="6" w:space="0" w:color="auto"/>
              <w:bottom w:val="single" w:sz="12" w:space="0" w:color="auto"/>
              <w:right w:val="nil"/>
            </w:tcBorders>
            <w:shd w:val="clear" w:color="auto" w:fill="auto"/>
            <w:noWrap/>
            <w:vAlign w:val="bottom"/>
            <w:hideMark/>
          </w:tcPr>
          <w:p w14:paraId="26624A0B"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w:t>
            </w:r>
          </w:p>
        </w:tc>
        <w:tc>
          <w:tcPr>
            <w:tcW w:w="0" w:type="auto"/>
            <w:tcBorders>
              <w:top w:val="nil"/>
              <w:left w:val="nil"/>
              <w:bottom w:val="single" w:sz="12" w:space="0" w:color="auto"/>
              <w:right w:val="nil"/>
            </w:tcBorders>
            <w:shd w:val="clear" w:color="auto" w:fill="auto"/>
            <w:noWrap/>
            <w:vAlign w:val="bottom"/>
            <w:hideMark/>
          </w:tcPr>
          <w:p w14:paraId="23BF5879"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w:t>
            </w:r>
          </w:p>
        </w:tc>
        <w:tc>
          <w:tcPr>
            <w:tcW w:w="0" w:type="auto"/>
            <w:tcBorders>
              <w:top w:val="nil"/>
              <w:left w:val="nil"/>
              <w:bottom w:val="single" w:sz="12" w:space="0" w:color="auto"/>
              <w:right w:val="nil"/>
            </w:tcBorders>
            <w:shd w:val="clear" w:color="auto" w:fill="auto"/>
            <w:noWrap/>
            <w:vAlign w:val="bottom"/>
            <w:hideMark/>
          </w:tcPr>
          <w:p w14:paraId="7EB1D094"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w:t>
            </w:r>
          </w:p>
        </w:tc>
        <w:tc>
          <w:tcPr>
            <w:tcW w:w="0" w:type="auto"/>
            <w:tcBorders>
              <w:top w:val="nil"/>
              <w:left w:val="nil"/>
              <w:bottom w:val="single" w:sz="12" w:space="0" w:color="auto"/>
              <w:right w:val="nil"/>
            </w:tcBorders>
            <w:shd w:val="clear" w:color="auto" w:fill="auto"/>
            <w:noWrap/>
            <w:vAlign w:val="bottom"/>
            <w:hideMark/>
          </w:tcPr>
          <w:p w14:paraId="069BA791"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w:t>
            </w:r>
          </w:p>
        </w:tc>
        <w:tc>
          <w:tcPr>
            <w:tcW w:w="0" w:type="auto"/>
            <w:tcBorders>
              <w:top w:val="nil"/>
              <w:left w:val="nil"/>
              <w:bottom w:val="single" w:sz="12" w:space="0" w:color="auto"/>
              <w:right w:val="nil"/>
            </w:tcBorders>
            <w:shd w:val="clear" w:color="auto" w:fill="auto"/>
            <w:noWrap/>
            <w:vAlign w:val="bottom"/>
            <w:hideMark/>
          </w:tcPr>
          <w:p w14:paraId="1C782B70"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w:t>
            </w:r>
          </w:p>
        </w:tc>
        <w:tc>
          <w:tcPr>
            <w:tcW w:w="0" w:type="auto"/>
            <w:tcBorders>
              <w:top w:val="nil"/>
              <w:left w:val="nil"/>
              <w:bottom w:val="single" w:sz="12" w:space="0" w:color="auto"/>
              <w:right w:val="nil"/>
            </w:tcBorders>
            <w:shd w:val="clear" w:color="auto" w:fill="auto"/>
            <w:noWrap/>
            <w:vAlign w:val="bottom"/>
            <w:hideMark/>
          </w:tcPr>
          <w:p w14:paraId="49271F49"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w:t>
            </w:r>
          </w:p>
        </w:tc>
        <w:tc>
          <w:tcPr>
            <w:tcW w:w="0" w:type="auto"/>
            <w:tcBorders>
              <w:top w:val="nil"/>
              <w:left w:val="nil"/>
              <w:bottom w:val="single" w:sz="12" w:space="0" w:color="auto"/>
              <w:right w:val="nil"/>
            </w:tcBorders>
            <w:shd w:val="clear" w:color="auto" w:fill="auto"/>
            <w:noWrap/>
            <w:vAlign w:val="bottom"/>
            <w:hideMark/>
          </w:tcPr>
          <w:p w14:paraId="7CE804D0"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w:t>
            </w:r>
          </w:p>
        </w:tc>
        <w:tc>
          <w:tcPr>
            <w:tcW w:w="0" w:type="auto"/>
            <w:tcBorders>
              <w:top w:val="nil"/>
              <w:left w:val="nil"/>
              <w:bottom w:val="single" w:sz="12" w:space="0" w:color="auto"/>
              <w:right w:val="nil"/>
            </w:tcBorders>
            <w:shd w:val="clear" w:color="auto" w:fill="auto"/>
            <w:noWrap/>
            <w:vAlign w:val="bottom"/>
            <w:hideMark/>
          </w:tcPr>
          <w:p w14:paraId="6C0DA2D6"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w:t>
            </w:r>
          </w:p>
        </w:tc>
        <w:tc>
          <w:tcPr>
            <w:tcW w:w="0" w:type="auto"/>
            <w:tcBorders>
              <w:top w:val="nil"/>
              <w:left w:val="nil"/>
              <w:bottom w:val="single" w:sz="12" w:space="0" w:color="auto"/>
              <w:right w:val="single" w:sz="12" w:space="0" w:color="auto"/>
            </w:tcBorders>
            <w:shd w:val="clear" w:color="auto" w:fill="auto"/>
            <w:noWrap/>
            <w:vAlign w:val="bottom"/>
            <w:hideMark/>
          </w:tcPr>
          <w:p w14:paraId="622CCE92"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w:t>
            </w:r>
          </w:p>
        </w:tc>
      </w:tr>
      <w:tr w:rsidR="004541ED" w:rsidRPr="003D0E92" w14:paraId="0B4481E3" w14:textId="77777777" w:rsidTr="004541ED">
        <w:trPr>
          <w:trHeight w:val="480"/>
        </w:trPr>
        <w:tc>
          <w:tcPr>
            <w:tcW w:w="10791" w:type="dxa"/>
            <w:gridSpan w:val="15"/>
            <w:tcBorders>
              <w:top w:val="single" w:sz="12" w:space="0" w:color="auto"/>
              <w:left w:val="single" w:sz="12" w:space="0" w:color="auto"/>
              <w:bottom w:val="nil"/>
              <w:right w:val="single" w:sz="12" w:space="0" w:color="auto"/>
            </w:tcBorders>
            <w:shd w:val="clear" w:color="auto" w:fill="auto"/>
            <w:vAlign w:val="center"/>
          </w:tcPr>
          <w:p w14:paraId="7D0A329C" w14:textId="77777777" w:rsidR="004541ED" w:rsidRPr="007F425D" w:rsidRDefault="004541ED" w:rsidP="004541ED">
            <w:pPr>
              <w:spacing w:after="0" w:line="240" w:lineRule="auto"/>
              <w:jc w:val="center"/>
              <w:rPr>
                <w:rFonts w:ascii="Times New Roman" w:eastAsia="Times New Roman" w:hAnsi="Times New Roman" w:cs="Times New Roman"/>
                <w:b/>
                <w:color w:val="000000"/>
                <w:sz w:val="20"/>
                <w:szCs w:val="20"/>
                <w:lang w:eastAsia="de-DE"/>
              </w:rPr>
            </w:pPr>
            <w:r w:rsidRPr="007F425D">
              <w:rPr>
                <w:rFonts w:ascii="Times New Roman" w:eastAsia="Times New Roman" w:hAnsi="Times New Roman" w:cs="Times New Roman"/>
                <w:b/>
                <w:color w:val="000000"/>
                <w:sz w:val="20"/>
                <w:szCs w:val="20"/>
                <w:lang w:eastAsia="de-DE"/>
              </w:rPr>
              <w:t>Mean asking rent €/p.m.</w:t>
            </w:r>
          </w:p>
        </w:tc>
      </w:tr>
      <w:tr w:rsidR="004541ED" w:rsidRPr="007F425D" w14:paraId="154E33BE" w14:textId="77777777" w:rsidTr="004541ED">
        <w:trPr>
          <w:trHeight w:val="300"/>
        </w:trPr>
        <w:tc>
          <w:tcPr>
            <w:tcW w:w="10791" w:type="dxa"/>
            <w:gridSpan w:val="15"/>
            <w:tcBorders>
              <w:top w:val="nil"/>
              <w:left w:val="single" w:sz="12" w:space="0" w:color="auto"/>
              <w:bottom w:val="single" w:sz="12" w:space="0" w:color="auto"/>
              <w:right w:val="single" w:sz="12" w:space="0" w:color="auto"/>
            </w:tcBorders>
          </w:tcPr>
          <w:p w14:paraId="5E3794A4"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noProof/>
              </w:rPr>
              <w:drawing>
                <wp:inline distT="0" distB="0" distL="0" distR="0" wp14:anchorId="171DEAF3" wp14:editId="71CB2A77">
                  <wp:extent cx="6480000" cy="2880000"/>
                  <wp:effectExtent l="0" t="0" r="0" b="0"/>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r w:rsidR="004541ED" w:rsidRPr="003D0E92" w14:paraId="1B112B80" w14:textId="77777777" w:rsidTr="004541ED">
        <w:trPr>
          <w:trHeight w:val="410"/>
        </w:trPr>
        <w:tc>
          <w:tcPr>
            <w:tcW w:w="10791" w:type="dxa"/>
            <w:gridSpan w:val="15"/>
            <w:tcBorders>
              <w:top w:val="single" w:sz="12" w:space="0" w:color="auto"/>
              <w:left w:val="single" w:sz="12" w:space="0" w:color="auto"/>
              <w:bottom w:val="nil"/>
              <w:right w:val="single" w:sz="12" w:space="0" w:color="auto"/>
            </w:tcBorders>
            <w:vAlign w:val="center"/>
          </w:tcPr>
          <w:p w14:paraId="7423C388" w14:textId="77777777" w:rsidR="004541ED" w:rsidRPr="007F425D" w:rsidRDefault="004541ED" w:rsidP="004541ED">
            <w:pPr>
              <w:spacing w:after="0" w:line="240" w:lineRule="auto"/>
              <w:jc w:val="center"/>
              <w:rPr>
                <w:rFonts w:ascii="Times New Roman" w:eastAsia="Times New Roman" w:hAnsi="Times New Roman" w:cs="Times New Roman"/>
                <w:b/>
                <w:color w:val="000000"/>
                <w:sz w:val="20"/>
                <w:szCs w:val="20"/>
                <w:lang w:eastAsia="de-DE"/>
              </w:rPr>
            </w:pPr>
            <w:r w:rsidRPr="007F425D">
              <w:rPr>
                <w:rFonts w:ascii="Times New Roman" w:eastAsia="Times New Roman" w:hAnsi="Times New Roman" w:cs="Times New Roman"/>
                <w:b/>
                <w:color w:val="000000"/>
                <w:sz w:val="20"/>
                <w:szCs w:val="20"/>
                <w:lang w:eastAsia="de-DE"/>
              </w:rPr>
              <w:t>Mean time on market in weeks</w:t>
            </w:r>
          </w:p>
        </w:tc>
      </w:tr>
      <w:tr w:rsidR="004541ED" w:rsidRPr="007F425D" w14:paraId="3366C87E" w14:textId="77777777" w:rsidTr="004541ED">
        <w:trPr>
          <w:trHeight w:val="300"/>
        </w:trPr>
        <w:tc>
          <w:tcPr>
            <w:tcW w:w="10791" w:type="dxa"/>
            <w:gridSpan w:val="15"/>
            <w:tcBorders>
              <w:top w:val="nil"/>
              <w:left w:val="single" w:sz="12" w:space="0" w:color="auto"/>
              <w:bottom w:val="single" w:sz="12" w:space="0" w:color="auto"/>
              <w:right w:val="single" w:sz="12" w:space="0" w:color="auto"/>
            </w:tcBorders>
          </w:tcPr>
          <w:p w14:paraId="7CBE80F9"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noProof/>
              </w:rPr>
              <w:drawing>
                <wp:inline distT="0" distB="0" distL="0" distR="0" wp14:anchorId="1A290E4B" wp14:editId="34161EDA">
                  <wp:extent cx="6480000" cy="2880000"/>
                  <wp:effectExtent l="0" t="0" r="0" b="0"/>
                  <wp:docPr id="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4541ED" w:rsidRPr="003D0E92" w14:paraId="20BCD03A" w14:textId="77777777" w:rsidTr="004541ED">
        <w:trPr>
          <w:trHeight w:val="300"/>
        </w:trPr>
        <w:tc>
          <w:tcPr>
            <w:tcW w:w="10791" w:type="dxa"/>
            <w:gridSpan w:val="15"/>
            <w:tcBorders>
              <w:top w:val="single" w:sz="12" w:space="0" w:color="auto"/>
              <w:left w:val="nil"/>
              <w:bottom w:val="nil"/>
              <w:right w:val="nil"/>
            </w:tcBorders>
          </w:tcPr>
          <w:p w14:paraId="0926635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Notes: Sample includes 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 xml:space="preserve">202 observations of internet offers of rental flats in Germany from 2013-Q1 until 2017-Q4 across 403 NUTS3 regions. NUTS3 regions cover small regions similar to counties or administrative districts. </w:t>
            </w:r>
          </w:p>
        </w:tc>
      </w:tr>
    </w:tbl>
    <w:p w14:paraId="068D0496" w14:textId="77777777" w:rsidR="004541ED" w:rsidRPr="007F425D" w:rsidRDefault="004541ED" w:rsidP="004541ED">
      <w:pPr>
        <w:sectPr w:rsidR="004541ED" w:rsidRPr="007F425D" w:rsidSect="00723C88">
          <w:pgSz w:w="23814" w:h="16839" w:orient="landscape" w:code="8"/>
          <w:pgMar w:top="1417" w:right="1134" w:bottom="1417" w:left="1417" w:header="708" w:footer="708" w:gutter="0"/>
          <w:cols w:space="708"/>
          <w:docGrid w:linePitch="360"/>
        </w:sectPr>
      </w:pPr>
      <w:r w:rsidRPr="007F425D">
        <w:br w:type="page"/>
      </w:r>
    </w:p>
    <w:p w14:paraId="6AF594DA" w14:textId="77777777" w:rsidR="004541ED" w:rsidRPr="007F425D" w:rsidRDefault="004541ED" w:rsidP="004541ED">
      <w:r w:rsidRPr="007F425D">
        <w:lastRenderedPageBreak/>
        <w:t xml:space="preserve"> </w:t>
      </w:r>
    </w:p>
    <w:tbl>
      <w:tblPr>
        <w:tblW w:w="0" w:type="auto"/>
        <w:tblInd w:w="55" w:type="dxa"/>
        <w:tblCellMar>
          <w:left w:w="70" w:type="dxa"/>
          <w:right w:w="70" w:type="dxa"/>
        </w:tblCellMar>
        <w:tblLook w:val="04A0" w:firstRow="1" w:lastRow="0" w:firstColumn="1" w:lastColumn="0" w:noHBand="0" w:noVBand="1"/>
      </w:tblPr>
      <w:tblGrid>
        <w:gridCol w:w="2499"/>
        <w:gridCol w:w="977"/>
        <w:gridCol w:w="875"/>
        <w:gridCol w:w="977"/>
        <w:gridCol w:w="977"/>
        <w:gridCol w:w="977"/>
        <w:gridCol w:w="977"/>
        <w:gridCol w:w="977"/>
        <w:gridCol w:w="875"/>
        <w:gridCol w:w="908"/>
        <w:gridCol w:w="977"/>
        <w:gridCol w:w="977"/>
        <w:gridCol w:w="977"/>
      </w:tblGrid>
      <w:tr w:rsidR="004541ED" w:rsidRPr="003D0E92" w14:paraId="772A6DCC" w14:textId="77777777" w:rsidTr="004541ED">
        <w:trPr>
          <w:trHeight w:val="315"/>
        </w:trPr>
        <w:tc>
          <w:tcPr>
            <w:tcW w:w="0" w:type="auto"/>
            <w:gridSpan w:val="13"/>
            <w:tcBorders>
              <w:top w:val="nil"/>
              <w:left w:val="nil"/>
              <w:bottom w:val="single" w:sz="12" w:space="0" w:color="auto"/>
              <w:right w:val="nil"/>
            </w:tcBorders>
            <w:shd w:val="clear" w:color="auto" w:fill="auto"/>
            <w:noWrap/>
            <w:vAlign w:val="center"/>
            <w:hideMark/>
          </w:tcPr>
          <w:p w14:paraId="6A5C6F65" w14:textId="77777777" w:rsidR="004541ED" w:rsidRPr="007F425D" w:rsidRDefault="004541ED" w:rsidP="004541ED">
            <w:pPr>
              <w:spacing w:after="0" w:line="240" w:lineRule="auto"/>
              <w:rPr>
                <w:rFonts w:ascii="Times New Roman" w:eastAsia="Times New Roman" w:hAnsi="Times New Roman" w:cs="Times New Roman"/>
                <w:b/>
                <w:color w:val="000000"/>
                <w:sz w:val="20"/>
                <w:szCs w:val="20"/>
                <w:lang w:eastAsia="de-DE"/>
              </w:rPr>
            </w:pPr>
            <w:r w:rsidRPr="007F425D">
              <w:rPr>
                <w:rFonts w:ascii="Times New Roman" w:eastAsia="Times New Roman" w:hAnsi="Times New Roman" w:cs="Times New Roman"/>
                <w:b/>
                <w:color w:val="000000"/>
                <w:sz w:val="24"/>
                <w:szCs w:val="20"/>
                <w:lang w:eastAsia="de-DE"/>
              </w:rPr>
              <w:t>Table 3: Regression results of log asking rents €/p.m.</w:t>
            </w:r>
            <w:r>
              <w:rPr>
                <w:rFonts w:ascii="Times New Roman" w:eastAsia="Times New Roman" w:hAnsi="Times New Roman" w:cs="Times New Roman"/>
                <w:b/>
                <w:color w:val="000000"/>
                <w:sz w:val="24"/>
                <w:szCs w:val="20"/>
                <w:lang w:eastAsia="de-DE"/>
              </w:rPr>
              <w:t xml:space="preserve"> in Germany</w:t>
            </w:r>
          </w:p>
        </w:tc>
      </w:tr>
      <w:tr w:rsidR="004541ED" w:rsidRPr="007F425D" w14:paraId="64FE43B1" w14:textId="77777777" w:rsidTr="004541ED">
        <w:trPr>
          <w:trHeight w:val="300"/>
        </w:trPr>
        <w:tc>
          <w:tcPr>
            <w:tcW w:w="0" w:type="auto"/>
            <w:vMerge w:val="restart"/>
            <w:tcBorders>
              <w:top w:val="single" w:sz="12" w:space="0" w:color="auto"/>
              <w:left w:val="single" w:sz="12" w:space="0" w:color="auto"/>
              <w:bottom w:val="nil"/>
              <w:right w:val="single" w:sz="4" w:space="0" w:color="auto"/>
            </w:tcBorders>
            <w:shd w:val="clear" w:color="auto" w:fill="auto"/>
            <w:vAlign w:val="center"/>
            <w:hideMark/>
          </w:tcPr>
          <w:p w14:paraId="31C331D5"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Coefficients and</w:t>
            </w:r>
            <w:r w:rsidRPr="007F425D">
              <w:rPr>
                <w:rFonts w:ascii="Times New Roman" w:eastAsia="Times New Roman" w:hAnsi="Times New Roman" w:cs="Times New Roman"/>
                <w:color w:val="000000"/>
                <w:sz w:val="20"/>
                <w:szCs w:val="20"/>
                <w:lang w:eastAsia="de-DE"/>
              </w:rPr>
              <w:br/>
              <w:t>t-statistics</w:t>
            </w:r>
          </w:p>
        </w:tc>
        <w:tc>
          <w:tcPr>
            <w:tcW w:w="0" w:type="auto"/>
            <w:vMerge w:val="restart"/>
            <w:tcBorders>
              <w:top w:val="single" w:sz="12" w:space="0" w:color="auto"/>
              <w:left w:val="single" w:sz="4" w:space="0" w:color="auto"/>
              <w:bottom w:val="nil"/>
              <w:right w:val="nil"/>
            </w:tcBorders>
            <w:shd w:val="clear" w:color="auto" w:fill="auto"/>
            <w:noWrap/>
            <w:vAlign w:val="center"/>
            <w:hideMark/>
          </w:tcPr>
          <w:p w14:paraId="285B82A2" w14:textId="77777777" w:rsidR="004541E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xml:space="preserve">All </w:t>
            </w:r>
          </w:p>
          <w:p w14:paraId="59AF5AEA" w14:textId="77777777" w:rsidR="004541E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Sample</w:t>
            </w:r>
          </w:p>
          <w:p w14:paraId="373FA996"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Pr>
                <w:rFonts w:ascii="Times New Roman" w:eastAsia="Times New Roman" w:hAnsi="Times New Roman" w:cs="Times New Roman"/>
                <w:color w:val="000000"/>
                <w:sz w:val="20"/>
                <w:szCs w:val="20"/>
                <w:lang w:eastAsia="de-DE"/>
              </w:rPr>
              <w:t xml:space="preserve">Germany </w:t>
            </w:r>
          </w:p>
        </w:tc>
        <w:tc>
          <w:tcPr>
            <w:tcW w:w="0" w:type="auto"/>
            <w:gridSpan w:val="5"/>
            <w:tcBorders>
              <w:top w:val="single" w:sz="12" w:space="0" w:color="auto"/>
              <w:left w:val="nil"/>
              <w:bottom w:val="nil"/>
              <w:right w:val="single" w:sz="4" w:space="0" w:color="000000"/>
            </w:tcBorders>
            <w:shd w:val="clear" w:color="auto" w:fill="auto"/>
            <w:noWrap/>
            <w:vAlign w:val="center"/>
            <w:hideMark/>
          </w:tcPr>
          <w:p w14:paraId="2059AC85"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Subsamples</w:t>
            </w:r>
          </w:p>
        </w:tc>
        <w:tc>
          <w:tcPr>
            <w:tcW w:w="0" w:type="auto"/>
            <w:vMerge w:val="restart"/>
            <w:tcBorders>
              <w:top w:val="single" w:sz="12" w:space="0" w:color="auto"/>
              <w:left w:val="single" w:sz="4" w:space="0" w:color="auto"/>
              <w:bottom w:val="nil"/>
              <w:right w:val="nil"/>
            </w:tcBorders>
            <w:shd w:val="clear" w:color="auto" w:fill="auto"/>
            <w:noWrap/>
            <w:vAlign w:val="center"/>
            <w:hideMark/>
          </w:tcPr>
          <w:p w14:paraId="2B3C39AB" w14:textId="77777777" w:rsidR="004541E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xml:space="preserve">All </w:t>
            </w:r>
          </w:p>
          <w:p w14:paraId="407D164F" w14:textId="77777777" w:rsidR="004541E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Sample</w:t>
            </w:r>
          </w:p>
          <w:p w14:paraId="19CDAF97"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Pr>
                <w:rFonts w:ascii="Times New Roman" w:eastAsia="Times New Roman" w:hAnsi="Times New Roman" w:cs="Times New Roman"/>
                <w:color w:val="000000"/>
                <w:sz w:val="20"/>
                <w:szCs w:val="20"/>
                <w:lang w:eastAsia="de-DE"/>
              </w:rPr>
              <w:t>Germany</w:t>
            </w:r>
          </w:p>
        </w:tc>
        <w:tc>
          <w:tcPr>
            <w:tcW w:w="0" w:type="auto"/>
            <w:gridSpan w:val="5"/>
            <w:tcBorders>
              <w:top w:val="single" w:sz="12" w:space="0" w:color="auto"/>
              <w:left w:val="nil"/>
              <w:bottom w:val="nil"/>
              <w:right w:val="single" w:sz="12" w:space="0" w:color="auto"/>
            </w:tcBorders>
            <w:shd w:val="clear" w:color="auto" w:fill="auto"/>
            <w:noWrap/>
            <w:vAlign w:val="center"/>
            <w:hideMark/>
          </w:tcPr>
          <w:p w14:paraId="02D5F400"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Subsamples</w:t>
            </w:r>
          </w:p>
        </w:tc>
      </w:tr>
      <w:tr w:rsidR="004541ED" w:rsidRPr="007F425D" w14:paraId="41BE111D" w14:textId="77777777" w:rsidTr="004541ED">
        <w:trPr>
          <w:trHeight w:val="403"/>
        </w:trPr>
        <w:tc>
          <w:tcPr>
            <w:tcW w:w="0" w:type="auto"/>
            <w:vMerge/>
            <w:tcBorders>
              <w:top w:val="single" w:sz="8" w:space="0" w:color="auto"/>
              <w:left w:val="single" w:sz="12" w:space="0" w:color="auto"/>
              <w:bottom w:val="single" w:sz="4" w:space="0" w:color="auto"/>
              <w:right w:val="single" w:sz="4" w:space="0" w:color="auto"/>
            </w:tcBorders>
            <w:vAlign w:val="center"/>
            <w:hideMark/>
          </w:tcPr>
          <w:p w14:paraId="0977D724"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p>
        </w:tc>
        <w:tc>
          <w:tcPr>
            <w:tcW w:w="0" w:type="auto"/>
            <w:vMerge/>
            <w:tcBorders>
              <w:top w:val="single" w:sz="8" w:space="0" w:color="auto"/>
              <w:left w:val="single" w:sz="4" w:space="0" w:color="auto"/>
              <w:bottom w:val="single" w:sz="4" w:space="0" w:color="auto"/>
              <w:right w:val="nil"/>
            </w:tcBorders>
            <w:vAlign w:val="center"/>
            <w:hideMark/>
          </w:tcPr>
          <w:p w14:paraId="55853188"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71CA03BF"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2013</w:t>
            </w:r>
          </w:p>
        </w:tc>
        <w:tc>
          <w:tcPr>
            <w:tcW w:w="0" w:type="auto"/>
            <w:tcBorders>
              <w:top w:val="single" w:sz="4" w:space="0" w:color="auto"/>
              <w:left w:val="nil"/>
              <w:bottom w:val="single" w:sz="4" w:space="0" w:color="auto"/>
              <w:right w:val="nil"/>
            </w:tcBorders>
            <w:shd w:val="clear" w:color="auto" w:fill="auto"/>
            <w:noWrap/>
            <w:vAlign w:val="center"/>
            <w:hideMark/>
          </w:tcPr>
          <w:p w14:paraId="6DFEB251"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2014</w:t>
            </w:r>
          </w:p>
        </w:tc>
        <w:tc>
          <w:tcPr>
            <w:tcW w:w="0" w:type="auto"/>
            <w:tcBorders>
              <w:top w:val="single" w:sz="4" w:space="0" w:color="auto"/>
              <w:left w:val="nil"/>
              <w:bottom w:val="single" w:sz="4" w:space="0" w:color="auto"/>
              <w:right w:val="nil"/>
            </w:tcBorders>
            <w:shd w:val="clear" w:color="auto" w:fill="auto"/>
            <w:noWrap/>
            <w:vAlign w:val="center"/>
            <w:hideMark/>
          </w:tcPr>
          <w:p w14:paraId="5F0BB80C"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2015</w:t>
            </w:r>
          </w:p>
        </w:tc>
        <w:tc>
          <w:tcPr>
            <w:tcW w:w="0" w:type="auto"/>
            <w:tcBorders>
              <w:top w:val="single" w:sz="4" w:space="0" w:color="auto"/>
              <w:left w:val="nil"/>
              <w:bottom w:val="single" w:sz="4" w:space="0" w:color="auto"/>
              <w:right w:val="nil"/>
            </w:tcBorders>
            <w:shd w:val="clear" w:color="auto" w:fill="auto"/>
            <w:noWrap/>
            <w:vAlign w:val="center"/>
            <w:hideMark/>
          </w:tcPr>
          <w:p w14:paraId="5FA0907B"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2016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D39CA5"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2017</w:t>
            </w:r>
          </w:p>
        </w:tc>
        <w:tc>
          <w:tcPr>
            <w:tcW w:w="0" w:type="auto"/>
            <w:vMerge/>
            <w:tcBorders>
              <w:top w:val="single" w:sz="8" w:space="0" w:color="auto"/>
              <w:left w:val="single" w:sz="4" w:space="0" w:color="auto"/>
              <w:bottom w:val="single" w:sz="4" w:space="0" w:color="auto"/>
              <w:right w:val="nil"/>
            </w:tcBorders>
            <w:vAlign w:val="center"/>
            <w:hideMark/>
          </w:tcPr>
          <w:p w14:paraId="2A2D373E"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23ACFC13"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2013</w:t>
            </w:r>
          </w:p>
        </w:tc>
        <w:tc>
          <w:tcPr>
            <w:tcW w:w="0" w:type="auto"/>
            <w:tcBorders>
              <w:top w:val="single" w:sz="4" w:space="0" w:color="auto"/>
              <w:left w:val="nil"/>
              <w:bottom w:val="single" w:sz="4" w:space="0" w:color="auto"/>
              <w:right w:val="nil"/>
            </w:tcBorders>
            <w:shd w:val="clear" w:color="auto" w:fill="auto"/>
            <w:noWrap/>
            <w:vAlign w:val="center"/>
            <w:hideMark/>
          </w:tcPr>
          <w:p w14:paraId="3E4F215F"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2014</w:t>
            </w:r>
          </w:p>
        </w:tc>
        <w:tc>
          <w:tcPr>
            <w:tcW w:w="0" w:type="auto"/>
            <w:tcBorders>
              <w:top w:val="single" w:sz="4" w:space="0" w:color="auto"/>
              <w:left w:val="nil"/>
              <w:bottom w:val="single" w:sz="4" w:space="0" w:color="auto"/>
              <w:right w:val="nil"/>
            </w:tcBorders>
            <w:shd w:val="clear" w:color="auto" w:fill="auto"/>
            <w:noWrap/>
            <w:vAlign w:val="center"/>
            <w:hideMark/>
          </w:tcPr>
          <w:p w14:paraId="7CC00363"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2015</w:t>
            </w:r>
          </w:p>
        </w:tc>
        <w:tc>
          <w:tcPr>
            <w:tcW w:w="0" w:type="auto"/>
            <w:tcBorders>
              <w:top w:val="single" w:sz="4" w:space="0" w:color="auto"/>
              <w:left w:val="nil"/>
              <w:bottom w:val="single" w:sz="4" w:space="0" w:color="auto"/>
              <w:right w:val="nil"/>
            </w:tcBorders>
            <w:shd w:val="clear" w:color="auto" w:fill="auto"/>
            <w:noWrap/>
            <w:vAlign w:val="center"/>
            <w:hideMark/>
          </w:tcPr>
          <w:p w14:paraId="6D4EF0E9"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2016</w:t>
            </w:r>
          </w:p>
        </w:tc>
        <w:tc>
          <w:tcPr>
            <w:tcW w:w="0" w:type="auto"/>
            <w:tcBorders>
              <w:top w:val="single" w:sz="4" w:space="0" w:color="auto"/>
              <w:left w:val="nil"/>
              <w:bottom w:val="single" w:sz="4" w:space="0" w:color="auto"/>
              <w:right w:val="single" w:sz="12" w:space="0" w:color="auto"/>
            </w:tcBorders>
            <w:shd w:val="clear" w:color="auto" w:fill="auto"/>
            <w:noWrap/>
            <w:vAlign w:val="center"/>
            <w:hideMark/>
          </w:tcPr>
          <w:p w14:paraId="087D15E8"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2017</w:t>
            </w:r>
          </w:p>
        </w:tc>
      </w:tr>
      <w:tr w:rsidR="004541ED" w:rsidRPr="007F425D" w14:paraId="69DBCECF" w14:textId="77777777" w:rsidTr="004541ED">
        <w:trPr>
          <w:trHeight w:val="300"/>
        </w:trPr>
        <w:tc>
          <w:tcPr>
            <w:tcW w:w="0" w:type="auto"/>
            <w:tcBorders>
              <w:top w:val="single" w:sz="4" w:space="0" w:color="auto"/>
              <w:left w:val="single" w:sz="12" w:space="0" w:color="auto"/>
              <w:bottom w:val="dotted" w:sz="4" w:space="0" w:color="auto"/>
              <w:right w:val="single" w:sz="4" w:space="0" w:color="auto"/>
            </w:tcBorders>
            <w:shd w:val="clear" w:color="auto" w:fill="auto"/>
            <w:noWrap/>
            <w:vAlign w:val="center"/>
            <w:hideMark/>
          </w:tcPr>
          <w:p w14:paraId="33A3695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xml:space="preserve">EPC - A+ </w:t>
            </w:r>
            <w:r w:rsidRPr="007F425D">
              <w:rPr>
                <w:rFonts w:ascii="Times New Roman" w:eastAsia="Times New Roman" w:hAnsi="Times New Roman" w:cs="Times New Roman"/>
                <w:color w:val="000000"/>
                <w:sz w:val="20"/>
                <w:szCs w:val="20"/>
                <w:lang w:eastAsia="de-DE"/>
              </w:rPr>
              <w:br/>
              <w:t>(Ref: D)</w:t>
            </w:r>
          </w:p>
        </w:tc>
        <w:tc>
          <w:tcPr>
            <w:tcW w:w="0" w:type="auto"/>
            <w:tcBorders>
              <w:top w:val="single" w:sz="4" w:space="0" w:color="auto"/>
              <w:left w:val="nil"/>
              <w:bottom w:val="dotted" w:sz="4" w:space="0" w:color="auto"/>
              <w:right w:val="single" w:sz="4" w:space="0" w:color="auto"/>
            </w:tcBorders>
            <w:shd w:val="clear" w:color="auto" w:fill="auto"/>
            <w:noWrap/>
            <w:vAlign w:val="bottom"/>
            <w:hideMark/>
          </w:tcPr>
          <w:p w14:paraId="1F0D065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009</w:t>
            </w:r>
          </w:p>
          <w:p w14:paraId="51B952B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nil"/>
              <w:bottom w:val="dotted" w:sz="4" w:space="0" w:color="auto"/>
              <w:right w:val="nil"/>
            </w:tcBorders>
            <w:shd w:val="clear" w:color="auto" w:fill="auto"/>
            <w:noWrap/>
            <w:vAlign w:val="bottom"/>
            <w:hideMark/>
          </w:tcPr>
          <w:p w14:paraId="4DA6C37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008</w:t>
            </w:r>
          </w:p>
          <w:p w14:paraId="11A4B02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76</w:t>
            </w:r>
          </w:p>
        </w:tc>
        <w:tc>
          <w:tcPr>
            <w:tcW w:w="0" w:type="auto"/>
            <w:tcBorders>
              <w:top w:val="single" w:sz="4" w:space="0" w:color="auto"/>
              <w:left w:val="nil"/>
              <w:bottom w:val="dotted" w:sz="4" w:space="0" w:color="auto"/>
              <w:right w:val="nil"/>
            </w:tcBorders>
            <w:shd w:val="clear" w:color="auto" w:fill="auto"/>
            <w:noWrap/>
            <w:vAlign w:val="bottom"/>
            <w:hideMark/>
          </w:tcPr>
          <w:p w14:paraId="7606836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009</w:t>
            </w:r>
          </w:p>
          <w:p w14:paraId="72ED2D2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45</w:t>
            </w:r>
          </w:p>
        </w:tc>
        <w:tc>
          <w:tcPr>
            <w:tcW w:w="0" w:type="auto"/>
            <w:tcBorders>
              <w:top w:val="single" w:sz="4" w:space="0" w:color="auto"/>
              <w:left w:val="nil"/>
              <w:bottom w:val="dotted" w:sz="4" w:space="0" w:color="auto"/>
              <w:right w:val="nil"/>
            </w:tcBorders>
            <w:shd w:val="clear" w:color="auto" w:fill="auto"/>
            <w:noWrap/>
            <w:vAlign w:val="bottom"/>
            <w:hideMark/>
          </w:tcPr>
          <w:p w14:paraId="0FEA773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003</w:t>
            </w:r>
          </w:p>
          <w:p w14:paraId="30EBE2B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52</w:t>
            </w:r>
          </w:p>
        </w:tc>
        <w:tc>
          <w:tcPr>
            <w:tcW w:w="0" w:type="auto"/>
            <w:tcBorders>
              <w:top w:val="single" w:sz="4" w:space="0" w:color="auto"/>
              <w:left w:val="nil"/>
              <w:bottom w:val="dotted" w:sz="4" w:space="0" w:color="auto"/>
              <w:right w:val="nil"/>
            </w:tcBorders>
            <w:shd w:val="clear" w:color="auto" w:fill="auto"/>
            <w:noWrap/>
            <w:vAlign w:val="bottom"/>
            <w:hideMark/>
          </w:tcPr>
          <w:p w14:paraId="6465D56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032</w:t>
            </w:r>
          </w:p>
          <w:p w14:paraId="31B9D15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nil"/>
              <w:bottom w:val="dotted" w:sz="4" w:space="0" w:color="auto"/>
              <w:right w:val="single" w:sz="4" w:space="0" w:color="auto"/>
            </w:tcBorders>
            <w:shd w:val="clear" w:color="auto" w:fill="auto"/>
            <w:noWrap/>
            <w:vAlign w:val="bottom"/>
            <w:hideMark/>
          </w:tcPr>
          <w:p w14:paraId="40A03A5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002</w:t>
            </w:r>
          </w:p>
          <w:p w14:paraId="5DEBDA2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32</w:t>
            </w:r>
          </w:p>
        </w:tc>
        <w:tc>
          <w:tcPr>
            <w:tcW w:w="0" w:type="auto"/>
            <w:tcBorders>
              <w:top w:val="single" w:sz="4" w:space="0" w:color="auto"/>
              <w:left w:val="nil"/>
              <w:bottom w:val="dotted" w:sz="4" w:space="0" w:color="auto"/>
              <w:right w:val="nil"/>
            </w:tcBorders>
            <w:shd w:val="clear" w:color="auto" w:fill="auto"/>
            <w:noWrap/>
            <w:vAlign w:val="bottom"/>
            <w:hideMark/>
          </w:tcPr>
          <w:p w14:paraId="3C1BDD6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single" w:sz="4" w:space="0" w:color="auto"/>
              <w:left w:val="single" w:sz="4" w:space="0" w:color="auto"/>
              <w:bottom w:val="dotted" w:sz="4" w:space="0" w:color="auto"/>
              <w:right w:val="nil"/>
            </w:tcBorders>
            <w:shd w:val="clear" w:color="auto" w:fill="auto"/>
            <w:noWrap/>
            <w:vAlign w:val="bottom"/>
            <w:hideMark/>
          </w:tcPr>
          <w:p w14:paraId="1408D7B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single" w:sz="4" w:space="0" w:color="auto"/>
              <w:left w:val="nil"/>
              <w:bottom w:val="dotted" w:sz="4" w:space="0" w:color="auto"/>
              <w:right w:val="nil"/>
            </w:tcBorders>
            <w:shd w:val="clear" w:color="auto" w:fill="auto"/>
            <w:noWrap/>
            <w:vAlign w:val="bottom"/>
            <w:hideMark/>
          </w:tcPr>
          <w:p w14:paraId="324741A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single" w:sz="4" w:space="0" w:color="auto"/>
              <w:left w:val="nil"/>
              <w:bottom w:val="dotted" w:sz="4" w:space="0" w:color="auto"/>
              <w:right w:val="nil"/>
            </w:tcBorders>
            <w:shd w:val="clear" w:color="auto" w:fill="auto"/>
            <w:noWrap/>
            <w:vAlign w:val="bottom"/>
            <w:hideMark/>
          </w:tcPr>
          <w:p w14:paraId="72AF28F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single" w:sz="4" w:space="0" w:color="auto"/>
              <w:left w:val="nil"/>
              <w:bottom w:val="dotted" w:sz="4" w:space="0" w:color="auto"/>
              <w:right w:val="nil"/>
            </w:tcBorders>
            <w:shd w:val="clear" w:color="auto" w:fill="auto"/>
            <w:noWrap/>
            <w:vAlign w:val="bottom"/>
            <w:hideMark/>
          </w:tcPr>
          <w:p w14:paraId="44C28E0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single" w:sz="4" w:space="0" w:color="auto"/>
              <w:left w:val="nil"/>
              <w:bottom w:val="dotted" w:sz="4" w:space="0" w:color="auto"/>
              <w:right w:val="single" w:sz="12" w:space="0" w:color="auto"/>
            </w:tcBorders>
            <w:shd w:val="clear" w:color="auto" w:fill="auto"/>
            <w:noWrap/>
            <w:vAlign w:val="bottom"/>
            <w:hideMark/>
          </w:tcPr>
          <w:p w14:paraId="76CE77E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r>
      <w:tr w:rsidR="004541ED" w:rsidRPr="007F425D" w14:paraId="0D6211F9" w14:textId="77777777" w:rsidTr="004541ED">
        <w:trPr>
          <w:trHeight w:val="300"/>
        </w:trPr>
        <w:tc>
          <w:tcPr>
            <w:tcW w:w="0" w:type="auto"/>
            <w:tcBorders>
              <w:top w:val="dotted" w:sz="4" w:space="0" w:color="auto"/>
              <w:left w:val="single" w:sz="12" w:space="0" w:color="auto"/>
              <w:bottom w:val="dotted" w:sz="4" w:space="0" w:color="auto"/>
              <w:right w:val="single" w:sz="4" w:space="0" w:color="auto"/>
            </w:tcBorders>
            <w:shd w:val="clear" w:color="auto" w:fill="auto"/>
            <w:noWrap/>
            <w:vAlign w:val="center"/>
            <w:hideMark/>
          </w:tcPr>
          <w:p w14:paraId="3099C40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xml:space="preserve">EPC - A </w:t>
            </w:r>
            <w:r w:rsidRPr="007F425D">
              <w:rPr>
                <w:rFonts w:ascii="Times New Roman" w:eastAsia="Times New Roman" w:hAnsi="Times New Roman" w:cs="Times New Roman"/>
                <w:color w:val="000000"/>
                <w:sz w:val="20"/>
                <w:szCs w:val="20"/>
                <w:lang w:eastAsia="de-DE"/>
              </w:rPr>
              <w:br/>
              <w:t>(Ref: D)</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1601F87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014</w:t>
            </w:r>
          </w:p>
          <w:p w14:paraId="64A4CDD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217A3D5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000</w:t>
            </w:r>
          </w:p>
          <w:p w14:paraId="699063A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w:t>
            </w:r>
          </w:p>
        </w:tc>
        <w:tc>
          <w:tcPr>
            <w:tcW w:w="0" w:type="auto"/>
            <w:tcBorders>
              <w:top w:val="dotted" w:sz="4" w:space="0" w:color="auto"/>
              <w:left w:val="nil"/>
              <w:bottom w:val="dotted" w:sz="4" w:space="0" w:color="auto"/>
              <w:right w:val="nil"/>
            </w:tcBorders>
            <w:shd w:val="clear" w:color="auto" w:fill="auto"/>
            <w:noWrap/>
            <w:vAlign w:val="bottom"/>
            <w:hideMark/>
          </w:tcPr>
          <w:p w14:paraId="634C2C8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008</w:t>
            </w:r>
          </w:p>
          <w:p w14:paraId="7C55F51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w:t>
            </w:r>
            <w:r>
              <w:rPr>
                <w:rFonts w:ascii="Times New Roman" w:eastAsia="Times New Roman" w:hAnsi="Times New Roman" w:cs="Times New Roman"/>
                <w:color w:val="000000"/>
                <w:sz w:val="20"/>
                <w:szCs w:val="20"/>
                <w:lang w:eastAsia="de-DE"/>
              </w:rPr>
              <w:t>0</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08A935D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024</w:t>
            </w:r>
          </w:p>
          <w:p w14:paraId="5E83974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794F69A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011</w:t>
            </w:r>
          </w:p>
          <w:p w14:paraId="7694932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18</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3CDEA35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014</w:t>
            </w:r>
          </w:p>
          <w:p w14:paraId="442C84B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7AED1B7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dotted" w:sz="4" w:space="0" w:color="auto"/>
              <w:left w:val="single" w:sz="4" w:space="0" w:color="auto"/>
              <w:bottom w:val="dotted" w:sz="4" w:space="0" w:color="auto"/>
              <w:right w:val="nil"/>
            </w:tcBorders>
            <w:shd w:val="clear" w:color="auto" w:fill="auto"/>
            <w:noWrap/>
            <w:vAlign w:val="bottom"/>
            <w:hideMark/>
          </w:tcPr>
          <w:p w14:paraId="754408D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dotted" w:sz="4" w:space="0" w:color="auto"/>
              <w:left w:val="nil"/>
              <w:bottom w:val="dotted" w:sz="4" w:space="0" w:color="auto"/>
              <w:right w:val="nil"/>
            </w:tcBorders>
            <w:shd w:val="clear" w:color="auto" w:fill="auto"/>
            <w:noWrap/>
            <w:vAlign w:val="bottom"/>
            <w:hideMark/>
          </w:tcPr>
          <w:p w14:paraId="4E13DAC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dotted" w:sz="4" w:space="0" w:color="auto"/>
              <w:left w:val="nil"/>
              <w:bottom w:val="dotted" w:sz="4" w:space="0" w:color="auto"/>
              <w:right w:val="nil"/>
            </w:tcBorders>
            <w:shd w:val="clear" w:color="auto" w:fill="auto"/>
            <w:noWrap/>
            <w:vAlign w:val="bottom"/>
            <w:hideMark/>
          </w:tcPr>
          <w:p w14:paraId="6ABCC07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dotted" w:sz="4" w:space="0" w:color="auto"/>
              <w:left w:val="nil"/>
              <w:bottom w:val="dotted" w:sz="4" w:space="0" w:color="auto"/>
              <w:right w:val="nil"/>
            </w:tcBorders>
            <w:shd w:val="clear" w:color="auto" w:fill="auto"/>
            <w:noWrap/>
            <w:vAlign w:val="bottom"/>
            <w:hideMark/>
          </w:tcPr>
          <w:p w14:paraId="6630433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dotted" w:sz="4" w:space="0" w:color="auto"/>
              <w:left w:val="nil"/>
              <w:bottom w:val="dotted" w:sz="4" w:space="0" w:color="auto"/>
              <w:right w:val="single" w:sz="12" w:space="0" w:color="auto"/>
            </w:tcBorders>
            <w:shd w:val="clear" w:color="auto" w:fill="auto"/>
            <w:noWrap/>
            <w:vAlign w:val="bottom"/>
            <w:hideMark/>
          </w:tcPr>
          <w:p w14:paraId="649042D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r>
      <w:tr w:rsidR="004541ED" w:rsidRPr="007F425D" w14:paraId="6E952F6A" w14:textId="77777777" w:rsidTr="004541ED">
        <w:trPr>
          <w:trHeight w:val="300"/>
        </w:trPr>
        <w:tc>
          <w:tcPr>
            <w:tcW w:w="0" w:type="auto"/>
            <w:tcBorders>
              <w:top w:val="dotted" w:sz="4" w:space="0" w:color="auto"/>
              <w:left w:val="single" w:sz="12" w:space="0" w:color="auto"/>
              <w:bottom w:val="dotted" w:sz="4" w:space="0" w:color="auto"/>
              <w:right w:val="single" w:sz="4" w:space="0" w:color="auto"/>
            </w:tcBorders>
            <w:shd w:val="clear" w:color="auto" w:fill="auto"/>
            <w:noWrap/>
            <w:vAlign w:val="center"/>
            <w:hideMark/>
          </w:tcPr>
          <w:p w14:paraId="0658305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xml:space="preserve">EPC - B </w:t>
            </w:r>
            <w:r w:rsidRPr="007F425D">
              <w:rPr>
                <w:rFonts w:ascii="Times New Roman" w:eastAsia="Times New Roman" w:hAnsi="Times New Roman" w:cs="Times New Roman"/>
                <w:color w:val="000000"/>
                <w:sz w:val="20"/>
                <w:szCs w:val="20"/>
                <w:lang w:eastAsia="de-DE"/>
              </w:rPr>
              <w:br/>
              <w:t>(Ref: D)</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0043138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009</w:t>
            </w:r>
          </w:p>
          <w:p w14:paraId="28511C6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27</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4ABB66A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019</w:t>
            </w:r>
          </w:p>
          <w:p w14:paraId="125DBE4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3158962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009</w:t>
            </w:r>
          </w:p>
          <w:p w14:paraId="2E86695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71</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7584B18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013</w:t>
            </w:r>
          </w:p>
          <w:p w14:paraId="7E9C8B3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5694EBA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009</w:t>
            </w:r>
          </w:p>
          <w:p w14:paraId="2A226F6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34</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0619235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003</w:t>
            </w:r>
          </w:p>
          <w:p w14:paraId="0D6E187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53ADBF8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dotted" w:sz="4" w:space="0" w:color="auto"/>
              <w:left w:val="single" w:sz="4" w:space="0" w:color="auto"/>
              <w:bottom w:val="dotted" w:sz="4" w:space="0" w:color="auto"/>
              <w:right w:val="nil"/>
            </w:tcBorders>
            <w:shd w:val="clear" w:color="auto" w:fill="auto"/>
            <w:noWrap/>
            <w:vAlign w:val="bottom"/>
            <w:hideMark/>
          </w:tcPr>
          <w:p w14:paraId="4B9AB67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dotted" w:sz="4" w:space="0" w:color="auto"/>
              <w:left w:val="nil"/>
              <w:bottom w:val="dotted" w:sz="4" w:space="0" w:color="auto"/>
              <w:right w:val="nil"/>
            </w:tcBorders>
            <w:shd w:val="clear" w:color="auto" w:fill="auto"/>
            <w:noWrap/>
            <w:vAlign w:val="bottom"/>
            <w:hideMark/>
          </w:tcPr>
          <w:p w14:paraId="095744E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dotted" w:sz="4" w:space="0" w:color="auto"/>
              <w:left w:val="nil"/>
              <w:bottom w:val="dotted" w:sz="4" w:space="0" w:color="auto"/>
              <w:right w:val="nil"/>
            </w:tcBorders>
            <w:shd w:val="clear" w:color="auto" w:fill="auto"/>
            <w:noWrap/>
            <w:vAlign w:val="bottom"/>
            <w:hideMark/>
          </w:tcPr>
          <w:p w14:paraId="73FA4E6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dotted" w:sz="4" w:space="0" w:color="auto"/>
              <w:left w:val="nil"/>
              <w:bottom w:val="dotted" w:sz="4" w:space="0" w:color="auto"/>
              <w:right w:val="nil"/>
            </w:tcBorders>
            <w:shd w:val="clear" w:color="auto" w:fill="auto"/>
            <w:noWrap/>
            <w:vAlign w:val="bottom"/>
            <w:hideMark/>
          </w:tcPr>
          <w:p w14:paraId="649F412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dotted" w:sz="4" w:space="0" w:color="auto"/>
              <w:left w:val="nil"/>
              <w:bottom w:val="dotted" w:sz="4" w:space="0" w:color="auto"/>
              <w:right w:val="single" w:sz="12" w:space="0" w:color="auto"/>
            </w:tcBorders>
            <w:shd w:val="clear" w:color="auto" w:fill="auto"/>
            <w:noWrap/>
            <w:vAlign w:val="bottom"/>
            <w:hideMark/>
          </w:tcPr>
          <w:p w14:paraId="4C94412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r>
      <w:tr w:rsidR="004541ED" w:rsidRPr="007F425D" w14:paraId="0583670D" w14:textId="77777777" w:rsidTr="004541ED">
        <w:trPr>
          <w:trHeight w:val="300"/>
        </w:trPr>
        <w:tc>
          <w:tcPr>
            <w:tcW w:w="0" w:type="auto"/>
            <w:tcBorders>
              <w:top w:val="dotted" w:sz="4" w:space="0" w:color="auto"/>
              <w:left w:val="single" w:sz="12" w:space="0" w:color="auto"/>
              <w:bottom w:val="dotted" w:sz="4" w:space="0" w:color="auto"/>
              <w:right w:val="single" w:sz="4" w:space="0" w:color="auto"/>
            </w:tcBorders>
            <w:shd w:val="clear" w:color="auto" w:fill="auto"/>
            <w:noWrap/>
            <w:vAlign w:val="center"/>
            <w:hideMark/>
          </w:tcPr>
          <w:p w14:paraId="6C48EE1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xml:space="preserve">EPC - C </w:t>
            </w:r>
            <w:r w:rsidRPr="007F425D">
              <w:rPr>
                <w:rFonts w:ascii="Times New Roman" w:eastAsia="Times New Roman" w:hAnsi="Times New Roman" w:cs="Times New Roman"/>
                <w:color w:val="000000"/>
                <w:sz w:val="20"/>
                <w:szCs w:val="20"/>
                <w:lang w:eastAsia="de-DE"/>
              </w:rPr>
              <w:br/>
              <w:t>(Ref: D)</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4E1E60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002</w:t>
            </w:r>
          </w:p>
          <w:p w14:paraId="294385D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1E738D3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002</w:t>
            </w:r>
          </w:p>
          <w:p w14:paraId="51FE0CB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97</w:t>
            </w:r>
          </w:p>
        </w:tc>
        <w:tc>
          <w:tcPr>
            <w:tcW w:w="0" w:type="auto"/>
            <w:tcBorders>
              <w:top w:val="dotted" w:sz="4" w:space="0" w:color="auto"/>
              <w:left w:val="nil"/>
              <w:bottom w:val="dotted" w:sz="4" w:space="0" w:color="auto"/>
              <w:right w:val="nil"/>
            </w:tcBorders>
            <w:shd w:val="clear" w:color="auto" w:fill="auto"/>
            <w:noWrap/>
            <w:vAlign w:val="bottom"/>
            <w:hideMark/>
          </w:tcPr>
          <w:p w14:paraId="1A3B959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002</w:t>
            </w:r>
          </w:p>
          <w:p w14:paraId="7AE7718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83</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1BFB9C3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003</w:t>
            </w:r>
          </w:p>
          <w:p w14:paraId="1EA5B99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w:t>
            </w:r>
            <w:r>
              <w:rPr>
                <w:rFonts w:ascii="Times New Roman" w:eastAsia="Times New Roman" w:hAnsi="Times New Roman" w:cs="Times New Roman"/>
                <w:color w:val="000000"/>
                <w:sz w:val="20"/>
                <w:szCs w:val="20"/>
                <w:lang w:eastAsia="de-DE"/>
              </w:rPr>
              <w:t>0</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56CD78C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003</w:t>
            </w:r>
          </w:p>
          <w:p w14:paraId="239F102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283AB7C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000</w:t>
            </w:r>
          </w:p>
          <w:p w14:paraId="6FA9157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56</w:t>
            </w:r>
          </w:p>
        </w:tc>
        <w:tc>
          <w:tcPr>
            <w:tcW w:w="0" w:type="auto"/>
            <w:tcBorders>
              <w:top w:val="dotted" w:sz="4" w:space="0" w:color="auto"/>
              <w:left w:val="nil"/>
              <w:bottom w:val="dotted" w:sz="4" w:space="0" w:color="auto"/>
              <w:right w:val="nil"/>
            </w:tcBorders>
            <w:shd w:val="clear" w:color="auto" w:fill="auto"/>
            <w:noWrap/>
            <w:vAlign w:val="bottom"/>
            <w:hideMark/>
          </w:tcPr>
          <w:p w14:paraId="44A8B38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dotted" w:sz="4" w:space="0" w:color="auto"/>
              <w:left w:val="single" w:sz="4" w:space="0" w:color="auto"/>
              <w:bottom w:val="dotted" w:sz="4" w:space="0" w:color="auto"/>
              <w:right w:val="nil"/>
            </w:tcBorders>
            <w:shd w:val="clear" w:color="auto" w:fill="auto"/>
            <w:noWrap/>
            <w:vAlign w:val="bottom"/>
            <w:hideMark/>
          </w:tcPr>
          <w:p w14:paraId="16FCC28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dotted" w:sz="4" w:space="0" w:color="auto"/>
              <w:left w:val="nil"/>
              <w:bottom w:val="dotted" w:sz="4" w:space="0" w:color="auto"/>
              <w:right w:val="nil"/>
            </w:tcBorders>
            <w:shd w:val="clear" w:color="auto" w:fill="auto"/>
            <w:noWrap/>
            <w:vAlign w:val="bottom"/>
            <w:hideMark/>
          </w:tcPr>
          <w:p w14:paraId="79BF5F2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dotted" w:sz="4" w:space="0" w:color="auto"/>
              <w:left w:val="nil"/>
              <w:bottom w:val="dotted" w:sz="4" w:space="0" w:color="auto"/>
              <w:right w:val="nil"/>
            </w:tcBorders>
            <w:shd w:val="clear" w:color="auto" w:fill="auto"/>
            <w:noWrap/>
            <w:vAlign w:val="bottom"/>
            <w:hideMark/>
          </w:tcPr>
          <w:p w14:paraId="3DB2382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dotted" w:sz="4" w:space="0" w:color="auto"/>
              <w:left w:val="nil"/>
              <w:bottom w:val="dotted" w:sz="4" w:space="0" w:color="auto"/>
              <w:right w:val="nil"/>
            </w:tcBorders>
            <w:shd w:val="clear" w:color="auto" w:fill="auto"/>
            <w:noWrap/>
            <w:vAlign w:val="bottom"/>
            <w:hideMark/>
          </w:tcPr>
          <w:p w14:paraId="79211A0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dotted" w:sz="4" w:space="0" w:color="auto"/>
              <w:left w:val="nil"/>
              <w:bottom w:val="dotted" w:sz="4" w:space="0" w:color="auto"/>
              <w:right w:val="single" w:sz="12" w:space="0" w:color="auto"/>
            </w:tcBorders>
            <w:shd w:val="clear" w:color="auto" w:fill="auto"/>
            <w:noWrap/>
            <w:vAlign w:val="bottom"/>
            <w:hideMark/>
          </w:tcPr>
          <w:p w14:paraId="05F0E4B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r>
      <w:tr w:rsidR="004541ED" w:rsidRPr="007F425D" w14:paraId="209272C8" w14:textId="77777777" w:rsidTr="004541ED">
        <w:trPr>
          <w:trHeight w:val="300"/>
        </w:trPr>
        <w:tc>
          <w:tcPr>
            <w:tcW w:w="0" w:type="auto"/>
            <w:tcBorders>
              <w:top w:val="dotted" w:sz="4" w:space="0" w:color="auto"/>
              <w:left w:val="single" w:sz="12" w:space="0" w:color="auto"/>
              <w:bottom w:val="dotted" w:sz="4" w:space="0" w:color="auto"/>
              <w:right w:val="single" w:sz="4" w:space="0" w:color="auto"/>
            </w:tcBorders>
            <w:shd w:val="clear" w:color="auto" w:fill="auto"/>
            <w:noWrap/>
            <w:vAlign w:val="center"/>
            <w:hideMark/>
          </w:tcPr>
          <w:p w14:paraId="1D15090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xml:space="preserve">EPC - E </w:t>
            </w:r>
            <w:r w:rsidRPr="007F425D">
              <w:rPr>
                <w:rFonts w:ascii="Times New Roman" w:eastAsia="Times New Roman" w:hAnsi="Times New Roman" w:cs="Times New Roman"/>
                <w:color w:val="000000"/>
                <w:sz w:val="20"/>
                <w:szCs w:val="20"/>
                <w:lang w:eastAsia="de-DE"/>
              </w:rPr>
              <w:br/>
              <w:t>(Ref: D)</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B08514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000</w:t>
            </w:r>
          </w:p>
          <w:p w14:paraId="19239ED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60</w:t>
            </w:r>
          </w:p>
        </w:tc>
        <w:tc>
          <w:tcPr>
            <w:tcW w:w="0" w:type="auto"/>
            <w:tcBorders>
              <w:top w:val="dotted" w:sz="4" w:space="0" w:color="auto"/>
              <w:left w:val="nil"/>
              <w:bottom w:val="dotted" w:sz="4" w:space="0" w:color="auto"/>
              <w:right w:val="nil"/>
            </w:tcBorders>
            <w:shd w:val="clear" w:color="auto" w:fill="auto"/>
            <w:noWrap/>
            <w:vAlign w:val="bottom"/>
            <w:hideMark/>
          </w:tcPr>
          <w:p w14:paraId="0691438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004</w:t>
            </w:r>
          </w:p>
          <w:p w14:paraId="0DD72B1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74</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129DD86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001</w:t>
            </w:r>
          </w:p>
          <w:p w14:paraId="4C84556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07</w:t>
            </w:r>
          </w:p>
        </w:tc>
        <w:tc>
          <w:tcPr>
            <w:tcW w:w="0" w:type="auto"/>
            <w:tcBorders>
              <w:top w:val="dotted" w:sz="4" w:space="0" w:color="auto"/>
              <w:left w:val="nil"/>
              <w:bottom w:val="dotted" w:sz="4" w:space="0" w:color="auto"/>
              <w:right w:val="nil"/>
            </w:tcBorders>
            <w:shd w:val="clear" w:color="auto" w:fill="auto"/>
            <w:noWrap/>
            <w:vAlign w:val="bottom"/>
            <w:hideMark/>
          </w:tcPr>
          <w:p w14:paraId="0BCCB2F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001</w:t>
            </w:r>
          </w:p>
          <w:p w14:paraId="46FAC58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43</w:t>
            </w:r>
          </w:p>
        </w:tc>
        <w:tc>
          <w:tcPr>
            <w:tcW w:w="0" w:type="auto"/>
            <w:tcBorders>
              <w:top w:val="dotted" w:sz="4" w:space="0" w:color="auto"/>
              <w:left w:val="nil"/>
              <w:bottom w:val="dotted" w:sz="4" w:space="0" w:color="auto"/>
              <w:right w:val="nil"/>
            </w:tcBorders>
            <w:shd w:val="clear" w:color="auto" w:fill="auto"/>
            <w:noWrap/>
            <w:vAlign w:val="bottom"/>
            <w:hideMark/>
          </w:tcPr>
          <w:p w14:paraId="1D78F2C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001</w:t>
            </w:r>
          </w:p>
          <w:p w14:paraId="4405DC1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81</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2FD9092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000</w:t>
            </w:r>
          </w:p>
          <w:p w14:paraId="3440790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36</w:t>
            </w:r>
          </w:p>
        </w:tc>
        <w:tc>
          <w:tcPr>
            <w:tcW w:w="0" w:type="auto"/>
            <w:tcBorders>
              <w:top w:val="dotted" w:sz="4" w:space="0" w:color="auto"/>
              <w:left w:val="nil"/>
              <w:bottom w:val="dotted" w:sz="4" w:space="0" w:color="auto"/>
              <w:right w:val="nil"/>
            </w:tcBorders>
            <w:shd w:val="clear" w:color="auto" w:fill="auto"/>
            <w:noWrap/>
            <w:vAlign w:val="bottom"/>
            <w:hideMark/>
          </w:tcPr>
          <w:p w14:paraId="2870D2C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dotted" w:sz="4" w:space="0" w:color="auto"/>
              <w:left w:val="single" w:sz="4" w:space="0" w:color="auto"/>
              <w:bottom w:val="dotted" w:sz="4" w:space="0" w:color="auto"/>
              <w:right w:val="nil"/>
            </w:tcBorders>
            <w:shd w:val="clear" w:color="auto" w:fill="auto"/>
            <w:noWrap/>
            <w:vAlign w:val="bottom"/>
            <w:hideMark/>
          </w:tcPr>
          <w:p w14:paraId="0B53A53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dotted" w:sz="4" w:space="0" w:color="auto"/>
              <w:left w:val="nil"/>
              <w:bottom w:val="dotted" w:sz="4" w:space="0" w:color="auto"/>
              <w:right w:val="nil"/>
            </w:tcBorders>
            <w:shd w:val="clear" w:color="auto" w:fill="auto"/>
            <w:noWrap/>
            <w:vAlign w:val="bottom"/>
            <w:hideMark/>
          </w:tcPr>
          <w:p w14:paraId="22F6F9C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dotted" w:sz="4" w:space="0" w:color="auto"/>
              <w:left w:val="nil"/>
              <w:bottom w:val="dotted" w:sz="4" w:space="0" w:color="auto"/>
              <w:right w:val="nil"/>
            </w:tcBorders>
            <w:shd w:val="clear" w:color="auto" w:fill="auto"/>
            <w:noWrap/>
            <w:vAlign w:val="bottom"/>
            <w:hideMark/>
          </w:tcPr>
          <w:p w14:paraId="77D9920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dotted" w:sz="4" w:space="0" w:color="auto"/>
              <w:left w:val="nil"/>
              <w:bottom w:val="dotted" w:sz="4" w:space="0" w:color="auto"/>
              <w:right w:val="nil"/>
            </w:tcBorders>
            <w:shd w:val="clear" w:color="auto" w:fill="auto"/>
            <w:noWrap/>
            <w:vAlign w:val="bottom"/>
            <w:hideMark/>
          </w:tcPr>
          <w:p w14:paraId="70C4C42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dotted" w:sz="4" w:space="0" w:color="auto"/>
              <w:left w:val="nil"/>
              <w:bottom w:val="dotted" w:sz="4" w:space="0" w:color="auto"/>
              <w:right w:val="single" w:sz="12" w:space="0" w:color="auto"/>
            </w:tcBorders>
            <w:shd w:val="clear" w:color="auto" w:fill="auto"/>
            <w:noWrap/>
            <w:vAlign w:val="bottom"/>
            <w:hideMark/>
          </w:tcPr>
          <w:p w14:paraId="47A503E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r>
      <w:tr w:rsidR="004541ED" w:rsidRPr="007F425D" w14:paraId="11CBC348" w14:textId="77777777" w:rsidTr="004541ED">
        <w:trPr>
          <w:trHeight w:val="300"/>
        </w:trPr>
        <w:tc>
          <w:tcPr>
            <w:tcW w:w="0" w:type="auto"/>
            <w:tcBorders>
              <w:top w:val="dotted" w:sz="4" w:space="0" w:color="auto"/>
              <w:left w:val="single" w:sz="12" w:space="0" w:color="auto"/>
              <w:bottom w:val="dotted" w:sz="4" w:space="0" w:color="auto"/>
              <w:right w:val="single" w:sz="4" w:space="0" w:color="auto"/>
            </w:tcBorders>
            <w:shd w:val="clear" w:color="auto" w:fill="auto"/>
            <w:noWrap/>
            <w:vAlign w:val="center"/>
            <w:hideMark/>
          </w:tcPr>
          <w:p w14:paraId="2D4A244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xml:space="preserve">EPC - F </w:t>
            </w:r>
            <w:r w:rsidRPr="007F425D">
              <w:rPr>
                <w:rFonts w:ascii="Times New Roman" w:eastAsia="Times New Roman" w:hAnsi="Times New Roman" w:cs="Times New Roman"/>
                <w:color w:val="000000"/>
                <w:sz w:val="20"/>
                <w:szCs w:val="20"/>
                <w:lang w:eastAsia="de-DE"/>
              </w:rPr>
              <w:br/>
              <w:t>(Ref: D)</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105F2F9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001</w:t>
            </w:r>
          </w:p>
          <w:p w14:paraId="2EB134E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98</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5F47709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004</w:t>
            </w:r>
          </w:p>
          <w:p w14:paraId="52B70F3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41</w:t>
            </w:r>
          </w:p>
        </w:tc>
        <w:tc>
          <w:tcPr>
            <w:tcW w:w="0" w:type="auto"/>
            <w:tcBorders>
              <w:top w:val="dotted" w:sz="4" w:space="0" w:color="auto"/>
              <w:left w:val="nil"/>
              <w:bottom w:val="dotted" w:sz="4" w:space="0" w:color="auto"/>
              <w:right w:val="nil"/>
            </w:tcBorders>
            <w:shd w:val="clear" w:color="auto" w:fill="auto"/>
            <w:noWrap/>
            <w:vAlign w:val="bottom"/>
            <w:hideMark/>
          </w:tcPr>
          <w:p w14:paraId="53CECFC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000</w:t>
            </w:r>
          </w:p>
          <w:p w14:paraId="4006AEC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54</w:t>
            </w:r>
          </w:p>
        </w:tc>
        <w:tc>
          <w:tcPr>
            <w:tcW w:w="0" w:type="auto"/>
            <w:tcBorders>
              <w:top w:val="dotted" w:sz="4" w:space="0" w:color="auto"/>
              <w:left w:val="nil"/>
              <w:bottom w:val="dotted" w:sz="4" w:space="0" w:color="auto"/>
              <w:right w:val="nil"/>
            </w:tcBorders>
            <w:shd w:val="clear" w:color="auto" w:fill="auto"/>
            <w:noWrap/>
            <w:vAlign w:val="bottom"/>
            <w:hideMark/>
          </w:tcPr>
          <w:p w14:paraId="5B6B26A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002</w:t>
            </w:r>
          </w:p>
          <w:p w14:paraId="38B7079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60AB492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001</w:t>
            </w:r>
          </w:p>
          <w:p w14:paraId="26215AF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w:t>
            </w:r>
            <w:r>
              <w:rPr>
                <w:rFonts w:ascii="Times New Roman" w:eastAsia="Times New Roman" w:hAnsi="Times New Roman" w:cs="Times New Roman"/>
                <w:color w:val="000000"/>
                <w:sz w:val="20"/>
                <w:szCs w:val="20"/>
                <w:lang w:eastAsia="de-DE"/>
              </w:rPr>
              <w:t>0</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68AAB53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002</w:t>
            </w:r>
          </w:p>
          <w:p w14:paraId="77F75E9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07</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67F3BB1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dotted" w:sz="4" w:space="0" w:color="auto"/>
              <w:left w:val="single" w:sz="4" w:space="0" w:color="auto"/>
              <w:bottom w:val="dotted" w:sz="4" w:space="0" w:color="auto"/>
              <w:right w:val="nil"/>
            </w:tcBorders>
            <w:shd w:val="clear" w:color="auto" w:fill="auto"/>
            <w:noWrap/>
            <w:vAlign w:val="bottom"/>
            <w:hideMark/>
          </w:tcPr>
          <w:p w14:paraId="0C5E2AA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dotted" w:sz="4" w:space="0" w:color="auto"/>
              <w:left w:val="nil"/>
              <w:bottom w:val="dotted" w:sz="4" w:space="0" w:color="auto"/>
              <w:right w:val="nil"/>
            </w:tcBorders>
            <w:shd w:val="clear" w:color="auto" w:fill="auto"/>
            <w:noWrap/>
            <w:vAlign w:val="bottom"/>
            <w:hideMark/>
          </w:tcPr>
          <w:p w14:paraId="1397A18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dotted" w:sz="4" w:space="0" w:color="auto"/>
              <w:left w:val="nil"/>
              <w:bottom w:val="dotted" w:sz="4" w:space="0" w:color="auto"/>
              <w:right w:val="nil"/>
            </w:tcBorders>
            <w:shd w:val="clear" w:color="auto" w:fill="auto"/>
            <w:noWrap/>
            <w:vAlign w:val="bottom"/>
            <w:hideMark/>
          </w:tcPr>
          <w:p w14:paraId="3B1BEBB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dotted" w:sz="4" w:space="0" w:color="auto"/>
              <w:left w:val="nil"/>
              <w:bottom w:val="dotted" w:sz="4" w:space="0" w:color="auto"/>
              <w:right w:val="nil"/>
            </w:tcBorders>
            <w:shd w:val="clear" w:color="auto" w:fill="auto"/>
            <w:noWrap/>
            <w:vAlign w:val="bottom"/>
            <w:hideMark/>
          </w:tcPr>
          <w:p w14:paraId="392DBB9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dotted" w:sz="4" w:space="0" w:color="auto"/>
              <w:left w:val="nil"/>
              <w:bottom w:val="dotted" w:sz="4" w:space="0" w:color="auto"/>
              <w:right w:val="single" w:sz="12" w:space="0" w:color="auto"/>
            </w:tcBorders>
            <w:shd w:val="clear" w:color="auto" w:fill="auto"/>
            <w:noWrap/>
            <w:vAlign w:val="bottom"/>
            <w:hideMark/>
          </w:tcPr>
          <w:p w14:paraId="2A837FD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r>
      <w:tr w:rsidR="004541ED" w:rsidRPr="007F425D" w14:paraId="4D6517FB" w14:textId="77777777" w:rsidTr="004541ED">
        <w:trPr>
          <w:trHeight w:val="300"/>
        </w:trPr>
        <w:tc>
          <w:tcPr>
            <w:tcW w:w="0" w:type="auto"/>
            <w:tcBorders>
              <w:top w:val="dotted" w:sz="4" w:space="0" w:color="auto"/>
              <w:left w:val="single" w:sz="12" w:space="0" w:color="auto"/>
              <w:bottom w:val="dotted" w:sz="4" w:space="0" w:color="auto"/>
              <w:right w:val="single" w:sz="4" w:space="0" w:color="auto"/>
            </w:tcBorders>
            <w:shd w:val="clear" w:color="auto" w:fill="auto"/>
            <w:noWrap/>
            <w:vAlign w:val="center"/>
            <w:hideMark/>
          </w:tcPr>
          <w:p w14:paraId="510F5DC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xml:space="preserve">EPC - G </w:t>
            </w:r>
            <w:r w:rsidRPr="007F425D">
              <w:rPr>
                <w:rFonts w:ascii="Times New Roman" w:eastAsia="Times New Roman" w:hAnsi="Times New Roman" w:cs="Times New Roman"/>
                <w:color w:val="000000"/>
                <w:sz w:val="20"/>
                <w:szCs w:val="20"/>
                <w:lang w:eastAsia="de-DE"/>
              </w:rPr>
              <w:br/>
              <w:t>(Ref: D)</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558D4CB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003</w:t>
            </w:r>
          </w:p>
          <w:p w14:paraId="28C610B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83</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517CAB8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015</w:t>
            </w:r>
          </w:p>
          <w:p w14:paraId="36CC37F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538C299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005</w:t>
            </w:r>
          </w:p>
          <w:p w14:paraId="43237EE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66</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43C8855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004</w:t>
            </w:r>
          </w:p>
          <w:p w14:paraId="7EAF31A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24</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221049C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000</w:t>
            </w:r>
          </w:p>
          <w:p w14:paraId="65EB320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37</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0AEB357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003</w:t>
            </w:r>
          </w:p>
          <w:p w14:paraId="7C6F314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w:t>
            </w:r>
            <w:r>
              <w:rPr>
                <w:rFonts w:ascii="Times New Roman" w:eastAsia="Times New Roman" w:hAnsi="Times New Roman" w:cs="Times New Roman"/>
                <w:color w:val="000000"/>
                <w:sz w:val="20"/>
                <w:szCs w:val="20"/>
                <w:lang w:eastAsia="de-DE"/>
              </w:rPr>
              <w:t>0</w:t>
            </w:r>
          </w:p>
        </w:tc>
        <w:tc>
          <w:tcPr>
            <w:tcW w:w="0" w:type="auto"/>
            <w:tcBorders>
              <w:top w:val="dotted" w:sz="4" w:space="0" w:color="auto"/>
              <w:left w:val="nil"/>
              <w:bottom w:val="dotted" w:sz="4" w:space="0" w:color="auto"/>
              <w:right w:val="nil"/>
            </w:tcBorders>
            <w:shd w:val="clear" w:color="auto" w:fill="auto"/>
            <w:noWrap/>
            <w:vAlign w:val="bottom"/>
            <w:hideMark/>
          </w:tcPr>
          <w:p w14:paraId="50C183B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dotted" w:sz="4" w:space="0" w:color="auto"/>
              <w:left w:val="single" w:sz="4" w:space="0" w:color="auto"/>
              <w:bottom w:val="dotted" w:sz="4" w:space="0" w:color="auto"/>
              <w:right w:val="nil"/>
            </w:tcBorders>
            <w:shd w:val="clear" w:color="auto" w:fill="auto"/>
            <w:noWrap/>
            <w:vAlign w:val="bottom"/>
            <w:hideMark/>
          </w:tcPr>
          <w:p w14:paraId="2AE631E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dotted" w:sz="4" w:space="0" w:color="auto"/>
              <w:left w:val="nil"/>
              <w:bottom w:val="dotted" w:sz="4" w:space="0" w:color="auto"/>
              <w:right w:val="nil"/>
            </w:tcBorders>
            <w:shd w:val="clear" w:color="auto" w:fill="auto"/>
            <w:noWrap/>
            <w:vAlign w:val="bottom"/>
            <w:hideMark/>
          </w:tcPr>
          <w:p w14:paraId="5C148C5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dotted" w:sz="4" w:space="0" w:color="auto"/>
              <w:left w:val="nil"/>
              <w:bottom w:val="dotted" w:sz="4" w:space="0" w:color="auto"/>
              <w:right w:val="nil"/>
            </w:tcBorders>
            <w:shd w:val="clear" w:color="auto" w:fill="auto"/>
            <w:noWrap/>
            <w:vAlign w:val="bottom"/>
            <w:hideMark/>
          </w:tcPr>
          <w:p w14:paraId="1B59766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dotted" w:sz="4" w:space="0" w:color="auto"/>
              <w:left w:val="nil"/>
              <w:bottom w:val="dotted" w:sz="4" w:space="0" w:color="auto"/>
              <w:right w:val="nil"/>
            </w:tcBorders>
            <w:shd w:val="clear" w:color="auto" w:fill="auto"/>
            <w:noWrap/>
            <w:vAlign w:val="bottom"/>
            <w:hideMark/>
          </w:tcPr>
          <w:p w14:paraId="5220CE4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dotted" w:sz="4" w:space="0" w:color="auto"/>
              <w:left w:val="nil"/>
              <w:bottom w:val="dotted" w:sz="4" w:space="0" w:color="auto"/>
              <w:right w:val="single" w:sz="12" w:space="0" w:color="auto"/>
            </w:tcBorders>
            <w:shd w:val="clear" w:color="auto" w:fill="auto"/>
            <w:noWrap/>
            <w:vAlign w:val="bottom"/>
            <w:hideMark/>
          </w:tcPr>
          <w:p w14:paraId="4F96206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r>
      <w:tr w:rsidR="004541ED" w:rsidRPr="007F425D" w14:paraId="5E77AC39" w14:textId="77777777" w:rsidTr="004541ED">
        <w:trPr>
          <w:trHeight w:val="300"/>
        </w:trPr>
        <w:tc>
          <w:tcPr>
            <w:tcW w:w="0" w:type="auto"/>
            <w:tcBorders>
              <w:top w:val="dotted" w:sz="4" w:space="0" w:color="auto"/>
              <w:left w:val="single" w:sz="12" w:space="0" w:color="auto"/>
              <w:bottom w:val="dotted" w:sz="4" w:space="0" w:color="auto"/>
              <w:right w:val="single" w:sz="4" w:space="0" w:color="auto"/>
            </w:tcBorders>
            <w:shd w:val="clear" w:color="auto" w:fill="auto"/>
            <w:noWrap/>
            <w:vAlign w:val="center"/>
            <w:hideMark/>
          </w:tcPr>
          <w:p w14:paraId="3A55E3D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xml:space="preserve">EPC - H </w:t>
            </w:r>
            <w:r w:rsidRPr="007F425D">
              <w:rPr>
                <w:rFonts w:ascii="Times New Roman" w:eastAsia="Times New Roman" w:hAnsi="Times New Roman" w:cs="Times New Roman"/>
                <w:color w:val="000000"/>
                <w:sz w:val="20"/>
                <w:szCs w:val="20"/>
                <w:lang w:eastAsia="de-DE"/>
              </w:rPr>
              <w:br/>
              <w:t>(Ref: D)</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0C13231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005</w:t>
            </w:r>
          </w:p>
          <w:p w14:paraId="5535539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28</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79D395F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046</w:t>
            </w:r>
          </w:p>
          <w:p w14:paraId="452D696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7A32005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007</w:t>
            </w:r>
          </w:p>
          <w:p w14:paraId="6B44EF7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44</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4EA36F7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000</w:t>
            </w:r>
          </w:p>
          <w:p w14:paraId="6EF8DE5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10</w:t>
            </w:r>
          </w:p>
        </w:tc>
        <w:tc>
          <w:tcPr>
            <w:tcW w:w="0" w:type="auto"/>
            <w:tcBorders>
              <w:top w:val="dotted" w:sz="4" w:space="0" w:color="auto"/>
              <w:left w:val="nil"/>
              <w:bottom w:val="dotted" w:sz="4" w:space="0" w:color="auto"/>
              <w:right w:val="nil"/>
            </w:tcBorders>
            <w:shd w:val="clear" w:color="auto" w:fill="auto"/>
            <w:noWrap/>
            <w:vAlign w:val="bottom"/>
            <w:hideMark/>
          </w:tcPr>
          <w:p w14:paraId="5C7741F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009</w:t>
            </w:r>
          </w:p>
          <w:p w14:paraId="662B8DB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11</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2FE829D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000</w:t>
            </w:r>
          </w:p>
          <w:p w14:paraId="7899720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29</w:t>
            </w:r>
          </w:p>
        </w:tc>
        <w:tc>
          <w:tcPr>
            <w:tcW w:w="0" w:type="auto"/>
            <w:tcBorders>
              <w:top w:val="dotted" w:sz="4" w:space="0" w:color="auto"/>
              <w:left w:val="nil"/>
              <w:bottom w:val="dotted" w:sz="4" w:space="0" w:color="auto"/>
              <w:right w:val="nil"/>
            </w:tcBorders>
            <w:shd w:val="clear" w:color="auto" w:fill="auto"/>
            <w:noWrap/>
            <w:vAlign w:val="bottom"/>
            <w:hideMark/>
          </w:tcPr>
          <w:p w14:paraId="31B8190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dotted" w:sz="4" w:space="0" w:color="auto"/>
              <w:left w:val="single" w:sz="4" w:space="0" w:color="auto"/>
              <w:bottom w:val="dotted" w:sz="4" w:space="0" w:color="auto"/>
              <w:right w:val="nil"/>
            </w:tcBorders>
            <w:shd w:val="clear" w:color="auto" w:fill="auto"/>
            <w:noWrap/>
            <w:vAlign w:val="bottom"/>
            <w:hideMark/>
          </w:tcPr>
          <w:p w14:paraId="7EA450D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dotted" w:sz="4" w:space="0" w:color="auto"/>
              <w:left w:val="nil"/>
              <w:bottom w:val="dotted" w:sz="4" w:space="0" w:color="auto"/>
              <w:right w:val="nil"/>
            </w:tcBorders>
            <w:shd w:val="clear" w:color="auto" w:fill="auto"/>
            <w:noWrap/>
            <w:vAlign w:val="bottom"/>
            <w:hideMark/>
          </w:tcPr>
          <w:p w14:paraId="00BE56A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dotted" w:sz="4" w:space="0" w:color="auto"/>
              <w:left w:val="nil"/>
              <w:bottom w:val="dotted" w:sz="4" w:space="0" w:color="auto"/>
              <w:right w:val="nil"/>
            </w:tcBorders>
            <w:shd w:val="clear" w:color="auto" w:fill="auto"/>
            <w:noWrap/>
            <w:vAlign w:val="bottom"/>
            <w:hideMark/>
          </w:tcPr>
          <w:p w14:paraId="210DD7D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dotted" w:sz="4" w:space="0" w:color="auto"/>
              <w:left w:val="nil"/>
              <w:bottom w:val="dotted" w:sz="4" w:space="0" w:color="auto"/>
              <w:right w:val="nil"/>
            </w:tcBorders>
            <w:shd w:val="clear" w:color="auto" w:fill="auto"/>
            <w:noWrap/>
            <w:vAlign w:val="bottom"/>
            <w:hideMark/>
          </w:tcPr>
          <w:p w14:paraId="2B1D66C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dotted" w:sz="4" w:space="0" w:color="auto"/>
              <w:left w:val="nil"/>
              <w:bottom w:val="dotted" w:sz="4" w:space="0" w:color="auto"/>
              <w:right w:val="single" w:sz="12" w:space="0" w:color="auto"/>
            </w:tcBorders>
            <w:shd w:val="clear" w:color="auto" w:fill="auto"/>
            <w:noWrap/>
            <w:vAlign w:val="bottom"/>
            <w:hideMark/>
          </w:tcPr>
          <w:p w14:paraId="21FC132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r>
      <w:tr w:rsidR="004541ED" w:rsidRPr="007F425D" w14:paraId="6FBAA0B0" w14:textId="77777777" w:rsidTr="004541ED">
        <w:trPr>
          <w:trHeight w:val="300"/>
        </w:trPr>
        <w:tc>
          <w:tcPr>
            <w:tcW w:w="0" w:type="auto"/>
            <w:tcBorders>
              <w:top w:val="dotted" w:sz="4" w:space="0" w:color="auto"/>
              <w:left w:val="single" w:sz="12" w:space="0" w:color="auto"/>
              <w:bottom w:val="single" w:sz="4" w:space="0" w:color="auto"/>
              <w:right w:val="single" w:sz="4" w:space="0" w:color="auto"/>
            </w:tcBorders>
            <w:shd w:val="clear" w:color="auto" w:fill="auto"/>
            <w:noWrap/>
            <w:vAlign w:val="center"/>
            <w:hideMark/>
          </w:tcPr>
          <w:p w14:paraId="3017023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Log energy consumption</w:t>
            </w:r>
            <w:r w:rsidRPr="007F425D">
              <w:rPr>
                <w:rFonts w:ascii="Times New Roman" w:eastAsia="Times New Roman" w:hAnsi="Times New Roman" w:cs="Times New Roman"/>
                <w:color w:val="000000"/>
                <w:sz w:val="20"/>
                <w:szCs w:val="20"/>
                <w:lang w:eastAsia="de-DE"/>
              </w:rPr>
              <w:br/>
              <w:t>kWh/m²/p.a.</w:t>
            </w:r>
          </w:p>
        </w:tc>
        <w:tc>
          <w:tcPr>
            <w:tcW w:w="0" w:type="auto"/>
            <w:tcBorders>
              <w:top w:val="dotted" w:sz="4" w:space="0" w:color="auto"/>
              <w:left w:val="nil"/>
              <w:bottom w:val="single" w:sz="4" w:space="0" w:color="auto"/>
              <w:right w:val="single" w:sz="4" w:space="0" w:color="auto"/>
            </w:tcBorders>
            <w:shd w:val="clear" w:color="auto" w:fill="auto"/>
            <w:noWrap/>
            <w:vAlign w:val="bottom"/>
            <w:hideMark/>
          </w:tcPr>
          <w:p w14:paraId="7DBD426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dotted" w:sz="4" w:space="0" w:color="auto"/>
              <w:left w:val="nil"/>
              <w:bottom w:val="single" w:sz="4" w:space="0" w:color="auto"/>
              <w:right w:val="nil"/>
            </w:tcBorders>
            <w:shd w:val="clear" w:color="auto" w:fill="auto"/>
            <w:noWrap/>
            <w:vAlign w:val="bottom"/>
            <w:hideMark/>
          </w:tcPr>
          <w:p w14:paraId="60AA949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dotted" w:sz="4" w:space="0" w:color="auto"/>
              <w:left w:val="nil"/>
              <w:bottom w:val="single" w:sz="4" w:space="0" w:color="auto"/>
              <w:right w:val="nil"/>
            </w:tcBorders>
            <w:shd w:val="clear" w:color="auto" w:fill="auto"/>
            <w:noWrap/>
            <w:vAlign w:val="bottom"/>
            <w:hideMark/>
          </w:tcPr>
          <w:p w14:paraId="0B13068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dotted" w:sz="4" w:space="0" w:color="auto"/>
              <w:left w:val="nil"/>
              <w:bottom w:val="single" w:sz="4" w:space="0" w:color="auto"/>
              <w:right w:val="nil"/>
            </w:tcBorders>
            <w:shd w:val="clear" w:color="auto" w:fill="auto"/>
            <w:noWrap/>
            <w:vAlign w:val="bottom"/>
            <w:hideMark/>
          </w:tcPr>
          <w:p w14:paraId="73ED255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dotted" w:sz="4" w:space="0" w:color="auto"/>
              <w:left w:val="nil"/>
              <w:bottom w:val="single" w:sz="4" w:space="0" w:color="auto"/>
              <w:right w:val="nil"/>
            </w:tcBorders>
            <w:shd w:val="clear" w:color="auto" w:fill="auto"/>
            <w:noWrap/>
            <w:vAlign w:val="bottom"/>
            <w:hideMark/>
          </w:tcPr>
          <w:p w14:paraId="6BBDF6A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dotted" w:sz="4" w:space="0" w:color="auto"/>
              <w:left w:val="nil"/>
              <w:bottom w:val="single" w:sz="4" w:space="0" w:color="auto"/>
              <w:right w:val="single" w:sz="4" w:space="0" w:color="auto"/>
            </w:tcBorders>
            <w:shd w:val="clear" w:color="auto" w:fill="auto"/>
            <w:noWrap/>
            <w:vAlign w:val="bottom"/>
            <w:hideMark/>
          </w:tcPr>
          <w:p w14:paraId="71AB8D1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dotted" w:sz="4" w:space="0" w:color="auto"/>
              <w:left w:val="nil"/>
              <w:bottom w:val="single" w:sz="4" w:space="0" w:color="auto"/>
              <w:right w:val="nil"/>
            </w:tcBorders>
            <w:shd w:val="clear" w:color="auto" w:fill="auto"/>
            <w:noWrap/>
            <w:vAlign w:val="bottom"/>
            <w:hideMark/>
          </w:tcPr>
          <w:p w14:paraId="5D50053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006</w:t>
            </w:r>
          </w:p>
          <w:p w14:paraId="61E4FDC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46</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single" w:sz="4" w:space="0" w:color="auto"/>
              <w:right w:val="nil"/>
            </w:tcBorders>
            <w:shd w:val="clear" w:color="auto" w:fill="auto"/>
            <w:noWrap/>
            <w:vAlign w:val="bottom"/>
            <w:hideMark/>
          </w:tcPr>
          <w:p w14:paraId="28E96DC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012</w:t>
            </w:r>
          </w:p>
          <w:p w14:paraId="1E24352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single" w:sz="4" w:space="0" w:color="auto"/>
              <w:right w:val="nil"/>
            </w:tcBorders>
            <w:shd w:val="clear" w:color="auto" w:fill="auto"/>
            <w:noWrap/>
            <w:vAlign w:val="bottom"/>
            <w:hideMark/>
          </w:tcPr>
          <w:p w14:paraId="6E17907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006</w:t>
            </w:r>
          </w:p>
          <w:p w14:paraId="190E6F7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single" w:sz="4" w:space="0" w:color="auto"/>
              <w:right w:val="nil"/>
            </w:tcBorders>
            <w:shd w:val="clear" w:color="auto" w:fill="auto"/>
            <w:noWrap/>
            <w:vAlign w:val="bottom"/>
            <w:hideMark/>
          </w:tcPr>
          <w:p w14:paraId="59D6E54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008</w:t>
            </w:r>
          </w:p>
          <w:p w14:paraId="24276FE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81</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single" w:sz="4" w:space="0" w:color="auto"/>
              <w:right w:val="nil"/>
            </w:tcBorders>
            <w:shd w:val="clear" w:color="auto" w:fill="auto"/>
            <w:noWrap/>
            <w:vAlign w:val="bottom"/>
            <w:hideMark/>
          </w:tcPr>
          <w:p w14:paraId="17FBA0F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007</w:t>
            </w:r>
          </w:p>
          <w:p w14:paraId="2B5C081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single" w:sz="4" w:space="0" w:color="auto"/>
              <w:right w:val="single" w:sz="12" w:space="0" w:color="auto"/>
            </w:tcBorders>
            <w:shd w:val="clear" w:color="auto" w:fill="auto"/>
            <w:noWrap/>
            <w:vAlign w:val="bottom"/>
            <w:hideMark/>
          </w:tcPr>
          <w:p w14:paraId="04AF2FB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003</w:t>
            </w:r>
          </w:p>
          <w:p w14:paraId="4FC5BB9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35</w:t>
            </w:r>
            <w:r w:rsidRPr="007F425D">
              <w:rPr>
                <w:rFonts w:ascii="Times New Roman" w:eastAsia="Times New Roman" w:hAnsi="Times New Roman" w:cs="Times New Roman"/>
                <w:color w:val="000000"/>
                <w:sz w:val="20"/>
                <w:szCs w:val="20"/>
                <w:vertAlign w:val="superscript"/>
                <w:lang w:eastAsia="de-DE"/>
              </w:rPr>
              <w:t>***</w:t>
            </w:r>
          </w:p>
        </w:tc>
      </w:tr>
      <w:tr w:rsidR="004541ED" w:rsidRPr="007F425D" w14:paraId="438F7F5D" w14:textId="77777777" w:rsidTr="004541ED">
        <w:trPr>
          <w:trHeight w:val="300"/>
        </w:trPr>
        <w:tc>
          <w:tcPr>
            <w:tcW w:w="0" w:type="auto"/>
            <w:tcBorders>
              <w:top w:val="single" w:sz="4" w:space="0" w:color="auto"/>
              <w:left w:val="single" w:sz="12" w:space="0" w:color="auto"/>
              <w:bottom w:val="dotted" w:sz="4" w:space="0" w:color="auto"/>
              <w:right w:val="single" w:sz="4" w:space="0" w:color="auto"/>
            </w:tcBorders>
            <w:shd w:val="clear" w:color="auto" w:fill="auto"/>
            <w:noWrap/>
            <w:vAlign w:val="center"/>
            <w:hideMark/>
          </w:tcPr>
          <w:p w14:paraId="65B3846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xml:space="preserve">Log living area </w:t>
            </w:r>
          </w:p>
          <w:p w14:paraId="32EB8F6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m²</w:t>
            </w:r>
          </w:p>
        </w:tc>
        <w:tc>
          <w:tcPr>
            <w:tcW w:w="0" w:type="auto"/>
            <w:tcBorders>
              <w:top w:val="single" w:sz="4" w:space="0" w:color="auto"/>
              <w:left w:val="nil"/>
              <w:bottom w:val="dotted" w:sz="4" w:space="0" w:color="auto"/>
              <w:right w:val="single" w:sz="4" w:space="0" w:color="auto"/>
            </w:tcBorders>
            <w:shd w:val="clear" w:color="auto" w:fill="auto"/>
            <w:noWrap/>
            <w:vAlign w:val="bottom"/>
            <w:hideMark/>
          </w:tcPr>
          <w:p w14:paraId="11E850E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501</w:t>
            </w:r>
          </w:p>
          <w:p w14:paraId="1874B7D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274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37</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nil"/>
              <w:bottom w:val="dotted" w:sz="4" w:space="0" w:color="auto"/>
              <w:right w:val="nil"/>
            </w:tcBorders>
            <w:shd w:val="clear" w:color="auto" w:fill="auto"/>
            <w:noWrap/>
            <w:vAlign w:val="bottom"/>
            <w:hideMark/>
          </w:tcPr>
          <w:p w14:paraId="50BE5C1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529</w:t>
            </w:r>
          </w:p>
          <w:p w14:paraId="31E0EC0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82</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nil"/>
              <w:bottom w:val="dotted" w:sz="4" w:space="0" w:color="auto"/>
              <w:right w:val="nil"/>
            </w:tcBorders>
            <w:shd w:val="clear" w:color="auto" w:fill="auto"/>
            <w:noWrap/>
            <w:vAlign w:val="bottom"/>
            <w:hideMark/>
          </w:tcPr>
          <w:p w14:paraId="1CCA949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580</w:t>
            </w:r>
          </w:p>
          <w:p w14:paraId="22B24CF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154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37</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nil"/>
              <w:bottom w:val="dotted" w:sz="4" w:space="0" w:color="auto"/>
              <w:right w:val="nil"/>
            </w:tcBorders>
            <w:shd w:val="clear" w:color="auto" w:fill="auto"/>
            <w:noWrap/>
            <w:vAlign w:val="bottom"/>
            <w:hideMark/>
          </w:tcPr>
          <w:p w14:paraId="2D3FE58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361</w:t>
            </w:r>
          </w:p>
          <w:p w14:paraId="0755CD5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98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66</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nil"/>
              <w:bottom w:val="dotted" w:sz="4" w:space="0" w:color="auto"/>
              <w:right w:val="nil"/>
            </w:tcBorders>
            <w:shd w:val="clear" w:color="auto" w:fill="auto"/>
            <w:noWrap/>
            <w:vAlign w:val="bottom"/>
            <w:hideMark/>
          </w:tcPr>
          <w:p w14:paraId="01B3D6F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455</w:t>
            </w:r>
          </w:p>
          <w:p w14:paraId="6B4A1FA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124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nil"/>
              <w:bottom w:val="dotted" w:sz="4" w:space="0" w:color="auto"/>
              <w:right w:val="single" w:sz="4" w:space="0" w:color="auto"/>
            </w:tcBorders>
            <w:shd w:val="clear" w:color="auto" w:fill="auto"/>
            <w:noWrap/>
            <w:vAlign w:val="bottom"/>
            <w:hideMark/>
          </w:tcPr>
          <w:p w14:paraId="15AC979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481</w:t>
            </w:r>
          </w:p>
          <w:p w14:paraId="19416C6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126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46</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nil"/>
              <w:bottom w:val="dotted" w:sz="4" w:space="0" w:color="auto"/>
              <w:right w:val="nil"/>
            </w:tcBorders>
            <w:shd w:val="clear" w:color="auto" w:fill="auto"/>
            <w:noWrap/>
            <w:vAlign w:val="bottom"/>
            <w:hideMark/>
          </w:tcPr>
          <w:p w14:paraId="7DE97E3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500</w:t>
            </w:r>
          </w:p>
          <w:p w14:paraId="019CF8E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274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23</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single" w:sz="4" w:space="0" w:color="auto"/>
              <w:bottom w:val="dotted" w:sz="4" w:space="0" w:color="auto"/>
              <w:right w:val="nil"/>
            </w:tcBorders>
            <w:shd w:val="clear" w:color="auto" w:fill="auto"/>
            <w:noWrap/>
            <w:vAlign w:val="bottom"/>
            <w:hideMark/>
          </w:tcPr>
          <w:p w14:paraId="7E056A7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530</w:t>
            </w:r>
          </w:p>
          <w:p w14:paraId="30D1578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93</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nil"/>
              <w:bottom w:val="dotted" w:sz="4" w:space="0" w:color="auto"/>
              <w:right w:val="nil"/>
            </w:tcBorders>
            <w:shd w:val="clear" w:color="auto" w:fill="auto"/>
            <w:noWrap/>
            <w:vAlign w:val="bottom"/>
            <w:hideMark/>
          </w:tcPr>
          <w:p w14:paraId="6A18B42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580</w:t>
            </w:r>
          </w:p>
          <w:p w14:paraId="50C5417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154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47</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nil"/>
              <w:bottom w:val="dotted" w:sz="4" w:space="0" w:color="auto"/>
              <w:right w:val="nil"/>
            </w:tcBorders>
            <w:shd w:val="clear" w:color="auto" w:fill="auto"/>
            <w:noWrap/>
            <w:vAlign w:val="bottom"/>
            <w:hideMark/>
          </w:tcPr>
          <w:p w14:paraId="3A6E777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359</w:t>
            </w:r>
          </w:p>
          <w:p w14:paraId="3AEA9B6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98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23</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nil"/>
              <w:bottom w:val="dotted" w:sz="4" w:space="0" w:color="auto"/>
              <w:right w:val="nil"/>
            </w:tcBorders>
            <w:shd w:val="clear" w:color="auto" w:fill="auto"/>
            <w:noWrap/>
            <w:vAlign w:val="bottom"/>
            <w:hideMark/>
          </w:tcPr>
          <w:p w14:paraId="5559741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454</w:t>
            </w:r>
          </w:p>
          <w:p w14:paraId="63C7B23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124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nil"/>
              <w:bottom w:val="dotted" w:sz="4" w:space="0" w:color="auto"/>
              <w:right w:val="single" w:sz="12" w:space="0" w:color="auto"/>
            </w:tcBorders>
            <w:shd w:val="clear" w:color="auto" w:fill="auto"/>
            <w:noWrap/>
            <w:vAlign w:val="bottom"/>
            <w:hideMark/>
          </w:tcPr>
          <w:p w14:paraId="7F0C6DE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481</w:t>
            </w:r>
          </w:p>
          <w:p w14:paraId="1AE0F7C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126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54</w:t>
            </w:r>
            <w:r w:rsidRPr="007F425D">
              <w:rPr>
                <w:rFonts w:ascii="Times New Roman" w:eastAsia="Times New Roman" w:hAnsi="Times New Roman" w:cs="Times New Roman"/>
                <w:color w:val="000000"/>
                <w:sz w:val="20"/>
                <w:szCs w:val="20"/>
                <w:vertAlign w:val="superscript"/>
                <w:lang w:eastAsia="de-DE"/>
              </w:rPr>
              <w:t>***</w:t>
            </w:r>
          </w:p>
        </w:tc>
      </w:tr>
      <w:tr w:rsidR="004541ED" w:rsidRPr="007F425D" w14:paraId="69947451" w14:textId="77777777" w:rsidTr="004541ED">
        <w:trPr>
          <w:trHeight w:val="300"/>
        </w:trPr>
        <w:tc>
          <w:tcPr>
            <w:tcW w:w="0" w:type="auto"/>
            <w:tcBorders>
              <w:top w:val="dotted" w:sz="4" w:space="0" w:color="auto"/>
              <w:left w:val="single" w:sz="12" w:space="0" w:color="auto"/>
              <w:bottom w:val="dotted" w:sz="4" w:space="0" w:color="auto"/>
              <w:right w:val="single" w:sz="4" w:space="0" w:color="auto"/>
            </w:tcBorders>
            <w:shd w:val="clear" w:color="auto" w:fill="auto"/>
            <w:noWrap/>
            <w:vAlign w:val="center"/>
            <w:hideMark/>
          </w:tcPr>
          <w:p w14:paraId="7315F15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Age</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2BD89FA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000</w:t>
            </w:r>
          </w:p>
          <w:p w14:paraId="307185B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21</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0E22776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000</w:t>
            </w:r>
          </w:p>
          <w:p w14:paraId="5B4A477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4BA44C7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000</w:t>
            </w:r>
          </w:p>
          <w:p w14:paraId="791544F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4003C79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000</w:t>
            </w:r>
          </w:p>
          <w:p w14:paraId="6C0CE27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16</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4558DDA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000</w:t>
            </w:r>
          </w:p>
          <w:p w14:paraId="7D3D05C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96</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291435A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000</w:t>
            </w:r>
          </w:p>
          <w:p w14:paraId="075C34A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775C6F0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000</w:t>
            </w:r>
          </w:p>
          <w:p w14:paraId="301BB47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bottom"/>
            <w:hideMark/>
          </w:tcPr>
          <w:p w14:paraId="31E6DBC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000</w:t>
            </w:r>
          </w:p>
          <w:p w14:paraId="008A0AA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93</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4AC78CB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000</w:t>
            </w:r>
          </w:p>
          <w:p w14:paraId="646D754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14</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563A4B8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000</w:t>
            </w:r>
          </w:p>
          <w:p w14:paraId="1570BFE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217FDC4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000</w:t>
            </w:r>
          </w:p>
          <w:p w14:paraId="4132B9A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12" w:space="0" w:color="auto"/>
            </w:tcBorders>
            <w:shd w:val="clear" w:color="auto" w:fill="auto"/>
            <w:noWrap/>
            <w:vAlign w:val="bottom"/>
            <w:hideMark/>
          </w:tcPr>
          <w:p w14:paraId="5209336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000</w:t>
            </w:r>
          </w:p>
          <w:p w14:paraId="4605DA4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w:t>
            </w:r>
            <w:r w:rsidRPr="007F425D">
              <w:rPr>
                <w:rFonts w:ascii="Times New Roman" w:eastAsia="Times New Roman" w:hAnsi="Times New Roman" w:cs="Times New Roman"/>
                <w:color w:val="000000"/>
                <w:sz w:val="20"/>
                <w:szCs w:val="20"/>
                <w:vertAlign w:val="superscript"/>
                <w:lang w:eastAsia="de-DE"/>
              </w:rPr>
              <w:t>***</w:t>
            </w:r>
          </w:p>
        </w:tc>
      </w:tr>
      <w:tr w:rsidR="004541ED" w:rsidRPr="007F425D" w14:paraId="77A31F07" w14:textId="77777777" w:rsidTr="004541ED">
        <w:trPr>
          <w:trHeight w:val="300"/>
        </w:trPr>
        <w:tc>
          <w:tcPr>
            <w:tcW w:w="0" w:type="auto"/>
            <w:tcBorders>
              <w:top w:val="dotted" w:sz="4" w:space="0" w:color="auto"/>
              <w:left w:val="single" w:sz="12" w:space="0" w:color="auto"/>
              <w:bottom w:val="dotted" w:sz="4" w:space="0" w:color="auto"/>
              <w:right w:val="single" w:sz="4" w:space="0" w:color="auto"/>
            </w:tcBorders>
            <w:shd w:val="clear" w:color="auto" w:fill="auto"/>
            <w:noWrap/>
            <w:vAlign w:val="center"/>
            <w:hideMark/>
          </w:tcPr>
          <w:p w14:paraId="7F3F380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Number of rooms</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3755D81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015</w:t>
            </w:r>
          </w:p>
          <w:p w14:paraId="734E9E2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2A16FF5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018</w:t>
            </w:r>
          </w:p>
          <w:p w14:paraId="4F4D675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678184A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018</w:t>
            </w:r>
          </w:p>
          <w:p w14:paraId="6ECB395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056462D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017</w:t>
            </w:r>
          </w:p>
          <w:p w14:paraId="773021C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14</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0C8CA31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013</w:t>
            </w:r>
          </w:p>
          <w:p w14:paraId="0A5879A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83</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7F3FB12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010</w:t>
            </w:r>
          </w:p>
          <w:p w14:paraId="497C8C9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4A2B8D0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015</w:t>
            </w:r>
          </w:p>
          <w:p w14:paraId="03CEE4A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73</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bottom"/>
            <w:hideMark/>
          </w:tcPr>
          <w:p w14:paraId="33274FC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018</w:t>
            </w:r>
          </w:p>
          <w:p w14:paraId="062BA4F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86</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53634E6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018</w:t>
            </w:r>
          </w:p>
          <w:p w14:paraId="23C3764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1C9D1F6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017</w:t>
            </w:r>
          </w:p>
          <w:p w14:paraId="52CA0F8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2CC188F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013</w:t>
            </w:r>
          </w:p>
          <w:p w14:paraId="17B0B2B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81</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12" w:space="0" w:color="auto"/>
            </w:tcBorders>
            <w:shd w:val="clear" w:color="auto" w:fill="auto"/>
            <w:noWrap/>
            <w:vAlign w:val="bottom"/>
            <w:hideMark/>
          </w:tcPr>
          <w:p w14:paraId="70C5E74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010</w:t>
            </w:r>
          </w:p>
          <w:p w14:paraId="7346A13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27</w:t>
            </w:r>
            <w:r w:rsidRPr="007F425D">
              <w:rPr>
                <w:rFonts w:ascii="Times New Roman" w:eastAsia="Times New Roman" w:hAnsi="Times New Roman" w:cs="Times New Roman"/>
                <w:color w:val="000000"/>
                <w:sz w:val="20"/>
                <w:szCs w:val="20"/>
                <w:vertAlign w:val="superscript"/>
                <w:lang w:eastAsia="de-DE"/>
              </w:rPr>
              <w:t>***</w:t>
            </w:r>
          </w:p>
        </w:tc>
      </w:tr>
      <w:tr w:rsidR="004541ED" w:rsidRPr="007F425D" w14:paraId="1487BA27" w14:textId="77777777" w:rsidTr="004541ED">
        <w:trPr>
          <w:trHeight w:val="300"/>
        </w:trPr>
        <w:tc>
          <w:tcPr>
            <w:tcW w:w="0" w:type="auto"/>
            <w:tcBorders>
              <w:top w:val="dotted" w:sz="4" w:space="0" w:color="auto"/>
              <w:left w:val="single" w:sz="12" w:space="0" w:color="auto"/>
              <w:bottom w:val="dotted" w:sz="4" w:space="0" w:color="auto"/>
              <w:right w:val="single" w:sz="4" w:space="0" w:color="auto"/>
            </w:tcBorders>
            <w:shd w:val="clear" w:color="auto" w:fill="auto"/>
            <w:noWrap/>
            <w:vAlign w:val="center"/>
            <w:hideMark/>
          </w:tcPr>
          <w:p w14:paraId="47EA595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Log number of households</w:t>
            </w:r>
            <w:r w:rsidRPr="007F425D">
              <w:rPr>
                <w:rFonts w:ascii="Times New Roman" w:eastAsia="Times New Roman" w:hAnsi="Times New Roman" w:cs="Times New Roman"/>
                <w:color w:val="000000"/>
                <w:sz w:val="20"/>
                <w:szCs w:val="20"/>
                <w:lang w:eastAsia="de-DE"/>
              </w:rPr>
              <w:br/>
              <w:t>in ZIP area</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0472139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064</w:t>
            </w:r>
          </w:p>
          <w:p w14:paraId="2765FEB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165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68</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0EE9862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062</w:t>
            </w:r>
          </w:p>
          <w:p w14:paraId="2FCD421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706C583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064</w:t>
            </w:r>
          </w:p>
          <w:p w14:paraId="0781589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48</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082FDF8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061</w:t>
            </w:r>
          </w:p>
          <w:p w14:paraId="2F9F665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56</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1125A35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065</w:t>
            </w:r>
          </w:p>
          <w:p w14:paraId="6BF93AD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14</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5353474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064</w:t>
            </w:r>
          </w:p>
          <w:p w14:paraId="3CE38F9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34</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01098C2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064</w:t>
            </w:r>
          </w:p>
          <w:p w14:paraId="665248E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165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bottom"/>
            <w:hideMark/>
          </w:tcPr>
          <w:p w14:paraId="7DC46BA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063</w:t>
            </w:r>
          </w:p>
          <w:p w14:paraId="736232B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56</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194082E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065</w:t>
            </w:r>
          </w:p>
          <w:p w14:paraId="5AEAAB7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58</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77C0BC0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061</w:t>
            </w:r>
          </w:p>
          <w:p w14:paraId="37F9996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57</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7D7DF36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065</w:t>
            </w:r>
          </w:p>
          <w:p w14:paraId="63F0B0F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18</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12" w:space="0" w:color="auto"/>
            </w:tcBorders>
            <w:shd w:val="clear" w:color="auto" w:fill="auto"/>
            <w:noWrap/>
            <w:vAlign w:val="bottom"/>
            <w:hideMark/>
          </w:tcPr>
          <w:p w14:paraId="23C1735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064</w:t>
            </w:r>
          </w:p>
          <w:p w14:paraId="4F73476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37</w:t>
            </w:r>
            <w:r w:rsidRPr="007F425D">
              <w:rPr>
                <w:rFonts w:ascii="Times New Roman" w:eastAsia="Times New Roman" w:hAnsi="Times New Roman" w:cs="Times New Roman"/>
                <w:color w:val="000000"/>
                <w:sz w:val="20"/>
                <w:szCs w:val="20"/>
                <w:vertAlign w:val="superscript"/>
                <w:lang w:eastAsia="de-DE"/>
              </w:rPr>
              <w:t>***</w:t>
            </w:r>
          </w:p>
        </w:tc>
      </w:tr>
      <w:tr w:rsidR="004541ED" w:rsidRPr="007F425D" w14:paraId="628BF282" w14:textId="77777777" w:rsidTr="004541ED">
        <w:trPr>
          <w:trHeight w:val="300"/>
        </w:trPr>
        <w:tc>
          <w:tcPr>
            <w:tcW w:w="0" w:type="auto"/>
            <w:tcBorders>
              <w:top w:val="dotted" w:sz="4" w:space="0" w:color="auto"/>
              <w:left w:val="single" w:sz="12" w:space="0" w:color="auto"/>
              <w:bottom w:val="dotted" w:sz="4" w:space="0" w:color="auto"/>
              <w:right w:val="single" w:sz="4" w:space="0" w:color="auto"/>
            </w:tcBorders>
            <w:shd w:val="clear" w:color="auto" w:fill="auto"/>
            <w:noWrap/>
            <w:vAlign w:val="center"/>
            <w:hideMark/>
          </w:tcPr>
          <w:p w14:paraId="35FD1B5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Log purchasing power of</w:t>
            </w:r>
            <w:r w:rsidRPr="007F425D">
              <w:rPr>
                <w:rFonts w:ascii="Times New Roman" w:eastAsia="Times New Roman" w:hAnsi="Times New Roman" w:cs="Times New Roman"/>
                <w:color w:val="000000"/>
                <w:sz w:val="20"/>
                <w:szCs w:val="20"/>
                <w:lang w:eastAsia="de-DE"/>
              </w:rPr>
              <w:br/>
              <w:t>household in ZIP area</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A0DF89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415</w:t>
            </w:r>
          </w:p>
          <w:p w14:paraId="1507D1D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275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61</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6809018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449</w:t>
            </w:r>
          </w:p>
          <w:p w14:paraId="3C8CD0F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94</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013978A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432</w:t>
            </w:r>
          </w:p>
          <w:p w14:paraId="14D6B89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137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51</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0C73965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425</w:t>
            </w:r>
          </w:p>
          <w:p w14:paraId="495AD8F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140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18</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3D423FA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407</w:t>
            </w:r>
          </w:p>
          <w:p w14:paraId="3190C99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136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1A91F96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389</w:t>
            </w:r>
          </w:p>
          <w:p w14:paraId="6D1A891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126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24</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2E09FD9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415</w:t>
            </w:r>
          </w:p>
          <w:p w14:paraId="50515EC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275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57</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bottom"/>
            <w:hideMark/>
          </w:tcPr>
          <w:p w14:paraId="5CAE77A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449</w:t>
            </w:r>
          </w:p>
          <w:p w14:paraId="2C30F65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82</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6D675C0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432</w:t>
            </w:r>
          </w:p>
          <w:p w14:paraId="3142F62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137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47</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70EAF0A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424</w:t>
            </w:r>
          </w:p>
          <w:p w14:paraId="001EAAA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140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3386ACA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407</w:t>
            </w:r>
          </w:p>
          <w:p w14:paraId="509A5B8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136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12" w:space="0" w:color="auto"/>
            </w:tcBorders>
            <w:shd w:val="clear" w:color="auto" w:fill="auto"/>
            <w:noWrap/>
            <w:vAlign w:val="bottom"/>
            <w:hideMark/>
          </w:tcPr>
          <w:p w14:paraId="4CB668F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389</w:t>
            </w:r>
          </w:p>
          <w:p w14:paraId="0CE5AF8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126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23</w:t>
            </w:r>
            <w:r w:rsidRPr="007F425D">
              <w:rPr>
                <w:rFonts w:ascii="Times New Roman" w:eastAsia="Times New Roman" w:hAnsi="Times New Roman" w:cs="Times New Roman"/>
                <w:color w:val="000000"/>
                <w:sz w:val="20"/>
                <w:szCs w:val="20"/>
                <w:vertAlign w:val="superscript"/>
                <w:lang w:eastAsia="de-DE"/>
              </w:rPr>
              <w:t>***</w:t>
            </w:r>
          </w:p>
        </w:tc>
      </w:tr>
      <w:tr w:rsidR="004541ED" w:rsidRPr="007F425D" w14:paraId="383E208D" w14:textId="77777777" w:rsidTr="004541ED">
        <w:trPr>
          <w:trHeight w:val="300"/>
        </w:trPr>
        <w:tc>
          <w:tcPr>
            <w:tcW w:w="0" w:type="auto"/>
            <w:tcBorders>
              <w:top w:val="dotted" w:sz="4" w:space="0" w:color="auto"/>
              <w:left w:val="single" w:sz="12" w:space="0" w:color="auto"/>
              <w:bottom w:val="dotted" w:sz="4" w:space="0" w:color="auto"/>
              <w:right w:val="single" w:sz="4" w:space="0" w:color="auto"/>
            </w:tcBorders>
            <w:shd w:val="clear" w:color="auto" w:fill="auto"/>
            <w:noWrap/>
            <w:vAlign w:val="center"/>
            <w:hideMark/>
          </w:tcPr>
          <w:p w14:paraId="2DE359F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Log distance to ZIP centroid</w:t>
            </w:r>
            <w:r w:rsidRPr="007F425D">
              <w:rPr>
                <w:rFonts w:ascii="Times New Roman" w:eastAsia="Times New Roman" w:hAnsi="Times New Roman" w:cs="Times New Roman"/>
                <w:color w:val="000000"/>
                <w:sz w:val="20"/>
                <w:szCs w:val="20"/>
                <w:lang w:eastAsia="de-DE"/>
              </w:rPr>
              <w:br/>
              <w:t>in Km.</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05FF326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020</w:t>
            </w:r>
          </w:p>
          <w:p w14:paraId="2A3E1CF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96</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2BEA37B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024</w:t>
            </w:r>
          </w:p>
          <w:p w14:paraId="5368A80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7103A72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019</w:t>
            </w:r>
          </w:p>
          <w:p w14:paraId="3430785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73</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4286183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020</w:t>
            </w:r>
          </w:p>
          <w:p w14:paraId="2D5B078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91</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183CF6A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021</w:t>
            </w:r>
          </w:p>
          <w:p w14:paraId="75CF1D0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2598ECB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015</w:t>
            </w:r>
          </w:p>
          <w:p w14:paraId="76BDB5E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32</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66F7D95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020</w:t>
            </w:r>
          </w:p>
          <w:p w14:paraId="4D5B00E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86</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bottom"/>
            <w:hideMark/>
          </w:tcPr>
          <w:p w14:paraId="373F881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024</w:t>
            </w:r>
          </w:p>
          <w:p w14:paraId="1B55E90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27</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49DA5EC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019</w:t>
            </w:r>
          </w:p>
          <w:p w14:paraId="5971F37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73</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0395346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020</w:t>
            </w:r>
          </w:p>
          <w:p w14:paraId="0E07508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49A8CBA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021</w:t>
            </w:r>
          </w:p>
          <w:p w14:paraId="6B993DC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12" w:space="0" w:color="auto"/>
            </w:tcBorders>
            <w:shd w:val="clear" w:color="auto" w:fill="auto"/>
            <w:noWrap/>
            <w:vAlign w:val="bottom"/>
            <w:hideMark/>
          </w:tcPr>
          <w:p w14:paraId="70E4B88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015</w:t>
            </w:r>
          </w:p>
          <w:p w14:paraId="118862A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31</w:t>
            </w:r>
            <w:r w:rsidRPr="007F425D">
              <w:rPr>
                <w:rFonts w:ascii="Times New Roman" w:eastAsia="Times New Roman" w:hAnsi="Times New Roman" w:cs="Times New Roman"/>
                <w:color w:val="000000"/>
                <w:sz w:val="20"/>
                <w:szCs w:val="20"/>
                <w:vertAlign w:val="superscript"/>
                <w:lang w:eastAsia="de-DE"/>
              </w:rPr>
              <w:t>***</w:t>
            </w:r>
          </w:p>
        </w:tc>
      </w:tr>
      <w:tr w:rsidR="004541ED" w:rsidRPr="007F425D" w14:paraId="561404B5" w14:textId="77777777" w:rsidTr="004541ED">
        <w:trPr>
          <w:trHeight w:val="300"/>
        </w:trPr>
        <w:tc>
          <w:tcPr>
            <w:tcW w:w="0" w:type="auto"/>
            <w:tcBorders>
              <w:top w:val="dotted" w:sz="4" w:space="0" w:color="auto"/>
              <w:left w:val="single" w:sz="12" w:space="0" w:color="auto"/>
              <w:bottom w:val="single" w:sz="4" w:space="0" w:color="auto"/>
              <w:right w:val="single" w:sz="4" w:space="0" w:color="auto"/>
            </w:tcBorders>
            <w:shd w:val="clear" w:color="auto" w:fill="auto"/>
            <w:noWrap/>
            <w:vAlign w:val="center"/>
            <w:hideMark/>
          </w:tcPr>
          <w:p w14:paraId="4273805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xml:space="preserve">Log distance to municipality </w:t>
            </w:r>
            <w:r w:rsidRPr="007F425D">
              <w:rPr>
                <w:rFonts w:ascii="Times New Roman" w:eastAsia="Times New Roman" w:hAnsi="Times New Roman" w:cs="Times New Roman"/>
                <w:color w:val="000000"/>
                <w:sz w:val="20"/>
                <w:szCs w:val="20"/>
                <w:lang w:eastAsia="de-DE"/>
              </w:rPr>
              <w:br/>
              <w:t>centroid in Km.</w:t>
            </w:r>
          </w:p>
        </w:tc>
        <w:tc>
          <w:tcPr>
            <w:tcW w:w="0" w:type="auto"/>
            <w:tcBorders>
              <w:top w:val="dotted" w:sz="4" w:space="0" w:color="auto"/>
              <w:left w:val="nil"/>
              <w:bottom w:val="single" w:sz="4" w:space="0" w:color="auto"/>
              <w:right w:val="single" w:sz="4" w:space="0" w:color="auto"/>
            </w:tcBorders>
            <w:shd w:val="clear" w:color="auto" w:fill="auto"/>
            <w:noWrap/>
            <w:vAlign w:val="bottom"/>
            <w:hideMark/>
          </w:tcPr>
          <w:p w14:paraId="640E54A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065</w:t>
            </w:r>
          </w:p>
          <w:p w14:paraId="14D2717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-240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single" w:sz="4" w:space="0" w:color="auto"/>
              <w:right w:val="nil"/>
            </w:tcBorders>
            <w:shd w:val="clear" w:color="auto" w:fill="auto"/>
            <w:noWrap/>
            <w:vAlign w:val="bottom"/>
            <w:hideMark/>
          </w:tcPr>
          <w:p w14:paraId="6857EA8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061</w:t>
            </w:r>
          </w:p>
          <w:p w14:paraId="0FCD000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67</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single" w:sz="4" w:space="0" w:color="auto"/>
              <w:right w:val="nil"/>
            </w:tcBorders>
            <w:shd w:val="clear" w:color="auto" w:fill="auto"/>
            <w:noWrap/>
            <w:vAlign w:val="bottom"/>
            <w:hideMark/>
          </w:tcPr>
          <w:p w14:paraId="4686F53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069</w:t>
            </w:r>
          </w:p>
          <w:p w14:paraId="427A35A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-118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86</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single" w:sz="4" w:space="0" w:color="auto"/>
              <w:right w:val="nil"/>
            </w:tcBorders>
            <w:shd w:val="clear" w:color="auto" w:fill="auto"/>
            <w:noWrap/>
            <w:vAlign w:val="bottom"/>
            <w:hideMark/>
          </w:tcPr>
          <w:p w14:paraId="6569B02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066</w:t>
            </w:r>
          </w:p>
          <w:p w14:paraId="229853A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-120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73</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single" w:sz="4" w:space="0" w:color="auto"/>
              <w:right w:val="nil"/>
            </w:tcBorders>
            <w:shd w:val="clear" w:color="auto" w:fill="auto"/>
            <w:noWrap/>
            <w:vAlign w:val="bottom"/>
            <w:hideMark/>
          </w:tcPr>
          <w:p w14:paraId="48CE65C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063</w:t>
            </w:r>
          </w:p>
          <w:p w14:paraId="3122F53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-119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98</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single" w:sz="4" w:space="0" w:color="auto"/>
              <w:right w:val="single" w:sz="4" w:space="0" w:color="auto"/>
            </w:tcBorders>
            <w:shd w:val="clear" w:color="auto" w:fill="auto"/>
            <w:noWrap/>
            <w:vAlign w:val="bottom"/>
            <w:hideMark/>
          </w:tcPr>
          <w:p w14:paraId="2525C66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062</w:t>
            </w:r>
          </w:p>
          <w:p w14:paraId="3539103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-112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84</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single" w:sz="4" w:space="0" w:color="auto"/>
              <w:right w:val="nil"/>
            </w:tcBorders>
            <w:shd w:val="clear" w:color="auto" w:fill="auto"/>
            <w:noWrap/>
            <w:vAlign w:val="bottom"/>
            <w:hideMark/>
          </w:tcPr>
          <w:p w14:paraId="6930140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065</w:t>
            </w:r>
          </w:p>
          <w:p w14:paraId="747D28A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-240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14</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single" w:sz="4" w:space="0" w:color="auto"/>
              <w:right w:val="nil"/>
            </w:tcBorders>
            <w:shd w:val="clear" w:color="auto" w:fill="auto"/>
            <w:noWrap/>
            <w:vAlign w:val="bottom"/>
            <w:hideMark/>
          </w:tcPr>
          <w:p w14:paraId="008DA64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061</w:t>
            </w:r>
          </w:p>
          <w:p w14:paraId="552FAA6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83</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single" w:sz="4" w:space="0" w:color="auto"/>
              <w:right w:val="nil"/>
            </w:tcBorders>
            <w:shd w:val="clear" w:color="auto" w:fill="auto"/>
            <w:noWrap/>
            <w:vAlign w:val="bottom"/>
            <w:hideMark/>
          </w:tcPr>
          <w:p w14:paraId="20A94AB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069</w:t>
            </w:r>
          </w:p>
          <w:p w14:paraId="19A4729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-118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single" w:sz="4" w:space="0" w:color="auto"/>
              <w:right w:val="nil"/>
            </w:tcBorders>
            <w:shd w:val="clear" w:color="auto" w:fill="auto"/>
            <w:noWrap/>
            <w:vAlign w:val="bottom"/>
            <w:hideMark/>
          </w:tcPr>
          <w:p w14:paraId="54CC434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066</w:t>
            </w:r>
          </w:p>
          <w:p w14:paraId="3B3EA8E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-120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83</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single" w:sz="4" w:space="0" w:color="auto"/>
              <w:right w:val="nil"/>
            </w:tcBorders>
            <w:shd w:val="clear" w:color="auto" w:fill="auto"/>
            <w:noWrap/>
            <w:vAlign w:val="bottom"/>
            <w:hideMark/>
          </w:tcPr>
          <w:p w14:paraId="6DE28E2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063</w:t>
            </w:r>
          </w:p>
          <w:p w14:paraId="2773EE5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-120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single" w:sz="4" w:space="0" w:color="auto"/>
              <w:right w:val="single" w:sz="12" w:space="0" w:color="auto"/>
            </w:tcBorders>
            <w:shd w:val="clear" w:color="auto" w:fill="auto"/>
            <w:noWrap/>
            <w:vAlign w:val="bottom"/>
            <w:hideMark/>
          </w:tcPr>
          <w:p w14:paraId="258A815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062</w:t>
            </w:r>
          </w:p>
          <w:p w14:paraId="4D91311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-112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86</w:t>
            </w:r>
            <w:r w:rsidRPr="007F425D">
              <w:rPr>
                <w:rFonts w:ascii="Times New Roman" w:eastAsia="Times New Roman" w:hAnsi="Times New Roman" w:cs="Times New Roman"/>
                <w:color w:val="000000"/>
                <w:sz w:val="20"/>
                <w:szCs w:val="20"/>
                <w:vertAlign w:val="superscript"/>
                <w:lang w:eastAsia="de-DE"/>
              </w:rPr>
              <w:t>***</w:t>
            </w:r>
          </w:p>
        </w:tc>
      </w:tr>
      <w:tr w:rsidR="004541ED" w:rsidRPr="007F425D" w14:paraId="53C54A59" w14:textId="77777777" w:rsidTr="004541ED">
        <w:trPr>
          <w:trHeight w:val="300"/>
        </w:trPr>
        <w:tc>
          <w:tcPr>
            <w:tcW w:w="0" w:type="auto"/>
            <w:tcBorders>
              <w:top w:val="single" w:sz="4" w:space="0" w:color="auto"/>
              <w:left w:val="single" w:sz="12" w:space="0" w:color="auto"/>
              <w:bottom w:val="dotted" w:sz="4" w:space="0" w:color="auto"/>
              <w:right w:val="single" w:sz="4" w:space="0" w:color="auto"/>
            </w:tcBorders>
            <w:shd w:val="clear" w:color="auto" w:fill="auto"/>
            <w:noWrap/>
            <w:vAlign w:val="center"/>
            <w:hideMark/>
          </w:tcPr>
          <w:p w14:paraId="5905820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With bathtub</w:t>
            </w:r>
          </w:p>
        </w:tc>
        <w:tc>
          <w:tcPr>
            <w:tcW w:w="0" w:type="auto"/>
            <w:tcBorders>
              <w:top w:val="single" w:sz="4" w:space="0" w:color="auto"/>
              <w:left w:val="nil"/>
              <w:bottom w:val="dotted" w:sz="4" w:space="0" w:color="auto"/>
              <w:right w:val="single" w:sz="4" w:space="0" w:color="auto"/>
            </w:tcBorders>
            <w:shd w:val="clear" w:color="auto" w:fill="auto"/>
            <w:noWrap/>
            <w:vAlign w:val="bottom"/>
            <w:hideMark/>
          </w:tcPr>
          <w:p w14:paraId="435AEE9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007</w:t>
            </w:r>
          </w:p>
          <w:p w14:paraId="127FBD5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nil"/>
              <w:bottom w:val="dotted" w:sz="4" w:space="0" w:color="auto"/>
              <w:right w:val="nil"/>
            </w:tcBorders>
            <w:shd w:val="clear" w:color="auto" w:fill="auto"/>
            <w:noWrap/>
            <w:vAlign w:val="bottom"/>
            <w:hideMark/>
          </w:tcPr>
          <w:p w14:paraId="4990A6E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001</w:t>
            </w:r>
          </w:p>
          <w:p w14:paraId="4D609B8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99</w:t>
            </w:r>
          </w:p>
        </w:tc>
        <w:tc>
          <w:tcPr>
            <w:tcW w:w="0" w:type="auto"/>
            <w:tcBorders>
              <w:top w:val="single" w:sz="4" w:space="0" w:color="auto"/>
              <w:left w:val="nil"/>
              <w:bottom w:val="dotted" w:sz="4" w:space="0" w:color="auto"/>
              <w:right w:val="nil"/>
            </w:tcBorders>
            <w:shd w:val="clear" w:color="auto" w:fill="auto"/>
            <w:noWrap/>
            <w:vAlign w:val="bottom"/>
            <w:hideMark/>
          </w:tcPr>
          <w:p w14:paraId="0E3B642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002</w:t>
            </w:r>
          </w:p>
          <w:p w14:paraId="177F264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86</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nil"/>
              <w:bottom w:val="dotted" w:sz="4" w:space="0" w:color="auto"/>
              <w:right w:val="nil"/>
            </w:tcBorders>
            <w:shd w:val="clear" w:color="auto" w:fill="auto"/>
            <w:noWrap/>
            <w:vAlign w:val="bottom"/>
            <w:hideMark/>
          </w:tcPr>
          <w:p w14:paraId="03EB7AE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004</w:t>
            </w:r>
          </w:p>
          <w:p w14:paraId="7BD5FFD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56</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nil"/>
              <w:bottom w:val="dotted" w:sz="4" w:space="0" w:color="auto"/>
              <w:right w:val="nil"/>
            </w:tcBorders>
            <w:shd w:val="clear" w:color="auto" w:fill="auto"/>
            <w:noWrap/>
            <w:vAlign w:val="bottom"/>
            <w:hideMark/>
          </w:tcPr>
          <w:p w14:paraId="5BC425A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011</w:t>
            </w:r>
          </w:p>
          <w:p w14:paraId="0EE670E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23</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nil"/>
              <w:bottom w:val="dotted" w:sz="4" w:space="0" w:color="auto"/>
              <w:right w:val="single" w:sz="4" w:space="0" w:color="auto"/>
            </w:tcBorders>
            <w:shd w:val="clear" w:color="auto" w:fill="auto"/>
            <w:noWrap/>
            <w:vAlign w:val="bottom"/>
            <w:hideMark/>
          </w:tcPr>
          <w:p w14:paraId="398749C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011</w:t>
            </w:r>
          </w:p>
          <w:p w14:paraId="16273A8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81</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nil"/>
              <w:bottom w:val="dotted" w:sz="4" w:space="0" w:color="auto"/>
              <w:right w:val="nil"/>
            </w:tcBorders>
            <w:shd w:val="clear" w:color="auto" w:fill="auto"/>
            <w:noWrap/>
            <w:vAlign w:val="bottom"/>
            <w:hideMark/>
          </w:tcPr>
          <w:p w14:paraId="79FD2CF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007</w:t>
            </w:r>
          </w:p>
          <w:p w14:paraId="00B2534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31</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single" w:sz="4" w:space="0" w:color="auto"/>
              <w:bottom w:val="dotted" w:sz="4" w:space="0" w:color="auto"/>
              <w:right w:val="nil"/>
            </w:tcBorders>
            <w:shd w:val="clear" w:color="auto" w:fill="auto"/>
            <w:noWrap/>
            <w:vAlign w:val="bottom"/>
            <w:hideMark/>
          </w:tcPr>
          <w:p w14:paraId="54326F8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001</w:t>
            </w:r>
          </w:p>
          <w:p w14:paraId="2DEDCE5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99</w:t>
            </w:r>
          </w:p>
        </w:tc>
        <w:tc>
          <w:tcPr>
            <w:tcW w:w="0" w:type="auto"/>
            <w:tcBorders>
              <w:top w:val="single" w:sz="4" w:space="0" w:color="auto"/>
              <w:left w:val="nil"/>
              <w:bottom w:val="dotted" w:sz="4" w:space="0" w:color="auto"/>
              <w:right w:val="nil"/>
            </w:tcBorders>
            <w:shd w:val="clear" w:color="auto" w:fill="auto"/>
            <w:noWrap/>
            <w:vAlign w:val="bottom"/>
            <w:hideMark/>
          </w:tcPr>
          <w:p w14:paraId="1710957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002</w:t>
            </w:r>
          </w:p>
          <w:p w14:paraId="7242341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88</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nil"/>
              <w:bottom w:val="dotted" w:sz="4" w:space="0" w:color="auto"/>
              <w:right w:val="nil"/>
            </w:tcBorders>
            <w:shd w:val="clear" w:color="auto" w:fill="auto"/>
            <w:noWrap/>
            <w:vAlign w:val="bottom"/>
            <w:hideMark/>
          </w:tcPr>
          <w:p w14:paraId="70D4617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004</w:t>
            </w:r>
          </w:p>
          <w:p w14:paraId="1EAC04A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nil"/>
              <w:bottom w:val="dotted" w:sz="4" w:space="0" w:color="auto"/>
              <w:right w:val="nil"/>
            </w:tcBorders>
            <w:shd w:val="clear" w:color="auto" w:fill="auto"/>
            <w:noWrap/>
            <w:vAlign w:val="bottom"/>
            <w:hideMark/>
          </w:tcPr>
          <w:p w14:paraId="483B15D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011</w:t>
            </w:r>
          </w:p>
          <w:p w14:paraId="1DC2BD0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nil"/>
              <w:bottom w:val="dotted" w:sz="4" w:space="0" w:color="auto"/>
              <w:right w:val="single" w:sz="12" w:space="0" w:color="auto"/>
            </w:tcBorders>
            <w:shd w:val="clear" w:color="auto" w:fill="auto"/>
            <w:noWrap/>
            <w:vAlign w:val="bottom"/>
            <w:hideMark/>
          </w:tcPr>
          <w:p w14:paraId="52DA145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011</w:t>
            </w:r>
          </w:p>
          <w:p w14:paraId="134B88A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84</w:t>
            </w:r>
            <w:r w:rsidRPr="007F425D">
              <w:rPr>
                <w:rFonts w:ascii="Times New Roman" w:eastAsia="Times New Roman" w:hAnsi="Times New Roman" w:cs="Times New Roman"/>
                <w:color w:val="000000"/>
                <w:sz w:val="20"/>
                <w:szCs w:val="20"/>
                <w:vertAlign w:val="superscript"/>
                <w:lang w:eastAsia="de-DE"/>
              </w:rPr>
              <w:t>***</w:t>
            </w:r>
          </w:p>
        </w:tc>
      </w:tr>
      <w:tr w:rsidR="004541ED" w:rsidRPr="007F425D" w14:paraId="6B786550" w14:textId="77777777" w:rsidTr="004541ED">
        <w:trPr>
          <w:trHeight w:val="300"/>
        </w:trPr>
        <w:tc>
          <w:tcPr>
            <w:tcW w:w="0" w:type="auto"/>
            <w:tcBorders>
              <w:top w:val="dotted" w:sz="4" w:space="0" w:color="auto"/>
              <w:left w:val="single" w:sz="12" w:space="0" w:color="auto"/>
              <w:bottom w:val="dotted" w:sz="4" w:space="0" w:color="auto"/>
              <w:right w:val="single" w:sz="4" w:space="0" w:color="auto"/>
            </w:tcBorders>
            <w:shd w:val="clear" w:color="auto" w:fill="auto"/>
            <w:noWrap/>
            <w:vAlign w:val="center"/>
            <w:hideMark/>
          </w:tcPr>
          <w:p w14:paraId="52C22B9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With built-in-kitchen</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7E0E67D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089</w:t>
            </w:r>
          </w:p>
          <w:p w14:paraId="09B1865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202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18</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7A7C2B3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086</w:t>
            </w:r>
          </w:p>
          <w:p w14:paraId="08920AB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65B1B12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088</w:t>
            </w:r>
          </w:p>
          <w:p w14:paraId="6CE6C2A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95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6BC60FB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092</w:t>
            </w:r>
          </w:p>
          <w:p w14:paraId="2856400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102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96</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0FE3A80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088</w:t>
            </w:r>
          </w:p>
          <w:p w14:paraId="2BB12F8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100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779A0A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089</w:t>
            </w:r>
          </w:p>
          <w:p w14:paraId="20158A4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99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12</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75677F1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089</w:t>
            </w:r>
          </w:p>
          <w:p w14:paraId="1E8299E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202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11</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bottom"/>
            <w:hideMark/>
          </w:tcPr>
          <w:p w14:paraId="1355F30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086</w:t>
            </w:r>
          </w:p>
          <w:p w14:paraId="6359266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63</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6E23864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088</w:t>
            </w:r>
          </w:p>
          <w:p w14:paraId="63E410F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95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27</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3F6C8BA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092</w:t>
            </w:r>
          </w:p>
          <w:p w14:paraId="42368C6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102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91</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41B4A26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088</w:t>
            </w:r>
          </w:p>
          <w:p w14:paraId="49C8487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100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67</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12" w:space="0" w:color="auto"/>
            </w:tcBorders>
            <w:shd w:val="clear" w:color="auto" w:fill="auto"/>
            <w:noWrap/>
            <w:vAlign w:val="bottom"/>
            <w:hideMark/>
          </w:tcPr>
          <w:p w14:paraId="2390529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089</w:t>
            </w:r>
          </w:p>
          <w:p w14:paraId="72BD83D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99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11</w:t>
            </w:r>
            <w:r w:rsidRPr="007F425D">
              <w:rPr>
                <w:rFonts w:ascii="Times New Roman" w:eastAsia="Times New Roman" w:hAnsi="Times New Roman" w:cs="Times New Roman"/>
                <w:color w:val="000000"/>
                <w:sz w:val="20"/>
                <w:szCs w:val="20"/>
                <w:vertAlign w:val="superscript"/>
                <w:lang w:eastAsia="de-DE"/>
              </w:rPr>
              <w:t>***</w:t>
            </w:r>
          </w:p>
        </w:tc>
      </w:tr>
      <w:tr w:rsidR="004541ED" w:rsidRPr="007F425D" w14:paraId="512E0F36" w14:textId="77777777" w:rsidTr="004541ED">
        <w:trPr>
          <w:trHeight w:val="300"/>
        </w:trPr>
        <w:tc>
          <w:tcPr>
            <w:tcW w:w="0" w:type="auto"/>
            <w:tcBorders>
              <w:top w:val="dotted" w:sz="4" w:space="0" w:color="auto"/>
              <w:left w:val="single" w:sz="12" w:space="0" w:color="auto"/>
              <w:bottom w:val="dotted" w:sz="4" w:space="0" w:color="auto"/>
              <w:right w:val="single" w:sz="4" w:space="0" w:color="auto"/>
            </w:tcBorders>
            <w:shd w:val="clear" w:color="auto" w:fill="auto"/>
            <w:noWrap/>
            <w:vAlign w:val="center"/>
            <w:hideMark/>
          </w:tcPr>
          <w:p w14:paraId="04D3988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Pr>
                <w:rFonts w:ascii="Times New Roman" w:eastAsia="Times New Roman" w:hAnsi="Times New Roman" w:cs="Times New Roman"/>
                <w:color w:val="000000"/>
                <w:sz w:val="20"/>
                <w:szCs w:val="20"/>
                <w:lang w:eastAsia="de-DE"/>
              </w:rPr>
              <w:t xml:space="preserve">With parking </w:t>
            </w:r>
            <w:r w:rsidRPr="007F425D">
              <w:rPr>
                <w:rFonts w:ascii="Times New Roman" w:eastAsia="Times New Roman" w:hAnsi="Times New Roman" w:cs="Times New Roman"/>
                <w:color w:val="000000"/>
                <w:sz w:val="20"/>
                <w:szCs w:val="20"/>
                <w:lang w:eastAsia="de-DE"/>
              </w:rPr>
              <w:t>lot</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48F9DF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020</w:t>
            </w:r>
          </w:p>
          <w:p w14:paraId="54AB7FD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66</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5254520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030</w:t>
            </w:r>
          </w:p>
          <w:p w14:paraId="07DB476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43</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024F467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021</w:t>
            </w:r>
          </w:p>
          <w:p w14:paraId="364EE30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0B67517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023</w:t>
            </w:r>
          </w:p>
          <w:p w14:paraId="15AC2FC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26</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09B0881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021</w:t>
            </w:r>
          </w:p>
          <w:p w14:paraId="546245D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81</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591EB86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016</w:t>
            </w:r>
          </w:p>
          <w:p w14:paraId="0A960D9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37</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3993DAC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020</w:t>
            </w:r>
          </w:p>
          <w:p w14:paraId="783BFED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68</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bottom"/>
            <w:hideMark/>
          </w:tcPr>
          <w:p w14:paraId="30AC916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w:t>
            </w:r>
          </w:p>
          <w:p w14:paraId="67536D8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069E45C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021</w:t>
            </w:r>
          </w:p>
          <w:p w14:paraId="00E722A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3E285DB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023</w:t>
            </w:r>
          </w:p>
          <w:p w14:paraId="2D9F3C0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26</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50CE86A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021</w:t>
            </w:r>
          </w:p>
          <w:p w14:paraId="1E0F76C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12" w:space="0" w:color="auto"/>
            </w:tcBorders>
            <w:shd w:val="clear" w:color="auto" w:fill="auto"/>
            <w:noWrap/>
            <w:vAlign w:val="bottom"/>
            <w:hideMark/>
          </w:tcPr>
          <w:p w14:paraId="524D65A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016</w:t>
            </w:r>
          </w:p>
          <w:p w14:paraId="7E42511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38</w:t>
            </w:r>
            <w:r w:rsidRPr="007F425D">
              <w:rPr>
                <w:rFonts w:ascii="Times New Roman" w:eastAsia="Times New Roman" w:hAnsi="Times New Roman" w:cs="Times New Roman"/>
                <w:color w:val="000000"/>
                <w:sz w:val="20"/>
                <w:szCs w:val="20"/>
                <w:vertAlign w:val="superscript"/>
                <w:lang w:eastAsia="de-DE"/>
              </w:rPr>
              <w:t>***</w:t>
            </w:r>
          </w:p>
        </w:tc>
      </w:tr>
      <w:tr w:rsidR="004541ED" w:rsidRPr="007F425D" w14:paraId="4076919B" w14:textId="77777777" w:rsidTr="004541ED">
        <w:trPr>
          <w:trHeight w:val="300"/>
        </w:trPr>
        <w:tc>
          <w:tcPr>
            <w:tcW w:w="0" w:type="auto"/>
            <w:tcBorders>
              <w:top w:val="dotted" w:sz="4" w:space="0" w:color="auto"/>
              <w:left w:val="single" w:sz="12" w:space="0" w:color="auto"/>
              <w:bottom w:val="dotted" w:sz="4" w:space="0" w:color="auto"/>
              <w:right w:val="single" w:sz="4" w:space="0" w:color="auto"/>
            </w:tcBorders>
            <w:shd w:val="clear" w:color="auto" w:fill="auto"/>
            <w:noWrap/>
            <w:vAlign w:val="center"/>
            <w:hideMark/>
          </w:tcPr>
          <w:p w14:paraId="6F0A707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With terrace</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7E88997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040</w:t>
            </w:r>
          </w:p>
          <w:p w14:paraId="5974FC6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78037A2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039</w:t>
            </w:r>
          </w:p>
          <w:p w14:paraId="3871B3E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64</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7D0FBCC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039</w:t>
            </w:r>
          </w:p>
          <w:p w14:paraId="5FCABF1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0010CAD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039</w:t>
            </w:r>
          </w:p>
          <w:p w14:paraId="1F416D0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2C00426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041</w:t>
            </w:r>
          </w:p>
          <w:p w14:paraId="20FFDB2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56</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1288604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042</w:t>
            </w:r>
          </w:p>
          <w:p w14:paraId="14E28B9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51</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5210F23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040</w:t>
            </w:r>
          </w:p>
          <w:p w14:paraId="6F2A3A0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bottom"/>
            <w:hideMark/>
          </w:tcPr>
          <w:p w14:paraId="4201AC0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038</w:t>
            </w:r>
          </w:p>
          <w:p w14:paraId="5532A33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12ACB18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039</w:t>
            </w:r>
          </w:p>
          <w:p w14:paraId="062255A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6E3C3BC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039</w:t>
            </w:r>
          </w:p>
          <w:p w14:paraId="17CD70B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88</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3F6B1F3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041</w:t>
            </w:r>
          </w:p>
          <w:p w14:paraId="0B98391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62</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12" w:space="0" w:color="auto"/>
            </w:tcBorders>
            <w:shd w:val="clear" w:color="auto" w:fill="auto"/>
            <w:noWrap/>
            <w:vAlign w:val="bottom"/>
            <w:hideMark/>
          </w:tcPr>
          <w:p w14:paraId="69D2501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042</w:t>
            </w:r>
          </w:p>
          <w:p w14:paraId="44565E9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52</w:t>
            </w:r>
            <w:r w:rsidRPr="007F425D">
              <w:rPr>
                <w:rFonts w:ascii="Times New Roman" w:eastAsia="Times New Roman" w:hAnsi="Times New Roman" w:cs="Times New Roman"/>
                <w:color w:val="000000"/>
                <w:sz w:val="20"/>
                <w:szCs w:val="20"/>
                <w:vertAlign w:val="superscript"/>
                <w:lang w:eastAsia="de-DE"/>
              </w:rPr>
              <w:t>***</w:t>
            </w:r>
          </w:p>
        </w:tc>
      </w:tr>
      <w:tr w:rsidR="004541ED" w:rsidRPr="007F425D" w14:paraId="1F7D8F97" w14:textId="77777777" w:rsidTr="004541ED">
        <w:trPr>
          <w:trHeight w:val="300"/>
        </w:trPr>
        <w:tc>
          <w:tcPr>
            <w:tcW w:w="0" w:type="auto"/>
            <w:tcBorders>
              <w:top w:val="dotted" w:sz="4" w:space="0" w:color="auto"/>
              <w:left w:val="single" w:sz="12" w:space="0" w:color="auto"/>
              <w:bottom w:val="dotted" w:sz="4" w:space="0" w:color="auto"/>
              <w:right w:val="single" w:sz="4" w:space="0" w:color="auto"/>
            </w:tcBorders>
            <w:shd w:val="clear" w:color="auto" w:fill="auto"/>
            <w:noWrap/>
            <w:vAlign w:val="center"/>
            <w:hideMark/>
          </w:tcPr>
          <w:p w14:paraId="1FBCB23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With balcony</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250E9A3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034</w:t>
            </w:r>
          </w:p>
          <w:p w14:paraId="3C3EF17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52</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55C258F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030</w:t>
            </w:r>
          </w:p>
          <w:p w14:paraId="1BDCDE4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36</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0348AAC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034</w:t>
            </w:r>
          </w:p>
          <w:p w14:paraId="15CD663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03D753D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033</w:t>
            </w:r>
          </w:p>
          <w:p w14:paraId="76B7C28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97</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02AFB9E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033</w:t>
            </w:r>
          </w:p>
          <w:p w14:paraId="2A7C61C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00C027B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036</w:t>
            </w:r>
          </w:p>
          <w:p w14:paraId="66BFDA0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37</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691C8D9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034</w:t>
            </w:r>
          </w:p>
          <w:p w14:paraId="076FFA7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bottom"/>
            <w:hideMark/>
          </w:tcPr>
          <w:p w14:paraId="6DE8C50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030</w:t>
            </w:r>
          </w:p>
          <w:p w14:paraId="15DB8BE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48</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229358E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034</w:t>
            </w:r>
          </w:p>
          <w:p w14:paraId="09C6D8B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2C7561F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033</w:t>
            </w:r>
          </w:p>
          <w:p w14:paraId="2E3C070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4FE5E67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033</w:t>
            </w:r>
          </w:p>
          <w:p w14:paraId="41C73E0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04</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12" w:space="0" w:color="auto"/>
            </w:tcBorders>
            <w:shd w:val="clear" w:color="auto" w:fill="auto"/>
            <w:noWrap/>
            <w:vAlign w:val="bottom"/>
            <w:hideMark/>
          </w:tcPr>
          <w:p w14:paraId="13A40B8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036</w:t>
            </w:r>
          </w:p>
          <w:p w14:paraId="175B2A9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36</w:t>
            </w:r>
            <w:r w:rsidRPr="007F425D">
              <w:rPr>
                <w:rFonts w:ascii="Times New Roman" w:eastAsia="Times New Roman" w:hAnsi="Times New Roman" w:cs="Times New Roman"/>
                <w:color w:val="000000"/>
                <w:sz w:val="20"/>
                <w:szCs w:val="20"/>
                <w:vertAlign w:val="superscript"/>
                <w:lang w:eastAsia="de-DE"/>
              </w:rPr>
              <w:t>***</w:t>
            </w:r>
          </w:p>
        </w:tc>
      </w:tr>
      <w:tr w:rsidR="004541ED" w:rsidRPr="007F425D" w14:paraId="51F00C3F" w14:textId="77777777" w:rsidTr="004541ED">
        <w:trPr>
          <w:trHeight w:val="300"/>
        </w:trPr>
        <w:tc>
          <w:tcPr>
            <w:tcW w:w="0" w:type="auto"/>
            <w:tcBorders>
              <w:top w:val="dotted" w:sz="4" w:space="0" w:color="auto"/>
              <w:left w:val="single" w:sz="12" w:space="0" w:color="auto"/>
              <w:bottom w:val="dotted" w:sz="4" w:space="0" w:color="auto"/>
              <w:right w:val="single" w:sz="4" w:space="0" w:color="auto"/>
            </w:tcBorders>
            <w:shd w:val="clear" w:color="auto" w:fill="auto"/>
            <w:noWrap/>
            <w:vAlign w:val="center"/>
            <w:hideMark/>
          </w:tcPr>
          <w:p w14:paraId="2EFA583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With elevator</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55161C7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051</w:t>
            </w:r>
          </w:p>
          <w:p w14:paraId="4C4E610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101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51</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75EC85E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047</w:t>
            </w:r>
          </w:p>
          <w:p w14:paraId="0DD9081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5A1938A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051</w:t>
            </w:r>
          </w:p>
          <w:p w14:paraId="149EF24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48</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30C23E1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049</w:t>
            </w:r>
          </w:p>
          <w:p w14:paraId="26D4516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34</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3A43582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049</w:t>
            </w:r>
          </w:p>
          <w:p w14:paraId="4499761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42</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E53DA0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055</w:t>
            </w:r>
          </w:p>
          <w:p w14:paraId="01DFDC3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61</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0410012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051</w:t>
            </w:r>
          </w:p>
          <w:p w14:paraId="7507E59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101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74</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bottom"/>
            <w:hideMark/>
          </w:tcPr>
          <w:p w14:paraId="4B00C9B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048</w:t>
            </w:r>
          </w:p>
          <w:p w14:paraId="784633D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383F7CD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051</w:t>
            </w:r>
          </w:p>
          <w:p w14:paraId="76A55E1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11</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41172FE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049</w:t>
            </w:r>
          </w:p>
          <w:p w14:paraId="3194CC7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53</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3473CEA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049</w:t>
            </w:r>
          </w:p>
          <w:p w14:paraId="59CB16E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12" w:space="0" w:color="auto"/>
            </w:tcBorders>
            <w:shd w:val="clear" w:color="auto" w:fill="auto"/>
            <w:noWrap/>
            <w:vAlign w:val="bottom"/>
            <w:hideMark/>
          </w:tcPr>
          <w:p w14:paraId="5F3ABE5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055</w:t>
            </w:r>
          </w:p>
          <w:p w14:paraId="6BA5C7D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68</w:t>
            </w:r>
            <w:r w:rsidRPr="007F425D">
              <w:rPr>
                <w:rFonts w:ascii="Times New Roman" w:eastAsia="Times New Roman" w:hAnsi="Times New Roman" w:cs="Times New Roman"/>
                <w:color w:val="000000"/>
                <w:sz w:val="20"/>
                <w:szCs w:val="20"/>
                <w:vertAlign w:val="superscript"/>
                <w:lang w:eastAsia="de-DE"/>
              </w:rPr>
              <w:t>***</w:t>
            </w:r>
          </w:p>
        </w:tc>
      </w:tr>
      <w:tr w:rsidR="004541ED" w:rsidRPr="007F425D" w14:paraId="3A2CFBAB" w14:textId="77777777" w:rsidTr="004541ED">
        <w:trPr>
          <w:trHeight w:val="300"/>
        </w:trPr>
        <w:tc>
          <w:tcPr>
            <w:tcW w:w="0" w:type="auto"/>
            <w:tcBorders>
              <w:top w:val="dotted" w:sz="4" w:space="0" w:color="auto"/>
              <w:left w:val="single" w:sz="12" w:space="0" w:color="auto"/>
              <w:bottom w:val="dotted" w:sz="4" w:space="0" w:color="auto"/>
              <w:right w:val="single" w:sz="4" w:space="0" w:color="auto"/>
            </w:tcBorders>
            <w:shd w:val="clear" w:color="auto" w:fill="auto"/>
            <w:noWrap/>
            <w:vAlign w:val="center"/>
            <w:hideMark/>
          </w:tcPr>
          <w:p w14:paraId="0112AD0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Newly built</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484746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130</w:t>
            </w:r>
          </w:p>
          <w:p w14:paraId="287185B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153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262429B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116</w:t>
            </w:r>
          </w:p>
          <w:p w14:paraId="5461B9C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84</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4420249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125</w:t>
            </w:r>
          </w:p>
          <w:p w14:paraId="20296C6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14</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7030B5A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128</w:t>
            </w:r>
          </w:p>
          <w:p w14:paraId="17B5F31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3A3C1D1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131</w:t>
            </w:r>
          </w:p>
          <w:p w14:paraId="2F33C8E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66</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70AE1FF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137</w:t>
            </w:r>
          </w:p>
          <w:p w14:paraId="630CA0A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73</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767C8F7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130</w:t>
            </w:r>
          </w:p>
          <w:p w14:paraId="2398D62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153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87</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bottom"/>
            <w:hideMark/>
          </w:tcPr>
          <w:p w14:paraId="395C247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116</w:t>
            </w:r>
          </w:p>
          <w:p w14:paraId="1EF050C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93</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045706A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125</w:t>
            </w:r>
          </w:p>
          <w:p w14:paraId="19A72F4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30</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3DCC8A6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128</w:t>
            </w:r>
          </w:p>
          <w:p w14:paraId="6AE5AD2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96</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bottom"/>
            <w:hideMark/>
          </w:tcPr>
          <w:p w14:paraId="0830FCC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132</w:t>
            </w:r>
          </w:p>
          <w:p w14:paraId="5A5D192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86</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12" w:space="0" w:color="auto"/>
            </w:tcBorders>
            <w:shd w:val="clear" w:color="auto" w:fill="auto"/>
            <w:noWrap/>
            <w:vAlign w:val="bottom"/>
            <w:hideMark/>
          </w:tcPr>
          <w:p w14:paraId="409AF15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137</w:t>
            </w:r>
          </w:p>
          <w:p w14:paraId="1329805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78</w:t>
            </w:r>
            <w:r w:rsidRPr="007F425D">
              <w:rPr>
                <w:rFonts w:ascii="Times New Roman" w:eastAsia="Times New Roman" w:hAnsi="Times New Roman" w:cs="Times New Roman"/>
                <w:color w:val="000000"/>
                <w:sz w:val="20"/>
                <w:szCs w:val="20"/>
                <w:vertAlign w:val="superscript"/>
                <w:lang w:eastAsia="de-DE"/>
              </w:rPr>
              <w:t>***</w:t>
            </w:r>
          </w:p>
        </w:tc>
      </w:tr>
      <w:tr w:rsidR="004541ED" w:rsidRPr="007F425D" w14:paraId="4A2665CF" w14:textId="77777777" w:rsidTr="004541ED">
        <w:trPr>
          <w:trHeight w:val="300"/>
        </w:trPr>
        <w:tc>
          <w:tcPr>
            <w:tcW w:w="0" w:type="auto"/>
            <w:tcBorders>
              <w:top w:val="dotted" w:sz="4" w:space="0" w:color="auto"/>
              <w:left w:val="single" w:sz="12" w:space="0" w:color="auto"/>
              <w:bottom w:val="single" w:sz="4" w:space="0" w:color="auto"/>
              <w:right w:val="single" w:sz="4" w:space="0" w:color="auto"/>
            </w:tcBorders>
            <w:shd w:val="clear" w:color="auto" w:fill="auto"/>
            <w:noWrap/>
            <w:vAlign w:val="center"/>
            <w:hideMark/>
          </w:tcPr>
          <w:p w14:paraId="6ABFB13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Refurbished</w:t>
            </w:r>
          </w:p>
        </w:tc>
        <w:tc>
          <w:tcPr>
            <w:tcW w:w="0" w:type="auto"/>
            <w:tcBorders>
              <w:top w:val="dotted" w:sz="4" w:space="0" w:color="auto"/>
              <w:left w:val="nil"/>
              <w:bottom w:val="single" w:sz="4" w:space="0" w:color="auto"/>
              <w:right w:val="single" w:sz="4" w:space="0" w:color="auto"/>
            </w:tcBorders>
            <w:shd w:val="clear" w:color="auto" w:fill="auto"/>
            <w:noWrap/>
            <w:vAlign w:val="bottom"/>
            <w:hideMark/>
          </w:tcPr>
          <w:p w14:paraId="56FDE8D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036</w:t>
            </w:r>
          </w:p>
          <w:p w14:paraId="65D953F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16</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single" w:sz="4" w:space="0" w:color="auto"/>
              <w:right w:val="nil"/>
            </w:tcBorders>
            <w:shd w:val="clear" w:color="auto" w:fill="auto"/>
            <w:noWrap/>
            <w:vAlign w:val="bottom"/>
            <w:hideMark/>
          </w:tcPr>
          <w:p w14:paraId="5D782EB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022</w:t>
            </w:r>
          </w:p>
          <w:p w14:paraId="66A4C41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11</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single" w:sz="4" w:space="0" w:color="auto"/>
              <w:right w:val="nil"/>
            </w:tcBorders>
            <w:shd w:val="clear" w:color="auto" w:fill="auto"/>
            <w:noWrap/>
            <w:vAlign w:val="bottom"/>
            <w:hideMark/>
          </w:tcPr>
          <w:p w14:paraId="5A04C87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035</w:t>
            </w:r>
          </w:p>
          <w:p w14:paraId="048AF94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41</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single" w:sz="4" w:space="0" w:color="auto"/>
              <w:right w:val="nil"/>
            </w:tcBorders>
            <w:shd w:val="clear" w:color="auto" w:fill="auto"/>
            <w:noWrap/>
            <w:vAlign w:val="bottom"/>
            <w:hideMark/>
          </w:tcPr>
          <w:p w14:paraId="6289412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037</w:t>
            </w:r>
          </w:p>
          <w:p w14:paraId="469454E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single" w:sz="4" w:space="0" w:color="auto"/>
              <w:right w:val="nil"/>
            </w:tcBorders>
            <w:shd w:val="clear" w:color="auto" w:fill="auto"/>
            <w:noWrap/>
            <w:vAlign w:val="bottom"/>
            <w:hideMark/>
          </w:tcPr>
          <w:p w14:paraId="4389C11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036</w:t>
            </w:r>
          </w:p>
          <w:p w14:paraId="16C1586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single" w:sz="4" w:space="0" w:color="auto"/>
              <w:right w:val="single" w:sz="4" w:space="0" w:color="auto"/>
            </w:tcBorders>
            <w:shd w:val="clear" w:color="auto" w:fill="auto"/>
            <w:noWrap/>
            <w:vAlign w:val="bottom"/>
            <w:hideMark/>
          </w:tcPr>
          <w:p w14:paraId="126991C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036</w:t>
            </w:r>
          </w:p>
          <w:p w14:paraId="770B679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single" w:sz="4" w:space="0" w:color="auto"/>
              <w:right w:val="nil"/>
            </w:tcBorders>
            <w:shd w:val="clear" w:color="auto" w:fill="auto"/>
            <w:noWrap/>
            <w:vAlign w:val="bottom"/>
            <w:hideMark/>
          </w:tcPr>
          <w:p w14:paraId="0B932C2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036</w:t>
            </w:r>
          </w:p>
          <w:p w14:paraId="2811DBD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11</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single" w:sz="4" w:space="0" w:color="auto"/>
              <w:right w:val="nil"/>
            </w:tcBorders>
            <w:shd w:val="clear" w:color="auto" w:fill="auto"/>
            <w:noWrap/>
            <w:vAlign w:val="bottom"/>
            <w:hideMark/>
          </w:tcPr>
          <w:p w14:paraId="502C854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023</w:t>
            </w:r>
          </w:p>
          <w:p w14:paraId="5700CB8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single" w:sz="4" w:space="0" w:color="auto"/>
              <w:right w:val="nil"/>
            </w:tcBorders>
            <w:shd w:val="clear" w:color="auto" w:fill="auto"/>
            <w:noWrap/>
            <w:vAlign w:val="bottom"/>
            <w:hideMark/>
          </w:tcPr>
          <w:p w14:paraId="548CEDB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035</w:t>
            </w:r>
          </w:p>
          <w:p w14:paraId="3D890A2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single" w:sz="4" w:space="0" w:color="auto"/>
              <w:right w:val="nil"/>
            </w:tcBorders>
            <w:shd w:val="clear" w:color="auto" w:fill="auto"/>
            <w:noWrap/>
            <w:vAlign w:val="bottom"/>
            <w:hideMark/>
          </w:tcPr>
          <w:p w14:paraId="4D57779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037</w:t>
            </w:r>
          </w:p>
          <w:p w14:paraId="2F9404F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61</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single" w:sz="4" w:space="0" w:color="auto"/>
              <w:right w:val="nil"/>
            </w:tcBorders>
            <w:shd w:val="clear" w:color="auto" w:fill="auto"/>
            <w:noWrap/>
            <w:vAlign w:val="bottom"/>
            <w:hideMark/>
          </w:tcPr>
          <w:p w14:paraId="5C8F768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036</w:t>
            </w:r>
          </w:p>
          <w:p w14:paraId="06C23FF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91</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single" w:sz="4" w:space="0" w:color="auto"/>
              <w:right w:val="single" w:sz="12" w:space="0" w:color="auto"/>
            </w:tcBorders>
            <w:shd w:val="clear" w:color="auto" w:fill="auto"/>
            <w:noWrap/>
            <w:vAlign w:val="bottom"/>
            <w:hideMark/>
          </w:tcPr>
          <w:p w14:paraId="651C4E9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036</w:t>
            </w:r>
          </w:p>
          <w:p w14:paraId="0A00576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47</w:t>
            </w:r>
            <w:r w:rsidRPr="007F425D">
              <w:rPr>
                <w:rFonts w:ascii="Times New Roman" w:eastAsia="Times New Roman" w:hAnsi="Times New Roman" w:cs="Times New Roman"/>
                <w:color w:val="000000"/>
                <w:sz w:val="20"/>
                <w:szCs w:val="20"/>
                <w:vertAlign w:val="superscript"/>
                <w:lang w:eastAsia="de-DE"/>
              </w:rPr>
              <w:t>***</w:t>
            </w:r>
          </w:p>
        </w:tc>
      </w:tr>
      <w:tr w:rsidR="004541ED" w:rsidRPr="007F425D" w14:paraId="794CA49C" w14:textId="77777777" w:rsidTr="004541ED">
        <w:trPr>
          <w:trHeight w:val="50"/>
        </w:trPr>
        <w:tc>
          <w:tcPr>
            <w:tcW w:w="0" w:type="auto"/>
            <w:tcBorders>
              <w:top w:val="nil"/>
              <w:left w:val="single" w:sz="12" w:space="0" w:color="auto"/>
              <w:bottom w:val="nil"/>
              <w:right w:val="single" w:sz="4" w:space="0" w:color="auto"/>
            </w:tcBorders>
            <w:shd w:val="clear" w:color="auto" w:fill="auto"/>
            <w:noWrap/>
            <w:vAlign w:val="bottom"/>
            <w:hideMark/>
          </w:tcPr>
          <w:p w14:paraId="3E1C8A0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Construction fixed effects</w:t>
            </w:r>
          </w:p>
        </w:tc>
        <w:tc>
          <w:tcPr>
            <w:tcW w:w="0" w:type="auto"/>
            <w:tcBorders>
              <w:top w:val="nil"/>
              <w:left w:val="nil"/>
              <w:bottom w:val="nil"/>
              <w:right w:val="single" w:sz="4" w:space="0" w:color="auto"/>
            </w:tcBorders>
            <w:shd w:val="clear" w:color="auto" w:fill="auto"/>
            <w:noWrap/>
            <w:vAlign w:val="bottom"/>
          </w:tcPr>
          <w:p w14:paraId="67E8ABA6" w14:textId="77777777" w:rsidR="004541ED" w:rsidRPr="007F425D" w:rsidRDefault="004541ED" w:rsidP="004541ED">
            <w:pPr>
              <w:spacing w:after="0" w:line="240" w:lineRule="auto"/>
              <w:jc w:val="center"/>
              <w:rPr>
                <w:rFonts w:ascii="Times New Roman" w:eastAsia="Times New Roman" w:hAnsi="Times New Roman" w:cs="Times New Roman"/>
                <w:i/>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nil"/>
              <w:right w:val="nil"/>
            </w:tcBorders>
            <w:shd w:val="clear" w:color="auto" w:fill="auto"/>
            <w:noWrap/>
            <w:vAlign w:val="bottom"/>
          </w:tcPr>
          <w:p w14:paraId="640DEF78"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nil"/>
              <w:right w:val="nil"/>
            </w:tcBorders>
            <w:shd w:val="clear" w:color="auto" w:fill="auto"/>
            <w:noWrap/>
            <w:vAlign w:val="bottom"/>
          </w:tcPr>
          <w:p w14:paraId="05A8CB94"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nil"/>
              <w:right w:val="nil"/>
            </w:tcBorders>
            <w:shd w:val="clear" w:color="auto" w:fill="auto"/>
            <w:noWrap/>
            <w:vAlign w:val="bottom"/>
          </w:tcPr>
          <w:p w14:paraId="37969F58"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nil"/>
              <w:right w:val="nil"/>
            </w:tcBorders>
            <w:shd w:val="clear" w:color="auto" w:fill="auto"/>
            <w:noWrap/>
            <w:vAlign w:val="bottom"/>
          </w:tcPr>
          <w:p w14:paraId="286BBDC0"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nil"/>
              <w:right w:val="single" w:sz="4" w:space="0" w:color="auto"/>
            </w:tcBorders>
            <w:shd w:val="clear" w:color="auto" w:fill="auto"/>
            <w:noWrap/>
            <w:vAlign w:val="bottom"/>
          </w:tcPr>
          <w:p w14:paraId="485B2CDE"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nil"/>
              <w:right w:val="nil"/>
            </w:tcBorders>
            <w:shd w:val="clear" w:color="auto" w:fill="auto"/>
            <w:noWrap/>
            <w:vAlign w:val="bottom"/>
          </w:tcPr>
          <w:p w14:paraId="6CD50A60"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single" w:sz="4" w:space="0" w:color="auto"/>
              <w:bottom w:val="nil"/>
              <w:right w:val="nil"/>
            </w:tcBorders>
            <w:shd w:val="clear" w:color="auto" w:fill="auto"/>
            <w:noWrap/>
            <w:vAlign w:val="bottom"/>
          </w:tcPr>
          <w:p w14:paraId="43FBFAE3"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nil"/>
              <w:right w:val="nil"/>
            </w:tcBorders>
            <w:shd w:val="clear" w:color="auto" w:fill="auto"/>
            <w:noWrap/>
            <w:vAlign w:val="bottom"/>
          </w:tcPr>
          <w:p w14:paraId="34D4B39A"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nil"/>
              <w:right w:val="nil"/>
            </w:tcBorders>
            <w:shd w:val="clear" w:color="auto" w:fill="auto"/>
            <w:noWrap/>
            <w:vAlign w:val="bottom"/>
          </w:tcPr>
          <w:p w14:paraId="5EFAEC51"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nil"/>
              <w:right w:val="nil"/>
            </w:tcBorders>
            <w:shd w:val="clear" w:color="auto" w:fill="auto"/>
            <w:noWrap/>
            <w:vAlign w:val="bottom"/>
          </w:tcPr>
          <w:p w14:paraId="5B48C34E"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nil"/>
              <w:right w:val="single" w:sz="12" w:space="0" w:color="auto"/>
            </w:tcBorders>
            <w:shd w:val="clear" w:color="auto" w:fill="auto"/>
            <w:noWrap/>
            <w:vAlign w:val="bottom"/>
          </w:tcPr>
          <w:p w14:paraId="1179660C"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r>
      <w:tr w:rsidR="004541ED" w:rsidRPr="007F425D" w14:paraId="47C1F78E" w14:textId="77777777" w:rsidTr="004541ED">
        <w:trPr>
          <w:trHeight w:val="60"/>
        </w:trPr>
        <w:tc>
          <w:tcPr>
            <w:tcW w:w="0" w:type="auto"/>
            <w:tcBorders>
              <w:top w:val="nil"/>
              <w:left w:val="single" w:sz="12" w:space="0" w:color="auto"/>
              <w:bottom w:val="nil"/>
              <w:right w:val="single" w:sz="4" w:space="0" w:color="auto"/>
            </w:tcBorders>
            <w:shd w:val="clear" w:color="auto" w:fill="auto"/>
            <w:noWrap/>
            <w:vAlign w:val="bottom"/>
            <w:hideMark/>
          </w:tcPr>
          <w:p w14:paraId="0C53F51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Quarterly fixed effects</w:t>
            </w:r>
          </w:p>
        </w:tc>
        <w:tc>
          <w:tcPr>
            <w:tcW w:w="0" w:type="auto"/>
            <w:tcBorders>
              <w:top w:val="nil"/>
              <w:left w:val="nil"/>
              <w:bottom w:val="nil"/>
              <w:right w:val="single" w:sz="4" w:space="0" w:color="auto"/>
            </w:tcBorders>
            <w:shd w:val="clear" w:color="auto" w:fill="auto"/>
            <w:noWrap/>
            <w:vAlign w:val="bottom"/>
          </w:tcPr>
          <w:p w14:paraId="0BEEA6D0"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nil"/>
              <w:right w:val="nil"/>
            </w:tcBorders>
            <w:shd w:val="clear" w:color="auto" w:fill="auto"/>
            <w:noWrap/>
            <w:vAlign w:val="bottom"/>
          </w:tcPr>
          <w:p w14:paraId="5D822E29"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nil"/>
              <w:right w:val="nil"/>
            </w:tcBorders>
            <w:shd w:val="clear" w:color="auto" w:fill="auto"/>
            <w:noWrap/>
            <w:vAlign w:val="bottom"/>
          </w:tcPr>
          <w:p w14:paraId="6631C85D"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nil"/>
              <w:right w:val="nil"/>
            </w:tcBorders>
            <w:shd w:val="clear" w:color="auto" w:fill="auto"/>
            <w:noWrap/>
            <w:vAlign w:val="bottom"/>
          </w:tcPr>
          <w:p w14:paraId="1EE08016"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nil"/>
              <w:right w:val="nil"/>
            </w:tcBorders>
            <w:shd w:val="clear" w:color="auto" w:fill="auto"/>
            <w:noWrap/>
            <w:vAlign w:val="bottom"/>
          </w:tcPr>
          <w:p w14:paraId="259E9FD7"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nil"/>
              <w:right w:val="single" w:sz="4" w:space="0" w:color="auto"/>
            </w:tcBorders>
            <w:shd w:val="clear" w:color="auto" w:fill="auto"/>
            <w:noWrap/>
            <w:vAlign w:val="bottom"/>
          </w:tcPr>
          <w:p w14:paraId="5166B865"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nil"/>
              <w:right w:val="nil"/>
            </w:tcBorders>
            <w:shd w:val="clear" w:color="auto" w:fill="auto"/>
            <w:noWrap/>
            <w:vAlign w:val="bottom"/>
          </w:tcPr>
          <w:p w14:paraId="6CBCEADB"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single" w:sz="4" w:space="0" w:color="auto"/>
              <w:bottom w:val="nil"/>
              <w:right w:val="nil"/>
            </w:tcBorders>
            <w:shd w:val="clear" w:color="auto" w:fill="auto"/>
            <w:noWrap/>
            <w:vAlign w:val="bottom"/>
          </w:tcPr>
          <w:p w14:paraId="268AD08A"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nil"/>
              <w:right w:val="nil"/>
            </w:tcBorders>
            <w:shd w:val="clear" w:color="auto" w:fill="auto"/>
            <w:noWrap/>
            <w:vAlign w:val="bottom"/>
          </w:tcPr>
          <w:p w14:paraId="366F1713"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nil"/>
              <w:right w:val="nil"/>
            </w:tcBorders>
            <w:shd w:val="clear" w:color="auto" w:fill="auto"/>
            <w:noWrap/>
            <w:vAlign w:val="bottom"/>
          </w:tcPr>
          <w:p w14:paraId="5ED4FEAE"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nil"/>
              <w:right w:val="nil"/>
            </w:tcBorders>
            <w:shd w:val="clear" w:color="auto" w:fill="auto"/>
            <w:noWrap/>
            <w:vAlign w:val="bottom"/>
          </w:tcPr>
          <w:p w14:paraId="2C3B3DB1"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nil"/>
              <w:right w:val="single" w:sz="12" w:space="0" w:color="auto"/>
            </w:tcBorders>
            <w:shd w:val="clear" w:color="auto" w:fill="auto"/>
            <w:noWrap/>
            <w:vAlign w:val="bottom"/>
          </w:tcPr>
          <w:p w14:paraId="77BA7907"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r>
      <w:tr w:rsidR="004541ED" w:rsidRPr="007F425D" w14:paraId="5B1B77BD" w14:textId="77777777" w:rsidTr="004541ED">
        <w:trPr>
          <w:trHeight w:val="60"/>
        </w:trPr>
        <w:tc>
          <w:tcPr>
            <w:tcW w:w="0" w:type="auto"/>
            <w:tcBorders>
              <w:top w:val="nil"/>
              <w:left w:val="single" w:sz="12" w:space="0" w:color="auto"/>
              <w:bottom w:val="single" w:sz="4" w:space="0" w:color="auto"/>
              <w:right w:val="single" w:sz="4" w:space="0" w:color="auto"/>
            </w:tcBorders>
            <w:shd w:val="clear" w:color="auto" w:fill="auto"/>
            <w:noWrap/>
            <w:vAlign w:val="bottom"/>
            <w:hideMark/>
          </w:tcPr>
          <w:p w14:paraId="7742DFB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Spatial fixed effects</w:t>
            </w:r>
          </w:p>
        </w:tc>
        <w:tc>
          <w:tcPr>
            <w:tcW w:w="0" w:type="auto"/>
            <w:tcBorders>
              <w:top w:val="nil"/>
              <w:left w:val="nil"/>
              <w:bottom w:val="single" w:sz="4" w:space="0" w:color="auto"/>
              <w:right w:val="single" w:sz="4" w:space="0" w:color="auto"/>
            </w:tcBorders>
            <w:shd w:val="clear" w:color="auto" w:fill="auto"/>
            <w:noWrap/>
            <w:vAlign w:val="bottom"/>
          </w:tcPr>
          <w:p w14:paraId="5B8D8D94"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single" w:sz="4" w:space="0" w:color="auto"/>
              <w:right w:val="nil"/>
            </w:tcBorders>
            <w:shd w:val="clear" w:color="auto" w:fill="auto"/>
            <w:noWrap/>
            <w:vAlign w:val="bottom"/>
          </w:tcPr>
          <w:p w14:paraId="607D4ACB"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single" w:sz="4" w:space="0" w:color="auto"/>
              <w:right w:val="nil"/>
            </w:tcBorders>
            <w:shd w:val="clear" w:color="auto" w:fill="auto"/>
            <w:noWrap/>
            <w:vAlign w:val="bottom"/>
          </w:tcPr>
          <w:p w14:paraId="41AB3A64"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single" w:sz="4" w:space="0" w:color="auto"/>
              <w:right w:val="nil"/>
            </w:tcBorders>
            <w:shd w:val="clear" w:color="auto" w:fill="auto"/>
            <w:noWrap/>
            <w:vAlign w:val="bottom"/>
          </w:tcPr>
          <w:p w14:paraId="60EBF6B4"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single" w:sz="4" w:space="0" w:color="auto"/>
              <w:right w:val="nil"/>
            </w:tcBorders>
            <w:shd w:val="clear" w:color="auto" w:fill="auto"/>
            <w:noWrap/>
            <w:vAlign w:val="bottom"/>
          </w:tcPr>
          <w:p w14:paraId="57643234"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single" w:sz="4" w:space="0" w:color="auto"/>
              <w:right w:val="single" w:sz="4" w:space="0" w:color="auto"/>
            </w:tcBorders>
            <w:shd w:val="clear" w:color="auto" w:fill="auto"/>
            <w:noWrap/>
            <w:vAlign w:val="bottom"/>
          </w:tcPr>
          <w:p w14:paraId="39E6D46D"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single" w:sz="4" w:space="0" w:color="auto"/>
              <w:right w:val="nil"/>
            </w:tcBorders>
            <w:shd w:val="clear" w:color="auto" w:fill="auto"/>
            <w:noWrap/>
            <w:vAlign w:val="bottom"/>
          </w:tcPr>
          <w:p w14:paraId="677023C6"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single" w:sz="4" w:space="0" w:color="auto"/>
              <w:bottom w:val="single" w:sz="4" w:space="0" w:color="auto"/>
              <w:right w:val="nil"/>
            </w:tcBorders>
            <w:shd w:val="clear" w:color="auto" w:fill="auto"/>
            <w:noWrap/>
            <w:vAlign w:val="bottom"/>
          </w:tcPr>
          <w:p w14:paraId="54195C63"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single" w:sz="4" w:space="0" w:color="auto"/>
              <w:right w:val="nil"/>
            </w:tcBorders>
            <w:shd w:val="clear" w:color="auto" w:fill="auto"/>
            <w:noWrap/>
            <w:vAlign w:val="bottom"/>
          </w:tcPr>
          <w:p w14:paraId="6BFA2CA9"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single" w:sz="4" w:space="0" w:color="auto"/>
              <w:right w:val="nil"/>
            </w:tcBorders>
            <w:shd w:val="clear" w:color="auto" w:fill="auto"/>
            <w:noWrap/>
            <w:vAlign w:val="bottom"/>
          </w:tcPr>
          <w:p w14:paraId="77904268"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single" w:sz="4" w:space="0" w:color="auto"/>
              <w:right w:val="nil"/>
            </w:tcBorders>
            <w:shd w:val="clear" w:color="auto" w:fill="auto"/>
            <w:noWrap/>
            <w:vAlign w:val="bottom"/>
          </w:tcPr>
          <w:p w14:paraId="74508916"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single" w:sz="4" w:space="0" w:color="auto"/>
              <w:right w:val="single" w:sz="12" w:space="0" w:color="auto"/>
            </w:tcBorders>
            <w:shd w:val="clear" w:color="auto" w:fill="auto"/>
            <w:noWrap/>
            <w:vAlign w:val="bottom"/>
          </w:tcPr>
          <w:p w14:paraId="50A81431"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r>
      <w:tr w:rsidR="004541ED" w:rsidRPr="007F425D" w14:paraId="0BB01CFF" w14:textId="77777777" w:rsidTr="004541ED">
        <w:trPr>
          <w:trHeight w:val="300"/>
        </w:trPr>
        <w:tc>
          <w:tcPr>
            <w:tcW w:w="0" w:type="auto"/>
            <w:tcBorders>
              <w:top w:val="nil"/>
              <w:left w:val="single" w:sz="12" w:space="0" w:color="auto"/>
              <w:bottom w:val="nil"/>
              <w:right w:val="single" w:sz="4" w:space="0" w:color="auto"/>
            </w:tcBorders>
            <w:shd w:val="clear" w:color="auto" w:fill="auto"/>
            <w:noWrap/>
            <w:vAlign w:val="bottom"/>
            <w:hideMark/>
          </w:tcPr>
          <w:p w14:paraId="47CD62A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R²</w:t>
            </w:r>
          </w:p>
        </w:tc>
        <w:tc>
          <w:tcPr>
            <w:tcW w:w="0" w:type="auto"/>
            <w:tcBorders>
              <w:top w:val="nil"/>
              <w:left w:val="nil"/>
              <w:bottom w:val="nil"/>
              <w:right w:val="single" w:sz="4" w:space="0" w:color="auto"/>
            </w:tcBorders>
            <w:shd w:val="clear" w:color="auto" w:fill="auto"/>
            <w:noWrap/>
            <w:vAlign w:val="bottom"/>
            <w:hideMark/>
          </w:tcPr>
          <w:p w14:paraId="2D4D9394"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07%</w:t>
            </w:r>
          </w:p>
        </w:tc>
        <w:tc>
          <w:tcPr>
            <w:tcW w:w="0" w:type="auto"/>
            <w:tcBorders>
              <w:top w:val="nil"/>
              <w:left w:val="nil"/>
              <w:bottom w:val="nil"/>
              <w:right w:val="nil"/>
            </w:tcBorders>
            <w:shd w:val="clear" w:color="auto" w:fill="auto"/>
            <w:noWrap/>
            <w:vAlign w:val="bottom"/>
            <w:hideMark/>
          </w:tcPr>
          <w:p w14:paraId="14236D7C"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91%</w:t>
            </w:r>
          </w:p>
        </w:tc>
        <w:tc>
          <w:tcPr>
            <w:tcW w:w="0" w:type="auto"/>
            <w:tcBorders>
              <w:top w:val="nil"/>
              <w:left w:val="nil"/>
              <w:bottom w:val="nil"/>
              <w:right w:val="nil"/>
            </w:tcBorders>
            <w:shd w:val="clear" w:color="auto" w:fill="auto"/>
            <w:noWrap/>
            <w:vAlign w:val="bottom"/>
            <w:hideMark/>
          </w:tcPr>
          <w:p w14:paraId="2E2BE3EC"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78%</w:t>
            </w:r>
          </w:p>
        </w:tc>
        <w:tc>
          <w:tcPr>
            <w:tcW w:w="0" w:type="auto"/>
            <w:tcBorders>
              <w:top w:val="nil"/>
              <w:left w:val="nil"/>
              <w:bottom w:val="nil"/>
              <w:right w:val="nil"/>
            </w:tcBorders>
            <w:shd w:val="clear" w:color="auto" w:fill="auto"/>
            <w:noWrap/>
            <w:vAlign w:val="bottom"/>
            <w:hideMark/>
          </w:tcPr>
          <w:p w14:paraId="64D39F36"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31%</w:t>
            </w:r>
          </w:p>
        </w:tc>
        <w:tc>
          <w:tcPr>
            <w:tcW w:w="0" w:type="auto"/>
            <w:tcBorders>
              <w:top w:val="nil"/>
              <w:left w:val="nil"/>
              <w:bottom w:val="nil"/>
              <w:right w:val="nil"/>
            </w:tcBorders>
            <w:shd w:val="clear" w:color="auto" w:fill="auto"/>
            <w:noWrap/>
            <w:vAlign w:val="bottom"/>
            <w:hideMark/>
          </w:tcPr>
          <w:p w14:paraId="258FC997"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80%</w:t>
            </w:r>
          </w:p>
        </w:tc>
        <w:tc>
          <w:tcPr>
            <w:tcW w:w="0" w:type="auto"/>
            <w:tcBorders>
              <w:top w:val="nil"/>
              <w:left w:val="nil"/>
              <w:bottom w:val="nil"/>
              <w:right w:val="single" w:sz="4" w:space="0" w:color="auto"/>
            </w:tcBorders>
            <w:shd w:val="clear" w:color="auto" w:fill="auto"/>
            <w:noWrap/>
            <w:vAlign w:val="bottom"/>
            <w:hideMark/>
          </w:tcPr>
          <w:p w14:paraId="183559B5"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54%</w:t>
            </w:r>
          </w:p>
        </w:tc>
        <w:tc>
          <w:tcPr>
            <w:tcW w:w="0" w:type="auto"/>
            <w:tcBorders>
              <w:top w:val="nil"/>
              <w:left w:val="nil"/>
              <w:bottom w:val="nil"/>
              <w:right w:val="nil"/>
            </w:tcBorders>
            <w:shd w:val="clear" w:color="auto" w:fill="auto"/>
            <w:noWrap/>
            <w:vAlign w:val="bottom"/>
            <w:hideMark/>
          </w:tcPr>
          <w:p w14:paraId="51BF42E7"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06%</w:t>
            </w:r>
          </w:p>
        </w:tc>
        <w:tc>
          <w:tcPr>
            <w:tcW w:w="0" w:type="auto"/>
            <w:tcBorders>
              <w:top w:val="nil"/>
              <w:left w:val="single" w:sz="4" w:space="0" w:color="auto"/>
              <w:bottom w:val="nil"/>
              <w:right w:val="nil"/>
            </w:tcBorders>
            <w:shd w:val="clear" w:color="auto" w:fill="auto"/>
            <w:noWrap/>
            <w:vAlign w:val="bottom"/>
            <w:hideMark/>
          </w:tcPr>
          <w:p w14:paraId="31768311"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88%</w:t>
            </w:r>
          </w:p>
        </w:tc>
        <w:tc>
          <w:tcPr>
            <w:tcW w:w="0" w:type="auto"/>
            <w:tcBorders>
              <w:top w:val="nil"/>
              <w:left w:val="nil"/>
              <w:bottom w:val="nil"/>
              <w:right w:val="nil"/>
            </w:tcBorders>
            <w:shd w:val="clear" w:color="auto" w:fill="auto"/>
            <w:noWrap/>
            <w:vAlign w:val="bottom"/>
            <w:hideMark/>
          </w:tcPr>
          <w:p w14:paraId="2A8EF347"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78%</w:t>
            </w:r>
          </w:p>
        </w:tc>
        <w:tc>
          <w:tcPr>
            <w:tcW w:w="0" w:type="auto"/>
            <w:tcBorders>
              <w:top w:val="nil"/>
              <w:left w:val="nil"/>
              <w:bottom w:val="nil"/>
              <w:right w:val="nil"/>
            </w:tcBorders>
            <w:shd w:val="clear" w:color="auto" w:fill="auto"/>
            <w:noWrap/>
            <w:vAlign w:val="bottom"/>
            <w:hideMark/>
          </w:tcPr>
          <w:p w14:paraId="4917A4F0"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30%</w:t>
            </w:r>
          </w:p>
        </w:tc>
        <w:tc>
          <w:tcPr>
            <w:tcW w:w="0" w:type="auto"/>
            <w:tcBorders>
              <w:top w:val="nil"/>
              <w:left w:val="nil"/>
              <w:bottom w:val="nil"/>
              <w:right w:val="nil"/>
            </w:tcBorders>
            <w:shd w:val="clear" w:color="auto" w:fill="auto"/>
            <w:noWrap/>
            <w:vAlign w:val="bottom"/>
            <w:hideMark/>
          </w:tcPr>
          <w:p w14:paraId="2B1F633B"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80%</w:t>
            </w:r>
          </w:p>
        </w:tc>
        <w:tc>
          <w:tcPr>
            <w:tcW w:w="0" w:type="auto"/>
            <w:tcBorders>
              <w:top w:val="nil"/>
              <w:left w:val="nil"/>
              <w:bottom w:val="nil"/>
              <w:right w:val="single" w:sz="12" w:space="0" w:color="auto"/>
            </w:tcBorders>
            <w:shd w:val="clear" w:color="auto" w:fill="auto"/>
            <w:noWrap/>
            <w:vAlign w:val="bottom"/>
            <w:hideMark/>
          </w:tcPr>
          <w:p w14:paraId="6E2E9251"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54%</w:t>
            </w:r>
          </w:p>
        </w:tc>
      </w:tr>
      <w:tr w:rsidR="004541ED" w:rsidRPr="007F425D" w14:paraId="6EDD75F7" w14:textId="77777777" w:rsidTr="004541ED">
        <w:trPr>
          <w:trHeight w:val="315"/>
        </w:trPr>
        <w:tc>
          <w:tcPr>
            <w:tcW w:w="0" w:type="auto"/>
            <w:tcBorders>
              <w:top w:val="nil"/>
              <w:left w:val="single" w:sz="12" w:space="0" w:color="auto"/>
              <w:bottom w:val="single" w:sz="12" w:space="0" w:color="auto"/>
              <w:right w:val="single" w:sz="4" w:space="0" w:color="auto"/>
            </w:tcBorders>
            <w:shd w:val="clear" w:color="auto" w:fill="auto"/>
            <w:noWrap/>
            <w:vAlign w:val="bottom"/>
            <w:hideMark/>
          </w:tcPr>
          <w:p w14:paraId="7E5527F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N</w:t>
            </w:r>
          </w:p>
        </w:tc>
        <w:tc>
          <w:tcPr>
            <w:tcW w:w="0" w:type="auto"/>
            <w:tcBorders>
              <w:top w:val="nil"/>
              <w:left w:val="nil"/>
              <w:bottom w:val="single" w:sz="12" w:space="0" w:color="auto"/>
              <w:right w:val="single" w:sz="4" w:space="0" w:color="auto"/>
            </w:tcBorders>
            <w:shd w:val="clear" w:color="auto" w:fill="auto"/>
            <w:noWrap/>
            <w:vAlign w:val="bottom"/>
            <w:hideMark/>
          </w:tcPr>
          <w:p w14:paraId="23EA496E"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202</w:t>
            </w:r>
          </w:p>
        </w:tc>
        <w:tc>
          <w:tcPr>
            <w:tcW w:w="0" w:type="auto"/>
            <w:tcBorders>
              <w:top w:val="nil"/>
              <w:left w:val="nil"/>
              <w:bottom w:val="single" w:sz="12" w:space="0" w:color="auto"/>
              <w:right w:val="nil"/>
            </w:tcBorders>
            <w:shd w:val="clear" w:color="auto" w:fill="auto"/>
            <w:noWrap/>
            <w:vAlign w:val="bottom"/>
            <w:hideMark/>
          </w:tcPr>
          <w:p w14:paraId="6E0FC49E"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339</w:t>
            </w:r>
          </w:p>
        </w:tc>
        <w:tc>
          <w:tcPr>
            <w:tcW w:w="0" w:type="auto"/>
            <w:tcBorders>
              <w:top w:val="nil"/>
              <w:left w:val="nil"/>
              <w:bottom w:val="single" w:sz="12" w:space="0" w:color="auto"/>
              <w:right w:val="nil"/>
            </w:tcBorders>
            <w:shd w:val="clear" w:color="auto" w:fill="auto"/>
            <w:noWrap/>
            <w:vAlign w:val="bottom"/>
            <w:hideMark/>
          </w:tcPr>
          <w:p w14:paraId="6DF6E26C"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226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367</w:t>
            </w:r>
          </w:p>
        </w:tc>
        <w:tc>
          <w:tcPr>
            <w:tcW w:w="0" w:type="auto"/>
            <w:tcBorders>
              <w:top w:val="nil"/>
              <w:left w:val="nil"/>
              <w:bottom w:val="single" w:sz="12" w:space="0" w:color="auto"/>
              <w:right w:val="nil"/>
            </w:tcBorders>
            <w:shd w:val="clear" w:color="auto" w:fill="auto"/>
            <w:noWrap/>
            <w:vAlign w:val="bottom"/>
            <w:hideMark/>
          </w:tcPr>
          <w:p w14:paraId="33594158"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251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214</w:t>
            </w:r>
          </w:p>
        </w:tc>
        <w:tc>
          <w:tcPr>
            <w:tcW w:w="0" w:type="auto"/>
            <w:tcBorders>
              <w:top w:val="nil"/>
              <w:left w:val="nil"/>
              <w:bottom w:val="single" w:sz="12" w:space="0" w:color="auto"/>
              <w:right w:val="nil"/>
            </w:tcBorders>
            <w:shd w:val="clear" w:color="auto" w:fill="auto"/>
            <w:noWrap/>
            <w:vAlign w:val="bottom"/>
            <w:hideMark/>
          </w:tcPr>
          <w:p w14:paraId="022CAD68"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262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567</w:t>
            </w:r>
          </w:p>
        </w:tc>
        <w:tc>
          <w:tcPr>
            <w:tcW w:w="0" w:type="auto"/>
            <w:tcBorders>
              <w:top w:val="nil"/>
              <w:left w:val="nil"/>
              <w:bottom w:val="single" w:sz="12" w:space="0" w:color="auto"/>
              <w:right w:val="single" w:sz="4" w:space="0" w:color="auto"/>
            </w:tcBorders>
            <w:shd w:val="clear" w:color="auto" w:fill="auto"/>
            <w:noWrap/>
            <w:vAlign w:val="bottom"/>
            <w:hideMark/>
          </w:tcPr>
          <w:p w14:paraId="0705197F"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251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715</w:t>
            </w:r>
          </w:p>
        </w:tc>
        <w:tc>
          <w:tcPr>
            <w:tcW w:w="0" w:type="auto"/>
            <w:tcBorders>
              <w:top w:val="nil"/>
              <w:left w:val="nil"/>
              <w:bottom w:val="single" w:sz="12" w:space="0" w:color="auto"/>
              <w:right w:val="nil"/>
            </w:tcBorders>
            <w:shd w:val="clear" w:color="auto" w:fill="auto"/>
            <w:noWrap/>
            <w:vAlign w:val="bottom"/>
            <w:hideMark/>
          </w:tcPr>
          <w:p w14:paraId="69AFBEC8"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202</w:t>
            </w:r>
          </w:p>
        </w:tc>
        <w:tc>
          <w:tcPr>
            <w:tcW w:w="0" w:type="auto"/>
            <w:tcBorders>
              <w:top w:val="nil"/>
              <w:left w:val="single" w:sz="4" w:space="0" w:color="auto"/>
              <w:bottom w:val="single" w:sz="12" w:space="0" w:color="auto"/>
              <w:right w:val="nil"/>
            </w:tcBorders>
            <w:shd w:val="clear" w:color="auto" w:fill="auto"/>
            <w:noWrap/>
            <w:vAlign w:val="bottom"/>
            <w:hideMark/>
          </w:tcPr>
          <w:p w14:paraId="1636DE7C"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339</w:t>
            </w:r>
          </w:p>
        </w:tc>
        <w:tc>
          <w:tcPr>
            <w:tcW w:w="0" w:type="auto"/>
            <w:tcBorders>
              <w:top w:val="nil"/>
              <w:left w:val="nil"/>
              <w:bottom w:val="single" w:sz="12" w:space="0" w:color="auto"/>
              <w:right w:val="nil"/>
            </w:tcBorders>
            <w:shd w:val="clear" w:color="auto" w:fill="auto"/>
            <w:noWrap/>
            <w:vAlign w:val="bottom"/>
            <w:hideMark/>
          </w:tcPr>
          <w:p w14:paraId="5201EB73"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226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367</w:t>
            </w:r>
          </w:p>
        </w:tc>
        <w:tc>
          <w:tcPr>
            <w:tcW w:w="0" w:type="auto"/>
            <w:tcBorders>
              <w:top w:val="nil"/>
              <w:left w:val="nil"/>
              <w:bottom w:val="single" w:sz="12" w:space="0" w:color="auto"/>
              <w:right w:val="nil"/>
            </w:tcBorders>
            <w:shd w:val="clear" w:color="auto" w:fill="auto"/>
            <w:noWrap/>
            <w:vAlign w:val="bottom"/>
            <w:hideMark/>
          </w:tcPr>
          <w:p w14:paraId="2EB281A8"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251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214</w:t>
            </w:r>
          </w:p>
        </w:tc>
        <w:tc>
          <w:tcPr>
            <w:tcW w:w="0" w:type="auto"/>
            <w:tcBorders>
              <w:top w:val="nil"/>
              <w:left w:val="nil"/>
              <w:bottom w:val="single" w:sz="12" w:space="0" w:color="auto"/>
              <w:right w:val="nil"/>
            </w:tcBorders>
            <w:shd w:val="clear" w:color="auto" w:fill="auto"/>
            <w:noWrap/>
            <w:vAlign w:val="bottom"/>
            <w:hideMark/>
          </w:tcPr>
          <w:p w14:paraId="1124CC92"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262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567</w:t>
            </w:r>
          </w:p>
        </w:tc>
        <w:tc>
          <w:tcPr>
            <w:tcW w:w="0" w:type="auto"/>
            <w:tcBorders>
              <w:top w:val="nil"/>
              <w:left w:val="nil"/>
              <w:bottom w:val="single" w:sz="12" w:space="0" w:color="auto"/>
              <w:right w:val="single" w:sz="12" w:space="0" w:color="auto"/>
            </w:tcBorders>
            <w:shd w:val="clear" w:color="auto" w:fill="auto"/>
            <w:noWrap/>
            <w:vAlign w:val="bottom"/>
            <w:hideMark/>
          </w:tcPr>
          <w:p w14:paraId="4BC8BBE7"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251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715</w:t>
            </w:r>
          </w:p>
        </w:tc>
      </w:tr>
      <w:tr w:rsidR="004541ED" w:rsidRPr="003D0E92" w14:paraId="3D1B6D13" w14:textId="77777777" w:rsidTr="004541ED">
        <w:trPr>
          <w:trHeight w:val="675"/>
        </w:trPr>
        <w:tc>
          <w:tcPr>
            <w:tcW w:w="0" w:type="auto"/>
            <w:gridSpan w:val="13"/>
            <w:tcBorders>
              <w:top w:val="single" w:sz="12" w:space="0" w:color="auto"/>
              <w:left w:val="nil"/>
              <w:bottom w:val="nil"/>
              <w:right w:val="nil"/>
            </w:tcBorders>
            <w:shd w:val="clear" w:color="auto" w:fill="auto"/>
            <w:hideMark/>
          </w:tcPr>
          <w:p w14:paraId="410377E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b/>
                <w:color w:val="000000"/>
                <w:sz w:val="16"/>
                <w:szCs w:val="20"/>
                <w:lang w:eastAsia="de-DE"/>
              </w:rPr>
              <w:t>Notes</w:t>
            </w:r>
            <w:r w:rsidRPr="007F425D">
              <w:rPr>
                <w:rFonts w:ascii="Times New Roman" w:eastAsia="Times New Roman" w:hAnsi="Times New Roman" w:cs="Times New Roman"/>
                <w:color w:val="000000"/>
                <w:sz w:val="16"/>
                <w:szCs w:val="20"/>
                <w:lang w:eastAsia="de-DE"/>
              </w:rPr>
              <w:t xml:space="preserve">: </w:t>
            </w:r>
            <w:r w:rsidRPr="007F425D">
              <w:rPr>
                <w:rFonts w:ascii="Times New Roman" w:eastAsia="Times New Roman" w:hAnsi="Times New Roman" w:cs="Times New Roman"/>
                <w:color w:val="000000"/>
                <w:sz w:val="16"/>
                <w:szCs w:val="20"/>
                <w:vertAlign w:val="superscript"/>
                <w:lang w:eastAsia="de-DE"/>
              </w:rPr>
              <w:t>*</w:t>
            </w:r>
            <w:r w:rsidRPr="007F425D">
              <w:rPr>
                <w:rFonts w:ascii="Times New Roman" w:eastAsia="Times New Roman" w:hAnsi="Times New Roman" w:cs="Times New Roman"/>
                <w:color w:val="000000"/>
                <w:sz w:val="16"/>
                <w:szCs w:val="20"/>
                <w:lang w:eastAsia="de-DE"/>
              </w:rPr>
              <w:t xml:space="preserve">Significant at the 10%-level; </w:t>
            </w:r>
            <w:r w:rsidRPr="007F425D">
              <w:rPr>
                <w:rFonts w:ascii="Times New Roman" w:eastAsia="Times New Roman" w:hAnsi="Times New Roman" w:cs="Times New Roman"/>
                <w:color w:val="000000"/>
                <w:sz w:val="16"/>
                <w:szCs w:val="20"/>
                <w:vertAlign w:val="superscript"/>
                <w:lang w:eastAsia="de-DE"/>
              </w:rPr>
              <w:t>**</w:t>
            </w:r>
            <w:r w:rsidRPr="007F425D">
              <w:rPr>
                <w:rFonts w:ascii="Times New Roman" w:eastAsia="Times New Roman" w:hAnsi="Times New Roman" w:cs="Times New Roman"/>
                <w:color w:val="000000"/>
                <w:sz w:val="16"/>
                <w:szCs w:val="20"/>
                <w:lang w:eastAsia="de-DE"/>
              </w:rPr>
              <w:t xml:space="preserve"> significant at the 5%-level; </w:t>
            </w:r>
            <w:r w:rsidRPr="007F425D">
              <w:rPr>
                <w:rFonts w:ascii="Times New Roman" w:eastAsia="Times New Roman" w:hAnsi="Times New Roman" w:cs="Times New Roman"/>
                <w:color w:val="000000"/>
                <w:sz w:val="16"/>
                <w:szCs w:val="20"/>
                <w:vertAlign w:val="superscript"/>
                <w:lang w:eastAsia="de-DE"/>
              </w:rPr>
              <w:t>***</w:t>
            </w:r>
            <w:r w:rsidRPr="007F425D">
              <w:rPr>
                <w:rFonts w:ascii="Times New Roman" w:eastAsia="Times New Roman" w:hAnsi="Times New Roman" w:cs="Times New Roman"/>
                <w:color w:val="000000"/>
                <w:sz w:val="16"/>
                <w:szCs w:val="20"/>
                <w:lang w:eastAsia="de-DE"/>
              </w:rPr>
              <w:t xml:space="preserve"> significant at the 1%-level. The exhibit shows the regression results of a semiparametric regression estimated via Generalized Additive Model for Location, Scale and Shape (GAMLSS) under the normal distribution. Rents in log €/p.m. Construction dummies in 10 years steps. NUTS3 refer to municipalities as defined by  the European Commission. Sigma equation controls for area, number of rooms, households density and age.</w:t>
            </w:r>
          </w:p>
        </w:tc>
      </w:tr>
    </w:tbl>
    <w:p w14:paraId="6034466B" w14:textId="77777777" w:rsidR="004541ED" w:rsidRPr="007F425D" w:rsidRDefault="004541ED" w:rsidP="004541ED"/>
    <w:p w14:paraId="507E72E0" w14:textId="77777777" w:rsidR="004541ED" w:rsidRPr="007F425D" w:rsidRDefault="004541ED" w:rsidP="004541ED">
      <w:pPr>
        <w:rPr>
          <w:rFonts w:ascii="Times New Roman" w:hAnsi="Times New Roman" w:cs="Times New Roman"/>
        </w:rPr>
      </w:pPr>
    </w:p>
    <w:p w14:paraId="1E09ECD2" w14:textId="77777777" w:rsidR="004541ED" w:rsidRPr="007F425D" w:rsidRDefault="004541ED" w:rsidP="004541ED">
      <w:pPr>
        <w:rPr>
          <w:rFonts w:ascii="Times New Roman" w:hAnsi="Times New Roman" w:cs="Times New Roman"/>
          <w:sz w:val="16"/>
          <w:szCs w:val="16"/>
        </w:rPr>
      </w:pPr>
    </w:p>
    <w:p w14:paraId="7DCEE7E9" w14:textId="77777777" w:rsidR="004541ED" w:rsidRPr="007F425D" w:rsidRDefault="004541ED" w:rsidP="004541ED">
      <w:pPr>
        <w:tabs>
          <w:tab w:val="left" w:pos="1639"/>
        </w:tabs>
        <w:rPr>
          <w:rFonts w:ascii="Times New Roman" w:hAnsi="Times New Roman" w:cs="Times New Roman"/>
        </w:rPr>
      </w:pPr>
      <w:r w:rsidRPr="007F425D">
        <w:rPr>
          <w:rFonts w:ascii="Times New Roman" w:hAnsi="Times New Roman" w:cs="Times New Roman"/>
        </w:rPr>
        <w:tab/>
      </w:r>
    </w:p>
    <w:p w14:paraId="05A3DB9F" w14:textId="77777777" w:rsidR="004541ED" w:rsidRDefault="004541ED" w:rsidP="004541ED">
      <w:pPr>
        <w:rPr>
          <w:rFonts w:ascii="Times New Roman" w:hAnsi="Times New Roman" w:cs="Times New Roman"/>
        </w:rPr>
        <w:sectPr w:rsidR="004541ED" w:rsidSect="004541ED">
          <w:pgSz w:w="16839" w:h="23814" w:code="8"/>
          <w:pgMar w:top="1417" w:right="1417" w:bottom="1134" w:left="1417" w:header="708" w:footer="708" w:gutter="0"/>
          <w:cols w:space="708"/>
          <w:docGrid w:linePitch="360"/>
        </w:sectPr>
      </w:pPr>
      <w:r w:rsidRPr="007F425D">
        <w:rPr>
          <w:rFonts w:ascii="Times New Roman" w:hAnsi="Times New Roman" w:cs="Times New Roman"/>
        </w:rPr>
        <w:br w:type="page"/>
      </w:r>
    </w:p>
    <w:p w14:paraId="7A2D0D8B" w14:textId="77777777" w:rsidR="004541ED" w:rsidRPr="007F425D" w:rsidRDefault="004541ED" w:rsidP="004541ED">
      <w:pPr>
        <w:rPr>
          <w:rFonts w:ascii="Times New Roman" w:hAnsi="Times New Roman" w:cs="Times New Roman"/>
        </w:rPr>
      </w:pPr>
    </w:p>
    <w:tbl>
      <w:tblPr>
        <w:tblW w:w="14741" w:type="dxa"/>
        <w:tblInd w:w="212" w:type="dxa"/>
        <w:tblCellMar>
          <w:left w:w="70" w:type="dxa"/>
          <w:right w:w="70" w:type="dxa"/>
        </w:tblCellMar>
        <w:tblLook w:val="04A0" w:firstRow="1" w:lastRow="0" w:firstColumn="1" w:lastColumn="0" w:noHBand="0" w:noVBand="1"/>
      </w:tblPr>
      <w:tblGrid>
        <w:gridCol w:w="2377"/>
        <w:gridCol w:w="1046"/>
        <w:gridCol w:w="1118"/>
        <w:gridCol w:w="952"/>
        <w:gridCol w:w="1046"/>
        <w:gridCol w:w="1118"/>
        <w:gridCol w:w="952"/>
        <w:gridCol w:w="1046"/>
        <w:gridCol w:w="1118"/>
        <w:gridCol w:w="952"/>
        <w:gridCol w:w="1046"/>
        <w:gridCol w:w="1118"/>
        <w:gridCol w:w="952"/>
      </w:tblGrid>
      <w:tr w:rsidR="004541ED" w:rsidRPr="003D0E92" w14:paraId="5D41109A" w14:textId="77777777" w:rsidTr="004541ED">
        <w:trPr>
          <w:trHeight w:val="315"/>
        </w:trPr>
        <w:tc>
          <w:tcPr>
            <w:tcW w:w="14741" w:type="dxa"/>
            <w:gridSpan w:val="13"/>
            <w:tcBorders>
              <w:top w:val="nil"/>
              <w:left w:val="nil"/>
              <w:bottom w:val="single" w:sz="12" w:space="0" w:color="auto"/>
              <w:right w:val="nil"/>
            </w:tcBorders>
            <w:shd w:val="clear" w:color="auto" w:fill="auto"/>
            <w:noWrap/>
            <w:vAlign w:val="center"/>
            <w:hideMark/>
          </w:tcPr>
          <w:p w14:paraId="2D6D82D6" w14:textId="77777777" w:rsidR="004541ED" w:rsidRPr="007F425D" w:rsidRDefault="004541ED" w:rsidP="004541ED">
            <w:pPr>
              <w:spacing w:after="0" w:line="240" w:lineRule="auto"/>
              <w:rPr>
                <w:rFonts w:ascii="Times New Roman" w:eastAsia="Times New Roman" w:hAnsi="Times New Roman" w:cs="Times New Roman"/>
                <w:b/>
                <w:color w:val="000000"/>
                <w:sz w:val="20"/>
                <w:szCs w:val="20"/>
                <w:lang w:eastAsia="de-DE"/>
              </w:rPr>
            </w:pPr>
            <w:r w:rsidRPr="007F425D">
              <w:rPr>
                <w:rFonts w:ascii="Times New Roman" w:eastAsia="Times New Roman" w:hAnsi="Times New Roman" w:cs="Times New Roman"/>
                <w:b/>
                <w:color w:val="000000"/>
                <w:sz w:val="24"/>
                <w:szCs w:val="20"/>
                <w:lang w:eastAsia="de-DE"/>
              </w:rPr>
              <w:t>Table 4: Regression results of log asking rents €/p.m.</w:t>
            </w:r>
            <w:r>
              <w:rPr>
                <w:rFonts w:ascii="Times New Roman" w:eastAsia="Times New Roman" w:hAnsi="Times New Roman" w:cs="Times New Roman"/>
                <w:b/>
                <w:color w:val="000000"/>
                <w:sz w:val="24"/>
                <w:szCs w:val="20"/>
                <w:lang w:eastAsia="de-DE"/>
              </w:rPr>
              <w:t xml:space="preserve"> in market segments</w:t>
            </w:r>
          </w:p>
        </w:tc>
      </w:tr>
      <w:tr w:rsidR="004541ED" w:rsidRPr="007F425D" w14:paraId="2DD76106" w14:textId="77777777" w:rsidTr="004541ED">
        <w:trPr>
          <w:trHeight w:val="300"/>
        </w:trPr>
        <w:tc>
          <w:tcPr>
            <w:tcW w:w="2377" w:type="dxa"/>
            <w:vMerge w:val="restart"/>
            <w:tcBorders>
              <w:top w:val="single" w:sz="12" w:space="0" w:color="auto"/>
              <w:left w:val="single" w:sz="12" w:space="0" w:color="auto"/>
              <w:bottom w:val="nil"/>
              <w:right w:val="nil"/>
            </w:tcBorders>
            <w:shd w:val="clear" w:color="auto" w:fill="auto"/>
            <w:vAlign w:val="center"/>
            <w:hideMark/>
          </w:tcPr>
          <w:p w14:paraId="2426BB04"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Coefficients and</w:t>
            </w:r>
            <w:r w:rsidRPr="007F425D">
              <w:rPr>
                <w:rFonts w:ascii="Times New Roman" w:eastAsia="Times New Roman" w:hAnsi="Times New Roman" w:cs="Times New Roman"/>
                <w:color w:val="000000"/>
                <w:sz w:val="20"/>
                <w:szCs w:val="20"/>
                <w:lang w:eastAsia="de-DE"/>
              </w:rPr>
              <w:br/>
              <w:t>t-statistics</w:t>
            </w:r>
          </w:p>
        </w:tc>
        <w:tc>
          <w:tcPr>
            <w:tcW w:w="6112" w:type="dxa"/>
            <w:gridSpan w:val="6"/>
            <w:tcBorders>
              <w:top w:val="single" w:sz="12" w:space="0" w:color="auto"/>
              <w:left w:val="single" w:sz="4" w:space="0" w:color="auto"/>
              <w:bottom w:val="nil"/>
              <w:right w:val="single" w:sz="4" w:space="0" w:color="000000"/>
            </w:tcBorders>
            <w:shd w:val="clear" w:color="auto" w:fill="auto"/>
            <w:noWrap/>
            <w:vAlign w:val="center"/>
            <w:hideMark/>
          </w:tcPr>
          <w:p w14:paraId="7CE13E79" w14:textId="77777777" w:rsidR="004541ED" w:rsidRPr="007F425D" w:rsidRDefault="004541ED" w:rsidP="004541ED">
            <w:pPr>
              <w:spacing w:after="0" w:line="240" w:lineRule="auto"/>
              <w:jc w:val="center"/>
              <w:rPr>
                <w:rFonts w:ascii="Times New Roman" w:eastAsia="Times New Roman" w:hAnsi="Times New Roman" w:cs="Times New Roman"/>
                <w:b/>
                <w:color w:val="000000"/>
                <w:sz w:val="20"/>
                <w:szCs w:val="20"/>
                <w:lang w:eastAsia="de-DE"/>
              </w:rPr>
            </w:pPr>
            <w:r>
              <w:rPr>
                <w:rFonts w:ascii="Times New Roman" w:eastAsia="Times New Roman" w:hAnsi="Times New Roman" w:cs="Times New Roman"/>
                <w:b/>
                <w:color w:val="000000"/>
                <w:sz w:val="20"/>
                <w:szCs w:val="20"/>
                <w:lang w:eastAsia="de-DE"/>
              </w:rPr>
              <w:t>Secondary</w:t>
            </w:r>
            <w:r w:rsidRPr="007F425D">
              <w:rPr>
                <w:rFonts w:ascii="Times New Roman" w:eastAsia="Times New Roman" w:hAnsi="Times New Roman" w:cs="Times New Roman"/>
                <w:b/>
                <w:color w:val="000000"/>
                <w:sz w:val="20"/>
                <w:szCs w:val="20"/>
                <w:lang w:eastAsia="de-DE"/>
              </w:rPr>
              <w:t xml:space="preserve"> markets</w:t>
            </w:r>
          </w:p>
        </w:tc>
        <w:tc>
          <w:tcPr>
            <w:tcW w:w="0" w:type="auto"/>
            <w:gridSpan w:val="6"/>
            <w:tcBorders>
              <w:top w:val="single" w:sz="12" w:space="0" w:color="auto"/>
              <w:left w:val="nil"/>
              <w:bottom w:val="nil"/>
              <w:right w:val="single" w:sz="12" w:space="0" w:color="auto"/>
            </w:tcBorders>
            <w:shd w:val="clear" w:color="auto" w:fill="auto"/>
            <w:noWrap/>
            <w:vAlign w:val="center"/>
            <w:hideMark/>
          </w:tcPr>
          <w:p w14:paraId="6826A6BC" w14:textId="77777777" w:rsidR="004541ED" w:rsidRPr="007F425D" w:rsidRDefault="004541ED" w:rsidP="004541ED">
            <w:pPr>
              <w:spacing w:after="0" w:line="240" w:lineRule="auto"/>
              <w:jc w:val="center"/>
              <w:rPr>
                <w:rFonts w:ascii="Times New Roman" w:eastAsia="Times New Roman" w:hAnsi="Times New Roman" w:cs="Times New Roman"/>
                <w:b/>
                <w:color w:val="000000"/>
                <w:sz w:val="20"/>
                <w:szCs w:val="20"/>
                <w:lang w:eastAsia="de-DE"/>
              </w:rPr>
            </w:pPr>
            <w:r>
              <w:rPr>
                <w:rFonts w:ascii="Times New Roman" w:eastAsia="Times New Roman" w:hAnsi="Times New Roman" w:cs="Times New Roman"/>
                <w:b/>
                <w:color w:val="000000"/>
                <w:sz w:val="20"/>
                <w:szCs w:val="20"/>
                <w:lang w:eastAsia="de-DE"/>
              </w:rPr>
              <w:t>Top 7</w:t>
            </w:r>
            <w:r w:rsidRPr="007F425D">
              <w:rPr>
                <w:rFonts w:ascii="Times New Roman" w:eastAsia="Times New Roman" w:hAnsi="Times New Roman" w:cs="Times New Roman"/>
                <w:b/>
                <w:color w:val="000000"/>
                <w:sz w:val="20"/>
                <w:szCs w:val="20"/>
                <w:lang w:eastAsia="de-DE"/>
              </w:rPr>
              <w:t xml:space="preserve"> markets</w:t>
            </w:r>
          </w:p>
        </w:tc>
      </w:tr>
      <w:tr w:rsidR="004541ED" w:rsidRPr="007F425D" w14:paraId="539E017F" w14:textId="77777777" w:rsidTr="004541ED">
        <w:trPr>
          <w:trHeight w:val="300"/>
        </w:trPr>
        <w:tc>
          <w:tcPr>
            <w:tcW w:w="2377" w:type="dxa"/>
            <w:vMerge/>
            <w:tcBorders>
              <w:top w:val="single" w:sz="8" w:space="0" w:color="auto"/>
              <w:left w:val="single" w:sz="12" w:space="0" w:color="auto"/>
              <w:bottom w:val="nil"/>
              <w:right w:val="nil"/>
            </w:tcBorders>
            <w:vAlign w:val="center"/>
            <w:hideMark/>
          </w:tcPr>
          <w:p w14:paraId="3AB1FE25"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p>
        </w:tc>
        <w:tc>
          <w:tcPr>
            <w:tcW w:w="0" w:type="auto"/>
            <w:vMerge w:val="restart"/>
            <w:tcBorders>
              <w:top w:val="single" w:sz="4" w:space="0" w:color="auto"/>
              <w:left w:val="single" w:sz="4" w:space="0" w:color="auto"/>
              <w:bottom w:val="nil"/>
              <w:right w:val="nil"/>
            </w:tcBorders>
            <w:shd w:val="clear" w:color="auto" w:fill="auto"/>
            <w:noWrap/>
            <w:vAlign w:val="center"/>
            <w:hideMark/>
          </w:tcPr>
          <w:p w14:paraId="596F988C"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All Sample</w:t>
            </w:r>
          </w:p>
        </w:tc>
        <w:tc>
          <w:tcPr>
            <w:tcW w:w="1937" w:type="dxa"/>
            <w:gridSpan w:val="2"/>
            <w:tcBorders>
              <w:top w:val="single" w:sz="4" w:space="0" w:color="auto"/>
              <w:left w:val="nil"/>
              <w:bottom w:val="nil"/>
              <w:right w:val="single" w:sz="4" w:space="0" w:color="000000"/>
            </w:tcBorders>
            <w:shd w:val="clear" w:color="auto" w:fill="auto"/>
            <w:noWrap/>
            <w:vAlign w:val="center"/>
            <w:hideMark/>
          </w:tcPr>
          <w:p w14:paraId="293C1B29"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Subsamples</w:t>
            </w:r>
          </w:p>
        </w:tc>
        <w:tc>
          <w:tcPr>
            <w:tcW w:w="0" w:type="auto"/>
            <w:vMerge w:val="restart"/>
            <w:tcBorders>
              <w:top w:val="single" w:sz="4" w:space="0" w:color="auto"/>
              <w:left w:val="single" w:sz="4" w:space="0" w:color="auto"/>
              <w:bottom w:val="nil"/>
              <w:right w:val="nil"/>
            </w:tcBorders>
            <w:shd w:val="clear" w:color="auto" w:fill="auto"/>
            <w:noWrap/>
            <w:vAlign w:val="center"/>
            <w:hideMark/>
          </w:tcPr>
          <w:p w14:paraId="01EAC7BE"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All Sample</w:t>
            </w:r>
          </w:p>
        </w:tc>
        <w:tc>
          <w:tcPr>
            <w:tcW w:w="0" w:type="auto"/>
            <w:gridSpan w:val="2"/>
            <w:tcBorders>
              <w:top w:val="single" w:sz="4" w:space="0" w:color="auto"/>
              <w:left w:val="nil"/>
              <w:bottom w:val="nil"/>
              <w:right w:val="single" w:sz="4" w:space="0" w:color="000000"/>
            </w:tcBorders>
            <w:shd w:val="clear" w:color="auto" w:fill="auto"/>
            <w:noWrap/>
            <w:vAlign w:val="center"/>
            <w:hideMark/>
          </w:tcPr>
          <w:p w14:paraId="26FD8151"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Subsamples</w:t>
            </w:r>
          </w:p>
        </w:tc>
        <w:tc>
          <w:tcPr>
            <w:tcW w:w="0" w:type="auto"/>
            <w:vMerge w:val="restart"/>
            <w:tcBorders>
              <w:top w:val="single" w:sz="4" w:space="0" w:color="auto"/>
              <w:left w:val="single" w:sz="4" w:space="0" w:color="auto"/>
              <w:bottom w:val="nil"/>
              <w:right w:val="nil"/>
            </w:tcBorders>
            <w:shd w:val="clear" w:color="auto" w:fill="auto"/>
            <w:noWrap/>
            <w:vAlign w:val="center"/>
            <w:hideMark/>
          </w:tcPr>
          <w:p w14:paraId="6656CA3B"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All Sample</w:t>
            </w:r>
          </w:p>
        </w:tc>
        <w:tc>
          <w:tcPr>
            <w:tcW w:w="0" w:type="auto"/>
            <w:gridSpan w:val="2"/>
            <w:tcBorders>
              <w:top w:val="single" w:sz="4" w:space="0" w:color="auto"/>
              <w:left w:val="nil"/>
              <w:bottom w:val="nil"/>
              <w:right w:val="single" w:sz="4" w:space="0" w:color="000000"/>
            </w:tcBorders>
            <w:shd w:val="clear" w:color="auto" w:fill="auto"/>
            <w:noWrap/>
            <w:vAlign w:val="center"/>
            <w:hideMark/>
          </w:tcPr>
          <w:p w14:paraId="2A99270E"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Subsamples</w:t>
            </w:r>
          </w:p>
        </w:tc>
        <w:tc>
          <w:tcPr>
            <w:tcW w:w="0" w:type="auto"/>
            <w:vMerge w:val="restart"/>
            <w:tcBorders>
              <w:top w:val="single" w:sz="4" w:space="0" w:color="auto"/>
              <w:left w:val="single" w:sz="4" w:space="0" w:color="auto"/>
              <w:bottom w:val="nil"/>
              <w:right w:val="nil"/>
            </w:tcBorders>
            <w:shd w:val="clear" w:color="auto" w:fill="auto"/>
            <w:noWrap/>
            <w:vAlign w:val="center"/>
            <w:hideMark/>
          </w:tcPr>
          <w:p w14:paraId="507C13F5"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All Sample</w:t>
            </w:r>
          </w:p>
        </w:tc>
        <w:tc>
          <w:tcPr>
            <w:tcW w:w="0" w:type="auto"/>
            <w:gridSpan w:val="2"/>
            <w:tcBorders>
              <w:top w:val="single" w:sz="4" w:space="0" w:color="auto"/>
              <w:left w:val="nil"/>
              <w:bottom w:val="nil"/>
              <w:right w:val="single" w:sz="12" w:space="0" w:color="auto"/>
            </w:tcBorders>
            <w:shd w:val="clear" w:color="auto" w:fill="auto"/>
            <w:noWrap/>
            <w:vAlign w:val="center"/>
            <w:hideMark/>
          </w:tcPr>
          <w:p w14:paraId="43168FF8"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Subsamples</w:t>
            </w:r>
          </w:p>
        </w:tc>
      </w:tr>
      <w:tr w:rsidR="004541ED" w:rsidRPr="007F425D" w14:paraId="3F13DA80" w14:textId="77777777" w:rsidTr="004541ED">
        <w:trPr>
          <w:trHeight w:val="300"/>
        </w:trPr>
        <w:tc>
          <w:tcPr>
            <w:tcW w:w="2377" w:type="dxa"/>
            <w:vMerge/>
            <w:tcBorders>
              <w:top w:val="single" w:sz="8" w:space="0" w:color="auto"/>
              <w:left w:val="single" w:sz="12" w:space="0" w:color="auto"/>
              <w:bottom w:val="single" w:sz="4" w:space="0" w:color="auto"/>
              <w:right w:val="nil"/>
            </w:tcBorders>
            <w:vAlign w:val="center"/>
            <w:hideMark/>
          </w:tcPr>
          <w:p w14:paraId="6FAC4E42"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p>
        </w:tc>
        <w:tc>
          <w:tcPr>
            <w:tcW w:w="0" w:type="auto"/>
            <w:vMerge/>
            <w:tcBorders>
              <w:top w:val="single" w:sz="4" w:space="0" w:color="auto"/>
              <w:left w:val="single" w:sz="4" w:space="0" w:color="auto"/>
              <w:bottom w:val="single" w:sz="4" w:space="0" w:color="auto"/>
              <w:right w:val="nil"/>
            </w:tcBorders>
            <w:vAlign w:val="center"/>
            <w:hideMark/>
          </w:tcPr>
          <w:p w14:paraId="4043341C"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p>
        </w:tc>
        <w:tc>
          <w:tcPr>
            <w:tcW w:w="968" w:type="dxa"/>
            <w:tcBorders>
              <w:top w:val="single" w:sz="4" w:space="0" w:color="auto"/>
              <w:left w:val="single" w:sz="4" w:space="0" w:color="auto"/>
              <w:bottom w:val="single" w:sz="4" w:space="0" w:color="auto"/>
              <w:right w:val="nil"/>
            </w:tcBorders>
            <w:shd w:val="clear" w:color="auto" w:fill="auto"/>
            <w:noWrap/>
            <w:vAlign w:val="center"/>
            <w:hideMark/>
          </w:tcPr>
          <w:p w14:paraId="6D32F301"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Refurbished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A16F96"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Existing</w:t>
            </w:r>
          </w:p>
        </w:tc>
        <w:tc>
          <w:tcPr>
            <w:tcW w:w="0" w:type="auto"/>
            <w:vMerge/>
            <w:tcBorders>
              <w:top w:val="single" w:sz="4" w:space="0" w:color="auto"/>
              <w:left w:val="single" w:sz="4" w:space="0" w:color="auto"/>
              <w:bottom w:val="single" w:sz="4" w:space="0" w:color="auto"/>
              <w:right w:val="nil"/>
            </w:tcBorders>
            <w:vAlign w:val="center"/>
            <w:hideMark/>
          </w:tcPr>
          <w:p w14:paraId="0A42C202"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3E198B83"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Refurbished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09F0AF"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Existing</w:t>
            </w:r>
          </w:p>
        </w:tc>
        <w:tc>
          <w:tcPr>
            <w:tcW w:w="0" w:type="auto"/>
            <w:vMerge/>
            <w:tcBorders>
              <w:top w:val="single" w:sz="4" w:space="0" w:color="auto"/>
              <w:left w:val="single" w:sz="4" w:space="0" w:color="auto"/>
              <w:bottom w:val="single" w:sz="4" w:space="0" w:color="auto"/>
              <w:right w:val="nil"/>
            </w:tcBorders>
            <w:vAlign w:val="center"/>
            <w:hideMark/>
          </w:tcPr>
          <w:p w14:paraId="19637073"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16DD9D75"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Refurbished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EE5563"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Existing</w:t>
            </w:r>
          </w:p>
        </w:tc>
        <w:tc>
          <w:tcPr>
            <w:tcW w:w="0" w:type="auto"/>
            <w:vMerge/>
            <w:tcBorders>
              <w:top w:val="single" w:sz="4" w:space="0" w:color="auto"/>
              <w:left w:val="single" w:sz="4" w:space="0" w:color="auto"/>
              <w:bottom w:val="single" w:sz="4" w:space="0" w:color="auto"/>
              <w:right w:val="nil"/>
            </w:tcBorders>
            <w:vAlign w:val="center"/>
            <w:hideMark/>
          </w:tcPr>
          <w:p w14:paraId="284EA689"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6C579B00"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Refurbished</w:t>
            </w:r>
          </w:p>
        </w:tc>
        <w:tc>
          <w:tcPr>
            <w:tcW w:w="0" w:type="auto"/>
            <w:tcBorders>
              <w:top w:val="single" w:sz="4" w:space="0" w:color="auto"/>
              <w:left w:val="nil"/>
              <w:bottom w:val="single" w:sz="4" w:space="0" w:color="auto"/>
              <w:right w:val="single" w:sz="12" w:space="0" w:color="auto"/>
            </w:tcBorders>
            <w:shd w:val="clear" w:color="auto" w:fill="auto"/>
            <w:noWrap/>
            <w:vAlign w:val="center"/>
            <w:hideMark/>
          </w:tcPr>
          <w:p w14:paraId="77E248E8"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Existing</w:t>
            </w:r>
          </w:p>
        </w:tc>
      </w:tr>
      <w:tr w:rsidR="004541ED" w:rsidRPr="007F425D" w14:paraId="259DB16C" w14:textId="77777777" w:rsidTr="004541ED">
        <w:trPr>
          <w:trHeight w:val="300"/>
        </w:trPr>
        <w:tc>
          <w:tcPr>
            <w:tcW w:w="2377" w:type="dxa"/>
            <w:tcBorders>
              <w:top w:val="single" w:sz="4" w:space="0" w:color="auto"/>
              <w:left w:val="single" w:sz="12" w:space="0" w:color="auto"/>
              <w:bottom w:val="dotted" w:sz="4" w:space="0" w:color="auto"/>
              <w:right w:val="nil"/>
            </w:tcBorders>
            <w:shd w:val="clear" w:color="auto" w:fill="auto"/>
            <w:noWrap/>
            <w:vAlign w:val="bottom"/>
            <w:hideMark/>
          </w:tcPr>
          <w:p w14:paraId="77B241D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xml:space="preserve">EPC - A+ </w:t>
            </w:r>
            <w:r w:rsidRPr="007F425D">
              <w:rPr>
                <w:rFonts w:ascii="Times New Roman" w:eastAsia="Times New Roman" w:hAnsi="Times New Roman" w:cs="Times New Roman"/>
                <w:color w:val="000000"/>
                <w:sz w:val="20"/>
                <w:szCs w:val="20"/>
                <w:lang w:eastAsia="de-DE"/>
              </w:rPr>
              <w:br/>
              <w:t>(Ref: D)</w:t>
            </w:r>
          </w:p>
        </w:tc>
        <w:tc>
          <w:tcPr>
            <w:tcW w:w="0" w:type="auto"/>
            <w:tcBorders>
              <w:top w:val="single" w:sz="4" w:space="0" w:color="auto"/>
              <w:left w:val="single" w:sz="4" w:space="0" w:color="auto"/>
              <w:bottom w:val="dotted" w:sz="4" w:space="0" w:color="auto"/>
              <w:right w:val="nil"/>
            </w:tcBorders>
            <w:shd w:val="clear" w:color="auto" w:fill="auto"/>
            <w:noWrap/>
            <w:vAlign w:val="center"/>
          </w:tcPr>
          <w:p w14:paraId="0C94605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023</w:t>
            </w:r>
          </w:p>
          <w:p w14:paraId="3340F36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27</w:t>
            </w:r>
            <w:r w:rsidRPr="007F425D">
              <w:rPr>
                <w:rFonts w:ascii="Times New Roman" w:eastAsia="Times New Roman" w:hAnsi="Times New Roman" w:cs="Times New Roman"/>
                <w:color w:val="000000"/>
                <w:sz w:val="20"/>
                <w:szCs w:val="20"/>
                <w:vertAlign w:val="superscript"/>
                <w:lang w:eastAsia="de-DE"/>
              </w:rPr>
              <w:t>***</w:t>
            </w:r>
          </w:p>
        </w:tc>
        <w:tc>
          <w:tcPr>
            <w:tcW w:w="968" w:type="dxa"/>
            <w:tcBorders>
              <w:top w:val="single" w:sz="4" w:space="0" w:color="auto"/>
              <w:left w:val="single" w:sz="4" w:space="0" w:color="auto"/>
              <w:bottom w:val="dotted" w:sz="4" w:space="0" w:color="auto"/>
              <w:right w:val="nil"/>
            </w:tcBorders>
            <w:shd w:val="clear" w:color="auto" w:fill="auto"/>
            <w:noWrap/>
            <w:vAlign w:val="center"/>
          </w:tcPr>
          <w:p w14:paraId="5DC66B5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018</w:t>
            </w:r>
          </w:p>
          <w:p w14:paraId="200FE56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78</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nil"/>
              <w:bottom w:val="dotted" w:sz="4" w:space="0" w:color="auto"/>
              <w:right w:val="single" w:sz="4" w:space="0" w:color="auto"/>
            </w:tcBorders>
            <w:shd w:val="clear" w:color="auto" w:fill="auto"/>
            <w:noWrap/>
            <w:vAlign w:val="center"/>
          </w:tcPr>
          <w:p w14:paraId="1CE09E9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027</w:t>
            </w:r>
          </w:p>
          <w:p w14:paraId="703128E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nil"/>
              <w:bottom w:val="dotted" w:sz="4" w:space="0" w:color="auto"/>
              <w:right w:val="nil"/>
            </w:tcBorders>
            <w:shd w:val="clear" w:color="auto" w:fill="auto"/>
            <w:noWrap/>
            <w:vAlign w:val="center"/>
          </w:tcPr>
          <w:p w14:paraId="28FBE1A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single" w:sz="4" w:space="0" w:color="auto"/>
              <w:left w:val="single" w:sz="4" w:space="0" w:color="auto"/>
              <w:bottom w:val="dotted" w:sz="4" w:space="0" w:color="auto"/>
              <w:right w:val="nil"/>
            </w:tcBorders>
            <w:shd w:val="clear" w:color="auto" w:fill="auto"/>
            <w:noWrap/>
            <w:vAlign w:val="center"/>
          </w:tcPr>
          <w:p w14:paraId="620D216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single" w:sz="4" w:space="0" w:color="auto"/>
              <w:left w:val="nil"/>
              <w:bottom w:val="dotted" w:sz="4" w:space="0" w:color="auto"/>
              <w:right w:val="single" w:sz="4" w:space="0" w:color="auto"/>
            </w:tcBorders>
            <w:shd w:val="clear" w:color="auto" w:fill="auto"/>
            <w:noWrap/>
            <w:vAlign w:val="center"/>
          </w:tcPr>
          <w:p w14:paraId="2CC6724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single" w:sz="4" w:space="0" w:color="auto"/>
              <w:left w:val="nil"/>
              <w:bottom w:val="dotted" w:sz="4" w:space="0" w:color="auto"/>
              <w:right w:val="nil"/>
            </w:tcBorders>
            <w:shd w:val="clear" w:color="auto" w:fill="auto"/>
            <w:noWrap/>
            <w:vAlign w:val="center"/>
          </w:tcPr>
          <w:p w14:paraId="541B318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017</w:t>
            </w:r>
          </w:p>
          <w:p w14:paraId="3247440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64</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single" w:sz="4" w:space="0" w:color="auto"/>
              <w:bottom w:val="dotted" w:sz="4" w:space="0" w:color="auto"/>
              <w:right w:val="nil"/>
            </w:tcBorders>
            <w:shd w:val="clear" w:color="auto" w:fill="auto"/>
            <w:noWrap/>
            <w:vAlign w:val="center"/>
          </w:tcPr>
          <w:p w14:paraId="7308DD4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014</w:t>
            </w:r>
          </w:p>
          <w:p w14:paraId="361D39B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45</w:t>
            </w:r>
          </w:p>
        </w:tc>
        <w:tc>
          <w:tcPr>
            <w:tcW w:w="0" w:type="auto"/>
            <w:tcBorders>
              <w:top w:val="single" w:sz="4" w:space="0" w:color="auto"/>
              <w:left w:val="nil"/>
              <w:bottom w:val="dotted" w:sz="4" w:space="0" w:color="auto"/>
              <w:right w:val="single" w:sz="4" w:space="0" w:color="auto"/>
            </w:tcBorders>
            <w:shd w:val="clear" w:color="auto" w:fill="auto"/>
            <w:noWrap/>
            <w:vAlign w:val="center"/>
          </w:tcPr>
          <w:p w14:paraId="1A3B19F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046</w:t>
            </w:r>
          </w:p>
          <w:p w14:paraId="685ECF7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06</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nil"/>
              <w:bottom w:val="dotted" w:sz="4" w:space="0" w:color="auto"/>
              <w:right w:val="nil"/>
            </w:tcBorders>
            <w:shd w:val="clear" w:color="auto" w:fill="auto"/>
            <w:noWrap/>
            <w:vAlign w:val="center"/>
          </w:tcPr>
          <w:p w14:paraId="184A332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single" w:sz="4" w:space="0" w:color="auto"/>
              <w:left w:val="single" w:sz="4" w:space="0" w:color="auto"/>
              <w:bottom w:val="dotted" w:sz="4" w:space="0" w:color="auto"/>
              <w:right w:val="nil"/>
            </w:tcBorders>
            <w:shd w:val="clear" w:color="auto" w:fill="auto"/>
            <w:noWrap/>
            <w:vAlign w:val="center"/>
          </w:tcPr>
          <w:p w14:paraId="7198D24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single" w:sz="4" w:space="0" w:color="auto"/>
              <w:left w:val="nil"/>
              <w:bottom w:val="dotted" w:sz="4" w:space="0" w:color="auto"/>
              <w:right w:val="single" w:sz="12" w:space="0" w:color="auto"/>
            </w:tcBorders>
            <w:shd w:val="clear" w:color="auto" w:fill="auto"/>
            <w:noWrap/>
            <w:vAlign w:val="center"/>
          </w:tcPr>
          <w:p w14:paraId="0EC7E4B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r>
      <w:tr w:rsidR="004541ED" w:rsidRPr="007F425D" w14:paraId="3D0F8F2E" w14:textId="77777777" w:rsidTr="004541ED">
        <w:trPr>
          <w:trHeight w:val="300"/>
        </w:trPr>
        <w:tc>
          <w:tcPr>
            <w:tcW w:w="2377" w:type="dxa"/>
            <w:tcBorders>
              <w:top w:val="dotted" w:sz="4" w:space="0" w:color="auto"/>
              <w:left w:val="single" w:sz="12" w:space="0" w:color="auto"/>
              <w:bottom w:val="dotted" w:sz="4" w:space="0" w:color="auto"/>
              <w:right w:val="nil"/>
            </w:tcBorders>
            <w:shd w:val="clear" w:color="auto" w:fill="auto"/>
            <w:noWrap/>
            <w:vAlign w:val="bottom"/>
            <w:hideMark/>
          </w:tcPr>
          <w:p w14:paraId="2DAC428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xml:space="preserve">EPC - A </w:t>
            </w:r>
            <w:r w:rsidRPr="007F425D">
              <w:rPr>
                <w:rFonts w:ascii="Times New Roman" w:eastAsia="Times New Roman" w:hAnsi="Times New Roman" w:cs="Times New Roman"/>
                <w:color w:val="000000"/>
                <w:sz w:val="20"/>
                <w:szCs w:val="20"/>
                <w:lang w:eastAsia="de-DE"/>
              </w:rPr>
              <w:br/>
              <w:t>(Ref: D)</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4480AA5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020</w:t>
            </w:r>
          </w:p>
          <w:p w14:paraId="1713335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22</w:t>
            </w:r>
            <w:r w:rsidRPr="007F425D">
              <w:rPr>
                <w:rFonts w:ascii="Times New Roman" w:eastAsia="Times New Roman" w:hAnsi="Times New Roman" w:cs="Times New Roman"/>
                <w:color w:val="000000"/>
                <w:sz w:val="20"/>
                <w:szCs w:val="20"/>
                <w:vertAlign w:val="superscript"/>
                <w:lang w:eastAsia="de-DE"/>
              </w:rPr>
              <w:t>***</w:t>
            </w:r>
          </w:p>
        </w:tc>
        <w:tc>
          <w:tcPr>
            <w:tcW w:w="968" w:type="dxa"/>
            <w:tcBorders>
              <w:top w:val="dotted" w:sz="4" w:space="0" w:color="auto"/>
              <w:left w:val="single" w:sz="4" w:space="0" w:color="auto"/>
              <w:bottom w:val="dotted" w:sz="4" w:space="0" w:color="auto"/>
              <w:right w:val="nil"/>
            </w:tcBorders>
            <w:shd w:val="clear" w:color="auto" w:fill="auto"/>
            <w:noWrap/>
            <w:vAlign w:val="center"/>
          </w:tcPr>
          <w:p w14:paraId="56A4FD0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025</w:t>
            </w:r>
          </w:p>
          <w:p w14:paraId="128CA5E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57</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38C5620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018</w:t>
            </w:r>
          </w:p>
          <w:p w14:paraId="074DF7C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52</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center"/>
          </w:tcPr>
          <w:p w14:paraId="5527CD0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72F1A52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3B592BD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nil"/>
              <w:bottom w:val="dotted" w:sz="4" w:space="0" w:color="auto"/>
              <w:right w:val="nil"/>
            </w:tcBorders>
            <w:shd w:val="clear" w:color="auto" w:fill="auto"/>
            <w:noWrap/>
            <w:vAlign w:val="center"/>
          </w:tcPr>
          <w:p w14:paraId="66F4E31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003</w:t>
            </w:r>
          </w:p>
          <w:p w14:paraId="5BB9352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90</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6B39422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016</w:t>
            </w:r>
          </w:p>
          <w:p w14:paraId="0EAADCD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44</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4BE6A02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008</w:t>
            </w:r>
          </w:p>
          <w:p w14:paraId="699A208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56</w:t>
            </w:r>
          </w:p>
        </w:tc>
        <w:tc>
          <w:tcPr>
            <w:tcW w:w="0" w:type="auto"/>
            <w:tcBorders>
              <w:top w:val="dotted" w:sz="4" w:space="0" w:color="auto"/>
              <w:left w:val="nil"/>
              <w:bottom w:val="dotted" w:sz="4" w:space="0" w:color="auto"/>
              <w:right w:val="nil"/>
            </w:tcBorders>
            <w:shd w:val="clear" w:color="auto" w:fill="auto"/>
            <w:noWrap/>
            <w:vAlign w:val="center"/>
          </w:tcPr>
          <w:p w14:paraId="58DDBAC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4D53037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nil"/>
              <w:bottom w:val="dotted" w:sz="4" w:space="0" w:color="auto"/>
              <w:right w:val="single" w:sz="12" w:space="0" w:color="auto"/>
            </w:tcBorders>
            <w:shd w:val="clear" w:color="auto" w:fill="auto"/>
            <w:noWrap/>
            <w:vAlign w:val="center"/>
          </w:tcPr>
          <w:p w14:paraId="04B8B54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r>
      <w:tr w:rsidR="004541ED" w:rsidRPr="007F425D" w14:paraId="013A2C2B" w14:textId="77777777" w:rsidTr="004541ED">
        <w:trPr>
          <w:trHeight w:val="300"/>
        </w:trPr>
        <w:tc>
          <w:tcPr>
            <w:tcW w:w="2377" w:type="dxa"/>
            <w:tcBorders>
              <w:top w:val="dotted" w:sz="4" w:space="0" w:color="auto"/>
              <w:left w:val="single" w:sz="12" w:space="0" w:color="auto"/>
              <w:bottom w:val="dotted" w:sz="4" w:space="0" w:color="auto"/>
              <w:right w:val="nil"/>
            </w:tcBorders>
            <w:shd w:val="clear" w:color="auto" w:fill="auto"/>
            <w:noWrap/>
            <w:vAlign w:val="bottom"/>
            <w:hideMark/>
          </w:tcPr>
          <w:p w14:paraId="18F4B38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xml:space="preserve">EPC - B </w:t>
            </w:r>
            <w:r w:rsidRPr="007F425D">
              <w:rPr>
                <w:rFonts w:ascii="Times New Roman" w:eastAsia="Times New Roman" w:hAnsi="Times New Roman" w:cs="Times New Roman"/>
                <w:color w:val="000000"/>
                <w:sz w:val="20"/>
                <w:szCs w:val="20"/>
                <w:lang w:eastAsia="de-DE"/>
              </w:rPr>
              <w:br/>
              <w:t>(Ref: D)</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7E96FC8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010</w:t>
            </w:r>
          </w:p>
          <w:p w14:paraId="0162CEB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17</w:t>
            </w:r>
            <w:r w:rsidRPr="007F425D">
              <w:rPr>
                <w:rFonts w:ascii="Times New Roman" w:eastAsia="Times New Roman" w:hAnsi="Times New Roman" w:cs="Times New Roman"/>
                <w:color w:val="000000"/>
                <w:sz w:val="20"/>
                <w:szCs w:val="20"/>
                <w:vertAlign w:val="superscript"/>
                <w:lang w:eastAsia="de-DE"/>
              </w:rPr>
              <w:t>***</w:t>
            </w:r>
          </w:p>
        </w:tc>
        <w:tc>
          <w:tcPr>
            <w:tcW w:w="968" w:type="dxa"/>
            <w:tcBorders>
              <w:top w:val="dotted" w:sz="4" w:space="0" w:color="auto"/>
              <w:left w:val="single" w:sz="4" w:space="0" w:color="auto"/>
              <w:bottom w:val="dotted" w:sz="4" w:space="0" w:color="auto"/>
              <w:right w:val="nil"/>
            </w:tcBorders>
            <w:shd w:val="clear" w:color="auto" w:fill="auto"/>
            <w:noWrap/>
            <w:vAlign w:val="center"/>
          </w:tcPr>
          <w:p w14:paraId="46A200B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006</w:t>
            </w:r>
          </w:p>
          <w:p w14:paraId="5001BD4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84</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6DC7217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011</w:t>
            </w:r>
          </w:p>
          <w:p w14:paraId="0B5B8F7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58</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center"/>
          </w:tcPr>
          <w:p w14:paraId="529AF1B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1D36CEA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5AA2646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nil"/>
              <w:bottom w:val="dotted" w:sz="4" w:space="0" w:color="auto"/>
              <w:right w:val="nil"/>
            </w:tcBorders>
            <w:shd w:val="clear" w:color="auto" w:fill="auto"/>
            <w:noWrap/>
            <w:vAlign w:val="center"/>
          </w:tcPr>
          <w:p w14:paraId="22F1F8A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005</w:t>
            </w:r>
          </w:p>
          <w:p w14:paraId="37DC7AC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205EFDE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007</w:t>
            </w:r>
          </w:p>
          <w:p w14:paraId="773F906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17</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5C93F1E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004</w:t>
            </w:r>
          </w:p>
          <w:p w14:paraId="32B3D1C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21</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center"/>
          </w:tcPr>
          <w:p w14:paraId="3784B01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78643D8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nil"/>
              <w:bottom w:val="dotted" w:sz="4" w:space="0" w:color="auto"/>
              <w:right w:val="single" w:sz="12" w:space="0" w:color="auto"/>
            </w:tcBorders>
            <w:shd w:val="clear" w:color="auto" w:fill="auto"/>
            <w:noWrap/>
            <w:vAlign w:val="center"/>
          </w:tcPr>
          <w:p w14:paraId="3899D98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r>
      <w:tr w:rsidR="004541ED" w:rsidRPr="007F425D" w14:paraId="4C059F6E" w14:textId="77777777" w:rsidTr="004541ED">
        <w:trPr>
          <w:trHeight w:val="300"/>
        </w:trPr>
        <w:tc>
          <w:tcPr>
            <w:tcW w:w="2377" w:type="dxa"/>
            <w:tcBorders>
              <w:top w:val="dotted" w:sz="4" w:space="0" w:color="auto"/>
              <w:left w:val="single" w:sz="12" w:space="0" w:color="auto"/>
              <w:bottom w:val="dotted" w:sz="4" w:space="0" w:color="auto"/>
              <w:right w:val="nil"/>
            </w:tcBorders>
            <w:shd w:val="clear" w:color="auto" w:fill="auto"/>
            <w:noWrap/>
            <w:vAlign w:val="bottom"/>
            <w:hideMark/>
          </w:tcPr>
          <w:p w14:paraId="2FBD1C3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xml:space="preserve">EPC - C </w:t>
            </w:r>
            <w:r w:rsidRPr="007F425D">
              <w:rPr>
                <w:rFonts w:ascii="Times New Roman" w:eastAsia="Times New Roman" w:hAnsi="Times New Roman" w:cs="Times New Roman"/>
                <w:color w:val="000000"/>
                <w:sz w:val="20"/>
                <w:szCs w:val="20"/>
                <w:lang w:eastAsia="de-DE"/>
              </w:rPr>
              <w:br/>
              <w:t>(Ref: D)</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04F0B62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003</w:t>
            </w:r>
          </w:p>
          <w:p w14:paraId="2189271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61</w:t>
            </w:r>
            <w:r w:rsidRPr="007F425D">
              <w:rPr>
                <w:rFonts w:ascii="Times New Roman" w:eastAsia="Times New Roman" w:hAnsi="Times New Roman" w:cs="Times New Roman"/>
                <w:color w:val="000000"/>
                <w:sz w:val="20"/>
                <w:szCs w:val="20"/>
                <w:vertAlign w:val="superscript"/>
                <w:lang w:eastAsia="de-DE"/>
              </w:rPr>
              <w:t>***</w:t>
            </w:r>
          </w:p>
        </w:tc>
        <w:tc>
          <w:tcPr>
            <w:tcW w:w="968" w:type="dxa"/>
            <w:tcBorders>
              <w:top w:val="dotted" w:sz="4" w:space="0" w:color="auto"/>
              <w:left w:val="single" w:sz="4" w:space="0" w:color="auto"/>
              <w:bottom w:val="dotted" w:sz="4" w:space="0" w:color="auto"/>
              <w:right w:val="nil"/>
            </w:tcBorders>
            <w:shd w:val="clear" w:color="auto" w:fill="auto"/>
            <w:noWrap/>
            <w:vAlign w:val="center"/>
          </w:tcPr>
          <w:p w14:paraId="25AE480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001</w:t>
            </w:r>
          </w:p>
          <w:p w14:paraId="2A0F325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14</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240B0F5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003</w:t>
            </w:r>
          </w:p>
          <w:p w14:paraId="5758ECC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11</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center"/>
          </w:tcPr>
          <w:p w14:paraId="0980D19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2DF58C0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400A0A9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nil"/>
              <w:bottom w:val="dotted" w:sz="4" w:space="0" w:color="auto"/>
              <w:right w:val="nil"/>
            </w:tcBorders>
            <w:shd w:val="clear" w:color="auto" w:fill="auto"/>
            <w:noWrap/>
            <w:vAlign w:val="center"/>
          </w:tcPr>
          <w:p w14:paraId="5C45FE9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004</w:t>
            </w:r>
          </w:p>
          <w:p w14:paraId="0445446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22</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705E9AF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006</w:t>
            </w:r>
          </w:p>
          <w:p w14:paraId="786C6E6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87</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72D4D39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003</w:t>
            </w:r>
          </w:p>
          <w:p w14:paraId="69C718A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23</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center"/>
          </w:tcPr>
          <w:p w14:paraId="1609D12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11A9A32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nil"/>
              <w:bottom w:val="dotted" w:sz="4" w:space="0" w:color="auto"/>
              <w:right w:val="single" w:sz="12" w:space="0" w:color="auto"/>
            </w:tcBorders>
            <w:shd w:val="clear" w:color="auto" w:fill="auto"/>
            <w:noWrap/>
            <w:vAlign w:val="center"/>
          </w:tcPr>
          <w:p w14:paraId="33E3FA4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r>
      <w:tr w:rsidR="004541ED" w:rsidRPr="007F425D" w14:paraId="6440A6F5" w14:textId="77777777" w:rsidTr="004541ED">
        <w:trPr>
          <w:trHeight w:val="300"/>
        </w:trPr>
        <w:tc>
          <w:tcPr>
            <w:tcW w:w="2377" w:type="dxa"/>
            <w:tcBorders>
              <w:top w:val="dotted" w:sz="4" w:space="0" w:color="auto"/>
              <w:left w:val="single" w:sz="12" w:space="0" w:color="auto"/>
              <w:bottom w:val="dotted" w:sz="4" w:space="0" w:color="auto"/>
              <w:right w:val="nil"/>
            </w:tcBorders>
            <w:shd w:val="clear" w:color="auto" w:fill="auto"/>
            <w:noWrap/>
            <w:vAlign w:val="bottom"/>
            <w:hideMark/>
          </w:tcPr>
          <w:p w14:paraId="0EC221C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xml:space="preserve">EPC - E </w:t>
            </w:r>
            <w:r w:rsidRPr="007F425D">
              <w:rPr>
                <w:rFonts w:ascii="Times New Roman" w:eastAsia="Times New Roman" w:hAnsi="Times New Roman" w:cs="Times New Roman"/>
                <w:color w:val="000000"/>
                <w:sz w:val="20"/>
                <w:szCs w:val="20"/>
                <w:lang w:eastAsia="de-DE"/>
              </w:rPr>
              <w:br/>
              <w:t>(Ref: D)</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489732A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003</w:t>
            </w:r>
          </w:p>
          <w:p w14:paraId="6B7E01B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61</w:t>
            </w:r>
            <w:r w:rsidRPr="007F425D">
              <w:rPr>
                <w:rFonts w:ascii="Times New Roman" w:eastAsia="Times New Roman" w:hAnsi="Times New Roman" w:cs="Times New Roman"/>
                <w:color w:val="000000"/>
                <w:sz w:val="20"/>
                <w:szCs w:val="20"/>
                <w:vertAlign w:val="superscript"/>
                <w:lang w:eastAsia="de-DE"/>
              </w:rPr>
              <w:t>***</w:t>
            </w:r>
          </w:p>
        </w:tc>
        <w:tc>
          <w:tcPr>
            <w:tcW w:w="968" w:type="dxa"/>
            <w:tcBorders>
              <w:top w:val="dotted" w:sz="4" w:space="0" w:color="auto"/>
              <w:left w:val="single" w:sz="4" w:space="0" w:color="auto"/>
              <w:bottom w:val="dotted" w:sz="4" w:space="0" w:color="auto"/>
              <w:right w:val="nil"/>
            </w:tcBorders>
            <w:shd w:val="clear" w:color="auto" w:fill="auto"/>
            <w:noWrap/>
            <w:vAlign w:val="center"/>
          </w:tcPr>
          <w:p w14:paraId="5C1477E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005</w:t>
            </w:r>
          </w:p>
          <w:p w14:paraId="1849FD5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06</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6988D38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002</w:t>
            </w:r>
          </w:p>
          <w:p w14:paraId="412916C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center"/>
          </w:tcPr>
          <w:p w14:paraId="605C87F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58DA0D1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403501D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nil"/>
              <w:bottom w:val="dotted" w:sz="4" w:space="0" w:color="auto"/>
              <w:right w:val="nil"/>
            </w:tcBorders>
            <w:shd w:val="clear" w:color="auto" w:fill="auto"/>
            <w:noWrap/>
            <w:vAlign w:val="center"/>
          </w:tcPr>
          <w:p w14:paraId="4C93C6A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001</w:t>
            </w:r>
          </w:p>
          <w:p w14:paraId="5C38EE0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0F114C7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006</w:t>
            </w:r>
          </w:p>
          <w:p w14:paraId="25AECEE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3E44B98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000</w:t>
            </w:r>
          </w:p>
          <w:p w14:paraId="6D8D632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29</w:t>
            </w:r>
          </w:p>
        </w:tc>
        <w:tc>
          <w:tcPr>
            <w:tcW w:w="0" w:type="auto"/>
            <w:tcBorders>
              <w:top w:val="dotted" w:sz="4" w:space="0" w:color="auto"/>
              <w:left w:val="nil"/>
              <w:bottom w:val="dotted" w:sz="4" w:space="0" w:color="auto"/>
              <w:right w:val="nil"/>
            </w:tcBorders>
            <w:shd w:val="clear" w:color="auto" w:fill="auto"/>
            <w:noWrap/>
            <w:vAlign w:val="center"/>
          </w:tcPr>
          <w:p w14:paraId="6422A2F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1FD2D40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nil"/>
              <w:bottom w:val="dotted" w:sz="4" w:space="0" w:color="auto"/>
              <w:right w:val="single" w:sz="12" w:space="0" w:color="auto"/>
            </w:tcBorders>
            <w:shd w:val="clear" w:color="auto" w:fill="auto"/>
            <w:noWrap/>
            <w:vAlign w:val="center"/>
          </w:tcPr>
          <w:p w14:paraId="761D7C9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r>
      <w:tr w:rsidR="004541ED" w:rsidRPr="007F425D" w14:paraId="695EDADD" w14:textId="77777777" w:rsidTr="004541ED">
        <w:trPr>
          <w:trHeight w:val="300"/>
        </w:trPr>
        <w:tc>
          <w:tcPr>
            <w:tcW w:w="2377" w:type="dxa"/>
            <w:tcBorders>
              <w:top w:val="dotted" w:sz="4" w:space="0" w:color="auto"/>
              <w:left w:val="single" w:sz="12" w:space="0" w:color="auto"/>
              <w:bottom w:val="dotted" w:sz="4" w:space="0" w:color="auto"/>
              <w:right w:val="nil"/>
            </w:tcBorders>
            <w:shd w:val="clear" w:color="auto" w:fill="auto"/>
            <w:noWrap/>
            <w:vAlign w:val="bottom"/>
            <w:hideMark/>
          </w:tcPr>
          <w:p w14:paraId="1F51EE9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xml:space="preserve">EPC - F </w:t>
            </w:r>
            <w:r w:rsidRPr="007F425D">
              <w:rPr>
                <w:rFonts w:ascii="Times New Roman" w:eastAsia="Times New Roman" w:hAnsi="Times New Roman" w:cs="Times New Roman"/>
                <w:color w:val="000000"/>
                <w:sz w:val="20"/>
                <w:szCs w:val="20"/>
                <w:lang w:eastAsia="de-DE"/>
              </w:rPr>
              <w:br/>
              <w:t>(Ref: D)</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253A7AF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009</w:t>
            </w:r>
          </w:p>
          <w:p w14:paraId="4F8CD98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11</w:t>
            </w:r>
            <w:r w:rsidRPr="007F425D">
              <w:rPr>
                <w:rFonts w:ascii="Times New Roman" w:eastAsia="Times New Roman" w:hAnsi="Times New Roman" w:cs="Times New Roman"/>
                <w:color w:val="000000"/>
                <w:sz w:val="20"/>
                <w:szCs w:val="20"/>
                <w:vertAlign w:val="superscript"/>
                <w:lang w:eastAsia="de-DE"/>
              </w:rPr>
              <w:t>***</w:t>
            </w:r>
          </w:p>
        </w:tc>
        <w:tc>
          <w:tcPr>
            <w:tcW w:w="968" w:type="dxa"/>
            <w:tcBorders>
              <w:top w:val="dotted" w:sz="4" w:space="0" w:color="auto"/>
              <w:left w:val="single" w:sz="4" w:space="0" w:color="auto"/>
              <w:bottom w:val="dotted" w:sz="4" w:space="0" w:color="auto"/>
              <w:right w:val="nil"/>
            </w:tcBorders>
            <w:shd w:val="clear" w:color="auto" w:fill="auto"/>
            <w:noWrap/>
            <w:vAlign w:val="center"/>
          </w:tcPr>
          <w:p w14:paraId="6981206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006</w:t>
            </w:r>
          </w:p>
          <w:p w14:paraId="19C4D08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2E80C55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010</w:t>
            </w:r>
          </w:p>
          <w:p w14:paraId="1D1EEBC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63</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center"/>
          </w:tcPr>
          <w:p w14:paraId="4647F6F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51DAABD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4CFE1FF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nil"/>
              <w:bottom w:val="dotted" w:sz="4" w:space="0" w:color="auto"/>
              <w:right w:val="nil"/>
            </w:tcBorders>
            <w:shd w:val="clear" w:color="auto" w:fill="auto"/>
            <w:noWrap/>
            <w:vAlign w:val="center"/>
          </w:tcPr>
          <w:p w14:paraId="4C1DBCB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003</w:t>
            </w:r>
          </w:p>
          <w:p w14:paraId="2BDDC53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60</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75E2EDA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001</w:t>
            </w:r>
          </w:p>
          <w:p w14:paraId="1DC3D50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68</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7CCFE0E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005</w:t>
            </w:r>
          </w:p>
          <w:p w14:paraId="4DF2FD3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61</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center"/>
          </w:tcPr>
          <w:p w14:paraId="7DE8188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4C025AD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nil"/>
              <w:bottom w:val="dotted" w:sz="4" w:space="0" w:color="auto"/>
              <w:right w:val="single" w:sz="12" w:space="0" w:color="auto"/>
            </w:tcBorders>
            <w:shd w:val="clear" w:color="auto" w:fill="auto"/>
            <w:noWrap/>
            <w:vAlign w:val="center"/>
          </w:tcPr>
          <w:p w14:paraId="1164F6D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r>
      <w:tr w:rsidR="004541ED" w:rsidRPr="007F425D" w14:paraId="49649FBE" w14:textId="77777777" w:rsidTr="004541ED">
        <w:trPr>
          <w:trHeight w:val="300"/>
        </w:trPr>
        <w:tc>
          <w:tcPr>
            <w:tcW w:w="2377" w:type="dxa"/>
            <w:tcBorders>
              <w:top w:val="dotted" w:sz="4" w:space="0" w:color="auto"/>
              <w:left w:val="single" w:sz="12" w:space="0" w:color="auto"/>
              <w:bottom w:val="dotted" w:sz="4" w:space="0" w:color="auto"/>
              <w:right w:val="nil"/>
            </w:tcBorders>
            <w:shd w:val="clear" w:color="auto" w:fill="auto"/>
            <w:noWrap/>
            <w:vAlign w:val="bottom"/>
            <w:hideMark/>
          </w:tcPr>
          <w:p w14:paraId="76FF500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xml:space="preserve">EPC - G </w:t>
            </w:r>
            <w:r w:rsidRPr="007F425D">
              <w:rPr>
                <w:rFonts w:ascii="Times New Roman" w:eastAsia="Times New Roman" w:hAnsi="Times New Roman" w:cs="Times New Roman"/>
                <w:color w:val="000000"/>
                <w:sz w:val="20"/>
                <w:szCs w:val="20"/>
                <w:lang w:eastAsia="de-DE"/>
              </w:rPr>
              <w:br/>
              <w:t>(Ref: D)</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3BAE5DD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017</w:t>
            </w:r>
          </w:p>
          <w:p w14:paraId="2B538CA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94</w:t>
            </w:r>
            <w:r w:rsidRPr="007F425D">
              <w:rPr>
                <w:rFonts w:ascii="Times New Roman" w:eastAsia="Times New Roman" w:hAnsi="Times New Roman" w:cs="Times New Roman"/>
                <w:color w:val="000000"/>
                <w:sz w:val="20"/>
                <w:szCs w:val="20"/>
                <w:vertAlign w:val="superscript"/>
                <w:lang w:eastAsia="de-DE"/>
              </w:rPr>
              <w:t>***</w:t>
            </w:r>
          </w:p>
        </w:tc>
        <w:tc>
          <w:tcPr>
            <w:tcW w:w="968" w:type="dxa"/>
            <w:tcBorders>
              <w:top w:val="dotted" w:sz="4" w:space="0" w:color="auto"/>
              <w:left w:val="single" w:sz="4" w:space="0" w:color="auto"/>
              <w:bottom w:val="dotted" w:sz="4" w:space="0" w:color="auto"/>
              <w:right w:val="nil"/>
            </w:tcBorders>
            <w:shd w:val="clear" w:color="auto" w:fill="auto"/>
            <w:noWrap/>
            <w:vAlign w:val="center"/>
          </w:tcPr>
          <w:p w14:paraId="3F4894D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012</w:t>
            </w:r>
          </w:p>
          <w:p w14:paraId="5E82438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84</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4665B34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019</w:t>
            </w:r>
          </w:p>
          <w:p w14:paraId="469BF38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center"/>
          </w:tcPr>
          <w:p w14:paraId="67DA4D1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3CCD784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318B0ED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nil"/>
              <w:bottom w:val="dotted" w:sz="4" w:space="0" w:color="auto"/>
              <w:right w:val="nil"/>
            </w:tcBorders>
            <w:shd w:val="clear" w:color="auto" w:fill="auto"/>
            <w:noWrap/>
            <w:vAlign w:val="center"/>
          </w:tcPr>
          <w:p w14:paraId="3EC5DF1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005</w:t>
            </w:r>
          </w:p>
          <w:p w14:paraId="480B848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06</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7CE780A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006</w:t>
            </w:r>
          </w:p>
          <w:p w14:paraId="583FC2E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22</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2124631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004</w:t>
            </w:r>
          </w:p>
          <w:p w14:paraId="0BFA676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86</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center"/>
          </w:tcPr>
          <w:p w14:paraId="205D086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2C17025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nil"/>
              <w:bottom w:val="dotted" w:sz="4" w:space="0" w:color="auto"/>
              <w:right w:val="single" w:sz="12" w:space="0" w:color="auto"/>
            </w:tcBorders>
            <w:shd w:val="clear" w:color="auto" w:fill="auto"/>
            <w:noWrap/>
            <w:vAlign w:val="center"/>
          </w:tcPr>
          <w:p w14:paraId="09C0ED8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r>
      <w:tr w:rsidR="004541ED" w:rsidRPr="007F425D" w14:paraId="5AD0ED37" w14:textId="77777777" w:rsidTr="004541ED">
        <w:trPr>
          <w:trHeight w:val="300"/>
        </w:trPr>
        <w:tc>
          <w:tcPr>
            <w:tcW w:w="2377" w:type="dxa"/>
            <w:tcBorders>
              <w:top w:val="dotted" w:sz="4" w:space="0" w:color="auto"/>
              <w:left w:val="single" w:sz="12" w:space="0" w:color="auto"/>
              <w:bottom w:val="dotted" w:sz="4" w:space="0" w:color="auto"/>
              <w:right w:val="nil"/>
            </w:tcBorders>
            <w:shd w:val="clear" w:color="auto" w:fill="auto"/>
            <w:noWrap/>
            <w:vAlign w:val="bottom"/>
            <w:hideMark/>
          </w:tcPr>
          <w:p w14:paraId="34511E1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xml:space="preserve">EPC - H </w:t>
            </w:r>
            <w:r w:rsidRPr="007F425D">
              <w:rPr>
                <w:rFonts w:ascii="Times New Roman" w:eastAsia="Times New Roman" w:hAnsi="Times New Roman" w:cs="Times New Roman"/>
                <w:color w:val="000000"/>
                <w:sz w:val="20"/>
                <w:szCs w:val="20"/>
                <w:lang w:eastAsia="de-DE"/>
              </w:rPr>
              <w:br/>
              <w:t>(Ref: D)</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26FCC2B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018</w:t>
            </w:r>
          </w:p>
          <w:p w14:paraId="49C7605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44</w:t>
            </w:r>
            <w:r w:rsidRPr="007F425D">
              <w:rPr>
                <w:rFonts w:ascii="Times New Roman" w:eastAsia="Times New Roman" w:hAnsi="Times New Roman" w:cs="Times New Roman"/>
                <w:color w:val="000000"/>
                <w:sz w:val="20"/>
                <w:szCs w:val="20"/>
                <w:vertAlign w:val="superscript"/>
                <w:lang w:eastAsia="de-DE"/>
              </w:rPr>
              <w:t>***</w:t>
            </w:r>
          </w:p>
        </w:tc>
        <w:tc>
          <w:tcPr>
            <w:tcW w:w="968" w:type="dxa"/>
            <w:tcBorders>
              <w:top w:val="dotted" w:sz="4" w:space="0" w:color="auto"/>
              <w:left w:val="single" w:sz="4" w:space="0" w:color="auto"/>
              <w:bottom w:val="dotted" w:sz="4" w:space="0" w:color="auto"/>
              <w:right w:val="nil"/>
            </w:tcBorders>
            <w:shd w:val="clear" w:color="auto" w:fill="auto"/>
            <w:noWrap/>
            <w:vAlign w:val="center"/>
          </w:tcPr>
          <w:p w14:paraId="00C8C73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018</w:t>
            </w:r>
          </w:p>
          <w:p w14:paraId="318F9DB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73</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6DA23E4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018</w:t>
            </w:r>
          </w:p>
          <w:p w14:paraId="043D575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82</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center"/>
          </w:tcPr>
          <w:p w14:paraId="404BB55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3378883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320DCBD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nil"/>
              <w:bottom w:val="dotted" w:sz="4" w:space="0" w:color="auto"/>
              <w:right w:val="nil"/>
            </w:tcBorders>
            <w:shd w:val="clear" w:color="auto" w:fill="auto"/>
            <w:noWrap/>
            <w:vAlign w:val="center"/>
          </w:tcPr>
          <w:p w14:paraId="5651E39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004</w:t>
            </w:r>
          </w:p>
          <w:p w14:paraId="1E95656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51</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645F43A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013</w:t>
            </w:r>
          </w:p>
          <w:p w14:paraId="35B362D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74</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3DE2BD2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002</w:t>
            </w:r>
          </w:p>
          <w:p w14:paraId="3E7F30B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58</w:t>
            </w:r>
          </w:p>
        </w:tc>
        <w:tc>
          <w:tcPr>
            <w:tcW w:w="0" w:type="auto"/>
            <w:tcBorders>
              <w:top w:val="dotted" w:sz="4" w:space="0" w:color="auto"/>
              <w:left w:val="nil"/>
              <w:bottom w:val="dotted" w:sz="4" w:space="0" w:color="auto"/>
              <w:right w:val="nil"/>
            </w:tcBorders>
            <w:shd w:val="clear" w:color="auto" w:fill="auto"/>
            <w:noWrap/>
            <w:vAlign w:val="center"/>
          </w:tcPr>
          <w:p w14:paraId="307DF65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6B60311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nil"/>
              <w:bottom w:val="dotted" w:sz="4" w:space="0" w:color="auto"/>
              <w:right w:val="single" w:sz="12" w:space="0" w:color="auto"/>
            </w:tcBorders>
            <w:shd w:val="clear" w:color="auto" w:fill="auto"/>
            <w:noWrap/>
            <w:vAlign w:val="center"/>
          </w:tcPr>
          <w:p w14:paraId="6448E04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r>
      <w:tr w:rsidR="004541ED" w:rsidRPr="007F425D" w14:paraId="40EF5DB2" w14:textId="77777777" w:rsidTr="004541ED">
        <w:trPr>
          <w:trHeight w:val="300"/>
        </w:trPr>
        <w:tc>
          <w:tcPr>
            <w:tcW w:w="2377" w:type="dxa"/>
            <w:tcBorders>
              <w:top w:val="dotted" w:sz="4" w:space="0" w:color="auto"/>
              <w:left w:val="single" w:sz="12" w:space="0" w:color="auto"/>
              <w:bottom w:val="single" w:sz="4" w:space="0" w:color="auto"/>
              <w:right w:val="nil"/>
            </w:tcBorders>
            <w:shd w:val="clear" w:color="auto" w:fill="auto"/>
            <w:noWrap/>
            <w:vAlign w:val="bottom"/>
            <w:hideMark/>
          </w:tcPr>
          <w:p w14:paraId="1C2946A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Log energy consumption</w:t>
            </w:r>
            <w:r w:rsidRPr="007F425D">
              <w:rPr>
                <w:rFonts w:ascii="Times New Roman" w:eastAsia="Times New Roman" w:hAnsi="Times New Roman" w:cs="Times New Roman"/>
                <w:color w:val="000000"/>
                <w:sz w:val="20"/>
                <w:szCs w:val="20"/>
                <w:lang w:eastAsia="de-DE"/>
              </w:rPr>
              <w:br/>
              <w:t>kWh/m²/p.a.</w:t>
            </w:r>
          </w:p>
        </w:tc>
        <w:tc>
          <w:tcPr>
            <w:tcW w:w="0" w:type="auto"/>
            <w:tcBorders>
              <w:top w:val="dotted" w:sz="4" w:space="0" w:color="auto"/>
              <w:left w:val="single" w:sz="4" w:space="0" w:color="auto"/>
              <w:bottom w:val="single" w:sz="4" w:space="0" w:color="auto"/>
              <w:right w:val="nil"/>
            </w:tcBorders>
            <w:shd w:val="clear" w:color="auto" w:fill="auto"/>
            <w:noWrap/>
            <w:vAlign w:val="center"/>
          </w:tcPr>
          <w:p w14:paraId="7687345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968" w:type="dxa"/>
            <w:tcBorders>
              <w:top w:val="dotted" w:sz="4" w:space="0" w:color="auto"/>
              <w:left w:val="single" w:sz="4" w:space="0" w:color="auto"/>
              <w:bottom w:val="single" w:sz="4" w:space="0" w:color="auto"/>
              <w:right w:val="nil"/>
            </w:tcBorders>
            <w:shd w:val="clear" w:color="auto" w:fill="auto"/>
            <w:noWrap/>
            <w:vAlign w:val="center"/>
          </w:tcPr>
          <w:p w14:paraId="3BEF49F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nil"/>
              <w:bottom w:val="single" w:sz="4" w:space="0" w:color="auto"/>
              <w:right w:val="single" w:sz="4" w:space="0" w:color="auto"/>
            </w:tcBorders>
            <w:shd w:val="clear" w:color="auto" w:fill="auto"/>
            <w:noWrap/>
            <w:vAlign w:val="center"/>
          </w:tcPr>
          <w:p w14:paraId="65F46AB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nil"/>
              <w:bottom w:val="single" w:sz="4" w:space="0" w:color="auto"/>
              <w:right w:val="nil"/>
            </w:tcBorders>
            <w:shd w:val="clear" w:color="auto" w:fill="auto"/>
            <w:noWrap/>
            <w:vAlign w:val="center"/>
          </w:tcPr>
          <w:p w14:paraId="6CAE788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017</w:t>
            </w:r>
          </w:p>
          <w:p w14:paraId="7C526D3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26</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single" w:sz="4" w:space="0" w:color="auto"/>
              <w:right w:val="nil"/>
            </w:tcBorders>
            <w:shd w:val="clear" w:color="auto" w:fill="auto"/>
            <w:noWrap/>
            <w:vAlign w:val="center"/>
          </w:tcPr>
          <w:p w14:paraId="0133D9C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012</w:t>
            </w:r>
          </w:p>
          <w:p w14:paraId="3D366D3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38</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single" w:sz="4" w:space="0" w:color="auto"/>
              <w:right w:val="single" w:sz="4" w:space="0" w:color="auto"/>
            </w:tcBorders>
            <w:shd w:val="clear" w:color="auto" w:fill="auto"/>
            <w:noWrap/>
            <w:vAlign w:val="center"/>
          </w:tcPr>
          <w:p w14:paraId="6C08296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018</w:t>
            </w:r>
          </w:p>
          <w:p w14:paraId="102A0F1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76</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single" w:sz="4" w:space="0" w:color="auto"/>
              <w:right w:val="nil"/>
            </w:tcBorders>
            <w:shd w:val="clear" w:color="auto" w:fill="auto"/>
            <w:noWrap/>
            <w:vAlign w:val="center"/>
          </w:tcPr>
          <w:p w14:paraId="3892C78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single" w:sz="4" w:space="0" w:color="auto"/>
              <w:bottom w:val="single" w:sz="4" w:space="0" w:color="auto"/>
              <w:right w:val="nil"/>
            </w:tcBorders>
            <w:shd w:val="clear" w:color="auto" w:fill="auto"/>
            <w:noWrap/>
            <w:vAlign w:val="center"/>
          </w:tcPr>
          <w:p w14:paraId="71FDEA9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nil"/>
              <w:bottom w:val="single" w:sz="4" w:space="0" w:color="auto"/>
              <w:right w:val="single" w:sz="4" w:space="0" w:color="auto"/>
            </w:tcBorders>
            <w:shd w:val="clear" w:color="auto" w:fill="auto"/>
            <w:noWrap/>
            <w:vAlign w:val="center"/>
          </w:tcPr>
          <w:p w14:paraId="351CE36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nil"/>
              <w:bottom w:val="single" w:sz="4" w:space="0" w:color="auto"/>
              <w:right w:val="nil"/>
            </w:tcBorders>
            <w:shd w:val="clear" w:color="auto" w:fill="auto"/>
            <w:noWrap/>
            <w:vAlign w:val="center"/>
          </w:tcPr>
          <w:p w14:paraId="304C530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002</w:t>
            </w:r>
          </w:p>
          <w:p w14:paraId="7B19723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78</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single" w:sz="4" w:space="0" w:color="auto"/>
              <w:right w:val="nil"/>
            </w:tcBorders>
            <w:shd w:val="clear" w:color="auto" w:fill="auto"/>
            <w:noWrap/>
            <w:vAlign w:val="center"/>
          </w:tcPr>
          <w:p w14:paraId="1A3F261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002</w:t>
            </w:r>
          </w:p>
          <w:p w14:paraId="03A5C55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17</w:t>
            </w:r>
          </w:p>
        </w:tc>
        <w:tc>
          <w:tcPr>
            <w:tcW w:w="0" w:type="auto"/>
            <w:tcBorders>
              <w:top w:val="dotted" w:sz="4" w:space="0" w:color="auto"/>
              <w:left w:val="nil"/>
              <w:bottom w:val="single" w:sz="4" w:space="0" w:color="auto"/>
              <w:right w:val="single" w:sz="12" w:space="0" w:color="auto"/>
            </w:tcBorders>
            <w:shd w:val="clear" w:color="auto" w:fill="auto"/>
            <w:noWrap/>
            <w:vAlign w:val="center"/>
          </w:tcPr>
          <w:p w14:paraId="09901A7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005</w:t>
            </w:r>
          </w:p>
          <w:p w14:paraId="7853C66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94</w:t>
            </w:r>
            <w:r w:rsidRPr="007F425D">
              <w:rPr>
                <w:rFonts w:ascii="Times New Roman" w:eastAsia="Times New Roman" w:hAnsi="Times New Roman" w:cs="Times New Roman"/>
                <w:color w:val="000000"/>
                <w:sz w:val="20"/>
                <w:szCs w:val="20"/>
                <w:vertAlign w:val="superscript"/>
                <w:lang w:eastAsia="de-DE"/>
              </w:rPr>
              <w:t>***</w:t>
            </w:r>
          </w:p>
        </w:tc>
      </w:tr>
      <w:tr w:rsidR="004541ED" w:rsidRPr="007F425D" w14:paraId="515B0FEF" w14:textId="77777777" w:rsidTr="004541ED">
        <w:trPr>
          <w:trHeight w:val="300"/>
        </w:trPr>
        <w:tc>
          <w:tcPr>
            <w:tcW w:w="2377" w:type="dxa"/>
            <w:tcBorders>
              <w:top w:val="single" w:sz="4" w:space="0" w:color="auto"/>
              <w:left w:val="single" w:sz="12" w:space="0" w:color="auto"/>
              <w:bottom w:val="dotted" w:sz="4" w:space="0" w:color="auto"/>
              <w:right w:val="nil"/>
            </w:tcBorders>
            <w:shd w:val="clear" w:color="auto" w:fill="auto"/>
            <w:noWrap/>
            <w:vAlign w:val="center"/>
            <w:hideMark/>
          </w:tcPr>
          <w:p w14:paraId="39EA4E4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xml:space="preserve">Log living area </w:t>
            </w:r>
          </w:p>
          <w:p w14:paraId="6CCADB9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m²</w:t>
            </w:r>
          </w:p>
        </w:tc>
        <w:tc>
          <w:tcPr>
            <w:tcW w:w="0" w:type="auto"/>
            <w:tcBorders>
              <w:top w:val="single" w:sz="4" w:space="0" w:color="auto"/>
              <w:left w:val="single" w:sz="4" w:space="0" w:color="auto"/>
              <w:bottom w:val="dotted" w:sz="4" w:space="0" w:color="auto"/>
              <w:right w:val="nil"/>
            </w:tcBorders>
            <w:shd w:val="clear" w:color="auto" w:fill="auto"/>
            <w:noWrap/>
            <w:vAlign w:val="center"/>
          </w:tcPr>
          <w:p w14:paraId="3D5797E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565</w:t>
            </w:r>
          </w:p>
          <w:p w14:paraId="646B8DF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281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09</w:t>
            </w:r>
            <w:r w:rsidRPr="007F425D">
              <w:rPr>
                <w:rFonts w:ascii="Times New Roman" w:eastAsia="Times New Roman" w:hAnsi="Times New Roman" w:cs="Times New Roman"/>
                <w:color w:val="000000"/>
                <w:sz w:val="20"/>
                <w:szCs w:val="20"/>
                <w:vertAlign w:val="superscript"/>
                <w:lang w:eastAsia="de-DE"/>
              </w:rPr>
              <w:t>***</w:t>
            </w:r>
          </w:p>
        </w:tc>
        <w:tc>
          <w:tcPr>
            <w:tcW w:w="968" w:type="dxa"/>
            <w:tcBorders>
              <w:top w:val="single" w:sz="4" w:space="0" w:color="auto"/>
              <w:left w:val="single" w:sz="4" w:space="0" w:color="auto"/>
              <w:bottom w:val="dotted" w:sz="4" w:space="0" w:color="auto"/>
              <w:right w:val="nil"/>
            </w:tcBorders>
            <w:shd w:val="clear" w:color="auto" w:fill="auto"/>
            <w:noWrap/>
            <w:vAlign w:val="center"/>
          </w:tcPr>
          <w:p w14:paraId="0D3187F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588</w:t>
            </w:r>
          </w:p>
          <w:p w14:paraId="403A86D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139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nil"/>
              <w:bottom w:val="dotted" w:sz="4" w:space="0" w:color="auto"/>
              <w:right w:val="single" w:sz="4" w:space="0" w:color="auto"/>
            </w:tcBorders>
            <w:shd w:val="clear" w:color="auto" w:fill="auto"/>
            <w:noWrap/>
            <w:vAlign w:val="center"/>
          </w:tcPr>
          <w:p w14:paraId="2052E99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622</w:t>
            </w:r>
          </w:p>
          <w:p w14:paraId="27D78A9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271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68</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nil"/>
              <w:bottom w:val="dotted" w:sz="4" w:space="0" w:color="auto"/>
              <w:right w:val="nil"/>
            </w:tcBorders>
            <w:shd w:val="clear" w:color="auto" w:fill="auto"/>
            <w:noWrap/>
            <w:vAlign w:val="center"/>
          </w:tcPr>
          <w:p w14:paraId="12EC82B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565</w:t>
            </w:r>
          </w:p>
          <w:p w14:paraId="165EB73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281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16</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single" w:sz="4" w:space="0" w:color="auto"/>
              <w:bottom w:val="dotted" w:sz="4" w:space="0" w:color="auto"/>
              <w:right w:val="nil"/>
            </w:tcBorders>
            <w:shd w:val="clear" w:color="auto" w:fill="auto"/>
            <w:noWrap/>
            <w:vAlign w:val="center"/>
          </w:tcPr>
          <w:p w14:paraId="4AA7769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588</w:t>
            </w:r>
          </w:p>
          <w:p w14:paraId="157CA4B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140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nil"/>
              <w:bottom w:val="dotted" w:sz="4" w:space="0" w:color="auto"/>
              <w:right w:val="single" w:sz="4" w:space="0" w:color="auto"/>
            </w:tcBorders>
            <w:shd w:val="clear" w:color="auto" w:fill="auto"/>
            <w:noWrap/>
            <w:vAlign w:val="center"/>
          </w:tcPr>
          <w:p w14:paraId="69C7ECF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622</w:t>
            </w:r>
          </w:p>
          <w:p w14:paraId="35DB0D4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272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nil"/>
              <w:bottom w:val="dotted" w:sz="4" w:space="0" w:color="auto"/>
              <w:right w:val="nil"/>
            </w:tcBorders>
            <w:shd w:val="clear" w:color="auto" w:fill="auto"/>
            <w:noWrap/>
            <w:vAlign w:val="center"/>
          </w:tcPr>
          <w:p w14:paraId="2F98800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599</w:t>
            </w:r>
          </w:p>
          <w:p w14:paraId="087491B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180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48</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single" w:sz="4" w:space="0" w:color="auto"/>
              <w:bottom w:val="dotted" w:sz="4" w:space="0" w:color="auto"/>
              <w:right w:val="nil"/>
            </w:tcBorders>
            <w:shd w:val="clear" w:color="auto" w:fill="auto"/>
            <w:noWrap/>
            <w:vAlign w:val="center"/>
          </w:tcPr>
          <w:p w14:paraId="7B06048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611</w:t>
            </w:r>
          </w:p>
          <w:p w14:paraId="30E85EA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112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08</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nil"/>
              <w:bottom w:val="dotted" w:sz="4" w:space="0" w:color="auto"/>
              <w:right w:val="single" w:sz="4" w:space="0" w:color="auto"/>
            </w:tcBorders>
            <w:shd w:val="clear" w:color="auto" w:fill="auto"/>
            <w:noWrap/>
            <w:vAlign w:val="center"/>
          </w:tcPr>
          <w:p w14:paraId="5D82E0C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588</w:t>
            </w:r>
          </w:p>
          <w:p w14:paraId="00F675D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140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94</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nil"/>
              <w:bottom w:val="dotted" w:sz="4" w:space="0" w:color="auto"/>
              <w:right w:val="nil"/>
            </w:tcBorders>
            <w:shd w:val="clear" w:color="auto" w:fill="auto"/>
            <w:noWrap/>
            <w:vAlign w:val="center"/>
          </w:tcPr>
          <w:p w14:paraId="0A142F8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598</w:t>
            </w:r>
          </w:p>
          <w:p w14:paraId="4370D14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180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single" w:sz="4" w:space="0" w:color="auto"/>
              <w:bottom w:val="dotted" w:sz="4" w:space="0" w:color="auto"/>
              <w:right w:val="nil"/>
            </w:tcBorders>
            <w:shd w:val="clear" w:color="auto" w:fill="auto"/>
            <w:noWrap/>
            <w:vAlign w:val="center"/>
          </w:tcPr>
          <w:p w14:paraId="5A1A21D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610</w:t>
            </w:r>
          </w:p>
          <w:p w14:paraId="37922E4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111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94</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nil"/>
              <w:bottom w:val="dotted" w:sz="4" w:space="0" w:color="auto"/>
              <w:right w:val="single" w:sz="12" w:space="0" w:color="auto"/>
            </w:tcBorders>
            <w:shd w:val="clear" w:color="auto" w:fill="auto"/>
            <w:noWrap/>
            <w:vAlign w:val="center"/>
          </w:tcPr>
          <w:p w14:paraId="7E06DB9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587</w:t>
            </w:r>
          </w:p>
          <w:p w14:paraId="68243D9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140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92</w:t>
            </w:r>
            <w:r w:rsidRPr="007F425D">
              <w:rPr>
                <w:rFonts w:ascii="Times New Roman" w:eastAsia="Times New Roman" w:hAnsi="Times New Roman" w:cs="Times New Roman"/>
                <w:color w:val="000000"/>
                <w:sz w:val="20"/>
                <w:szCs w:val="20"/>
                <w:vertAlign w:val="superscript"/>
                <w:lang w:eastAsia="de-DE"/>
              </w:rPr>
              <w:t>***</w:t>
            </w:r>
          </w:p>
        </w:tc>
      </w:tr>
      <w:tr w:rsidR="004541ED" w:rsidRPr="007F425D" w14:paraId="07205944" w14:textId="77777777" w:rsidTr="004541ED">
        <w:trPr>
          <w:trHeight w:val="300"/>
        </w:trPr>
        <w:tc>
          <w:tcPr>
            <w:tcW w:w="2377" w:type="dxa"/>
            <w:tcBorders>
              <w:top w:val="dotted" w:sz="4" w:space="0" w:color="auto"/>
              <w:left w:val="single" w:sz="12" w:space="0" w:color="auto"/>
              <w:bottom w:val="dotted" w:sz="4" w:space="0" w:color="auto"/>
              <w:right w:val="nil"/>
            </w:tcBorders>
            <w:shd w:val="clear" w:color="auto" w:fill="auto"/>
            <w:noWrap/>
            <w:vAlign w:val="center"/>
            <w:hideMark/>
          </w:tcPr>
          <w:p w14:paraId="2D7F345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Age</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0408CD3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000</w:t>
            </w:r>
          </w:p>
          <w:p w14:paraId="60B6AE3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82</w:t>
            </w:r>
            <w:r w:rsidRPr="007F425D">
              <w:rPr>
                <w:rFonts w:ascii="Times New Roman" w:eastAsia="Times New Roman" w:hAnsi="Times New Roman" w:cs="Times New Roman"/>
                <w:color w:val="000000"/>
                <w:sz w:val="20"/>
                <w:szCs w:val="20"/>
                <w:vertAlign w:val="superscript"/>
                <w:lang w:eastAsia="de-DE"/>
              </w:rPr>
              <w:t>***</w:t>
            </w:r>
          </w:p>
        </w:tc>
        <w:tc>
          <w:tcPr>
            <w:tcW w:w="968" w:type="dxa"/>
            <w:tcBorders>
              <w:top w:val="dotted" w:sz="4" w:space="0" w:color="auto"/>
              <w:left w:val="single" w:sz="4" w:space="0" w:color="auto"/>
              <w:bottom w:val="dotted" w:sz="4" w:space="0" w:color="auto"/>
              <w:right w:val="nil"/>
            </w:tcBorders>
            <w:shd w:val="clear" w:color="auto" w:fill="auto"/>
            <w:noWrap/>
            <w:vAlign w:val="center"/>
          </w:tcPr>
          <w:p w14:paraId="5B468D5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000</w:t>
            </w:r>
          </w:p>
          <w:p w14:paraId="3CA9D54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79</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5A68740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001</w:t>
            </w:r>
          </w:p>
          <w:p w14:paraId="74387CA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center"/>
          </w:tcPr>
          <w:p w14:paraId="3612BE0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000</w:t>
            </w:r>
          </w:p>
          <w:p w14:paraId="0811D92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91</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2FC4A49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000</w:t>
            </w:r>
          </w:p>
          <w:p w14:paraId="25EB965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85</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59F26A4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001</w:t>
            </w:r>
          </w:p>
          <w:p w14:paraId="43E32EB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11</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center"/>
          </w:tcPr>
          <w:p w14:paraId="7D84A41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000</w:t>
            </w:r>
          </w:p>
          <w:p w14:paraId="6497A5E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53</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28C4548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001</w:t>
            </w:r>
          </w:p>
          <w:p w14:paraId="0EEB8F1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48</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7DDC58B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000</w:t>
            </w:r>
          </w:p>
          <w:p w14:paraId="094440A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36</w:t>
            </w:r>
          </w:p>
        </w:tc>
        <w:tc>
          <w:tcPr>
            <w:tcW w:w="0" w:type="auto"/>
            <w:tcBorders>
              <w:top w:val="dotted" w:sz="4" w:space="0" w:color="auto"/>
              <w:left w:val="nil"/>
              <w:bottom w:val="dotted" w:sz="4" w:space="0" w:color="auto"/>
              <w:right w:val="nil"/>
            </w:tcBorders>
            <w:shd w:val="clear" w:color="auto" w:fill="auto"/>
            <w:noWrap/>
            <w:vAlign w:val="center"/>
          </w:tcPr>
          <w:p w14:paraId="1A70BD9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000</w:t>
            </w:r>
          </w:p>
          <w:p w14:paraId="7226979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51</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4D930D4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001</w:t>
            </w:r>
          </w:p>
          <w:p w14:paraId="1D70E29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57</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12" w:space="0" w:color="auto"/>
            </w:tcBorders>
            <w:shd w:val="clear" w:color="auto" w:fill="auto"/>
            <w:noWrap/>
            <w:vAlign w:val="center"/>
          </w:tcPr>
          <w:p w14:paraId="0EB087A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000</w:t>
            </w:r>
          </w:p>
          <w:p w14:paraId="254FF2B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27</w:t>
            </w:r>
          </w:p>
        </w:tc>
      </w:tr>
      <w:tr w:rsidR="004541ED" w:rsidRPr="007F425D" w14:paraId="6DEB0E65" w14:textId="77777777" w:rsidTr="004541ED">
        <w:trPr>
          <w:trHeight w:val="300"/>
        </w:trPr>
        <w:tc>
          <w:tcPr>
            <w:tcW w:w="2377" w:type="dxa"/>
            <w:tcBorders>
              <w:top w:val="dotted" w:sz="4" w:space="0" w:color="auto"/>
              <w:left w:val="single" w:sz="12" w:space="0" w:color="auto"/>
              <w:bottom w:val="dotted" w:sz="4" w:space="0" w:color="auto"/>
              <w:right w:val="nil"/>
            </w:tcBorders>
            <w:shd w:val="clear" w:color="auto" w:fill="auto"/>
            <w:noWrap/>
            <w:vAlign w:val="center"/>
            <w:hideMark/>
          </w:tcPr>
          <w:p w14:paraId="7F0D2AF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Number of rooms</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373543F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010</w:t>
            </w:r>
          </w:p>
          <w:p w14:paraId="117CD0C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66</w:t>
            </w:r>
            <w:r w:rsidRPr="007F425D">
              <w:rPr>
                <w:rFonts w:ascii="Times New Roman" w:eastAsia="Times New Roman" w:hAnsi="Times New Roman" w:cs="Times New Roman"/>
                <w:color w:val="000000"/>
                <w:sz w:val="20"/>
                <w:szCs w:val="20"/>
                <w:vertAlign w:val="superscript"/>
                <w:lang w:eastAsia="de-DE"/>
              </w:rPr>
              <w:t>***</w:t>
            </w:r>
          </w:p>
        </w:tc>
        <w:tc>
          <w:tcPr>
            <w:tcW w:w="968" w:type="dxa"/>
            <w:tcBorders>
              <w:top w:val="dotted" w:sz="4" w:space="0" w:color="auto"/>
              <w:left w:val="single" w:sz="4" w:space="0" w:color="auto"/>
              <w:bottom w:val="dotted" w:sz="4" w:space="0" w:color="auto"/>
              <w:right w:val="nil"/>
            </w:tcBorders>
            <w:shd w:val="clear" w:color="auto" w:fill="auto"/>
            <w:noWrap/>
            <w:vAlign w:val="center"/>
          </w:tcPr>
          <w:p w14:paraId="7C61C2F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010</w:t>
            </w:r>
          </w:p>
          <w:p w14:paraId="4D81A72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18</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01F6047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010</w:t>
            </w:r>
          </w:p>
          <w:p w14:paraId="5615404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38</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center"/>
          </w:tcPr>
          <w:p w14:paraId="084F22B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010</w:t>
            </w:r>
          </w:p>
          <w:p w14:paraId="5EF263F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76</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13F21D7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010</w:t>
            </w:r>
          </w:p>
          <w:p w14:paraId="4A6198E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27</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1D32B52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010</w:t>
            </w:r>
          </w:p>
          <w:p w14:paraId="3D5B47B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48</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center"/>
          </w:tcPr>
          <w:p w14:paraId="71DC29E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006</w:t>
            </w:r>
          </w:p>
          <w:p w14:paraId="2641442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73</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30DFC0D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000</w:t>
            </w:r>
          </w:p>
          <w:p w14:paraId="12F6C97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44</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209A776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008</w:t>
            </w:r>
          </w:p>
          <w:p w14:paraId="60E44AB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44</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center"/>
          </w:tcPr>
          <w:p w14:paraId="3114331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006</w:t>
            </w:r>
          </w:p>
          <w:p w14:paraId="6EF7D70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60</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35024A0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000</w:t>
            </w:r>
          </w:p>
          <w:p w14:paraId="33DE672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41</w:t>
            </w:r>
          </w:p>
        </w:tc>
        <w:tc>
          <w:tcPr>
            <w:tcW w:w="0" w:type="auto"/>
            <w:tcBorders>
              <w:top w:val="dotted" w:sz="4" w:space="0" w:color="auto"/>
              <w:left w:val="nil"/>
              <w:bottom w:val="dotted" w:sz="4" w:space="0" w:color="auto"/>
              <w:right w:val="single" w:sz="12" w:space="0" w:color="auto"/>
            </w:tcBorders>
            <w:shd w:val="clear" w:color="auto" w:fill="auto"/>
            <w:noWrap/>
            <w:vAlign w:val="center"/>
          </w:tcPr>
          <w:p w14:paraId="7627112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008</w:t>
            </w:r>
          </w:p>
          <w:p w14:paraId="53C955B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36</w:t>
            </w:r>
            <w:r w:rsidRPr="007F425D">
              <w:rPr>
                <w:rFonts w:ascii="Times New Roman" w:eastAsia="Times New Roman" w:hAnsi="Times New Roman" w:cs="Times New Roman"/>
                <w:color w:val="000000"/>
                <w:sz w:val="20"/>
                <w:szCs w:val="20"/>
                <w:vertAlign w:val="superscript"/>
                <w:lang w:eastAsia="de-DE"/>
              </w:rPr>
              <w:t>***</w:t>
            </w:r>
          </w:p>
        </w:tc>
      </w:tr>
      <w:tr w:rsidR="004541ED" w:rsidRPr="007F425D" w14:paraId="7816F867" w14:textId="77777777" w:rsidTr="004541ED">
        <w:trPr>
          <w:trHeight w:val="300"/>
        </w:trPr>
        <w:tc>
          <w:tcPr>
            <w:tcW w:w="2377" w:type="dxa"/>
            <w:tcBorders>
              <w:top w:val="dotted" w:sz="4" w:space="0" w:color="auto"/>
              <w:left w:val="single" w:sz="12" w:space="0" w:color="auto"/>
              <w:bottom w:val="dotted" w:sz="4" w:space="0" w:color="auto"/>
              <w:right w:val="nil"/>
            </w:tcBorders>
            <w:shd w:val="clear" w:color="auto" w:fill="auto"/>
            <w:noWrap/>
            <w:vAlign w:val="center"/>
            <w:hideMark/>
          </w:tcPr>
          <w:p w14:paraId="6D94379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Log number of households in ZIP area</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6A269D3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075</w:t>
            </w:r>
          </w:p>
          <w:p w14:paraId="666A015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198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w:t>
            </w:r>
            <w:r w:rsidRPr="007F425D">
              <w:rPr>
                <w:rFonts w:ascii="Times New Roman" w:eastAsia="Times New Roman" w:hAnsi="Times New Roman" w:cs="Times New Roman"/>
                <w:color w:val="000000"/>
                <w:sz w:val="20"/>
                <w:szCs w:val="20"/>
                <w:vertAlign w:val="superscript"/>
                <w:lang w:eastAsia="de-DE"/>
              </w:rPr>
              <w:t>***</w:t>
            </w:r>
          </w:p>
        </w:tc>
        <w:tc>
          <w:tcPr>
            <w:tcW w:w="968" w:type="dxa"/>
            <w:tcBorders>
              <w:top w:val="dotted" w:sz="4" w:space="0" w:color="auto"/>
              <w:left w:val="single" w:sz="4" w:space="0" w:color="auto"/>
              <w:bottom w:val="dotted" w:sz="4" w:space="0" w:color="auto"/>
              <w:right w:val="nil"/>
            </w:tcBorders>
            <w:shd w:val="clear" w:color="auto" w:fill="auto"/>
            <w:noWrap/>
            <w:vAlign w:val="center"/>
          </w:tcPr>
          <w:p w14:paraId="0BC2A04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077</w:t>
            </w:r>
          </w:p>
          <w:p w14:paraId="448BA1A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97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96</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3BC65A8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074</w:t>
            </w:r>
          </w:p>
          <w:p w14:paraId="438C412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172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83</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center"/>
          </w:tcPr>
          <w:p w14:paraId="76ACCAB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075</w:t>
            </w:r>
          </w:p>
          <w:p w14:paraId="5DE99BE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198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660DF90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077</w:t>
            </w:r>
          </w:p>
          <w:p w14:paraId="4116754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97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98</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159DFD7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074</w:t>
            </w:r>
          </w:p>
          <w:p w14:paraId="6910609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172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87</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center"/>
          </w:tcPr>
          <w:p w14:paraId="345675D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041</w:t>
            </w:r>
          </w:p>
          <w:p w14:paraId="73F2C18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31</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42F6E90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033</w:t>
            </w:r>
          </w:p>
          <w:p w14:paraId="15577A8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87</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5805637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045</w:t>
            </w:r>
          </w:p>
          <w:p w14:paraId="61C5A9D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87</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center"/>
          </w:tcPr>
          <w:p w14:paraId="77108BB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041</w:t>
            </w:r>
          </w:p>
          <w:p w14:paraId="50CDE98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0685342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033</w:t>
            </w:r>
          </w:p>
          <w:p w14:paraId="3F2F11B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12" w:space="0" w:color="auto"/>
            </w:tcBorders>
            <w:shd w:val="clear" w:color="auto" w:fill="auto"/>
            <w:noWrap/>
            <w:vAlign w:val="center"/>
          </w:tcPr>
          <w:p w14:paraId="0BC766E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045</w:t>
            </w:r>
          </w:p>
          <w:p w14:paraId="7BC2B7E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89</w:t>
            </w:r>
            <w:r w:rsidRPr="007F425D">
              <w:rPr>
                <w:rFonts w:ascii="Times New Roman" w:eastAsia="Times New Roman" w:hAnsi="Times New Roman" w:cs="Times New Roman"/>
                <w:color w:val="000000"/>
                <w:sz w:val="20"/>
                <w:szCs w:val="20"/>
                <w:vertAlign w:val="superscript"/>
                <w:lang w:eastAsia="de-DE"/>
              </w:rPr>
              <w:t>***</w:t>
            </w:r>
          </w:p>
        </w:tc>
      </w:tr>
      <w:tr w:rsidR="004541ED" w:rsidRPr="007F425D" w14:paraId="278EEC39" w14:textId="77777777" w:rsidTr="004541ED">
        <w:trPr>
          <w:trHeight w:val="300"/>
        </w:trPr>
        <w:tc>
          <w:tcPr>
            <w:tcW w:w="2377" w:type="dxa"/>
            <w:tcBorders>
              <w:top w:val="dotted" w:sz="4" w:space="0" w:color="auto"/>
              <w:left w:val="single" w:sz="12" w:space="0" w:color="auto"/>
              <w:bottom w:val="dotted" w:sz="4" w:space="0" w:color="auto"/>
              <w:right w:val="nil"/>
            </w:tcBorders>
            <w:shd w:val="clear" w:color="auto" w:fill="auto"/>
            <w:noWrap/>
            <w:vAlign w:val="center"/>
            <w:hideMark/>
          </w:tcPr>
          <w:p w14:paraId="24448A9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Log purchasing power of household in ZIP area</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7486AB5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368</w:t>
            </w:r>
          </w:p>
          <w:p w14:paraId="6D67D73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238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55</w:t>
            </w:r>
            <w:r w:rsidRPr="007F425D">
              <w:rPr>
                <w:rFonts w:ascii="Times New Roman" w:eastAsia="Times New Roman" w:hAnsi="Times New Roman" w:cs="Times New Roman"/>
                <w:color w:val="000000"/>
                <w:sz w:val="20"/>
                <w:szCs w:val="20"/>
                <w:vertAlign w:val="superscript"/>
                <w:lang w:eastAsia="de-DE"/>
              </w:rPr>
              <w:t>***</w:t>
            </w:r>
          </w:p>
        </w:tc>
        <w:tc>
          <w:tcPr>
            <w:tcW w:w="968" w:type="dxa"/>
            <w:tcBorders>
              <w:top w:val="dotted" w:sz="4" w:space="0" w:color="auto"/>
              <w:left w:val="single" w:sz="4" w:space="0" w:color="auto"/>
              <w:bottom w:val="dotted" w:sz="4" w:space="0" w:color="auto"/>
              <w:right w:val="nil"/>
            </w:tcBorders>
            <w:shd w:val="clear" w:color="auto" w:fill="auto"/>
            <w:noWrap/>
            <w:vAlign w:val="center"/>
          </w:tcPr>
          <w:p w14:paraId="43B80BD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384</w:t>
            </w:r>
          </w:p>
          <w:p w14:paraId="06ABB74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122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04</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04A3467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362</w:t>
            </w:r>
          </w:p>
          <w:p w14:paraId="06D3CA2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204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center"/>
          </w:tcPr>
          <w:p w14:paraId="05FF227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368</w:t>
            </w:r>
          </w:p>
          <w:p w14:paraId="27DA297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238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7774915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384</w:t>
            </w:r>
          </w:p>
          <w:p w14:paraId="4DF8A6C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122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07</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5722D09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362</w:t>
            </w:r>
          </w:p>
          <w:p w14:paraId="6DAA43A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204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84</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center"/>
          </w:tcPr>
          <w:p w14:paraId="37F2E42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300</w:t>
            </w:r>
          </w:p>
          <w:p w14:paraId="7C271E0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03B6FFE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296</w:t>
            </w:r>
          </w:p>
          <w:p w14:paraId="1E841E5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07</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4D8D4FF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301</w:t>
            </w:r>
          </w:p>
          <w:p w14:paraId="4140A3F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12</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center"/>
          </w:tcPr>
          <w:p w14:paraId="67DE5B1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300</w:t>
            </w:r>
          </w:p>
          <w:p w14:paraId="585A96C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04</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2657BE1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296</w:t>
            </w:r>
          </w:p>
          <w:p w14:paraId="0F254C9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12" w:space="0" w:color="auto"/>
            </w:tcBorders>
            <w:shd w:val="clear" w:color="auto" w:fill="auto"/>
            <w:noWrap/>
            <w:vAlign w:val="center"/>
          </w:tcPr>
          <w:p w14:paraId="24F8A9A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301</w:t>
            </w:r>
          </w:p>
          <w:p w14:paraId="72905EB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11</w:t>
            </w:r>
            <w:r w:rsidRPr="007F425D">
              <w:rPr>
                <w:rFonts w:ascii="Times New Roman" w:eastAsia="Times New Roman" w:hAnsi="Times New Roman" w:cs="Times New Roman"/>
                <w:color w:val="000000"/>
                <w:sz w:val="20"/>
                <w:szCs w:val="20"/>
                <w:vertAlign w:val="superscript"/>
                <w:lang w:eastAsia="de-DE"/>
              </w:rPr>
              <w:t>***</w:t>
            </w:r>
          </w:p>
        </w:tc>
      </w:tr>
      <w:tr w:rsidR="004541ED" w:rsidRPr="007F425D" w14:paraId="4DEAFF55" w14:textId="77777777" w:rsidTr="004541ED">
        <w:trPr>
          <w:trHeight w:val="300"/>
        </w:trPr>
        <w:tc>
          <w:tcPr>
            <w:tcW w:w="2377" w:type="dxa"/>
            <w:tcBorders>
              <w:top w:val="dotted" w:sz="4" w:space="0" w:color="auto"/>
              <w:left w:val="single" w:sz="12" w:space="0" w:color="auto"/>
              <w:bottom w:val="dotted" w:sz="4" w:space="0" w:color="auto"/>
              <w:right w:val="nil"/>
            </w:tcBorders>
            <w:shd w:val="clear" w:color="auto" w:fill="auto"/>
            <w:noWrap/>
            <w:vAlign w:val="center"/>
            <w:hideMark/>
          </w:tcPr>
          <w:p w14:paraId="31091AD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xml:space="preserve">Log distance to ZIP centroid </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4557F65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010</w:t>
            </w:r>
          </w:p>
          <w:p w14:paraId="5A93071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19</w:t>
            </w:r>
            <w:r w:rsidRPr="007F425D">
              <w:rPr>
                <w:rFonts w:ascii="Times New Roman" w:eastAsia="Times New Roman" w:hAnsi="Times New Roman" w:cs="Times New Roman"/>
                <w:color w:val="000000"/>
                <w:sz w:val="20"/>
                <w:szCs w:val="20"/>
                <w:vertAlign w:val="superscript"/>
                <w:lang w:eastAsia="de-DE"/>
              </w:rPr>
              <w:t>***</w:t>
            </w:r>
          </w:p>
        </w:tc>
        <w:tc>
          <w:tcPr>
            <w:tcW w:w="968" w:type="dxa"/>
            <w:tcBorders>
              <w:top w:val="dotted" w:sz="4" w:space="0" w:color="auto"/>
              <w:left w:val="single" w:sz="4" w:space="0" w:color="auto"/>
              <w:bottom w:val="dotted" w:sz="4" w:space="0" w:color="auto"/>
              <w:right w:val="nil"/>
            </w:tcBorders>
            <w:shd w:val="clear" w:color="auto" w:fill="auto"/>
            <w:noWrap/>
            <w:vAlign w:val="center"/>
          </w:tcPr>
          <w:p w14:paraId="55846EE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009</w:t>
            </w:r>
          </w:p>
          <w:p w14:paraId="54A044F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72</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238209B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011</w:t>
            </w:r>
          </w:p>
          <w:p w14:paraId="4EBBEA2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center"/>
          </w:tcPr>
          <w:p w14:paraId="1A13B6B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011</w:t>
            </w:r>
          </w:p>
          <w:p w14:paraId="015623D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22</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60A9A4E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009</w:t>
            </w:r>
          </w:p>
          <w:p w14:paraId="67281BC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73</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08BF12F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011</w:t>
            </w:r>
          </w:p>
          <w:p w14:paraId="2546530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center"/>
          </w:tcPr>
          <w:p w14:paraId="15EB5B0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005</w:t>
            </w:r>
          </w:p>
          <w:p w14:paraId="0110EE1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44</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0189F50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008</w:t>
            </w:r>
          </w:p>
          <w:p w14:paraId="248A6BE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23</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6D5B72F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002</w:t>
            </w:r>
          </w:p>
          <w:p w14:paraId="6857708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center"/>
          </w:tcPr>
          <w:p w14:paraId="7D858D3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005</w:t>
            </w:r>
          </w:p>
          <w:p w14:paraId="078849F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57</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128A0BF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009</w:t>
            </w:r>
          </w:p>
          <w:p w14:paraId="54F9623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31</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12" w:space="0" w:color="auto"/>
            </w:tcBorders>
            <w:shd w:val="clear" w:color="auto" w:fill="auto"/>
            <w:noWrap/>
            <w:vAlign w:val="center"/>
          </w:tcPr>
          <w:p w14:paraId="7E3991E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002</w:t>
            </w:r>
          </w:p>
          <w:p w14:paraId="019F0E0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94</w:t>
            </w:r>
            <w:r w:rsidRPr="007F425D">
              <w:rPr>
                <w:rFonts w:ascii="Times New Roman" w:eastAsia="Times New Roman" w:hAnsi="Times New Roman" w:cs="Times New Roman"/>
                <w:color w:val="000000"/>
                <w:sz w:val="20"/>
                <w:szCs w:val="20"/>
                <w:vertAlign w:val="superscript"/>
                <w:lang w:eastAsia="de-DE"/>
              </w:rPr>
              <w:t>*</w:t>
            </w:r>
          </w:p>
        </w:tc>
      </w:tr>
      <w:tr w:rsidR="004541ED" w:rsidRPr="007F425D" w14:paraId="1C028F1C" w14:textId="77777777" w:rsidTr="004541ED">
        <w:trPr>
          <w:trHeight w:val="300"/>
        </w:trPr>
        <w:tc>
          <w:tcPr>
            <w:tcW w:w="2377" w:type="dxa"/>
            <w:tcBorders>
              <w:top w:val="dotted" w:sz="4" w:space="0" w:color="auto"/>
              <w:left w:val="single" w:sz="12" w:space="0" w:color="auto"/>
              <w:bottom w:val="single" w:sz="4" w:space="0" w:color="auto"/>
              <w:right w:val="nil"/>
            </w:tcBorders>
            <w:shd w:val="clear" w:color="auto" w:fill="auto"/>
            <w:noWrap/>
            <w:vAlign w:val="center"/>
            <w:hideMark/>
          </w:tcPr>
          <w:p w14:paraId="4B524E5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xml:space="preserve">Log distance to municipality centroid </w:t>
            </w:r>
          </w:p>
        </w:tc>
        <w:tc>
          <w:tcPr>
            <w:tcW w:w="0" w:type="auto"/>
            <w:tcBorders>
              <w:top w:val="dotted" w:sz="4" w:space="0" w:color="auto"/>
              <w:left w:val="single" w:sz="4" w:space="0" w:color="auto"/>
              <w:bottom w:val="single" w:sz="4" w:space="0" w:color="auto"/>
              <w:right w:val="nil"/>
            </w:tcBorders>
            <w:shd w:val="clear" w:color="auto" w:fill="auto"/>
            <w:noWrap/>
            <w:vAlign w:val="center"/>
          </w:tcPr>
          <w:p w14:paraId="2F93A16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048</w:t>
            </w:r>
          </w:p>
          <w:p w14:paraId="4DA4427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-178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72</w:t>
            </w:r>
            <w:r w:rsidRPr="007F425D">
              <w:rPr>
                <w:rFonts w:ascii="Times New Roman" w:eastAsia="Times New Roman" w:hAnsi="Times New Roman" w:cs="Times New Roman"/>
                <w:color w:val="000000"/>
                <w:sz w:val="20"/>
                <w:szCs w:val="20"/>
                <w:vertAlign w:val="superscript"/>
                <w:lang w:eastAsia="de-DE"/>
              </w:rPr>
              <w:t>***</w:t>
            </w:r>
          </w:p>
        </w:tc>
        <w:tc>
          <w:tcPr>
            <w:tcW w:w="968" w:type="dxa"/>
            <w:tcBorders>
              <w:top w:val="dotted" w:sz="4" w:space="0" w:color="auto"/>
              <w:left w:val="single" w:sz="4" w:space="0" w:color="auto"/>
              <w:bottom w:val="single" w:sz="4" w:space="0" w:color="auto"/>
              <w:right w:val="nil"/>
            </w:tcBorders>
            <w:shd w:val="clear" w:color="auto" w:fill="auto"/>
            <w:noWrap/>
            <w:vAlign w:val="center"/>
          </w:tcPr>
          <w:p w14:paraId="31978D3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052</w:t>
            </w:r>
          </w:p>
          <w:p w14:paraId="1E11BF6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-94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single" w:sz="4" w:space="0" w:color="auto"/>
              <w:right w:val="single" w:sz="4" w:space="0" w:color="auto"/>
            </w:tcBorders>
            <w:shd w:val="clear" w:color="auto" w:fill="auto"/>
            <w:noWrap/>
            <w:vAlign w:val="center"/>
          </w:tcPr>
          <w:p w14:paraId="29E91B1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046</w:t>
            </w:r>
          </w:p>
          <w:p w14:paraId="6EC0925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-150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77</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single" w:sz="4" w:space="0" w:color="auto"/>
              <w:right w:val="nil"/>
            </w:tcBorders>
            <w:shd w:val="clear" w:color="auto" w:fill="auto"/>
            <w:noWrap/>
            <w:vAlign w:val="center"/>
          </w:tcPr>
          <w:p w14:paraId="6CBC4AF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048</w:t>
            </w:r>
          </w:p>
          <w:p w14:paraId="0E9584C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-178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86</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single" w:sz="4" w:space="0" w:color="auto"/>
              <w:right w:val="nil"/>
            </w:tcBorders>
            <w:shd w:val="clear" w:color="auto" w:fill="auto"/>
            <w:noWrap/>
            <w:vAlign w:val="center"/>
          </w:tcPr>
          <w:p w14:paraId="1913C16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052</w:t>
            </w:r>
          </w:p>
          <w:p w14:paraId="25EF509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-94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single" w:sz="4" w:space="0" w:color="auto"/>
              <w:right w:val="single" w:sz="4" w:space="0" w:color="auto"/>
            </w:tcBorders>
            <w:shd w:val="clear" w:color="auto" w:fill="auto"/>
            <w:noWrap/>
            <w:vAlign w:val="center"/>
          </w:tcPr>
          <w:p w14:paraId="68F4090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046</w:t>
            </w:r>
          </w:p>
          <w:p w14:paraId="750B064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-150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single" w:sz="4" w:space="0" w:color="auto"/>
              <w:right w:val="nil"/>
            </w:tcBorders>
            <w:shd w:val="clear" w:color="auto" w:fill="auto"/>
            <w:noWrap/>
            <w:vAlign w:val="center"/>
          </w:tcPr>
          <w:p w14:paraId="42FD404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109</w:t>
            </w:r>
          </w:p>
          <w:p w14:paraId="0898370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-136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83</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single" w:sz="4" w:space="0" w:color="auto"/>
              <w:right w:val="nil"/>
            </w:tcBorders>
            <w:shd w:val="clear" w:color="auto" w:fill="auto"/>
            <w:noWrap/>
            <w:vAlign w:val="center"/>
          </w:tcPr>
          <w:p w14:paraId="5283700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103</w:t>
            </w:r>
          </w:p>
          <w:p w14:paraId="176D21F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24</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single" w:sz="4" w:space="0" w:color="auto"/>
              <w:right w:val="single" w:sz="4" w:space="0" w:color="auto"/>
            </w:tcBorders>
            <w:shd w:val="clear" w:color="auto" w:fill="auto"/>
            <w:noWrap/>
            <w:vAlign w:val="center"/>
          </w:tcPr>
          <w:p w14:paraId="50BC083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111</w:t>
            </w:r>
          </w:p>
          <w:p w14:paraId="58952FB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-112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single" w:sz="4" w:space="0" w:color="auto"/>
              <w:right w:val="nil"/>
            </w:tcBorders>
            <w:shd w:val="clear" w:color="auto" w:fill="auto"/>
            <w:noWrap/>
            <w:vAlign w:val="center"/>
          </w:tcPr>
          <w:p w14:paraId="6E54E06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109</w:t>
            </w:r>
          </w:p>
          <w:p w14:paraId="4932274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-136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78</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single" w:sz="4" w:space="0" w:color="auto"/>
              <w:right w:val="nil"/>
            </w:tcBorders>
            <w:shd w:val="clear" w:color="auto" w:fill="auto"/>
            <w:noWrap/>
            <w:vAlign w:val="center"/>
          </w:tcPr>
          <w:p w14:paraId="241A013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104</w:t>
            </w:r>
          </w:p>
          <w:p w14:paraId="14ACC7A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33</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single" w:sz="4" w:space="0" w:color="auto"/>
              <w:right w:val="single" w:sz="12" w:space="0" w:color="auto"/>
            </w:tcBorders>
            <w:shd w:val="clear" w:color="auto" w:fill="auto"/>
            <w:noWrap/>
            <w:vAlign w:val="center"/>
          </w:tcPr>
          <w:p w14:paraId="437478D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111</w:t>
            </w:r>
          </w:p>
          <w:p w14:paraId="664C666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-112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19</w:t>
            </w:r>
            <w:r w:rsidRPr="007F425D">
              <w:rPr>
                <w:rFonts w:ascii="Times New Roman" w:eastAsia="Times New Roman" w:hAnsi="Times New Roman" w:cs="Times New Roman"/>
                <w:color w:val="000000"/>
                <w:sz w:val="20"/>
                <w:szCs w:val="20"/>
                <w:vertAlign w:val="superscript"/>
                <w:lang w:eastAsia="de-DE"/>
              </w:rPr>
              <w:t>***</w:t>
            </w:r>
          </w:p>
        </w:tc>
      </w:tr>
      <w:tr w:rsidR="004541ED" w:rsidRPr="007F425D" w14:paraId="0C3CB90D" w14:textId="77777777" w:rsidTr="004541ED">
        <w:trPr>
          <w:trHeight w:val="300"/>
        </w:trPr>
        <w:tc>
          <w:tcPr>
            <w:tcW w:w="2377" w:type="dxa"/>
            <w:tcBorders>
              <w:top w:val="single" w:sz="4" w:space="0" w:color="auto"/>
              <w:left w:val="single" w:sz="12" w:space="0" w:color="auto"/>
              <w:bottom w:val="dotted" w:sz="4" w:space="0" w:color="auto"/>
              <w:right w:val="nil"/>
            </w:tcBorders>
            <w:shd w:val="clear" w:color="auto" w:fill="auto"/>
            <w:noWrap/>
            <w:vAlign w:val="center"/>
            <w:hideMark/>
          </w:tcPr>
          <w:p w14:paraId="2938F66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With bathtub</w:t>
            </w:r>
          </w:p>
        </w:tc>
        <w:tc>
          <w:tcPr>
            <w:tcW w:w="0" w:type="auto"/>
            <w:tcBorders>
              <w:top w:val="single" w:sz="4" w:space="0" w:color="auto"/>
              <w:left w:val="single" w:sz="4" w:space="0" w:color="auto"/>
              <w:bottom w:val="dotted" w:sz="4" w:space="0" w:color="auto"/>
              <w:right w:val="nil"/>
            </w:tcBorders>
            <w:shd w:val="clear" w:color="auto" w:fill="auto"/>
            <w:noWrap/>
            <w:vAlign w:val="center"/>
          </w:tcPr>
          <w:p w14:paraId="095156A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011</w:t>
            </w:r>
          </w:p>
          <w:p w14:paraId="10756BC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34</w:t>
            </w:r>
            <w:r w:rsidRPr="007F425D">
              <w:rPr>
                <w:rFonts w:ascii="Times New Roman" w:eastAsia="Times New Roman" w:hAnsi="Times New Roman" w:cs="Times New Roman"/>
                <w:color w:val="000000"/>
                <w:sz w:val="20"/>
                <w:szCs w:val="20"/>
                <w:vertAlign w:val="superscript"/>
                <w:lang w:eastAsia="de-DE"/>
              </w:rPr>
              <w:t>***</w:t>
            </w:r>
          </w:p>
        </w:tc>
        <w:tc>
          <w:tcPr>
            <w:tcW w:w="968" w:type="dxa"/>
            <w:tcBorders>
              <w:top w:val="single" w:sz="4" w:space="0" w:color="auto"/>
              <w:left w:val="single" w:sz="4" w:space="0" w:color="auto"/>
              <w:bottom w:val="dotted" w:sz="4" w:space="0" w:color="auto"/>
              <w:right w:val="nil"/>
            </w:tcBorders>
            <w:shd w:val="clear" w:color="auto" w:fill="auto"/>
            <w:noWrap/>
            <w:vAlign w:val="center"/>
          </w:tcPr>
          <w:p w14:paraId="03B5875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010</w:t>
            </w:r>
          </w:p>
          <w:p w14:paraId="6615F5B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27</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nil"/>
              <w:bottom w:val="dotted" w:sz="4" w:space="0" w:color="auto"/>
              <w:right w:val="single" w:sz="4" w:space="0" w:color="auto"/>
            </w:tcBorders>
            <w:shd w:val="clear" w:color="auto" w:fill="auto"/>
            <w:noWrap/>
            <w:vAlign w:val="center"/>
          </w:tcPr>
          <w:p w14:paraId="7380308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010</w:t>
            </w:r>
          </w:p>
          <w:p w14:paraId="17D30DC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62</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nil"/>
              <w:bottom w:val="dotted" w:sz="4" w:space="0" w:color="auto"/>
              <w:right w:val="nil"/>
            </w:tcBorders>
            <w:shd w:val="clear" w:color="auto" w:fill="auto"/>
            <w:noWrap/>
            <w:vAlign w:val="center"/>
          </w:tcPr>
          <w:p w14:paraId="16C457A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011</w:t>
            </w:r>
          </w:p>
          <w:p w14:paraId="0563324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34</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single" w:sz="4" w:space="0" w:color="auto"/>
              <w:bottom w:val="dotted" w:sz="4" w:space="0" w:color="auto"/>
              <w:right w:val="nil"/>
            </w:tcBorders>
            <w:shd w:val="clear" w:color="auto" w:fill="auto"/>
            <w:noWrap/>
            <w:vAlign w:val="center"/>
          </w:tcPr>
          <w:p w14:paraId="498D9A4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w:t>
            </w:r>
          </w:p>
          <w:p w14:paraId="586360C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28</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nil"/>
              <w:bottom w:val="dotted" w:sz="4" w:space="0" w:color="auto"/>
              <w:right w:val="single" w:sz="4" w:space="0" w:color="auto"/>
            </w:tcBorders>
            <w:shd w:val="clear" w:color="auto" w:fill="auto"/>
            <w:noWrap/>
            <w:vAlign w:val="center"/>
          </w:tcPr>
          <w:p w14:paraId="77841F0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w:t>
            </w:r>
          </w:p>
          <w:p w14:paraId="22A7825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62</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nil"/>
              <w:bottom w:val="dotted" w:sz="4" w:space="0" w:color="auto"/>
              <w:right w:val="nil"/>
            </w:tcBorders>
            <w:shd w:val="clear" w:color="auto" w:fill="auto"/>
            <w:noWrap/>
            <w:vAlign w:val="center"/>
          </w:tcPr>
          <w:p w14:paraId="0F3F6CE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004</w:t>
            </w:r>
          </w:p>
          <w:p w14:paraId="0F4220C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64</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single" w:sz="4" w:space="0" w:color="auto"/>
              <w:bottom w:val="dotted" w:sz="4" w:space="0" w:color="auto"/>
              <w:right w:val="nil"/>
            </w:tcBorders>
            <w:shd w:val="clear" w:color="auto" w:fill="auto"/>
            <w:noWrap/>
            <w:vAlign w:val="center"/>
          </w:tcPr>
          <w:p w14:paraId="76F04EF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001</w:t>
            </w:r>
          </w:p>
          <w:p w14:paraId="7C12C11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p>
        </w:tc>
        <w:tc>
          <w:tcPr>
            <w:tcW w:w="0" w:type="auto"/>
            <w:tcBorders>
              <w:top w:val="single" w:sz="4" w:space="0" w:color="auto"/>
              <w:left w:val="nil"/>
              <w:bottom w:val="dotted" w:sz="4" w:space="0" w:color="auto"/>
              <w:right w:val="single" w:sz="4" w:space="0" w:color="auto"/>
            </w:tcBorders>
            <w:shd w:val="clear" w:color="auto" w:fill="auto"/>
            <w:noWrap/>
            <w:vAlign w:val="center"/>
          </w:tcPr>
          <w:p w14:paraId="7687256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006</w:t>
            </w:r>
          </w:p>
          <w:p w14:paraId="39B3300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nil"/>
              <w:bottom w:val="dotted" w:sz="4" w:space="0" w:color="auto"/>
              <w:right w:val="nil"/>
            </w:tcBorders>
            <w:shd w:val="clear" w:color="auto" w:fill="auto"/>
            <w:noWrap/>
            <w:vAlign w:val="center"/>
          </w:tcPr>
          <w:p w14:paraId="2A46FC6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004</w:t>
            </w:r>
          </w:p>
          <w:p w14:paraId="004EA0B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67</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single" w:sz="4" w:space="0" w:color="auto"/>
              <w:bottom w:val="dotted" w:sz="4" w:space="0" w:color="auto"/>
              <w:right w:val="nil"/>
            </w:tcBorders>
            <w:shd w:val="clear" w:color="auto" w:fill="auto"/>
            <w:noWrap/>
            <w:vAlign w:val="center"/>
          </w:tcPr>
          <w:p w14:paraId="6377578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001</w:t>
            </w:r>
          </w:p>
          <w:p w14:paraId="7465BCD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04</w:t>
            </w:r>
          </w:p>
        </w:tc>
        <w:tc>
          <w:tcPr>
            <w:tcW w:w="0" w:type="auto"/>
            <w:tcBorders>
              <w:top w:val="single" w:sz="4" w:space="0" w:color="auto"/>
              <w:left w:val="nil"/>
              <w:bottom w:val="dotted" w:sz="4" w:space="0" w:color="auto"/>
              <w:right w:val="single" w:sz="12" w:space="0" w:color="auto"/>
            </w:tcBorders>
            <w:shd w:val="clear" w:color="auto" w:fill="auto"/>
            <w:noWrap/>
            <w:vAlign w:val="center"/>
          </w:tcPr>
          <w:p w14:paraId="7E0A9AC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006</w:t>
            </w:r>
          </w:p>
          <w:p w14:paraId="77E0F5A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31</w:t>
            </w:r>
            <w:r w:rsidRPr="007F425D">
              <w:rPr>
                <w:rFonts w:ascii="Times New Roman" w:eastAsia="Times New Roman" w:hAnsi="Times New Roman" w:cs="Times New Roman"/>
                <w:color w:val="000000"/>
                <w:sz w:val="20"/>
                <w:szCs w:val="20"/>
                <w:vertAlign w:val="superscript"/>
                <w:lang w:eastAsia="de-DE"/>
              </w:rPr>
              <w:t>***</w:t>
            </w:r>
          </w:p>
        </w:tc>
      </w:tr>
      <w:tr w:rsidR="004541ED" w:rsidRPr="007F425D" w14:paraId="473D8E32" w14:textId="77777777" w:rsidTr="004541ED">
        <w:trPr>
          <w:trHeight w:val="300"/>
        </w:trPr>
        <w:tc>
          <w:tcPr>
            <w:tcW w:w="2377" w:type="dxa"/>
            <w:tcBorders>
              <w:top w:val="dotted" w:sz="4" w:space="0" w:color="auto"/>
              <w:left w:val="single" w:sz="12" w:space="0" w:color="auto"/>
              <w:bottom w:val="dotted" w:sz="4" w:space="0" w:color="auto"/>
              <w:right w:val="nil"/>
            </w:tcBorders>
            <w:shd w:val="clear" w:color="auto" w:fill="auto"/>
            <w:noWrap/>
            <w:vAlign w:val="center"/>
            <w:hideMark/>
          </w:tcPr>
          <w:p w14:paraId="1093CFD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With built-in-kitchen</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119818D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082</w:t>
            </w:r>
          </w:p>
          <w:p w14:paraId="12FE6F8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177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97</w:t>
            </w:r>
            <w:r w:rsidRPr="007F425D">
              <w:rPr>
                <w:rFonts w:ascii="Times New Roman" w:eastAsia="Times New Roman" w:hAnsi="Times New Roman" w:cs="Times New Roman"/>
                <w:color w:val="000000"/>
                <w:sz w:val="20"/>
                <w:szCs w:val="20"/>
                <w:vertAlign w:val="superscript"/>
                <w:lang w:eastAsia="de-DE"/>
              </w:rPr>
              <w:t>***</w:t>
            </w:r>
          </w:p>
        </w:tc>
        <w:tc>
          <w:tcPr>
            <w:tcW w:w="968" w:type="dxa"/>
            <w:tcBorders>
              <w:top w:val="dotted" w:sz="4" w:space="0" w:color="auto"/>
              <w:left w:val="single" w:sz="4" w:space="0" w:color="auto"/>
              <w:bottom w:val="dotted" w:sz="4" w:space="0" w:color="auto"/>
              <w:right w:val="nil"/>
            </w:tcBorders>
            <w:shd w:val="clear" w:color="auto" w:fill="auto"/>
            <w:noWrap/>
            <w:vAlign w:val="center"/>
          </w:tcPr>
          <w:p w14:paraId="4609BCC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074</w:t>
            </w:r>
          </w:p>
          <w:p w14:paraId="7E9BE83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3E299D7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084</w:t>
            </w:r>
          </w:p>
          <w:p w14:paraId="5D89C8E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157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81</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center"/>
          </w:tcPr>
          <w:p w14:paraId="09ECF90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082</w:t>
            </w:r>
          </w:p>
          <w:p w14:paraId="631A0A0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178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78FEDCB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074</w:t>
            </w:r>
          </w:p>
          <w:p w14:paraId="6466718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491F586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084</w:t>
            </w:r>
          </w:p>
          <w:p w14:paraId="528E94D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157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88</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center"/>
          </w:tcPr>
          <w:p w14:paraId="42F11C3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084</w:t>
            </w:r>
          </w:p>
          <w:p w14:paraId="36D4BD4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94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88</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1A6E2F5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077</w:t>
            </w:r>
          </w:p>
          <w:p w14:paraId="101A578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5D9C776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086</w:t>
            </w:r>
          </w:p>
          <w:p w14:paraId="569CE44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68</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center"/>
          </w:tcPr>
          <w:p w14:paraId="5BEE9DC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084</w:t>
            </w:r>
          </w:p>
          <w:p w14:paraId="6C27022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94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2F897FF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076</w:t>
            </w:r>
          </w:p>
          <w:p w14:paraId="48FFB1D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13</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12" w:space="0" w:color="auto"/>
            </w:tcBorders>
            <w:shd w:val="clear" w:color="auto" w:fill="auto"/>
            <w:noWrap/>
            <w:vAlign w:val="center"/>
          </w:tcPr>
          <w:p w14:paraId="1456C0B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086</w:t>
            </w:r>
          </w:p>
          <w:p w14:paraId="5F2C72D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62</w:t>
            </w:r>
            <w:r w:rsidRPr="007F425D">
              <w:rPr>
                <w:rFonts w:ascii="Times New Roman" w:eastAsia="Times New Roman" w:hAnsi="Times New Roman" w:cs="Times New Roman"/>
                <w:color w:val="000000"/>
                <w:sz w:val="20"/>
                <w:szCs w:val="20"/>
                <w:vertAlign w:val="superscript"/>
                <w:lang w:eastAsia="de-DE"/>
              </w:rPr>
              <w:t>***</w:t>
            </w:r>
          </w:p>
        </w:tc>
      </w:tr>
      <w:tr w:rsidR="004541ED" w:rsidRPr="007F425D" w14:paraId="4478D296" w14:textId="77777777" w:rsidTr="004541ED">
        <w:trPr>
          <w:trHeight w:val="300"/>
        </w:trPr>
        <w:tc>
          <w:tcPr>
            <w:tcW w:w="2377" w:type="dxa"/>
            <w:tcBorders>
              <w:top w:val="dotted" w:sz="4" w:space="0" w:color="auto"/>
              <w:left w:val="single" w:sz="12" w:space="0" w:color="auto"/>
              <w:bottom w:val="dotted" w:sz="4" w:space="0" w:color="auto"/>
              <w:right w:val="nil"/>
            </w:tcBorders>
            <w:shd w:val="clear" w:color="auto" w:fill="auto"/>
            <w:noWrap/>
            <w:vAlign w:val="center"/>
            <w:hideMark/>
          </w:tcPr>
          <w:p w14:paraId="1F84FEF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Pr>
                <w:rFonts w:ascii="Times New Roman" w:eastAsia="Times New Roman" w:hAnsi="Times New Roman" w:cs="Times New Roman"/>
                <w:color w:val="000000"/>
                <w:sz w:val="20"/>
                <w:szCs w:val="20"/>
                <w:lang w:eastAsia="de-DE"/>
              </w:rPr>
              <w:t xml:space="preserve">With parking </w:t>
            </w:r>
            <w:r w:rsidRPr="007F425D">
              <w:rPr>
                <w:rFonts w:ascii="Times New Roman" w:eastAsia="Times New Roman" w:hAnsi="Times New Roman" w:cs="Times New Roman"/>
                <w:color w:val="000000"/>
                <w:sz w:val="20"/>
                <w:szCs w:val="20"/>
                <w:lang w:eastAsia="de-DE"/>
              </w:rPr>
              <w:t>lot</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4C3510C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026</w:t>
            </w:r>
          </w:p>
          <w:p w14:paraId="2AD2A3F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71</w:t>
            </w:r>
            <w:r w:rsidRPr="007F425D">
              <w:rPr>
                <w:rFonts w:ascii="Times New Roman" w:eastAsia="Times New Roman" w:hAnsi="Times New Roman" w:cs="Times New Roman"/>
                <w:color w:val="000000"/>
                <w:sz w:val="20"/>
                <w:szCs w:val="20"/>
                <w:vertAlign w:val="superscript"/>
                <w:lang w:eastAsia="de-DE"/>
              </w:rPr>
              <w:t>***</w:t>
            </w:r>
          </w:p>
        </w:tc>
        <w:tc>
          <w:tcPr>
            <w:tcW w:w="968" w:type="dxa"/>
            <w:tcBorders>
              <w:top w:val="dotted" w:sz="4" w:space="0" w:color="auto"/>
              <w:left w:val="single" w:sz="4" w:space="0" w:color="auto"/>
              <w:bottom w:val="dotted" w:sz="4" w:space="0" w:color="auto"/>
              <w:right w:val="nil"/>
            </w:tcBorders>
            <w:shd w:val="clear" w:color="auto" w:fill="auto"/>
            <w:noWrap/>
            <w:vAlign w:val="center"/>
          </w:tcPr>
          <w:p w14:paraId="6DE8777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018</w:t>
            </w:r>
          </w:p>
          <w:p w14:paraId="0A3B25E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1A2A18D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029</w:t>
            </w:r>
          </w:p>
          <w:p w14:paraId="5C08991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center"/>
          </w:tcPr>
          <w:p w14:paraId="50E7150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026</w:t>
            </w:r>
          </w:p>
          <w:p w14:paraId="4C1D799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73</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21CD7DF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018</w:t>
            </w:r>
          </w:p>
          <w:p w14:paraId="6366B28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61</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75DC465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029</w:t>
            </w:r>
          </w:p>
          <w:p w14:paraId="1E83CBF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52</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center"/>
          </w:tcPr>
          <w:p w14:paraId="413420C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044</w:t>
            </w:r>
          </w:p>
          <w:p w14:paraId="07DAB45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23</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6C45F22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023</w:t>
            </w:r>
          </w:p>
          <w:p w14:paraId="5266CB7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76</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4C99125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052</w:t>
            </w:r>
          </w:p>
          <w:p w14:paraId="27605EB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center"/>
          </w:tcPr>
          <w:p w14:paraId="371EF35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045</w:t>
            </w:r>
          </w:p>
          <w:p w14:paraId="396A2E6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28</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3983823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023</w:t>
            </w:r>
          </w:p>
          <w:p w14:paraId="0527F69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68</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12" w:space="0" w:color="auto"/>
            </w:tcBorders>
            <w:shd w:val="clear" w:color="auto" w:fill="auto"/>
            <w:noWrap/>
            <w:vAlign w:val="center"/>
          </w:tcPr>
          <w:p w14:paraId="692BBA9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052</w:t>
            </w:r>
          </w:p>
          <w:p w14:paraId="4DA16A5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44</w:t>
            </w:r>
            <w:r w:rsidRPr="007F425D">
              <w:rPr>
                <w:rFonts w:ascii="Times New Roman" w:eastAsia="Times New Roman" w:hAnsi="Times New Roman" w:cs="Times New Roman"/>
                <w:color w:val="000000"/>
                <w:sz w:val="20"/>
                <w:szCs w:val="20"/>
                <w:vertAlign w:val="superscript"/>
                <w:lang w:eastAsia="de-DE"/>
              </w:rPr>
              <w:t>***</w:t>
            </w:r>
          </w:p>
        </w:tc>
      </w:tr>
      <w:tr w:rsidR="004541ED" w:rsidRPr="007F425D" w14:paraId="52857C4B" w14:textId="77777777" w:rsidTr="004541ED">
        <w:trPr>
          <w:trHeight w:val="300"/>
        </w:trPr>
        <w:tc>
          <w:tcPr>
            <w:tcW w:w="2377" w:type="dxa"/>
            <w:tcBorders>
              <w:top w:val="dotted" w:sz="4" w:space="0" w:color="auto"/>
              <w:left w:val="single" w:sz="12" w:space="0" w:color="auto"/>
              <w:bottom w:val="dotted" w:sz="4" w:space="0" w:color="auto"/>
              <w:right w:val="nil"/>
            </w:tcBorders>
            <w:shd w:val="clear" w:color="auto" w:fill="auto"/>
            <w:noWrap/>
            <w:vAlign w:val="center"/>
            <w:hideMark/>
          </w:tcPr>
          <w:p w14:paraId="6A33959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With terrace</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57FDA3A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043</w:t>
            </w:r>
          </w:p>
          <w:p w14:paraId="387D396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w:t>
            </w:r>
            <w:r w:rsidRPr="007F425D">
              <w:rPr>
                <w:rFonts w:ascii="Times New Roman" w:eastAsia="Times New Roman" w:hAnsi="Times New Roman" w:cs="Times New Roman"/>
                <w:color w:val="000000"/>
                <w:sz w:val="20"/>
                <w:szCs w:val="20"/>
                <w:vertAlign w:val="superscript"/>
                <w:lang w:eastAsia="de-DE"/>
              </w:rPr>
              <w:t>***</w:t>
            </w:r>
          </w:p>
        </w:tc>
        <w:tc>
          <w:tcPr>
            <w:tcW w:w="968" w:type="dxa"/>
            <w:tcBorders>
              <w:top w:val="dotted" w:sz="4" w:space="0" w:color="auto"/>
              <w:left w:val="single" w:sz="4" w:space="0" w:color="auto"/>
              <w:bottom w:val="dotted" w:sz="4" w:space="0" w:color="auto"/>
              <w:right w:val="nil"/>
            </w:tcBorders>
            <w:shd w:val="clear" w:color="auto" w:fill="auto"/>
            <w:noWrap/>
            <w:vAlign w:val="center"/>
          </w:tcPr>
          <w:p w14:paraId="3710138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047</w:t>
            </w:r>
          </w:p>
          <w:p w14:paraId="7ECA56E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337561A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042</w:t>
            </w:r>
          </w:p>
          <w:p w14:paraId="392FBC8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center"/>
          </w:tcPr>
          <w:p w14:paraId="77613D3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043</w:t>
            </w:r>
          </w:p>
          <w:p w14:paraId="6877736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4993F8D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047</w:t>
            </w:r>
          </w:p>
          <w:p w14:paraId="4CBDF43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34</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2E4EF75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042</w:t>
            </w:r>
          </w:p>
          <w:p w14:paraId="2672924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84</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center"/>
          </w:tcPr>
          <w:p w14:paraId="14627BF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034</w:t>
            </w:r>
          </w:p>
          <w:p w14:paraId="2139B7B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33</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3E491E2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039</w:t>
            </w:r>
          </w:p>
          <w:p w14:paraId="1615922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51</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5493FA6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032</w:t>
            </w:r>
          </w:p>
          <w:p w14:paraId="4BF9B89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center"/>
          </w:tcPr>
          <w:p w14:paraId="462ACEF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034</w:t>
            </w:r>
          </w:p>
          <w:p w14:paraId="7352EBB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4F28B8D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039</w:t>
            </w:r>
          </w:p>
          <w:p w14:paraId="684824B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50</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12" w:space="0" w:color="auto"/>
            </w:tcBorders>
            <w:shd w:val="clear" w:color="auto" w:fill="auto"/>
            <w:noWrap/>
            <w:vAlign w:val="center"/>
          </w:tcPr>
          <w:p w14:paraId="32B4553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032</w:t>
            </w:r>
          </w:p>
          <w:p w14:paraId="4B35302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06</w:t>
            </w:r>
            <w:r w:rsidRPr="007F425D">
              <w:rPr>
                <w:rFonts w:ascii="Times New Roman" w:eastAsia="Times New Roman" w:hAnsi="Times New Roman" w:cs="Times New Roman"/>
                <w:color w:val="000000"/>
                <w:sz w:val="20"/>
                <w:szCs w:val="20"/>
                <w:vertAlign w:val="superscript"/>
                <w:lang w:eastAsia="de-DE"/>
              </w:rPr>
              <w:t>***</w:t>
            </w:r>
          </w:p>
        </w:tc>
      </w:tr>
      <w:tr w:rsidR="004541ED" w:rsidRPr="007F425D" w14:paraId="59530282" w14:textId="77777777" w:rsidTr="004541ED">
        <w:trPr>
          <w:trHeight w:val="300"/>
        </w:trPr>
        <w:tc>
          <w:tcPr>
            <w:tcW w:w="2377" w:type="dxa"/>
            <w:tcBorders>
              <w:top w:val="dotted" w:sz="4" w:space="0" w:color="auto"/>
              <w:left w:val="single" w:sz="12" w:space="0" w:color="auto"/>
              <w:bottom w:val="dotted" w:sz="4" w:space="0" w:color="auto"/>
              <w:right w:val="nil"/>
            </w:tcBorders>
            <w:shd w:val="clear" w:color="auto" w:fill="auto"/>
            <w:noWrap/>
            <w:vAlign w:val="center"/>
            <w:hideMark/>
          </w:tcPr>
          <w:p w14:paraId="65FE3C8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With balcony</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656628B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032</w:t>
            </w:r>
          </w:p>
          <w:p w14:paraId="1B33F9F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18</w:t>
            </w:r>
            <w:r w:rsidRPr="007F425D">
              <w:rPr>
                <w:rFonts w:ascii="Times New Roman" w:eastAsia="Times New Roman" w:hAnsi="Times New Roman" w:cs="Times New Roman"/>
                <w:color w:val="000000"/>
                <w:sz w:val="20"/>
                <w:szCs w:val="20"/>
                <w:vertAlign w:val="superscript"/>
                <w:lang w:eastAsia="de-DE"/>
              </w:rPr>
              <w:t>***</w:t>
            </w:r>
          </w:p>
        </w:tc>
        <w:tc>
          <w:tcPr>
            <w:tcW w:w="968" w:type="dxa"/>
            <w:tcBorders>
              <w:top w:val="dotted" w:sz="4" w:space="0" w:color="auto"/>
              <w:left w:val="single" w:sz="4" w:space="0" w:color="auto"/>
              <w:bottom w:val="dotted" w:sz="4" w:space="0" w:color="auto"/>
              <w:right w:val="nil"/>
            </w:tcBorders>
            <w:shd w:val="clear" w:color="auto" w:fill="auto"/>
            <w:noWrap/>
            <w:vAlign w:val="center"/>
          </w:tcPr>
          <w:p w14:paraId="34099FF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034</w:t>
            </w:r>
          </w:p>
          <w:p w14:paraId="704AD71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07</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022B749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032</w:t>
            </w:r>
          </w:p>
          <w:p w14:paraId="58238A0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12</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center"/>
          </w:tcPr>
          <w:p w14:paraId="667441C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032</w:t>
            </w:r>
          </w:p>
          <w:p w14:paraId="150D834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427330C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034</w:t>
            </w:r>
          </w:p>
          <w:p w14:paraId="5822721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04</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3C80DB7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032</w:t>
            </w:r>
          </w:p>
          <w:p w14:paraId="367033A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22</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center"/>
          </w:tcPr>
          <w:p w14:paraId="097A7C3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021</w:t>
            </w:r>
          </w:p>
          <w:p w14:paraId="3AFB143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4D42F5C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022</w:t>
            </w:r>
          </w:p>
          <w:p w14:paraId="1CDB491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23904FA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021</w:t>
            </w:r>
          </w:p>
          <w:p w14:paraId="724D628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53</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center"/>
          </w:tcPr>
          <w:p w14:paraId="1DC9EE9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021</w:t>
            </w:r>
          </w:p>
          <w:p w14:paraId="66D237E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38</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29B82D4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022</w:t>
            </w:r>
          </w:p>
          <w:p w14:paraId="19ACEC4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12" w:space="0" w:color="auto"/>
            </w:tcBorders>
            <w:shd w:val="clear" w:color="auto" w:fill="auto"/>
            <w:noWrap/>
            <w:vAlign w:val="center"/>
          </w:tcPr>
          <w:p w14:paraId="19F06B0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021</w:t>
            </w:r>
          </w:p>
          <w:p w14:paraId="3747D21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49</w:t>
            </w:r>
            <w:r w:rsidRPr="007F425D">
              <w:rPr>
                <w:rFonts w:ascii="Times New Roman" w:eastAsia="Times New Roman" w:hAnsi="Times New Roman" w:cs="Times New Roman"/>
                <w:color w:val="000000"/>
                <w:sz w:val="20"/>
                <w:szCs w:val="20"/>
                <w:vertAlign w:val="superscript"/>
                <w:lang w:eastAsia="de-DE"/>
              </w:rPr>
              <w:t>***</w:t>
            </w:r>
          </w:p>
        </w:tc>
      </w:tr>
      <w:tr w:rsidR="004541ED" w:rsidRPr="007F425D" w14:paraId="7C9529DD" w14:textId="77777777" w:rsidTr="004541ED">
        <w:trPr>
          <w:trHeight w:val="300"/>
        </w:trPr>
        <w:tc>
          <w:tcPr>
            <w:tcW w:w="2377" w:type="dxa"/>
            <w:tcBorders>
              <w:top w:val="dotted" w:sz="4" w:space="0" w:color="auto"/>
              <w:left w:val="single" w:sz="12" w:space="0" w:color="auto"/>
              <w:bottom w:val="dotted" w:sz="4" w:space="0" w:color="auto"/>
              <w:right w:val="nil"/>
            </w:tcBorders>
            <w:shd w:val="clear" w:color="auto" w:fill="auto"/>
            <w:noWrap/>
            <w:vAlign w:val="center"/>
            <w:hideMark/>
          </w:tcPr>
          <w:p w14:paraId="60942CB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With elevator</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2F851DA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036</w:t>
            </w:r>
          </w:p>
          <w:p w14:paraId="20CEBAE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92</w:t>
            </w:r>
            <w:r w:rsidRPr="007F425D">
              <w:rPr>
                <w:rFonts w:ascii="Times New Roman" w:eastAsia="Times New Roman" w:hAnsi="Times New Roman" w:cs="Times New Roman"/>
                <w:color w:val="000000"/>
                <w:sz w:val="20"/>
                <w:szCs w:val="20"/>
                <w:vertAlign w:val="superscript"/>
                <w:lang w:eastAsia="de-DE"/>
              </w:rPr>
              <w:t>***</w:t>
            </w:r>
          </w:p>
        </w:tc>
        <w:tc>
          <w:tcPr>
            <w:tcW w:w="968" w:type="dxa"/>
            <w:tcBorders>
              <w:top w:val="dotted" w:sz="4" w:space="0" w:color="auto"/>
              <w:left w:val="single" w:sz="4" w:space="0" w:color="auto"/>
              <w:bottom w:val="dotted" w:sz="4" w:space="0" w:color="auto"/>
              <w:right w:val="nil"/>
            </w:tcBorders>
            <w:shd w:val="clear" w:color="auto" w:fill="auto"/>
            <w:noWrap/>
            <w:vAlign w:val="center"/>
          </w:tcPr>
          <w:p w14:paraId="35E5DF3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045</w:t>
            </w:r>
          </w:p>
          <w:p w14:paraId="4EB198B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0E3BE2B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034</w:t>
            </w:r>
          </w:p>
          <w:p w14:paraId="2A748E1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center"/>
          </w:tcPr>
          <w:p w14:paraId="547B265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036</w:t>
            </w:r>
          </w:p>
          <w:p w14:paraId="137B0E0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94</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72D7143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045</w:t>
            </w:r>
          </w:p>
          <w:p w14:paraId="40304A3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32</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179CFD8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034</w:t>
            </w:r>
          </w:p>
          <w:p w14:paraId="7CB6BEB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center"/>
          </w:tcPr>
          <w:p w14:paraId="09BF65C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019</w:t>
            </w:r>
          </w:p>
          <w:p w14:paraId="0EB10B9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391585F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032</w:t>
            </w:r>
          </w:p>
          <w:p w14:paraId="09C0B80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13</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4160F54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013</w:t>
            </w:r>
          </w:p>
          <w:p w14:paraId="3FAF887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nil"/>
            </w:tcBorders>
            <w:shd w:val="clear" w:color="auto" w:fill="auto"/>
            <w:noWrap/>
            <w:vAlign w:val="center"/>
          </w:tcPr>
          <w:p w14:paraId="4C1393A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019</w:t>
            </w:r>
          </w:p>
          <w:p w14:paraId="2615282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14B1D42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032</w:t>
            </w:r>
          </w:p>
          <w:p w14:paraId="0525C02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20</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12" w:space="0" w:color="auto"/>
            </w:tcBorders>
            <w:shd w:val="clear" w:color="auto" w:fill="auto"/>
            <w:noWrap/>
            <w:vAlign w:val="center"/>
          </w:tcPr>
          <w:p w14:paraId="1449710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013</w:t>
            </w:r>
          </w:p>
          <w:p w14:paraId="60822A1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84</w:t>
            </w:r>
            <w:r w:rsidRPr="007F425D">
              <w:rPr>
                <w:rFonts w:ascii="Times New Roman" w:eastAsia="Times New Roman" w:hAnsi="Times New Roman" w:cs="Times New Roman"/>
                <w:color w:val="000000"/>
                <w:sz w:val="20"/>
                <w:szCs w:val="20"/>
                <w:vertAlign w:val="superscript"/>
                <w:lang w:eastAsia="de-DE"/>
              </w:rPr>
              <w:t>***</w:t>
            </w:r>
          </w:p>
        </w:tc>
      </w:tr>
      <w:tr w:rsidR="004541ED" w:rsidRPr="007F425D" w14:paraId="1C3D00F1" w14:textId="77777777" w:rsidTr="004541ED">
        <w:trPr>
          <w:trHeight w:val="300"/>
        </w:trPr>
        <w:tc>
          <w:tcPr>
            <w:tcW w:w="2377" w:type="dxa"/>
            <w:tcBorders>
              <w:top w:val="dotted" w:sz="4" w:space="0" w:color="auto"/>
              <w:left w:val="single" w:sz="12" w:space="0" w:color="auto"/>
              <w:bottom w:val="dotted" w:sz="4" w:space="0" w:color="auto"/>
              <w:right w:val="nil"/>
            </w:tcBorders>
            <w:shd w:val="clear" w:color="auto" w:fill="auto"/>
            <w:noWrap/>
            <w:vAlign w:val="center"/>
            <w:hideMark/>
          </w:tcPr>
          <w:p w14:paraId="0173F30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Newly built</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583E409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104</w:t>
            </w:r>
          </w:p>
          <w:p w14:paraId="674172F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108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w:t>
            </w:r>
            <w:r w:rsidRPr="007F425D">
              <w:rPr>
                <w:rFonts w:ascii="Times New Roman" w:eastAsia="Times New Roman" w:hAnsi="Times New Roman" w:cs="Times New Roman"/>
                <w:color w:val="000000"/>
                <w:sz w:val="20"/>
                <w:szCs w:val="20"/>
                <w:vertAlign w:val="superscript"/>
                <w:lang w:eastAsia="de-DE"/>
              </w:rPr>
              <w:t>***</w:t>
            </w:r>
          </w:p>
        </w:tc>
        <w:tc>
          <w:tcPr>
            <w:tcW w:w="968" w:type="dxa"/>
            <w:tcBorders>
              <w:top w:val="dotted" w:sz="4" w:space="0" w:color="auto"/>
              <w:left w:val="single" w:sz="4" w:space="0" w:color="auto"/>
              <w:bottom w:val="dotted" w:sz="4" w:space="0" w:color="auto"/>
              <w:right w:val="nil"/>
            </w:tcBorders>
            <w:shd w:val="clear" w:color="auto" w:fill="auto"/>
            <w:noWrap/>
            <w:vAlign w:val="center"/>
          </w:tcPr>
          <w:p w14:paraId="54E37DC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365D79F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nil"/>
              <w:bottom w:val="dotted" w:sz="4" w:space="0" w:color="auto"/>
              <w:right w:val="nil"/>
            </w:tcBorders>
            <w:shd w:val="clear" w:color="auto" w:fill="auto"/>
            <w:noWrap/>
            <w:vAlign w:val="center"/>
          </w:tcPr>
          <w:p w14:paraId="3B1D9CF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104</w:t>
            </w:r>
          </w:p>
          <w:p w14:paraId="7A1AFF6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108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29</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78C4E62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34BF9C4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nil"/>
              <w:bottom w:val="dotted" w:sz="4" w:space="0" w:color="auto"/>
              <w:right w:val="nil"/>
            </w:tcBorders>
            <w:shd w:val="clear" w:color="auto" w:fill="auto"/>
            <w:noWrap/>
            <w:vAlign w:val="center"/>
          </w:tcPr>
          <w:p w14:paraId="35DB055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132</w:t>
            </w:r>
          </w:p>
          <w:p w14:paraId="2E69BC1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98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2962A3F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4839F9A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nil"/>
              <w:bottom w:val="dotted" w:sz="4" w:space="0" w:color="auto"/>
              <w:right w:val="nil"/>
            </w:tcBorders>
            <w:shd w:val="clear" w:color="auto" w:fill="auto"/>
            <w:noWrap/>
            <w:vAlign w:val="center"/>
          </w:tcPr>
          <w:p w14:paraId="732A4B5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132</w:t>
            </w:r>
          </w:p>
          <w:p w14:paraId="3899F94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98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dotted" w:sz="4" w:space="0" w:color="auto"/>
              <w:right w:val="nil"/>
            </w:tcBorders>
            <w:shd w:val="clear" w:color="auto" w:fill="auto"/>
            <w:noWrap/>
            <w:vAlign w:val="center"/>
          </w:tcPr>
          <w:p w14:paraId="05FC6E7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nil"/>
              <w:bottom w:val="dotted" w:sz="4" w:space="0" w:color="auto"/>
              <w:right w:val="single" w:sz="12" w:space="0" w:color="auto"/>
            </w:tcBorders>
            <w:shd w:val="clear" w:color="auto" w:fill="auto"/>
            <w:noWrap/>
            <w:vAlign w:val="center"/>
          </w:tcPr>
          <w:p w14:paraId="402666A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r>
      <w:tr w:rsidR="004541ED" w:rsidRPr="007F425D" w14:paraId="2781651D" w14:textId="77777777" w:rsidTr="004541ED">
        <w:trPr>
          <w:trHeight w:val="300"/>
        </w:trPr>
        <w:tc>
          <w:tcPr>
            <w:tcW w:w="2377" w:type="dxa"/>
            <w:tcBorders>
              <w:top w:val="dotted" w:sz="4" w:space="0" w:color="auto"/>
              <w:left w:val="single" w:sz="12" w:space="0" w:color="auto"/>
              <w:bottom w:val="single" w:sz="4" w:space="0" w:color="auto"/>
              <w:right w:val="nil"/>
            </w:tcBorders>
            <w:shd w:val="clear" w:color="auto" w:fill="auto"/>
            <w:noWrap/>
            <w:vAlign w:val="center"/>
            <w:hideMark/>
          </w:tcPr>
          <w:p w14:paraId="6B59E31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Refurbished</w:t>
            </w:r>
          </w:p>
        </w:tc>
        <w:tc>
          <w:tcPr>
            <w:tcW w:w="0" w:type="auto"/>
            <w:tcBorders>
              <w:top w:val="dotted" w:sz="4" w:space="0" w:color="auto"/>
              <w:left w:val="single" w:sz="4" w:space="0" w:color="auto"/>
              <w:bottom w:val="single" w:sz="4" w:space="0" w:color="auto"/>
              <w:right w:val="nil"/>
            </w:tcBorders>
            <w:shd w:val="clear" w:color="auto" w:fill="auto"/>
            <w:noWrap/>
            <w:vAlign w:val="center"/>
          </w:tcPr>
          <w:p w14:paraId="72698C0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030</w:t>
            </w:r>
          </w:p>
          <w:p w14:paraId="562E861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w:t>
            </w:r>
            <w:r w:rsidRPr="007F425D">
              <w:rPr>
                <w:rFonts w:ascii="Times New Roman" w:eastAsia="Times New Roman" w:hAnsi="Times New Roman" w:cs="Times New Roman"/>
                <w:color w:val="000000"/>
                <w:sz w:val="20"/>
                <w:szCs w:val="20"/>
                <w:vertAlign w:val="superscript"/>
                <w:lang w:eastAsia="de-DE"/>
              </w:rPr>
              <w:t>***</w:t>
            </w:r>
          </w:p>
        </w:tc>
        <w:tc>
          <w:tcPr>
            <w:tcW w:w="968" w:type="dxa"/>
            <w:tcBorders>
              <w:top w:val="dotted" w:sz="4" w:space="0" w:color="auto"/>
              <w:left w:val="single" w:sz="4" w:space="0" w:color="auto"/>
              <w:bottom w:val="single" w:sz="4" w:space="0" w:color="auto"/>
              <w:right w:val="nil"/>
            </w:tcBorders>
            <w:shd w:val="clear" w:color="auto" w:fill="auto"/>
            <w:noWrap/>
            <w:vAlign w:val="center"/>
          </w:tcPr>
          <w:p w14:paraId="51DB298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nil"/>
              <w:bottom w:val="single" w:sz="4" w:space="0" w:color="auto"/>
              <w:right w:val="single" w:sz="4" w:space="0" w:color="auto"/>
            </w:tcBorders>
            <w:shd w:val="clear" w:color="auto" w:fill="auto"/>
            <w:noWrap/>
            <w:vAlign w:val="center"/>
          </w:tcPr>
          <w:p w14:paraId="5FD5D01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nil"/>
              <w:bottom w:val="single" w:sz="4" w:space="0" w:color="auto"/>
              <w:right w:val="nil"/>
            </w:tcBorders>
            <w:shd w:val="clear" w:color="auto" w:fill="auto"/>
            <w:noWrap/>
            <w:vAlign w:val="center"/>
          </w:tcPr>
          <w:p w14:paraId="289D530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030</w:t>
            </w:r>
          </w:p>
          <w:p w14:paraId="36872EB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07</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single" w:sz="4" w:space="0" w:color="auto"/>
              <w:right w:val="nil"/>
            </w:tcBorders>
            <w:shd w:val="clear" w:color="auto" w:fill="auto"/>
            <w:noWrap/>
            <w:vAlign w:val="center"/>
          </w:tcPr>
          <w:p w14:paraId="7B1860B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nil"/>
              <w:bottom w:val="single" w:sz="4" w:space="0" w:color="auto"/>
              <w:right w:val="single" w:sz="4" w:space="0" w:color="auto"/>
            </w:tcBorders>
            <w:shd w:val="clear" w:color="auto" w:fill="auto"/>
            <w:noWrap/>
            <w:vAlign w:val="center"/>
          </w:tcPr>
          <w:p w14:paraId="71437A2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nil"/>
              <w:bottom w:val="single" w:sz="4" w:space="0" w:color="auto"/>
              <w:right w:val="nil"/>
            </w:tcBorders>
            <w:shd w:val="clear" w:color="auto" w:fill="auto"/>
            <w:noWrap/>
            <w:vAlign w:val="center"/>
          </w:tcPr>
          <w:p w14:paraId="44B278E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029</w:t>
            </w:r>
          </w:p>
          <w:p w14:paraId="0DD4C8B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45</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single" w:sz="4" w:space="0" w:color="auto"/>
              <w:right w:val="nil"/>
            </w:tcBorders>
            <w:shd w:val="clear" w:color="auto" w:fill="auto"/>
            <w:noWrap/>
            <w:vAlign w:val="center"/>
          </w:tcPr>
          <w:p w14:paraId="372551C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nil"/>
              <w:bottom w:val="single" w:sz="4" w:space="0" w:color="auto"/>
              <w:right w:val="single" w:sz="4" w:space="0" w:color="auto"/>
            </w:tcBorders>
            <w:shd w:val="clear" w:color="auto" w:fill="auto"/>
            <w:noWrap/>
            <w:vAlign w:val="center"/>
          </w:tcPr>
          <w:p w14:paraId="2DBE05D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nil"/>
              <w:bottom w:val="single" w:sz="4" w:space="0" w:color="auto"/>
              <w:right w:val="nil"/>
            </w:tcBorders>
            <w:shd w:val="clear" w:color="auto" w:fill="auto"/>
            <w:noWrap/>
            <w:vAlign w:val="center"/>
          </w:tcPr>
          <w:p w14:paraId="6DF31A2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029</w:t>
            </w:r>
          </w:p>
          <w:p w14:paraId="223FB04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40</w:t>
            </w:r>
            <w:r w:rsidRPr="007F425D">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4" w:space="0" w:color="auto"/>
              <w:bottom w:val="single" w:sz="4" w:space="0" w:color="auto"/>
              <w:right w:val="nil"/>
            </w:tcBorders>
            <w:shd w:val="clear" w:color="auto" w:fill="auto"/>
            <w:noWrap/>
            <w:vAlign w:val="center"/>
          </w:tcPr>
          <w:p w14:paraId="005A406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nil"/>
              <w:bottom w:val="single" w:sz="4" w:space="0" w:color="auto"/>
              <w:right w:val="single" w:sz="12" w:space="0" w:color="auto"/>
            </w:tcBorders>
            <w:shd w:val="clear" w:color="auto" w:fill="auto"/>
            <w:noWrap/>
            <w:vAlign w:val="center"/>
          </w:tcPr>
          <w:p w14:paraId="21647FA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r>
      <w:tr w:rsidR="004541ED" w:rsidRPr="007F425D" w14:paraId="74303E30" w14:textId="77777777" w:rsidTr="004541ED">
        <w:trPr>
          <w:trHeight w:val="50"/>
        </w:trPr>
        <w:tc>
          <w:tcPr>
            <w:tcW w:w="2377" w:type="dxa"/>
            <w:tcBorders>
              <w:top w:val="nil"/>
              <w:left w:val="single" w:sz="12" w:space="0" w:color="auto"/>
              <w:bottom w:val="nil"/>
              <w:right w:val="nil"/>
            </w:tcBorders>
            <w:shd w:val="clear" w:color="auto" w:fill="auto"/>
            <w:noWrap/>
            <w:vAlign w:val="center"/>
            <w:hideMark/>
          </w:tcPr>
          <w:p w14:paraId="2A10C3A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Construction fixed effects</w:t>
            </w:r>
          </w:p>
        </w:tc>
        <w:tc>
          <w:tcPr>
            <w:tcW w:w="0" w:type="auto"/>
            <w:tcBorders>
              <w:top w:val="nil"/>
              <w:left w:val="single" w:sz="4" w:space="0" w:color="auto"/>
              <w:bottom w:val="nil"/>
              <w:right w:val="nil"/>
            </w:tcBorders>
            <w:shd w:val="clear" w:color="auto" w:fill="auto"/>
            <w:noWrap/>
            <w:vAlign w:val="bottom"/>
          </w:tcPr>
          <w:p w14:paraId="602FC240" w14:textId="77777777" w:rsidR="004541ED" w:rsidRPr="007F425D" w:rsidRDefault="004541ED" w:rsidP="004541ED">
            <w:pPr>
              <w:spacing w:after="0" w:line="240" w:lineRule="auto"/>
              <w:jc w:val="center"/>
              <w:rPr>
                <w:rFonts w:ascii="Times New Roman" w:eastAsia="Times New Roman" w:hAnsi="Times New Roman" w:cs="Times New Roman"/>
                <w:i/>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968" w:type="dxa"/>
            <w:tcBorders>
              <w:top w:val="nil"/>
              <w:left w:val="single" w:sz="4" w:space="0" w:color="auto"/>
              <w:bottom w:val="nil"/>
              <w:right w:val="nil"/>
            </w:tcBorders>
            <w:shd w:val="clear" w:color="auto" w:fill="auto"/>
            <w:noWrap/>
            <w:vAlign w:val="bottom"/>
          </w:tcPr>
          <w:p w14:paraId="233BFB80"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nil"/>
              <w:right w:val="single" w:sz="4" w:space="0" w:color="auto"/>
            </w:tcBorders>
            <w:shd w:val="clear" w:color="auto" w:fill="auto"/>
            <w:noWrap/>
            <w:vAlign w:val="bottom"/>
          </w:tcPr>
          <w:p w14:paraId="4F2C26B4"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nil"/>
              <w:right w:val="nil"/>
            </w:tcBorders>
            <w:shd w:val="clear" w:color="auto" w:fill="auto"/>
            <w:noWrap/>
            <w:vAlign w:val="bottom"/>
          </w:tcPr>
          <w:p w14:paraId="6BD5B2FC"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single" w:sz="4" w:space="0" w:color="auto"/>
              <w:bottom w:val="nil"/>
              <w:right w:val="nil"/>
            </w:tcBorders>
            <w:shd w:val="clear" w:color="auto" w:fill="auto"/>
            <w:noWrap/>
            <w:vAlign w:val="bottom"/>
          </w:tcPr>
          <w:p w14:paraId="00406776"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nil"/>
              <w:right w:val="single" w:sz="4" w:space="0" w:color="auto"/>
            </w:tcBorders>
            <w:shd w:val="clear" w:color="auto" w:fill="auto"/>
            <w:noWrap/>
            <w:vAlign w:val="bottom"/>
          </w:tcPr>
          <w:p w14:paraId="41CDBB5C"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nil"/>
              <w:right w:val="nil"/>
            </w:tcBorders>
            <w:shd w:val="clear" w:color="auto" w:fill="auto"/>
            <w:noWrap/>
            <w:vAlign w:val="bottom"/>
          </w:tcPr>
          <w:p w14:paraId="0C9999AF"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single" w:sz="4" w:space="0" w:color="auto"/>
              <w:bottom w:val="nil"/>
              <w:right w:val="nil"/>
            </w:tcBorders>
            <w:shd w:val="clear" w:color="auto" w:fill="auto"/>
            <w:noWrap/>
            <w:vAlign w:val="bottom"/>
          </w:tcPr>
          <w:p w14:paraId="7BA98797"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nil"/>
              <w:right w:val="single" w:sz="4" w:space="0" w:color="auto"/>
            </w:tcBorders>
            <w:shd w:val="clear" w:color="auto" w:fill="auto"/>
            <w:noWrap/>
            <w:vAlign w:val="bottom"/>
          </w:tcPr>
          <w:p w14:paraId="31C3B4D3"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nil"/>
              <w:right w:val="nil"/>
            </w:tcBorders>
            <w:shd w:val="clear" w:color="auto" w:fill="auto"/>
            <w:noWrap/>
            <w:vAlign w:val="bottom"/>
          </w:tcPr>
          <w:p w14:paraId="3BFCDDFE"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single" w:sz="4" w:space="0" w:color="auto"/>
              <w:bottom w:val="nil"/>
              <w:right w:val="nil"/>
            </w:tcBorders>
            <w:shd w:val="clear" w:color="auto" w:fill="auto"/>
            <w:noWrap/>
            <w:vAlign w:val="bottom"/>
          </w:tcPr>
          <w:p w14:paraId="6EDD1CDB"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nil"/>
              <w:right w:val="single" w:sz="12" w:space="0" w:color="auto"/>
            </w:tcBorders>
            <w:shd w:val="clear" w:color="auto" w:fill="auto"/>
            <w:noWrap/>
            <w:vAlign w:val="bottom"/>
          </w:tcPr>
          <w:p w14:paraId="33A8F79E"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r>
      <w:tr w:rsidR="004541ED" w:rsidRPr="007F425D" w14:paraId="3CD79D44" w14:textId="77777777" w:rsidTr="004541ED">
        <w:trPr>
          <w:trHeight w:val="238"/>
        </w:trPr>
        <w:tc>
          <w:tcPr>
            <w:tcW w:w="2377" w:type="dxa"/>
            <w:tcBorders>
              <w:top w:val="nil"/>
              <w:left w:val="single" w:sz="12" w:space="0" w:color="auto"/>
              <w:bottom w:val="nil"/>
              <w:right w:val="nil"/>
            </w:tcBorders>
            <w:shd w:val="clear" w:color="auto" w:fill="auto"/>
            <w:noWrap/>
            <w:vAlign w:val="center"/>
            <w:hideMark/>
          </w:tcPr>
          <w:p w14:paraId="79CEB6D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Quarterly fixed effects</w:t>
            </w:r>
          </w:p>
        </w:tc>
        <w:tc>
          <w:tcPr>
            <w:tcW w:w="0" w:type="auto"/>
            <w:tcBorders>
              <w:top w:val="nil"/>
              <w:left w:val="single" w:sz="4" w:space="0" w:color="auto"/>
              <w:bottom w:val="nil"/>
              <w:right w:val="nil"/>
            </w:tcBorders>
            <w:shd w:val="clear" w:color="auto" w:fill="auto"/>
            <w:noWrap/>
            <w:vAlign w:val="bottom"/>
          </w:tcPr>
          <w:p w14:paraId="0A4841AD"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968" w:type="dxa"/>
            <w:tcBorders>
              <w:top w:val="nil"/>
              <w:left w:val="single" w:sz="4" w:space="0" w:color="auto"/>
              <w:bottom w:val="nil"/>
              <w:right w:val="nil"/>
            </w:tcBorders>
            <w:shd w:val="clear" w:color="auto" w:fill="auto"/>
            <w:noWrap/>
            <w:vAlign w:val="bottom"/>
          </w:tcPr>
          <w:p w14:paraId="110C43EC"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nil"/>
              <w:right w:val="single" w:sz="4" w:space="0" w:color="auto"/>
            </w:tcBorders>
            <w:shd w:val="clear" w:color="auto" w:fill="auto"/>
            <w:noWrap/>
            <w:vAlign w:val="bottom"/>
          </w:tcPr>
          <w:p w14:paraId="1E965F72"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nil"/>
              <w:right w:val="nil"/>
            </w:tcBorders>
            <w:shd w:val="clear" w:color="auto" w:fill="auto"/>
            <w:noWrap/>
            <w:vAlign w:val="bottom"/>
          </w:tcPr>
          <w:p w14:paraId="09D8606C"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single" w:sz="4" w:space="0" w:color="auto"/>
              <w:bottom w:val="nil"/>
              <w:right w:val="nil"/>
            </w:tcBorders>
            <w:shd w:val="clear" w:color="auto" w:fill="auto"/>
            <w:noWrap/>
            <w:vAlign w:val="bottom"/>
          </w:tcPr>
          <w:p w14:paraId="4CF7D810"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nil"/>
              <w:right w:val="single" w:sz="4" w:space="0" w:color="auto"/>
            </w:tcBorders>
            <w:shd w:val="clear" w:color="auto" w:fill="auto"/>
            <w:noWrap/>
            <w:vAlign w:val="bottom"/>
          </w:tcPr>
          <w:p w14:paraId="5B28CCEE"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nil"/>
              <w:right w:val="nil"/>
            </w:tcBorders>
            <w:shd w:val="clear" w:color="auto" w:fill="auto"/>
            <w:noWrap/>
            <w:vAlign w:val="bottom"/>
          </w:tcPr>
          <w:p w14:paraId="474AAE9C"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single" w:sz="4" w:space="0" w:color="auto"/>
              <w:bottom w:val="nil"/>
              <w:right w:val="nil"/>
            </w:tcBorders>
            <w:shd w:val="clear" w:color="auto" w:fill="auto"/>
            <w:noWrap/>
            <w:vAlign w:val="bottom"/>
          </w:tcPr>
          <w:p w14:paraId="171982F2"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nil"/>
              <w:right w:val="single" w:sz="4" w:space="0" w:color="auto"/>
            </w:tcBorders>
            <w:shd w:val="clear" w:color="auto" w:fill="auto"/>
            <w:noWrap/>
            <w:vAlign w:val="bottom"/>
          </w:tcPr>
          <w:p w14:paraId="48C14373"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nil"/>
              <w:right w:val="nil"/>
            </w:tcBorders>
            <w:shd w:val="clear" w:color="auto" w:fill="auto"/>
            <w:noWrap/>
            <w:vAlign w:val="bottom"/>
          </w:tcPr>
          <w:p w14:paraId="39455BD5"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single" w:sz="4" w:space="0" w:color="auto"/>
              <w:bottom w:val="nil"/>
              <w:right w:val="nil"/>
            </w:tcBorders>
            <w:shd w:val="clear" w:color="auto" w:fill="auto"/>
            <w:noWrap/>
            <w:vAlign w:val="bottom"/>
          </w:tcPr>
          <w:p w14:paraId="34E0D80A"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nil"/>
              <w:right w:val="single" w:sz="12" w:space="0" w:color="auto"/>
            </w:tcBorders>
            <w:shd w:val="clear" w:color="auto" w:fill="auto"/>
            <w:noWrap/>
            <w:vAlign w:val="bottom"/>
          </w:tcPr>
          <w:p w14:paraId="30CCD36C"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r>
      <w:tr w:rsidR="004541ED" w:rsidRPr="007F425D" w14:paraId="22EC162C" w14:textId="77777777" w:rsidTr="004541ED">
        <w:trPr>
          <w:trHeight w:val="60"/>
        </w:trPr>
        <w:tc>
          <w:tcPr>
            <w:tcW w:w="2377" w:type="dxa"/>
            <w:tcBorders>
              <w:top w:val="nil"/>
              <w:left w:val="single" w:sz="12" w:space="0" w:color="auto"/>
              <w:bottom w:val="single" w:sz="4" w:space="0" w:color="auto"/>
              <w:right w:val="nil"/>
            </w:tcBorders>
            <w:shd w:val="clear" w:color="auto" w:fill="auto"/>
            <w:noWrap/>
            <w:vAlign w:val="center"/>
            <w:hideMark/>
          </w:tcPr>
          <w:p w14:paraId="36B91B0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Spatial fixed effects</w:t>
            </w:r>
          </w:p>
        </w:tc>
        <w:tc>
          <w:tcPr>
            <w:tcW w:w="0" w:type="auto"/>
            <w:tcBorders>
              <w:top w:val="nil"/>
              <w:left w:val="single" w:sz="4" w:space="0" w:color="auto"/>
              <w:bottom w:val="single" w:sz="4" w:space="0" w:color="auto"/>
              <w:right w:val="nil"/>
            </w:tcBorders>
            <w:shd w:val="clear" w:color="auto" w:fill="auto"/>
            <w:noWrap/>
            <w:vAlign w:val="bottom"/>
          </w:tcPr>
          <w:p w14:paraId="764F003B"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968" w:type="dxa"/>
            <w:tcBorders>
              <w:top w:val="nil"/>
              <w:left w:val="single" w:sz="4" w:space="0" w:color="auto"/>
              <w:bottom w:val="single" w:sz="4" w:space="0" w:color="auto"/>
              <w:right w:val="nil"/>
            </w:tcBorders>
            <w:shd w:val="clear" w:color="auto" w:fill="auto"/>
            <w:noWrap/>
            <w:vAlign w:val="bottom"/>
          </w:tcPr>
          <w:p w14:paraId="4FC8E114"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single" w:sz="4" w:space="0" w:color="auto"/>
              <w:right w:val="single" w:sz="4" w:space="0" w:color="auto"/>
            </w:tcBorders>
            <w:shd w:val="clear" w:color="auto" w:fill="auto"/>
            <w:noWrap/>
            <w:vAlign w:val="bottom"/>
          </w:tcPr>
          <w:p w14:paraId="686F89AA"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single" w:sz="4" w:space="0" w:color="auto"/>
              <w:right w:val="nil"/>
            </w:tcBorders>
            <w:shd w:val="clear" w:color="auto" w:fill="auto"/>
            <w:noWrap/>
            <w:vAlign w:val="bottom"/>
          </w:tcPr>
          <w:p w14:paraId="1A0130F3"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single" w:sz="4" w:space="0" w:color="auto"/>
              <w:bottom w:val="single" w:sz="4" w:space="0" w:color="auto"/>
              <w:right w:val="nil"/>
            </w:tcBorders>
            <w:shd w:val="clear" w:color="auto" w:fill="auto"/>
            <w:noWrap/>
            <w:vAlign w:val="bottom"/>
          </w:tcPr>
          <w:p w14:paraId="3ABFAD39"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single" w:sz="4" w:space="0" w:color="auto"/>
              <w:right w:val="single" w:sz="4" w:space="0" w:color="auto"/>
            </w:tcBorders>
            <w:shd w:val="clear" w:color="auto" w:fill="auto"/>
            <w:noWrap/>
            <w:vAlign w:val="bottom"/>
          </w:tcPr>
          <w:p w14:paraId="66654077"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single" w:sz="4" w:space="0" w:color="auto"/>
              <w:right w:val="nil"/>
            </w:tcBorders>
            <w:shd w:val="clear" w:color="auto" w:fill="auto"/>
            <w:noWrap/>
            <w:vAlign w:val="bottom"/>
          </w:tcPr>
          <w:p w14:paraId="5567107D"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single" w:sz="4" w:space="0" w:color="auto"/>
              <w:bottom w:val="single" w:sz="4" w:space="0" w:color="auto"/>
              <w:right w:val="nil"/>
            </w:tcBorders>
            <w:shd w:val="clear" w:color="auto" w:fill="auto"/>
            <w:noWrap/>
            <w:vAlign w:val="bottom"/>
          </w:tcPr>
          <w:p w14:paraId="6DF05D87"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single" w:sz="4" w:space="0" w:color="auto"/>
              <w:right w:val="single" w:sz="4" w:space="0" w:color="auto"/>
            </w:tcBorders>
            <w:shd w:val="clear" w:color="auto" w:fill="auto"/>
            <w:noWrap/>
            <w:vAlign w:val="bottom"/>
          </w:tcPr>
          <w:p w14:paraId="3941073E"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single" w:sz="4" w:space="0" w:color="auto"/>
              <w:right w:val="nil"/>
            </w:tcBorders>
            <w:shd w:val="clear" w:color="auto" w:fill="auto"/>
            <w:noWrap/>
            <w:vAlign w:val="bottom"/>
          </w:tcPr>
          <w:p w14:paraId="0EBFB177"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single" w:sz="4" w:space="0" w:color="auto"/>
              <w:bottom w:val="single" w:sz="4" w:space="0" w:color="auto"/>
              <w:right w:val="nil"/>
            </w:tcBorders>
            <w:shd w:val="clear" w:color="auto" w:fill="auto"/>
            <w:noWrap/>
            <w:vAlign w:val="bottom"/>
          </w:tcPr>
          <w:p w14:paraId="6B07D0D5"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nil"/>
              <w:left w:val="nil"/>
              <w:bottom w:val="single" w:sz="4" w:space="0" w:color="auto"/>
              <w:right w:val="single" w:sz="12" w:space="0" w:color="auto"/>
            </w:tcBorders>
            <w:shd w:val="clear" w:color="auto" w:fill="auto"/>
            <w:noWrap/>
            <w:vAlign w:val="bottom"/>
          </w:tcPr>
          <w:p w14:paraId="25E37AD5"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r>
      <w:tr w:rsidR="004541ED" w:rsidRPr="007F425D" w14:paraId="366D3D6D" w14:textId="77777777" w:rsidTr="004541ED">
        <w:trPr>
          <w:trHeight w:val="300"/>
        </w:trPr>
        <w:tc>
          <w:tcPr>
            <w:tcW w:w="2377" w:type="dxa"/>
            <w:tcBorders>
              <w:top w:val="nil"/>
              <w:left w:val="single" w:sz="12" w:space="0" w:color="auto"/>
              <w:bottom w:val="nil"/>
              <w:right w:val="nil"/>
            </w:tcBorders>
            <w:shd w:val="clear" w:color="auto" w:fill="auto"/>
            <w:noWrap/>
            <w:vAlign w:val="bottom"/>
            <w:hideMark/>
          </w:tcPr>
          <w:p w14:paraId="561B52D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R²</w:t>
            </w:r>
          </w:p>
        </w:tc>
        <w:tc>
          <w:tcPr>
            <w:tcW w:w="0" w:type="auto"/>
            <w:tcBorders>
              <w:top w:val="nil"/>
              <w:left w:val="single" w:sz="4" w:space="0" w:color="auto"/>
              <w:bottom w:val="nil"/>
              <w:right w:val="nil"/>
            </w:tcBorders>
            <w:shd w:val="clear" w:color="auto" w:fill="auto"/>
            <w:noWrap/>
            <w:vAlign w:val="bottom"/>
            <w:hideMark/>
          </w:tcPr>
          <w:p w14:paraId="7145555F"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65%</w:t>
            </w:r>
          </w:p>
        </w:tc>
        <w:tc>
          <w:tcPr>
            <w:tcW w:w="968" w:type="dxa"/>
            <w:tcBorders>
              <w:top w:val="nil"/>
              <w:left w:val="single" w:sz="4" w:space="0" w:color="auto"/>
              <w:bottom w:val="nil"/>
              <w:right w:val="nil"/>
            </w:tcBorders>
            <w:shd w:val="clear" w:color="auto" w:fill="auto"/>
            <w:noWrap/>
            <w:vAlign w:val="bottom"/>
            <w:hideMark/>
          </w:tcPr>
          <w:p w14:paraId="0BE90CDC"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40%</w:t>
            </w:r>
          </w:p>
        </w:tc>
        <w:tc>
          <w:tcPr>
            <w:tcW w:w="0" w:type="auto"/>
            <w:tcBorders>
              <w:top w:val="nil"/>
              <w:left w:val="nil"/>
              <w:bottom w:val="nil"/>
              <w:right w:val="single" w:sz="4" w:space="0" w:color="auto"/>
            </w:tcBorders>
            <w:shd w:val="clear" w:color="auto" w:fill="auto"/>
            <w:noWrap/>
            <w:vAlign w:val="bottom"/>
            <w:hideMark/>
          </w:tcPr>
          <w:p w14:paraId="069F0468"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06%</w:t>
            </w:r>
          </w:p>
        </w:tc>
        <w:tc>
          <w:tcPr>
            <w:tcW w:w="0" w:type="auto"/>
            <w:tcBorders>
              <w:top w:val="nil"/>
              <w:left w:val="nil"/>
              <w:bottom w:val="nil"/>
              <w:right w:val="nil"/>
            </w:tcBorders>
            <w:shd w:val="clear" w:color="auto" w:fill="auto"/>
            <w:noWrap/>
            <w:vAlign w:val="bottom"/>
            <w:hideMark/>
          </w:tcPr>
          <w:p w14:paraId="1D78AAE7"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65%</w:t>
            </w:r>
          </w:p>
        </w:tc>
        <w:tc>
          <w:tcPr>
            <w:tcW w:w="0" w:type="auto"/>
            <w:tcBorders>
              <w:top w:val="nil"/>
              <w:left w:val="single" w:sz="4" w:space="0" w:color="auto"/>
              <w:bottom w:val="nil"/>
              <w:right w:val="nil"/>
            </w:tcBorders>
            <w:shd w:val="clear" w:color="auto" w:fill="auto"/>
            <w:noWrap/>
            <w:vAlign w:val="bottom"/>
            <w:hideMark/>
          </w:tcPr>
          <w:p w14:paraId="39411E55"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40%</w:t>
            </w:r>
          </w:p>
        </w:tc>
        <w:tc>
          <w:tcPr>
            <w:tcW w:w="0" w:type="auto"/>
            <w:tcBorders>
              <w:top w:val="nil"/>
              <w:left w:val="nil"/>
              <w:bottom w:val="nil"/>
              <w:right w:val="single" w:sz="4" w:space="0" w:color="auto"/>
            </w:tcBorders>
            <w:shd w:val="clear" w:color="auto" w:fill="auto"/>
            <w:noWrap/>
            <w:vAlign w:val="bottom"/>
            <w:hideMark/>
          </w:tcPr>
          <w:p w14:paraId="1235887C"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05%</w:t>
            </w:r>
          </w:p>
        </w:tc>
        <w:tc>
          <w:tcPr>
            <w:tcW w:w="0" w:type="auto"/>
            <w:tcBorders>
              <w:top w:val="nil"/>
              <w:left w:val="nil"/>
              <w:bottom w:val="nil"/>
              <w:right w:val="nil"/>
            </w:tcBorders>
            <w:shd w:val="clear" w:color="auto" w:fill="auto"/>
            <w:noWrap/>
            <w:vAlign w:val="bottom"/>
            <w:hideMark/>
          </w:tcPr>
          <w:p w14:paraId="2AC1BC37"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14%</w:t>
            </w:r>
          </w:p>
        </w:tc>
        <w:tc>
          <w:tcPr>
            <w:tcW w:w="0" w:type="auto"/>
            <w:tcBorders>
              <w:top w:val="nil"/>
              <w:left w:val="single" w:sz="4" w:space="0" w:color="auto"/>
              <w:bottom w:val="nil"/>
              <w:right w:val="nil"/>
            </w:tcBorders>
            <w:shd w:val="clear" w:color="auto" w:fill="auto"/>
            <w:noWrap/>
            <w:vAlign w:val="bottom"/>
            <w:hideMark/>
          </w:tcPr>
          <w:p w14:paraId="655E422D"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w:t>
            </w:r>
          </w:p>
        </w:tc>
        <w:tc>
          <w:tcPr>
            <w:tcW w:w="0" w:type="auto"/>
            <w:tcBorders>
              <w:top w:val="nil"/>
              <w:left w:val="nil"/>
              <w:bottom w:val="nil"/>
              <w:right w:val="single" w:sz="4" w:space="0" w:color="auto"/>
            </w:tcBorders>
            <w:shd w:val="clear" w:color="auto" w:fill="auto"/>
            <w:noWrap/>
            <w:vAlign w:val="bottom"/>
            <w:hideMark/>
          </w:tcPr>
          <w:p w14:paraId="6C1D9B07"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74%</w:t>
            </w:r>
          </w:p>
        </w:tc>
        <w:tc>
          <w:tcPr>
            <w:tcW w:w="0" w:type="auto"/>
            <w:tcBorders>
              <w:top w:val="nil"/>
              <w:left w:val="nil"/>
              <w:bottom w:val="nil"/>
              <w:right w:val="nil"/>
            </w:tcBorders>
            <w:shd w:val="clear" w:color="auto" w:fill="auto"/>
            <w:noWrap/>
            <w:vAlign w:val="bottom"/>
            <w:hideMark/>
          </w:tcPr>
          <w:p w14:paraId="46D13DD9"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14%</w:t>
            </w:r>
          </w:p>
        </w:tc>
        <w:tc>
          <w:tcPr>
            <w:tcW w:w="0" w:type="auto"/>
            <w:tcBorders>
              <w:top w:val="nil"/>
              <w:left w:val="single" w:sz="4" w:space="0" w:color="auto"/>
              <w:bottom w:val="nil"/>
              <w:right w:val="nil"/>
            </w:tcBorders>
            <w:shd w:val="clear" w:color="auto" w:fill="auto"/>
            <w:noWrap/>
            <w:vAlign w:val="bottom"/>
            <w:hideMark/>
          </w:tcPr>
          <w:p w14:paraId="643E93A8"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w:t>
            </w:r>
          </w:p>
        </w:tc>
        <w:tc>
          <w:tcPr>
            <w:tcW w:w="0" w:type="auto"/>
            <w:tcBorders>
              <w:top w:val="nil"/>
              <w:left w:val="nil"/>
              <w:bottom w:val="nil"/>
              <w:right w:val="single" w:sz="12" w:space="0" w:color="auto"/>
            </w:tcBorders>
            <w:shd w:val="clear" w:color="auto" w:fill="auto"/>
            <w:noWrap/>
            <w:vAlign w:val="bottom"/>
            <w:hideMark/>
          </w:tcPr>
          <w:p w14:paraId="4FB38E77"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73%</w:t>
            </w:r>
          </w:p>
        </w:tc>
      </w:tr>
      <w:tr w:rsidR="004541ED" w:rsidRPr="007F425D" w14:paraId="581DD070" w14:textId="77777777" w:rsidTr="004541ED">
        <w:trPr>
          <w:trHeight w:val="315"/>
        </w:trPr>
        <w:tc>
          <w:tcPr>
            <w:tcW w:w="2377" w:type="dxa"/>
            <w:tcBorders>
              <w:top w:val="nil"/>
              <w:left w:val="single" w:sz="12" w:space="0" w:color="auto"/>
              <w:bottom w:val="single" w:sz="12" w:space="0" w:color="auto"/>
              <w:right w:val="nil"/>
            </w:tcBorders>
            <w:shd w:val="clear" w:color="auto" w:fill="auto"/>
            <w:noWrap/>
            <w:vAlign w:val="bottom"/>
            <w:hideMark/>
          </w:tcPr>
          <w:p w14:paraId="17DA626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N</w:t>
            </w:r>
          </w:p>
        </w:tc>
        <w:tc>
          <w:tcPr>
            <w:tcW w:w="0" w:type="auto"/>
            <w:tcBorders>
              <w:top w:val="nil"/>
              <w:left w:val="single" w:sz="4" w:space="0" w:color="auto"/>
              <w:bottom w:val="single" w:sz="12" w:space="0" w:color="auto"/>
              <w:right w:val="nil"/>
            </w:tcBorders>
            <w:shd w:val="clear" w:color="auto" w:fill="auto"/>
            <w:noWrap/>
            <w:vAlign w:val="bottom"/>
            <w:hideMark/>
          </w:tcPr>
          <w:p w14:paraId="2FFDE12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Pr>
                <w:rFonts w:ascii="Times New Roman" w:eastAsia="Times New Roman" w:hAnsi="Times New Roman" w:cs="Times New Roman"/>
                <w:color w:val="000000"/>
                <w:sz w:val="20"/>
                <w:szCs w:val="20"/>
                <w:lang w:eastAsia="de-DE"/>
              </w:rPr>
              <w:t>187,</w:t>
            </w:r>
            <w:r w:rsidRPr="007F425D">
              <w:rPr>
                <w:rFonts w:ascii="Times New Roman" w:eastAsia="Times New Roman" w:hAnsi="Times New Roman" w:cs="Times New Roman"/>
                <w:color w:val="000000"/>
                <w:sz w:val="20"/>
                <w:szCs w:val="20"/>
                <w:lang w:eastAsia="de-DE"/>
              </w:rPr>
              <w:t>478</w:t>
            </w:r>
          </w:p>
        </w:tc>
        <w:tc>
          <w:tcPr>
            <w:tcW w:w="968" w:type="dxa"/>
            <w:tcBorders>
              <w:top w:val="nil"/>
              <w:left w:val="single" w:sz="4" w:space="0" w:color="auto"/>
              <w:bottom w:val="single" w:sz="12" w:space="0" w:color="auto"/>
              <w:right w:val="nil"/>
            </w:tcBorders>
            <w:shd w:val="clear" w:color="auto" w:fill="auto"/>
            <w:noWrap/>
            <w:vAlign w:val="bottom"/>
            <w:hideMark/>
          </w:tcPr>
          <w:p w14:paraId="39B3B04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492</w:t>
            </w:r>
          </w:p>
        </w:tc>
        <w:tc>
          <w:tcPr>
            <w:tcW w:w="0" w:type="auto"/>
            <w:tcBorders>
              <w:top w:val="nil"/>
              <w:left w:val="nil"/>
              <w:bottom w:val="single" w:sz="12" w:space="0" w:color="auto"/>
              <w:right w:val="single" w:sz="4" w:space="0" w:color="auto"/>
            </w:tcBorders>
            <w:shd w:val="clear" w:color="auto" w:fill="auto"/>
            <w:noWrap/>
            <w:vAlign w:val="bottom"/>
            <w:hideMark/>
          </w:tcPr>
          <w:p w14:paraId="3D7E20C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127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986</w:t>
            </w:r>
          </w:p>
        </w:tc>
        <w:tc>
          <w:tcPr>
            <w:tcW w:w="0" w:type="auto"/>
            <w:tcBorders>
              <w:top w:val="nil"/>
              <w:left w:val="nil"/>
              <w:bottom w:val="single" w:sz="12" w:space="0" w:color="auto"/>
              <w:right w:val="nil"/>
            </w:tcBorders>
            <w:shd w:val="clear" w:color="auto" w:fill="auto"/>
            <w:noWrap/>
            <w:vAlign w:val="bottom"/>
            <w:hideMark/>
          </w:tcPr>
          <w:p w14:paraId="2ABB763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187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478</w:t>
            </w:r>
          </w:p>
        </w:tc>
        <w:tc>
          <w:tcPr>
            <w:tcW w:w="0" w:type="auto"/>
            <w:tcBorders>
              <w:top w:val="nil"/>
              <w:left w:val="single" w:sz="4" w:space="0" w:color="auto"/>
              <w:bottom w:val="single" w:sz="12" w:space="0" w:color="auto"/>
              <w:right w:val="nil"/>
            </w:tcBorders>
            <w:shd w:val="clear" w:color="auto" w:fill="auto"/>
            <w:noWrap/>
            <w:vAlign w:val="bottom"/>
            <w:hideMark/>
          </w:tcPr>
          <w:p w14:paraId="74B2D73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492</w:t>
            </w:r>
          </w:p>
        </w:tc>
        <w:tc>
          <w:tcPr>
            <w:tcW w:w="0" w:type="auto"/>
            <w:tcBorders>
              <w:top w:val="nil"/>
              <w:left w:val="nil"/>
              <w:bottom w:val="single" w:sz="12" w:space="0" w:color="auto"/>
              <w:right w:val="single" w:sz="4" w:space="0" w:color="auto"/>
            </w:tcBorders>
            <w:shd w:val="clear" w:color="auto" w:fill="auto"/>
            <w:noWrap/>
            <w:vAlign w:val="bottom"/>
            <w:hideMark/>
          </w:tcPr>
          <w:p w14:paraId="0BF87FB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127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986</w:t>
            </w:r>
          </w:p>
        </w:tc>
        <w:tc>
          <w:tcPr>
            <w:tcW w:w="0" w:type="auto"/>
            <w:tcBorders>
              <w:top w:val="nil"/>
              <w:left w:val="nil"/>
              <w:bottom w:val="single" w:sz="12" w:space="0" w:color="auto"/>
              <w:right w:val="nil"/>
            </w:tcBorders>
            <w:shd w:val="clear" w:color="auto" w:fill="auto"/>
            <w:noWrap/>
            <w:vAlign w:val="bottom"/>
            <w:hideMark/>
          </w:tcPr>
          <w:p w14:paraId="5748D58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84</w:t>
            </w:r>
            <w:r>
              <w:rPr>
                <w:rFonts w:ascii="Times New Roman" w:eastAsia="Times New Roman" w:hAnsi="Times New Roman" w:cs="Times New Roman"/>
                <w:color w:val="000000"/>
                <w:sz w:val="20"/>
                <w:szCs w:val="20"/>
                <w:lang w:eastAsia="de-DE"/>
              </w:rPr>
              <w:t>1,</w:t>
            </w:r>
            <w:r w:rsidRPr="007F425D">
              <w:rPr>
                <w:rFonts w:ascii="Times New Roman" w:eastAsia="Times New Roman" w:hAnsi="Times New Roman" w:cs="Times New Roman"/>
                <w:color w:val="000000"/>
                <w:sz w:val="20"/>
                <w:szCs w:val="20"/>
                <w:lang w:eastAsia="de-DE"/>
              </w:rPr>
              <w:t>724</w:t>
            </w:r>
          </w:p>
        </w:tc>
        <w:tc>
          <w:tcPr>
            <w:tcW w:w="0" w:type="auto"/>
            <w:tcBorders>
              <w:top w:val="nil"/>
              <w:left w:val="single" w:sz="4" w:space="0" w:color="auto"/>
              <w:bottom w:val="single" w:sz="12" w:space="0" w:color="auto"/>
              <w:right w:val="nil"/>
            </w:tcBorders>
            <w:shd w:val="clear" w:color="auto" w:fill="auto"/>
            <w:noWrap/>
            <w:vAlign w:val="bottom"/>
            <w:hideMark/>
          </w:tcPr>
          <w:p w14:paraId="203405B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169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040</w:t>
            </w:r>
          </w:p>
        </w:tc>
        <w:tc>
          <w:tcPr>
            <w:tcW w:w="0" w:type="auto"/>
            <w:tcBorders>
              <w:top w:val="nil"/>
              <w:left w:val="nil"/>
              <w:bottom w:val="single" w:sz="12" w:space="0" w:color="auto"/>
              <w:right w:val="single" w:sz="4" w:space="0" w:color="auto"/>
            </w:tcBorders>
            <w:shd w:val="clear" w:color="auto" w:fill="auto"/>
            <w:noWrap/>
            <w:vAlign w:val="bottom"/>
            <w:hideMark/>
          </w:tcPr>
          <w:p w14:paraId="06CC126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645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684</w:t>
            </w:r>
          </w:p>
        </w:tc>
        <w:tc>
          <w:tcPr>
            <w:tcW w:w="0" w:type="auto"/>
            <w:tcBorders>
              <w:top w:val="nil"/>
              <w:left w:val="nil"/>
              <w:bottom w:val="single" w:sz="12" w:space="0" w:color="auto"/>
              <w:right w:val="nil"/>
            </w:tcBorders>
            <w:shd w:val="clear" w:color="auto" w:fill="auto"/>
            <w:noWrap/>
            <w:vAlign w:val="bottom"/>
            <w:hideMark/>
          </w:tcPr>
          <w:p w14:paraId="5DE9BEF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841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724</w:t>
            </w:r>
          </w:p>
        </w:tc>
        <w:tc>
          <w:tcPr>
            <w:tcW w:w="0" w:type="auto"/>
            <w:tcBorders>
              <w:top w:val="nil"/>
              <w:left w:val="single" w:sz="4" w:space="0" w:color="auto"/>
              <w:bottom w:val="single" w:sz="12" w:space="0" w:color="auto"/>
              <w:right w:val="nil"/>
            </w:tcBorders>
            <w:shd w:val="clear" w:color="auto" w:fill="auto"/>
            <w:noWrap/>
            <w:vAlign w:val="bottom"/>
            <w:hideMark/>
          </w:tcPr>
          <w:p w14:paraId="6B51197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169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040</w:t>
            </w:r>
          </w:p>
        </w:tc>
        <w:tc>
          <w:tcPr>
            <w:tcW w:w="0" w:type="auto"/>
            <w:tcBorders>
              <w:top w:val="nil"/>
              <w:left w:val="nil"/>
              <w:bottom w:val="single" w:sz="12" w:space="0" w:color="auto"/>
              <w:right w:val="single" w:sz="12" w:space="0" w:color="auto"/>
            </w:tcBorders>
            <w:shd w:val="clear" w:color="auto" w:fill="auto"/>
            <w:noWrap/>
            <w:vAlign w:val="bottom"/>
            <w:hideMark/>
          </w:tcPr>
          <w:p w14:paraId="214B12D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64</w:t>
            </w:r>
            <w:r>
              <w:rPr>
                <w:rFonts w:ascii="Times New Roman" w:eastAsia="Times New Roman" w:hAnsi="Times New Roman" w:cs="Times New Roman"/>
                <w:color w:val="000000"/>
                <w:sz w:val="20"/>
                <w:szCs w:val="20"/>
                <w:lang w:eastAsia="de-DE"/>
              </w:rPr>
              <w:t>5,</w:t>
            </w:r>
            <w:r w:rsidRPr="007F425D">
              <w:rPr>
                <w:rFonts w:ascii="Times New Roman" w:eastAsia="Times New Roman" w:hAnsi="Times New Roman" w:cs="Times New Roman"/>
                <w:color w:val="000000"/>
                <w:sz w:val="20"/>
                <w:szCs w:val="20"/>
                <w:lang w:eastAsia="de-DE"/>
              </w:rPr>
              <w:t>684</w:t>
            </w:r>
          </w:p>
        </w:tc>
      </w:tr>
      <w:tr w:rsidR="004541ED" w:rsidRPr="003D0E92" w14:paraId="3F8138D7" w14:textId="77777777" w:rsidTr="004541ED">
        <w:trPr>
          <w:trHeight w:val="300"/>
        </w:trPr>
        <w:tc>
          <w:tcPr>
            <w:tcW w:w="14741" w:type="dxa"/>
            <w:gridSpan w:val="13"/>
            <w:tcBorders>
              <w:top w:val="single" w:sz="12" w:space="0" w:color="auto"/>
              <w:left w:val="nil"/>
              <w:bottom w:val="nil"/>
              <w:right w:val="nil"/>
            </w:tcBorders>
            <w:shd w:val="clear" w:color="auto" w:fill="auto"/>
            <w:noWrap/>
            <w:vAlign w:val="bottom"/>
            <w:hideMark/>
          </w:tcPr>
          <w:p w14:paraId="0AD243D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b/>
                <w:color w:val="000000"/>
                <w:sz w:val="16"/>
                <w:szCs w:val="20"/>
                <w:lang w:eastAsia="de-DE"/>
              </w:rPr>
              <w:t>Notes</w:t>
            </w:r>
            <w:r w:rsidRPr="007F425D">
              <w:rPr>
                <w:rFonts w:ascii="Times New Roman" w:eastAsia="Times New Roman" w:hAnsi="Times New Roman" w:cs="Times New Roman"/>
                <w:color w:val="000000"/>
                <w:sz w:val="16"/>
                <w:szCs w:val="20"/>
                <w:lang w:eastAsia="de-DE"/>
              </w:rPr>
              <w:t xml:space="preserve">: </w:t>
            </w:r>
            <w:r w:rsidRPr="007F425D">
              <w:rPr>
                <w:rFonts w:ascii="Times New Roman" w:eastAsia="Times New Roman" w:hAnsi="Times New Roman" w:cs="Times New Roman"/>
                <w:color w:val="000000"/>
                <w:sz w:val="16"/>
                <w:szCs w:val="20"/>
                <w:vertAlign w:val="superscript"/>
                <w:lang w:eastAsia="de-DE"/>
              </w:rPr>
              <w:t>*</w:t>
            </w:r>
            <w:r w:rsidRPr="007F425D">
              <w:rPr>
                <w:rFonts w:ascii="Times New Roman" w:eastAsia="Times New Roman" w:hAnsi="Times New Roman" w:cs="Times New Roman"/>
                <w:color w:val="000000"/>
                <w:sz w:val="16"/>
                <w:szCs w:val="20"/>
                <w:lang w:eastAsia="de-DE"/>
              </w:rPr>
              <w:t xml:space="preserve">Significant at the 10%-level; </w:t>
            </w:r>
            <w:r w:rsidRPr="007F425D">
              <w:rPr>
                <w:rFonts w:ascii="Times New Roman" w:eastAsia="Times New Roman" w:hAnsi="Times New Roman" w:cs="Times New Roman"/>
                <w:color w:val="000000"/>
                <w:sz w:val="16"/>
                <w:szCs w:val="20"/>
                <w:vertAlign w:val="superscript"/>
                <w:lang w:eastAsia="de-DE"/>
              </w:rPr>
              <w:t>**</w:t>
            </w:r>
            <w:r w:rsidRPr="007F425D">
              <w:rPr>
                <w:rFonts w:ascii="Times New Roman" w:eastAsia="Times New Roman" w:hAnsi="Times New Roman" w:cs="Times New Roman"/>
                <w:color w:val="000000"/>
                <w:sz w:val="16"/>
                <w:szCs w:val="20"/>
                <w:lang w:eastAsia="de-DE"/>
              </w:rPr>
              <w:t xml:space="preserve"> significant at the 5%-level; </w:t>
            </w:r>
            <w:r w:rsidRPr="007F425D">
              <w:rPr>
                <w:rFonts w:ascii="Times New Roman" w:eastAsia="Times New Roman" w:hAnsi="Times New Roman" w:cs="Times New Roman"/>
                <w:color w:val="000000"/>
                <w:sz w:val="16"/>
                <w:szCs w:val="20"/>
                <w:vertAlign w:val="superscript"/>
                <w:lang w:eastAsia="de-DE"/>
              </w:rPr>
              <w:t>***</w:t>
            </w:r>
            <w:r w:rsidRPr="007F425D">
              <w:rPr>
                <w:rFonts w:ascii="Times New Roman" w:eastAsia="Times New Roman" w:hAnsi="Times New Roman" w:cs="Times New Roman"/>
                <w:color w:val="000000"/>
                <w:sz w:val="16"/>
                <w:szCs w:val="20"/>
                <w:lang w:eastAsia="de-DE"/>
              </w:rPr>
              <w:t xml:space="preserve"> significant at the 1%-level. The exhibit shows the regression results of a semiparametric regression estimated via Generalized Additive Model for Location, Scale and Shape (GAMLSS) under the normal distribution. Rents in log €/p.m. Construction dummies in 10 years steps. NUTS3 refer to municipalities as defined by  the European Commission. Sigma equation controls for area, number of rooms, households density and age.</w:t>
            </w:r>
          </w:p>
        </w:tc>
      </w:tr>
    </w:tbl>
    <w:p w14:paraId="5B6E709D" w14:textId="77777777" w:rsidR="004541ED" w:rsidRPr="007F425D" w:rsidRDefault="004541ED" w:rsidP="004541ED">
      <w:pPr>
        <w:rPr>
          <w:rFonts w:ascii="Times New Roman" w:hAnsi="Times New Roman" w:cs="Times New Roman"/>
        </w:rPr>
      </w:pPr>
    </w:p>
    <w:p w14:paraId="36E30F14" w14:textId="77777777" w:rsidR="004541ED" w:rsidRPr="007F425D" w:rsidRDefault="004541ED" w:rsidP="004541ED">
      <w:pPr>
        <w:rPr>
          <w:rFonts w:ascii="Times New Roman" w:hAnsi="Times New Roman" w:cs="Times New Roman"/>
        </w:rPr>
      </w:pPr>
    </w:p>
    <w:p w14:paraId="3FC63627" w14:textId="77777777" w:rsidR="004541ED" w:rsidRPr="007F425D" w:rsidRDefault="004541ED" w:rsidP="004541ED">
      <w:pPr>
        <w:tabs>
          <w:tab w:val="left" w:pos="1639"/>
        </w:tabs>
        <w:rPr>
          <w:rFonts w:ascii="Times New Roman" w:hAnsi="Times New Roman" w:cs="Times New Roman"/>
        </w:rPr>
      </w:pPr>
      <w:r w:rsidRPr="007F425D">
        <w:t xml:space="preserve"> </w:t>
      </w:r>
    </w:p>
    <w:p w14:paraId="32183F60" w14:textId="77777777" w:rsidR="004541ED" w:rsidRPr="007F425D" w:rsidRDefault="004541ED" w:rsidP="004541ED">
      <w:pPr>
        <w:tabs>
          <w:tab w:val="left" w:pos="1639"/>
        </w:tabs>
        <w:rPr>
          <w:rFonts w:ascii="Times New Roman" w:hAnsi="Times New Roman" w:cs="Times New Roman"/>
        </w:rPr>
      </w:pPr>
    </w:p>
    <w:p w14:paraId="67440B1B" w14:textId="77777777" w:rsidR="004541ED" w:rsidRPr="007F425D" w:rsidRDefault="004541ED" w:rsidP="004541ED">
      <w:pPr>
        <w:tabs>
          <w:tab w:val="left" w:pos="1639"/>
        </w:tabs>
        <w:rPr>
          <w:rFonts w:ascii="Times New Roman" w:hAnsi="Times New Roman" w:cs="Times New Roman"/>
        </w:rPr>
      </w:pPr>
    </w:p>
    <w:p w14:paraId="386B04B8" w14:textId="77777777" w:rsidR="004541ED" w:rsidRDefault="004541ED" w:rsidP="004541ED">
      <w:pPr>
        <w:rPr>
          <w:rFonts w:ascii="Times New Roman" w:hAnsi="Times New Roman" w:cs="Times New Roman"/>
        </w:rPr>
        <w:sectPr w:rsidR="004541ED" w:rsidSect="004541ED">
          <w:pgSz w:w="16839" w:h="23814" w:code="8"/>
          <w:pgMar w:top="1417" w:right="1417" w:bottom="1134" w:left="1417" w:header="708" w:footer="708" w:gutter="0"/>
          <w:cols w:space="708"/>
          <w:docGrid w:linePitch="360"/>
        </w:sectPr>
      </w:pPr>
      <w:r w:rsidRPr="007F425D">
        <w:rPr>
          <w:rFonts w:ascii="Times New Roman" w:hAnsi="Times New Roman" w:cs="Times New Roman"/>
        </w:rPr>
        <w:br w:type="page"/>
      </w:r>
    </w:p>
    <w:p w14:paraId="7CA0CE9F" w14:textId="77777777" w:rsidR="004541ED" w:rsidRPr="007F425D" w:rsidRDefault="004541ED" w:rsidP="004541ED">
      <w:pPr>
        <w:rPr>
          <w:rFonts w:ascii="Times New Roman" w:hAnsi="Times New Roman" w:cs="Times New Roman"/>
        </w:rPr>
      </w:pPr>
    </w:p>
    <w:p w14:paraId="4023AA6A" w14:textId="77777777" w:rsidR="004541ED" w:rsidRPr="007F425D" w:rsidRDefault="004541ED" w:rsidP="004541ED">
      <w:pPr>
        <w:tabs>
          <w:tab w:val="left" w:pos="1639"/>
        </w:tabs>
        <w:rPr>
          <w:rFonts w:ascii="Times New Roman" w:hAnsi="Times New Roman" w:cs="Times New Roman"/>
        </w:rPr>
      </w:pPr>
    </w:p>
    <w:tbl>
      <w:tblPr>
        <w:tblW w:w="0" w:type="auto"/>
        <w:tblInd w:w="55" w:type="dxa"/>
        <w:tblCellMar>
          <w:left w:w="70" w:type="dxa"/>
          <w:right w:w="70" w:type="dxa"/>
        </w:tblCellMar>
        <w:tblLook w:val="04A0" w:firstRow="1" w:lastRow="0" w:firstColumn="1" w:lastColumn="0" w:noHBand="0" w:noVBand="1"/>
      </w:tblPr>
      <w:tblGrid>
        <w:gridCol w:w="2265"/>
        <w:gridCol w:w="850"/>
        <w:gridCol w:w="967"/>
        <w:gridCol w:w="996"/>
        <w:gridCol w:w="1097"/>
        <w:gridCol w:w="998"/>
        <w:gridCol w:w="1027"/>
        <w:gridCol w:w="817"/>
      </w:tblGrid>
      <w:tr w:rsidR="004541ED" w:rsidRPr="003D0E92" w14:paraId="3E42B606" w14:textId="77777777" w:rsidTr="004541ED">
        <w:trPr>
          <w:trHeight w:val="315"/>
        </w:trPr>
        <w:tc>
          <w:tcPr>
            <w:tcW w:w="10277" w:type="dxa"/>
            <w:gridSpan w:val="8"/>
            <w:tcBorders>
              <w:top w:val="nil"/>
              <w:left w:val="nil"/>
              <w:bottom w:val="single" w:sz="12" w:space="0" w:color="auto"/>
              <w:right w:val="nil"/>
            </w:tcBorders>
          </w:tcPr>
          <w:p w14:paraId="334D79B4" w14:textId="77777777" w:rsidR="004541ED" w:rsidRPr="007F425D" w:rsidRDefault="004541ED" w:rsidP="004541ED">
            <w:pPr>
              <w:spacing w:after="0" w:line="240" w:lineRule="auto"/>
              <w:rPr>
                <w:rFonts w:ascii="Times New Roman" w:eastAsia="Times New Roman" w:hAnsi="Times New Roman" w:cs="Times New Roman"/>
                <w:b/>
                <w:color w:val="000000"/>
                <w:sz w:val="20"/>
                <w:szCs w:val="20"/>
                <w:lang w:eastAsia="de-DE"/>
              </w:rPr>
            </w:pPr>
            <w:r w:rsidRPr="007F425D">
              <w:rPr>
                <w:rFonts w:ascii="Times New Roman" w:eastAsia="Times New Roman" w:hAnsi="Times New Roman" w:cs="Times New Roman"/>
                <w:b/>
                <w:color w:val="000000"/>
                <w:sz w:val="24"/>
                <w:szCs w:val="20"/>
                <w:lang w:eastAsia="de-DE"/>
              </w:rPr>
              <w:t>Table 5: Cox survival regression of time-on-markets in weeks – EPC categories</w:t>
            </w:r>
          </w:p>
        </w:tc>
      </w:tr>
      <w:tr w:rsidR="004541ED" w:rsidRPr="007F425D" w14:paraId="61D3AAEE" w14:textId="77777777" w:rsidTr="004541ED">
        <w:trPr>
          <w:trHeight w:val="300"/>
        </w:trPr>
        <w:tc>
          <w:tcPr>
            <w:tcW w:w="2567" w:type="dxa"/>
            <w:vMerge w:val="restart"/>
            <w:tcBorders>
              <w:top w:val="single" w:sz="12" w:space="0" w:color="auto"/>
              <w:left w:val="single" w:sz="12" w:space="0" w:color="auto"/>
              <w:bottom w:val="single" w:sz="4" w:space="0" w:color="000000"/>
              <w:right w:val="single" w:sz="4" w:space="0" w:color="auto"/>
            </w:tcBorders>
            <w:shd w:val="clear" w:color="auto" w:fill="auto"/>
            <w:vAlign w:val="center"/>
            <w:hideMark/>
          </w:tcPr>
          <w:p w14:paraId="204DD089"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Exp(coefficients) and</w:t>
            </w:r>
            <w:r w:rsidRPr="007F425D">
              <w:rPr>
                <w:rFonts w:ascii="Times New Roman" w:eastAsia="Times New Roman" w:hAnsi="Times New Roman" w:cs="Times New Roman"/>
                <w:color w:val="000000"/>
                <w:sz w:val="20"/>
                <w:szCs w:val="20"/>
                <w:lang w:eastAsia="de-DE"/>
              </w:rPr>
              <w:br/>
              <w:t xml:space="preserve">Chi squared statistic </w:t>
            </w:r>
          </w:p>
        </w:tc>
        <w:tc>
          <w:tcPr>
            <w:tcW w:w="1085" w:type="dxa"/>
            <w:vMerge w:val="restart"/>
            <w:tcBorders>
              <w:top w:val="single" w:sz="12" w:space="0" w:color="auto"/>
              <w:left w:val="nil"/>
              <w:right w:val="single" w:sz="6" w:space="0" w:color="auto"/>
            </w:tcBorders>
            <w:shd w:val="clear" w:color="auto" w:fill="FFFFFF" w:themeFill="background1"/>
            <w:vAlign w:val="center"/>
          </w:tcPr>
          <w:p w14:paraId="6445CEC4" w14:textId="77777777" w:rsidR="004541ED" w:rsidRPr="007F425D" w:rsidRDefault="004541ED" w:rsidP="004541ED">
            <w:pPr>
              <w:spacing w:after="0" w:line="240" w:lineRule="auto"/>
              <w:jc w:val="center"/>
              <w:rPr>
                <w:rFonts w:ascii="Times New Roman" w:eastAsia="Times New Roman" w:hAnsi="Times New Roman" w:cs="Times New Roman"/>
                <w:b/>
                <w:color w:val="000000"/>
                <w:sz w:val="20"/>
                <w:szCs w:val="20"/>
                <w:lang w:eastAsia="de-DE"/>
              </w:rPr>
            </w:pPr>
            <w:r w:rsidRPr="007F425D">
              <w:rPr>
                <w:rFonts w:ascii="Times New Roman" w:eastAsia="Times New Roman" w:hAnsi="Times New Roman" w:cs="Times New Roman"/>
                <w:b/>
                <w:color w:val="000000"/>
                <w:sz w:val="20"/>
                <w:szCs w:val="20"/>
                <w:lang w:eastAsia="de-DE"/>
              </w:rPr>
              <w:t>All</w:t>
            </w:r>
          </w:p>
          <w:p w14:paraId="651A1B7A" w14:textId="77777777" w:rsidR="004541ED" w:rsidRDefault="004541ED" w:rsidP="004541ED">
            <w:pPr>
              <w:spacing w:after="0" w:line="240" w:lineRule="auto"/>
              <w:jc w:val="center"/>
              <w:rPr>
                <w:rFonts w:ascii="Times New Roman" w:eastAsia="Times New Roman" w:hAnsi="Times New Roman" w:cs="Times New Roman"/>
                <w:b/>
                <w:color w:val="000000"/>
                <w:sz w:val="20"/>
                <w:szCs w:val="20"/>
                <w:lang w:eastAsia="de-DE"/>
              </w:rPr>
            </w:pPr>
            <w:r w:rsidRPr="007F425D">
              <w:rPr>
                <w:rFonts w:ascii="Times New Roman" w:eastAsia="Times New Roman" w:hAnsi="Times New Roman" w:cs="Times New Roman"/>
                <w:b/>
                <w:color w:val="000000"/>
                <w:sz w:val="20"/>
                <w:szCs w:val="20"/>
                <w:lang w:eastAsia="de-DE"/>
              </w:rPr>
              <w:t>Sample</w:t>
            </w:r>
          </w:p>
          <w:p w14:paraId="359D1533"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Pr>
                <w:rFonts w:ascii="Times New Roman" w:eastAsia="Times New Roman" w:hAnsi="Times New Roman" w:cs="Times New Roman"/>
                <w:b/>
                <w:color w:val="000000"/>
                <w:sz w:val="20"/>
                <w:szCs w:val="20"/>
                <w:lang w:eastAsia="de-DE"/>
              </w:rPr>
              <w:t>Germany</w:t>
            </w:r>
          </w:p>
        </w:tc>
        <w:tc>
          <w:tcPr>
            <w:tcW w:w="3437" w:type="dxa"/>
            <w:gridSpan w:val="3"/>
            <w:tcBorders>
              <w:top w:val="single" w:sz="12" w:space="0" w:color="auto"/>
              <w:left w:val="single" w:sz="6" w:space="0" w:color="auto"/>
              <w:bottom w:val="single" w:sz="4" w:space="0" w:color="auto"/>
              <w:right w:val="single" w:sz="6" w:space="0" w:color="auto"/>
            </w:tcBorders>
            <w:shd w:val="clear" w:color="auto" w:fill="auto"/>
            <w:noWrap/>
            <w:vAlign w:val="center"/>
            <w:hideMark/>
          </w:tcPr>
          <w:p w14:paraId="6643255C" w14:textId="77777777" w:rsidR="004541ED" w:rsidRPr="007F425D" w:rsidRDefault="004541ED" w:rsidP="004541ED">
            <w:pPr>
              <w:spacing w:after="0" w:line="240" w:lineRule="auto"/>
              <w:jc w:val="center"/>
              <w:rPr>
                <w:rFonts w:ascii="Times New Roman" w:eastAsia="Times New Roman" w:hAnsi="Times New Roman" w:cs="Times New Roman"/>
                <w:b/>
                <w:color w:val="000000"/>
                <w:sz w:val="20"/>
                <w:szCs w:val="20"/>
                <w:lang w:eastAsia="de-DE"/>
              </w:rPr>
            </w:pPr>
            <w:r w:rsidRPr="007F425D">
              <w:rPr>
                <w:rFonts w:ascii="Times New Roman" w:eastAsia="Times New Roman" w:hAnsi="Times New Roman" w:cs="Times New Roman"/>
                <w:b/>
                <w:color w:val="000000"/>
                <w:sz w:val="20"/>
                <w:szCs w:val="20"/>
                <w:lang w:eastAsia="de-DE"/>
              </w:rPr>
              <w:t>Top 7 markets</w:t>
            </w:r>
          </w:p>
        </w:tc>
        <w:tc>
          <w:tcPr>
            <w:tcW w:w="3188" w:type="dxa"/>
            <w:gridSpan w:val="3"/>
            <w:tcBorders>
              <w:top w:val="single" w:sz="12" w:space="0" w:color="auto"/>
              <w:left w:val="single" w:sz="6" w:space="0" w:color="auto"/>
              <w:bottom w:val="single" w:sz="4" w:space="0" w:color="auto"/>
              <w:right w:val="single" w:sz="12" w:space="0" w:color="auto"/>
            </w:tcBorders>
            <w:shd w:val="clear" w:color="auto" w:fill="auto"/>
            <w:noWrap/>
            <w:vAlign w:val="center"/>
            <w:hideMark/>
          </w:tcPr>
          <w:p w14:paraId="38FD207A" w14:textId="77777777" w:rsidR="004541ED" w:rsidRPr="007F425D" w:rsidRDefault="004541ED" w:rsidP="004541ED">
            <w:pPr>
              <w:spacing w:after="0" w:line="240" w:lineRule="auto"/>
              <w:jc w:val="center"/>
              <w:rPr>
                <w:rFonts w:ascii="Times New Roman" w:eastAsia="Times New Roman" w:hAnsi="Times New Roman" w:cs="Times New Roman"/>
                <w:b/>
                <w:color w:val="000000"/>
                <w:sz w:val="20"/>
                <w:szCs w:val="20"/>
                <w:lang w:eastAsia="de-DE"/>
              </w:rPr>
            </w:pPr>
            <w:r w:rsidRPr="007F425D">
              <w:rPr>
                <w:rFonts w:ascii="Times New Roman" w:eastAsia="Times New Roman" w:hAnsi="Times New Roman" w:cs="Times New Roman"/>
                <w:b/>
                <w:color w:val="000000"/>
                <w:sz w:val="20"/>
                <w:szCs w:val="20"/>
                <w:lang w:eastAsia="de-DE"/>
              </w:rPr>
              <w:t>Secondary markets</w:t>
            </w:r>
          </w:p>
        </w:tc>
      </w:tr>
      <w:tr w:rsidR="004541ED" w:rsidRPr="007F425D" w14:paraId="5925DF64" w14:textId="77777777" w:rsidTr="004541ED">
        <w:trPr>
          <w:trHeight w:val="300"/>
        </w:trPr>
        <w:tc>
          <w:tcPr>
            <w:tcW w:w="2567" w:type="dxa"/>
            <w:vMerge/>
            <w:tcBorders>
              <w:top w:val="nil"/>
              <w:left w:val="single" w:sz="12" w:space="0" w:color="auto"/>
              <w:bottom w:val="single" w:sz="4" w:space="0" w:color="000000"/>
              <w:right w:val="single" w:sz="4" w:space="0" w:color="auto"/>
            </w:tcBorders>
            <w:vAlign w:val="center"/>
            <w:hideMark/>
          </w:tcPr>
          <w:p w14:paraId="105158A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1085" w:type="dxa"/>
            <w:vMerge/>
            <w:tcBorders>
              <w:left w:val="single" w:sz="4" w:space="0" w:color="auto"/>
              <w:right w:val="single" w:sz="6" w:space="0" w:color="auto"/>
            </w:tcBorders>
            <w:shd w:val="clear" w:color="auto" w:fill="FFFFFF" w:themeFill="background1"/>
          </w:tcPr>
          <w:p w14:paraId="1BC309F6"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p>
        </w:tc>
        <w:tc>
          <w:tcPr>
            <w:tcW w:w="1085" w:type="dxa"/>
            <w:vMerge w:val="restart"/>
            <w:tcBorders>
              <w:top w:val="nil"/>
              <w:left w:val="single" w:sz="6" w:space="0" w:color="auto"/>
              <w:bottom w:val="nil"/>
              <w:right w:val="nil"/>
            </w:tcBorders>
            <w:shd w:val="clear" w:color="auto" w:fill="auto"/>
            <w:noWrap/>
            <w:vAlign w:val="center"/>
            <w:hideMark/>
          </w:tcPr>
          <w:p w14:paraId="2461EF8C"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All</w:t>
            </w:r>
          </w:p>
          <w:p w14:paraId="5C2F84C8"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Sample</w:t>
            </w:r>
          </w:p>
        </w:tc>
        <w:tc>
          <w:tcPr>
            <w:tcW w:w="2352" w:type="dxa"/>
            <w:gridSpan w:val="2"/>
            <w:tcBorders>
              <w:top w:val="single" w:sz="4" w:space="0" w:color="auto"/>
              <w:left w:val="nil"/>
              <w:bottom w:val="nil"/>
              <w:right w:val="single" w:sz="6" w:space="0" w:color="auto"/>
            </w:tcBorders>
            <w:shd w:val="clear" w:color="auto" w:fill="auto"/>
            <w:noWrap/>
            <w:vAlign w:val="center"/>
            <w:hideMark/>
          </w:tcPr>
          <w:p w14:paraId="2605CBF8"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Subsamples</w:t>
            </w:r>
          </w:p>
        </w:tc>
        <w:tc>
          <w:tcPr>
            <w:tcW w:w="1085" w:type="dxa"/>
            <w:vMerge w:val="restart"/>
            <w:tcBorders>
              <w:top w:val="nil"/>
              <w:left w:val="single" w:sz="6" w:space="0" w:color="auto"/>
              <w:bottom w:val="nil"/>
              <w:right w:val="nil"/>
            </w:tcBorders>
            <w:shd w:val="clear" w:color="auto" w:fill="auto"/>
            <w:noWrap/>
            <w:vAlign w:val="center"/>
            <w:hideMark/>
          </w:tcPr>
          <w:p w14:paraId="476E9E5E"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All</w:t>
            </w:r>
          </w:p>
          <w:p w14:paraId="79BE5B9B"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Sample</w:t>
            </w:r>
          </w:p>
        </w:tc>
        <w:tc>
          <w:tcPr>
            <w:tcW w:w="0" w:type="auto"/>
            <w:gridSpan w:val="2"/>
            <w:tcBorders>
              <w:top w:val="single" w:sz="4" w:space="0" w:color="auto"/>
              <w:left w:val="nil"/>
              <w:bottom w:val="nil"/>
              <w:right w:val="single" w:sz="12" w:space="0" w:color="auto"/>
            </w:tcBorders>
            <w:shd w:val="clear" w:color="auto" w:fill="auto"/>
            <w:noWrap/>
            <w:vAlign w:val="center"/>
            <w:hideMark/>
          </w:tcPr>
          <w:p w14:paraId="16CD32E3"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Subsamples</w:t>
            </w:r>
          </w:p>
        </w:tc>
      </w:tr>
      <w:tr w:rsidR="004541ED" w:rsidRPr="007F425D" w14:paraId="547B1D13" w14:textId="77777777" w:rsidTr="004541ED">
        <w:trPr>
          <w:trHeight w:val="300"/>
        </w:trPr>
        <w:tc>
          <w:tcPr>
            <w:tcW w:w="2567" w:type="dxa"/>
            <w:vMerge/>
            <w:tcBorders>
              <w:top w:val="nil"/>
              <w:left w:val="single" w:sz="12" w:space="0" w:color="auto"/>
              <w:bottom w:val="single" w:sz="4" w:space="0" w:color="000000"/>
              <w:right w:val="single" w:sz="4" w:space="0" w:color="auto"/>
            </w:tcBorders>
            <w:vAlign w:val="center"/>
            <w:hideMark/>
          </w:tcPr>
          <w:p w14:paraId="1CF7F09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1085" w:type="dxa"/>
            <w:vMerge/>
            <w:tcBorders>
              <w:left w:val="single" w:sz="4" w:space="0" w:color="auto"/>
              <w:bottom w:val="nil"/>
              <w:right w:val="single" w:sz="6" w:space="0" w:color="auto"/>
            </w:tcBorders>
            <w:shd w:val="clear" w:color="auto" w:fill="FFFFFF" w:themeFill="background1"/>
          </w:tcPr>
          <w:p w14:paraId="6ED6CFD0"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p>
        </w:tc>
        <w:tc>
          <w:tcPr>
            <w:tcW w:w="1085" w:type="dxa"/>
            <w:vMerge/>
            <w:tcBorders>
              <w:top w:val="nil"/>
              <w:left w:val="single" w:sz="6" w:space="0" w:color="auto"/>
              <w:bottom w:val="nil"/>
              <w:right w:val="nil"/>
            </w:tcBorders>
            <w:vAlign w:val="center"/>
            <w:hideMark/>
          </w:tcPr>
          <w:p w14:paraId="41EF466A"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p>
        </w:tc>
        <w:tc>
          <w:tcPr>
            <w:tcW w:w="1118" w:type="dxa"/>
            <w:tcBorders>
              <w:top w:val="single" w:sz="4" w:space="0" w:color="auto"/>
              <w:left w:val="single" w:sz="4" w:space="0" w:color="auto"/>
              <w:bottom w:val="nil"/>
              <w:right w:val="nil"/>
            </w:tcBorders>
            <w:shd w:val="clear" w:color="auto" w:fill="auto"/>
            <w:noWrap/>
            <w:vAlign w:val="center"/>
            <w:hideMark/>
          </w:tcPr>
          <w:p w14:paraId="136D210F"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Refurbished</w:t>
            </w:r>
          </w:p>
        </w:tc>
        <w:tc>
          <w:tcPr>
            <w:tcW w:w="1234" w:type="dxa"/>
            <w:tcBorders>
              <w:top w:val="single" w:sz="4" w:space="0" w:color="auto"/>
              <w:left w:val="nil"/>
              <w:bottom w:val="nil"/>
              <w:right w:val="single" w:sz="6" w:space="0" w:color="auto"/>
            </w:tcBorders>
            <w:shd w:val="clear" w:color="auto" w:fill="auto"/>
            <w:noWrap/>
            <w:vAlign w:val="center"/>
            <w:hideMark/>
          </w:tcPr>
          <w:p w14:paraId="5C99FA0A"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Existing</w:t>
            </w:r>
          </w:p>
        </w:tc>
        <w:tc>
          <w:tcPr>
            <w:tcW w:w="1085" w:type="dxa"/>
            <w:vMerge/>
            <w:tcBorders>
              <w:top w:val="nil"/>
              <w:left w:val="single" w:sz="6" w:space="0" w:color="auto"/>
              <w:bottom w:val="single" w:sz="4" w:space="0" w:color="auto"/>
              <w:right w:val="nil"/>
            </w:tcBorders>
            <w:vAlign w:val="center"/>
            <w:hideMark/>
          </w:tcPr>
          <w:p w14:paraId="1A1A3750"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p>
        </w:tc>
        <w:tc>
          <w:tcPr>
            <w:tcW w:w="0" w:type="auto"/>
            <w:tcBorders>
              <w:top w:val="single" w:sz="4" w:space="0" w:color="auto"/>
              <w:left w:val="single" w:sz="4" w:space="0" w:color="auto"/>
              <w:bottom w:val="nil"/>
              <w:right w:val="nil"/>
            </w:tcBorders>
            <w:shd w:val="clear" w:color="auto" w:fill="auto"/>
            <w:noWrap/>
            <w:vAlign w:val="center"/>
            <w:hideMark/>
          </w:tcPr>
          <w:p w14:paraId="7AC8BE31"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Refurbished</w:t>
            </w:r>
          </w:p>
        </w:tc>
        <w:tc>
          <w:tcPr>
            <w:tcW w:w="0" w:type="auto"/>
            <w:tcBorders>
              <w:top w:val="single" w:sz="4" w:space="0" w:color="auto"/>
              <w:left w:val="nil"/>
              <w:bottom w:val="nil"/>
              <w:right w:val="single" w:sz="12" w:space="0" w:color="auto"/>
            </w:tcBorders>
            <w:shd w:val="clear" w:color="auto" w:fill="auto"/>
            <w:noWrap/>
            <w:vAlign w:val="center"/>
            <w:hideMark/>
          </w:tcPr>
          <w:p w14:paraId="02355E9B"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Existing</w:t>
            </w:r>
          </w:p>
        </w:tc>
      </w:tr>
      <w:tr w:rsidR="004541ED" w:rsidRPr="007F425D" w14:paraId="2FE2C9EB" w14:textId="77777777" w:rsidTr="004541ED">
        <w:trPr>
          <w:trHeight w:val="300"/>
        </w:trPr>
        <w:tc>
          <w:tcPr>
            <w:tcW w:w="2567" w:type="dxa"/>
            <w:tcBorders>
              <w:top w:val="nil"/>
              <w:left w:val="single" w:sz="12" w:space="0" w:color="auto"/>
              <w:bottom w:val="dotted" w:sz="4" w:space="0" w:color="auto"/>
              <w:right w:val="single" w:sz="4" w:space="0" w:color="auto"/>
            </w:tcBorders>
            <w:shd w:val="clear" w:color="auto" w:fill="auto"/>
            <w:noWrap/>
            <w:vAlign w:val="bottom"/>
            <w:hideMark/>
          </w:tcPr>
          <w:p w14:paraId="121747A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xml:space="preserve">EPC - A+ </w:t>
            </w:r>
            <w:r w:rsidRPr="007F425D">
              <w:rPr>
                <w:rFonts w:ascii="Times New Roman" w:eastAsia="Times New Roman" w:hAnsi="Times New Roman" w:cs="Times New Roman"/>
                <w:color w:val="000000"/>
                <w:sz w:val="20"/>
                <w:szCs w:val="20"/>
                <w:lang w:eastAsia="de-DE"/>
              </w:rPr>
              <w:br/>
              <w:t>(Ref: D)</w:t>
            </w:r>
          </w:p>
        </w:tc>
        <w:tc>
          <w:tcPr>
            <w:tcW w:w="1085" w:type="dxa"/>
            <w:tcBorders>
              <w:top w:val="single" w:sz="4" w:space="0" w:color="auto"/>
              <w:left w:val="nil"/>
              <w:bottom w:val="dotted" w:sz="4" w:space="0" w:color="auto"/>
              <w:right w:val="single" w:sz="6" w:space="0" w:color="auto"/>
            </w:tcBorders>
            <w:shd w:val="clear" w:color="auto" w:fill="FFFFFF" w:themeFill="background1"/>
            <w:vAlign w:val="bottom"/>
          </w:tcPr>
          <w:p w14:paraId="2224DC23"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0</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985</w:t>
            </w:r>
          </w:p>
          <w:p w14:paraId="7B1DF7F6"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0</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70</w:t>
            </w:r>
          </w:p>
        </w:tc>
        <w:tc>
          <w:tcPr>
            <w:tcW w:w="1085" w:type="dxa"/>
            <w:tcBorders>
              <w:top w:val="single" w:sz="4" w:space="0" w:color="auto"/>
              <w:left w:val="single" w:sz="6" w:space="0" w:color="auto"/>
              <w:bottom w:val="dotted" w:sz="4" w:space="0" w:color="auto"/>
              <w:right w:val="single" w:sz="4" w:space="0" w:color="auto"/>
            </w:tcBorders>
            <w:shd w:val="clear" w:color="auto" w:fill="auto"/>
            <w:noWrap/>
            <w:vAlign w:val="bottom"/>
            <w:hideMark/>
          </w:tcPr>
          <w:p w14:paraId="47BEA2F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981</w:t>
            </w:r>
          </w:p>
          <w:p w14:paraId="777F78E2" w14:textId="77777777" w:rsidR="004541ED" w:rsidRPr="007F425D" w:rsidRDefault="004541ED" w:rsidP="004541ED">
            <w:pPr>
              <w:spacing w:after="0" w:line="240" w:lineRule="auto"/>
              <w:rPr>
                <w:rFonts w:ascii="Times New Roman" w:eastAsia="Times New Roman" w:hAnsi="Times New Roman" w:cs="Times New Roman"/>
                <w:b/>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240</w:t>
            </w:r>
          </w:p>
        </w:tc>
        <w:tc>
          <w:tcPr>
            <w:tcW w:w="1118" w:type="dxa"/>
            <w:tcBorders>
              <w:top w:val="single" w:sz="4" w:space="0" w:color="auto"/>
              <w:left w:val="nil"/>
              <w:bottom w:val="dotted" w:sz="4" w:space="0" w:color="auto"/>
              <w:right w:val="nil"/>
            </w:tcBorders>
            <w:shd w:val="clear" w:color="auto" w:fill="auto"/>
            <w:noWrap/>
            <w:vAlign w:val="bottom"/>
            <w:hideMark/>
          </w:tcPr>
          <w:p w14:paraId="704D600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862</w:t>
            </w:r>
          </w:p>
          <w:p w14:paraId="636AA69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310</w:t>
            </w:r>
            <w:r w:rsidRPr="008E3E16">
              <w:rPr>
                <w:rFonts w:ascii="Times New Roman" w:eastAsia="Times New Roman" w:hAnsi="Times New Roman" w:cs="Times New Roman"/>
                <w:color w:val="000000"/>
                <w:sz w:val="20"/>
                <w:szCs w:val="20"/>
                <w:vertAlign w:val="superscript"/>
                <w:lang w:eastAsia="de-DE"/>
              </w:rPr>
              <w:t>***</w:t>
            </w:r>
          </w:p>
        </w:tc>
        <w:tc>
          <w:tcPr>
            <w:tcW w:w="1234" w:type="dxa"/>
            <w:tcBorders>
              <w:top w:val="single" w:sz="4" w:space="0" w:color="auto"/>
              <w:left w:val="nil"/>
              <w:bottom w:val="dotted" w:sz="4" w:space="0" w:color="auto"/>
              <w:right w:val="single" w:sz="6" w:space="0" w:color="auto"/>
            </w:tcBorders>
            <w:shd w:val="clear" w:color="auto" w:fill="auto"/>
            <w:noWrap/>
            <w:vAlign w:val="bottom"/>
            <w:hideMark/>
          </w:tcPr>
          <w:p w14:paraId="0D84EC6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075</w:t>
            </w:r>
          </w:p>
          <w:p w14:paraId="3F6E228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160</w:t>
            </w:r>
          </w:p>
        </w:tc>
        <w:tc>
          <w:tcPr>
            <w:tcW w:w="1085" w:type="dxa"/>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7F30741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981</w:t>
            </w:r>
          </w:p>
          <w:p w14:paraId="00E222F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910</w:t>
            </w:r>
          </w:p>
        </w:tc>
        <w:tc>
          <w:tcPr>
            <w:tcW w:w="0" w:type="auto"/>
            <w:tcBorders>
              <w:top w:val="single" w:sz="4" w:space="0" w:color="auto"/>
              <w:left w:val="single" w:sz="6" w:space="0" w:color="auto"/>
              <w:bottom w:val="dotted" w:sz="4" w:space="0" w:color="auto"/>
              <w:right w:val="nil"/>
            </w:tcBorders>
            <w:shd w:val="clear" w:color="auto" w:fill="auto"/>
            <w:noWrap/>
            <w:vAlign w:val="bottom"/>
            <w:hideMark/>
          </w:tcPr>
          <w:p w14:paraId="7E63652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979</w:t>
            </w:r>
          </w:p>
          <w:p w14:paraId="462D18D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530</w:t>
            </w:r>
          </w:p>
        </w:tc>
        <w:tc>
          <w:tcPr>
            <w:tcW w:w="0" w:type="auto"/>
            <w:tcBorders>
              <w:top w:val="single" w:sz="4" w:space="0" w:color="auto"/>
              <w:left w:val="nil"/>
              <w:bottom w:val="dotted" w:sz="4" w:space="0" w:color="auto"/>
              <w:right w:val="single" w:sz="12" w:space="0" w:color="auto"/>
            </w:tcBorders>
            <w:shd w:val="clear" w:color="auto" w:fill="auto"/>
            <w:noWrap/>
            <w:vAlign w:val="bottom"/>
            <w:hideMark/>
          </w:tcPr>
          <w:p w14:paraId="4B1F871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989</w:t>
            </w:r>
          </w:p>
          <w:p w14:paraId="138D542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160</w:t>
            </w:r>
          </w:p>
        </w:tc>
      </w:tr>
      <w:tr w:rsidR="004541ED" w:rsidRPr="007F425D" w14:paraId="30B532F8" w14:textId="77777777" w:rsidTr="004541ED">
        <w:trPr>
          <w:trHeight w:val="300"/>
        </w:trPr>
        <w:tc>
          <w:tcPr>
            <w:tcW w:w="2567" w:type="dxa"/>
            <w:tcBorders>
              <w:top w:val="dotted" w:sz="4" w:space="0" w:color="auto"/>
              <w:left w:val="single" w:sz="12" w:space="0" w:color="auto"/>
              <w:bottom w:val="dotted" w:sz="4" w:space="0" w:color="auto"/>
              <w:right w:val="single" w:sz="4" w:space="0" w:color="auto"/>
            </w:tcBorders>
            <w:shd w:val="clear" w:color="auto" w:fill="auto"/>
            <w:noWrap/>
            <w:vAlign w:val="bottom"/>
            <w:hideMark/>
          </w:tcPr>
          <w:p w14:paraId="2A68FD1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xml:space="preserve">EPC - A </w:t>
            </w:r>
            <w:r w:rsidRPr="007F425D">
              <w:rPr>
                <w:rFonts w:ascii="Times New Roman" w:eastAsia="Times New Roman" w:hAnsi="Times New Roman" w:cs="Times New Roman"/>
                <w:color w:val="000000"/>
                <w:sz w:val="20"/>
                <w:szCs w:val="20"/>
                <w:lang w:eastAsia="de-DE"/>
              </w:rPr>
              <w:br/>
              <w:t>(Ref: D)</w:t>
            </w:r>
          </w:p>
        </w:tc>
        <w:tc>
          <w:tcPr>
            <w:tcW w:w="1085" w:type="dxa"/>
            <w:tcBorders>
              <w:top w:val="dotted" w:sz="4" w:space="0" w:color="auto"/>
              <w:left w:val="nil"/>
              <w:bottom w:val="dotted" w:sz="4" w:space="0" w:color="auto"/>
              <w:right w:val="single" w:sz="6" w:space="0" w:color="auto"/>
            </w:tcBorders>
            <w:shd w:val="clear" w:color="auto" w:fill="FFFFFF" w:themeFill="background1"/>
            <w:vAlign w:val="bottom"/>
          </w:tcPr>
          <w:p w14:paraId="18C2F29E"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0</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970</w:t>
            </w:r>
          </w:p>
          <w:p w14:paraId="09E249E7"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7</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71</w:t>
            </w:r>
            <w:r w:rsidRPr="008E3E16">
              <w:rPr>
                <w:rFonts w:ascii="Times New Roman" w:hAnsi="Times New Roman" w:cs="Times New Roman"/>
                <w:color w:val="000000"/>
                <w:sz w:val="20"/>
                <w:szCs w:val="20"/>
                <w:vertAlign w:val="superscript"/>
              </w:rPr>
              <w:t>***</w:t>
            </w:r>
          </w:p>
        </w:tc>
        <w:tc>
          <w:tcPr>
            <w:tcW w:w="1085" w:type="dxa"/>
            <w:tcBorders>
              <w:top w:val="dotted" w:sz="4" w:space="0" w:color="auto"/>
              <w:left w:val="single" w:sz="6" w:space="0" w:color="auto"/>
              <w:bottom w:val="dotted" w:sz="4" w:space="0" w:color="auto"/>
              <w:right w:val="single" w:sz="4" w:space="0" w:color="auto"/>
            </w:tcBorders>
            <w:shd w:val="clear" w:color="auto" w:fill="auto"/>
            <w:noWrap/>
            <w:vAlign w:val="bottom"/>
            <w:hideMark/>
          </w:tcPr>
          <w:p w14:paraId="4939E6B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015</w:t>
            </w:r>
          </w:p>
          <w:p w14:paraId="4D55562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360</w:t>
            </w:r>
          </w:p>
        </w:tc>
        <w:tc>
          <w:tcPr>
            <w:tcW w:w="1118" w:type="dxa"/>
            <w:tcBorders>
              <w:top w:val="dotted" w:sz="4" w:space="0" w:color="auto"/>
              <w:left w:val="nil"/>
              <w:bottom w:val="dotted" w:sz="4" w:space="0" w:color="auto"/>
              <w:right w:val="nil"/>
            </w:tcBorders>
            <w:shd w:val="clear" w:color="auto" w:fill="auto"/>
            <w:noWrap/>
            <w:vAlign w:val="bottom"/>
            <w:hideMark/>
          </w:tcPr>
          <w:p w14:paraId="5DD79F5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942</w:t>
            </w:r>
          </w:p>
          <w:p w14:paraId="34089FC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210</w:t>
            </w:r>
          </w:p>
        </w:tc>
        <w:tc>
          <w:tcPr>
            <w:tcW w:w="1234" w:type="dxa"/>
            <w:tcBorders>
              <w:top w:val="dotted" w:sz="4" w:space="0" w:color="auto"/>
              <w:left w:val="nil"/>
              <w:bottom w:val="dotted" w:sz="4" w:space="0" w:color="auto"/>
              <w:right w:val="single" w:sz="6" w:space="0" w:color="auto"/>
            </w:tcBorders>
            <w:shd w:val="clear" w:color="auto" w:fill="auto"/>
            <w:noWrap/>
            <w:vAlign w:val="bottom"/>
            <w:hideMark/>
          </w:tcPr>
          <w:p w14:paraId="49E6609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058</w:t>
            </w:r>
          </w:p>
          <w:p w14:paraId="2614961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850</w:t>
            </w:r>
            <w:r w:rsidRPr="008E3E16">
              <w:rPr>
                <w:rFonts w:ascii="Times New Roman" w:eastAsia="Times New Roman" w:hAnsi="Times New Roman" w:cs="Times New Roman"/>
                <w:color w:val="000000"/>
                <w:sz w:val="20"/>
                <w:szCs w:val="20"/>
                <w:vertAlign w:val="superscript"/>
                <w:lang w:eastAsia="de-DE"/>
              </w:rPr>
              <w:t>*</w:t>
            </w:r>
          </w:p>
        </w:tc>
        <w:tc>
          <w:tcPr>
            <w:tcW w:w="1085" w:type="dxa"/>
            <w:tcBorders>
              <w:top w:val="dotted" w:sz="4" w:space="0" w:color="auto"/>
              <w:left w:val="single" w:sz="6" w:space="0" w:color="auto"/>
              <w:bottom w:val="dotted" w:sz="4" w:space="0" w:color="auto"/>
              <w:right w:val="single" w:sz="6" w:space="0" w:color="auto"/>
            </w:tcBorders>
            <w:shd w:val="clear" w:color="auto" w:fill="auto"/>
            <w:noWrap/>
            <w:vAlign w:val="bottom"/>
            <w:hideMark/>
          </w:tcPr>
          <w:p w14:paraId="7ECFA9C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960</w:t>
            </w:r>
          </w:p>
          <w:p w14:paraId="7FB12FE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760</w:t>
            </w:r>
            <w:r w:rsidRPr="008E3E16">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6" w:space="0" w:color="auto"/>
              <w:bottom w:val="dotted" w:sz="4" w:space="0" w:color="auto"/>
              <w:right w:val="nil"/>
            </w:tcBorders>
            <w:shd w:val="clear" w:color="auto" w:fill="auto"/>
            <w:noWrap/>
            <w:vAlign w:val="bottom"/>
            <w:hideMark/>
          </w:tcPr>
          <w:p w14:paraId="4B88820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994</w:t>
            </w:r>
          </w:p>
          <w:p w14:paraId="4EF0DB7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070</w:t>
            </w:r>
          </w:p>
        </w:tc>
        <w:tc>
          <w:tcPr>
            <w:tcW w:w="0" w:type="auto"/>
            <w:tcBorders>
              <w:top w:val="dotted" w:sz="4" w:space="0" w:color="auto"/>
              <w:left w:val="nil"/>
              <w:bottom w:val="dotted" w:sz="4" w:space="0" w:color="auto"/>
              <w:right w:val="single" w:sz="12" w:space="0" w:color="auto"/>
            </w:tcBorders>
            <w:shd w:val="clear" w:color="auto" w:fill="auto"/>
            <w:noWrap/>
            <w:vAlign w:val="bottom"/>
            <w:hideMark/>
          </w:tcPr>
          <w:p w14:paraId="091F984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949</w:t>
            </w:r>
          </w:p>
          <w:p w14:paraId="1C20C86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390</w:t>
            </w:r>
            <w:r w:rsidRPr="008E3E16">
              <w:rPr>
                <w:rFonts w:ascii="Times New Roman" w:eastAsia="Times New Roman" w:hAnsi="Times New Roman" w:cs="Times New Roman"/>
                <w:color w:val="000000"/>
                <w:sz w:val="20"/>
                <w:szCs w:val="20"/>
                <w:vertAlign w:val="superscript"/>
                <w:lang w:eastAsia="de-DE"/>
              </w:rPr>
              <w:t>***</w:t>
            </w:r>
          </w:p>
        </w:tc>
      </w:tr>
      <w:tr w:rsidR="004541ED" w:rsidRPr="007F425D" w14:paraId="52285C10" w14:textId="77777777" w:rsidTr="004541ED">
        <w:trPr>
          <w:trHeight w:val="300"/>
        </w:trPr>
        <w:tc>
          <w:tcPr>
            <w:tcW w:w="2567" w:type="dxa"/>
            <w:tcBorders>
              <w:top w:val="dotted" w:sz="4" w:space="0" w:color="auto"/>
              <w:left w:val="single" w:sz="12" w:space="0" w:color="auto"/>
              <w:bottom w:val="dotted" w:sz="4" w:space="0" w:color="auto"/>
              <w:right w:val="single" w:sz="4" w:space="0" w:color="auto"/>
            </w:tcBorders>
            <w:shd w:val="clear" w:color="auto" w:fill="auto"/>
            <w:noWrap/>
            <w:vAlign w:val="bottom"/>
            <w:hideMark/>
          </w:tcPr>
          <w:p w14:paraId="3271313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xml:space="preserve">EPC - B </w:t>
            </w:r>
            <w:r w:rsidRPr="007F425D">
              <w:rPr>
                <w:rFonts w:ascii="Times New Roman" w:eastAsia="Times New Roman" w:hAnsi="Times New Roman" w:cs="Times New Roman"/>
                <w:color w:val="000000"/>
                <w:sz w:val="20"/>
                <w:szCs w:val="20"/>
                <w:lang w:eastAsia="de-DE"/>
              </w:rPr>
              <w:br/>
              <w:t>(Ref: D)</w:t>
            </w:r>
          </w:p>
        </w:tc>
        <w:tc>
          <w:tcPr>
            <w:tcW w:w="1085" w:type="dxa"/>
            <w:tcBorders>
              <w:top w:val="dotted" w:sz="4" w:space="0" w:color="auto"/>
              <w:left w:val="nil"/>
              <w:bottom w:val="dotted" w:sz="4" w:space="0" w:color="auto"/>
              <w:right w:val="single" w:sz="6" w:space="0" w:color="auto"/>
            </w:tcBorders>
            <w:shd w:val="clear" w:color="auto" w:fill="FFFFFF" w:themeFill="background1"/>
            <w:vAlign w:val="bottom"/>
          </w:tcPr>
          <w:p w14:paraId="3B7A75CE"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1</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010</w:t>
            </w:r>
          </w:p>
          <w:p w14:paraId="640643B7"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5</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08</w:t>
            </w:r>
            <w:r w:rsidRPr="008E3E16">
              <w:rPr>
                <w:rFonts w:ascii="Times New Roman" w:hAnsi="Times New Roman" w:cs="Times New Roman"/>
                <w:color w:val="000000"/>
                <w:sz w:val="20"/>
                <w:szCs w:val="20"/>
                <w:vertAlign w:val="superscript"/>
              </w:rPr>
              <w:t>**</w:t>
            </w:r>
          </w:p>
        </w:tc>
        <w:tc>
          <w:tcPr>
            <w:tcW w:w="1085" w:type="dxa"/>
            <w:tcBorders>
              <w:top w:val="dotted" w:sz="4" w:space="0" w:color="auto"/>
              <w:left w:val="single" w:sz="6" w:space="0" w:color="auto"/>
              <w:bottom w:val="dotted" w:sz="4" w:space="0" w:color="auto"/>
              <w:right w:val="single" w:sz="4" w:space="0" w:color="auto"/>
            </w:tcBorders>
            <w:shd w:val="clear" w:color="auto" w:fill="auto"/>
            <w:noWrap/>
            <w:vAlign w:val="bottom"/>
            <w:hideMark/>
          </w:tcPr>
          <w:p w14:paraId="5F60A23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978</w:t>
            </w:r>
          </w:p>
          <w:p w14:paraId="193AFC0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470</w:t>
            </w:r>
            <w:r w:rsidRPr="008E3E16">
              <w:rPr>
                <w:rFonts w:ascii="Times New Roman" w:eastAsia="Times New Roman" w:hAnsi="Times New Roman" w:cs="Times New Roman"/>
                <w:color w:val="000000"/>
                <w:sz w:val="20"/>
                <w:szCs w:val="20"/>
                <w:vertAlign w:val="superscript"/>
                <w:lang w:eastAsia="de-DE"/>
              </w:rPr>
              <w:t>*</w:t>
            </w:r>
          </w:p>
        </w:tc>
        <w:tc>
          <w:tcPr>
            <w:tcW w:w="1118" w:type="dxa"/>
            <w:tcBorders>
              <w:top w:val="dotted" w:sz="4" w:space="0" w:color="auto"/>
              <w:left w:val="nil"/>
              <w:bottom w:val="dotted" w:sz="4" w:space="0" w:color="auto"/>
              <w:right w:val="nil"/>
            </w:tcBorders>
            <w:shd w:val="clear" w:color="auto" w:fill="auto"/>
            <w:noWrap/>
            <w:vAlign w:val="bottom"/>
            <w:hideMark/>
          </w:tcPr>
          <w:p w14:paraId="06E47F2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942</w:t>
            </w:r>
          </w:p>
          <w:p w14:paraId="06EEBB6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230</w:t>
            </w:r>
            <w:r w:rsidRPr="008E3E16">
              <w:rPr>
                <w:rFonts w:ascii="Times New Roman" w:eastAsia="Times New Roman" w:hAnsi="Times New Roman" w:cs="Times New Roman"/>
                <w:color w:val="000000"/>
                <w:sz w:val="20"/>
                <w:szCs w:val="20"/>
                <w:vertAlign w:val="superscript"/>
                <w:lang w:eastAsia="de-DE"/>
              </w:rPr>
              <w:t>***</w:t>
            </w:r>
          </w:p>
        </w:tc>
        <w:tc>
          <w:tcPr>
            <w:tcW w:w="1234" w:type="dxa"/>
            <w:tcBorders>
              <w:top w:val="dotted" w:sz="4" w:space="0" w:color="auto"/>
              <w:left w:val="nil"/>
              <w:bottom w:val="dotted" w:sz="4" w:space="0" w:color="auto"/>
              <w:right w:val="single" w:sz="6" w:space="0" w:color="auto"/>
            </w:tcBorders>
            <w:shd w:val="clear" w:color="auto" w:fill="auto"/>
            <w:noWrap/>
            <w:vAlign w:val="bottom"/>
            <w:hideMark/>
          </w:tcPr>
          <w:p w14:paraId="0F976BA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988</w:t>
            </w:r>
          </w:p>
          <w:p w14:paraId="3F08CED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720</w:t>
            </w:r>
          </w:p>
        </w:tc>
        <w:tc>
          <w:tcPr>
            <w:tcW w:w="1085" w:type="dxa"/>
            <w:tcBorders>
              <w:top w:val="dotted" w:sz="4" w:space="0" w:color="auto"/>
              <w:left w:val="single" w:sz="6" w:space="0" w:color="auto"/>
              <w:bottom w:val="dotted" w:sz="4" w:space="0" w:color="auto"/>
              <w:right w:val="single" w:sz="6" w:space="0" w:color="auto"/>
            </w:tcBorders>
            <w:shd w:val="clear" w:color="auto" w:fill="auto"/>
            <w:noWrap/>
            <w:vAlign w:val="bottom"/>
            <w:hideMark/>
          </w:tcPr>
          <w:p w14:paraId="4FF3CF4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019</w:t>
            </w:r>
          </w:p>
          <w:p w14:paraId="57644B2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14</w:t>
            </w:r>
            <w:r w:rsidRPr="008E3E16">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6" w:space="0" w:color="auto"/>
              <w:bottom w:val="dotted" w:sz="4" w:space="0" w:color="auto"/>
              <w:right w:val="nil"/>
            </w:tcBorders>
            <w:shd w:val="clear" w:color="auto" w:fill="auto"/>
            <w:noWrap/>
            <w:vAlign w:val="bottom"/>
            <w:hideMark/>
          </w:tcPr>
          <w:p w14:paraId="3DA33DD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985</w:t>
            </w:r>
          </w:p>
          <w:p w14:paraId="3A88C09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940</w:t>
            </w:r>
          </w:p>
        </w:tc>
        <w:tc>
          <w:tcPr>
            <w:tcW w:w="0" w:type="auto"/>
            <w:tcBorders>
              <w:top w:val="dotted" w:sz="4" w:space="0" w:color="auto"/>
              <w:left w:val="nil"/>
              <w:bottom w:val="dotted" w:sz="4" w:space="0" w:color="auto"/>
              <w:right w:val="single" w:sz="12" w:space="0" w:color="auto"/>
            </w:tcBorders>
            <w:shd w:val="clear" w:color="auto" w:fill="auto"/>
            <w:noWrap/>
            <w:vAlign w:val="bottom"/>
            <w:hideMark/>
          </w:tcPr>
          <w:p w14:paraId="2B5240D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030</w:t>
            </w:r>
          </w:p>
          <w:p w14:paraId="0D8F6BD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120</w:t>
            </w:r>
            <w:r w:rsidRPr="008E3E16">
              <w:rPr>
                <w:rFonts w:ascii="Times New Roman" w:eastAsia="Times New Roman" w:hAnsi="Times New Roman" w:cs="Times New Roman"/>
                <w:color w:val="000000"/>
                <w:sz w:val="20"/>
                <w:szCs w:val="20"/>
                <w:vertAlign w:val="superscript"/>
                <w:lang w:eastAsia="de-DE"/>
              </w:rPr>
              <w:t>***</w:t>
            </w:r>
          </w:p>
        </w:tc>
      </w:tr>
      <w:tr w:rsidR="004541ED" w:rsidRPr="007F425D" w14:paraId="36455144" w14:textId="77777777" w:rsidTr="004541ED">
        <w:trPr>
          <w:trHeight w:val="300"/>
        </w:trPr>
        <w:tc>
          <w:tcPr>
            <w:tcW w:w="2567" w:type="dxa"/>
            <w:tcBorders>
              <w:top w:val="dotted" w:sz="4" w:space="0" w:color="auto"/>
              <w:left w:val="single" w:sz="12" w:space="0" w:color="auto"/>
              <w:bottom w:val="dotted" w:sz="4" w:space="0" w:color="auto"/>
              <w:right w:val="single" w:sz="4" w:space="0" w:color="auto"/>
            </w:tcBorders>
            <w:shd w:val="clear" w:color="auto" w:fill="auto"/>
            <w:noWrap/>
            <w:vAlign w:val="bottom"/>
            <w:hideMark/>
          </w:tcPr>
          <w:p w14:paraId="7160A68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xml:space="preserve">EPC - C </w:t>
            </w:r>
            <w:r w:rsidRPr="007F425D">
              <w:rPr>
                <w:rFonts w:ascii="Times New Roman" w:eastAsia="Times New Roman" w:hAnsi="Times New Roman" w:cs="Times New Roman"/>
                <w:color w:val="000000"/>
                <w:sz w:val="20"/>
                <w:szCs w:val="20"/>
                <w:lang w:eastAsia="de-DE"/>
              </w:rPr>
              <w:br/>
              <w:t>(Ref: D)</w:t>
            </w:r>
          </w:p>
        </w:tc>
        <w:tc>
          <w:tcPr>
            <w:tcW w:w="1085" w:type="dxa"/>
            <w:tcBorders>
              <w:top w:val="dotted" w:sz="4" w:space="0" w:color="auto"/>
              <w:left w:val="nil"/>
              <w:bottom w:val="dotted" w:sz="4" w:space="0" w:color="auto"/>
              <w:right w:val="single" w:sz="6" w:space="0" w:color="auto"/>
            </w:tcBorders>
            <w:shd w:val="clear" w:color="auto" w:fill="FFFFFF" w:themeFill="background1"/>
            <w:vAlign w:val="bottom"/>
          </w:tcPr>
          <w:p w14:paraId="23E28023"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1</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007</w:t>
            </w:r>
          </w:p>
          <w:p w14:paraId="435A7D94"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4</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57</w:t>
            </w:r>
            <w:r w:rsidRPr="008E3E16">
              <w:rPr>
                <w:rFonts w:ascii="Times New Roman" w:hAnsi="Times New Roman" w:cs="Times New Roman"/>
                <w:color w:val="000000"/>
                <w:sz w:val="20"/>
                <w:szCs w:val="20"/>
                <w:vertAlign w:val="superscript"/>
              </w:rPr>
              <w:t>**</w:t>
            </w:r>
          </w:p>
        </w:tc>
        <w:tc>
          <w:tcPr>
            <w:tcW w:w="1085" w:type="dxa"/>
            <w:tcBorders>
              <w:top w:val="dotted" w:sz="4" w:space="0" w:color="auto"/>
              <w:left w:val="single" w:sz="6" w:space="0" w:color="auto"/>
              <w:bottom w:val="dotted" w:sz="4" w:space="0" w:color="auto"/>
              <w:right w:val="single" w:sz="4" w:space="0" w:color="auto"/>
            </w:tcBorders>
            <w:shd w:val="clear" w:color="auto" w:fill="auto"/>
            <w:noWrap/>
            <w:vAlign w:val="bottom"/>
            <w:hideMark/>
          </w:tcPr>
          <w:p w14:paraId="01907FD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976</w:t>
            </w:r>
          </w:p>
          <w:p w14:paraId="1F8441B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570</w:t>
            </w:r>
            <w:r w:rsidRPr="008E3E16">
              <w:rPr>
                <w:rFonts w:ascii="Times New Roman" w:eastAsia="Times New Roman" w:hAnsi="Times New Roman" w:cs="Times New Roman"/>
                <w:color w:val="000000"/>
                <w:sz w:val="20"/>
                <w:szCs w:val="20"/>
                <w:vertAlign w:val="superscript"/>
                <w:lang w:eastAsia="de-DE"/>
              </w:rPr>
              <w:t>***</w:t>
            </w:r>
          </w:p>
        </w:tc>
        <w:tc>
          <w:tcPr>
            <w:tcW w:w="1118" w:type="dxa"/>
            <w:tcBorders>
              <w:top w:val="dotted" w:sz="4" w:space="0" w:color="auto"/>
              <w:left w:val="nil"/>
              <w:bottom w:val="dotted" w:sz="4" w:space="0" w:color="auto"/>
              <w:right w:val="nil"/>
            </w:tcBorders>
            <w:shd w:val="clear" w:color="auto" w:fill="auto"/>
            <w:noWrap/>
            <w:vAlign w:val="bottom"/>
            <w:hideMark/>
          </w:tcPr>
          <w:p w14:paraId="2FDA5D6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948</w:t>
            </w:r>
          </w:p>
          <w:p w14:paraId="673D2B4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54</w:t>
            </w:r>
            <w:r w:rsidRPr="008E3E16">
              <w:rPr>
                <w:rFonts w:ascii="Times New Roman" w:eastAsia="Times New Roman" w:hAnsi="Times New Roman" w:cs="Times New Roman"/>
                <w:color w:val="000000"/>
                <w:sz w:val="20"/>
                <w:szCs w:val="20"/>
                <w:vertAlign w:val="superscript"/>
                <w:lang w:eastAsia="de-DE"/>
              </w:rPr>
              <w:t>***</w:t>
            </w:r>
          </w:p>
        </w:tc>
        <w:tc>
          <w:tcPr>
            <w:tcW w:w="1234" w:type="dxa"/>
            <w:tcBorders>
              <w:top w:val="dotted" w:sz="4" w:space="0" w:color="auto"/>
              <w:left w:val="nil"/>
              <w:bottom w:val="dotted" w:sz="4" w:space="0" w:color="auto"/>
              <w:right w:val="single" w:sz="6" w:space="0" w:color="auto"/>
            </w:tcBorders>
            <w:shd w:val="clear" w:color="auto" w:fill="auto"/>
            <w:noWrap/>
            <w:vAlign w:val="bottom"/>
            <w:hideMark/>
          </w:tcPr>
          <w:p w14:paraId="30B29E4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985</w:t>
            </w:r>
          </w:p>
          <w:p w14:paraId="4F6F94B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380</w:t>
            </w:r>
          </w:p>
        </w:tc>
        <w:tc>
          <w:tcPr>
            <w:tcW w:w="1085" w:type="dxa"/>
            <w:tcBorders>
              <w:top w:val="dotted" w:sz="4" w:space="0" w:color="auto"/>
              <w:left w:val="single" w:sz="6" w:space="0" w:color="auto"/>
              <w:bottom w:val="dotted" w:sz="4" w:space="0" w:color="auto"/>
              <w:right w:val="single" w:sz="6" w:space="0" w:color="auto"/>
            </w:tcBorders>
            <w:shd w:val="clear" w:color="auto" w:fill="auto"/>
            <w:noWrap/>
            <w:vAlign w:val="bottom"/>
            <w:hideMark/>
          </w:tcPr>
          <w:p w14:paraId="06A7FDE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020</w:t>
            </w:r>
          </w:p>
          <w:p w14:paraId="75C54CB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170</w:t>
            </w:r>
            <w:r w:rsidRPr="008E3E16">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6" w:space="0" w:color="auto"/>
              <w:bottom w:val="dotted" w:sz="4" w:space="0" w:color="auto"/>
              <w:right w:val="nil"/>
            </w:tcBorders>
            <w:shd w:val="clear" w:color="auto" w:fill="auto"/>
            <w:noWrap/>
            <w:vAlign w:val="bottom"/>
            <w:hideMark/>
          </w:tcPr>
          <w:p w14:paraId="2D1C8CE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012</w:t>
            </w:r>
          </w:p>
          <w:p w14:paraId="3B5648F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510</w:t>
            </w:r>
          </w:p>
        </w:tc>
        <w:tc>
          <w:tcPr>
            <w:tcW w:w="0" w:type="auto"/>
            <w:tcBorders>
              <w:top w:val="dotted" w:sz="4" w:space="0" w:color="auto"/>
              <w:left w:val="nil"/>
              <w:bottom w:val="dotted" w:sz="4" w:space="0" w:color="auto"/>
              <w:right w:val="single" w:sz="12" w:space="0" w:color="auto"/>
            </w:tcBorders>
            <w:shd w:val="clear" w:color="auto" w:fill="auto"/>
            <w:noWrap/>
            <w:vAlign w:val="bottom"/>
            <w:hideMark/>
          </w:tcPr>
          <w:p w14:paraId="783A1DC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021</w:t>
            </w:r>
          </w:p>
          <w:p w14:paraId="6894F9F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750</w:t>
            </w:r>
            <w:r w:rsidRPr="008E3E16">
              <w:rPr>
                <w:rFonts w:ascii="Times New Roman" w:eastAsia="Times New Roman" w:hAnsi="Times New Roman" w:cs="Times New Roman"/>
                <w:color w:val="000000"/>
                <w:sz w:val="20"/>
                <w:szCs w:val="20"/>
                <w:vertAlign w:val="superscript"/>
                <w:lang w:eastAsia="de-DE"/>
              </w:rPr>
              <w:t>***</w:t>
            </w:r>
          </w:p>
        </w:tc>
      </w:tr>
      <w:tr w:rsidR="004541ED" w:rsidRPr="007F425D" w14:paraId="3133A15C" w14:textId="77777777" w:rsidTr="004541ED">
        <w:trPr>
          <w:trHeight w:val="300"/>
        </w:trPr>
        <w:tc>
          <w:tcPr>
            <w:tcW w:w="2567" w:type="dxa"/>
            <w:tcBorders>
              <w:top w:val="dotted" w:sz="4" w:space="0" w:color="auto"/>
              <w:left w:val="single" w:sz="12" w:space="0" w:color="auto"/>
              <w:bottom w:val="dotted" w:sz="4" w:space="0" w:color="auto"/>
              <w:right w:val="single" w:sz="4" w:space="0" w:color="auto"/>
            </w:tcBorders>
            <w:shd w:val="clear" w:color="auto" w:fill="auto"/>
            <w:noWrap/>
            <w:vAlign w:val="bottom"/>
            <w:hideMark/>
          </w:tcPr>
          <w:p w14:paraId="1C4B78D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xml:space="preserve">EPC - E </w:t>
            </w:r>
            <w:r w:rsidRPr="007F425D">
              <w:rPr>
                <w:rFonts w:ascii="Times New Roman" w:eastAsia="Times New Roman" w:hAnsi="Times New Roman" w:cs="Times New Roman"/>
                <w:color w:val="000000"/>
                <w:sz w:val="20"/>
                <w:szCs w:val="20"/>
                <w:lang w:eastAsia="de-DE"/>
              </w:rPr>
              <w:br/>
              <w:t>(Ref: D)</w:t>
            </w:r>
          </w:p>
        </w:tc>
        <w:tc>
          <w:tcPr>
            <w:tcW w:w="1085" w:type="dxa"/>
            <w:tcBorders>
              <w:top w:val="dotted" w:sz="4" w:space="0" w:color="auto"/>
              <w:left w:val="nil"/>
              <w:bottom w:val="dotted" w:sz="4" w:space="0" w:color="auto"/>
              <w:right w:val="single" w:sz="6" w:space="0" w:color="auto"/>
            </w:tcBorders>
            <w:shd w:val="clear" w:color="auto" w:fill="FFFFFF" w:themeFill="background1"/>
            <w:vAlign w:val="bottom"/>
          </w:tcPr>
          <w:p w14:paraId="1666BEF9"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0</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960</w:t>
            </w:r>
          </w:p>
          <w:p w14:paraId="7EB91026"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154</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45</w:t>
            </w:r>
            <w:r w:rsidRPr="008E3E16">
              <w:rPr>
                <w:rFonts w:ascii="Times New Roman" w:hAnsi="Times New Roman" w:cs="Times New Roman"/>
                <w:color w:val="000000"/>
                <w:sz w:val="20"/>
                <w:szCs w:val="20"/>
                <w:vertAlign w:val="superscript"/>
              </w:rPr>
              <w:t>***</w:t>
            </w:r>
          </w:p>
        </w:tc>
        <w:tc>
          <w:tcPr>
            <w:tcW w:w="1085" w:type="dxa"/>
            <w:tcBorders>
              <w:top w:val="dotted" w:sz="4" w:space="0" w:color="auto"/>
              <w:left w:val="single" w:sz="6" w:space="0" w:color="auto"/>
              <w:bottom w:val="dotted" w:sz="4" w:space="0" w:color="auto"/>
              <w:right w:val="single" w:sz="4" w:space="0" w:color="auto"/>
            </w:tcBorders>
            <w:shd w:val="clear" w:color="auto" w:fill="auto"/>
            <w:noWrap/>
            <w:vAlign w:val="bottom"/>
            <w:hideMark/>
          </w:tcPr>
          <w:p w14:paraId="1CAD7CC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924</w:t>
            </w:r>
          </w:p>
          <w:p w14:paraId="4698218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114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970</w:t>
            </w:r>
            <w:r w:rsidRPr="008E3E16">
              <w:rPr>
                <w:rFonts w:ascii="Times New Roman" w:eastAsia="Times New Roman" w:hAnsi="Times New Roman" w:cs="Times New Roman"/>
                <w:color w:val="000000"/>
                <w:sz w:val="20"/>
                <w:szCs w:val="20"/>
                <w:vertAlign w:val="superscript"/>
                <w:lang w:eastAsia="de-DE"/>
              </w:rPr>
              <w:t>***</w:t>
            </w:r>
          </w:p>
        </w:tc>
        <w:tc>
          <w:tcPr>
            <w:tcW w:w="1118" w:type="dxa"/>
            <w:tcBorders>
              <w:top w:val="dotted" w:sz="4" w:space="0" w:color="auto"/>
              <w:left w:val="nil"/>
              <w:bottom w:val="dotted" w:sz="4" w:space="0" w:color="auto"/>
              <w:right w:val="nil"/>
            </w:tcBorders>
            <w:shd w:val="clear" w:color="auto" w:fill="auto"/>
            <w:noWrap/>
            <w:vAlign w:val="bottom"/>
            <w:hideMark/>
          </w:tcPr>
          <w:p w14:paraId="554B05F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897</w:t>
            </w:r>
          </w:p>
          <w:p w14:paraId="3A30D15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510</w:t>
            </w:r>
            <w:r w:rsidRPr="008E3E16">
              <w:rPr>
                <w:rFonts w:ascii="Times New Roman" w:eastAsia="Times New Roman" w:hAnsi="Times New Roman" w:cs="Times New Roman"/>
                <w:color w:val="000000"/>
                <w:sz w:val="20"/>
                <w:szCs w:val="20"/>
                <w:vertAlign w:val="superscript"/>
                <w:lang w:eastAsia="de-DE"/>
              </w:rPr>
              <w:t>***</w:t>
            </w:r>
          </w:p>
        </w:tc>
        <w:tc>
          <w:tcPr>
            <w:tcW w:w="1234" w:type="dxa"/>
            <w:tcBorders>
              <w:top w:val="dotted" w:sz="4" w:space="0" w:color="auto"/>
              <w:left w:val="nil"/>
              <w:bottom w:val="dotted" w:sz="4" w:space="0" w:color="auto"/>
              <w:right w:val="single" w:sz="6" w:space="0" w:color="auto"/>
            </w:tcBorders>
            <w:shd w:val="clear" w:color="auto" w:fill="auto"/>
            <w:noWrap/>
            <w:vAlign w:val="bottom"/>
            <w:hideMark/>
          </w:tcPr>
          <w:p w14:paraId="7DDBACB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939</w:t>
            </w:r>
          </w:p>
          <w:p w14:paraId="6F7D54C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890</w:t>
            </w:r>
            <w:r w:rsidRPr="008E3E16">
              <w:rPr>
                <w:rFonts w:ascii="Times New Roman" w:eastAsia="Times New Roman" w:hAnsi="Times New Roman" w:cs="Times New Roman"/>
                <w:color w:val="000000"/>
                <w:sz w:val="20"/>
                <w:szCs w:val="20"/>
                <w:vertAlign w:val="superscript"/>
                <w:lang w:eastAsia="de-DE"/>
              </w:rPr>
              <w:t>***</w:t>
            </w:r>
          </w:p>
        </w:tc>
        <w:tc>
          <w:tcPr>
            <w:tcW w:w="1085" w:type="dxa"/>
            <w:tcBorders>
              <w:top w:val="dotted" w:sz="4" w:space="0" w:color="auto"/>
              <w:left w:val="single" w:sz="6" w:space="0" w:color="auto"/>
              <w:bottom w:val="dotted" w:sz="4" w:space="0" w:color="auto"/>
              <w:right w:val="single" w:sz="6" w:space="0" w:color="auto"/>
            </w:tcBorders>
            <w:shd w:val="clear" w:color="auto" w:fill="auto"/>
            <w:noWrap/>
            <w:vAlign w:val="bottom"/>
            <w:hideMark/>
          </w:tcPr>
          <w:p w14:paraId="362A129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977</w:t>
            </w:r>
          </w:p>
          <w:p w14:paraId="0718CD0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700</w:t>
            </w:r>
            <w:r w:rsidRPr="008E3E16">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6" w:space="0" w:color="auto"/>
              <w:bottom w:val="dotted" w:sz="4" w:space="0" w:color="auto"/>
              <w:right w:val="nil"/>
            </w:tcBorders>
            <w:shd w:val="clear" w:color="auto" w:fill="auto"/>
            <w:noWrap/>
            <w:vAlign w:val="bottom"/>
            <w:hideMark/>
          </w:tcPr>
          <w:p w14:paraId="5D7F588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983</w:t>
            </w:r>
          </w:p>
          <w:p w14:paraId="7973B64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320</w:t>
            </w:r>
            <w:r w:rsidRPr="008E3E16">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12" w:space="0" w:color="auto"/>
            </w:tcBorders>
            <w:shd w:val="clear" w:color="auto" w:fill="auto"/>
            <w:noWrap/>
            <w:vAlign w:val="bottom"/>
            <w:hideMark/>
          </w:tcPr>
          <w:p w14:paraId="6724214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975</w:t>
            </w:r>
          </w:p>
          <w:p w14:paraId="701D5AD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540</w:t>
            </w:r>
            <w:r w:rsidRPr="008E3E16">
              <w:rPr>
                <w:rFonts w:ascii="Times New Roman" w:eastAsia="Times New Roman" w:hAnsi="Times New Roman" w:cs="Times New Roman"/>
                <w:color w:val="000000"/>
                <w:sz w:val="20"/>
                <w:szCs w:val="20"/>
                <w:vertAlign w:val="superscript"/>
                <w:lang w:eastAsia="de-DE"/>
              </w:rPr>
              <w:t>***</w:t>
            </w:r>
          </w:p>
        </w:tc>
      </w:tr>
      <w:tr w:rsidR="004541ED" w:rsidRPr="007F425D" w14:paraId="438D33FC" w14:textId="77777777" w:rsidTr="004541ED">
        <w:trPr>
          <w:trHeight w:val="300"/>
        </w:trPr>
        <w:tc>
          <w:tcPr>
            <w:tcW w:w="2567" w:type="dxa"/>
            <w:tcBorders>
              <w:top w:val="dotted" w:sz="4" w:space="0" w:color="auto"/>
              <w:left w:val="single" w:sz="12" w:space="0" w:color="auto"/>
              <w:bottom w:val="dotted" w:sz="4" w:space="0" w:color="auto"/>
              <w:right w:val="single" w:sz="4" w:space="0" w:color="auto"/>
            </w:tcBorders>
            <w:shd w:val="clear" w:color="auto" w:fill="auto"/>
            <w:noWrap/>
            <w:vAlign w:val="bottom"/>
            <w:hideMark/>
          </w:tcPr>
          <w:p w14:paraId="24C20E9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xml:space="preserve">EPC - F </w:t>
            </w:r>
            <w:r w:rsidRPr="007F425D">
              <w:rPr>
                <w:rFonts w:ascii="Times New Roman" w:eastAsia="Times New Roman" w:hAnsi="Times New Roman" w:cs="Times New Roman"/>
                <w:color w:val="000000"/>
                <w:sz w:val="20"/>
                <w:szCs w:val="20"/>
                <w:lang w:eastAsia="de-DE"/>
              </w:rPr>
              <w:br/>
              <w:t>(Ref: D)</w:t>
            </w:r>
          </w:p>
        </w:tc>
        <w:tc>
          <w:tcPr>
            <w:tcW w:w="1085" w:type="dxa"/>
            <w:tcBorders>
              <w:top w:val="dotted" w:sz="4" w:space="0" w:color="auto"/>
              <w:left w:val="nil"/>
              <w:bottom w:val="dotted" w:sz="4" w:space="0" w:color="auto"/>
              <w:right w:val="single" w:sz="6" w:space="0" w:color="auto"/>
            </w:tcBorders>
            <w:shd w:val="clear" w:color="auto" w:fill="FFFFFF" w:themeFill="background1"/>
            <w:vAlign w:val="bottom"/>
          </w:tcPr>
          <w:p w14:paraId="43B61A88"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0</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945</w:t>
            </w:r>
          </w:p>
          <w:p w14:paraId="3C24BA49"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237</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16</w:t>
            </w:r>
            <w:r w:rsidRPr="008E3E16">
              <w:rPr>
                <w:rFonts w:ascii="Times New Roman" w:hAnsi="Times New Roman" w:cs="Times New Roman"/>
                <w:color w:val="000000"/>
                <w:sz w:val="20"/>
                <w:szCs w:val="20"/>
                <w:vertAlign w:val="superscript"/>
              </w:rPr>
              <w:t>***</w:t>
            </w:r>
          </w:p>
        </w:tc>
        <w:tc>
          <w:tcPr>
            <w:tcW w:w="1085" w:type="dxa"/>
            <w:tcBorders>
              <w:top w:val="dotted" w:sz="4" w:space="0" w:color="auto"/>
              <w:left w:val="single" w:sz="6" w:space="0" w:color="auto"/>
              <w:bottom w:val="dotted" w:sz="4" w:space="0" w:color="auto"/>
              <w:right w:val="single" w:sz="4" w:space="0" w:color="auto"/>
            </w:tcBorders>
            <w:shd w:val="clear" w:color="auto" w:fill="auto"/>
            <w:noWrap/>
            <w:vAlign w:val="bottom"/>
            <w:hideMark/>
          </w:tcPr>
          <w:p w14:paraId="680B450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915</w:t>
            </w:r>
          </w:p>
          <w:p w14:paraId="13650F5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116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710</w:t>
            </w:r>
            <w:r w:rsidRPr="008E3E16">
              <w:rPr>
                <w:rFonts w:ascii="Times New Roman" w:eastAsia="Times New Roman" w:hAnsi="Times New Roman" w:cs="Times New Roman"/>
                <w:color w:val="000000"/>
                <w:sz w:val="20"/>
                <w:szCs w:val="20"/>
                <w:vertAlign w:val="superscript"/>
                <w:lang w:eastAsia="de-DE"/>
              </w:rPr>
              <w:t>***</w:t>
            </w:r>
          </w:p>
        </w:tc>
        <w:tc>
          <w:tcPr>
            <w:tcW w:w="1118" w:type="dxa"/>
            <w:tcBorders>
              <w:top w:val="dotted" w:sz="4" w:space="0" w:color="auto"/>
              <w:left w:val="nil"/>
              <w:bottom w:val="dotted" w:sz="4" w:space="0" w:color="auto"/>
              <w:right w:val="nil"/>
            </w:tcBorders>
            <w:shd w:val="clear" w:color="auto" w:fill="auto"/>
            <w:noWrap/>
            <w:vAlign w:val="bottom"/>
            <w:hideMark/>
          </w:tcPr>
          <w:p w14:paraId="2709591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92</w:t>
            </w:r>
          </w:p>
          <w:p w14:paraId="2CAC7A5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240</w:t>
            </w:r>
            <w:r w:rsidRPr="008E3E16">
              <w:rPr>
                <w:rFonts w:ascii="Times New Roman" w:eastAsia="Times New Roman" w:hAnsi="Times New Roman" w:cs="Times New Roman"/>
                <w:color w:val="000000"/>
                <w:sz w:val="20"/>
                <w:szCs w:val="20"/>
                <w:vertAlign w:val="superscript"/>
                <w:lang w:eastAsia="de-DE"/>
              </w:rPr>
              <w:t>***</w:t>
            </w:r>
          </w:p>
        </w:tc>
        <w:tc>
          <w:tcPr>
            <w:tcW w:w="1234" w:type="dxa"/>
            <w:tcBorders>
              <w:top w:val="dotted" w:sz="4" w:space="0" w:color="auto"/>
              <w:left w:val="nil"/>
              <w:bottom w:val="dotted" w:sz="4" w:space="0" w:color="auto"/>
              <w:right w:val="single" w:sz="6" w:space="0" w:color="auto"/>
            </w:tcBorders>
            <w:shd w:val="clear" w:color="auto" w:fill="auto"/>
            <w:noWrap/>
            <w:vAlign w:val="bottom"/>
            <w:hideMark/>
          </w:tcPr>
          <w:p w14:paraId="6FDE160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913</w:t>
            </w:r>
          </w:p>
          <w:p w14:paraId="3600BE4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570</w:t>
            </w:r>
            <w:r w:rsidRPr="008E3E16">
              <w:rPr>
                <w:rFonts w:ascii="Times New Roman" w:eastAsia="Times New Roman" w:hAnsi="Times New Roman" w:cs="Times New Roman"/>
                <w:color w:val="000000"/>
                <w:sz w:val="20"/>
                <w:szCs w:val="20"/>
                <w:vertAlign w:val="superscript"/>
                <w:lang w:eastAsia="de-DE"/>
              </w:rPr>
              <w:t>***</w:t>
            </w:r>
          </w:p>
        </w:tc>
        <w:tc>
          <w:tcPr>
            <w:tcW w:w="1085" w:type="dxa"/>
            <w:tcBorders>
              <w:top w:val="dotted" w:sz="4" w:space="0" w:color="auto"/>
              <w:left w:val="single" w:sz="6" w:space="0" w:color="auto"/>
              <w:bottom w:val="dotted" w:sz="4" w:space="0" w:color="auto"/>
              <w:right w:val="single" w:sz="6" w:space="0" w:color="auto"/>
            </w:tcBorders>
            <w:shd w:val="clear" w:color="auto" w:fill="auto"/>
            <w:noWrap/>
            <w:vAlign w:val="bottom"/>
            <w:hideMark/>
          </w:tcPr>
          <w:p w14:paraId="55905D4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949</w:t>
            </w:r>
          </w:p>
          <w:p w14:paraId="1E56F1B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154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54</w:t>
            </w:r>
            <w:r w:rsidRPr="008E3E16">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6" w:space="0" w:color="auto"/>
              <w:bottom w:val="dotted" w:sz="4" w:space="0" w:color="auto"/>
              <w:right w:val="nil"/>
            </w:tcBorders>
            <w:shd w:val="clear" w:color="auto" w:fill="auto"/>
            <w:noWrap/>
            <w:vAlign w:val="bottom"/>
            <w:hideMark/>
          </w:tcPr>
          <w:p w14:paraId="0884B90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952</w:t>
            </w:r>
          </w:p>
          <w:p w14:paraId="66BBF5F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65</w:t>
            </w:r>
            <w:r w:rsidRPr="008E3E16">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12" w:space="0" w:color="auto"/>
            </w:tcBorders>
            <w:shd w:val="clear" w:color="auto" w:fill="auto"/>
            <w:noWrap/>
            <w:vAlign w:val="bottom"/>
            <w:hideMark/>
          </w:tcPr>
          <w:p w14:paraId="53D7370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950</w:t>
            </w:r>
          </w:p>
          <w:p w14:paraId="0266F9E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116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58</w:t>
            </w:r>
            <w:r w:rsidRPr="008E3E16">
              <w:rPr>
                <w:rFonts w:ascii="Times New Roman" w:eastAsia="Times New Roman" w:hAnsi="Times New Roman" w:cs="Times New Roman"/>
                <w:color w:val="000000"/>
                <w:sz w:val="20"/>
                <w:szCs w:val="20"/>
                <w:vertAlign w:val="superscript"/>
                <w:lang w:eastAsia="de-DE"/>
              </w:rPr>
              <w:t>***</w:t>
            </w:r>
          </w:p>
        </w:tc>
      </w:tr>
      <w:tr w:rsidR="004541ED" w:rsidRPr="007F425D" w14:paraId="4355D043" w14:textId="77777777" w:rsidTr="004541ED">
        <w:trPr>
          <w:trHeight w:val="300"/>
        </w:trPr>
        <w:tc>
          <w:tcPr>
            <w:tcW w:w="2567" w:type="dxa"/>
            <w:tcBorders>
              <w:top w:val="dotted" w:sz="4" w:space="0" w:color="auto"/>
              <w:left w:val="single" w:sz="12" w:space="0" w:color="auto"/>
              <w:bottom w:val="dotted" w:sz="4" w:space="0" w:color="auto"/>
              <w:right w:val="single" w:sz="4" w:space="0" w:color="auto"/>
            </w:tcBorders>
            <w:shd w:val="clear" w:color="auto" w:fill="auto"/>
            <w:noWrap/>
            <w:vAlign w:val="bottom"/>
            <w:hideMark/>
          </w:tcPr>
          <w:p w14:paraId="1B101F1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xml:space="preserve">EPC - G </w:t>
            </w:r>
            <w:r w:rsidRPr="007F425D">
              <w:rPr>
                <w:rFonts w:ascii="Times New Roman" w:eastAsia="Times New Roman" w:hAnsi="Times New Roman" w:cs="Times New Roman"/>
                <w:color w:val="000000"/>
                <w:sz w:val="20"/>
                <w:szCs w:val="20"/>
                <w:lang w:eastAsia="de-DE"/>
              </w:rPr>
              <w:br/>
              <w:t>(Ref: D)</w:t>
            </w:r>
          </w:p>
        </w:tc>
        <w:tc>
          <w:tcPr>
            <w:tcW w:w="1085" w:type="dxa"/>
            <w:tcBorders>
              <w:top w:val="dotted" w:sz="4" w:space="0" w:color="auto"/>
              <w:left w:val="nil"/>
              <w:bottom w:val="dotted" w:sz="4" w:space="0" w:color="auto"/>
              <w:right w:val="single" w:sz="6" w:space="0" w:color="auto"/>
            </w:tcBorders>
            <w:shd w:val="clear" w:color="auto" w:fill="FFFFFF" w:themeFill="background1"/>
            <w:vAlign w:val="bottom"/>
          </w:tcPr>
          <w:p w14:paraId="5484BBD2"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0</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893</w:t>
            </w:r>
          </w:p>
          <w:p w14:paraId="03264FAB"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413</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49</w:t>
            </w:r>
            <w:r w:rsidRPr="008E3E16">
              <w:rPr>
                <w:rFonts w:ascii="Times New Roman" w:hAnsi="Times New Roman" w:cs="Times New Roman"/>
                <w:color w:val="000000"/>
                <w:sz w:val="20"/>
                <w:szCs w:val="20"/>
                <w:vertAlign w:val="superscript"/>
              </w:rPr>
              <w:t>***</w:t>
            </w:r>
          </w:p>
        </w:tc>
        <w:tc>
          <w:tcPr>
            <w:tcW w:w="1085" w:type="dxa"/>
            <w:tcBorders>
              <w:top w:val="dotted" w:sz="4" w:space="0" w:color="auto"/>
              <w:left w:val="single" w:sz="6" w:space="0" w:color="auto"/>
              <w:bottom w:val="dotted" w:sz="4" w:space="0" w:color="auto"/>
              <w:right w:val="single" w:sz="4" w:space="0" w:color="auto"/>
            </w:tcBorders>
            <w:shd w:val="clear" w:color="auto" w:fill="auto"/>
            <w:noWrap/>
            <w:vAlign w:val="bottom"/>
            <w:hideMark/>
          </w:tcPr>
          <w:p w14:paraId="6FCB079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871</w:t>
            </w:r>
          </w:p>
          <w:p w14:paraId="5AEE4B9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141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690</w:t>
            </w:r>
            <w:r w:rsidRPr="008E3E16">
              <w:rPr>
                <w:rFonts w:ascii="Times New Roman" w:eastAsia="Times New Roman" w:hAnsi="Times New Roman" w:cs="Times New Roman"/>
                <w:color w:val="000000"/>
                <w:sz w:val="20"/>
                <w:szCs w:val="20"/>
                <w:vertAlign w:val="superscript"/>
                <w:lang w:eastAsia="de-DE"/>
              </w:rPr>
              <w:t>***</w:t>
            </w:r>
          </w:p>
        </w:tc>
        <w:tc>
          <w:tcPr>
            <w:tcW w:w="1118" w:type="dxa"/>
            <w:tcBorders>
              <w:top w:val="dotted" w:sz="4" w:space="0" w:color="auto"/>
              <w:left w:val="nil"/>
              <w:bottom w:val="dotted" w:sz="4" w:space="0" w:color="auto"/>
              <w:right w:val="nil"/>
            </w:tcBorders>
            <w:shd w:val="clear" w:color="auto" w:fill="auto"/>
            <w:noWrap/>
            <w:vAlign w:val="bottom"/>
            <w:hideMark/>
          </w:tcPr>
          <w:p w14:paraId="02D6279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894</w:t>
            </w:r>
          </w:p>
          <w:p w14:paraId="6CB96F8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070</w:t>
            </w:r>
            <w:r w:rsidRPr="008E3E16">
              <w:rPr>
                <w:rFonts w:ascii="Times New Roman" w:eastAsia="Times New Roman" w:hAnsi="Times New Roman" w:cs="Times New Roman"/>
                <w:color w:val="000000"/>
                <w:sz w:val="20"/>
                <w:szCs w:val="20"/>
                <w:vertAlign w:val="superscript"/>
                <w:lang w:eastAsia="de-DE"/>
              </w:rPr>
              <w:t>***</w:t>
            </w:r>
          </w:p>
        </w:tc>
        <w:tc>
          <w:tcPr>
            <w:tcW w:w="1234" w:type="dxa"/>
            <w:tcBorders>
              <w:top w:val="dotted" w:sz="4" w:space="0" w:color="auto"/>
              <w:left w:val="nil"/>
              <w:bottom w:val="dotted" w:sz="4" w:space="0" w:color="auto"/>
              <w:right w:val="single" w:sz="6" w:space="0" w:color="auto"/>
            </w:tcBorders>
            <w:shd w:val="clear" w:color="auto" w:fill="auto"/>
            <w:noWrap/>
            <w:vAlign w:val="bottom"/>
            <w:hideMark/>
          </w:tcPr>
          <w:p w14:paraId="20F82CD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859</w:t>
            </w:r>
          </w:p>
          <w:p w14:paraId="6BDD17A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110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830</w:t>
            </w:r>
            <w:r w:rsidRPr="008E3E16">
              <w:rPr>
                <w:rFonts w:ascii="Times New Roman" w:eastAsia="Times New Roman" w:hAnsi="Times New Roman" w:cs="Times New Roman"/>
                <w:color w:val="000000"/>
                <w:sz w:val="20"/>
                <w:szCs w:val="20"/>
                <w:vertAlign w:val="superscript"/>
                <w:lang w:eastAsia="de-DE"/>
              </w:rPr>
              <w:t>***</w:t>
            </w:r>
          </w:p>
        </w:tc>
        <w:tc>
          <w:tcPr>
            <w:tcW w:w="1085" w:type="dxa"/>
            <w:tcBorders>
              <w:top w:val="dotted" w:sz="4" w:space="0" w:color="auto"/>
              <w:left w:val="single" w:sz="6" w:space="0" w:color="auto"/>
              <w:bottom w:val="dotted" w:sz="4" w:space="0" w:color="auto"/>
              <w:right w:val="single" w:sz="6" w:space="0" w:color="auto"/>
            </w:tcBorders>
            <w:shd w:val="clear" w:color="auto" w:fill="auto"/>
            <w:noWrap/>
            <w:vAlign w:val="bottom"/>
            <w:hideMark/>
          </w:tcPr>
          <w:p w14:paraId="1BE27DC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903</w:t>
            </w:r>
          </w:p>
          <w:p w14:paraId="5AFFEFA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263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29</w:t>
            </w:r>
            <w:r w:rsidRPr="008E3E16">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6" w:space="0" w:color="auto"/>
              <w:bottom w:val="dotted" w:sz="4" w:space="0" w:color="auto"/>
              <w:right w:val="nil"/>
            </w:tcBorders>
            <w:shd w:val="clear" w:color="auto" w:fill="auto"/>
            <w:noWrap/>
            <w:vAlign w:val="bottom"/>
            <w:hideMark/>
          </w:tcPr>
          <w:p w14:paraId="279A4BB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865</w:t>
            </w:r>
          </w:p>
          <w:p w14:paraId="65566D3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121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99</w:t>
            </w:r>
            <w:r w:rsidRPr="008E3E16">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12" w:space="0" w:color="auto"/>
            </w:tcBorders>
            <w:shd w:val="clear" w:color="auto" w:fill="auto"/>
            <w:noWrap/>
            <w:vAlign w:val="bottom"/>
            <w:hideMark/>
          </w:tcPr>
          <w:p w14:paraId="3FA98FE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916</w:t>
            </w:r>
          </w:p>
          <w:p w14:paraId="670198F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147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80</w:t>
            </w:r>
            <w:r w:rsidRPr="008E3E16">
              <w:rPr>
                <w:rFonts w:ascii="Times New Roman" w:eastAsia="Times New Roman" w:hAnsi="Times New Roman" w:cs="Times New Roman"/>
                <w:color w:val="000000"/>
                <w:sz w:val="20"/>
                <w:szCs w:val="20"/>
                <w:vertAlign w:val="superscript"/>
                <w:lang w:eastAsia="de-DE"/>
              </w:rPr>
              <w:t>***</w:t>
            </w:r>
          </w:p>
        </w:tc>
      </w:tr>
      <w:tr w:rsidR="004541ED" w:rsidRPr="007F425D" w14:paraId="159063D9" w14:textId="77777777" w:rsidTr="004541ED">
        <w:trPr>
          <w:trHeight w:val="300"/>
        </w:trPr>
        <w:tc>
          <w:tcPr>
            <w:tcW w:w="2567" w:type="dxa"/>
            <w:tcBorders>
              <w:top w:val="dotted" w:sz="4" w:space="0" w:color="auto"/>
              <w:left w:val="single" w:sz="12" w:space="0" w:color="auto"/>
              <w:bottom w:val="single" w:sz="4" w:space="0" w:color="auto"/>
              <w:right w:val="single" w:sz="4" w:space="0" w:color="auto"/>
            </w:tcBorders>
            <w:shd w:val="clear" w:color="auto" w:fill="auto"/>
            <w:noWrap/>
            <w:vAlign w:val="bottom"/>
            <w:hideMark/>
          </w:tcPr>
          <w:p w14:paraId="4E236B5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xml:space="preserve">EPC - H </w:t>
            </w:r>
            <w:r w:rsidRPr="007F425D">
              <w:rPr>
                <w:rFonts w:ascii="Times New Roman" w:eastAsia="Times New Roman" w:hAnsi="Times New Roman" w:cs="Times New Roman"/>
                <w:color w:val="000000"/>
                <w:sz w:val="20"/>
                <w:szCs w:val="20"/>
                <w:lang w:eastAsia="de-DE"/>
              </w:rPr>
              <w:br/>
              <w:t>(Ref: D)</w:t>
            </w:r>
          </w:p>
        </w:tc>
        <w:tc>
          <w:tcPr>
            <w:tcW w:w="1085" w:type="dxa"/>
            <w:tcBorders>
              <w:top w:val="dotted" w:sz="4" w:space="0" w:color="auto"/>
              <w:left w:val="nil"/>
              <w:bottom w:val="single" w:sz="4" w:space="0" w:color="auto"/>
              <w:right w:val="single" w:sz="6" w:space="0" w:color="auto"/>
            </w:tcBorders>
            <w:shd w:val="clear" w:color="auto" w:fill="FFFFFF" w:themeFill="background1"/>
            <w:vAlign w:val="bottom"/>
          </w:tcPr>
          <w:p w14:paraId="3FD9A9A5"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0</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862</w:t>
            </w:r>
          </w:p>
          <w:p w14:paraId="1C4DEBE5"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278</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88</w:t>
            </w:r>
            <w:r w:rsidRPr="008E3E16">
              <w:rPr>
                <w:rFonts w:ascii="Times New Roman" w:hAnsi="Times New Roman" w:cs="Times New Roman"/>
                <w:color w:val="000000"/>
                <w:sz w:val="20"/>
                <w:szCs w:val="20"/>
                <w:vertAlign w:val="superscript"/>
              </w:rPr>
              <w:t>***</w:t>
            </w:r>
          </w:p>
        </w:tc>
        <w:tc>
          <w:tcPr>
            <w:tcW w:w="1085" w:type="dxa"/>
            <w:tcBorders>
              <w:top w:val="dotted" w:sz="4" w:space="0" w:color="auto"/>
              <w:left w:val="single" w:sz="6" w:space="0" w:color="auto"/>
              <w:bottom w:val="single" w:sz="4" w:space="0" w:color="auto"/>
              <w:right w:val="single" w:sz="4" w:space="0" w:color="auto"/>
            </w:tcBorders>
            <w:shd w:val="clear" w:color="auto" w:fill="auto"/>
            <w:noWrap/>
            <w:vAlign w:val="bottom"/>
            <w:hideMark/>
          </w:tcPr>
          <w:p w14:paraId="745F789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831</w:t>
            </w:r>
          </w:p>
          <w:p w14:paraId="0DA164B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97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680</w:t>
            </w:r>
            <w:r w:rsidRPr="008E3E16">
              <w:rPr>
                <w:rFonts w:ascii="Times New Roman" w:eastAsia="Times New Roman" w:hAnsi="Times New Roman" w:cs="Times New Roman"/>
                <w:color w:val="000000"/>
                <w:sz w:val="20"/>
                <w:szCs w:val="20"/>
                <w:vertAlign w:val="superscript"/>
                <w:lang w:eastAsia="de-DE"/>
              </w:rPr>
              <w:t>***</w:t>
            </w:r>
          </w:p>
        </w:tc>
        <w:tc>
          <w:tcPr>
            <w:tcW w:w="1118" w:type="dxa"/>
            <w:tcBorders>
              <w:top w:val="dotted" w:sz="4" w:space="0" w:color="auto"/>
              <w:left w:val="nil"/>
              <w:bottom w:val="single" w:sz="4" w:space="0" w:color="auto"/>
              <w:right w:val="nil"/>
            </w:tcBorders>
            <w:shd w:val="clear" w:color="auto" w:fill="auto"/>
            <w:noWrap/>
            <w:vAlign w:val="bottom"/>
            <w:hideMark/>
          </w:tcPr>
          <w:p w14:paraId="03A174B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829</w:t>
            </w:r>
          </w:p>
          <w:p w14:paraId="64070E6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720</w:t>
            </w:r>
            <w:r w:rsidRPr="008E3E16">
              <w:rPr>
                <w:rFonts w:ascii="Times New Roman" w:eastAsia="Times New Roman" w:hAnsi="Times New Roman" w:cs="Times New Roman"/>
                <w:color w:val="000000"/>
                <w:sz w:val="20"/>
                <w:szCs w:val="20"/>
                <w:vertAlign w:val="superscript"/>
                <w:lang w:eastAsia="de-DE"/>
              </w:rPr>
              <w:t>***</w:t>
            </w:r>
          </w:p>
        </w:tc>
        <w:tc>
          <w:tcPr>
            <w:tcW w:w="1234" w:type="dxa"/>
            <w:tcBorders>
              <w:top w:val="dotted" w:sz="4" w:space="0" w:color="auto"/>
              <w:left w:val="nil"/>
              <w:bottom w:val="single" w:sz="4" w:space="0" w:color="auto"/>
              <w:right w:val="single" w:sz="6" w:space="0" w:color="auto"/>
            </w:tcBorders>
            <w:shd w:val="clear" w:color="auto" w:fill="auto"/>
            <w:noWrap/>
            <w:vAlign w:val="bottom"/>
            <w:hideMark/>
          </w:tcPr>
          <w:p w14:paraId="7DBF9C2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828</w:t>
            </w:r>
          </w:p>
          <w:p w14:paraId="3AD6096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180</w:t>
            </w:r>
            <w:r w:rsidRPr="008E3E16">
              <w:rPr>
                <w:rFonts w:ascii="Times New Roman" w:eastAsia="Times New Roman" w:hAnsi="Times New Roman" w:cs="Times New Roman"/>
                <w:color w:val="000000"/>
                <w:sz w:val="20"/>
                <w:szCs w:val="20"/>
                <w:vertAlign w:val="superscript"/>
                <w:lang w:eastAsia="de-DE"/>
              </w:rPr>
              <w:t>***</w:t>
            </w:r>
          </w:p>
        </w:tc>
        <w:tc>
          <w:tcPr>
            <w:tcW w:w="1085" w:type="dxa"/>
            <w:tcBorders>
              <w:top w:val="dotted" w:sz="4" w:space="0" w:color="auto"/>
              <w:left w:val="single" w:sz="6" w:space="0" w:color="auto"/>
              <w:bottom w:val="single" w:sz="4" w:space="0" w:color="auto"/>
              <w:right w:val="single" w:sz="6" w:space="0" w:color="auto"/>
            </w:tcBorders>
            <w:shd w:val="clear" w:color="auto" w:fill="auto"/>
            <w:noWrap/>
            <w:vAlign w:val="bottom"/>
            <w:hideMark/>
          </w:tcPr>
          <w:p w14:paraId="4033F68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867</w:t>
            </w:r>
          </w:p>
          <w:p w14:paraId="248697A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194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99</w:t>
            </w:r>
            <w:r w:rsidRPr="008E3E16">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6" w:space="0" w:color="auto"/>
              <w:bottom w:val="single" w:sz="4" w:space="0" w:color="auto"/>
              <w:right w:val="nil"/>
            </w:tcBorders>
            <w:shd w:val="clear" w:color="auto" w:fill="auto"/>
            <w:noWrap/>
            <w:vAlign w:val="bottom"/>
            <w:hideMark/>
          </w:tcPr>
          <w:p w14:paraId="5A73C07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838</w:t>
            </w:r>
          </w:p>
          <w:p w14:paraId="25ACAD2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62</w:t>
            </w:r>
            <w:r w:rsidRPr="008E3E16">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single" w:sz="4" w:space="0" w:color="auto"/>
              <w:right w:val="single" w:sz="12" w:space="0" w:color="auto"/>
            </w:tcBorders>
            <w:shd w:val="clear" w:color="auto" w:fill="auto"/>
            <w:noWrap/>
            <w:vAlign w:val="bottom"/>
            <w:hideMark/>
          </w:tcPr>
          <w:p w14:paraId="6C7B123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877</w:t>
            </w:r>
          </w:p>
          <w:p w14:paraId="4876EDD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127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09</w:t>
            </w:r>
            <w:r w:rsidRPr="008E3E16">
              <w:rPr>
                <w:rFonts w:ascii="Times New Roman" w:eastAsia="Times New Roman" w:hAnsi="Times New Roman" w:cs="Times New Roman"/>
                <w:color w:val="000000"/>
                <w:sz w:val="20"/>
                <w:szCs w:val="20"/>
                <w:vertAlign w:val="superscript"/>
                <w:lang w:eastAsia="de-DE"/>
              </w:rPr>
              <w:t>***</w:t>
            </w:r>
          </w:p>
        </w:tc>
      </w:tr>
      <w:tr w:rsidR="004541ED" w:rsidRPr="007F425D" w14:paraId="54F2004B" w14:textId="77777777" w:rsidTr="004541ED">
        <w:trPr>
          <w:trHeight w:val="300"/>
        </w:trPr>
        <w:tc>
          <w:tcPr>
            <w:tcW w:w="2567" w:type="dxa"/>
            <w:tcBorders>
              <w:top w:val="single" w:sz="4" w:space="0" w:color="auto"/>
              <w:left w:val="single" w:sz="12" w:space="0" w:color="auto"/>
              <w:bottom w:val="dotted" w:sz="4" w:space="0" w:color="auto"/>
              <w:right w:val="single" w:sz="4" w:space="0" w:color="auto"/>
            </w:tcBorders>
            <w:shd w:val="clear" w:color="auto" w:fill="auto"/>
            <w:noWrap/>
            <w:vAlign w:val="center"/>
            <w:hideMark/>
          </w:tcPr>
          <w:p w14:paraId="5F533B85" w14:textId="77777777" w:rsidR="004541ED" w:rsidRPr="00287D08" w:rsidRDefault="004541ED" w:rsidP="004541ED">
            <w:pPr>
              <w:spacing w:after="0" w:line="240" w:lineRule="auto"/>
              <w:rPr>
                <w:rFonts w:ascii="Times New Roman" w:eastAsia="Times New Roman" w:hAnsi="Times New Roman" w:cs="Times New Roman"/>
                <w:color w:val="000000"/>
                <w:sz w:val="20"/>
                <w:szCs w:val="20"/>
                <w:lang w:val="sv-SE" w:eastAsia="de-DE"/>
              </w:rPr>
            </w:pPr>
            <w:r w:rsidRPr="00287D08">
              <w:rPr>
                <w:rFonts w:ascii="Times New Roman" w:eastAsia="Times New Roman" w:hAnsi="Times New Roman" w:cs="Times New Roman"/>
                <w:color w:val="000000"/>
                <w:sz w:val="20"/>
                <w:szCs w:val="20"/>
                <w:lang w:val="sv-SE" w:eastAsia="de-DE"/>
              </w:rPr>
              <w:t>Log asking rent €/p.m.</w:t>
            </w:r>
          </w:p>
        </w:tc>
        <w:tc>
          <w:tcPr>
            <w:tcW w:w="1085" w:type="dxa"/>
            <w:tcBorders>
              <w:top w:val="single" w:sz="4" w:space="0" w:color="auto"/>
              <w:left w:val="nil"/>
              <w:bottom w:val="dotted" w:sz="4" w:space="0" w:color="auto"/>
              <w:right w:val="single" w:sz="6" w:space="0" w:color="auto"/>
            </w:tcBorders>
            <w:shd w:val="clear" w:color="auto" w:fill="FFFFFF" w:themeFill="background1"/>
            <w:vAlign w:val="bottom"/>
          </w:tcPr>
          <w:p w14:paraId="171F464B"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1</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046</w:t>
            </w:r>
          </w:p>
          <w:p w14:paraId="25D87115"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57</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20</w:t>
            </w:r>
            <w:r w:rsidRPr="008E3E16">
              <w:rPr>
                <w:rFonts w:ascii="Times New Roman" w:hAnsi="Times New Roman" w:cs="Times New Roman"/>
                <w:color w:val="000000"/>
                <w:sz w:val="20"/>
                <w:szCs w:val="20"/>
                <w:vertAlign w:val="superscript"/>
              </w:rPr>
              <w:t>***</w:t>
            </w:r>
          </w:p>
        </w:tc>
        <w:tc>
          <w:tcPr>
            <w:tcW w:w="1085" w:type="dxa"/>
            <w:tcBorders>
              <w:top w:val="single" w:sz="4" w:space="0" w:color="auto"/>
              <w:left w:val="single" w:sz="6" w:space="0" w:color="auto"/>
              <w:bottom w:val="dotted" w:sz="4" w:space="0" w:color="auto"/>
              <w:right w:val="single" w:sz="4" w:space="0" w:color="auto"/>
            </w:tcBorders>
            <w:shd w:val="clear" w:color="auto" w:fill="auto"/>
            <w:noWrap/>
            <w:vAlign w:val="bottom"/>
            <w:hideMark/>
          </w:tcPr>
          <w:p w14:paraId="7B76F13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326</w:t>
            </w:r>
          </w:p>
          <w:p w14:paraId="1D0FD85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409</w:t>
            </w:r>
            <w:r w:rsidRPr="008E3E16">
              <w:rPr>
                <w:rFonts w:ascii="Times New Roman" w:eastAsia="Times New Roman" w:hAnsi="Times New Roman" w:cs="Times New Roman"/>
                <w:color w:val="000000"/>
                <w:sz w:val="20"/>
                <w:szCs w:val="20"/>
                <w:vertAlign w:val="superscript"/>
                <w:lang w:eastAsia="de-DE"/>
              </w:rPr>
              <w:t>***</w:t>
            </w:r>
          </w:p>
        </w:tc>
        <w:tc>
          <w:tcPr>
            <w:tcW w:w="1118" w:type="dxa"/>
            <w:tcBorders>
              <w:top w:val="single" w:sz="4" w:space="0" w:color="auto"/>
              <w:left w:val="nil"/>
              <w:bottom w:val="dotted" w:sz="4" w:space="0" w:color="auto"/>
              <w:right w:val="nil"/>
            </w:tcBorders>
            <w:shd w:val="clear" w:color="auto" w:fill="auto"/>
            <w:noWrap/>
            <w:vAlign w:val="bottom"/>
            <w:hideMark/>
          </w:tcPr>
          <w:p w14:paraId="03EB5F0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328</w:t>
            </w:r>
          </w:p>
          <w:p w14:paraId="77A9EFE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381</w:t>
            </w:r>
            <w:r w:rsidRPr="008E3E16">
              <w:rPr>
                <w:rFonts w:ascii="Times New Roman" w:eastAsia="Times New Roman" w:hAnsi="Times New Roman" w:cs="Times New Roman"/>
                <w:color w:val="000000"/>
                <w:sz w:val="20"/>
                <w:szCs w:val="20"/>
                <w:vertAlign w:val="superscript"/>
                <w:lang w:eastAsia="de-DE"/>
              </w:rPr>
              <w:t>***</w:t>
            </w:r>
          </w:p>
        </w:tc>
        <w:tc>
          <w:tcPr>
            <w:tcW w:w="1234" w:type="dxa"/>
            <w:tcBorders>
              <w:top w:val="single" w:sz="4" w:space="0" w:color="auto"/>
              <w:left w:val="nil"/>
              <w:bottom w:val="dotted" w:sz="4" w:space="0" w:color="auto"/>
              <w:right w:val="single" w:sz="6" w:space="0" w:color="auto"/>
            </w:tcBorders>
            <w:shd w:val="clear" w:color="auto" w:fill="auto"/>
            <w:noWrap/>
            <w:vAlign w:val="bottom"/>
            <w:hideMark/>
          </w:tcPr>
          <w:p w14:paraId="4D645E2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324</w:t>
            </w:r>
          </w:p>
          <w:p w14:paraId="1E7C1EA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023</w:t>
            </w:r>
            <w:r w:rsidRPr="008E3E16">
              <w:rPr>
                <w:rFonts w:ascii="Times New Roman" w:eastAsia="Times New Roman" w:hAnsi="Times New Roman" w:cs="Times New Roman"/>
                <w:color w:val="000000"/>
                <w:sz w:val="20"/>
                <w:szCs w:val="20"/>
                <w:vertAlign w:val="superscript"/>
                <w:lang w:eastAsia="de-DE"/>
              </w:rPr>
              <w:t>***</w:t>
            </w:r>
          </w:p>
        </w:tc>
        <w:tc>
          <w:tcPr>
            <w:tcW w:w="1085" w:type="dxa"/>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1AB0165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203</w:t>
            </w:r>
          </w:p>
          <w:p w14:paraId="70564AF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681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23</w:t>
            </w:r>
            <w:r w:rsidRPr="008E3E16">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single" w:sz="6" w:space="0" w:color="auto"/>
              <w:bottom w:val="dotted" w:sz="4" w:space="0" w:color="auto"/>
              <w:right w:val="nil"/>
            </w:tcBorders>
            <w:shd w:val="clear" w:color="auto" w:fill="auto"/>
            <w:noWrap/>
            <w:vAlign w:val="bottom"/>
            <w:hideMark/>
          </w:tcPr>
          <w:p w14:paraId="3985EDF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196</w:t>
            </w:r>
          </w:p>
          <w:p w14:paraId="62081F9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150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25</w:t>
            </w:r>
            <w:r w:rsidRPr="008E3E16">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nil"/>
              <w:bottom w:val="dotted" w:sz="4" w:space="0" w:color="auto"/>
              <w:right w:val="single" w:sz="12" w:space="0" w:color="auto"/>
            </w:tcBorders>
            <w:shd w:val="clear" w:color="auto" w:fill="auto"/>
            <w:noWrap/>
            <w:vAlign w:val="bottom"/>
            <w:hideMark/>
          </w:tcPr>
          <w:p w14:paraId="6CB0901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201</w:t>
            </w:r>
          </w:p>
          <w:p w14:paraId="4C93961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504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43</w:t>
            </w:r>
            <w:r w:rsidRPr="008E3E16">
              <w:rPr>
                <w:rFonts w:ascii="Times New Roman" w:eastAsia="Times New Roman" w:hAnsi="Times New Roman" w:cs="Times New Roman"/>
                <w:color w:val="000000"/>
                <w:sz w:val="20"/>
                <w:szCs w:val="20"/>
                <w:vertAlign w:val="superscript"/>
                <w:lang w:eastAsia="de-DE"/>
              </w:rPr>
              <w:t>***</w:t>
            </w:r>
          </w:p>
        </w:tc>
      </w:tr>
      <w:tr w:rsidR="004541ED" w:rsidRPr="007F425D" w14:paraId="3AAFB58C" w14:textId="77777777" w:rsidTr="004541ED">
        <w:trPr>
          <w:trHeight w:val="300"/>
        </w:trPr>
        <w:tc>
          <w:tcPr>
            <w:tcW w:w="2567" w:type="dxa"/>
            <w:tcBorders>
              <w:top w:val="dotted" w:sz="4" w:space="0" w:color="auto"/>
              <w:left w:val="single" w:sz="12" w:space="0" w:color="auto"/>
              <w:bottom w:val="dotted" w:sz="4" w:space="0" w:color="auto"/>
              <w:right w:val="single" w:sz="4" w:space="0" w:color="auto"/>
            </w:tcBorders>
            <w:shd w:val="clear" w:color="auto" w:fill="auto"/>
            <w:noWrap/>
            <w:vAlign w:val="center"/>
            <w:hideMark/>
          </w:tcPr>
          <w:p w14:paraId="6302147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Log living area m²</w:t>
            </w:r>
          </w:p>
        </w:tc>
        <w:tc>
          <w:tcPr>
            <w:tcW w:w="1085" w:type="dxa"/>
            <w:tcBorders>
              <w:top w:val="dotted" w:sz="4" w:space="0" w:color="auto"/>
              <w:left w:val="nil"/>
              <w:bottom w:val="dotted" w:sz="4" w:space="0" w:color="auto"/>
              <w:right w:val="single" w:sz="6" w:space="0" w:color="auto"/>
            </w:tcBorders>
            <w:shd w:val="clear" w:color="auto" w:fill="FFFFFF" w:themeFill="background1"/>
            <w:vAlign w:val="bottom"/>
          </w:tcPr>
          <w:p w14:paraId="61D7DD30"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2</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255</w:t>
            </w:r>
          </w:p>
          <w:p w14:paraId="314D70FA"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486</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52</w:t>
            </w:r>
            <w:r w:rsidRPr="008E3E16">
              <w:rPr>
                <w:rFonts w:ascii="Times New Roman" w:hAnsi="Times New Roman" w:cs="Times New Roman"/>
                <w:color w:val="000000"/>
                <w:sz w:val="20"/>
                <w:szCs w:val="20"/>
                <w:vertAlign w:val="superscript"/>
              </w:rPr>
              <w:t>***</w:t>
            </w:r>
          </w:p>
        </w:tc>
        <w:tc>
          <w:tcPr>
            <w:tcW w:w="1085" w:type="dxa"/>
            <w:tcBorders>
              <w:top w:val="dotted" w:sz="4" w:space="0" w:color="auto"/>
              <w:left w:val="single" w:sz="6" w:space="0" w:color="auto"/>
              <w:bottom w:val="dotted" w:sz="4" w:space="0" w:color="auto"/>
              <w:right w:val="single" w:sz="4" w:space="0" w:color="auto"/>
            </w:tcBorders>
            <w:shd w:val="clear" w:color="auto" w:fill="auto"/>
            <w:noWrap/>
            <w:vAlign w:val="bottom"/>
            <w:hideMark/>
          </w:tcPr>
          <w:p w14:paraId="02F3E7F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909</w:t>
            </w:r>
          </w:p>
          <w:p w14:paraId="62158FB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238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670</w:t>
            </w:r>
            <w:r w:rsidRPr="008E3E16">
              <w:rPr>
                <w:rFonts w:ascii="Times New Roman" w:eastAsia="Times New Roman" w:hAnsi="Times New Roman" w:cs="Times New Roman"/>
                <w:color w:val="000000"/>
                <w:sz w:val="20"/>
                <w:szCs w:val="20"/>
                <w:vertAlign w:val="superscript"/>
                <w:lang w:eastAsia="de-DE"/>
              </w:rPr>
              <w:t>***</w:t>
            </w:r>
          </w:p>
        </w:tc>
        <w:tc>
          <w:tcPr>
            <w:tcW w:w="1118" w:type="dxa"/>
            <w:tcBorders>
              <w:top w:val="dotted" w:sz="4" w:space="0" w:color="auto"/>
              <w:left w:val="nil"/>
              <w:bottom w:val="dotted" w:sz="4" w:space="0" w:color="auto"/>
              <w:right w:val="nil"/>
            </w:tcBorders>
            <w:shd w:val="clear" w:color="auto" w:fill="auto"/>
            <w:noWrap/>
            <w:vAlign w:val="bottom"/>
            <w:hideMark/>
          </w:tcPr>
          <w:p w14:paraId="703856A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449</w:t>
            </w:r>
          </w:p>
          <w:p w14:paraId="3C60FAF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640</w:t>
            </w:r>
            <w:r w:rsidRPr="008E3E16">
              <w:rPr>
                <w:rFonts w:ascii="Times New Roman" w:eastAsia="Times New Roman" w:hAnsi="Times New Roman" w:cs="Times New Roman"/>
                <w:color w:val="000000"/>
                <w:sz w:val="20"/>
                <w:szCs w:val="20"/>
                <w:vertAlign w:val="superscript"/>
                <w:lang w:eastAsia="de-DE"/>
              </w:rPr>
              <w:t>***</w:t>
            </w:r>
          </w:p>
        </w:tc>
        <w:tc>
          <w:tcPr>
            <w:tcW w:w="1234" w:type="dxa"/>
            <w:tcBorders>
              <w:top w:val="dotted" w:sz="4" w:space="0" w:color="auto"/>
              <w:left w:val="nil"/>
              <w:bottom w:val="dotted" w:sz="4" w:space="0" w:color="auto"/>
              <w:right w:val="single" w:sz="6" w:space="0" w:color="auto"/>
            </w:tcBorders>
            <w:shd w:val="clear" w:color="auto" w:fill="auto"/>
            <w:noWrap/>
            <w:vAlign w:val="bottom"/>
            <w:hideMark/>
          </w:tcPr>
          <w:p w14:paraId="6F89B04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150</w:t>
            </w:r>
          </w:p>
          <w:p w14:paraId="103C4AA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196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690</w:t>
            </w:r>
            <w:r w:rsidRPr="008E3E16">
              <w:rPr>
                <w:rFonts w:ascii="Times New Roman" w:eastAsia="Times New Roman" w:hAnsi="Times New Roman" w:cs="Times New Roman"/>
                <w:color w:val="000000"/>
                <w:sz w:val="20"/>
                <w:szCs w:val="20"/>
                <w:vertAlign w:val="superscript"/>
                <w:lang w:eastAsia="de-DE"/>
              </w:rPr>
              <w:t>***</w:t>
            </w:r>
          </w:p>
        </w:tc>
        <w:tc>
          <w:tcPr>
            <w:tcW w:w="1085" w:type="dxa"/>
            <w:tcBorders>
              <w:top w:val="dotted" w:sz="4" w:space="0" w:color="auto"/>
              <w:left w:val="single" w:sz="6" w:space="0" w:color="auto"/>
              <w:bottom w:val="dotted" w:sz="4" w:space="0" w:color="auto"/>
              <w:right w:val="single" w:sz="6" w:space="0" w:color="auto"/>
            </w:tcBorders>
            <w:shd w:val="clear" w:color="auto" w:fill="auto"/>
            <w:noWrap/>
            <w:vAlign w:val="bottom"/>
            <w:hideMark/>
          </w:tcPr>
          <w:p w14:paraId="74084DE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619</w:t>
            </w:r>
          </w:p>
          <w:p w14:paraId="7DA2102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472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w:t>
            </w:r>
            <w:r w:rsidRPr="008E3E16">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6" w:space="0" w:color="auto"/>
              <w:bottom w:val="dotted" w:sz="4" w:space="0" w:color="auto"/>
              <w:right w:val="nil"/>
            </w:tcBorders>
            <w:shd w:val="clear" w:color="auto" w:fill="auto"/>
            <w:noWrap/>
            <w:vAlign w:val="bottom"/>
            <w:hideMark/>
          </w:tcPr>
          <w:p w14:paraId="4D51A13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512</w:t>
            </w:r>
          </w:p>
          <w:p w14:paraId="4FA2DC7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100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38</w:t>
            </w:r>
            <w:r w:rsidRPr="008E3E16">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12" w:space="0" w:color="auto"/>
            </w:tcBorders>
            <w:shd w:val="clear" w:color="auto" w:fill="auto"/>
            <w:noWrap/>
            <w:vAlign w:val="bottom"/>
            <w:hideMark/>
          </w:tcPr>
          <w:p w14:paraId="35F0125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592</w:t>
            </w:r>
          </w:p>
          <w:p w14:paraId="55FBDF3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363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78</w:t>
            </w:r>
            <w:r w:rsidRPr="008E3E16">
              <w:rPr>
                <w:rFonts w:ascii="Times New Roman" w:eastAsia="Times New Roman" w:hAnsi="Times New Roman" w:cs="Times New Roman"/>
                <w:color w:val="000000"/>
                <w:sz w:val="20"/>
                <w:szCs w:val="20"/>
                <w:vertAlign w:val="superscript"/>
                <w:lang w:eastAsia="de-DE"/>
              </w:rPr>
              <w:t>***</w:t>
            </w:r>
          </w:p>
        </w:tc>
      </w:tr>
      <w:tr w:rsidR="004541ED" w:rsidRPr="007F425D" w14:paraId="07F3216A" w14:textId="77777777" w:rsidTr="004541ED">
        <w:trPr>
          <w:trHeight w:val="300"/>
        </w:trPr>
        <w:tc>
          <w:tcPr>
            <w:tcW w:w="2567" w:type="dxa"/>
            <w:tcBorders>
              <w:top w:val="dotted" w:sz="4" w:space="0" w:color="auto"/>
              <w:left w:val="single" w:sz="12" w:space="0" w:color="auto"/>
              <w:bottom w:val="dotted" w:sz="4" w:space="0" w:color="auto"/>
              <w:right w:val="single" w:sz="4" w:space="0" w:color="auto"/>
            </w:tcBorders>
            <w:shd w:val="clear" w:color="auto" w:fill="auto"/>
            <w:noWrap/>
            <w:vAlign w:val="center"/>
            <w:hideMark/>
          </w:tcPr>
          <w:p w14:paraId="01D490E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Age</w:t>
            </w:r>
          </w:p>
        </w:tc>
        <w:tc>
          <w:tcPr>
            <w:tcW w:w="1085" w:type="dxa"/>
            <w:tcBorders>
              <w:top w:val="dotted" w:sz="4" w:space="0" w:color="auto"/>
              <w:left w:val="nil"/>
              <w:bottom w:val="dotted" w:sz="4" w:space="0" w:color="auto"/>
              <w:right w:val="single" w:sz="6" w:space="0" w:color="auto"/>
            </w:tcBorders>
            <w:shd w:val="clear" w:color="auto" w:fill="FFFFFF" w:themeFill="background1"/>
            <w:vAlign w:val="bottom"/>
          </w:tcPr>
          <w:p w14:paraId="52C7CDFA"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0</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998</w:t>
            </w:r>
          </w:p>
          <w:p w14:paraId="5635C46A"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8</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67</w:t>
            </w:r>
            <w:r w:rsidRPr="008E3E16">
              <w:rPr>
                <w:rFonts w:ascii="Times New Roman" w:hAnsi="Times New Roman" w:cs="Times New Roman"/>
                <w:color w:val="000000"/>
                <w:sz w:val="20"/>
                <w:szCs w:val="20"/>
                <w:vertAlign w:val="superscript"/>
              </w:rPr>
              <w:t>***</w:t>
            </w:r>
          </w:p>
        </w:tc>
        <w:tc>
          <w:tcPr>
            <w:tcW w:w="1085" w:type="dxa"/>
            <w:tcBorders>
              <w:top w:val="dotted" w:sz="4" w:space="0" w:color="auto"/>
              <w:left w:val="single" w:sz="6" w:space="0" w:color="auto"/>
              <w:bottom w:val="dotted" w:sz="4" w:space="0" w:color="auto"/>
              <w:right w:val="single" w:sz="4" w:space="0" w:color="auto"/>
            </w:tcBorders>
            <w:shd w:val="clear" w:color="auto" w:fill="auto"/>
            <w:noWrap/>
            <w:vAlign w:val="bottom"/>
            <w:hideMark/>
          </w:tcPr>
          <w:p w14:paraId="67BD0A1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000</w:t>
            </w:r>
          </w:p>
          <w:p w14:paraId="5A3A2B8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170</w:t>
            </w:r>
          </w:p>
        </w:tc>
        <w:tc>
          <w:tcPr>
            <w:tcW w:w="1118" w:type="dxa"/>
            <w:tcBorders>
              <w:top w:val="dotted" w:sz="4" w:space="0" w:color="auto"/>
              <w:left w:val="nil"/>
              <w:bottom w:val="dotted" w:sz="4" w:space="0" w:color="auto"/>
              <w:right w:val="nil"/>
            </w:tcBorders>
            <w:shd w:val="clear" w:color="auto" w:fill="auto"/>
            <w:noWrap/>
            <w:vAlign w:val="bottom"/>
            <w:hideMark/>
          </w:tcPr>
          <w:p w14:paraId="04A4422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001</w:t>
            </w:r>
          </w:p>
          <w:p w14:paraId="2C8A3B1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390</w:t>
            </w:r>
          </w:p>
        </w:tc>
        <w:tc>
          <w:tcPr>
            <w:tcW w:w="1234" w:type="dxa"/>
            <w:tcBorders>
              <w:top w:val="dotted" w:sz="4" w:space="0" w:color="auto"/>
              <w:left w:val="nil"/>
              <w:bottom w:val="dotted" w:sz="4" w:space="0" w:color="auto"/>
              <w:right w:val="single" w:sz="6" w:space="0" w:color="auto"/>
            </w:tcBorders>
            <w:shd w:val="clear" w:color="auto" w:fill="auto"/>
            <w:noWrap/>
            <w:vAlign w:val="bottom"/>
            <w:hideMark/>
          </w:tcPr>
          <w:p w14:paraId="4E09BD4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000</w:t>
            </w:r>
          </w:p>
          <w:p w14:paraId="66AFBB3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260</w:t>
            </w:r>
          </w:p>
        </w:tc>
        <w:tc>
          <w:tcPr>
            <w:tcW w:w="1085" w:type="dxa"/>
            <w:tcBorders>
              <w:top w:val="dotted" w:sz="4" w:space="0" w:color="auto"/>
              <w:left w:val="single" w:sz="6" w:space="0" w:color="auto"/>
              <w:bottom w:val="dotted" w:sz="4" w:space="0" w:color="auto"/>
              <w:right w:val="single" w:sz="6" w:space="0" w:color="auto"/>
            </w:tcBorders>
            <w:shd w:val="clear" w:color="auto" w:fill="auto"/>
            <w:noWrap/>
            <w:vAlign w:val="bottom"/>
            <w:hideMark/>
          </w:tcPr>
          <w:p w14:paraId="7EAE061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999</w:t>
            </w:r>
          </w:p>
          <w:p w14:paraId="752BB94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310</w:t>
            </w:r>
            <w:r w:rsidRPr="008E3E16">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6" w:space="0" w:color="auto"/>
              <w:bottom w:val="dotted" w:sz="4" w:space="0" w:color="auto"/>
              <w:right w:val="nil"/>
            </w:tcBorders>
            <w:shd w:val="clear" w:color="auto" w:fill="auto"/>
            <w:noWrap/>
            <w:vAlign w:val="bottom"/>
            <w:hideMark/>
          </w:tcPr>
          <w:p w14:paraId="296ECED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998</w:t>
            </w:r>
          </w:p>
          <w:p w14:paraId="1B024BC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320</w:t>
            </w:r>
            <w:r w:rsidRPr="008E3E16">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12" w:space="0" w:color="auto"/>
            </w:tcBorders>
            <w:shd w:val="clear" w:color="auto" w:fill="auto"/>
            <w:noWrap/>
            <w:vAlign w:val="bottom"/>
            <w:hideMark/>
          </w:tcPr>
          <w:p w14:paraId="4220D45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999</w:t>
            </w:r>
          </w:p>
          <w:p w14:paraId="007E4A4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660</w:t>
            </w:r>
            <w:r w:rsidRPr="008E3E16">
              <w:rPr>
                <w:rFonts w:ascii="Times New Roman" w:eastAsia="Times New Roman" w:hAnsi="Times New Roman" w:cs="Times New Roman"/>
                <w:color w:val="000000"/>
                <w:sz w:val="20"/>
                <w:szCs w:val="20"/>
                <w:vertAlign w:val="superscript"/>
                <w:lang w:eastAsia="de-DE"/>
              </w:rPr>
              <w:t>*</w:t>
            </w:r>
          </w:p>
        </w:tc>
      </w:tr>
      <w:tr w:rsidR="004541ED" w:rsidRPr="007F425D" w14:paraId="1E1030A5" w14:textId="77777777" w:rsidTr="004541ED">
        <w:trPr>
          <w:trHeight w:val="300"/>
        </w:trPr>
        <w:tc>
          <w:tcPr>
            <w:tcW w:w="2567" w:type="dxa"/>
            <w:tcBorders>
              <w:top w:val="dotted" w:sz="4" w:space="0" w:color="auto"/>
              <w:left w:val="single" w:sz="12" w:space="0" w:color="auto"/>
              <w:bottom w:val="dotted" w:sz="4" w:space="0" w:color="auto"/>
              <w:right w:val="single" w:sz="4" w:space="0" w:color="auto"/>
            </w:tcBorders>
            <w:shd w:val="clear" w:color="auto" w:fill="auto"/>
            <w:noWrap/>
            <w:vAlign w:val="center"/>
            <w:hideMark/>
          </w:tcPr>
          <w:p w14:paraId="1555A0C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Number of rooms</w:t>
            </w:r>
          </w:p>
        </w:tc>
        <w:tc>
          <w:tcPr>
            <w:tcW w:w="1085" w:type="dxa"/>
            <w:tcBorders>
              <w:top w:val="dotted" w:sz="4" w:space="0" w:color="auto"/>
              <w:left w:val="nil"/>
              <w:bottom w:val="dotted" w:sz="4" w:space="0" w:color="auto"/>
              <w:right w:val="single" w:sz="6" w:space="0" w:color="auto"/>
            </w:tcBorders>
            <w:shd w:val="clear" w:color="auto" w:fill="FFFFFF" w:themeFill="background1"/>
            <w:vAlign w:val="bottom"/>
          </w:tcPr>
          <w:p w14:paraId="110592ED"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1</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078</w:t>
            </w:r>
          </w:p>
          <w:p w14:paraId="1DE258C4"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1</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214</w:t>
            </w:r>
            <w:r w:rsidRPr="008E3E16">
              <w:rPr>
                <w:rFonts w:ascii="Times New Roman" w:hAnsi="Times New Roman" w:cs="Times New Roman"/>
                <w:color w:val="000000"/>
                <w:sz w:val="20"/>
                <w:szCs w:val="20"/>
                <w:vertAlign w:val="superscript"/>
              </w:rPr>
              <w:t>***</w:t>
            </w:r>
          </w:p>
        </w:tc>
        <w:tc>
          <w:tcPr>
            <w:tcW w:w="1085" w:type="dxa"/>
            <w:tcBorders>
              <w:top w:val="dotted" w:sz="4" w:space="0" w:color="auto"/>
              <w:left w:val="single" w:sz="6" w:space="0" w:color="auto"/>
              <w:bottom w:val="dotted" w:sz="4" w:space="0" w:color="auto"/>
              <w:right w:val="single" w:sz="4" w:space="0" w:color="auto"/>
            </w:tcBorders>
            <w:shd w:val="clear" w:color="auto" w:fill="auto"/>
            <w:noWrap/>
            <w:vAlign w:val="bottom"/>
            <w:hideMark/>
          </w:tcPr>
          <w:p w14:paraId="0F741E0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173</w:t>
            </w:r>
          </w:p>
          <w:p w14:paraId="74B1957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004</w:t>
            </w:r>
            <w:r w:rsidRPr="008E3E16">
              <w:rPr>
                <w:rFonts w:ascii="Times New Roman" w:eastAsia="Times New Roman" w:hAnsi="Times New Roman" w:cs="Times New Roman"/>
                <w:color w:val="000000"/>
                <w:sz w:val="20"/>
                <w:szCs w:val="20"/>
                <w:vertAlign w:val="superscript"/>
                <w:lang w:eastAsia="de-DE"/>
              </w:rPr>
              <w:t>***</w:t>
            </w:r>
          </w:p>
        </w:tc>
        <w:tc>
          <w:tcPr>
            <w:tcW w:w="1118" w:type="dxa"/>
            <w:tcBorders>
              <w:top w:val="dotted" w:sz="4" w:space="0" w:color="auto"/>
              <w:left w:val="nil"/>
              <w:bottom w:val="dotted" w:sz="4" w:space="0" w:color="auto"/>
              <w:right w:val="nil"/>
            </w:tcBorders>
            <w:shd w:val="clear" w:color="auto" w:fill="auto"/>
            <w:noWrap/>
            <w:vAlign w:val="bottom"/>
            <w:hideMark/>
          </w:tcPr>
          <w:p w14:paraId="5BBF523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189</w:t>
            </w:r>
          </w:p>
          <w:p w14:paraId="55C25D7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398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77</w:t>
            </w:r>
            <w:r w:rsidRPr="008E3E16">
              <w:rPr>
                <w:rFonts w:ascii="Times New Roman" w:eastAsia="Times New Roman" w:hAnsi="Times New Roman" w:cs="Times New Roman"/>
                <w:color w:val="000000"/>
                <w:sz w:val="20"/>
                <w:szCs w:val="20"/>
                <w:vertAlign w:val="superscript"/>
                <w:lang w:eastAsia="de-DE"/>
              </w:rPr>
              <w:t>***</w:t>
            </w:r>
          </w:p>
        </w:tc>
        <w:tc>
          <w:tcPr>
            <w:tcW w:w="1234" w:type="dxa"/>
            <w:tcBorders>
              <w:top w:val="dotted" w:sz="4" w:space="0" w:color="auto"/>
              <w:left w:val="nil"/>
              <w:bottom w:val="dotted" w:sz="4" w:space="0" w:color="auto"/>
              <w:right w:val="single" w:sz="6" w:space="0" w:color="auto"/>
            </w:tcBorders>
            <w:shd w:val="clear" w:color="auto" w:fill="auto"/>
            <w:noWrap/>
            <w:vAlign w:val="bottom"/>
            <w:hideMark/>
          </w:tcPr>
          <w:p w14:paraId="1C87F19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168</w:t>
            </w:r>
          </w:p>
          <w:p w14:paraId="264B645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628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r w:rsidRPr="008E3E16">
              <w:rPr>
                <w:rFonts w:ascii="Times New Roman" w:eastAsia="Times New Roman" w:hAnsi="Times New Roman" w:cs="Times New Roman"/>
                <w:color w:val="000000"/>
                <w:sz w:val="20"/>
                <w:szCs w:val="20"/>
                <w:vertAlign w:val="superscript"/>
                <w:lang w:eastAsia="de-DE"/>
              </w:rPr>
              <w:t>***</w:t>
            </w:r>
          </w:p>
        </w:tc>
        <w:tc>
          <w:tcPr>
            <w:tcW w:w="1085" w:type="dxa"/>
            <w:tcBorders>
              <w:top w:val="dotted" w:sz="4" w:space="0" w:color="auto"/>
              <w:left w:val="single" w:sz="6" w:space="0" w:color="auto"/>
              <w:bottom w:val="dotted" w:sz="4" w:space="0" w:color="auto"/>
              <w:right w:val="single" w:sz="6" w:space="0" w:color="auto"/>
            </w:tcBorders>
            <w:shd w:val="clear" w:color="auto" w:fill="auto"/>
            <w:noWrap/>
            <w:vAlign w:val="bottom"/>
            <w:hideMark/>
          </w:tcPr>
          <w:p w14:paraId="3555A34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067</w:t>
            </w:r>
          </w:p>
          <w:p w14:paraId="316547F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734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97</w:t>
            </w:r>
            <w:r w:rsidRPr="008E3E16">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6" w:space="0" w:color="auto"/>
              <w:bottom w:val="dotted" w:sz="4" w:space="0" w:color="auto"/>
              <w:right w:val="nil"/>
            </w:tcBorders>
            <w:shd w:val="clear" w:color="auto" w:fill="auto"/>
            <w:noWrap/>
            <w:vAlign w:val="bottom"/>
            <w:hideMark/>
          </w:tcPr>
          <w:p w14:paraId="1587780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053</w:t>
            </w:r>
          </w:p>
          <w:p w14:paraId="0915349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114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w:t>
            </w:r>
            <w:r w:rsidRPr="008E3E16">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12" w:space="0" w:color="auto"/>
            </w:tcBorders>
            <w:shd w:val="clear" w:color="auto" w:fill="auto"/>
            <w:noWrap/>
            <w:vAlign w:val="bottom"/>
            <w:hideMark/>
          </w:tcPr>
          <w:p w14:paraId="0D900CC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073</w:t>
            </w:r>
          </w:p>
          <w:p w14:paraId="6A4617E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657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82</w:t>
            </w:r>
            <w:r w:rsidRPr="008E3E16">
              <w:rPr>
                <w:rFonts w:ascii="Times New Roman" w:eastAsia="Times New Roman" w:hAnsi="Times New Roman" w:cs="Times New Roman"/>
                <w:color w:val="000000"/>
                <w:sz w:val="20"/>
                <w:szCs w:val="20"/>
                <w:vertAlign w:val="superscript"/>
                <w:lang w:eastAsia="de-DE"/>
              </w:rPr>
              <w:t>***</w:t>
            </w:r>
          </w:p>
        </w:tc>
      </w:tr>
      <w:tr w:rsidR="004541ED" w:rsidRPr="007F425D" w14:paraId="72B25427" w14:textId="77777777" w:rsidTr="004541ED">
        <w:trPr>
          <w:trHeight w:val="300"/>
        </w:trPr>
        <w:tc>
          <w:tcPr>
            <w:tcW w:w="2567" w:type="dxa"/>
            <w:tcBorders>
              <w:top w:val="dotted" w:sz="4" w:space="0" w:color="auto"/>
              <w:left w:val="single" w:sz="12" w:space="0" w:color="auto"/>
              <w:bottom w:val="dotted" w:sz="4" w:space="0" w:color="auto"/>
              <w:right w:val="single" w:sz="4" w:space="0" w:color="auto"/>
            </w:tcBorders>
            <w:shd w:val="clear" w:color="auto" w:fill="auto"/>
            <w:noWrap/>
            <w:vAlign w:val="center"/>
            <w:hideMark/>
          </w:tcPr>
          <w:p w14:paraId="6E26EC1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Log number of households</w:t>
            </w:r>
            <w:r w:rsidRPr="007F425D">
              <w:rPr>
                <w:rFonts w:ascii="Times New Roman" w:eastAsia="Times New Roman" w:hAnsi="Times New Roman" w:cs="Times New Roman"/>
                <w:color w:val="000000"/>
                <w:sz w:val="20"/>
                <w:szCs w:val="20"/>
                <w:lang w:eastAsia="de-DE"/>
              </w:rPr>
              <w:br/>
              <w:t>in ZIP area</w:t>
            </w:r>
          </w:p>
        </w:tc>
        <w:tc>
          <w:tcPr>
            <w:tcW w:w="1085" w:type="dxa"/>
            <w:tcBorders>
              <w:top w:val="dotted" w:sz="4" w:space="0" w:color="auto"/>
              <w:left w:val="nil"/>
              <w:bottom w:val="dotted" w:sz="4" w:space="0" w:color="auto"/>
              <w:right w:val="single" w:sz="6" w:space="0" w:color="auto"/>
            </w:tcBorders>
            <w:shd w:val="clear" w:color="auto" w:fill="FFFFFF" w:themeFill="background1"/>
            <w:vAlign w:val="bottom"/>
          </w:tcPr>
          <w:p w14:paraId="663C8A31"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1</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14</w:t>
            </w:r>
          </w:p>
          <w:p w14:paraId="3B8E779B"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3</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272</w:t>
            </w:r>
            <w:r w:rsidRPr="008E3E16">
              <w:rPr>
                <w:rFonts w:ascii="Times New Roman" w:hAnsi="Times New Roman" w:cs="Times New Roman"/>
                <w:color w:val="000000"/>
                <w:sz w:val="20"/>
                <w:szCs w:val="20"/>
                <w:vertAlign w:val="superscript"/>
              </w:rPr>
              <w:t>***</w:t>
            </w:r>
          </w:p>
        </w:tc>
        <w:tc>
          <w:tcPr>
            <w:tcW w:w="1085" w:type="dxa"/>
            <w:tcBorders>
              <w:top w:val="dotted" w:sz="4" w:space="0" w:color="auto"/>
              <w:left w:val="single" w:sz="6" w:space="0" w:color="auto"/>
              <w:bottom w:val="dotted" w:sz="4" w:space="0" w:color="auto"/>
              <w:right w:val="single" w:sz="4" w:space="0" w:color="auto"/>
            </w:tcBorders>
            <w:shd w:val="clear" w:color="auto" w:fill="auto"/>
            <w:noWrap/>
            <w:vAlign w:val="bottom"/>
            <w:hideMark/>
          </w:tcPr>
          <w:p w14:paraId="638F4E2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002</w:t>
            </w:r>
          </w:p>
          <w:p w14:paraId="0BB6D82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070</w:t>
            </w:r>
          </w:p>
        </w:tc>
        <w:tc>
          <w:tcPr>
            <w:tcW w:w="1118" w:type="dxa"/>
            <w:tcBorders>
              <w:top w:val="dotted" w:sz="4" w:space="0" w:color="auto"/>
              <w:left w:val="nil"/>
              <w:bottom w:val="dotted" w:sz="4" w:space="0" w:color="auto"/>
              <w:right w:val="nil"/>
            </w:tcBorders>
            <w:shd w:val="clear" w:color="auto" w:fill="auto"/>
            <w:noWrap/>
            <w:vAlign w:val="bottom"/>
            <w:hideMark/>
          </w:tcPr>
          <w:p w14:paraId="008F5F2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000</w:t>
            </w:r>
          </w:p>
          <w:p w14:paraId="174164B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000</w:t>
            </w:r>
          </w:p>
        </w:tc>
        <w:tc>
          <w:tcPr>
            <w:tcW w:w="1234" w:type="dxa"/>
            <w:tcBorders>
              <w:top w:val="dotted" w:sz="4" w:space="0" w:color="auto"/>
              <w:left w:val="nil"/>
              <w:bottom w:val="dotted" w:sz="4" w:space="0" w:color="auto"/>
              <w:right w:val="single" w:sz="6" w:space="0" w:color="auto"/>
            </w:tcBorders>
            <w:shd w:val="clear" w:color="auto" w:fill="auto"/>
            <w:noWrap/>
            <w:vAlign w:val="bottom"/>
            <w:hideMark/>
          </w:tcPr>
          <w:p w14:paraId="42C146E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000</w:t>
            </w:r>
          </w:p>
          <w:p w14:paraId="0BCAC8E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000</w:t>
            </w:r>
          </w:p>
        </w:tc>
        <w:tc>
          <w:tcPr>
            <w:tcW w:w="1085" w:type="dxa"/>
            <w:tcBorders>
              <w:top w:val="dotted" w:sz="4" w:space="0" w:color="auto"/>
              <w:left w:val="single" w:sz="6" w:space="0" w:color="auto"/>
              <w:bottom w:val="dotted" w:sz="4" w:space="0" w:color="auto"/>
              <w:right w:val="single" w:sz="6" w:space="0" w:color="auto"/>
            </w:tcBorders>
            <w:shd w:val="clear" w:color="auto" w:fill="auto"/>
            <w:noWrap/>
            <w:vAlign w:val="bottom"/>
            <w:hideMark/>
          </w:tcPr>
          <w:p w14:paraId="7D8A1D2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143</w:t>
            </w:r>
          </w:p>
          <w:p w14:paraId="368C8BA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892</w:t>
            </w:r>
            <w:r w:rsidRPr="008E3E16">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6" w:space="0" w:color="auto"/>
              <w:bottom w:val="dotted" w:sz="4" w:space="0" w:color="auto"/>
              <w:right w:val="nil"/>
            </w:tcBorders>
            <w:shd w:val="clear" w:color="auto" w:fill="auto"/>
            <w:noWrap/>
            <w:vAlign w:val="bottom"/>
            <w:hideMark/>
          </w:tcPr>
          <w:p w14:paraId="48D73C1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12</w:t>
            </w:r>
          </w:p>
          <w:p w14:paraId="0429532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490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76</w:t>
            </w:r>
            <w:r w:rsidRPr="008E3E16">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12" w:space="0" w:color="auto"/>
            </w:tcBorders>
            <w:shd w:val="clear" w:color="auto" w:fill="auto"/>
            <w:noWrap/>
            <w:vAlign w:val="bottom"/>
            <w:hideMark/>
          </w:tcPr>
          <w:p w14:paraId="4068420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149</w:t>
            </w:r>
          </w:p>
          <w:p w14:paraId="7ABAFE1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2404</w:t>
            </w:r>
            <w:r w:rsidRPr="008E3E16">
              <w:rPr>
                <w:rFonts w:ascii="Times New Roman" w:eastAsia="Times New Roman" w:hAnsi="Times New Roman" w:cs="Times New Roman"/>
                <w:color w:val="000000"/>
                <w:sz w:val="20"/>
                <w:szCs w:val="20"/>
                <w:vertAlign w:val="superscript"/>
                <w:lang w:eastAsia="de-DE"/>
              </w:rPr>
              <w:t>***</w:t>
            </w:r>
          </w:p>
        </w:tc>
      </w:tr>
      <w:tr w:rsidR="004541ED" w:rsidRPr="007F425D" w14:paraId="58C0DB08" w14:textId="77777777" w:rsidTr="004541ED">
        <w:trPr>
          <w:trHeight w:val="300"/>
        </w:trPr>
        <w:tc>
          <w:tcPr>
            <w:tcW w:w="2567" w:type="dxa"/>
            <w:tcBorders>
              <w:top w:val="dotted" w:sz="4" w:space="0" w:color="auto"/>
              <w:left w:val="single" w:sz="12" w:space="0" w:color="auto"/>
              <w:bottom w:val="dotted" w:sz="4" w:space="0" w:color="auto"/>
              <w:right w:val="single" w:sz="4" w:space="0" w:color="auto"/>
            </w:tcBorders>
            <w:shd w:val="clear" w:color="auto" w:fill="auto"/>
            <w:noWrap/>
            <w:vAlign w:val="center"/>
            <w:hideMark/>
          </w:tcPr>
          <w:p w14:paraId="3E5344F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Log purchasing power of</w:t>
            </w:r>
            <w:r w:rsidRPr="007F425D">
              <w:rPr>
                <w:rFonts w:ascii="Times New Roman" w:eastAsia="Times New Roman" w:hAnsi="Times New Roman" w:cs="Times New Roman"/>
                <w:color w:val="000000"/>
                <w:sz w:val="20"/>
                <w:szCs w:val="20"/>
                <w:lang w:eastAsia="de-DE"/>
              </w:rPr>
              <w:br/>
              <w:t>household in ZIP area</w:t>
            </w:r>
          </w:p>
        </w:tc>
        <w:tc>
          <w:tcPr>
            <w:tcW w:w="1085" w:type="dxa"/>
            <w:tcBorders>
              <w:top w:val="dotted" w:sz="4" w:space="0" w:color="auto"/>
              <w:left w:val="nil"/>
              <w:bottom w:val="dotted" w:sz="4" w:space="0" w:color="auto"/>
              <w:right w:val="single" w:sz="6" w:space="0" w:color="auto"/>
            </w:tcBorders>
            <w:shd w:val="clear" w:color="auto" w:fill="FFFFFF" w:themeFill="background1"/>
            <w:vAlign w:val="bottom"/>
          </w:tcPr>
          <w:p w14:paraId="1B8AA29C"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1</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747</w:t>
            </w:r>
          </w:p>
          <w:p w14:paraId="308D0873"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3</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611</w:t>
            </w:r>
            <w:r w:rsidRPr="008E3E16">
              <w:rPr>
                <w:rFonts w:ascii="Times New Roman" w:hAnsi="Times New Roman" w:cs="Times New Roman"/>
                <w:color w:val="000000"/>
                <w:sz w:val="20"/>
                <w:szCs w:val="20"/>
                <w:vertAlign w:val="superscript"/>
              </w:rPr>
              <w:t>***</w:t>
            </w:r>
          </w:p>
        </w:tc>
        <w:tc>
          <w:tcPr>
            <w:tcW w:w="1085" w:type="dxa"/>
            <w:tcBorders>
              <w:top w:val="dotted" w:sz="4" w:space="0" w:color="auto"/>
              <w:left w:val="single" w:sz="6" w:space="0" w:color="auto"/>
              <w:bottom w:val="dotted" w:sz="4" w:space="0" w:color="auto"/>
              <w:right w:val="single" w:sz="4" w:space="0" w:color="auto"/>
            </w:tcBorders>
            <w:shd w:val="clear" w:color="auto" w:fill="auto"/>
            <w:noWrap/>
            <w:vAlign w:val="bottom"/>
            <w:hideMark/>
          </w:tcPr>
          <w:p w14:paraId="2D89EC1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335</w:t>
            </w:r>
          </w:p>
          <w:p w14:paraId="1F32C65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138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49</w:t>
            </w:r>
            <w:r w:rsidRPr="008E3E16">
              <w:rPr>
                <w:rFonts w:ascii="Times New Roman" w:eastAsia="Times New Roman" w:hAnsi="Times New Roman" w:cs="Times New Roman"/>
                <w:color w:val="000000"/>
                <w:sz w:val="20"/>
                <w:szCs w:val="20"/>
                <w:vertAlign w:val="superscript"/>
                <w:lang w:eastAsia="de-DE"/>
              </w:rPr>
              <w:t>***</w:t>
            </w:r>
          </w:p>
        </w:tc>
        <w:tc>
          <w:tcPr>
            <w:tcW w:w="1118" w:type="dxa"/>
            <w:tcBorders>
              <w:top w:val="dotted" w:sz="4" w:space="0" w:color="auto"/>
              <w:left w:val="nil"/>
              <w:bottom w:val="dotted" w:sz="4" w:space="0" w:color="auto"/>
              <w:right w:val="nil"/>
            </w:tcBorders>
            <w:shd w:val="clear" w:color="auto" w:fill="auto"/>
            <w:noWrap/>
            <w:vAlign w:val="bottom"/>
            <w:hideMark/>
          </w:tcPr>
          <w:p w14:paraId="79EF898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413</w:t>
            </w:r>
          </w:p>
          <w:p w14:paraId="757B503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730</w:t>
            </w:r>
            <w:r w:rsidRPr="008E3E16">
              <w:rPr>
                <w:rFonts w:ascii="Times New Roman" w:eastAsia="Times New Roman" w:hAnsi="Times New Roman" w:cs="Times New Roman"/>
                <w:color w:val="000000"/>
                <w:sz w:val="20"/>
                <w:szCs w:val="20"/>
                <w:vertAlign w:val="superscript"/>
                <w:lang w:eastAsia="de-DE"/>
              </w:rPr>
              <w:t>***</w:t>
            </w:r>
          </w:p>
        </w:tc>
        <w:tc>
          <w:tcPr>
            <w:tcW w:w="1234" w:type="dxa"/>
            <w:tcBorders>
              <w:top w:val="dotted" w:sz="4" w:space="0" w:color="auto"/>
              <w:left w:val="nil"/>
              <w:bottom w:val="dotted" w:sz="4" w:space="0" w:color="auto"/>
              <w:right w:val="single" w:sz="6" w:space="0" w:color="auto"/>
            </w:tcBorders>
            <w:shd w:val="clear" w:color="auto" w:fill="auto"/>
            <w:noWrap/>
            <w:vAlign w:val="bottom"/>
            <w:hideMark/>
          </w:tcPr>
          <w:p w14:paraId="16C2127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299</w:t>
            </w:r>
          </w:p>
          <w:p w14:paraId="2E4C5FF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940</w:t>
            </w:r>
            <w:r w:rsidRPr="008E3E16">
              <w:rPr>
                <w:rFonts w:ascii="Times New Roman" w:eastAsia="Times New Roman" w:hAnsi="Times New Roman" w:cs="Times New Roman"/>
                <w:color w:val="000000"/>
                <w:sz w:val="20"/>
                <w:szCs w:val="20"/>
                <w:vertAlign w:val="superscript"/>
                <w:lang w:eastAsia="de-DE"/>
              </w:rPr>
              <w:t>***</w:t>
            </w:r>
          </w:p>
        </w:tc>
        <w:tc>
          <w:tcPr>
            <w:tcW w:w="1085" w:type="dxa"/>
            <w:tcBorders>
              <w:top w:val="dotted" w:sz="4" w:space="0" w:color="auto"/>
              <w:left w:val="single" w:sz="6" w:space="0" w:color="auto"/>
              <w:bottom w:val="dotted" w:sz="4" w:space="0" w:color="auto"/>
              <w:right w:val="single" w:sz="6" w:space="0" w:color="auto"/>
            </w:tcBorders>
            <w:shd w:val="clear" w:color="auto" w:fill="auto"/>
            <w:noWrap/>
            <w:vAlign w:val="bottom"/>
            <w:hideMark/>
          </w:tcPr>
          <w:p w14:paraId="430B3C2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784</w:t>
            </w:r>
          </w:p>
          <w:p w14:paraId="2110B7A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175</w:t>
            </w:r>
            <w:r w:rsidRPr="008E3E16">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6" w:space="0" w:color="auto"/>
              <w:bottom w:val="dotted" w:sz="4" w:space="0" w:color="auto"/>
              <w:right w:val="nil"/>
            </w:tcBorders>
            <w:shd w:val="clear" w:color="auto" w:fill="auto"/>
            <w:noWrap/>
            <w:vAlign w:val="bottom"/>
            <w:hideMark/>
          </w:tcPr>
          <w:p w14:paraId="1962870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721</w:t>
            </w:r>
          </w:p>
          <w:p w14:paraId="73E370C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691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w:t>
            </w:r>
            <w:r w:rsidRPr="008E3E16">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12" w:space="0" w:color="auto"/>
            </w:tcBorders>
            <w:shd w:val="clear" w:color="auto" w:fill="auto"/>
            <w:noWrap/>
            <w:vAlign w:val="bottom"/>
            <w:hideMark/>
          </w:tcPr>
          <w:p w14:paraId="7769B26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796</w:t>
            </w:r>
          </w:p>
          <w:p w14:paraId="2CEE9B1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440</w:t>
            </w:r>
            <w:r w:rsidRPr="008E3E16">
              <w:rPr>
                <w:rFonts w:ascii="Times New Roman" w:eastAsia="Times New Roman" w:hAnsi="Times New Roman" w:cs="Times New Roman"/>
                <w:color w:val="000000"/>
                <w:sz w:val="20"/>
                <w:szCs w:val="20"/>
                <w:vertAlign w:val="superscript"/>
                <w:lang w:eastAsia="de-DE"/>
              </w:rPr>
              <w:t>***</w:t>
            </w:r>
          </w:p>
        </w:tc>
      </w:tr>
      <w:tr w:rsidR="004541ED" w:rsidRPr="007F425D" w14:paraId="59ACBCC1" w14:textId="77777777" w:rsidTr="004541ED">
        <w:trPr>
          <w:trHeight w:val="300"/>
        </w:trPr>
        <w:tc>
          <w:tcPr>
            <w:tcW w:w="2567" w:type="dxa"/>
            <w:tcBorders>
              <w:top w:val="dotted" w:sz="4" w:space="0" w:color="auto"/>
              <w:left w:val="single" w:sz="12" w:space="0" w:color="auto"/>
              <w:bottom w:val="dotted" w:sz="4" w:space="0" w:color="auto"/>
              <w:right w:val="single" w:sz="4" w:space="0" w:color="auto"/>
            </w:tcBorders>
            <w:shd w:val="clear" w:color="auto" w:fill="auto"/>
            <w:noWrap/>
            <w:vAlign w:val="center"/>
            <w:hideMark/>
          </w:tcPr>
          <w:p w14:paraId="799FB0A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Log distance to ZIP centroid</w:t>
            </w:r>
            <w:r w:rsidRPr="007F425D">
              <w:rPr>
                <w:rFonts w:ascii="Times New Roman" w:eastAsia="Times New Roman" w:hAnsi="Times New Roman" w:cs="Times New Roman"/>
                <w:color w:val="000000"/>
                <w:sz w:val="20"/>
                <w:szCs w:val="20"/>
                <w:lang w:eastAsia="de-DE"/>
              </w:rPr>
              <w:br/>
              <w:t>in Km.</w:t>
            </w:r>
          </w:p>
        </w:tc>
        <w:tc>
          <w:tcPr>
            <w:tcW w:w="1085" w:type="dxa"/>
            <w:tcBorders>
              <w:top w:val="dotted" w:sz="4" w:space="0" w:color="auto"/>
              <w:left w:val="nil"/>
              <w:bottom w:val="dotted" w:sz="4" w:space="0" w:color="auto"/>
              <w:right w:val="single" w:sz="6" w:space="0" w:color="auto"/>
            </w:tcBorders>
            <w:shd w:val="clear" w:color="auto" w:fill="FFFFFF" w:themeFill="background1"/>
            <w:vAlign w:val="bottom"/>
          </w:tcPr>
          <w:p w14:paraId="7E48BBF9"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0</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990</w:t>
            </w:r>
          </w:p>
          <w:p w14:paraId="47604069"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5</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45</w:t>
            </w:r>
            <w:r w:rsidRPr="008E3E16">
              <w:rPr>
                <w:rFonts w:ascii="Times New Roman" w:hAnsi="Times New Roman" w:cs="Times New Roman"/>
                <w:color w:val="000000"/>
                <w:sz w:val="20"/>
                <w:szCs w:val="20"/>
                <w:vertAlign w:val="superscript"/>
              </w:rPr>
              <w:t>**</w:t>
            </w:r>
          </w:p>
        </w:tc>
        <w:tc>
          <w:tcPr>
            <w:tcW w:w="1085" w:type="dxa"/>
            <w:tcBorders>
              <w:top w:val="dotted" w:sz="4" w:space="0" w:color="auto"/>
              <w:left w:val="single" w:sz="6" w:space="0" w:color="auto"/>
              <w:bottom w:val="dotted" w:sz="4" w:space="0" w:color="auto"/>
              <w:right w:val="single" w:sz="4" w:space="0" w:color="auto"/>
            </w:tcBorders>
            <w:shd w:val="clear" w:color="auto" w:fill="auto"/>
            <w:noWrap/>
            <w:vAlign w:val="bottom"/>
            <w:hideMark/>
          </w:tcPr>
          <w:p w14:paraId="5293C6D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958</w:t>
            </w:r>
          </w:p>
          <w:p w14:paraId="0A40505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030</w:t>
            </w:r>
            <w:r w:rsidRPr="008E3E16">
              <w:rPr>
                <w:rFonts w:ascii="Times New Roman" w:eastAsia="Times New Roman" w:hAnsi="Times New Roman" w:cs="Times New Roman"/>
                <w:color w:val="000000"/>
                <w:sz w:val="20"/>
                <w:szCs w:val="20"/>
                <w:vertAlign w:val="superscript"/>
                <w:lang w:eastAsia="de-DE"/>
              </w:rPr>
              <w:t>***</w:t>
            </w:r>
          </w:p>
        </w:tc>
        <w:tc>
          <w:tcPr>
            <w:tcW w:w="1118" w:type="dxa"/>
            <w:tcBorders>
              <w:top w:val="dotted" w:sz="4" w:space="0" w:color="auto"/>
              <w:left w:val="nil"/>
              <w:bottom w:val="dotted" w:sz="4" w:space="0" w:color="auto"/>
              <w:right w:val="nil"/>
            </w:tcBorders>
            <w:shd w:val="clear" w:color="auto" w:fill="auto"/>
            <w:noWrap/>
            <w:vAlign w:val="bottom"/>
            <w:hideMark/>
          </w:tcPr>
          <w:p w14:paraId="60570DD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934</w:t>
            </w:r>
          </w:p>
          <w:p w14:paraId="06BA009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930</w:t>
            </w:r>
            <w:r w:rsidRPr="008E3E16">
              <w:rPr>
                <w:rFonts w:ascii="Times New Roman" w:eastAsia="Times New Roman" w:hAnsi="Times New Roman" w:cs="Times New Roman"/>
                <w:color w:val="000000"/>
                <w:sz w:val="20"/>
                <w:szCs w:val="20"/>
                <w:vertAlign w:val="superscript"/>
                <w:lang w:eastAsia="de-DE"/>
              </w:rPr>
              <w:t>***</w:t>
            </w:r>
          </w:p>
        </w:tc>
        <w:tc>
          <w:tcPr>
            <w:tcW w:w="1234" w:type="dxa"/>
            <w:tcBorders>
              <w:top w:val="dotted" w:sz="4" w:space="0" w:color="auto"/>
              <w:left w:val="nil"/>
              <w:bottom w:val="dotted" w:sz="4" w:space="0" w:color="auto"/>
              <w:right w:val="single" w:sz="6" w:space="0" w:color="auto"/>
            </w:tcBorders>
            <w:shd w:val="clear" w:color="auto" w:fill="auto"/>
            <w:noWrap/>
            <w:vAlign w:val="bottom"/>
            <w:hideMark/>
          </w:tcPr>
          <w:p w14:paraId="28B474E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974</w:t>
            </w:r>
          </w:p>
          <w:p w14:paraId="2DF5543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370</w:t>
            </w:r>
          </w:p>
        </w:tc>
        <w:tc>
          <w:tcPr>
            <w:tcW w:w="1085" w:type="dxa"/>
            <w:tcBorders>
              <w:top w:val="dotted" w:sz="4" w:space="0" w:color="auto"/>
              <w:left w:val="single" w:sz="6" w:space="0" w:color="auto"/>
              <w:bottom w:val="dotted" w:sz="4" w:space="0" w:color="auto"/>
              <w:right w:val="single" w:sz="6" w:space="0" w:color="auto"/>
            </w:tcBorders>
            <w:shd w:val="clear" w:color="auto" w:fill="auto"/>
            <w:noWrap/>
            <w:vAlign w:val="bottom"/>
            <w:hideMark/>
          </w:tcPr>
          <w:p w14:paraId="37AC0EA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987</w:t>
            </w:r>
          </w:p>
          <w:p w14:paraId="5EBB0C9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030</w:t>
            </w:r>
            <w:r w:rsidRPr="008E3E16">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6" w:space="0" w:color="auto"/>
              <w:bottom w:val="dotted" w:sz="4" w:space="0" w:color="auto"/>
              <w:right w:val="nil"/>
            </w:tcBorders>
            <w:shd w:val="clear" w:color="auto" w:fill="auto"/>
            <w:noWrap/>
            <w:vAlign w:val="bottom"/>
            <w:hideMark/>
          </w:tcPr>
          <w:p w14:paraId="48DFA4B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989</w:t>
            </w:r>
          </w:p>
          <w:p w14:paraId="46C018B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290</w:t>
            </w:r>
          </w:p>
        </w:tc>
        <w:tc>
          <w:tcPr>
            <w:tcW w:w="0" w:type="auto"/>
            <w:tcBorders>
              <w:top w:val="dotted" w:sz="4" w:space="0" w:color="auto"/>
              <w:left w:val="nil"/>
              <w:bottom w:val="dotted" w:sz="4" w:space="0" w:color="auto"/>
              <w:right w:val="single" w:sz="12" w:space="0" w:color="auto"/>
            </w:tcBorders>
            <w:shd w:val="clear" w:color="auto" w:fill="auto"/>
            <w:noWrap/>
            <w:vAlign w:val="bottom"/>
            <w:hideMark/>
          </w:tcPr>
          <w:p w14:paraId="528007F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985</w:t>
            </w:r>
          </w:p>
          <w:p w14:paraId="14BE0AB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910</w:t>
            </w:r>
            <w:r w:rsidRPr="008E3E16">
              <w:rPr>
                <w:rFonts w:ascii="Times New Roman" w:eastAsia="Times New Roman" w:hAnsi="Times New Roman" w:cs="Times New Roman"/>
                <w:color w:val="000000"/>
                <w:sz w:val="20"/>
                <w:szCs w:val="20"/>
                <w:vertAlign w:val="superscript"/>
                <w:lang w:eastAsia="de-DE"/>
              </w:rPr>
              <w:t>***</w:t>
            </w:r>
          </w:p>
        </w:tc>
      </w:tr>
      <w:tr w:rsidR="004541ED" w:rsidRPr="007F425D" w14:paraId="157D2DB1" w14:textId="77777777" w:rsidTr="004541ED">
        <w:trPr>
          <w:trHeight w:val="300"/>
        </w:trPr>
        <w:tc>
          <w:tcPr>
            <w:tcW w:w="2567" w:type="dxa"/>
            <w:tcBorders>
              <w:top w:val="dotted" w:sz="4" w:space="0" w:color="auto"/>
              <w:left w:val="single" w:sz="12" w:space="0" w:color="auto"/>
              <w:bottom w:val="single" w:sz="4" w:space="0" w:color="auto"/>
              <w:right w:val="single" w:sz="4" w:space="0" w:color="auto"/>
            </w:tcBorders>
            <w:shd w:val="clear" w:color="auto" w:fill="auto"/>
            <w:noWrap/>
            <w:vAlign w:val="center"/>
            <w:hideMark/>
          </w:tcPr>
          <w:p w14:paraId="52D2288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xml:space="preserve">Log distance to municipality </w:t>
            </w:r>
            <w:r w:rsidRPr="007F425D">
              <w:rPr>
                <w:rFonts w:ascii="Times New Roman" w:eastAsia="Times New Roman" w:hAnsi="Times New Roman" w:cs="Times New Roman"/>
                <w:color w:val="000000"/>
                <w:sz w:val="20"/>
                <w:szCs w:val="20"/>
                <w:lang w:eastAsia="de-DE"/>
              </w:rPr>
              <w:br/>
              <w:t>centroid in Km.</w:t>
            </w:r>
          </w:p>
        </w:tc>
        <w:tc>
          <w:tcPr>
            <w:tcW w:w="1085" w:type="dxa"/>
            <w:tcBorders>
              <w:top w:val="dotted" w:sz="4" w:space="0" w:color="auto"/>
              <w:left w:val="nil"/>
              <w:bottom w:val="single" w:sz="4" w:space="0" w:color="auto"/>
              <w:right w:val="single" w:sz="6" w:space="0" w:color="auto"/>
            </w:tcBorders>
            <w:shd w:val="clear" w:color="auto" w:fill="FFFFFF" w:themeFill="background1"/>
            <w:vAlign w:val="bottom"/>
          </w:tcPr>
          <w:p w14:paraId="6368C862"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0</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917</w:t>
            </w:r>
          </w:p>
          <w:p w14:paraId="45DC4A8B"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2</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699</w:t>
            </w:r>
            <w:r w:rsidRPr="008E3E16">
              <w:rPr>
                <w:rFonts w:ascii="Times New Roman" w:hAnsi="Times New Roman" w:cs="Times New Roman"/>
                <w:color w:val="000000"/>
                <w:sz w:val="20"/>
                <w:szCs w:val="20"/>
                <w:vertAlign w:val="superscript"/>
              </w:rPr>
              <w:t>***</w:t>
            </w:r>
          </w:p>
        </w:tc>
        <w:tc>
          <w:tcPr>
            <w:tcW w:w="1085" w:type="dxa"/>
            <w:tcBorders>
              <w:top w:val="dotted" w:sz="4" w:space="0" w:color="auto"/>
              <w:left w:val="single" w:sz="6" w:space="0" w:color="auto"/>
              <w:bottom w:val="single" w:sz="4" w:space="0" w:color="auto"/>
              <w:right w:val="single" w:sz="4" w:space="0" w:color="auto"/>
            </w:tcBorders>
            <w:shd w:val="clear" w:color="auto" w:fill="auto"/>
            <w:noWrap/>
            <w:vAlign w:val="bottom"/>
            <w:hideMark/>
          </w:tcPr>
          <w:p w14:paraId="2F24826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806</w:t>
            </w:r>
          </w:p>
          <w:p w14:paraId="26AB5CF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512</w:t>
            </w:r>
            <w:r w:rsidRPr="008E3E16">
              <w:rPr>
                <w:rFonts w:ascii="Times New Roman" w:eastAsia="Times New Roman" w:hAnsi="Times New Roman" w:cs="Times New Roman"/>
                <w:color w:val="000000"/>
                <w:sz w:val="20"/>
                <w:szCs w:val="20"/>
                <w:vertAlign w:val="superscript"/>
                <w:lang w:eastAsia="de-DE"/>
              </w:rPr>
              <w:t>***</w:t>
            </w:r>
          </w:p>
        </w:tc>
        <w:tc>
          <w:tcPr>
            <w:tcW w:w="1118" w:type="dxa"/>
            <w:tcBorders>
              <w:top w:val="dotted" w:sz="4" w:space="0" w:color="auto"/>
              <w:left w:val="nil"/>
              <w:bottom w:val="single" w:sz="4" w:space="0" w:color="auto"/>
              <w:right w:val="nil"/>
            </w:tcBorders>
            <w:shd w:val="clear" w:color="auto" w:fill="auto"/>
            <w:noWrap/>
            <w:vAlign w:val="bottom"/>
            <w:hideMark/>
          </w:tcPr>
          <w:p w14:paraId="171A6EB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842</w:t>
            </w:r>
          </w:p>
          <w:p w14:paraId="6C16F79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327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14</w:t>
            </w:r>
            <w:r w:rsidRPr="008E3E16">
              <w:rPr>
                <w:rFonts w:ascii="Times New Roman" w:eastAsia="Times New Roman" w:hAnsi="Times New Roman" w:cs="Times New Roman"/>
                <w:color w:val="000000"/>
                <w:sz w:val="20"/>
                <w:szCs w:val="20"/>
                <w:vertAlign w:val="superscript"/>
                <w:lang w:eastAsia="de-DE"/>
              </w:rPr>
              <w:t>***</w:t>
            </w:r>
          </w:p>
        </w:tc>
        <w:tc>
          <w:tcPr>
            <w:tcW w:w="1234" w:type="dxa"/>
            <w:tcBorders>
              <w:top w:val="dotted" w:sz="4" w:space="0" w:color="auto"/>
              <w:left w:val="nil"/>
              <w:bottom w:val="single" w:sz="4" w:space="0" w:color="auto"/>
              <w:right w:val="single" w:sz="6" w:space="0" w:color="auto"/>
            </w:tcBorders>
            <w:shd w:val="clear" w:color="auto" w:fill="auto"/>
            <w:noWrap/>
            <w:vAlign w:val="bottom"/>
            <w:hideMark/>
          </w:tcPr>
          <w:p w14:paraId="4824444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789</w:t>
            </w:r>
          </w:p>
          <w:p w14:paraId="325C201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196</w:t>
            </w:r>
            <w:r w:rsidRPr="008E3E16">
              <w:rPr>
                <w:rFonts w:ascii="Times New Roman" w:eastAsia="Times New Roman" w:hAnsi="Times New Roman" w:cs="Times New Roman"/>
                <w:color w:val="000000"/>
                <w:sz w:val="20"/>
                <w:szCs w:val="20"/>
                <w:vertAlign w:val="superscript"/>
                <w:lang w:eastAsia="de-DE"/>
              </w:rPr>
              <w:t>***</w:t>
            </w:r>
          </w:p>
        </w:tc>
        <w:tc>
          <w:tcPr>
            <w:tcW w:w="1085" w:type="dxa"/>
            <w:tcBorders>
              <w:top w:val="dotted" w:sz="4" w:space="0" w:color="auto"/>
              <w:left w:val="single" w:sz="6" w:space="0" w:color="auto"/>
              <w:bottom w:val="single" w:sz="4" w:space="0" w:color="auto"/>
              <w:right w:val="single" w:sz="6" w:space="0" w:color="auto"/>
            </w:tcBorders>
            <w:shd w:val="clear" w:color="auto" w:fill="auto"/>
            <w:noWrap/>
            <w:vAlign w:val="bottom"/>
            <w:hideMark/>
          </w:tcPr>
          <w:p w14:paraId="134843C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928</w:t>
            </w:r>
          </w:p>
          <w:p w14:paraId="565D54A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770</w:t>
            </w:r>
            <w:r w:rsidRPr="008E3E16">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6" w:space="0" w:color="auto"/>
              <w:bottom w:val="single" w:sz="4" w:space="0" w:color="auto"/>
              <w:right w:val="nil"/>
            </w:tcBorders>
            <w:shd w:val="clear" w:color="auto" w:fill="auto"/>
            <w:noWrap/>
            <w:vAlign w:val="bottom"/>
            <w:hideMark/>
          </w:tcPr>
          <w:p w14:paraId="5585745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936</w:t>
            </w:r>
          </w:p>
          <w:p w14:paraId="7BCC259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325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17</w:t>
            </w:r>
            <w:r w:rsidRPr="008E3E16">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single" w:sz="4" w:space="0" w:color="auto"/>
              <w:right w:val="single" w:sz="12" w:space="0" w:color="auto"/>
            </w:tcBorders>
            <w:shd w:val="clear" w:color="auto" w:fill="auto"/>
            <w:noWrap/>
            <w:vAlign w:val="bottom"/>
            <w:hideMark/>
          </w:tcPr>
          <w:p w14:paraId="61CBB7D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926</w:t>
            </w:r>
          </w:p>
          <w:p w14:paraId="5F59DCE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410</w:t>
            </w:r>
            <w:r w:rsidRPr="008E3E16">
              <w:rPr>
                <w:rFonts w:ascii="Times New Roman" w:eastAsia="Times New Roman" w:hAnsi="Times New Roman" w:cs="Times New Roman"/>
                <w:color w:val="000000"/>
                <w:sz w:val="20"/>
                <w:szCs w:val="20"/>
                <w:vertAlign w:val="superscript"/>
                <w:lang w:eastAsia="de-DE"/>
              </w:rPr>
              <w:t>***</w:t>
            </w:r>
          </w:p>
        </w:tc>
      </w:tr>
      <w:tr w:rsidR="004541ED" w:rsidRPr="007F425D" w14:paraId="7528351B" w14:textId="77777777" w:rsidTr="004541ED">
        <w:trPr>
          <w:trHeight w:val="300"/>
        </w:trPr>
        <w:tc>
          <w:tcPr>
            <w:tcW w:w="2567" w:type="dxa"/>
            <w:tcBorders>
              <w:top w:val="single" w:sz="4" w:space="0" w:color="auto"/>
              <w:left w:val="single" w:sz="12" w:space="0" w:color="auto"/>
              <w:bottom w:val="dotted" w:sz="4" w:space="0" w:color="auto"/>
              <w:right w:val="single" w:sz="4" w:space="0" w:color="auto"/>
            </w:tcBorders>
            <w:shd w:val="clear" w:color="auto" w:fill="auto"/>
            <w:noWrap/>
            <w:vAlign w:val="center"/>
            <w:hideMark/>
          </w:tcPr>
          <w:p w14:paraId="7E4E9E9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With bathtub</w:t>
            </w:r>
          </w:p>
        </w:tc>
        <w:tc>
          <w:tcPr>
            <w:tcW w:w="1085" w:type="dxa"/>
            <w:tcBorders>
              <w:top w:val="single" w:sz="4" w:space="0" w:color="auto"/>
              <w:left w:val="nil"/>
              <w:bottom w:val="dotted" w:sz="4" w:space="0" w:color="auto"/>
              <w:right w:val="single" w:sz="6" w:space="0" w:color="auto"/>
            </w:tcBorders>
            <w:shd w:val="clear" w:color="auto" w:fill="FFFFFF" w:themeFill="background1"/>
            <w:vAlign w:val="bottom"/>
          </w:tcPr>
          <w:p w14:paraId="2927D988"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0</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901</w:t>
            </w:r>
          </w:p>
          <w:p w14:paraId="78D110D7"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1</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945</w:t>
            </w:r>
            <w:r w:rsidRPr="008E3E16">
              <w:rPr>
                <w:rFonts w:ascii="Times New Roman" w:hAnsi="Times New Roman" w:cs="Times New Roman"/>
                <w:color w:val="000000"/>
                <w:sz w:val="20"/>
                <w:szCs w:val="20"/>
                <w:vertAlign w:val="superscript"/>
              </w:rPr>
              <w:t>***</w:t>
            </w:r>
          </w:p>
        </w:tc>
        <w:tc>
          <w:tcPr>
            <w:tcW w:w="1085" w:type="dxa"/>
            <w:tcBorders>
              <w:top w:val="single" w:sz="4" w:space="0" w:color="auto"/>
              <w:left w:val="single" w:sz="6" w:space="0" w:color="auto"/>
              <w:bottom w:val="dotted" w:sz="4" w:space="0" w:color="auto"/>
              <w:right w:val="single" w:sz="4" w:space="0" w:color="auto"/>
            </w:tcBorders>
            <w:shd w:val="clear" w:color="auto" w:fill="auto"/>
            <w:noWrap/>
            <w:vAlign w:val="bottom"/>
            <w:hideMark/>
          </w:tcPr>
          <w:p w14:paraId="0780118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881</w:t>
            </w:r>
          </w:p>
          <w:p w14:paraId="572D209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514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57</w:t>
            </w:r>
            <w:r w:rsidRPr="008E3E16">
              <w:rPr>
                <w:rFonts w:ascii="Times New Roman" w:eastAsia="Times New Roman" w:hAnsi="Times New Roman" w:cs="Times New Roman"/>
                <w:color w:val="000000"/>
                <w:sz w:val="20"/>
                <w:szCs w:val="20"/>
                <w:vertAlign w:val="superscript"/>
                <w:lang w:eastAsia="de-DE"/>
              </w:rPr>
              <w:t>***</w:t>
            </w:r>
          </w:p>
        </w:tc>
        <w:tc>
          <w:tcPr>
            <w:tcW w:w="1118" w:type="dxa"/>
            <w:tcBorders>
              <w:top w:val="single" w:sz="4" w:space="0" w:color="auto"/>
              <w:left w:val="nil"/>
              <w:bottom w:val="dotted" w:sz="4" w:space="0" w:color="auto"/>
              <w:right w:val="nil"/>
            </w:tcBorders>
            <w:shd w:val="clear" w:color="auto" w:fill="auto"/>
            <w:noWrap/>
            <w:vAlign w:val="bottom"/>
            <w:hideMark/>
          </w:tcPr>
          <w:p w14:paraId="7949063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852</w:t>
            </w:r>
          </w:p>
          <w:p w14:paraId="017F79D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258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w:t>
            </w:r>
            <w:r w:rsidRPr="008E3E16">
              <w:rPr>
                <w:rFonts w:ascii="Times New Roman" w:eastAsia="Times New Roman" w:hAnsi="Times New Roman" w:cs="Times New Roman"/>
                <w:color w:val="000000"/>
                <w:sz w:val="20"/>
                <w:szCs w:val="20"/>
                <w:vertAlign w:val="superscript"/>
                <w:lang w:eastAsia="de-DE"/>
              </w:rPr>
              <w:t>***</w:t>
            </w:r>
          </w:p>
        </w:tc>
        <w:tc>
          <w:tcPr>
            <w:tcW w:w="1234" w:type="dxa"/>
            <w:tcBorders>
              <w:top w:val="single" w:sz="4" w:space="0" w:color="auto"/>
              <w:left w:val="nil"/>
              <w:bottom w:val="dotted" w:sz="4" w:space="0" w:color="auto"/>
              <w:right w:val="single" w:sz="6" w:space="0" w:color="auto"/>
            </w:tcBorders>
            <w:shd w:val="clear" w:color="auto" w:fill="auto"/>
            <w:noWrap/>
            <w:vAlign w:val="bottom"/>
            <w:hideMark/>
          </w:tcPr>
          <w:p w14:paraId="1272FB1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895</w:t>
            </w:r>
          </w:p>
          <w:p w14:paraId="60165E3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268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78</w:t>
            </w:r>
            <w:r w:rsidRPr="008E3E16">
              <w:rPr>
                <w:rFonts w:ascii="Times New Roman" w:eastAsia="Times New Roman" w:hAnsi="Times New Roman" w:cs="Times New Roman"/>
                <w:color w:val="000000"/>
                <w:sz w:val="20"/>
                <w:szCs w:val="20"/>
                <w:vertAlign w:val="superscript"/>
                <w:lang w:eastAsia="de-DE"/>
              </w:rPr>
              <w:t>***</w:t>
            </w:r>
          </w:p>
        </w:tc>
        <w:tc>
          <w:tcPr>
            <w:tcW w:w="1085" w:type="dxa"/>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552A562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909</w:t>
            </w:r>
          </w:p>
          <w:p w14:paraId="54385F2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363</w:t>
            </w:r>
            <w:r w:rsidRPr="008E3E16">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single" w:sz="6" w:space="0" w:color="auto"/>
              <w:bottom w:val="dotted" w:sz="4" w:space="0" w:color="auto"/>
              <w:right w:val="nil"/>
            </w:tcBorders>
            <w:shd w:val="clear" w:color="auto" w:fill="auto"/>
            <w:noWrap/>
            <w:vAlign w:val="bottom"/>
            <w:hideMark/>
          </w:tcPr>
          <w:p w14:paraId="11A62E9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863</w:t>
            </w:r>
          </w:p>
          <w:p w14:paraId="2F56E44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721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92</w:t>
            </w:r>
            <w:r w:rsidRPr="008E3E16">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nil"/>
              <w:bottom w:val="dotted" w:sz="4" w:space="0" w:color="auto"/>
              <w:right w:val="single" w:sz="12" w:space="0" w:color="auto"/>
            </w:tcBorders>
            <w:shd w:val="clear" w:color="auto" w:fill="auto"/>
            <w:noWrap/>
            <w:vAlign w:val="bottom"/>
            <w:hideMark/>
          </w:tcPr>
          <w:p w14:paraId="3381185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924</w:t>
            </w:r>
          </w:p>
          <w:p w14:paraId="7A8FAE8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710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76</w:t>
            </w:r>
            <w:r w:rsidRPr="008E3E16">
              <w:rPr>
                <w:rFonts w:ascii="Times New Roman" w:eastAsia="Times New Roman" w:hAnsi="Times New Roman" w:cs="Times New Roman"/>
                <w:color w:val="000000"/>
                <w:sz w:val="20"/>
                <w:szCs w:val="20"/>
                <w:vertAlign w:val="superscript"/>
                <w:lang w:eastAsia="de-DE"/>
              </w:rPr>
              <w:t>***</w:t>
            </w:r>
          </w:p>
        </w:tc>
      </w:tr>
      <w:tr w:rsidR="004541ED" w:rsidRPr="007F425D" w14:paraId="724C04EF" w14:textId="77777777" w:rsidTr="004541ED">
        <w:trPr>
          <w:trHeight w:val="300"/>
        </w:trPr>
        <w:tc>
          <w:tcPr>
            <w:tcW w:w="2567" w:type="dxa"/>
            <w:tcBorders>
              <w:top w:val="dotted" w:sz="4" w:space="0" w:color="auto"/>
              <w:left w:val="single" w:sz="12" w:space="0" w:color="auto"/>
              <w:bottom w:val="dotted" w:sz="4" w:space="0" w:color="auto"/>
              <w:right w:val="single" w:sz="4" w:space="0" w:color="auto"/>
            </w:tcBorders>
            <w:shd w:val="clear" w:color="auto" w:fill="auto"/>
            <w:noWrap/>
            <w:vAlign w:val="center"/>
            <w:hideMark/>
          </w:tcPr>
          <w:p w14:paraId="228A3D9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With built-in-kitchen</w:t>
            </w:r>
          </w:p>
        </w:tc>
        <w:tc>
          <w:tcPr>
            <w:tcW w:w="1085" w:type="dxa"/>
            <w:tcBorders>
              <w:top w:val="dotted" w:sz="4" w:space="0" w:color="auto"/>
              <w:left w:val="nil"/>
              <w:bottom w:val="dotted" w:sz="4" w:space="0" w:color="auto"/>
              <w:right w:val="single" w:sz="6" w:space="0" w:color="auto"/>
            </w:tcBorders>
            <w:shd w:val="clear" w:color="auto" w:fill="FFFFFF" w:themeFill="background1"/>
            <w:vAlign w:val="bottom"/>
          </w:tcPr>
          <w:p w14:paraId="2C69187B"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1</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084</w:t>
            </w:r>
          </w:p>
          <w:p w14:paraId="56DCE59F"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lastRenderedPageBreak/>
              <w:t>883</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35</w:t>
            </w:r>
            <w:r w:rsidRPr="008E3E16">
              <w:rPr>
                <w:rFonts w:ascii="Times New Roman" w:hAnsi="Times New Roman" w:cs="Times New Roman"/>
                <w:color w:val="000000"/>
                <w:sz w:val="20"/>
                <w:szCs w:val="20"/>
                <w:vertAlign w:val="superscript"/>
              </w:rPr>
              <w:t>***</w:t>
            </w:r>
          </w:p>
        </w:tc>
        <w:tc>
          <w:tcPr>
            <w:tcW w:w="1085" w:type="dxa"/>
            <w:tcBorders>
              <w:top w:val="dotted" w:sz="4" w:space="0" w:color="auto"/>
              <w:left w:val="single" w:sz="6" w:space="0" w:color="auto"/>
              <w:bottom w:val="dotted" w:sz="4" w:space="0" w:color="auto"/>
              <w:right w:val="single" w:sz="4" w:space="0" w:color="auto"/>
            </w:tcBorders>
            <w:shd w:val="clear" w:color="auto" w:fill="auto"/>
            <w:noWrap/>
            <w:vAlign w:val="bottom"/>
            <w:hideMark/>
          </w:tcPr>
          <w:p w14:paraId="7361F4C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lastRenderedPageBreak/>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101</w:t>
            </w:r>
          </w:p>
          <w:p w14:paraId="0FF8655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256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58</w:t>
            </w:r>
            <w:r w:rsidRPr="008E3E16">
              <w:rPr>
                <w:rFonts w:ascii="Times New Roman" w:eastAsia="Times New Roman" w:hAnsi="Times New Roman" w:cs="Times New Roman"/>
                <w:color w:val="000000"/>
                <w:sz w:val="20"/>
                <w:szCs w:val="20"/>
                <w:vertAlign w:val="superscript"/>
                <w:lang w:eastAsia="de-DE"/>
              </w:rPr>
              <w:t>***</w:t>
            </w:r>
          </w:p>
        </w:tc>
        <w:tc>
          <w:tcPr>
            <w:tcW w:w="1118" w:type="dxa"/>
            <w:tcBorders>
              <w:top w:val="dotted" w:sz="4" w:space="0" w:color="auto"/>
              <w:left w:val="nil"/>
              <w:bottom w:val="dotted" w:sz="4" w:space="0" w:color="auto"/>
              <w:right w:val="nil"/>
            </w:tcBorders>
            <w:shd w:val="clear" w:color="auto" w:fill="auto"/>
            <w:noWrap/>
            <w:vAlign w:val="bottom"/>
            <w:hideMark/>
          </w:tcPr>
          <w:p w14:paraId="47547593"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14</w:t>
            </w:r>
          </w:p>
          <w:p w14:paraId="0E2F605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157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97</w:t>
            </w:r>
            <w:r w:rsidRPr="008E3E16">
              <w:rPr>
                <w:rFonts w:ascii="Times New Roman" w:eastAsia="Times New Roman" w:hAnsi="Times New Roman" w:cs="Times New Roman"/>
                <w:color w:val="000000"/>
                <w:sz w:val="20"/>
                <w:szCs w:val="20"/>
                <w:vertAlign w:val="superscript"/>
                <w:lang w:eastAsia="de-DE"/>
              </w:rPr>
              <w:t>***</w:t>
            </w:r>
          </w:p>
        </w:tc>
        <w:tc>
          <w:tcPr>
            <w:tcW w:w="1234" w:type="dxa"/>
            <w:tcBorders>
              <w:top w:val="dotted" w:sz="4" w:space="0" w:color="auto"/>
              <w:left w:val="nil"/>
              <w:bottom w:val="dotted" w:sz="4" w:space="0" w:color="auto"/>
              <w:right w:val="single" w:sz="6" w:space="0" w:color="auto"/>
            </w:tcBorders>
            <w:shd w:val="clear" w:color="auto" w:fill="auto"/>
            <w:noWrap/>
            <w:vAlign w:val="bottom"/>
            <w:hideMark/>
          </w:tcPr>
          <w:p w14:paraId="4A90D96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08</w:t>
            </w:r>
          </w:p>
          <w:p w14:paraId="31F21E4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109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28</w:t>
            </w:r>
            <w:r w:rsidRPr="008E3E16">
              <w:rPr>
                <w:rFonts w:ascii="Times New Roman" w:eastAsia="Times New Roman" w:hAnsi="Times New Roman" w:cs="Times New Roman"/>
                <w:color w:val="000000"/>
                <w:sz w:val="20"/>
                <w:szCs w:val="20"/>
                <w:vertAlign w:val="superscript"/>
                <w:lang w:eastAsia="de-DE"/>
              </w:rPr>
              <w:t>***</w:t>
            </w:r>
          </w:p>
        </w:tc>
        <w:tc>
          <w:tcPr>
            <w:tcW w:w="1085" w:type="dxa"/>
            <w:tcBorders>
              <w:top w:val="dotted" w:sz="4" w:space="0" w:color="auto"/>
              <w:left w:val="single" w:sz="6" w:space="0" w:color="auto"/>
              <w:bottom w:val="dotted" w:sz="4" w:space="0" w:color="auto"/>
              <w:right w:val="single" w:sz="6" w:space="0" w:color="auto"/>
            </w:tcBorders>
            <w:shd w:val="clear" w:color="auto" w:fill="auto"/>
            <w:noWrap/>
            <w:vAlign w:val="bottom"/>
            <w:hideMark/>
          </w:tcPr>
          <w:p w14:paraId="3080C1B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092</w:t>
            </w:r>
          </w:p>
          <w:p w14:paraId="56956D1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845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37</w:t>
            </w:r>
            <w:r w:rsidRPr="008E3E16">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6" w:space="0" w:color="auto"/>
              <w:bottom w:val="dotted" w:sz="4" w:space="0" w:color="auto"/>
              <w:right w:val="nil"/>
            </w:tcBorders>
            <w:shd w:val="clear" w:color="auto" w:fill="auto"/>
            <w:noWrap/>
            <w:vAlign w:val="bottom"/>
            <w:hideMark/>
          </w:tcPr>
          <w:p w14:paraId="3D86E7B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089</w:t>
            </w:r>
          </w:p>
          <w:p w14:paraId="7B753C6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201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52</w:t>
            </w:r>
            <w:r w:rsidRPr="008E3E16">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12" w:space="0" w:color="auto"/>
            </w:tcBorders>
            <w:shd w:val="clear" w:color="auto" w:fill="auto"/>
            <w:noWrap/>
            <w:vAlign w:val="bottom"/>
            <w:hideMark/>
          </w:tcPr>
          <w:p w14:paraId="5B9C7B6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093</w:t>
            </w:r>
          </w:p>
          <w:p w14:paraId="1D376C8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lastRenderedPageBreak/>
              <w:t>641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46</w:t>
            </w:r>
            <w:r w:rsidRPr="008E3E16">
              <w:rPr>
                <w:rFonts w:ascii="Times New Roman" w:eastAsia="Times New Roman" w:hAnsi="Times New Roman" w:cs="Times New Roman"/>
                <w:color w:val="000000"/>
                <w:sz w:val="20"/>
                <w:szCs w:val="20"/>
                <w:vertAlign w:val="superscript"/>
                <w:lang w:eastAsia="de-DE"/>
              </w:rPr>
              <w:t>***</w:t>
            </w:r>
          </w:p>
        </w:tc>
      </w:tr>
      <w:tr w:rsidR="004541ED" w:rsidRPr="007F425D" w14:paraId="439E6BC4" w14:textId="77777777" w:rsidTr="004541ED">
        <w:trPr>
          <w:trHeight w:val="300"/>
        </w:trPr>
        <w:tc>
          <w:tcPr>
            <w:tcW w:w="2567" w:type="dxa"/>
            <w:tcBorders>
              <w:top w:val="dotted" w:sz="4" w:space="0" w:color="auto"/>
              <w:left w:val="single" w:sz="12" w:space="0" w:color="auto"/>
              <w:bottom w:val="dotted" w:sz="4" w:space="0" w:color="auto"/>
              <w:right w:val="single" w:sz="4" w:space="0" w:color="auto"/>
            </w:tcBorders>
            <w:shd w:val="clear" w:color="auto" w:fill="auto"/>
            <w:noWrap/>
            <w:vAlign w:val="center"/>
            <w:hideMark/>
          </w:tcPr>
          <w:p w14:paraId="6966290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lastRenderedPageBreak/>
              <w:t>With parki</w:t>
            </w:r>
            <w:r>
              <w:rPr>
                <w:rFonts w:ascii="Times New Roman" w:eastAsia="Times New Roman" w:hAnsi="Times New Roman" w:cs="Times New Roman"/>
                <w:color w:val="000000"/>
                <w:sz w:val="20"/>
                <w:szCs w:val="20"/>
                <w:lang w:eastAsia="de-DE"/>
              </w:rPr>
              <w:t xml:space="preserve">ng </w:t>
            </w:r>
            <w:r w:rsidRPr="007F425D">
              <w:rPr>
                <w:rFonts w:ascii="Times New Roman" w:eastAsia="Times New Roman" w:hAnsi="Times New Roman" w:cs="Times New Roman"/>
                <w:color w:val="000000"/>
                <w:sz w:val="20"/>
                <w:szCs w:val="20"/>
                <w:lang w:eastAsia="de-DE"/>
              </w:rPr>
              <w:t>lot</w:t>
            </w:r>
          </w:p>
        </w:tc>
        <w:tc>
          <w:tcPr>
            <w:tcW w:w="1085" w:type="dxa"/>
            <w:tcBorders>
              <w:top w:val="dotted" w:sz="4" w:space="0" w:color="auto"/>
              <w:left w:val="nil"/>
              <w:bottom w:val="dotted" w:sz="4" w:space="0" w:color="auto"/>
              <w:right w:val="single" w:sz="6" w:space="0" w:color="auto"/>
            </w:tcBorders>
            <w:shd w:val="clear" w:color="auto" w:fill="FFFFFF" w:themeFill="background1"/>
            <w:vAlign w:val="bottom"/>
          </w:tcPr>
          <w:p w14:paraId="0F3FDFA9"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0</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942</w:t>
            </w:r>
          </w:p>
          <w:p w14:paraId="20741723"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508</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97</w:t>
            </w:r>
            <w:r w:rsidRPr="008E3E16">
              <w:rPr>
                <w:rFonts w:ascii="Times New Roman" w:hAnsi="Times New Roman" w:cs="Times New Roman"/>
                <w:color w:val="000000"/>
                <w:sz w:val="20"/>
                <w:szCs w:val="20"/>
                <w:vertAlign w:val="superscript"/>
              </w:rPr>
              <w:t>***</w:t>
            </w:r>
          </w:p>
        </w:tc>
        <w:tc>
          <w:tcPr>
            <w:tcW w:w="1085" w:type="dxa"/>
            <w:tcBorders>
              <w:top w:val="dotted" w:sz="4" w:space="0" w:color="auto"/>
              <w:left w:val="single" w:sz="6" w:space="0" w:color="auto"/>
              <w:bottom w:val="dotted" w:sz="4" w:space="0" w:color="auto"/>
              <w:right w:val="single" w:sz="4" w:space="0" w:color="auto"/>
            </w:tcBorders>
            <w:shd w:val="clear" w:color="auto" w:fill="auto"/>
            <w:noWrap/>
            <w:vAlign w:val="bottom"/>
            <w:hideMark/>
          </w:tcPr>
          <w:p w14:paraId="20A84AC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945</w:t>
            </w:r>
          </w:p>
          <w:p w14:paraId="734A269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260</w:t>
            </w:r>
            <w:r w:rsidRPr="008E3E16">
              <w:rPr>
                <w:rFonts w:ascii="Times New Roman" w:eastAsia="Times New Roman" w:hAnsi="Times New Roman" w:cs="Times New Roman"/>
                <w:color w:val="000000"/>
                <w:sz w:val="20"/>
                <w:szCs w:val="20"/>
                <w:vertAlign w:val="superscript"/>
                <w:lang w:eastAsia="de-DE"/>
              </w:rPr>
              <w:t>***</w:t>
            </w:r>
          </w:p>
        </w:tc>
        <w:tc>
          <w:tcPr>
            <w:tcW w:w="1118" w:type="dxa"/>
            <w:tcBorders>
              <w:top w:val="dotted" w:sz="4" w:space="0" w:color="auto"/>
              <w:left w:val="nil"/>
              <w:bottom w:val="dotted" w:sz="4" w:space="0" w:color="auto"/>
              <w:right w:val="nil"/>
            </w:tcBorders>
            <w:shd w:val="clear" w:color="auto" w:fill="auto"/>
            <w:noWrap/>
            <w:vAlign w:val="bottom"/>
            <w:hideMark/>
          </w:tcPr>
          <w:p w14:paraId="7EB818D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941</w:t>
            </w:r>
          </w:p>
          <w:p w14:paraId="779DFF2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610</w:t>
            </w:r>
            <w:r w:rsidRPr="008E3E16">
              <w:rPr>
                <w:rFonts w:ascii="Times New Roman" w:eastAsia="Times New Roman" w:hAnsi="Times New Roman" w:cs="Times New Roman"/>
                <w:color w:val="000000"/>
                <w:sz w:val="20"/>
                <w:szCs w:val="20"/>
                <w:vertAlign w:val="superscript"/>
                <w:lang w:eastAsia="de-DE"/>
              </w:rPr>
              <w:t>***</w:t>
            </w:r>
          </w:p>
        </w:tc>
        <w:tc>
          <w:tcPr>
            <w:tcW w:w="1234" w:type="dxa"/>
            <w:tcBorders>
              <w:top w:val="dotted" w:sz="4" w:space="0" w:color="auto"/>
              <w:left w:val="nil"/>
              <w:bottom w:val="dotted" w:sz="4" w:space="0" w:color="auto"/>
              <w:right w:val="single" w:sz="6" w:space="0" w:color="auto"/>
            </w:tcBorders>
            <w:shd w:val="clear" w:color="auto" w:fill="auto"/>
            <w:noWrap/>
            <w:vAlign w:val="bottom"/>
            <w:hideMark/>
          </w:tcPr>
          <w:p w14:paraId="0351FED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945</w:t>
            </w:r>
          </w:p>
          <w:p w14:paraId="7BAA543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530</w:t>
            </w:r>
            <w:r w:rsidRPr="008E3E16">
              <w:rPr>
                <w:rFonts w:ascii="Times New Roman" w:eastAsia="Times New Roman" w:hAnsi="Times New Roman" w:cs="Times New Roman"/>
                <w:color w:val="000000"/>
                <w:sz w:val="20"/>
                <w:szCs w:val="20"/>
                <w:vertAlign w:val="superscript"/>
                <w:lang w:eastAsia="de-DE"/>
              </w:rPr>
              <w:t>***</w:t>
            </w:r>
          </w:p>
        </w:tc>
        <w:tc>
          <w:tcPr>
            <w:tcW w:w="1085" w:type="dxa"/>
            <w:tcBorders>
              <w:top w:val="dotted" w:sz="4" w:space="0" w:color="auto"/>
              <w:left w:val="single" w:sz="6" w:space="0" w:color="auto"/>
              <w:bottom w:val="dotted" w:sz="4" w:space="0" w:color="auto"/>
              <w:right w:val="single" w:sz="6" w:space="0" w:color="auto"/>
            </w:tcBorders>
            <w:shd w:val="clear" w:color="auto" w:fill="auto"/>
            <w:noWrap/>
            <w:vAlign w:val="bottom"/>
            <w:hideMark/>
          </w:tcPr>
          <w:p w14:paraId="506CF70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950</w:t>
            </w:r>
          </w:p>
          <w:p w14:paraId="7F4EAC6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301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31</w:t>
            </w:r>
            <w:r w:rsidRPr="008E3E16">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6" w:space="0" w:color="auto"/>
              <w:bottom w:val="dotted" w:sz="4" w:space="0" w:color="auto"/>
              <w:right w:val="nil"/>
            </w:tcBorders>
            <w:shd w:val="clear" w:color="auto" w:fill="auto"/>
            <w:noWrap/>
            <w:vAlign w:val="bottom"/>
            <w:hideMark/>
          </w:tcPr>
          <w:p w14:paraId="0839B15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926</w:t>
            </w:r>
          </w:p>
          <w:p w14:paraId="2855CF4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166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93</w:t>
            </w:r>
            <w:r w:rsidRPr="008E3E16">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12" w:space="0" w:color="auto"/>
            </w:tcBorders>
            <w:shd w:val="clear" w:color="auto" w:fill="auto"/>
            <w:noWrap/>
            <w:vAlign w:val="bottom"/>
            <w:hideMark/>
          </w:tcPr>
          <w:p w14:paraId="7EFE44E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960</w:t>
            </w:r>
          </w:p>
          <w:p w14:paraId="7BA6A89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141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58</w:t>
            </w:r>
            <w:r w:rsidRPr="008E3E16">
              <w:rPr>
                <w:rFonts w:ascii="Times New Roman" w:eastAsia="Times New Roman" w:hAnsi="Times New Roman" w:cs="Times New Roman"/>
                <w:color w:val="000000"/>
                <w:sz w:val="20"/>
                <w:szCs w:val="20"/>
                <w:vertAlign w:val="superscript"/>
                <w:lang w:eastAsia="de-DE"/>
              </w:rPr>
              <w:t>***</w:t>
            </w:r>
          </w:p>
        </w:tc>
      </w:tr>
      <w:tr w:rsidR="004541ED" w:rsidRPr="007F425D" w14:paraId="44601727" w14:textId="77777777" w:rsidTr="004541ED">
        <w:trPr>
          <w:trHeight w:val="300"/>
        </w:trPr>
        <w:tc>
          <w:tcPr>
            <w:tcW w:w="2567" w:type="dxa"/>
            <w:tcBorders>
              <w:top w:val="dotted" w:sz="4" w:space="0" w:color="auto"/>
              <w:left w:val="single" w:sz="12" w:space="0" w:color="auto"/>
              <w:bottom w:val="dotted" w:sz="4" w:space="0" w:color="auto"/>
              <w:right w:val="single" w:sz="4" w:space="0" w:color="auto"/>
            </w:tcBorders>
            <w:shd w:val="clear" w:color="auto" w:fill="auto"/>
            <w:noWrap/>
            <w:vAlign w:val="center"/>
            <w:hideMark/>
          </w:tcPr>
          <w:p w14:paraId="2F991FF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With terrace</w:t>
            </w:r>
          </w:p>
        </w:tc>
        <w:tc>
          <w:tcPr>
            <w:tcW w:w="1085" w:type="dxa"/>
            <w:tcBorders>
              <w:top w:val="dotted" w:sz="4" w:space="0" w:color="auto"/>
              <w:left w:val="nil"/>
              <w:bottom w:val="dotted" w:sz="4" w:space="0" w:color="auto"/>
              <w:right w:val="single" w:sz="6" w:space="0" w:color="auto"/>
            </w:tcBorders>
            <w:shd w:val="clear" w:color="auto" w:fill="FFFFFF" w:themeFill="background1"/>
            <w:vAlign w:val="bottom"/>
          </w:tcPr>
          <w:p w14:paraId="206CE1F6"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1</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008</w:t>
            </w:r>
          </w:p>
          <w:p w14:paraId="0C2564ED"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5</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16</w:t>
            </w:r>
            <w:r w:rsidRPr="008E3E16">
              <w:rPr>
                <w:rFonts w:ascii="Times New Roman" w:hAnsi="Times New Roman" w:cs="Times New Roman"/>
                <w:color w:val="000000"/>
                <w:sz w:val="20"/>
                <w:szCs w:val="20"/>
                <w:vertAlign w:val="superscript"/>
              </w:rPr>
              <w:t>**</w:t>
            </w:r>
          </w:p>
        </w:tc>
        <w:tc>
          <w:tcPr>
            <w:tcW w:w="1085" w:type="dxa"/>
            <w:tcBorders>
              <w:top w:val="dotted" w:sz="4" w:space="0" w:color="auto"/>
              <w:left w:val="single" w:sz="6" w:space="0" w:color="auto"/>
              <w:bottom w:val="dotted" w:sz="4" w:space="0" w:color="auto"/>
              <w:right w:val="single" w:sz="4" w:space="0" w:color="auto"/>
            </w:tcBorders>
            <w:shd w:val="clear" w:color="auto" w:fill="auto"/>
            <w:noWrap/>
            <w:vAlign w:val="bottom"/>
            <w:hideMark/>
          </w:tcPr>
          <w:p w14:paraId="119D815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981</w:t>
            </w:r>
          </w:p>
          <w:p w14:paraId="627689C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880</w:t>
            </w:r>
            <w:r w:rsidRPr="008E3E16">
              <w:rPr>
                <w:rFonts w:ascii="Times New Roman" w:eastAsia="Times New Roman" w:hAnsi="Times New Roman" w:cs="Times New Roman"/>
                <w:color w:val="000000"/>
                <w:sz w:val="20"/>
                <w:szCs w:val="20"/>
                <w:vertAlign w:val="superscript"/>
                <w:lang w:eastAsia="de-DE"/>
              </w:rPr>
              <w:t>**</w:t>
            </w:r>
          </w:p>
        </w:tc>
        <w:tc>
          <w:tcPr>
            <w:tcW w:w="1118" w:type="dxa"/>
            <w:tcBorders>
              <w:top w:val="dotted" w:sz="4" w:space="0" w:color="auto"/>
              <w:left w:val="nil"/>
              <w:bottom w:val="dotted" w:sz="4" w:space="0" w:color="auto"/>
              <w:right w:val="nil"/>
            </w:tcBorders>
            <w:shd w:val="clear" w:color="auto" w:fill="auto"/>
            <w:noWrap/>
            <w:vAlign w:val="bottom"/>
            <w:hideMark/>
          </w:tcPr>
          <w:p w14:paraId="7890FF4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964</w:t>
            </w:r>
          </w:p>
          <w:p w14:paraId="6D9DE1B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950</w:t>
            </w:r>
            <w:r w:rsidRPr="008E3E16">
              <w:rPr>
                <w:rFonts w:ascii="Times New Roman" w:eastAsia="Times New Roman" w:hAnsi="Times New Roman" w:cs="Times New Roman"/>
                <w:color w:val="000000"/>
                <w:sz w:val="20"/>
                <w:szCs w:val="20"/>
                <w:vertAlign w:val="superscript"/>
                <w:lang w:eastAsia="de-DE"/>
              </w:rPr>
              <w:t>***</w:t>
            </w:r>
          </w:p>
        </w:tc>
        <w:tc>
          <w:tcPr>
            <w:tcW w:w="1234" w:type="dxa"/>
            <w:tcBorders>
              <w:top w:val="dotted" w:sz="4" w:space="0" w:color="auto"/>
              <w:left w:val="nil"/>
              <w:bottom w:val="dotted" w:sz="4" w:space="0" w:color="auto"/>
              <w:right w:val="single" w:sz="6" w:space="0" w:color="auto"/>
            </w:tcBorders>
            <w:shd w:val="clear" w:color="auto" w:fill="auto"/>
            <w:noWrap/>
            <w:vAlign w:val="bottom"/>
            <w:hideMark/>
          </w:tcPr>
          <w:p w14:paraId="5CE8253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990</w:t>
            </w:r>
          </w:p>
          <w:p w14:paraId="50E931D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930</w:t>
            </w:r>
          </w:p>
        </w:tc>
        <w:tc>
          <w:tcPr>
            <w:tcW w:w="1085" w:type="dxa"/>
            <w:tcBorders>
              <w:top w:val="dotted" w:sz="4" w:space="0" w:color="auto"/>
              <w:left w:val="single" w:sz="6" w:space="0" w:color="auto"/>
              <w:bottom w:val="dotted" w:sz="4" w:space="0" w:color="auto"/>
              <w:right w:val="single" w:sz="6" w:space="0" w:color="auto"/>
            </w:tcBorders>
            <w:shd w:val="clear" w:color="auto" w:fill="auto"/>
            <w:noWrap/>
            <w:vAlign w:val="bottom"/>
            <w:hideMark/>
          </w:tcPr>
          <w:p w14:paraId="1D2A8E3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029</w:t>
            </w:r>
          </w:p>
          <w:p w14:paraId="049E2D1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090</w:t>
            </w:r>
            <w:r w:rsidRPr="008E3E16">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6" w:space="0" w:color="auto"/>
              <w:bottom w:val="dotted" w:sz="4" w:space="0" w:color="auto"/>
              <w:right w:val="nil"/>
            </w:tcBorders>
            <w:shd w:val="clear" w:color="auto" w:fill="auto"/>
            <w:noWrap/>
            <w:vAlign w:val="bottom"/>
            <w:hideMark/>
          </w:tcPr>
          <w:p w14:paraId="4334C12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999</w:t>
            </w:r>
          </w:p>
          <w:p w14:paraId="59E2709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000</w:t>
            </w:r>
          </w:p>
        </w:tc>
        <w:tc>
          <w:tcPr>
            <w:tcW w:w="0" w:type="auto"/>
            <w:tcBorders>
              <w:top w:val="dotted" w:sz="4" w:space="0" w:color="auto"/>
              <w:left w:val="nil"/>
              <w:bottom w:val="dotted" w:sz="4" w:space="0" w:color="auto"/>
              <w:right w:val="single" w:sz="12" w:space="0" w:color="auto"/>
            </w:tcBorders>
            <w:shd w:val="clear" w:color="auto" w:fill="auto"/>
            <w:noWrap/>
            <w:vAlign w:val="bottom"/>
            <w:hideMark/>
          </w:tcPr>
          <w:p w14:paraId="5F06745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037</w:t>
            </w:r>
          </w:p>
          <w:p w14:paraId="15AA613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94</w:t>
            </w:r>
            <w:r w:rsidRPr="008E3E16">
              <w:rPr>
                <w:rFonts w:ascii="Times New Roman" w:eastAsia="Times New Roman" w:hAnsi="Times New Roman" w:cs="Times New Roman"/>
                <w:color w:val="000000"/>
                <w:sz w:val="20"/>
                <w:szCs w:val="20"/>
                <w:vertAlign w:val="superscript"/>
                <w:lang w:eastAsia="de-DE"/>
              </w:rPr>
              <w:t>***</w:t>
            </w:r>
          </w:p>
        </w:tc>
      </w:tr>
      <w:tr w:rsidR="004541ED" w:rsidRPr="007F425D" w14:paraId="0E799ECA" w14:textId="77777777" w:rsidTr="004541ED">
        <w:trPr>
          <w:trHeight w:val="300"/>
        </w:trPr>
        <w:tc>
          <w:tcPr>
            <w:tcW w:w="2567" w:type="dxa"/>
            <w:tcBorders>
              <w:top w:val="dotted" w:sz="4" w:space="0" w:color="auto"/>
              <w:left w:val="single" w:sz="12" w:space="0" w:color="auto"/>
              <w:bottom w:val="dotted" w:sz="4" w:space="0" w:color="auto"/>
              <w:right w:val="single" w:sz="4" w:space="0" w:color="auto"/>
            </w:tcBorders>
            <w:shd w:val="clear" w:color="auto" w:fill="auto"/>
            <w:noWrap/>
            <w:vAlign w:val="center"/>
            <w:hideMark/>
          </w:tcPr>
          <w:p w14:paraId="3565186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With balcony</w:t>
            </w:r>
          </w:p>
        </w:tc>
        <w:tc>
          <w:tcPr>
            <w:tcW w:w="1085" w:type="dxa"/>
            <w:tcBorders>
              <w:top w:val="dotted" w:sz="4" w:space="0" w:color="auto"/>
              <w:left w:val="nil"/>
              <w:bottom w:val="dotted" w:sz="4" w:space="0" w:color="auto"/>
              <w:right w:val="single" w:sz="6" w:space="0" w:color="auto"/>
            </w:tcBorders>
            <w:shd w:val="clear" w:color="auto" w:fill="FFFFFF" w:themeFill="background1"/>
            <w:vAlign w:val="bottom"/>
          </w:tcPr>
          <w:p w14:paraId="0265C3BF"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1</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026</w:t>
            </w:r>
          </w:p>
          <w:p w14:paraId="15131CD4"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105</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39</w:t>
            </w:r>
            <w:r w:rsidRPr="008E3E16">
              <w:rPr>
                <w:rFonts w:ascii="Times New Roman" w:hAnsi="Times New Roman" w:cs="Times New Roman"/>
                <w:color w:val="000000"/>
                <w:sz w:val="20"/>
                <w:szCs w:val="20"/>
                <w:vertAlign w:val="superscript"/>
              </w:rPr>
              <w:t>***</w:t>
            </w:r>
          </w:p>
        </w:tc>
        <w:tc>
          <w:tcPr>
            <w:tcW w:w="1085" w:type="dxa"/>
            <w:tcBorders>
              <w:top w:val="dotted" w:sz="4" w:space="0" w:color="auto"/>
              <w:left w:val="single" w:sz="6" w:space="0" w:color="auto"/>
              <w:bottom w:val="dotted" w:sz="4" w:space="0" w:color="auto"/>
              <w:right w:val="single" w:sz="4" w:space="0" w:color="auto"/>
            </w:tcBorders>
            <w:shd w:val="clear" w:color="auto" w:fill="auto"/>
            <w:noWrap/>
            <w:vAlign w:val="bottom"/>
            <w:hideMark/>
          </w:tcPr>
          <w:p w14:paraId="1945AB7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035</w:t>
            </w:r>
          </w:p>
          <w:p w14:paraId="20CFB26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35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600</w:t>
            </w:r>
            <w:r w:rsidRPr="008E3E16">
              <w:rPr>
                <w:rFonts w:ascii="Times New Roman" w:eastAsia="Times New Roman" w:hAnsi="Times New Roman" w:cs="Times New Roman"/>
                <w:color w:val="000000"/>
                <w:sz w:val="20"/>
                <w:szCs w:val="20"/>
                <w:vertAlign w:val="superscript"/>
                <w:lang w:eastAsia="de-DE"/>
              </w:rPr>
              <w:t>***</w:t>
            </w:r>
          </w:p>
        </w:tc>
        <w:tc>
          <w:tcPr>
            <w:tcW w:w="1118" w:type="dxa"/>
            <w:tcBorders>
              <w:top w:val="dotted" w:sz="4" w:space="0" w:color="auto"/>
              <w:left w:val="nil"/>
              <w:bottom w:val="dotted" w:sz="4" w:space="0" w:color="auto"/>
              <w:right w:val="nil"/>
            </w:tcBorders>
            <w:shd w:val="clear" w:color="auto" w:fill="auto"/>
            <w:noWrap/>
            <w:vAlign w:val="bottom"/>
            <w:hideMark/>
          </w:tcPr>
          <w:p w14:paraId="5AFCA9E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033</w:t>
            </w:r>
          </w:p>
          <w:p w14:paraId="2A10015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410</w:t>
            </w:r>
            <w:r w:rsidRPr="008E3E16">
              <w:rPr>
                <w:rFonts w:ascii="Times New Roman" w:eastAsia="Times New Roman" w:hAnsi="Times New Roman" w:cs="Times New Roman"/>
                <w:color w:val="000000"/>
                <w:sz w:val="20"/>
                <w:szCs w:val="20"/>
                <w:vertAlign w:val="superscript"/>
                <w:lang w:eastAsia="de-DE"/>
              </w:rPr>
              <w:t>***</w:t>
            </w:r>
          </w:p>
        </w:tc>
        <w:tc>
          <w:tcPr>
            <w:tcW w:w="1234" w:type="dxa"/>
            <w:tcBorders>
              <w:top w:val="dotted" w:sz="4" w:space="0" w:color="auto"/>
              <w:left w:val="nil"/>
              <w:bottom w:val="dotted" w:sz="4" w:space="0" w:color="auto"/>
              <w:right w:val="single" w:sz="6" w:space="0" w:color="auto"/>
            </w:tcBorders>
            <w:shd w:val="clear" w:color="auto" w:fill="auto"/>
            <w:noWrap/>
            <w:vAlign w:val="bottom"/>
            <w:hideMark/>
          </w:tcPr>
          <w:p w14:paraId="4310B72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036</w:t>
            </w:r>
          </w:p>
          <w:p w14:paraId="734E5A3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560</w:t>
            </w:r>
            <w:r w:rsidRPr="008E3E16">
              <w:rPr>
                <w:rFonts w:ascii="Times New Roman" w:eastAsia="Times New Roman" w:hAnsi="Times New Roman" w:cs="Times New Roman"/>
                <w:color w:val="000000"/>
                <w:sz w:val="20"/>
                <w:szCs w:val="20"/>
                <w:vertAlign w:val="superscript"/>
                <w:lang w:eastAsia="de-DE"/>
              </w:rPr>
              <w:t>***</w:t>
            </w:r>
          </w:p>
        </w:tc>
        <w:tc>
          <w:tcPr>
            <w:tcW w:w="1085" w:type="dxa"/>
            <w:tcBorders>
              <w:top w:val="dotted" w:sz="4" w:space="0" w:color="auto"/>
              <w:left w:val="single" w:sz="6" w:space="0" w:color="auto"/>
              <w:bottom w:val="dotted" w:sz="4" w:space="0" w:color="auto"/>
              <w:right w:val="single" w:sz="6" w:space="0" w:color="auto"/>
            </w:tcBorders>
            <w:shd w:val="clear" w:color="auto" w:fill="auto"/>
            <w:noWrap/>
            <w:vAlign w:val="bottom"/>
            <w:hideMark/>
          </w:tcPr>
          <w:p w14:paraId="1FE8833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020</w:t>
            </w:r>
          </w:p>
          <w:p w14:paraId="35FDCF1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400</w:t>
            </w:r>
            <w:r w:rsidRPr="008E3E16">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6" w:space="0" w:color="auto"/>
              <w:bottom w:val="dotted" w:sz="4" w:space="0" w:color="auto"/>
              <w:right w:val="nil"/>
            </w:tcBorders>
            <w:shd w:val="clear" w:color="auto" w:fill="auto"/>
            <w:noWrap/>
            <w:vAlign w:val="bottom"/>
            <w:hideMark/>
          </w:tcPr>
          <w:p w14:paraId="64FE4220"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001</w:t>
            </w:r>
          </w:p>
          <w:p w14:paraId="093BBC3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080</w:t>
            </w:r>
          </w:p>
        </w:tc>
        <w:tc>
          <w:tcPr>
            <w:tcW w:w="0" w:type="auto"/>
            <w:tcBorders>
              <w:top w:val="dotted" w:sz="4" w:space="0" w:color="auto"/>
              <w:left w:val="nil"/>
              <w:bottom w:val="dotted" w:sz="4" w:space="0" w:color="auto"/>
              <w:right w:val="single" w:sz="12" w:space="0" w:color="auto"/>
            </w:tcBorders>
            <w:shd w:val="clear" w:color="auto" w:fill="auto"/>
            <w:noWrap/>
            <w:vAlign w:val="bottom"/>
            <w:hideMark/>
          </w:tcPr>
          <w:p w14:paraId="53B1383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027</w:t>
            </w:r>
          </w:p>
          <w:p w14:paraId="50C7725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250</w:t>
            </w:r>
            <w:r w:rsidRPr="008E3E16">
              <w:rPr>
                <w:rFonts w:ascii="Times New Roman" w:eastAsia="Times New Roman" w:hAnsi="Times New Roman" w:cs="Times New Roman"/>
                <w:color w:val="000000"/>
                <w:sz w:val="20"/>
                <w:szCs w:val="20"/>
                <w:vertAlign w:val="superscript"/>
                <w:lang w:eastAsia="de-DE"/>
              </w:rPr>
              <w:t>***</w:t>
            </w:r>
          </w:p>
        </w:tc>
      </w:tr>
      <w:tr w:rsidR="004541ED" w:rsidRPr="007F425D" w14:paraId="4BF8ED68" w14:textId="77777777" w:rsidTr="004541ED">
        <w:trPr>
          <w:trHeight w:val="300"/>
        </w:trPr>
        <w:tc>
          <w:tcPr>
            <w:tcW w:w="2567" w:type="dxa"/>
            <w:tcBorders>
              <w:top w:val="dotted" w:sz="4" w:space="0" w:color="auto"/>
              <w:left w:val="single" w:sz="12" w:space="0" w:color="auto"/>
              <w:bottom w:val="dotted" w:sz="4" w:space="0" w:color="auto"/>
              <w:right w:val="single" w:sz="4" w:space="0" w:color="auto"/>
            </w:tcBorders>
            <w:shd w:val="clear" w:color="auto" w:fill="auto"/>
            <w:noWrap/>
            <w:vAlign w:val="center"/>
            <w:hideMark/>
          </w:tcPr>
          <w:p w14:paraId="6ACD6D8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With elevator</w:t>
            </w:r>
          </w:p>
        </w:tc>
        <w:tc>
          <w:tcPr>
            <w:tcW w:w="1085" w:type="dxa"/>
            <w:tcBorders>
              <w:top w:val="dotted" w:sz="4" w:space="0" w:color="auto"/>
              <w:left w:val="nil"/>
              <w:bottom w:val="dotted" w:sz="4" w:space="0" w:color="auto"/>
              <w:right w:val="single" w:sz="6" w:space="0" w:color="auto"/>
            </w:tcBorders>
            <w:shd w:val="clear" w:color="auto" w:fill="FFFFFF" w:themeFill="background1"/>
            <w:vAlign w:val="bottom"/>
          </w:tcPr>
          <w:p w14:paraId="65F0563E"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0</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929</w:t>
            </w:r>
          </w:p>
          <w:p w14:paraId="50298654"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570</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05</w:t>
            </w:r>
            <w:r w:rsidRPr="008E3E16">
              <w:rPr>
                <w:rFonts w:ascii="Times New Roman" w:hAnsi="Times New Roman" w:cs="Times New Roman"/>
                <w:color w:val="000000"/>
                <w:sz w:val="20"/>
                <w:szCs w:val="20"/>
                <w:vertAlign w:val="superscript"/>
              </w:rPr>
              <w:t>***</w:t>
            </w:r>
          </w:p>
        </w:tc>
        <w:tc>
          <w:tcPr>
            <w:tcW w:w="1085" w:type="dxa"/>
            <w:tcBorders>
              <w:top w:val="dotted" w:sz="4" w:space="0" w:color="auto"/>
              <w:left w:val="single" w:sz="6" w:space="0" w:color="auto"/>
              <w:bottom w:val="dotted" w:sz="4" w:space="0" w:color="auto"/>
              <w:right w:val="single" w:sz="4" w:space="0" w:color="auto"/>
            </w:tcBorders>
            <w:shd w:val="clear" w:color="auto" w:fill="auto"/>
            <w:noWrap/>
            <w:vAlign w:val="bottom"/>
            <w:hideMark/>
          </w:tcPr>
          <w:p w14:paraId="64131D6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977</w:t>
            </w:r>
          </w:p>
          <w:p w14:paraId="4C5AFC6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13</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170</w:t>
            </w:r>
            <w:r w:rsidRPr="008E3E16">
              <w:rPr>
                <w:rFonts w:ascii="Times New Roman" w:eastAsia="Times New Roman" w:hAnsi="Times New Roman" w:cs="Times New Roman"/>
                <w:color w:val="000000"/>
                <w:sz w:val="20"/>
                <w:szCs w:val="20"/>
                <w:vertAlign w:val="superscript"/>
                <w:lang w:eastAsia="de-DE"/>
              </w:rPr>
              <w:t>***</w:t>
            </w:r>
          </w:p>
        </w:tc>
        <w:tc>
          <w:tcPr>
            <w:tcW w:w="1118" w:type="dxa"/>
            <w:tcBorders>
              <w:top w:val="dotted" w:sz="4" w:space="0" w:color="auto"/>
              <w:left w:val="nil"/>
              <w:bottom w:val="dotted" w:sz="4" w:space="0" w:color="auto"/>
              <w:right w:val="nil"/>
            </w:tcBorders>
            <w:shd w:val="clear" w:color="auto" w:fill="auto"/>
            <w:noWrap/>
            <w:vAlign w:val="bottom"/>
            <w:hideMark/>
          </w:tcPr>
          <w:p w14:paraId="599230B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968</w:t>
            </w:r>
          </w:p>
          <w:p w14:paraId="5864D8B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370</w:t>
            </w:r>
            <w:r w:rsidRPr="008E3E16">
              <w:rPr>
                <w:rFonts w:ascii="Times New Roman" w:eastAsia="Times New Roman" w:hAnsi="Times New Roman" w:cs="Times New Roman"/>
                <w:color w:val="000000"/>
                <w:sz w:val="20"/>
                <w:szCs w:val="20"/>
                <w:vertAlign w:val="superscript"/>
                <w:lang w:eastAsia="de-DE"/>
              </w:rPr>
              <w:t>***</w:t>
            </w:r>
          </w:p>
        </w:tc>
        <w:tc>
          <w:tcPr>
            <w:tcW w:w="1234" w:type="dxa"/>
            <w:tcBorders>
              <w:top w:val="dotted" w:sz="4" w:space="0" w:color="auto"/>
              <w:left w:val="nil"/>
              <w:bottom w:val="dotted" w:sz="4" w:space="0" w:color="auto"/>
              <w:right w:val="single" w:sz="6" w:space="0" w:color="auto"/>
            </w:tcBorders>
            <w:shd w:val="clear" w:color="auto" w:fill="auto"/>
            <w:noWrap/>
            <w:vAlign w:val="bottom"/>
            <w:hideMark/>
          </w:tcPr>
          <w:p w14:paraId="2FDBC43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980</w:t>
            </w:r>
          </w:p>
          <w:p w14:paraId="1D027D7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120</w:t>
            </w:r>
            <w:r w:rsidRPr="008E3E16">
              <w:rPr>
                <w:rFonts w:ascii="Times New Roman" w:eastAsia="Times New Roman" w:hAnsi="Times New Roman" w:cs="Times New Roman"/>
                <w:color w:val="000000"/>
                <w:sz w:val="20"/>
                <w:szCs w:val="20"/>
                <w:vertAlign w:val="superscript"/>
                <w:lang w:eastAsia="de-DE"/>
              </w:rPr>
              <w:t>***</w:t>
            </w:r>
          </w:p>
        </w:tc>
        <w:tc>
          <w:tcPr>
            <w:tcW w:w="1085" w:type="dxa"/>
            <w:tcBorders>
              <w:top w:val="dotted" w:sz="4" w:space="0" w:color="auto"/>
              <w:left w:val="single" w:sz="6" w:space="0" w:color="auto"/>
              <w:bottom w:val="dotted" w:sz="4" w:space="0" w:color="auto"/>
              <w:right w:val="single" w:sz="6" w:space="0" w:color="auto"/>
            </w:tcBorders>
            <w:shd w:val="clear" w:color="auto" w:fill="auto"/>
            <w:noWrap/>
            <w:vAlign w:val="bottom"/>
            <w:hideMark/>
          </w:tcPr>
          <w:p w14:paraId="03942D2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903</w:t>
            </w:r>
          </w:p>
          <w:p w14:paraId="6693F7D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834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33</w:t>
            </w:r>
            <w:r w:rsidRPr="008E3E16">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6" w:space="0" w:color="auto"/>
              <w:bottom w:val="dotted" w:sz="4" w:space="0" w:color="auto"/>
              <w:right w:val="nil"/>
            </w:tcBorders>
            <w:shd w:val="clear" w:color="auto" w:fill="auto"/>
            <w:noWrap/>
            <w:vAlign w:val="bottom"/>
            <w:hideMark/>
          </w:tcPr>
          <w:p w14:paraId="5598F848"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881</w:t>
            </w:r>
          </w:p>
          <w:p w14:paraId="6879CCE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296</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66</w:t>
            </w:r>
            <w:r w:rsidRPr="008E3E16">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nil"/>
              <w:bottom w:val="dotted" w:sz="4" w:space="0" w:color="auto"/>
              <w:right w:val="single" w:sz="12" w:space="0" w:color="auto"/>
            </w:tcBorders>
            <w:shd w:val="clear" w:color="auto" w:fill="auto"/>
            <w:noWrap/>
            <w:vAlign w:val="bottom"/>
            <w:hideMark/>
          </w:tcPr>
          <w:p w14:paraId="23B79A1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91</w:t>
            </w:r>
          </w:p>
          <w:p w14:paraId="559EE66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550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97</w:t>
            </w:r>
            <w:r w:rsidRPr="008E3E16">
              <w:rPr>
                <w:rFonts w:ascii="Times New Roman" w:eastAsia="Times New Roman" w:hAnsi="Times New Roman" w:cs="Times New Roman"/>
                <w:color w:val="000000"/>
                <w:sz w:val="20"/>
                <w:szCs w:val="20"/>
                <w:vertAlign w:val="superscript"/>
                <w:lang w:eastAsia="de-DE"/>
              </w:rPr>
              <w:t>***</w:t>
            </w:r>
          </w:p>
        </w:tc>
      </w:tr>
      <w:tr w:rsidR="004541ED" w:rsidRPr="007F425D" w14:paraId="4D7868BA" w14:textId="77777777" w:rsidTr="004541ED">
        <w:trPr>
          <w:trHeight w:val="300"/>
        </w:trPr>
        <w:tc>
          <w:tcPr>
            <w:tcW w:w="2567" w:type="dxa"/>
            <w:tcBorders>
              <w:top w:val="dotted" w:sz="4" w:space="0" w:color="auto"/>
              <w:left w:val="single" w:sz="12" w:space="0" w:color="auto"/>
              <w:bottom w:val="dotted" w:sz="4" w:space="0" w:color="auto"/>
              <w:right w:val="single" w:sz="4" w:space="0" w:color="auto"/>
            </w:tcBorders>
            <w:shd w:val="clear" w:color="auto" w:fill="auto"/>
            <w:noWrap/>
            <w:vAlign w:val="center"/>
            <w:hideMark/>
          </w:tcPr>
          <w:p w14:paraId="27B8844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Newly built</w:t>
            </w:r>
          </w:p>
        </w:tc>
        <w:tc>
          <w:tcPr>
            <w:tcW w:w="1085" w:type="dxa"/>
            <w:tcBorders>
              <w:top w:val="dotted" w:sz="4" w:space="0" w:color="auto"/>
              <w:left w:val="nil"/>
              <w:bottom w:val="dotted" w:sz="4" w:space="0" w:color="auto"/>
              <w:right w:val="single" w:sz="6" w:space="0" w:color="auto"/>
            </w:tcBorders>
            <w:shd w:val="clear" w:color="auto" w:fill="FFFFFF" w:themeFill="background1"/>
            <w:vAlign w:val="bottom"/>
          </w:tcPr>
          <w:p w14:paraId="6CB754EF"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0</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833</w:t>
            </w:r>
          </w:p>
          <w:p w14:paraId="5042370E"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1</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086</w:t>
            </w:r>
            <w:r w:rsidRPr="008E3E16">
              <w:rPr>
                <w:rFonts w:ascii="Times New Roman" w:hAnsi="Times New Roman" w:cs="Times New Roman"/>
                <w:color w:val="000000"/>
                <w:sz w:val="20"/>
                <w:szCs w:val="20"/>
                <w:vertAlign w:val="superscript"/>
              </w:rPr>
              <w:t>***</w:t>
            </w:r>
          </w:p>
        </w:tc>
        <w:tc>
          <w:tcPr>
            <w:tcW w:w="1085" w:type="dxa"/>
            <w:tcBorders>
              <w:top w:val="dotted" w:sz="4" w:space="0" w:color="auto"/>
              <w:left w:val="single" w:sz="6" w:space="0" w:color="auto"/>
              <w:bottom w:val="dotted" w:sz="4" w:space="0" w:color="auto"/>
              <w:right w:val="single" w:sz="4" w:space="0" w:color="auto"/>
            </w:tcBorders>
            <w:shd w:val="clear" w:color="auto" w:fill="auto"/>
            <w:noWrap/>
            <w:vAlign w:val="bottom"/>
            <w:hideMark/>
          </w:tcPr>
          <w:p w14:paraId="1746F30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891</w:t>
            </w:r>
          </w:p>
          <w:p w14:paraId="17E5E5F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154</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69</w:t>
            </w:r>
            <w:r w:rsidRPr="008E3E16">
              <w:rPr>
                <w:rFonts w:ascii="Times New Roman" w:eastAsia="Times New Roman" w:hAnsi="Times New Roman" w:cs="Times New Roman"/>
                <w:color w:val="000000"/>
                <w:sz w:val="20"/>
                <w:szCs w:val="20"/>
                <w:vertAlign w:val="superscript"/>
                <w:lang w:eastAsia="de-DE"/>
              </w:rPr>
              <w:t>***</w:t>
            </w:r>
          </w:p>
        </w:tc>
        <w:tc>
          <w:tcPr>
            <w:tcW w:w="1118" w:type="dxa"/>
            <w:tcBorders>
              <w:top w:val="dotted" w:sz="4" w:space="0" w:color="auto"/>
              <w:left w:val="nil"/>
              <w:bottom w:val="dotted" w:sz="4" w:space="0" w:color="auto"/>
              <w:right w:val="nil"/>
            </w:tcBorders>
            <w:shd w:val="clear" w:color="auto" w:fill="auto"/>
            <w:noWrap/>
            <w:vAlign w:val="bottom"/>
            <w:hideMark/>
          </w:tcPr>
          <w:p w14:paraId="69B4758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1234" w:type="dxa"/>
            <w:tcBorders>
              <w:top w:val="dotted" w:sz="4" w:space="0" w:color="auto"/>
              <w:left w:val="nil"/>
              <w:bottom w:val="dotted" w:sz="4" w:space="0" w:color="auto"/>
              <w:right w:val="single" w:sz="6" w:space="0" w:color="auto"/>
            </w:tcBorders>
            <w:shd w:val="clear" w:color="auto" w:fill="auto"/>
            <w:noWrap/>
            <w:vAlign w:val="bottom"/>
            <w:hideMark/>
          </w:tcPr>
          <w:p w14:paraId="4B0D5704"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1085" w:type="dxa"/>
            <w:tcBorders>
              <w:top w:val="dotted" w:sz="4" w:space="0" w:color="auto"/>
              <w:left w:val="single" w:sz="6" w:space="0" w:color="auto"/>
              <w:bottom w:val="dotted" w:sz="4" w:space="0" w:color="auto"/>
              <w:right w:val="single" w:sz="6" w:space="0" w:color="auto"/>
            </w:tcBorders>
            <w:shd w:val="clear" w:color="auto" w:fill="auto"/>
            <w:noWrap/>
            <w:vAlign w:val="bottom"/>
            <w:hideMark/>
          </w:tcPr>
          <w:p w14:paraId="59D01D4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849</w:t>
            </w:r>
          </w:p>
          <w:p w14:paraId="20000B0E"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662</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01</w:t>
            </w:r>
            <w:r w:rsidRPr="008E3E16">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6" w:space="0" w:color="auto"/>
              <w:bottom w:val="dotted" w:sz="4" w:space="0" w:color="auto"/>
              <w:right w:val="nil"/>
            </w:tcBorders>
            <w:shd w:val="clear" w:color="auto" w:fill="auto"/>
            <w:noWrap/>
            <w:vAlign w:val="bottom"/>
            <w:hideMark/>
          </w:tcPr>
          <w:p w14:paraId="3CB4DEE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p>
        </w:tc>
        <w:tc>
          <w:tcPr>
            <w:tcW w:w="0" w:type="auto"/>
            <w:tcBorders>
              <w:top w:val="dotted" w:sz="4" w:space="0" w:color="auto"/>
              <w:left w:val="nil"/>
              <w:bottom w:val="dotted" w:sz="4" w:space="0" w:color="auto"/>
              <w:right w:val="single" w:sz="12" w:space="0" w:color="auto"/>
            </w:tcBorders>
            <w:shd w:val="clear" w:color="auto" w:fill="auto"/>
            <w:noWrap/>
            <w:vAlign w:val="bottom"/>
            <w:hideMark/>
          </w:tcPr>
          <w:p w14:paraId="01D7C39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r>
      <w:tr w:rsidR="004541ED" w:rsidRPr="007F425D" w14:paraId="222781A2" w14:textId="77777777" w:rsidTr="004541ED">
        <w:trPr>
          <w:trHeight w:val="300"/>
        </w:trPr>
        <w:tc>
          <w:tcPr>
            <w:tcW w:w="2567" w:type="dxa"/>
            <w:tcBorders>
              <w:top w:val="dotted" w:sz="4" w:space="0" w:color="auto"/>
              <w:left w:val="single" w:sz="12" w:space="0" w:color="auto"/>
              <w:bottom w:val="single" w:sz="4" w:space="0" w:color="auto"/>
              <w:right w:val="single" w:sz="4" w:space="0" w:color="auto"/>
            </w:tcBorders>
            <w:shd w:val="clear" w:color="auto" w:fill="auto"/>
            <w:noWrap/>
            <w:vAlign w:val="center"/>
            <w:hideMark/>
          </w:tcPr>
          <w:p w14:paraId="1F5689B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Refurbished</w:t>
            </w:r>
          </w:p>
        </w:tc>
        <w:tc>
          <w:tcPr>
            <w:tcW w:w="1085" w:type="dxa"/>
            <w:tcBorders>
              <w:top w:val="dotted" w:sz="4" w:space="0" w:color="auto"/>
              <w:left w:val="nil"/>
              <w:bottom w:val="single" w:sz="4" w:space="0" w:color="auto"/>
              <w:right w:val="single" w:sz="6" w:space="0" w:color="auto"/>
            </w:tcBorders>
            <w:shd w:val="clear" w:color="auto" w:fill="FFFFFF" w:themeFill="background1"/>
            <w:vAlign w:val="bottom"/>
          </w:tcPr>
          <w:p w14:paraId="55EE9377"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0</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932</w:t>
            </w:r>
          </w:p>
          <w:p w14:paraId="3C9C0F7A" w14:textId="77777777" w:rsidR="004541ED" w:rsidRPr="008E3E16" w:rsidRDefault="004541ED" w:rsidP="004541ED">
            <w:pPr>
              <w:spacing w:after="0" w:line="240" w:lineRule="auto"/>
              <w:rPr>
                <w:rFonts w:ascii="Times New Roman" w:hAnsi="Times New Roman" w:cs="Times New Roman"/>
                <w:color w:val="000000"/>
                <w:sz w:val="20"/>
                <w:szCs w:val="20"/>
              </w:rPr>
            </w:pPr>
            <w:r w:rsidRPr="008E3E16">
              <w:rPr>
                <w:rFonts w:ascii="Times New Roman" w:hAnsi="Times New Roman" w:cs="Times New Roman"/>
                <w:color w:val="000000"/>
                <w:sz w:val="20"/>
                <w:szCs w:val="20"/>
              </w:rPr>
              <w:t>702</w:t>
            </w:r>
            <w:r>
              <w:rPr>
                <w:rFonts w:ascii="Times New Roman" w:hAnsi="Times New Roman" w:cs="Times New Roman"/>
                <w:color w:val="000000"/>
                <w:sz w:val="20"/>
                <w:szCs w:val="20"/>
              </w:rPr>
              <w:t>.</w:t>
            </w:r>
            <w:r w:rsidRPr="008E3E16">
              <w:rPr>
                <w:rFonts w:ascii="Times New Roman" w:hAnsi="Times New Roman" w:cs="Times New Roman"/>
                <w:color w:val="000000"/>
                <w:sz w:val="20"/>
                <w:szCs w:val="20"/>
              </w:rPr>
              <w:t>65</w:t>
            </w:r>
            <w:r w:rsidRPr="008E3E16">
              <w:rPr>
                <w:rFonts w:ascii="Times New Roman" w:hAnsi="Times New Roman" w:cs="Times New Roman"/>
                <w:color w:val="000000"/>
                <w:sz w:val="20"/>
                <w:szCs w:val="20"/>
                <w:vertAlign w:val="superscript"/>
              </w:rPr>
              <w:t>***</w:t>
            </w:r>
          </w:p>
        </w:tc>
        <w:tc>
          <w:tcPr>
            <w:tcW w:w="1085" w:type="dxa"/>
            <w:tcBorders>
              <w:top w:val="dotted" w:sz="4" w:space="0" w:color="auto"/>
              <w:left w:val="single" w:sz="6" w:space="0" w:color="auto"/>
              <w:bottom w:val="single" w:sz="4" w:space="0" w:color="auto"/>
              <w:right w:val="single" w:sz="4" w:space="0" w:color="auto"/>
            </w:tcBorders>
            <w:shd w:val="clear" w:color="auto" w:fill="auto"/>
            <w:noWrap/>
            <w:vAlign w:val="bottom"/>
            <w:hideMark/>
          </w:tcPr>
          <w:p w14:paraId="4A0A8D9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971</w:t>
            </w:r>
          </w:p>
          <w:p w14:paraId="11E6C4A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27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590</w:t>
            </w:r>
            <w:r w:rsidRPr="008E3E16">
              <w:rPr>
                <w:rFonts w:ascii="Times New Roman" w:eastAsia="Times New Roman" w:hAnsi="Times New Roman" w:cs="Times New Roman"/>
                <w:color w:val="000000"/>
                <w:sz w:val="20"/>
                <w:szCs w:val="20"/>
                <w:vertAlign w:val="superscript"/>
                <w:lang w:eastAsia="de-DE"/>
              </w:rPr>
              <w:t>***</w:t>
            </w:r>
          </w:p>
        </w:tc>
        <w:tc>
          <w:tcPr>
            <w:tcW w:w="1118" w:type="dxa"/>
            <w:tcBorders>
              <w:top w:val="dotted" w:sz="4" w:space="0" w:color="auto"/>
              <w:left w:val="nil"/>
              <w:bottom w:val="single" w:sz="4" w:space="0" w:color="auto"/>
              <w:right w:val="nil"/>
            </w:tcBorders>
            <w:shd w:val="clear" w:color="auto" w:fill="auto"/>
            <w:noWrap/>
            <w:vAlign w:val="bottom"/>
            <w:hideMark/>
          </w:tcPr>
          <w:p w14:paraId="5D12281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1234" w:type="dxa"/>
            <w:tcBorders>
              <w:top w:val="dotted" w:sz="4" w:space="0" w:color="auto"/>
              <w:left w:val="nil"/>
              <w:bottom w:val="single" w:sz="4" w:space="0" w:color="auto"/>
              <w:right w:val="single" w:sz="6" w:space="0" w:color="auto"/>
            </w:tcBorders>
            <w:shd w:val="clear" w:color="auto" w:fill="auto"/>
            <w:noWrap/>
            <w:vAlign w:val="bottom"/>
            <w:hideMark/>
          </w:tcPr>
          <w:p w14:paraId="1C9988E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1085" w:type="dxa"/>
            <w:tcBorders>
              <w:top w:val="dotted" w:sz="4" w:space="0" w:color="auto"/>
              <w:left w:val="single" w:sz="6" w:space="0" w:color="auto"/>
              <w:bottom w:val="single" w:sz="4" w:space="0" w:color="auto"/>
              <w:right w:val="single" w:sz="6" w:space="0" w:color="auto"/>
            </w:tcBorders>
            <w:shd w:val="clear" w:color="auto" w:fill="auto"/>
            <w:noWrap/>
            <w:vAlign w:val="bottom"/>
            <w:hideMark/>
          </w:tcPr>
          <w:p w14:paraId="49269BE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0</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921</w:t>
            </w:r>
          </w:p>
          <w:p w14:paraId="6937C26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759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00</w:t>
            </w:r>
            <w:r w:rsidRPr="008E3E16">
              <w:rPr>
                <w:rFonts w:ascii="Times New Roman" w:eastAsia="Times New Roman" w:hAnsi="Times New Roman" w:cs="Times New Roman"/>
                <w:color w:val="000000"/>
                <w:sz w:val="20"/>
                <w:szCs w:val="20"/>
                <w:vertAlign w:val="superscript"/>
                <w:lang w:eastAsia="de-DE"/>
              </w:rPr>
              <w:t>***</w:t>
            </w:r>
          </w:p>
        </w:tc>
        <w:tc>
          <w:tcPr>
            <w:tcW w:w="0" w:type="auto"/>
            <w:tcBorders>
              <w:top w:val="dotted" w:sz="4" w:space="0" w:color="auto"/>
              <w:left w:val="single" w:sz="6" w:space="0" w:color="auto"/>
              <w:bottom w:val="single" w:sz="4" w:space="0" w:color="auto"/>
              <w:right w:val="nil"/>
            </w:tcBorders>
            <w:shd w:val="clear" w:color="auto" w:fill="auto"/>
            <w:noWrap/>
            <w:vAlign w:val="bottom"/>
            <w:hideMark/>
          </w:tcPr>
          <w:p w14:paraId="1B2A19A7"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c>
          <w:tcPr>
            <w:tcW w:w="0" w:type="auto"/>
            <w:tcBorders>
              <w:top w:val="dotted" w:sz="4" w:space="0" w:color="auto"/>
              <w:left w:val="nil"/>
              <w:bottom w:val="single" w:sz="4" w:space="0" w:color="auto"/>
              <w:right w:val="single" w:sz="12" w:space="0" w:color="auto"/>
            </w:tcBorders>
            <w:shd w:val="clear" w:color="auto" w:fill="auto"/>
            <w:noWrap/>
            <w:vAlign w:val="bottom"/>
            <w:hideMark/>
          </w:tcPr>
          <w:p w14:paraId="3926D789"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w:t>
            </w:r>
          </w:p>
        </w:tc>
      </w:tr>
      <w:tr w:rsidR="004541ED" w:rsidRPr="007F425D" w14:paraId="3B9D50B3" w14:textId="77777777" w:rsidTr="004541ED">
        <w:trPr>
          <w:trHeight w:val="300"/>
        </w:trPr>
        <w:tc>
          <w:tcPr>
            <w:tcW w:w="2567" w:type="dxa"/>
            <w:tcBorders>
              <w:top w:val="single" w:sz="4" w:space="0" w:color="auto"/>
              <w:left w:val="single" w:sz="12" w:space="0" w:color="auto"/>
              <w:bottom w:val="dotted" w:sz="4" w:space="0" w:color="auto"/>
              <w:right w:val="single" w:sz="4" w:space="0" w:color="auto"/>
            </w:tcBorders>
            <w:shd w:val="clear" w:color="auto" w:fill="auto"/>
            <w:noWrap/>
            <w:vAlign w:val="center"/>
            <w:hideMark/>
          </w:tcPr>
          <w:p w14:paraId="60A4D5A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Construction fixed effects</w:t>
            </w:r>
          </w:p>
        </w:tc>
        <w:tc>
          <w:tcPr>
            <w:tcW w:w="1085" w:type="dxa"/>
            <w:tcBorders>
              <w:top w:val="single" w:sz="4" w:space="0" w:color="auto"/>
              <w:left w:val="nil"/>
              <w:bottom w:val="dotted" w:sz="4" w:space="0" w:color="auto"/>
              <w:right w:val="single" w:sz="6" w:space="0" w:color="auto"/>
            </w:tcBorders>
            <w:shd w:val="clear" w:color="auto" w:fill="FFFFFF" w:themeFill="background1"/>
            <w:vAlign w:val="center"/>
          </w:tcPr>
          <w:p w14:paraId="2EA64609" w14:textId="77777777" w:rsidR="004541ED" w:rsidRPr="008E3E16"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8E3E16">
              <w:rPr>
                <w:rFonts w:ascii="Times New Roman" w:eastAsia="Times New Roman" w:hAnsi="Times New Roman" w:cs="Times New Roman"/>
                <w:i/>
                <w:color w:val="000000"/>
                <w:sz w:val="20"/>
                <w:szCs w:val="20"/>
                <w:lang w:eastAsia="de-DE"/>
              </w:rPr>
              <w:sym w:font="Wingdings" w:char="F0FC"/>
            </w:r>
          </w:p>
        </w:tc>
        <w:tc>
          <w:tcPr>
            <w:tcW w:w="1085" w:type="dxa"/>
            <w:tcBorders>
              <w:top w:val="single" w:sz="4" w:space="0" w:color="auto"/>
              <w:left w:val="single" w:sz="6" w:space="0" w:color="auto"/>
              <w:bottom w:val="dotted" w:sz="4" w:space="0" w:color="auto"/>
              <w:right w:val="single" w:sz="4" w:space="0" w:color="auto"/>
            </w:tcBorders>
            <w:shd w:val="clear" w:color="auto" w:fill="auto"/>
            <w:noWrap/>
            <w:vAlign w:val="center"/>
          </w:tcPr>
          <w:p w14:paraId="3BD9883C"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1118" w:type="dxa"/>
            <w:tcBorders>
              <w:top w:val="single" w:sz="4" w:space="0" w:color="auto"/>
              <w:left w:val="nil"/>
              <w:bottom w:val="dotted" w:sz="4" w:space="0" w:color="auto"/>
              <w:right w:val="nil"/>
            </w:tcBorders>
            <w:shd w:val="clear" w:color="auto" w:fill="auto"/>
            <w:noWrap/>
            <w:vAlign w:val="center"/>
          </w:tcPr>
          <w:p w14:paraId="234C2BC8"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1234" w:type="dxa"/>
            <w:tcBorders>
              <w:top w:val="single" w:sz="4" w:space="0" w:color="auto"/>
              <w:left w:val="nil"/>
              <w:bottom w:val="dotted" w:sz="4" w:space="0" w:color="auto"/>
              <w:right w:val="single" w:sz="6" w:space="0" w:color="auto"/>
            </w:tcBorders>
            <w:shd w:val="clear" w:color="auto" w:fill="auto"/>
            <w:noWrap/>
            <w:vAlign w:val="center"/>
          </w:tcPr>
          <w:p w14:paraId="3C386429"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1085" w:type="dxa"/>
            <w:tcBorders>
              <w:top w:val="single" w:sz="4" w:space="0" w:color="auto"/>
              <w:left w:val="single" w:sz="6" w:space="0" w:color="auto"/>
              <w:bottom w:val="dotted" w:sz="4" w:space="0" w:color="auto"/>
              <w:right w:val="single" w:sz="6" w:space="0" w:color="auto"/>
            </w:tcBorders>
            <w:shd w:val="clear" w:color="auto" w:fill="auto"/>
            <w:noWrap/>
            <w:vAlign w:val="center"/>
          </w:tcPr>
          <w:p w14:paraId="5A673DD4"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single" w:sz="4" w:space="0" w:color="auto"/>
              <w:left w:val="single" w:sz="6" w:space="0" w:color="auto"/>
              <w:bottom w:val="dotted" w:sz="4" w:space="0" w:color="auto"/>
              <w:right w:val="nil"/>
            </w:tcBorders>
            <w:shd w:val="clear" w:color="auto" w:fill="auto"/>
            <w:noWrap/>
            <w:vAlign w:val="center"/>
          </w:tcPr>
          <w:p w14:paraId="45BBCC0D"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single" w:sz="4" w:space="0" w:color="auto"/>
              <w:left w:val="nil"/>
              <w:bottom w:val="dotted" w:sz="4" w:space="0" w:color="auto"/>
              <w:right w:val="single" w:sz="12" w:space="0" w:color="auto"/>
            </w:tcBorders>
            <w:shd w:val="clear" w:color="auto" w:fill="auto"/>
            <w:noWrap/>
            <w:vAlign w:val="center"/>
          </w:tcPr>
          <w:p w14:paraId="508FE6FD"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r>
      <w:tr w:rsidR="004541ED" w:rsidRPr="007F425D" w14:paraId="369C0182" w14:textId="77777777" w:rsidTr="004541ED">
        <w:trPr>
          <w:trHeight w:val="300"/>
        </w:trPr>
        <w:tc>
          <w:tcPr>
            <w:tcW w:w="2567" w:type="dxa"/>
            <w:tcBorders>
              <w:top w:val="dotted" w:sz="4" w:space="0" w:color="auto"/>
              <w:left w:val="single" w:sz="12" w:space="0" w:color="auto"/>
              <w:bottom w:val="dotted" w:sz="4" w:space="0" w:color="auto"/>
              <w:right w:val="single" w:sz="4" w:space="0" w:color="auto"/>
            </w:tcBorders>
            <w:shd w:val="clear" w:color="auto" w:fill="auto"/>
            <w:noWrap/>
            <w:vAlign w:val="center"/>
            <w:hideMark/>
          </w:tcPr>
          <w:p w14:paraId="1D2DC63C"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Quarterly fixed effects</w:t>
            </w:r>
          </w:p>
        </w:tc>
        <w:tc>
          <w:tcPr>
            <w:tcW w:w="1085" w:type="dxa"/>
            <w:tcBorders>
              <w:top w:val="dotted" w:sz="4" w:space="0" w:color="auto"/>
              <w:left w:val="nil"/>
              <w:bottom w:val="dotted" w:sz="4" w:space="0" w:color="auto"/>
              <w:right w:val="single" w:sz="6" w:space="0" w:color="auto"/>
            </w:tcBorders>
            <w:shd w:val="clear" w:color="auto" w:fill="FFFFFF" w:themeFill="background1"/>
            <w:vAlign w:val="center"/>
          </w:tcPr>
          <w:p w14:paraId="001AB229" w14:textId="77777777" w:rsidR="004541ED" w:rsidRPr="008E3E16"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8E3E16">
              <w:rPr>
                <w:rFonts w:ascii="Times New Roman" w:eastAsia="Times New Roman" w:hAnsi="Times New Roman" w:cs="Times New Roman"/>
                <w:i/>
                <w:color w:val="000000"/>
                <w:sz w:val="20"/>
                <w:szCs w:val="20"/>
                <w:lang w:eastAsia="de-DE"/>
              </w:rPr>
              <w:sym w:font="Wingdings" w:char="F0FC"/>
            </w:r>
          </w:p>
        </w:tc>
        <w:tc>
          <w:tcPr>
            <w:tcW w:w="1085" w:type="dxa"/>
            <w:tcBorders>
              <w:top w:val="dotted" w:sz="4" w:space="0" w:color="auto"/>
              <w:left w:val="single" w:sz="6" w:space="0" w:color="auto"/>
              <w:bottom w:val="dotted" w:sz="4" w:space="0" w:color="auto"/>
              <w:right w:val="single" w:sz="4" w:space="0" w:color="auto"/>
            </w:tcBorders>
            <w:shd w:val="clear" w:color="auto" w:fill="auto"/>
            <w:noWrap/>
            <w:vAlign w:val="center"/>
          </w:tcPr>
          <w:p w14:paraId="1B317184"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1118" w:type="dxa"/>
            <w:tcBorders>
              <w:top w:val="dotted" w:sz="4" w:space="0" w:color="auto"/>
              <w:left w:val="nil"/>
              <w:bottom w:val="dotted" w:sz="4" w:space="0" w:color="auto"/>
              <w:right w:val="nil"/>
            </w:tcBorders>
            <w:shd w:val="clear" w:color="auto" w:fill="auto"/>
            <w:noWrap/>
            <w:vAlign w:val="center"/>
          </w:tcPr>
          <w:p w14:paraId="52DC8548"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1234" w:type="dxa"/>
            <w:tcBorders>
              <w:top w:val="dotted" w:sz="4" w:space="0" w:color="auto"/>
              <w:left w:val="nil"/>
              <w:bottom w:val="dotted" w:sz="4" w:space="0" w:color="auto"/>
              <w:right w:val="single" w:sz="6" w:space="0" w:color="auto"/>
            </w:tcBorders>
            <w:shd w:val="clear" w:color="auto" w:fill="auto"/>
            <w:noWrap/>
            <w:vAlign w:val="center"/>
          </w:tcPr>
          <w:p w14:paraId="70F20973"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1085" w:type="dxa"/>
            <w:tcBorders>
              <w:top w:val="dotted" w:sz="4" w:space="0" w:color="auto"/>
              <w:left w:val="single" w:sz="6" w:space="0" w:color="auto"/>
              <w:bottom w:val="dotted" w:sz="4" w:space="0" w:color="auto"/>
              <w:right w:val="single" w:sz="6" w:space="0" w:color="auto"/>
            </w:tcBorders>
            <w:shd w:val="clear" w:color="auto" w:fill="auto"/>
            <w:noWrap/>
            <w:vAlign w:val="center"/>
          </w:tcPr>
          <w:p w14:paraId="10616901"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dotted" w:sz="4" w:space="0" w:color="auto"/>
              <w:left w:val="single" w:sz="6" w:space="0" w:color="auto"/>
              <w:bottom w:val="dotted" w:sz="4" w:space="0" w:color="auto"/>
              <w:right w:val="nil"/>
            </w:tcBorders>
            <w:shd w:val="clear" w:color="auto" w:fill="auto"/>
            <w:noWrap/>
            <w:vAlign w:val="center"/>
          </w:tcPr>
          <w:p w14:paraId="04061852"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dotted" w:sz="4" w:space="0" w:color="auto"/>
              <w:left w:val="nil"/>
              <w:bottom w:val="dotted" w:sz="4" w:space="0" w:color="auto"/>
              <w:right w:val="single" w:sz="12" w:space="0" w:color="auto"/>
            </w:tcBorders>
            <w:shd w:val="clear" w:color="auto" w:fill="auto"/>
            <w:noWrap/>
            <w:vAlign w:val="center"/>
          </w:tcPr>
          <w:p w14:paraId="78DFA3CE"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r>
      <w:tr w:rsidR="004541ED" w:rsidRPr="007F425D" w14:paraId="70751317" w14:textId="77777777" w:rsidTr="004541ED">
        <w:trPr>
          <w:trHeight w:val="300"/>
        </w:trPr>
        <w:tc>
          <w:tcPr>
            <w:tcW w:w="2567" w:type="dxa"/>
            <w:tcBorders>
              <w:top w:val="dotted" w:sz="4" w:space="0" w:color="auto"/>
              <w:left w:val="single" w:sz="12" w:space="0" w:color="auto"/>
              <w:bottom w:val="dotted" w:sz="4" w:space="0" w:color="auto"/>
              <w:right w:val="single" w:sz="4" w:space="0" w:color="auto"/>
            </w:tcBorders>
            <w:shd w:val="clear" w:color="auto" w:fill="auto"/>
            <w:noWrap/>
            <w:vAlign w:val="center"/>
            <w:hideMark/>
          </w:tcPr>
          <w:p w14:paraId="19F2B2D1"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Non linear effects</w:t>
            </w:r>
          </w:p>
        </w:tc>
        <w:tc>
          <w:tcPr>
            <w:tcW w:w="1085" w:type="dxa"/>
            <w:tcBorders>
              <w:top w:val="dotted" w:sz="4" w:space="0" w:color="auto"/>
              <w:left w:val="nil"/>
              <w:bottom w:val="dotted" w:sz="4" w:space="0" w:color="auto"/>
              <w:right w:val="single" w:sz="6" w:space="0" w:color="auto"/>
            </w:tcBorders>
            <w:shd w:val="clear" w:color="auto" w:fill="FFFFFF" w:themeFill="background1"/>
            <w:vAlign w:val="center"/>
          </w:tcPr>
          <w:p w14:paraId="0EC2C68F" w14:textId="77777777" w:rsidR="004541ED" w:rsidRPr="008E3E16"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8E3E16">
              <w:rPr>
                <w:rFonts w:ascii="Times New Roman" w:eastAsia="Times New Roman" w:hAnsi="Times New Roman" w:cs="Times New Roman"/>
                <w:i/>
                <w:color w:val="000000"/>
                <w:sz w:val="20"/>
                <w:szCs w:val="20"/>
                <w:lang w:eastAsia="de-DE"/>
              </w:rPr>
              <w:sym w:font="Wingdings" w:char="F0FC"/>
            </w:r>
          </w:p>
        </w:tc>
        <w:tc>
          <w:tcPr>
            <w:tcW w:w="1085" w:type="dxa"/>
            <w:tcBorders>
              <w:top w:val="dotted" w:sz="4" w:space="0" w:color="auto"/>
              <w:left w:val="single" w:sz="6" w:space="0" w:color="auto"/>
              <w:bottom w:val="dotted" w:sz="4" w:space="0" w:color="auto"/>
              <w:right w:val="single" w:sz="4" w:space="0" w:color="auto"/>
            </w:tcBorders>
            <w:shd w:val="clear" w:color="auto" w:fill="auto"/>
            <w:noWrap/>
            <w:vAlign w:val="center"/>
          </w:tcPr>
          <w:p w14:paraId="61480C20"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1118" w:type="dxa"/>
            <w:tcBorders>
              <w:top w:val="dotted" w:sz="4" w:space="0" w:color="auto"/>
              <w:left w:val="nil"/>
              <w:bottom w:val="dotted" w:sz="4" w:space="0" w:color="auto"/>
              <w:right w:val="nil"/>
            </w:tcBorders>
            <w:shd w:val="clear" w:color="auto" w:fill="auto"/>
            <w:noWrap/>
            <w:vAlign w:val="center"/>
          </w:tcPr>
          <w:p w14:paraId="24061FF6"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1234" w:type="dxa"/>
            <w:tcBorders>
              <w:top w:val="dotted" w:sz="4" w:space="0" w:color="auto"/>
              <w:left w:val="nil"/>
              <w:bottom w:val="dotted" w:sz="4" w:space="0" w:color="auto"/>
              <w:right w:val="single" w:sz="6" w:space="0" w:color="auto"/>
            </w:tcBorders>
            <w:shd w:val="clear" w:color="auto" w:fill="auto"/>
            <w:noWrap/>
            <w:vAlign w:val="center"/>
          </w:tcPr>
          <w:p w14:paraId="1A04EF45"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1085" w:type="dxa"/>
            <w:tcBorders>
              <w:top w:val="dotted" w:sz="4" w:space="0" w:color="auto"/>
              <w:left w:val="single" w:sz="6" w:space="0" w:color="auto"/>
              <w:bottom w:val="dotted" w:sz="4" w:space="0" w:color="auto"/>
              <w:right w:val="single" w:sz="6" w:space="0" w:color="auto"/>
            </w:tcBorders>
            <w:shd w:val="clear" w:color="auto" w:fill="auto"/>
            <w:noWrap/>
            <w:vAlign w:val="center"/>
          </w:tcPr>
          <w:p w14:paraId="4A5BE7CF"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dotted" w:sz="4" w:space="0" w:color="auto"/>
              <w:left w:val="single" w:sz="6" w:space="0" w:color="auto"/>
              <w:bottom w:val="dotted" w:sz="4" w:space="0" w:color="auto"/>
              <w:right w:val="nil"/>
            </w:tcBorders>
            <w:shd w:val="clear" w:color="auto" w:fill="auto"/>
            <w:noWrap/>
            <w:vAlign w:val="center"/>
          </w:tcPr>
          <w:p w14:paraId="42D8BD73"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dotted" w:sz="4" w:space="0" w:color="auto"/>
              <w:left w:val="nil"/>
              <w:bottom w:val="dotted" w:sz="4" w:space="0" w:color="auto"/>
              <w:right w:val="single" w:sz="12" w:space="0" w:color="auto"/>
            </w:tcBorders>
            <w:shd w:val="clear" w:color="auto" w:fill="auto"/>
            <w:noWrap/>
            <w:vAlign w:val="center"/>
          </w:tcPr>
          <w:p w14:paraId="0FE8C909"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r>
      <w:tr w:rsidR="004541ED" w:rsidRPr="007F425D" w14:paraId="57F1D5C6" w14:textId="77777777" w:rsidTr="004541ED">
        <w:trPr>
          <w:trHeight w:val="57"/>
        </w:trPr>
        <w:tc>
          <w:tcPr>
            <w:tcW w:w="2567" w:type="dxa"/>
            <w:tcBorders>
              <w:top w:val="dotted" w:sz="4" w:space="0" w:color="auto"/>
              <w:left w:val="single" w:sz="12" w:space="0" w:color="auto"/>
              <w:bottom w:val="single" w:sz="4" w:space="0" w:color="auto"/>
              <w:right w:val="single" w:sz="4" w:space="0" w:color="auto"/>
            </w:tcBorders>
            <w:shd w:val="clear" w:color="auto" w:fill="auto"/>
            <w:noWrap/>
            <w:vAlign w:val="center"/>
            <w:hideMark/>
          </w:tcPr>
          <w:p w14:paraId="566A5BB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Spatial fixed effects</w:t>
            </w:r>
          </w:p>
        </w:tc>
        <w:tc>
          <w:tcPr>
            <w:tcW w:w="1085" w:type="dxa"/>
            <w:tcBorders>
              <w:top w:val="dotted" w:sz="4" w:space="0" w:color="auto"/>
              <w:left w:val="nil"/>
              <w:bottom w:val="single" w:sz="4" w:space="0" w:color="auto"/>
              <w:right w:val="single" w:sz="6" w:space="0" w:color="auto"/>
            </w:tcBorders>
            <w:shd w:val="clear" w:color="auto" w:fill="FFFFFF" w:themeFill="background1"/>
            <w:vAlign w:val="center"/>
          </w:tcPr>
          <w:p w14:paraId="494DF0DF" w14:textId="77777777" w:rsidR="004541ED" w:rsidRPr="008E3E16"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8E3E16">
              <w:rPr>
                <w:rFonts w:ascii="Times New Roman" w:eastAsia="Times New Roman" w:hAnsi="Times New Roman" w:cs="Times New Roman"/>
                <w:i/>
                <w:color w:val="000000"/>
                <w:sz w:val="20"/>
                <w:szCs w:val="20"/>
                <w:lang w:eastAsia="de-DE"/>
              </w:rPr>
              <w:sym w:font="Wingdings" w:char="F0FC"/>
            </w:r>
          </w:p>
        </w:tc>
        <w:tc>
          <w:tcPr>
            <w:tcW w:w="1085" w:type="dxa"/>
            <w:tcBorders>
              <w:top w:val="dotted" w:sz="4" w:space="0" w:color="auto"/>
              <w:left w:val="single" w:sz="6" w:space="0" w:color="auto"/>
              <w:bottom w:val="single" w:sz="4" w:space="0" w:color="auto"/>
              <w:right w:val="single" w:sz="4" w:space="0" w:color="auto"/>
            </w:tcBorders>
            <w:shd w:val="clear" w:color="auto" w:fill="auto"/>
            <w:noWrap/>
            <w:vAlign w:val="center"/>
          </w:tcPr>
          <w:p w14:paraId="4E1E6FFB"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1118" w:type="dxa"/>
            <w:tcBorders>
              <w:top w:val="dotted" w:sz="4" w:space="0" w:color="auto"/>
              <w:left w:val="nil"/>
              <w:bottom w:val="single" w:sz="4" w:space="0" w:color="auto"/>
              <w:right w:val="nil"/>
            </w:tcBorders>
            <w:shd w:val="clear" w:color="auto" w:fill="auto"/>
            <w:noWrap/>
            <w:vAlign w:val="center"/>
          </w:tcPr>
          <w:p w14:paraId="00BAC947"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1234" w:type="dxa"/>
            <w:tcBorders>
              <w:top w:val="dotted" w:sz="4" w:space="0" w:color="auto"/>
              <w:left w:val="nil"/>
              <w:bottom w:val="single" w:sz="4" w:space="0" w:color="auto"/>
              <w:right w:val="single" w:sz="6" w:space="0" w:color="auto"/>
            </w:tcBorders>
            <w:shd w:val="clear" w:color="auto" w:fill="auto"/>
            <w:noWrap/>
            <w:vAlign w:val="center"/>
          </w:tcPr>
          <w:p w14:paraId="18C85B26"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1085" w:type="dxa"/>
            <w:tcBorders>
              <w:top w:val="dotted" w:sz="4" w:space="0" w:color="auto"/>
              <w:left w:val="single" w:sz="6" w:space="0" w:color="auto"/>
              <w:bottom w:val="single" w:sz="4" w:space="0" w:color="auto"/>
              <w:right w:val="single" w:sz="6" w:space="0" w:color="auto"/>
            </w:tcBorders>
            <w:shd w:val="clear" w:color="auto" w:fill="auto"/>
            <w:noWrap/>
            <w:vAlign w:val="center"/>
          </w:tcPr>
          <w:p w14:paraId="595D76AE"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dotted" w:sz="4" w:space="0" w:color="auto"/>
              <w:left w:val="single" w:sz="6" w:space="0" w:color="auto"/>
              <w:bottom w:val="single" w:sz="4" w:space="0" w:color="auto"/>
              <w:right w:val="nil"/>
            </w:tcBorders>
            <w:shd w:val="clear" w:color="auto" w:fill="auto"/>
            <w:noWrap/>
            <w:vAlign w:val="center"/>
          </w:tcPr>
          <w:p w14:paraId="719EC730"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c>
          <w:tcPr>
            <w:tcW w:w="0" w:type="auto"/>
            <w:tcBorders>
              <w:top w:val="dotted" w:sz="4" w:space="0" w:color="auto"/>
              <w:left w:val="nil"/>
              <w:bottom w:val="single" w:sz="4" w:space="0" w:color="auto"/>
              <w:right w:val="single" w:sz="12" w:space="0" w:color="auto"/>
            </w:tcBorders>
            <w:shd w:val="clear" w:color="auto" w:fill="auto"/>
            <w:noWrap/>
            <w:vAlign w:val="center"/>
          </w:tcPr>
          <w:p w14:paraId="734C7A04"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i/>
                <w:color w:val="000000"/>
                <w:sz w:val="20"/>
                <w:szCs w:val="20"/>
                <w:lang w:eastAsia="de-DE"/>
              </w:rPr>
              <w:sym w:font="Wingdings" w:char="F0FC"/>
            </w:r>
          </w:p>
        </w:tc>
      </w:tr>
      <w:tr w:rsidR="004541ED" w:rsidRPr="007F425D" w14:paraId="313350FF" w14:textId="77777777" w:rsidTr="004541ED">
        <w:trPr>
          <w:trHeight w:val="50"/>
        </w:trPr>
        <w:tc>
          <w:tcPr>
            <w:tcW w:w="2567" w:type="dxa"/>
            <w:tcBorders>
              <w:top w:val="single" w:sz="4" w:space="0" w:color="auto"/>
              <w:left w:val="single" w:sz="12" w:space="0" w:color="auto"/>
              <w:bottom w:val="dotted" w:sz="4" w:space="0" w:color="auto"/>
              <w:right w:val="single" w:sz="4" w:space="0" w:color="auto"/>
            </w:tcBorders>
            <w:shd w:val="clear" w:color="auto" w:fill="auto"/>
            <w:noWrap/>
            <w:vAlign w:val="bottom"/>
            <w:hideMark/>
          </w:tcPr>
          <w:p w14:paraId="73A3038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R²</w:t>
            </w:r>
          </w:p>
        </w:tc>
        <w:tc>
          <w:tcPr>
            <w:tcW w:w="1085" w:type="dxa"/>
            <w:tcBorders>
              <w:top w:val="single" w:sz="4" w:space="0" w:color="auto"/>
              <w:left w:val="nil"/>
              <w:bottom w:val="dotted" w:sz="4" w:space="0" w:color="auto"/>
              <w:right w:val="single" w:sz="6" w:space="0" w:color="auto"/>
            </w:tcBorders>
            <w:shd w:val="clear" w:color="auto" w:fill="FFFFFF" w:themeFill="background1"/>
          </w:tcPr>
          <w:p w14:paraId="4FCBB394" w14:textId="77777777" w:rsidR="004541ED" w:rsidRPr="008E3E16" w:rsidRDefault="004541ED" w:rsidP="004541ED">
            <w:pPr>
              <w:spacing w:after="0" w:line="240" w:lineRule="auto"/>
              <w:jc w:val="center"/>
              <w:rPr>
                <w:rFonts w:ascii="Times New Roman" w:eastAsia="Times New Roman" w:hAnsi="Times New Roman" w:cs="Times New Roman"/>
                <w:color w:val="000000"/>
                <w:sz w:val="20"/>
                <w:szCs w:val="20"/>
                <w:lang w:eastAsia="de-DE"/>
              </w:rPr>
            </w:pPr>
            <w:r>
              <w:rPr>
                <w:rFonts w:ascii="Times New Roman" w:eastAsia="Times New Roman" w:hAnsi="Times New Roman" w:cs="Times New Roman"/>
                <w:color w:val="000000"/>
                <w:sz w:val="20"/>
                <w:szCs w:val="20"/>
                <w:lang w:eastAsia="de-DE"/>
              </w:rPr>
              <w:t>65.56</w:t>
            </w:r>
          </w:p>
        </w:tc>
        <w:tc>
          <w:tcPr>
            <w:tcW w:w="1085" w:type="dxa"/>
            <w:tcBorders>
              <w:top w:val="single" w:sz="4" w:space="0" w:color="auto"/>
              <w:left w:val="single" w:sz="6" w:space="0" w:color="auto"/>
              <w:bottom w:val="dotted" w:sz="4" w:space="0" w:color="auto"/>
              <w:right w:val="single" w:sz="4" w:space="0" w:color="auto"/>
            </w:tcBorders>
            <w:shd w:val="clear" w:color="auto" w:fill="auto"/>
            <w:noWrap/>
            <w:vAlign w:val="bottom"/>
            <w:hideMark/>
          </w:tcPr>
          <w:p w14:paraId="54B504B7"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Pr>
                <w:rFonts w:ascii="Times New Roman" w:eastAsia="Times New Roman" w:hAnsi="Times New Roman" w:cs="Times New Roman"/>
                <w:color w:val="000000"/>
                <w:sz w:val="20"/>
                <w:szCs w:val="20"/>
                <w:lang w:eastAsia="de-DE"/>
              </w:rPr>
              <w:t>66.17</w:t>
            </w:r>
          </w:p>
        </w:tc>
        <w:tc>
          <w:tcPr>
            <w:tcW w:w="1118" w:type="dxa"/>
            <w:tcBorders>
              <w:top w:val="single" w:sz="4" w:space="0" w:color="auto"/>
              <w:left w:val="nil"/>
              <w:bottom w:val="dotted" w:sz="4" w:space="0" w:color="auto"/>
              <w:right w:val="nil"/>
            </w:tcBorders>
            <w:shd w:val="clear" w:color="auto" w:fill="auto"/>
            <w:noWrap/>
            <w:vAlign w:val="bottom"/>
            <w:hideMark/>
          </w:tcPr>
          <w:p w14:paraId="3F82B30D"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Pr>
                <w:rFonts w:ascii="Times New Roman" w:eastAsia="Times New Roman" w:hAnsi="Times New Roman" w:cs="Times New Roman"/>
                <w:color w:val="000000"/>
                <w:sz w:val="20"/>
                <w:szCs w:val="20"/>
                <w:lang w:eastAsia="de-DE"/>
              </w:rPr>
              <w:t>66.04</w:t>
            </w:r>
          </w:p>
        </w:tc>
        <w:tc>
          <w:tcPr>
            <w:tcW w:w="1234" w:type="dxa"/>
            <w:tcBorders>
              <w:top w:val="single" w:sz="4" w:space="0" w:color="auto"/>
              <w:left w:val="nil"/>
              <w:bottom w:val="dotted" w:sz="4" w:space="0" w:color="auto"/>
              <w:right w:val="single" w:sz="6" w:space="0" w:color="auto"/>
            </w:tcBorders>
            <w:shd w:val="clear" w:color="auto" w:fill="auto"/>
            <w:noWrap/>
            <w:vAlign w:val="bottom"/>
            <w:hideMark/>
          </w:tcPr>
          <w:p w14:paraId="141BDA02"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Pr>
                <w:rFonts w:ascii="Times New Roman" w:eastAsia="Times New Roman" w:hAnsi="Times New Roman" w:cs="Times New Roman"/>
                <w:color w:val="000000"/>
                <w:sz w:val="20"/>
                <w:szCs w:val="20"/>
                <w:lang w:eastAsia="de-DE"/>
              </w:rPr>
              <w:t>65.98</w:t>
            </w:r>
          </w:p>
        </w:tc>
        <w:tc>
          <w:tcPr>
            <w:tcW w:w="1085" w:type="dxa"/>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0B8741DE"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Pr>
                <w:rFonts w:ascii="Times New Roman" w:eastAsia="Times New Roman" w:hAnsi="Times New Roman" w:cs="Times New Roman"/>
                <w:color w:val="000000"/>
                <w:sz w:val="20"/>
                <w:szCs w:val="20"/>
                <w:lang w:eastAsia="de-DE"/>
              </w:rPr>
              <w:t>64.73</w:t>
            </w:r>
          </w:p>
        </w:tc>
        <w:tc>
          <w:tcPr>
            <w:tcW w:w="0" w:type="auto"/>
            <w:tcBorders>
              <w:top w:val="single" w:sz="4" w:space="0" w:color="auto"/>
              <w:left w:val="single" w:sz="6" w:space="0" w:color="auto"/>
              <w:bottom w:val="dotted" w:sz="4" w:space="0" w:color="auto"/>
              <w:right w:val="nil"/>
            </w:tcBorders>
            <w:shd w:val="clear" w:color="auto" w:fill="auto"/>
            <w:noWrap/>
            <w:vAlign w:val="bottom"/>
            <w:hideMark/>
          </w:tcPr>
          <w:p w14:paraId="5EF68B88"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Pr>
                <w:rFonts w:ascii="Times New Roman" w:eastAsia="Times New Roman" w:hAnsi="Times New Roman" w:cs="Times New Roman"/>
                <w:color w:val="000000"/>
                <w:sz w:val="20"/>
                <w:szCs w:val="20"/>
                <w:lang w:eastAsia="de-DE"/>
              </w:rPr>
              <w:t>65.78</w:t>
            </w:r>
          </w:p>
        </w:tc>
        <w:tc>
          <w:tcPr>
            <w:tcW w:w="0" w:type="auto"/>
            <w:tcBorders>
              <w:top w:val="single" w:sz="4" w:space="0" w:color="auto"/>
              <w:left w:val="nil"/>
              <w:bottom w:val="dotted" w:sz="4" w:space="0" w:color="auto"/>
              <w:right w:val="single" w:sz="12" w:space="0" w:color="auto"/>
            </w:tcBorders>
            <w:shd w:val="clear" w:color="auto" w:fill="auto"/>
            <w:noWrap/>
            <w:vAlign w:val="bottom"/>
            <w:hideMark/>
          </w:tcPr>
          <w:p w14:paraId="3353CEDA" w14:textId="77777777" w:rsidR="004541ED" w:rsidRPr="007F425D" w:rsidRDefault="004541ED" w:rsidP="004541ED">
            <w:pPr>
              <w:spacing w:after="0" w:line="240" w:lineRule="auto"/>
              <w:jc w:val="center"/>
              <w:rPr>
                <w:rFonts w:ascii="Times New Roman" w:eastAsia="Times New Roman" w:hAnsi="Times New Roman" w:cs="Times New Roman"/>
                <w:color w:val="000000"/>
                <w:sz w:val="20"/>
                <w:szCs w:val="20"/>
                <w:lang w:eastAsia="de-DE"/>
              </w:rPr>
            </w:pPr>
            <w:r>
              <w:rPr>
                <w:rFonts w:ascii="Times New Roman" w:eastAsia="Times New Roman" w:hAnsi="Times New Roman" w:cs="Times New Roman"/>
                <w:color w:val="000000"/>
                <w:sz w:val="20"/>
                <w:szCs w:val="20"/>
                <w:lang w:eastAsia="de-DE"/>
              </w:rPr>
              <w:t>64.37</w:t>
            </w:r>
          </w:p>
        </w:tc>
      </w:tr>
      <w:tr w:rsidR="004541ED" w:rsidRPr="007F425D" w14:paraId="1E55185E" w14:textId="77777777" w:rsidTr="004541ED">
        <w:trPr>
          <w:trHeight w:val="45"/>
        </w:trPr>
        <w:tc>
          <w:tcPr>
            <w:tcW w:w="2567" w:type="dxa"/>
            <w:tcBorders>
              <w:top w:val="dotted" w:sz="4" w:space="0" w:color="auto"/>
              <w:left w:val="single" w:sz="12" w:space="0" w:color="auto"/>
              <w:bottom w:val="single" w:sz="12" w:space="0" w:color="auto"/>
              <w:right w:val="single" w:sz="4" w:space="0" w:color="auto"/>
            </w:tcBorders>
            <w:shd w:val="clear" w:color="auto" w:fill="auto"/>
            <w:noWrap/>
            <w:vAlign w:val="bottom"/>
            <w:hideMark/>
          </w:tcPr>
          <w:p w14:paraId="18B70B46"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N</w:t>
            </w:r>
          </w:p>
        </w:tc>
        <w:tc>
          <w:tcPr>
            <w:tcW w:w="1085" w:type="dxa"/>
            <w:tcBorders>
              <w:top w:val="dotted" w:sz="4" w:space="0" w:color="auto"/>
              <w:left w:val="nil"/>
              <w:bottom w:val="single" w:sz="12" w:space="0" w:color="auto"/>
              <w:right w:val="single" w:sz="6" w:space="0" w:color="auto"/>
            </w:tcBorders>
            <w:shd w:val="clear" w:color="auto" w:fill="FFFFFF" w:themeFill="background1"/>
          </w:tcPr>
          <w:p w14:paraId="41383E97" w14:textId="77777777" w:rsidR="004541ED" w:rsidRPr="008E3E16" w:rsidRDefault="004541ED" w:rsidP="004541ED">
            <w:pPr>
              <w:spacing w:after="0" w:line="240" w:lineRule="auto"/>
              <w:rPr>
                <w:rFonts w:ascii="Times New Roman" w:eastAsia="Times New Roman" w:hAnsi="Times New Roman" w:cs="Times New Roman"/>
                <w:color w:val="000000"/>
                <w:sz w:val="20"/>
                <w:szCs w:val="20"/>
                <w:lang w:eastAsia="de-DE"/>
              </w:rPr>
            </w:pPr>
            <w:r w:rsidRPr="008E3E16">
              <w:rPr>
                <w:rFonts w:ascii="Times New Roman" w:eastAsia="Times New Roman" w:hAnsi="Times New Roman" w:cs="Times New Roman"/>
                <w:color w:val="000000"/>
                <w:sz w:val="20"/>
                <w:szCs w:val="20"/>
                <w:lang w:eastAsia="de-DE"/>
              </w:rPr>
              <w:t>1</w:t>
            </w:r>
            <w:r>
              <w:rPr>
                <w:rFonts w:ascii="Times New Roman" w:eastAsia="Times New Roman" w:hAnsi="Times New Roman" w:cs="Times New Roman"/>
                <w:color w:val="000000"/>
                <w:sz w:val="20"/>
                <w:szCs w:val="20"/>
                <w:lang w:eastAsia="de-DE"/>
              </w:rPr>
              <w:t>,</w:t>
            </w:r>
            <w:r w:rsidRPr="008E3E16">
              <w:rPr>
                <w:rFonts w:ascii="Times New Roman" w:eastAsia="Times New Roman" w:hAnsi="Times New Roman" w:cs="Times New Roman"/>
                <w:color w:val="000000"/>
                <w:sz w:val="20"/>
                <w:szCs w:val="20"/>
                <w:lang w:eastAsia="de-DE"/>
              </w:rPr>
              <w:t>029</w:t>
            </w:r>
            <w:r>
              <w:rPr>
                <w:rFonts w:ascii="Times New Roman" w:eastAsia="Times New Roman" w:hAnsi="Times New Roman" w:cs="Times New Roman"/>
                <w:color w:val="000000"/>
                <w:sz w:val="20"/>
                <w:szCs w:val="20"/>
                <w:lang w:eastAsia="de-DE"/>
              </w:rPr>
              <w:t>,</w:t>
            </w:r>
            <w:r w:rsidRPr="008E3E16">
              <w:rPr>
                <w:rFonts w:ascii="Times New Roman" w:eastAsia="Times New Roman" w:hAnsi="Times New Roman" w:cs="Times New Roman"/>
                <w:color w:val="000000"/>
                <w:sz w:val="20"/>
                <w:szCs w:val="20"/>
                <w:lang w:eastAsia="de-DE"/>
              </w:rPr>
              <w:t>202</w:t>
            </w:r>
          </w:p>
        </w:tc>
        <w:tc>
          <w:tcPr>
            <w:tcW w:w="1085" w:type="dxa"/>
            <w:tcBorders>
              <w:top w:val="dotted" w:sz="4" w:space="0" w:color="auto"/>
              <w:left w:val="single" w:sz="6" w:space="0" w:color="auto"/>
              <w:bottom w:val="single" w:sz="12" w:space="0" w:color="auto"/>
              <w:right w:val="single" w:sz="4" w:space="0" w:color="auto"/>
            </w:tcBorders>
            <w:shd w:val="clear" w:color="auto" w:fill="auto"/>
            <w:noWrap/>
            <w:vAlign w:val="bottom"/>
            <w:hideMark/>
          </w:tcPr>
          <w:p w14:paraId="25C60F9B"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187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478</w:t>
            </w:r>
          </w:p>
        </w:tc>
        <w:tc>
          <w:tcPr>
            <w:tcW w:w="1118" w:type="dxa"/>
            <w:tcBorders>
              <w:top w:val="dotted" w:sz="4" w:space="0" w:color="auto"/>
              <w:left w:val="nil"/>
              <w:bottom w:val="single" w:sz="12" w:space="0" w:color="auto"/>
              <w:right w:val="nil"/>
            </w:tcBorders>
            <w:shd w:val="clear" w:color="auto" w:fill="auto"/>
            <w:noWrap/>
            <w:vAlign w:val="bottom"/>
            <w:hideMark/>
          </w:tcPr>
          <w:p w14:paraId="3A51849A"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59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492</w:t>
            </w:r>
          </w:p>
        </w:tc>
        <w:tc>
          <w:tcPr>
            <w:tcW w:w="1234" w:type="dxa"/>
            <w:tcBorders>
              <w:top w:val="dotted" w:sz="4" w:space="0" w:color="auto"/>
              <w:left w:val="nil"/>
              <w:bottom w:val="single" w:sz="12" w:space="0" w:color="auto"/>
              <w:right w:val="single" w:sz="6" w:space="0" w:color="auto"/>
            </w:tcBorders>
            <w:shd w:val="clear" w:color="auto" w:fill="auto"/>
            <w:noWrap/>
            <w:vAlign w:val="bottom"/>
            <w:hideMark/>
          </w:tcPr>
          <w:p w14:paraId="6458D2DF"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127</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986</w:t>
            </w:r>
          </w:p>
        </w:tc>
        <w:tc>
          <w:tcPr>
            <w:tcW w:w="1085" w:type="dxa"/>
            <w:tcBorders>
              <w:top w:val="dotted" w:sz="4" w:space="0" w:color="auto"/>
              <w:left w:val="single" w:sz="6" w:space="0" w:color="auto"/>
              <w:bottom w:val="single" w:sz="12" w:space="0" w:color="auto"/>
              <w:right w:val="single" w:sz="6" w:space="0" w:color="auto"/>
            </w:tcBorders>
            <w:shd w:val="clear" w:color="auto" w:fill="auto"/>
            <w:noWrap/>
            <w:vAlign w:val="bottom"/>
            <w:hideMark/>
          </w:tcPr>
          <w:p w14:paraId="3E9EA76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 841</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724</w:t>
            </w:r>
          </w:p>
        </w:tc>
        <w:tc>
          <w:tcPr>
            <w:tcW w:w="0" w:type="auto"/>
            <w:tcBorders>
              <w:top w:val="dotted" w:sz="4" w:space="0" w:color="auto"/>
              <w:left w:val="single" w:sz="6" w:space="0" w:color="auto"/>
              <w:bottom w:val="single" w:sz="12" w:space="0" w:color="auto"/>
              <w:right w:val="nil"/>
            </w:tcBorders>
            <w:shd w:val="clear" w:color="auto" w:fill="auto"/>
            <w:noWrap/>
            <w:vAlign w:val="bottom"/>
            <w:hideMark/>
          </w:tcPr>
          <w:p w14:paraId="6789E872"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169</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040</w:t>
            </w:r>
          </w:p>
        </w:tc>
        <w:tc>
          <w:tcPr>
            <w:tcW w:w="0" w:type="auto"/>
            <w:tcBorders>
              <w:top w:val="dotted" w:sz="4" w:space="0" w:color="auto"/>
              <w:left w:val="nil"/>
              <w:bottom w:val="single" w:sz="12" w:space="0" w:color="auto"/>
              <w:right w:val="single" w:sz="12" w:space="0" w:color="auto"/>
            </w:tcBorders>
            <w:shd w:val="clear" w:color="auto" w:fill="auto"/>
            <w:noWrap/>
            <w:vAlign w:val="bottom"/>
            <w:hideMark/>
          </w:tcPr>
          <w:p w14:paraId="30A7542D"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color w:val="000000"/>
                <w:sz w:val="20"/>
                <w:szCs w:val="20"/>
                <w:lang w:eastAsia="de-DE"/>
              </w:rPr>
              <w:t>645</w:t>
            </w:r>
            <w:r>
              <w:rPr>
                <w:rFonts w:ascii="Times New Roman" w:eastAsia="Times New Roman" w:hAnsi="Times New Roman" w:cs="Times New Roman"/>
                <w:color w:val="000000"/>
                <w:sz w:val="20"/>
                <w:szCs w:val="20"/>
                <w:lang w:eastAsia="de-DE"/>
              </w:rPr>
              <w:t>,</w:t>
            </w:r>
            <w:r w:rsidRPr="007F425D">
              <w:rPr>
                <w:rFonts w:ascii="Times New Roman" w:eastAsia="Times New Roman" w:hAnsi="Times New Roman" w:cs="Times New Roman"/>
                <w:color w:val="000000"/>
                <w:sz w:val="20"/>
                <w:szCs w:val="20"/>
                <w:lang w:eastAsia="de-DE"/>
              </w:rPr>
              <w:t>684</w:t>
            </w:r>
          </w:p>
        </w:tc>
      </w:tr>
      <w:tr w:rsidR="004541ED" w:rsidRPr="003D0E92" w14:paraId="7C400622" w14:textId="77777777" w:rsidTr="004541ED">
        <w:trPr>
          <w:trHeight w:val="1125"/>
        </w:trPr>
        <w:tc>
          <w:tcPr>
            <w:tcW w:w="10277" w:type="dxa"/>
            <w:gridSpan w:val="8"/>
            <w:tcBorders>
              <w:top w:val="single" w:sz="12" w:space="0" w:color="auto"/>
              <w:left w:val="nil"/>
              <w:bottom w:val="nil"/>
              <w:right w:val="nil"/>
            </w:tcBorders>
          </w:tcPr>
          <w:p w14:paraId="419495B5" w14:textId="77777777" w:rsidR="004541ED" w:rsidRPr="007F425D" w:rsidRDefault="004541ED" w:rsidP="004541ED">
            <w:pPr>
              <w:spacing w:after="0" w:line="240" w:lineRule="auto"/>
              <w:rPr>
                <w:rFonts w:ascii="Times New Roman" w:eastAsia="Times New Roman" w:hAnsi="Times New Roman" w:cs="Times New Roman"/>
                <w:color w:val="000000"/>
                <w:sz w:val="20"/>
                <w:szCs w:val="20"/>
                <w:lang w:eastAsia="de-DE"/>
              </w:rPr>
            </w:pPr>
            <w:r w:rsidRPr="007F425D">
              <w:rPr>
                <w:rFonts w:ascii="Times New Roman" w:eastAsia="Times New Roman" w:hAnsi="Times New Roman" w:cs="Times New Roman"/>
                <w:b/>
                <w:color w:val="000000"/>
                <w:sz w:val="16"/>
                <w:szCs w:val="20"/>
                <w:lang w:eastAsia="de-DE"/>
              </w:rPr>
              <w:t>Notes</w:t>
            </w:r>
            <w:r w:rsidRPr="007F425D">
              <w:rPr>
                <w:rFonts w:ascii="Times New Roman" w:eastAsia="Times New Roman" w:hAnsi="Times New Roman" w:cs="Times New Roman"/>
                <w:color w:val="000000"/>
                <w:sz w:val="16"/>
                <w:szCs w:val="20"/>
                <w:lang w:eastAsia="de-DE"/>
              </w:rPr>
              <w:t>:</w:t>
            </w:r>
            <w:r w:rsidRPr="008E3E16">
              <w:rPr>
                <w:rFonts w:ascii="Times New Roman" w:eastAsia="Times New Roman" w:hAnsi="Times New Roman" w:cs="Times New Roman"/>
                <w:color w:val="000000"/>
                <w:sz w:val="16"/>
                <w:szCs w:val="20"/>
                <w:vertAlign w:val="superscript"/>
                <w:lang w:eastAsia="de-DE"/>
              </w:rPr>
              <w:t>*</w:t>
            </w:r>
            <w:r w:rsidRPr="007F425D">
              <w:rPr>
                <w:rFonts w:ascii="Times New Roman" w:eastAsia="Times New Roman" w:hAnsi="Times New Roman" w:cs="Times New Roman"/>
                <w:color w:val="000000"/>
                <w:sz w:val="16"/>
                <w:szCs w:val="20"/>
                <w:lang w:eastAsia="de-DE"/>
              </w:rPr>
              <w:t xml:space="preserve">Significant at the 10%-level; </w:t>
            </w:r>
            <w:r w:rsidRPr="008E3E16">
              <w:rPr>
                <w:rFonts w:ascii="Times New Roman" w:eastAsia="Times New Roman" w:hAnsi="Times New Roman" w:cs="Times New Roman"/>
                <w:color w:val="000000"/>
                <w:sz w:val="16"/>
                <w:szCs w:val="20"/>
                <w:vertAlign w:val="superscript"/>
                <w:lang w:eastAsia="de-DE"/>
              </w:rPr>
              <w:t>**</w:t>
            </w:r>
            <w:r w:rsidRPr="007F425D">
              <w:rPr>
                <w:rFonts w:ascii="Times New Roman" w:eastAsia="Times New Roman" w:hAnsi="Times New Roman" w:cs="Times New Roman"/>
                <w:color w:val="000000"/>
                <w:sz w:val="16"/>
                <w:szCs w:val="20"/>
                <w:lang w:eastAsia="de-DE"/>
              </w:rPr>
              <w:t xml:space="preserve"> significant at the 5%-level; </w:t>
            </w:r>
            <w:r w:rsidRPr="008E3E16">
              <w:rPr>
                <w:rFonts w:ascii="Times New Roman" w:eastAsia="Times New Roman" w:hAnsi="Times New Roman" w:cs="Times New Roman"/>
                <w:color w:val="000000"/>
                <w:sz w:val="16"/>
                <w:szCs w:val="20"/>
                <w:vertAlign w:val="superscript"/>
                <w:lang w:eastAsia="de-DE"/>
              </w:rPr>
              <w:t>***</w:t>
            </w:r>
            <w:r w:rsidRPr="007F425D">
              <w:rPr>
                <w:rFonts w:ascii="Times New Roman" w:eastAsia="Times New Roman" w:hAnsi="Times New Roman" w:cs="Times New Roman"/>
                <w:color w:val="000000"/>
                <w:sz w:val="16"/>
                <w:szCs w:val="20"/>
                <w:lang w:eastAsia="de-DE"/>
              </w:rPr>
              <w:t xml:space="preserve"> significant at the 1%-level. The exhibit shows the regression results of a semiparametric cox regression of dwellings’ time-on-market in weeks on hedonic, spatial and socioeconomic covariates. The results are presented as coefficients, while significant values </w:t>
            </w:r>
            <w:r>
              <w:rPr>
                <w:rFonts w:ascii="Times New Roman" w:eastAsia="Times New Roman" w:hAnsi="Times New Roman" w:cs="Times New Roman"/>
                <w:color w:val="000000"/>
                <w:sz w:val="16"/>
                <w:szCs w:val="20"/>
                <w:lang w:eastAsia="de-DE"/>
              </w:rPr>
              <w:t xml:space="preserve">&gt;1 </w:t>
            </w:r>
            <w:r w:rsidRPr="007F425D">
              <w:rPr>
                <w:rFonts w:ascii="Times New Roman" w:eastAsia="Times New Roman" w:hAnsi="Times New Roman" w:cs="Times New Roman"/>
                <w:color w:val="000000"/>
                <w:sz w:val="16"/>
                <w:szCs w:val="20"/>
                <w:lang w:eastAsia="de-DE"/>
              </w:rPr>
              <w:t xml:space="preserve">shorten the survival and thus increase the assets’ liquidity, significant coefficients </w:t>
            </w:r>
            <w:r>
              <w:rPr>
                <w:rFonts w:ascii="Times New Roman" w:eastAsia="Times New Roman" w:hAnsi="Times New Roman" w:cs="Times New Roman"/>
                <w:color w:val="000000"/>
                <w:sz w:val="16"/>
                <w:szCs w:val="20"/>
                <w:lang w:eastAsia="de-DE"/>
              </w:rPr>
              <w:t xml:space="preserve">&lt;1 </w:t>
            </w:r>
            <w:r w:rsidRPr="007F425D">
              <w:rPr>
                <w:rFonts w:ascii="Times New Roman" w:eastAsia="Times New Roman" w:hAnsi="Times New Roman" w:cs="Times New Roman"/>
                <w:color w:val="000000"/>
                <w:sz w:val="16"/>
                <w:szCs w:val="20"/>
                <w:lang w:eastAsia="de-DE"/>
              </w:rPr>
              <w:t>decrease the hazard rate and lengthen the survival. The Pseudo-R² based on Kendall’s Tau measures the concordance between estimated survival time and the observed survival time for only the non-censored response sample.</w:t>
            </w:r>
          </w:p>
        </w:tc>
      </w:tr>
    </w:tbl>
    <w:p w14:paraId="3F384E32" w14:textId="77777777" w:rsidR="004541ED" w:rsidRPr="007F425D" w:rsidRDefault="004541ED" w:rsidP="004541ED">
      <w:pPr>
        <w:tabs>
          <w:tab w:val="left" w:pos="1639"/>
        </w:tabs>
        <w:rPr>
          <w:rFonts w:ascii="Times New Roman" w:hAnsi="Times New Roman" w:cs="Times New Roman"/>
        </w:rPr>
      </w:pPr>
    </w:p>
    <w:p w14:paraId="6E1CBA24" w14:textId="77777777" w:rsidR="004541ED" w:rsidRPr="007F425D" w:rsidRDefault="004541ED" w:rsidP="004541ED">
      <w:pPr>
        <w:rPr>
          <w:rFonts w:ascii="Times New Roman" w:hAnsi="Times New Roman" w:cs="Times New Roman"/>
        </w:rPr>
      </w:pPr>
    </w:p>
    <w:p w14:paraId="5F1DD915" w14:textId="77777777" w:rsidR="004541ED" w:rsidRPr="007F425D" w:rsidRDefault="004541ED" w:rsidP="004541ED"/>
    <w:p w14:paraId="27E24206" w14:textId="77777777" w:rsidR="00962A3D" w:rsidRPr="00CA7575" w:rsidRDefault="00962A3D" w:rsidP="00962A3D"/>
    <w:p w14:paraId="2E0BB8E5" w14:textId="77777777" w:rsidR="00962A3D" w:rsidRPr="00CA7575" w:rsidRDefault="00962A3D" w:rsidP="00962A3D"/>
    <w:tbl>
      <w:tblPr>
        <w:tblStyle w:val="TableGrid"/>
        <w:tblW w:w="0" w:type="auto"/>
        <w:tblLook w:val="04A0" w:firstRow="1" w:lastRow="0" w:firstColumn="1" w:lastColumn="0" w:noHBand="0" w:noVBand="1"/>
      </w:tblPr>
      <w:tblGrid>
        <w:gridCol w:w="8041"/>
      </w:tblGrid>
      <w:tr w:rsidR="00962A3D" w:rsidRPr="00E15A75" w14:paraId="11FA1771" w14:textId="77777777" w:rsidTr="00311A44">
        <w:tc>
          <w:tcPr>
            <w:tcW w:w="7038" w:type="dxa"/>
            <w:tcBorders>
              <w:top w:val="nil"/>
              <w:left w:val="nil"/>
              <w:bottom w:val="single" w:sz="12" w:space="0" w:color="auto"/>
              <w:right w:val="nil"/>
            </w:tcBorders>
          </w:tcPr>
          <w:p w14:paraId="12C1056E" w14:textId="77777777" w:rsidR="00962A3D" w:rsidRPr="00CA7575" w:rsidRDefault="00962A3D" w:rsidP="00311A44">
            <w:pPr>
              <w:rPr>
                <w:rFonts w:ascii="Times New Roman" w:eastAsia="Times New Roman" w:hAnsi="Times New Roman" w:cs="Times New Roman"/>
                <w:b/>
                <w:color w:val="000000"/>
                <w:sz w:val="20"/>
                <w:szCs w:val="20"/>
                <w:lang w:eastAsia="de-DE"/>
              </w:rPr>
            </w:pPr>
            <w:r w:rsidRPr="00CA7575">
              <w:rPr>
                <w:rFonts w:ascii="Times New Roman" w:eastAsia="Times New Roman" w:hAnsi="Times New Roman" w:cs="Times New Roman"/>
                <w:b/>
                <w:color w:val="000000"/>
                <w:szCs w:val="20"/>
                <w:lang w:eastAsia="de-DE"/>
              </w:rPr>
              <w:t>Figure 1: Spatial description of sample across German NUTS3 areas</w:t>
            </w:r>
          </w:p>
        </w:tc>
      </w:tr>
      <w:tr w:rsidR="00962A3D" w:rsidRPr="00474145" w14:paraId="4772913F" w14:textId="77777777" w:rsidTr="00311A44">
        <w:tc>
          <w:tcPr>
            <w:tcW w:w="7038" w:type="dxa"/>
            <w:tcBorders>
              <w:top w:val="single" w:sz="12" w:space="0" w:color="auto"/>
              <w:left w:val="single" w:sz="12" w:space="0" w:color="auto"/>
              <w:bottom w:val="single" w:sz="12" w:space="0" w:color="auto"/>
              <w:right w:val="single" w:sz="12" w:space="0" w:color="auto"/>
            </w:tcBorders>
          </w:tcPr>
          <w:p w14:paraId="426212A8" w14:textId="77777777" w:rsidR="00962A3D" w:rsidRPr="00474145" w:rsidRDefault="00962A3D" w:rsidP="00311A44">
            <w:r>
              <w:rPr>
                <w:noProof/>
              </w:rPr>
              <w:lastRenderedPageBreak/>
              <w:drawing>
                <wp:inline distT="0" distB="0" distL="0" distR="0" wp14:anchorId="619A6015" wp14:editId="7A64F738">
                  <wp:extent cx="4968875" cy="590740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8875" cy="5907405"/>
                          </a:xfrm>
                          <a:prstGeom prst="rect">
                            <a:avLst/>
                          </a:prstGeom>
                          <a:noFill/>
                        </pic:spPr>
                      </pic:pic>
                    </a:graphicData>
                  </a:graphic>
                </wp:inline>
              </w:drawing>
            </w:r>
          </w:p>
        </w:tc>
      </w:tr>
      <w:tr w:rsidR="00962A3D" w:rsidRPr="00E15A75" w14:paraId="1C7E006B" w14:textId="77777777" w:rsidTr="00311A44">
        <w:tc>
          <w:tcPr>
            <w:tcW w:w="7038" w:type="dxa"/>
            <w:tcBorders>
              <w:top w:val="single" w:sz="12" w:space="0" w:color="auto"/>
              <w:left w:val="nil"/>
              <w:bottom w:val="nil"/>
              <w:right w:val="nil"/>
            </w:tcBorders>
          </w:tcPr>
          <w:p w14:paraId="113AEC0A" w14:textId="77777777" w:rsidR="00962A3D" w:rsidRPr="00CA7575" w:rsidRDefault="00962A3D" w:rsidP="00311A44">
            <w:r w:rsidRPr="00D810AF">
              <w:rPr>
                <w:rFonts w:ascii="Times New Roman" w:eastAsia="Times New Roman" w:hAnsi="Times New Roman" w:cs="Times New Roman"/>
                <w:b/>
                <w:color w:val="000000"/>
                <w:sz w:val="16"/>
                <w:szCs w:val="20"/>
                <w:lang w:eastAsia="de-DE"/>
              </w:rPr>
              <w:t>Notes</w:t>
            </w:r>
            <w:r w:rsidRPr="00D810AF">
              <w:rPr>
                <w:rFonts w:ascii="Times New Roman" w:eastAsia="Times New Roman" w:hAnsi="Times New Roman" w:cs="Times New Roman"/>
                <w:color w:val="000000"/>
                <w:sz w:val="16"/>
                <w:szCs w:val="20"/>
                <w:lang w:eastAsia="de-DE"/>
              </w:rPr>
              <w:t xml:space="preserve">: Sample includes </w:t>
            </w:r>
            <w:r>
              <w:rPr>
                <w:rFonts w:ascii="Times New Roman" w:eastAsia="Times New Roman" w:hAnsi="Times New Roman" w:cs="Times New Roman"/>
                <w:color w:val="000000"/>
                <w:sz w:val="16"/>
                <w:szCs w:val="20"/>
                <w:lang w:eastAsia="de-DE"/>
              </w:rPr>
              <w:t>1,029,202</w:t>
            </w:r>
            <w:r w:rsidRPr="00D810AF">
              <w:rPr>
                <w:rFonts w:ascii="Times New Roman" w:eastAsia="Times New Roman" w:hAnsi="Times New Roman" w:cs="Times New Roman"/>
                <w:color w:val="000000"/>
                <w:sz w:val="16"/>
                <w:szCs w:val="20"/>
                <w:lang w:eastAsia="de-DE"/>
              </w:rPr>
              <w:t xml:space="preserve"> observations of internet offers of rental flats in Germany from 2013Q1 until 2016Q4 across 403 NUTS3 regions. Agglomeration of points refers to spatial concentration, i.e. the darker the area the higher is the agglomeration of observations. </w:t>
            </w:r>
          </w:p>
        </w:tc>
      </w:tr>
    </w:tbl>
    <w:p w14:paraId="28E2D8F9" w14:textId="77777777" w:rsidR="00962A3D" w:rsidRPr="00CA7575" w:rsidRDefault="00962A3D" w:rsidP="00962A3D"/>
    <w:p w14:paraId="21AA829B" w14:textId="77777777" w:rsidR="00962A3D" w:rsidRDefault="00962A3D" w:rsidP="00962A3D">
      <w:r>
        <w:br w:type="page"/>
      </w:r>
    </w:p>
    <w:tbl>
      <w:tblPr>
        <w:tblStyle w:val="TableGrid"/>
        <w:tblW w:w="0" w:type="auto"/>
        <w:tblLook w:val="04A0" w:firstRow="1" w:lastRow="0" w:firstColumn="1" w:lastColumn="0" w:noHBand="0" w:noVBand="1"/>
      </w:tblPr>
      <w:tblGrid>
        <w:gridCol w:w="9072"/>
      </w:tblGrid>
      <w:tr w:rsidR="00962A3D" w:rsidRPr="00E15A75" w14:paraId="1AFB1ECC" w14:textId="77777777" w:rsidTr="00311A44">
        <w:tc>
          <w:tcPr>
            <w:tcW w:w="9322" w:type="dxa"/>
            <w:tcBorders>
              <w:top w:val="nil"/>
              <w:left w:val="nil"/>
              <w:bottom w:val="single" w:sz="4" w:space="0" w:color="auto"/>
              <w:right w:val="nil"/>
            </w:tcBorders>
          </w:tcPr>
          <w:p w14:paraId="256125FD" w14:textId="77777777" w:rsidR="00962A3D" w:rsidRPr="00D810AF" w:rsidRDefault="00962A3D" w:rsidP="00311A44">
            <w:r w:rsidRPr="00D810AF">
              <w:rPr>
                <w:rFonts w:ascii="Times New Roman" w:hAnsi="Times New Roman" w:cs="Times New Roman"/>
                <w:b/>
              </w:rPr>
              <w:lastRenderedPageBreak/>
              <w:t xml:space="preserve">Figure 2: </w:t>
            </w:r>
            <w:r>
              <w:rPr>
                <w:rFonts w:ascii="Times New Roman" w:hAnsi="Times New Roman" w:cs="Times New Roman"/>
                <w:b/>
              </w:rPr>
              <w:t>Relative willingness to pay for energy efficiency by samples</w:t>
            </w:r>
          </w:p>
        </w:tc>
      </w:tr>
      <w:tr w:rsidR="00962A3D" w:rsidRPr="00D810AF" w14:paraId="5FAB85A8" w14:textId="77777777" w:rsidTr="00311A44">
        <w:tblPrEx>
          <w:tblCellMar>
            <w:left w:w="70" w:type="dxa"/>
            <w:right w:w="70" w:type="dxa"/>
          </w:tblCellMar>
        </w:tblPrEx>
        <w:tc>
          <w:tcPr>
            <w:tcW w:w="9322" w:type="dxa"/>
            <w:tcBorders>
              <w:bottom w:val="nil"/>
            </w:tcBorders>
          </w:tcPr>
          <w:p w14:paraId="2ED94151" w14:textId="77777777" w:rsidR="00962A3D" w:rsidRPr="00D810AF" w:rsidRDefault="00962A3D" w:rsidP="00311A44">
            <w:pPr>
              <w:tabs>
                <w:tab w:val="left" w:pos="4496"/>
              </w:tabs>
              <w:jc w:val="center"/>
            </w:pPr>
            <w:r w:rsidRPr="00D810AF">
              <w:rPr>
                <w:noProof/>
              </w:rPr>
              <w:drawing>
                <wp:inline distT="0" distB="0" distL="0" distR="0" wp14:anchorId="0E6D0746" wp14:editId="07BCB983">
                  <wp:extent cx="5602529" cy="3824253"/>
                  <wp:effectExtent l="0" t="0" r="0" b="5080"/>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962A3D" w:rsidRPr="0046533F" w14:paraId="1B8D2056" w14:textId="77777777" w:rsidTr="00311A44">
        <w:trPr>
          <w:trHeight w:val="152"/>
        </w:trPr>
        <w:tc>
          <w:tcPr>
            <w:tcW w:w="9322" w:type="dxa"/>
            <w:tcBorders>
              <w:left w:val="nil"/>
              <w:bottom w:val="nil"/>
              <w:right w:val="nil"/>
            </w:tcBorders>
          </w:tcPr>
          <w:p w14:paraId="523377F0" w14:textId="77777777" w:rsidR="00962A3D" w:rsidRPr="00CA7575" w:rsidRDefault="00962A3D" w:rsidP="00311A44">
            <w:pPr>
              <w:rPr>
                <w:rFonts w:ascii="Times New Roman" w:hAnsi="Times New Roman" w:cs="Times New Roman"/>
              </w:rPr>
            </w:pPr>
            <w:r w:rsidRPr="00D810AF">
              <w:rPr>
                <w:rFonts w:ascii="Times New Roman" w:hAnsi="Times New Roman" w:cs="Times New Roman"/>
                <w:sz w:val="16"/>
              </w:rPr>
              <w:t xml:space="preserve">Notes: </w:t>
            </w:r>
            <w:r w:rsidRPr="007F425D">
              <w:rPr>
                <w:rFonts w:ascii="Times New Roman" w:eastAsia="Times New Roman" w:hAnsi="Times New Roman" w:cs="Times New Roman"/>
                <w:color w:val="000000"/>
                <w:sz w:val="16"/>
                <w:szCs w:val="20"/>
                <w:lang w:eastAsia="de-DE"/>
              </w:rPr>
              <w:t xml:space="preserve">The exhibit shows the regression results of a semiparametric regression estimated via Generalized Additive Model for Location, Scale and Shape (GAMLSS) under the normal distribution. Rents in log €/p.m. </w:t>
            </w:r>
          </w:p>
        </w:tc>
      </w:tr>
    </w:tbl>
    <w:p w14:paraId="101E372C" w14:textId="77777777" w:rsidR="00962A3D" w:rsidRPr="00CA7575" w:rsidRDefault="00962A3D" w:rsidP="00962A3D"/>
    <w:p w14:paraId="723741BD" w14:textId="77777777" w:rsidR="00962A3D" w:rsidRDefault="00962A3D" w:rsidP="00962A3D">
      <w:r>
        <w:br w:type="page"/>
      </w:r>
    </w:p>
    <w:p w14:paraId="4CE1D6B0" w14:textId="77777777" w:rsidR="00962A3D" w:rsidRPr="00CA7575" w:rsidRDefault="00962A3D" w:rsidP="00962A3D"/>
    <w:tbl>
      <w:tblPr>
        <w:tblStyle w:val="TableGrid"/>
        <w:tblW w:w="0" w:type="auto"/>
        <w:tblLook w:val="04A0" w:firstRow="1" w:lastRow="0" w:firstColumn="1" w:lastColumn="0" w:noHBand="0" w:noVBand="1"/>
      </w:tblPr>
      <w:tblGrid>
        <w:gridCol w:w="9072"/>
      </w:tblGrid>
      <w:tr w:rsidR="00962A3D" w:rsidRPr="00E15A75" w14:paraId="0BCAEF01" w14:textId="77777777" w:rsidTr="00311A44">
        <w:tc>
          <w:tcPr>
            <w:tcW w:w="14180" w:type="dxa"/>
            <w:tcBorders>
              <w:top w:val="nil"/>
              <w:left w:val="nil"/>
              <w:bottom w:val="single" w:sz="4" w:space="0" w:color="auto"/>
              <w:right w:val="nil"/>
            </w:tcBorders>
          </w:tcPr>
          <w:p w14:paraId="0EF5EE7D" w14:textId="77777777" w:rsidR="00962A3D" w:rsidRPr="00CA7575" w:rsidRDefault="00962A3D" w:rsidP="00311A44">
            <w:r w:rsidRPr="00CA7575">
              <w:rPr>
                <w:rFonts w:ascii="Times New Roman" w:hAnsi="Times New Roman" w:cs="Times New Roman"/>
                <w:b/>
              </w:rPr>
              <w:t xml:space="preserve">Figure </w:t>
            </w:r>
            <w:r>
              <w:rPr>
                <w:rFonts w:ascii="Times New Roman" w:hAnsi="Times New Roman" w:cs="Times New Roman"/>
                <w:b/>
              </w:rPr>
              <w:t>3</w:t>
            </w:r>
            <w:r w:rsidRPr="00CA7575">
              <w:rPr>
                <w:rFonts w:ascii="Times New Roman" w:hAnsi="Times New Roman" w:cs="Times New Roman"/>
                <w:b/>
              </w:rPr>
              <w:t>: Hedonic rent indices and portfolio performance of high and low energy consumption</w:t>
            </w:r>
          </w:p>
        </w:tc>
      </w:tr>
      <w:tr w:rsidR="00962A3D" w:rsidRPr="00CA7575" w14:paraId="3E9CB158" w14:textId="77777777" w:rsidTr="00311A44">
        <w:tblPrEx>
          <w:tblCellMar>
            <w:left w:w="70" w:type="dxa"/>
            <w:right w:w="70" w:type="dxa"/>
          </w:tblCellMar>
        </w:tblPrEx>
        <w:tc>
          <w:tcPr>
            <w:tcW w:w="14180" w:type="dxa"/>
            <w:tcBorders>
              <w:bottom w:val="nil"/>
            </w:tcBorders>
          </w:tcPr>
          <w:p w14:paraId="033FB8AF" w14:textId="77777777" w:rsidR="00962A3D" w:rsidRPr="00CA7575" w:rsidRDefault="00962A3D" w:rsidP="00311A44">
            <w:r>
              <w:rPr>
                <w:noProof/>
              </w:rPr>
              <w:drawing>
                <wp:inline distT="0" distB="0" distL="0" distR="0" wp14:anchorId="6E258917" wp14:editId="31092188">
                  <wp:extent cx="8902598" cy="3760013"/>
                  <wp:effectExtent l="0" t="0" r="0" b="0"/>
                  <wp:docPr id="8"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962A3D" w:rsidRPr="00CA7575" w14:paraId="37C22AD7" w14:textId="77777777" w:rsidTr="00311A44">
        <w:tblPrEx>
          <w:tblCellMar>
            <w:left w:w="70" w:type="dxa"/>
            <w:right w:w="70" w:type="dxa"/>
          </w:tblCellMar>
        </w:tblPrEx>
        <w:tc>
          <w:tcPr>
            <w:tcW w:w="14180" w:type="dxa"/>
            <w:tcBorders>
              <w:top w:val="nil"/>
              <w:bottom w:val="single" w:sz="4" w:space="0" w:color="auto"/>
            </w:tcBorders>
          </w:tcPr>
          <w:p w14:paraId="1C4C5769" w14:textId="77777777" w:rsidR="00962A3D" w:rsidRPr="00CA7575" w:rsidRDefault="00962A3D" w:rsidP="00311A44">
            <w:r>
              <w:rPr>
                <w:noProof/>
              </w:rPr>
              <w:drawing>
                <wp:inline distT="0" distB="0" distL="0" distR="0" wp14:anchorId="465820B8" wp14:editId="3DEC032B">
                  <wp:extent cx="8902598" cy="3767328"/>
                  <wp:effectExtent l="0" t="0" r="0" b="5080"/>
                  <wp:docPr id="2"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962A3D" w:rsidRPr="00E15A75" w14:paraId="20ED23B3" w14:textId="77777777" w:rsidTr="00311A44">
        <w:trPr>
          <w:trHeight w:val="152"/>
        </w:trPr>
        <w:tc>
          <w:tcPr>
            <w:tcW w:w="14180" w:type="dxa"/>
            <w:tcBorders>
              <w:left w:val="nil"/>
              <w:bottom w:val="nil"/>
              <w:right w:val="nil"/>
            </w:tcBorders>
          </w:tcPr>
          <w:p w14:paraId="2EF24FD3" w14:textId="77777777" w:rsidR="00962A3D" w:rsidRPr="00CA7575" w:rsidRDefault="00962A3D" w:rsidP="00311A44">
            <w:pPr>
              <w:rPr>
                <w:rFonts w:ascii="Times New Roman" w:hAnsi="Times New Roman" w:cs="Times New Roman"/>
              </w:rPr>
            </w:pPr>
            <w:r w:rsidRPr="008732D9">
              <w:rPr>
                <w:rFonts w:ascii="Times New Roman" w:hAnsi="Times New Roman" w:cs="Times New Roman"/>
                <w:sz w:val="16"/>
              </w:rPr>
              <w:t xml:space="preserve">Notes: Indices estimated as theoretical portfolios of energy efficient and inefficient dwellings with two different energy thresholds 125 kWh/m²/p.a. and 200 kWh/m²/p.a. The approach corresponds to a dummy hedonic model without imputation. </w:t>
            </w:r>
          </w:p>
        </w:tc>
      </w:tr>
    </w:tbl>
    <w:p w14:paraId="447F5FE5" w14:textId="77777777" w:rsidR="00962A3D" w:rsidRPr="00CA7575" w:rsidRDefault="00962A3D" w:rsidP="00962A3D"/>
    <w:p w14:paraId="658EB42C" w14:textId="77777777" w:rsidR="00962A3D" w:rsidRDefault="00962A3D" w:rsidP="00962A3D">
      <w:pPr>
        <w:rPr>
          <w:rFonts w:ascii="Times New Roman" w:hAnsi="Times New Roman" w:cs="Times New Roman"/>
        </w:rPr>
      </w:pPr>
      <w:r>
        <w:rPr>
          <w:rFonts w:ascii="Times New Roman" w:hAnsi="Times New Roman" w:cs="Times New Roman"/>
        </w:rPr>
        <w:br w:type="page"/>
      </w:r>
    </w:p>
    <w:p w14:paraId="2EA2EFFA" w14:textId="77777777" w:rsidR="00962A3D" w:rsidRDefault="00962A3D" w:rsidP="00962A3D">
      <w:pPr>
        <w:tabs>
          <w:tab w:val="left" w:pos="1639"/>
        </w:tabs>
        <w:rPr>
          <w:rFonts w:ascii="Times New Roman" w:hAnsi="Times New Roman" w:cs="Times New Roman"/>
        </w:rPr>
      </w:pPr>
    </w:p>
    <w:tbl>
      <w:tblPr>
        <w:tblStyle w:val="TableGrid"/>
        <w:tblpPr w:leftFromText="141" w:rightFromText="141" w:vertAnchor="text" w:tblpY="1"/>
        <w:tblOverlap w:val="never"/>
        <w:tblW w:w="0" w:type="auto"/>
        <w:tblLook w:val="04A0" w:firstRow="1" w:lastRow="0" w:firstColumn="1" w:lastColumn="0" w:noHBand="0" w:noVBand="1"/>
      </w:tblPr>
      <w:tblGrid>
        <w:gridCol w:w="9072"/>
      </w:tblGrid>
      <w:tr w:rsidR="00962A3D" w:rsidRPr="00E15A75" w14:paraId="28F69263" w14:textId="77777777" w:rsidTr="00311A44">
        <w:tc>
          <w:tcPr>
            <w:tcW w:w="9322" w:type="dxa"/>
            <w:tcBorders>
              <w:top w:val="nil"/>
              <w:left w:val="nil"/>
              <w:bottom w:val="single" w:sz="4" w:space="0" w:color="auto"/>
              <w:right w:val="nil"/>
            </w:tcBorders>
          </w:tcPr>
          <w:p w14:paraId="3BDD0431" w14:textId="77777777" w:rsidR="00962A3D" w:rsidRPr="00C23AEB" w:rsidRDefault="00962A3D" w:rsidP="00311A44">
            <w:r w:rsidRPr="00C23AEB">
              <w:rPr>
                <w:rFonts w:ascii="Times New Roman" w:hAnsi="Times New Roman" w:cs="Times New Roman"/>
                <w:b/>
              </w:rPr>
              <w:t>Figure 4: Liquidity of dwellings by energy performance categories and samples</w:t>
            </w:r>
          </w:p>
        </w:tc>
      </w:tr>
      <w:tr w:rsidR="00962A3D" w:rsidRPr="00610C8B" w14:paraId="2C7260BE" w14:textId="77777777" w:rsidTr="00311A44">
        <w:tblPrEx>
          <w:tblCellMar>
            <w:left w:w="70" w:type="dxa"/>
            <w:right w:w="70" w:type="dxa"/>
          </w:tblCellMar>
        </w:tblPrEx>
        <w:tc>
          <w:tcPr>
            <w:tcW w:w="9322" w:type="dxa"/>
            <w:tcBorders>
              <w:bottom w:val="nil"/>
            </w:tcBorders>
          </w:tcPr>
          <w:p w14:paraId="165A977D" w14:textId="77777777" w:rsidR="00962A3D" w:rsidRPr="00610C8B" w:rsidRDefault="00962A3D" w:rsidP="00311A44">
            <w:pPr>
              <w:tabs>
                <w:tab w:val="left" w:pos="4496"/>
              </w:tabs>
              <w:jc w:val="center"/>
              <w:rPr>
                <w:highlight w:val="yellow"/>
              </w:rPr>
            </w:pPr>
            <w:r>
              <w:rPr>
                <w:noProof/>
              </w:rPr>
              <w:drawing>
                <wp:inline distT="0" distB="0" distL="0" distR="0" wp14:anchorId="224257AC" wp14:editId="662A2D29">
                  <wp:extent cx="7022592" cy="4272076"/>
                  <wp:effectExtent l="0" t="0" r="6985" b="0"/>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962A3D" w:rsidRPr="00E15A75" w14:paraId="0D5E4FC3" w14:textId="77777777" w:rsidTr="00311A44">
        <w:trPr>
          <w:trHeight w:val="152"/>
        </w:trPr>
        <w:tc>
          <w:tcPr>
            <w:tcW w:w="9322" w:type="dxa"/>
            <w:tcBorders>
              <w:left w:val="nil"/>
              <w:bottom w:val="nil"/>
              <w:right w:val="nil"/>
            </w:tcBorders>
          </w:tcPr>
          <w:p w14:paraId="3AF613B1" w14:textId="77777777" w:rsidR="00962A3D" w:rsidRPr="00CA7575" w:rsidRDefault="00962A3D" w:rsidP="00311A44">
            <w:pPr>
              <w:rPr>
                <w:rFonts w:ascii="Times New Roman" w:hAnsi="Times New Roman" w:cs="Times New Roman"/>
              </w:rPr>
            </w:pPr>
            <w:r w:rsidRPr="00D810AF">
              <w:rPr>
                <w:rFonts w:ascii="Times New Roman" w:hAnsi="Times New Roman" w:cs="Times New Roman"/>
                <w:b/>
                <w:sz w:val="16"/>
              </w:rPr>
              <w:t>Notes</w:t>
            </w:r>
            <w:r w:rsidRPr="00D810AF">
              <w:rPr>
                <w:rFonts w:ascii="Times New Roman" w:hAnsi="Times New Roman" w:cs="Times New Roman"/>
                <w:sz w:val="16"/>
              </w:rPr>
              <w:t xml:space="preserve">: </w:t>
            </w:r>
            <w:r w:rsidRPr="00D810AF">
              <w:rPr>
                <w:rFonts w:ascii="Times New Roman" w:eastAsia="Times New Roman" w:hAnsi="Times New Roman" w:cs="Times New Roman"/>
                <w:color w:val="000000"/>
                <w:sz w:val="16"/>
                <w:szCs w:val="20"/>
                <w:lang w:eastAsia="de-DE"/>
              </w:rPr>
              <w:t>The exhibit shows the antilog of the coefficients a semiparametric cox regression of dwellings’ time-on-market in weeks on hedonic, spatial and socioeconomic</w:t>
            </w:r>
            <w:r w:rsidRPr="00A2111E">
              <w:rPr>
                <w:rFonts w:ascii="Times New Roman" w:eastAsia="Times New Roman" w:hAnsi="Times New Roman" w:cs="Times New Roman"/>
                <w:color w:val="000000"/>
                <w:sz w:val="16"/>
                <w:szCs w:val="20"/>
                <w:lang w:eastAsia="de-DE"/>
              </w:rPr>
              <w:t xml:space="preserve"> covariates. </w:t>
            </w:r>
            <w:r>
              <w:rPr>
                <w:rFonts w:ascii="Times New Roman" w:eastAsia="Times New Roman" w:hAnsi="Times New Roman" w:cs="Times New Roman"/>
                <w:color w:val="000000"/>
                <w:sz w:val="16"/>
                <w:szCs w:val="20"/>
                <w:lang w:eastAsia="de-DE"/>
              </w:rPr>
              <w:t>V</w:t>
            </w:r>
            <w:r w:rsidRPr="00A2111E">
              <w:rPr>
                <w:rFonts w:ascii="Times New Roman" w:eastAsia="Times New Roman" w:hAnsi="Times New Roman" w:cs="Times New Roman"/>
                <w:color w:val="000000"/>
                <w:sz w:val="16"/>
                <w:szCs w:val="20"/>
                <w:lang w:eastAsia="de-DE"/>
              </w:rPr>
              <w:t xml:space="preserve">alues </w:t>
            </w:r>
            <w:r>
              <w:rPr>
                <w:rFonts w:ascii="Times New Roman" w:eastAsia="Times New Roman" w:hAnsi="Times New Roman" w:cs="Times New Roman"/>
                <w:color w:val="000000"/>
                <w:sz w:val="16"/>
                <w:szCs w:val="20"/>
                <w:lang w:eastAsia="de-DE"/>
              </w:rPr>
              <w:t xml:space="preserve">&gt;1 </w:t>
            </w:r>
            <w:r w:rsidRPr="00A2111E">
              <w:rPr>
                <w:rFonts w:ascii="Times New Roman" w:eastAsia="Times New Roman" w:hAnsi="Times New Roman" w:cs="Times New Roman"/>
                <w:color w:val="000000"/>
                <w:sz w:val="16"/>
                <w:szCs w:val="20"/>
                <w:lang w:eastAsia="de-DE"/>
              </w:rPr>
              <w:t xml:space="preserve">shorten the survival and thus increase the assets’ liquidity, coefficients </w:t>
            </w:r>
            <w:r>
              <w:rPr>
                <w:rFonts w:ascii="Times New Roman" w:eastAsia="Times New Roman" w:hAnsi="Times New Roman" w:cs="Times New Roman"/>
                <w:color w:val="000000"/>
                <w:sz w:val="16"/>
                <w:szCs w:val="20"/>
                <w:lang w:eastAsia="de-DE"/>
              </w:rPr>
              <w:t xml:space="preserve">&lt;1 </w:t>
            </w:r>
            <w:r w:rsidRPr="00A2111E">
              <w:rPr>
                <w:rFonts w:ascii="Times New Roman" w:eastAsia="Times New Roman" w:hAnsi="Times New Roman" w:cs="Times New Roman"/>
                <w:color w:val="000000"/>
                <w:sz w:val="16"/>
                <w:szCs w:val="20"/>
                <w:lang w:eastAsia="de-DE"/>
              </w:rPr>
              <w:t>decrease the hazard rate and lengthen the survival</w:t>
            </w:r>
            <w:r>
              <w:rPr>
                <w:rFonts w:ascii="Times New Roman" w:eastAsia="Times New Roman" w:hAnsi="Times New Roman" w:cs="Times New Roman"/>
                <w:color w:val="000000"/>
                <w:sz w:val="16"/>
                <w:szCs w:val="20"/>
                <w:lang w:eastAsia="de-DE"/>
              </w:rPr>
              <w:t>.</w:t>
            </w:r>
          </w:p>
        </w:tc>
      </w:tr>
    </w:tbl>
    <w:p w14:paraId="762692E0" w14:textId="77777777" w:rsidR="00962A3D" w:rsidRDefault="00962A3D" w:rsidP="00962A3D">
      <w:pPr>
        <w:tabs>
          <w:tab w:val="left" w:pos="1639"/>
        </w:tabs>
        <w:rPr>
          <w:rFonts w:ascii="Times New Roman" w:hAnsi="Times New Roman" w:cs="Times New Roman"/>
        </w:rPr>
      </w:pPr>
      <w:r>
        <w:rPr>
          <w:rFonts w:ascii="Times New Roman" w:hAnsi="Times New Roman" w:cs="Times New Roman"/>
        </w:rPr>
        <w:br w:type="textWrapping" w:clear="all"/>
      </w:r>
    </w:p>
    <w:p w14:paraId="40DD8D91" w14:textId="77777777" w:rsidR="00962A3D" w:rsidRDefault="00962A3D" w:rsidP="00962A3D">
      <w:pPr>
        <w:tabs>
          <w:tab w:val="left" w:pos="1639"/>
        </w:tabs>
        <w:rPr>
          <w:rFonts w:ascii="Times New Roman" w:hAnsi="Times New Roman" w:cs="Times New Roman"/>
        </w:rPr>
      </w:pPr>
    </w:p>
    <w:p w14:paraId="0E8CC6A0" w14:textId="77777777" w:rsidR="00962A3D" w:rsidRDefault="00962A3D" w:rsidP="00962A3D">
      <w:pPr>
        <w:rPr>
          <w:rFonts w:ascii="Times New Roman" w:hAnsi="Times New Roman" w:cs="Times New Roman"/>
        </w:rPr>
      </w:pPr>
      <w:r>
        <w:rPr>
          <w:rFonts w:ascii="Times New Roman" w:hAnsi="Times New Roman" w:cs="Times New Roman"/>
        </w:rPr>
        <w:br w:type="page"/>
      </w:r>
    </w:p>
    <w:p w14:paraId="49AC9E86" w14:textId="77777777" w:rsidR="00962A3D" w:rsidRDefault="00962A3D" w:rsidP="00962A3D">
      <w:pPr>
        <w:tabs>
          <w:tab w:val="left" w:pos="1639"/>
        </w:tabs>
        <w:rPr>
          <w:rFonts w:ascii="Times New Roman" w:hAnsi="Times New Roman" w:cs="Times New Roman"/>
        </w:rPr>
      </w:pPr>
    </w:p>
    <w:tbl>
      <w:tblPr>
        <w:tblStyle w:val="TableGrid"/>
        <w:tblpPr w:leftFromText="141" w:rightFromText="141" w:vertAnchor="text" w:tblpY="1"/>
        <w:tblOverlap w:val="never"/>
        <w:tblW w:w="0" w:type="auto"/>
        <w:tblLook w:val="04A0" w:firstRow="1" w:lastRow="0" w:firstColumn="1" w:lastColumn="0" w:noHBand="0" w:noVBand="1"/>
      </w:tblPr>
      <w:tblGrid>
        <w:gridCol w:w="4550"/>
        <w:gridCol w:w="4522"/>
      </w:tblGrid>
      <w:tr w:rsidR="00962A3D" w:rsidRPr="00E15A75" w14:paraId="03DB8C87" w14:textId="77777777" w:rsidTr="00311A44">
        <w:tc>
          <w:tcPr>
            <w:tcW w:w="14221" w:type="dxa"/>
            <w:gridSpan w:val="2"/>
            <w:tcBorders>
              <w:top w:val="nil"/>
              <w:left w:val="nil"/>
              <w:bottom w:val="single" w:sz="4" w:space="0" w:color="auto"/>
              <w:right w:val="nil"/>
            </w:tcBorders>
          </w:tcPr>
          <w:p w14:paraId="7E4A4F92" w14:textId="77777777" w:rsidR="00962A3D" w:rsidRPr="004D66D9" w:rsidRDefault="00962A3D" w:rsidP="00311A44">
            <w:pPr>
              <w:rPr>
                <w:rFonts w:ascii="Times New Roman" w:hAnsi="Times New Roman" w:cs="Times New Roman"/>
                <w:b/>
              </w:rPr>
            </w:pPr>
            <w:r w:rsidRPr="004D66D9">
              <w:rPr>
                <w:rFonts w:ascii="Times New Roman" w:hAnsi="Times New Roman" w:cs="Times New Roman"/>
                <w:b/>
              </w:rPr>
              <w:t>Figure 5: Survival probability of a synthetic dwelling with high and low energy efficiency by cities after 10 weeks</w:t>
            </w:r>
          </w:p>
        </w:tc>
      </w:tr>
      <w:tr w:rsidR="00962A3D" w:rsidRPr="004D66D9" w14:paraId="6B9B1CD0" w14:textId="77777777" w:rsidTr="00311A44">
        <w:tblPrEx>
          <w:tblCellMar>
            <w:left w:w="70" w:type="dxa"/>
            <w:right w:w="70" w:type="dxa"/>
          </w:tblCellMar>
        </w:tblPrEx>
        <w:tc>
          <w:tcPr>
            <w:tcW w:w="14221" w:type="dxa"/>
            <w:gridSpan w:val="2"/>
            <w:tcBorders>
              <w:bottom w:val="nil"/>
            </w:tcBorders>
          </w:tcPr>
          <w:p w14:paraId="18AACD85" w14:textId="77777777" w:rsidR="00962A3D" w:rsidRPr="004D66D9" w:rsidRDefault="00962A3D" w:rsidP="00311A44">
            <w:pPr>
              <w:tabs>
                <w:tab w:val="left" w:pos="4496"/>
              </w:tabs>
              <w:jc w:val="center"/>
              <w:rPr>
                <w:rFonts w:ascii="Times New Roman" w:hAnsi="Times New Roman" w:cs="Times New Roman"/>
                <w:b/>
              </w:rPr>
            </w:pPr>
            <w:r w:rsidRPr="004D66D9">
              <w:rPr>
                <w:rFonts w:ascii="Times New Roman" w:hAnsi="Times New Roman" w:cs="Times New Roman"/>
                <w:b/>
              </w:rPr>
              <w:t>Top 7 markets</w:t>
            </w:r>
          </w:p>
        </w:tc>
      </w:tr>
      <w:tr w:rsidR="00962A3D" w:rsidRPr="004D66D9" w14:paraId="0F83AEEA" w14:textId="77777777" w:rsidTr="00311A44">
        <w:tblPrEx>
          <w:tblCellMar>
            <w:left w:w="70" w:type="dxa"/>
            <w:right w:w="70" w:type="dxa"/>
          </w:tblCellMar>
        </w:tblPrEx>
        <w:tc>
          <w:tcPr>
            <w:tcW w:w="7245" w:type="dxa"/>
            <w:tcBorders>
              <w:top w:val="nil"/>
              <w:bottom w:val="nil"/>
              <w:right w:val="nil"/>
            </w:tcBorders>
          </w:tcPr>
          <w:p w14:paraId="38AD4BED" w14:textId="77777777" w:rsidR="00962A3D" w:rsidRPr="004D66D9" w:rsidRDefault="00962A3D" w:rsidP="00311A44">
            <w:pPr>
              <w:tabs>
                <w:tab w:val="left" w:pos="4496"/>
              </w:tabs>
              <w:jc w:val="center"/>
              <w:rPr>
                <w:rFonts w:ascii="Times New Roman" w:hAnsi="Times New Roman" w:cs="Times New Roman"/>
                <w:b/>
              </w:rPr>
            </w:pPr>
            <w:r w:rsidRPr="004D66D9">
              <w:rPr>
                <w:rFonts w:ascii="Times New Roman" w:hAnsi="Times New Roman" w:cs="Times New Roman"/>
                <w:b/>
              </w:rPr>
              <w:t>Berlin</w:t>
            </w:r>
          </w:p>
        </w:tc>
        <w:tc>
          <w:tcPr>
            <w:tcW w:w="6976" w:type="dxa"/>
            <w:tcBorders>
              <w:top w:val="nil"/>
              <w:left w:val="nil"/>
              <w:bottom w:val="nil"/>
            </w:tcBorders>
          </w:tcPr>
          <w:p w14:paraId="6B46A062" w14:textId="77777777" w:rsidR="00962A3D" w:rsidRPr="004D66D9" w:rsidRDefault="00962A3D" w:rsidP="00311A44">
            <w:pPr>
              <w:tabs>
                <w:tab w:val="left" w:pos="4496"/>
              </w:tabs>
              <w:jc w:val="center"/>
              <w:rPr>
                <w:rFonts w:ascii="Times New Roman" w:hAnsi="Times New Roman" w:cs="Times New Roman"/>
                <w:b/>
              </w:rPr>
            </w:pPr>
            <w:r w:rsidRPr="004D66D9">
              <w:rPr>
                <w:rFonts w:ascii="Times New Roman" w:hAnsi="Times New Roman" w:cs="Times New Roman"/>
                <w:b/>
              </w:rPr>
              <w:t>Munich</w:t>
            </w:r>
          </w:p>
        </w:tc>
      </w:tr>
      <w:tr w:rsidR="00962A3D" w:rsidRPr="004D66D9" w14:paraId="6505B19B" w14:textId="77777777" w:rsidTr="00311A44">
        <w:tblPrEx>
          <w:tblCellMar>
            <w:left w:w="70" w:type="dxa"/>
            <w:right w:w="70" w:type="dxa"/>
          </w:tblCellMar>
        </w:tblPrEx>
        <w:tc>
          <w:tcPr>
            <w:tcW w:w="7245" w:type="dxa"/>
            <w:tcBorders>
              <w:top w:val="nil"/>
              <w:bottom w:val="single" w:sz="4" w:space="0" w:color="auto"/>
            </w:tcBorders>
          </w:tcPr>
          <w:p w14:paraId="49D9FC48" w14:textId="77777777" w:rsidR="00962A3D" w:rsidRPr="004D66D9" w:rsidRDefault="00962A3D" w:rsidP="00311A44">
            <w:pPr>
              <w:tabs>
                <w:tab w:val="left" w:pos="4496"/>
              </w:tabs>
              <w:spacing w:line="360" w:lineRule="auto"/>
              <w:jc w:val="center"/>
              <w:rPr>
                <w:rFonts w:ascii="Times New Roman" w:hAnsi="Times New Roman" w:cs="Times New Roman"/>
              </w:rPr>
            </w:pPr>
            <w:r w:rsidRPr="004D66D9">
              <w:rPr>
                <w:rFonts w:ascii="Times New Roman" w:hAnsi="Times New Roman" w:cs="Times New Roman"/>
                <w:noProof/>
              </w:rPr>
              <w:drawing>
                <wp:inline distT="0" distB="0" distL="0" distR="0" wp14:anchorId="7B136943" wp14:editId="32BA3AB5">
                  <wp:extent cx="4315968" cy="3416198"/>
                  <wp:effectExtent l="0" t="0" r="8890" b="0"/>
                  <wp:docPr id="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5017"/>
                          <a:stretch/>
                        </pic:blipFill>
                        <pic:spPr bwMode="auto">
                          <a:xfrm>
                            <a:off x="0" y="0"/>
                            <a:ext cx="4320000" cy="3419389"/>
                          </a:xfrm>
                          <a:prstGeom prst="rect">
                            <a:avLst/>
                          </a:prstGeom>
                          <a:ln>
                            <a:noFill/>
                          </a:ln>
                          <a:extLst>
                            <a:ext uri="{53640926-AAD7-44D8-BBD7-CCE9431645EC}">
                              <a14:shadowObscured xmlns:a14="http://schemas.microsoft.com/office/drawing/2010/main"/>
                            </a:ext>
                          </a:extLst>
                        </pic:spPr>
                      </pic:pic>
                    </a:graphicData>
                  </a:graphic>
                </wp:inline>
              </w:drawing>
            </w:r>
          </w:p>
        </w:tc>
        <w:tc>
          <w:tcPr>
            <w:tcW w:w="6976" w:type="dxa"/>
            <w:tcBorders>
              <w:top w:val="nil"/>
              <w:bottom w:val="single" w:sz="4" w:space="0" w:color="auto"/>
            </w:tcBorders>
          </w:tcPr>
          <w:p w14:paraId="4AB0359D" w14:textId="77777777" w:rsidR="00962A3D" w:rsidRPr="004D66D9" w:rsidRDefault="00962A3D" w:rsidP="00311A44">
            <w:pPr>
              <w:tabs>
                <w:tab w:val="left" w:pos="4496"/>
              </w:tabs>
              <w:spacing w:line="360" w:lineRule="auto"/>
              <w:jc w:val="center"/>
              <w:rPr>
                <w:rFonts w:ascii="Times New Roman" w:hAnsi="Times New Roman" w:cs="Times New Roman"/>
              </w:rPr>
            </w:pPr>
            <w:r w:rsidRPr="004D66D9">
              <w:rPr>
                <w:rFonts w:ascii="Times New Roman" w:hAnsi="Times New Roman" w:cs="Times New Roman"/>
                <w:noProof/>
              </w:rPr>
              <w:drawing>
                <wp:inline distT="0" distB="0" distL="0" distR="0" wp14:anchorId="2D6B05E6" wp14:editId="7DCE21B7">
                  <wp:extent cx="4315968" cy="3416198"/>
                  <wp:effectExtent l="0" t="0" r="889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b="5017"/>
                          <a:stretch/>
                        </pic:blipFill>
                        <pic:spPr bwMode="auto">
                          <a:xfrm>
                            <a:off x="0" y="0"/>
                            <a:ext cx="4320000" cy="3419389"/>
                          </a:xfrm>
                          <a:prstGeom prst="rect">
                            <a:avLst/>
                          </a:prstGeom>
                          <a:ln>
                            <a:noFill/>
                          </a:ln>
                          <a:extLst>
                            <a:ext uri="{53640926-AAD7-44D8-BBD7-CCE9431645EC}">
                              <a14:shadowObscured xmlns:a14="http://schemas.microsoft.com/office/drawing/2010/main"/>
                            </a:ext>
                          </a:extLst>
                        </pic:spPr>
                      </pic:pic>
                    </a:graphicData>
                  </a:graphic>
                </wp:inline>
              </w:drawing>
            </w:r>
          </w:p>
        </w:tc>
      </w:tr>
      <w:tr w:rsidR="00962A3D" w:rsidRPr="004D66D9" w14:paraId="6BA5E2C9" w14:textId="77777777" w:rsidTr="00311A44">
        <w:tblPrEx>
          <w:tblCellMar>
            <w:left w:w="70" w:type="dxa"/>
            <w:right w:w="70" w:type="dxa"/>
          </w:tblCellMar>
        </w:tblPrEx>
        <w:tc>
          <w:tcPr>
            <w:tcW w:w="14221" w:type="dxa"/>
            <w:gridSpan w:val="2"/>
            <w:tcBorders>
              <w:bottom w:val="nil"/>
            </w:tcBorders>
          </w:tcPr>
          <w:p w14:paraId="267B84E4" w14:textId="77777777" w:rsidR="00962A3D" w:rsidRPr="004D66D9" w:rsidRDefault="00962A3D" w:rsidP="00311A44">
            <w:pPr>
              <w:tabs>
                <w:tab w:val="left" w:pos="4496"/>
              </w:tabs>
              <w:spacing w:before="240"/>
              <w:jc w:val="center"/>
              <w:rPr>
                <w:rFonts w:ascii="Times New Roman" w:hAnsi="Times New Roman" w:cs="Times New Roman"/>
                <w:b/>
              </w:rPr>
            </w:pPr>
            <w:r w:rsidRPr="004D66D9">
              <w:rPr>
                <w:rFonts w:ascii="Times New Roman" w:hAnsi="Times New Roman" w:cs="Times New Roman"/>
                <w:b/>
              </w:rPr>
              <w:t>Secondary markets</w:t>
            </w:r>
          </w:p>
        </w:tc>
      </w:tr>
      <w:tr w:rsidR="00962A3D" w:rsidRPr="004D66D9" w14:paraId="509BF379" w14:textId="77777777" w:rsidTr="00311A44">
        <w:tblPrEx>
          <w:tblCellMar>
            <w:left w:w="70" w:type="dxa"/>
            <w:right w:w="70" w:type="dxa"/>
          </w:tblCellMar>
        </w:tblPrEx>
        <w:tc>
          <w:tcPr>
            <w:tcW w:w="7245" w:type="dxa"/>
            <w:tcBorders>
              <w:top w:val="nil"/>
              <w:bottom w:val="nil"/>
              <w:right w:val="nil"/>
            </w:tcBorders>
          </w:tcPr>
          <w:p w14:paraId="55FA2F8E" w14:textId="77777777" w:rsidR="00962A3D" w:rsidRPr="004D66D9" w:rsidRDefault="00962A3D" w:rsidP="00311A44">
            <w:pPr>
              <w:tabs>
                <w:tab w:val="left" w:pos="4496"/>
              </w:tabs>
              <w:jc w:val="center"/>
              <w:rPr>
                <w:rFonts w:ascii="Times New Roman" w:hAnsi="Times New Roman" w:cs="Times New Roman"/>
                <w:b/>
              </w:rPr>
            </w:pPr>
            <w:r w:rsidRPr="004D66D9">
              <w:rPr>
                <w:rFonts w:ascii="Times New Roman" w:hAnsi="Times New Roman" w:cs="Times New Roman"/>
                <w:b/>
              </w:rPr>
              <w:t>Regensburg</w:t>
            </w:r>
          </w:p>
        </w:tc>
        <w:tc>
          <w:tcPr>
            <w:tcW w:w="6976" w:type="dxa"/>
            <w:tcBorders>
              <w:top w:val="nil"/>
              <w:left w:val="nil"/>
              <w:bottom w:val="nil"/>
            </w:tcBorders>
          </w:tcPr>
          <w:p w14:paraId="79FF4235" w14:textId="77777777" w:rsidR="00962A3D" w:rsidRPr="004D66D9" w:rsidRDefault="00962A3D" w:rsidP="00311A44">
            <w:pPr>
              <w:tabs>
                <w:tab w:val="left" w:pos="4496"/>
              </w:tabs>
              <w:jc w:val="center"/>
              <w:rPr>
                <w:rFonts w:ascii="Times New Roman" w:hAnsi="Times New Roman" w:cs="Times New Roman"/>
                <w:b/>
              </w:rPr>
            </w:pPr>
            <w:r w:rsidRPr="004D66D9">
              <w:rPr>
                <w:rFonts w:ascii="Times New Roman" w:hAnsi="Times New Roman" w:cs="Times New Roman"/>
                <w:b/>
              </w:rPr>
              <w:t>Dresden</w:t>
            </w:r>
          </w:p>
        </w:tc>
      </w:tr>
      <w:tr w:rsidR="00962A3D" w:rsidRPr="004D66D9" w14:paraId="040D965E" w14:textId="77777777" w:rsidTr="00311A44">
        <w:tblPrEx>
          <w:tblCellMar>
            <w:left w:w="70" w:type="dxa"/>
            <w:right w:w="70" w:type="dxa"/>
          </w:tblCellMar>
        </w:tblPrEx>
        <w:trPr>
          <w:trHeight w:val="4792"/>
        </w:trPr>
        <w:tc>
          <w:tcPr>
            <w:tcW w:w="7245" w:type="dxa"/>
            <w:tcBorders>
              <w:top w:val="nil"/>
            </w:tcBorders>
          </w:tcPr>
          <w:p w14:paraId="09D84B7E" w14:textId="77777777" w:rsidR="00962A3D" w:rsidRPr="004D66D9" w:rsidRDefault="00962A3D" w:rsidP="00311A44">
            <w:pPr>
              <w:tabs>
                <w:tab w:val="left" w:pos="4496"/>
              </w:tabs>
              <w:spacing w:line="360" w:lineRule="auto"/>
              <w:jc w:val="center"/>
              <w:rPr>
                <w:rFonts w:ascii="Times New Roman" w:hAnsi="Times New Roman" w:cs="Times New Roman"/>
              </w:rPr>
            </w:pPr>
            <w:r w:rsidRPr="004D66D9">
              <w:rPr>
                <w:rFonts w:ascii="Times New Roman" w:hAnsi="Times New Roman" w:cs="Times New Roman"/>
                <w:noProof/>
              </w:rPr>
              <w:drawing>
                <wp:inline distT="0" distB="0" distL="0" distR="0" wp14:anchorId="67F06F86" wp14:editId="0DF3663D">
                  <wp:extent cx="4315968" cy="3408884"/>
                  <wp:effectExtent l="0" t="0" r="8890" b="127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5220"/>
                          <a:stretch/>
                        </pic:blipFill>
                        <pic:spPr bwMode="auto">
                          <a:xfrm>
                            <a:off x="0" y="0"/>
                            <a:ext cx="4320001" cy="3412069"/>
                          </a:xfrm>
                          <a:prstGeom prst="rect">
                            <a:avLst/>
                          </a:prstGeom>
                          <a:ln>
                            <a:noFill/>
                          </a:ln>
                          <a:extLst>
                            <a:ext uri="{53640926-AAD7-44D8-BBD7-CCE9431645EC}">
                              <a14:shadowObscured xmlns:a14="http://schemas.microsoft.com/office/drawing/2010/main"/>
                            </a:ext>
                          </a:extLst>
                        </pic:spPr>
                      </pic:pic>
                    </a:graphicData>
                  </a:graphic>
                </wp:inline>
              </w:drawing>
            </w:r>
          </w:p>
        </w:tc>
        <w:tc>
          <w:tcPr>
            <w:tcW w:w="6976" w:type="dxa"/>
            <w:tcBorders>
              <w:top w:val="nil"/>
            </w:tcBorders>
          </w:tcPr>
          <w:p w14:paraId="49D4CEC7" w14:textId="77777777" w:rsidR="00962A3D" w:rsidRPr="004D66D9" w:rsidRDefault="00962A3D" w:rsidP="00311A44">
            <w:pPr>
              <w:tabs>
                <w:tab w:val="left" w:pos="4496"/>
              </w:tabs>
              <w:spacing w:line="360" w:lineRule="auto"/>
              <w:jc w:val="center"/>
              <w:rPr>
                <w:rFonts w:ascii="Times New Roman" w:hAnsi="Times New Roman" w:cs="Times New Roman"/>
              </w:rPr>
            </w:pPr>
            <w:r w:rsidRPr="004D66D9">
              <w:rPr>
                <w:rFonts w:ascii="Times New Roman" w:hAnsi="Times New Roman" w:cs="Times New Roman"/>
                <w:noProof/>
              </w:rPr>
              <w:drawing>
                <wp:inline distT="0" distB="0" distL="0" distR="0" wp14:anchorId="4DA5DD9E" wp14:editId="6F33DDB9">
                  <wp:extent cx="4315968" cy="3408883"/>
                  <wp:effectExtent l="0" t="0" r="8890" b="12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5220"/>
                          <a:stretch/>
                        </pic:blipFill>
                        <pic:spPr bwMode="auto">
                          <a:xfrm>
                            <a:off x="0" y="0"/>
                            <a:ext cx="4320000" cy="3412068"/>
                          </a:xfrm>
                          <a:prstGeom prst="rect">
                            <a:avLst/>
                          </a:prstGeom>
                          <a:ln>
                            <a:noFill/>
                          </a:ln>
                          <a:extLst>
                            <a:ext uri="{53640926-AAD7-44D8-BBD7-CCE9431645EC}">
                              <a14:shadowObscured xmlns:a14="http://schemas.microsoft.com/office/drawing/2010/main"/>
                            </a:ext>
                          </a:extLst>
                        </pic:spPr>
                      </pic:pic>
                    </a:graphicData>
                  </a:graphic>
                </wp:inline>
              </w:drawing>
            </w:r>
          </w:p>
        </w:tc>
      </w:tr>
      <w:tr w:rsidR="00962A3D" w:rsidRPr="00E15A75" w14:paraId="0D24820D" w14:textId="77777777" w:rsidTr="00311A44">
        <w:trPr>
          <w:trHeight w:val="152"/>
        </w:trPr>
        <w:tc>
          <w:tcPr>
            <w:tcW w:w="14221" w:type="dxa"/>
            <w:gridSpan w:val="2"/>
            <w:tcBorders>
              <w:left w:val="nil"/>
              <w:bottom w:val="nil"/>
              <w:right w:val="nil"/>
            </w:tcBorders>
          </w:tcPr>
          <w:p w14:paraId="184E411C" w14:textId="77777777" w:rsidR="00962A3D" w:rsidRPr="004D66D9" w:rsidRDefault="00962A3D" w:rsidP="00311A44">
            <w:pPr>
              <w:rPr>
                <w:rFonts w:ascii="Times New Roman" w:hAnsi="Times New Roman" w:cs="Times New Roman"/>
                <w:b/>
                <w:sz w:val="16"/>
              </w:rPr>
            </w:pPr>
            <w:r w:rsidRPr="004D66D9">
              <w:rPr>
                <w:rFonts w:ascii="Times New Roman" w:hAnsi="Times New Roman" w:cs="Times New Roman"/>
                <w:b/>
                <w:sz w:val="16"/>
              </w:rPr>
              <w:t>Notes</w:t>
            </w:r>
            <w:r w:rsidRPr="004D66D9">
              <w:rPr>
                <w:rFonts w:ascii="Times New Roman" w:hAnsi="Times New Roman" w:cs="Times New Roman"/>
                <w:sz w:val="16"/>
              </w:rPr>
              <w:t xml:space="preserve">: </w:t>
            </w:r>
            <w:r w:rsidRPr="004D66D9">
              <w:rPr>
                <w:rFonts w:ascii="Times New Roman" w:eastAsia="Times New Roman" w:hAnsi="Times New Roman" w:cs="Times New Roman"/>
                <w:color w:val="000000"/>
                <w:sz w:val="16"/>
                <w:szCs w:val="20"/>
                <w:lang w:eastAsia="de-DE"/>
              </w:rPr>
              <w:t xml:space="preserve">The exhibit shows the survival curves of a synthetic dwelling with different energy consumption levels across the different cities from week 0 until week 10. </w:t>
            </w:r>
          </w:p>
        </w:tc>
      </w:tr>
    </w:tbl>
    <w:p w14:paraId="4C9DED03" w14:textId="77777777" w:rsidR="00962A3D" w:rsidRPr="00CA7575" w:rsidRDefault="00962A3D" w:rsidP="00962A3D">
      <w:pPr>
        <w:tabs>
          <w:tab w:val="left" w:pos="1639"/>
        </w:tabs>
        <w:rPr>
          <w:rFonts w:ascii="Times New Roman" w:hAnsi="Times New Roman" w:cs="Times New Roman"/>
        </w:rPr>
      </w:pPr>
    </w:p>
    <w:p w14:paraId="57FD418B" w14:textId="0C9CB5E7" w:rsidR="00CF1725" w:rsidRPr="00A872DC" w:rsidRDefault="00CF1725" w:rsidP="00962A3D">
      <w:pPr>
        <w:ind w:left="284"/>
        <w:jc w:val="both"/>
        <w:rPr>
          <w:rFonts w:ascii="Times New Roman" w:hAnsi="Times New Roman" w:cs="Times New Roman"/>
        </w:rPr>
      </w:pPr>
    </w:p>
    <w:sectPr w:rsidR="00CF1725" w:rsidRPr="00A872DC" w:rsidSect="00B92284">
      <w:footerReference w:type="default" r:id="rId19"/>
      <w:footerReference w:type="first" r:id="rId20"/>
      <w:pgSz w:w="11906" w:h="16838"/>
      <w:pgMar w:top="1417" w:right="1417" w:bottom="1134"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7379A0" w14:textId="77777777" w:rsidR="003E5957" w:rsidRDefault="003E5957" w:rsidP="002508C1">
      <w:pPr>
        <w:spacing w:after="0" w:line="240" w:lineRule="auto"/>
      </w:pPr>
      <w:r>
        <w:separator/>
      </w:r>
    </w:p>
  </w:endnote>
  <w:endnote w:type="continuationSeparator" w:id="0">
    <w:p w14:paraId="7CA39234" w14:textId="77777777" w:rsidR="003E5957" w:rsidRDefault="003E5957" w:rsidP="002508C1">
      <w:pPr>
        <w:spacing w:after="0" w:line="240" w:lineRule="auto"/>
      </w:pPr>
      <w:r>
        <w:continuationSeparator/>
      </w:r>
    </w:p>
  </w:endnote>
  <w:endnote w:type="continuationNotice" w:id="1">
    <w:p w14:paraId="1598C43A" w14:textId="77777777" w:rsidR="003E5957" w:rsidRDefault="003E59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rporate S">
    <w:altName w:val="Times New Roman"/>
    <w:charset w:val="00"/>
    <w:family w:val="auto"/>
    <w:pitch w:val="variable"/>
    <w:sig w:usb0="00000001" w:usb1="0000005B" w:usb2="00000000" w:usb3="00000000" w:csb0="0000009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7686310"/>
      <w:docPartObj>
        <w:docPartGallery w:val="Page Numbers (Bottom of Page)"/>
        <w:docPartUnique/>
      </w:docPartObj>
    </w:sdtPr>
    <w:sdtEndPr>
      <w:rPr>
        <w:noProof/>
      </w:rPr>
    </w:sdtEndPr>
    <w:sdtContent>
      <w:p w14:paraId="5816326A" w14:textId="1B58021F" w:rsidR="004541ED" w:rsidRDefault="004541ED">
        <w:pPr>
          <w:pStyle w:val="Footer"/>
          <w:jc w:val="center"/>
        </w:pPr>
        <w:r>
          <w:fldChar w:fldCharType="begin"/>
        </w:r>
        <w:r>
          <w:instrText xml:space="preserve"> PAGE   \* MERGEFORMAT </w:instrText>
        </w:r>
        <w:r>
          <w:fldChar w:fldCharType="separate"/>
        </w:r>
        <w:r w:rsidR="00723C88">
          <w:rPr>
            <w:noProof/>
          </w:rPr>
          <w:t>8</w:t>
        </w:r>
        <w:r>
          <w:rPr>
            <w:noProof/>
          </w:rPr>
          <w:fldChar w:fldCharType="end"/>
        </w:r>
      </w:p>
    </w:sdtContent>
  </w:sdt>
  <w:p w14:paraId="54148C1C" w14:textId="77777777" w:rsidR="004541ED" w:rsidRDefault="004541E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1145891"/>
      <w:docPartObj>
        <w:docPartGallery w:val="Page Numbers (Bottom of Page)"/>
        <w:docPartUnique/>
      </w:docPartObj>
    </w:sdtPr>
    <w:sdtContent>
      <w:p w14:paraId="1DDD51BC" w14:textId="445C4082" w:rsidR="004541ED" w:rsidRDefault="004541ED">
        <w:pPr>
          <w:pStyle w:val="Footer"/>
          <w:jc w:val="center"/>
        </w:pPr>
        <w:r>
          <w:fldChar w:fldCharType="begin"/>
        </w:r>
        <w:r>
          <w:instrText>PAGE   \* MERGEFORMAT</w:instrText>
        </w:r>
        <w:r>
          <w:fldChar w:fldCharType="separate"/>
        </w:r>
        <w:r w:rsidR="00723C88" w:rsidRPr="00723C88">
          <w:rPr>
            <w:noProof/>
            <w:lang w:val="de-DE"/>
          </w:rPr>
          <w:t>1</w:t>
        </w:r>
        <w:r>
          <w:fldChar w:fldCharType="end"/>
        </w:r>
      </w:p>
    </w:sdtContent>
  </w:sdt>
  <w:p w14:paraId="4E956161" w14:textId="77777777" w:rsidR="004541ED" w:rsidRDefault="004541E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4BBBBF" w14:textId="77777777" w:rsidR="003E5957" w:rsidRDefault="003E5957" w:rsidP="002508C1">
      <w:pPr>
        <w:spacing w:after="0" w:line="240" w:lineRule="auto"/>
      </w:pPr>
      <w:r>
        <w:separator/>
      </w:r>
    </w:p>
  </w:footnote>
  <w:footnote w:type="continuationSeparator" w:id="0">
    <w:p w14:paraId="787683B3" w14:textId="77777777" w:rsidR="003E5957" w:rsidRDefault="003E5957" w:rsidP="002508C1">
      <w:pPr>
        <w:spacing w:after="0" w:line="240" w:lineRule="auto"/>
      </w:pPr>
      <w:r>
        <w:continuationSeparator/>
      </w:r>
    </w:p>
  </w:footnote>
  <w:footnote w:type="continuationNotice" w:id="1">
    <w:p w14:paraId="31081D9A" w14:textId="77777777" w:rsidR="003E5957" w:rsidRDefault="003E5957">
      <w:pPr>
        <w:spacing w:after="0" w:line="240" w:lineRule="aut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71E80"/>
    <w:multiLevelType w:val="hybridMultilevel"/>
    <w:tmpl w:val="A12CC7C4"/>
    <w:lvl w:ilvl="0" w:tplc="620032C2">
      <w:start w:val="1"/>
      <w:numFmt w:val="upperRoman"/>
      <w:lvlText w:val="%1."/>
      <w:lvlJc w:val="left"/>
      <w:pPr>
        <w:ind w:left="720" w:hanging="360"/>
      </w:pPr>
    </w:lvl>
    <w:lvl w:ilvl="1" w:tplc="9A7C246C">
      <w:start w:val="1"/>
      <w:numFmt w:val="lowerLetter"/>
      <w:lvlText w:val="%2."/>
      <w:lvlJc w:val="left"/>
      <w:pPr>
        <w:ind w:left="1440" w:hanging="360"/>
      </w:pPr>
    </w:lvl>
    <w:lvl w:ilvl="2" w:tplc="C86432D4">
      <w:start w:val="1"/>
      <w:numFmt w:val="lowerRoman"/>
      <w:lvlText w:val="%3."/>
      <w:lvlJc w:val="right"/>
      <w:pPr>
        <w:ind w:left="2160" w:hanging="180"/>
      </w:pPr>
    </w:lvl>
    <w:lvl w:ilvl="3" w:tplc="7D8A98EE">
      <w:start w:val="1"/>
      <w:numFmt w:val="decimal"/>
      <w:lvlText w:val="%4."/>
      <w:lvlJc w:val="left"/>
      <w:pPr>
        <w:ind w:left="2880" w:hanging="360"/>
      </w:pPr>
    </w:lvl>
    <w:lvl w:ilvl="4" w:tplc="4FCCC436">
      <w:start w:val="1"/>
      <w:numFmt w:val="lowerLetter"/>
      <w:lvlText w:val="%5."/>
      <w:lvlJc w:val="left"/>
      <w:pPr>
        <w:ind w:left="3600" w:hanging="360"/>
      </w:pPr>
    </w:lvl>
    <w:lvl w:ilvl="5" w:tplc="F94A4626">
      <w:start w:val="1"/>
      <w:numFmt w:val="lowerRoman"/>
      <w:lvlText w:val="%6."/>
      <w:lvlJc w:val="right"/>
      <w:pPr>
        <w:ind w:left="4320" w:hanging="180"/>
      </w:pPr>
    </w:lvl>
    <w:lvl w:ilvl="6" w:tplc="7516295E">
      <w:start w:val="1"/>
      <w:numFmt w:val="decimal"/>
      <w:lvlText w:val="%7."/>
      <w:lvlJc w:val="left"/>
      <w:pPr>
        <w:ind w:left="5040" w:hanging="360"/>
      </w:pPr>
    </w:lvl>
    <w:lvl w:ilvl="7" w:tplc="82264990">
      <w:start w:val="1"/>
      <w:numFmt w:val="lowerLetter"/>
      <w:lvlText w:val="%8."/>
      <w:lvlJc w:val="left"/>
      <w:pPr>
        <w:ind w:left="5760" w:hanging="360"/>
      </w:pPr>
    </w:lvl>
    <w:lvl w:ilvl="8" w:tplc="78C8F900">
      <w:start w:val="1"/>
      <w:numFmt w:val="lowerRoman"/>
      <w:lvlText w:val="%9."/>
      <w:lvlJc w:val="right"/>
      <w:pPr>
        <w:ind w:left="6480" w:hanging="180"/>
      </w:pPr>
    </w:lvl>
  </w:abstractNum>
  <w:abstractNum w:abstractNumId="1" w15:restartNumberingAfterBreak="0">
    <w:nsid w:val="0BEB790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605E51A5"/>
    <w:multiLevelType w:val="multilevel"/>
    <w:tmpl w:val="7D802706"/>
    <w:lvl w:ilvl="0">
      <w:start w:val="1"/>
      <w:numFmt w:val="decimal"/>
      <w:pStyle w:val="----EBENE1"/>
      <w:lvlText w:val="%1."/>
      <w:lvlJc w:val="left"/>
      <w:pPr>
        <w:ind w:left="360" w:hanging="360"/>
      </w:pPr>
    </w:lvl>
    <w:lvl w:ilvl="1">
      <w:start w:val="1"/>
      <w:numFmt w:val="decimal"/>
      <w:pStyle w:val="----EBEN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EF75163"/>
    <w:multiLevelType w:val="hybridMultilevel"/>
    <w:tmpl w:val="F684B7A2"/>
    <w:lvl w:ilvl="0" w:tplc="46186FCA">
      <w:numFmt w:val="bullet"/>
      <w:lvlText w:val="-"/>
      <w:lvlJc w:val="left"/>
      <w:pPr>
        <w:ind w:left="700" w:hanging="360"/>
      </w:pPr>
      <w:rPr>
        <w:rFonts w:ascii="Times New Roman" w:eastAsiaTheme="minorEastAsia" w:hAnsi="Times New Roman" w:cs="Times New Roman" w:hint="default"/>
      </w:rPr>
    </w:lvl>
    <w:lvl w:ilvl="1" w:tplc="04070003" w:tentative="1">
      <w:start w:val="1"/>
      <w:numFmt w:val="bullet"/>
      <w:lvlText w:val="o"/>
      <w:lvlJc w:val="left"/>
      <w:pPr>
        <w:ind w:left="1420" w:hanging="360"/>
      </w:pPr>
      <w:rPr>
        <w:rFonts w:ascii="Courier New" w:hAnsi="Courier New" w:cs="Courier New" w:hint="default"/>
      </w:rPr>
    </w:lvl>
    <w:lvl w:ilvl="2" w:tplc="04070005" w:tentative="1">
      <w:start w:val="1"/>
      <w:numFmt w:val="bullet"/>
      <w:lvlText w:val=""/>
      <w:lvlJc w:val="left"/>
      <w:pPr>
        <w:ind w:left="2140" w:hanging="360"/>
      </w:pPr>
      <w:rPr>
        <w:rFonts w:ascii="Wingdings" w:hAnsi="Wingdings" w:hint="default"/>
      </w:rPr>
    </w:lvl>
    <w:lvl w:ilvl="3" w:tplc="04070001" w:tentative="1">
      <w:start w:val="1"/>
      <w:numFmt w:val="bullet"/>
      <w:lvlText w:val=""/>
      <w:lvlJc w:val="left"/>
      <w:pPr>
        <w:ind w:left="2860" w:hanging="360"/>
      </w:pPr>
      <w:rPr>
        <w:rFonts w:ascii="Symbol" w:hAnsi="Symbol" w:hint="default"/>
      </w:rPr>
    </w:lvl>
    <w:lvl w:ilvl="4" w:tplc="04070003" w:tentative="1">
      <w:start w:val="1"/>
      <w:numFmt w:val="bullet"/>
      <w:lvlText w:val="o"/>
      <w:lvlJc w:val="left"/>
      <w:pPr>
        <w:ind w:left="3580" w:hanging="360"/>
      </w:pPr>
      <w:rPr>
        <w:rFonts w:ascii="Courier New" w:hAnsi="Courier New" w:cs="Courier New" w:hint="default"/>
      </w:rPr>
    </w:lvl>
    <w:lvl w:ilvl="5" w:tplc="04070005" w:tentative="1">
      <w:start w:val="1"/>
      <w:numFmt w:val="bullet"/>
      <w:lvlText w:val=""/>
      <w:lvlJc w:val="left"/>
      <w:pPr>
        <w:ind w:left="4300" w:hanging="360"/>
      </w:pPr>
      <w:rPr>
        <w:rFonts w:ascii="Wingdings" w:hAnsi="Wingdings" w:hint="default"/>
      </w:rPr>
    </w:lvl>
    <w:lvl w:ilvl="6" w:tplc="04070001" w:tentative="1">
      <w:start w:val="1"/>
      <w:numFmt w:val="bullet"/>
      <w:lvlText w:val=""/>
      <w:lvlJc w:val="left"/>
      <w:pPr>
        <w:ind w:left="5020" w:hanging="360"/>
      </w:pPr>
      <w:rPr>
        <w:rFonts w:ascii="Symbol" w:hAnsi="Symbol" w:hint="default"/>
      </w:rPr>
    </w:lvl>
    <w:lvl w:ilvl="7" w:tplc="04070003" w:tentative="1">
      <w:start w:val="1"/>
      <w:numFmt w:val="bullet"/>
      <w:lvlText w:val="o"/>
      <w:lvlJc w:val="left"/>
      <w:pPr>
        <w:ind w:left="5740" w:hanging="360"/>
      </w:pPr>
      <w:rPr>
        <w:rFonts w:ascii="Courier New" w:hAnsi="Courier New" w:cs="Courier New" w:hint="default"/>
      </w:rPr>
    </w:lvl>
    <w:lvl w:ilvl="8" w:tplc="04070005" w:tentative="1">
      <w:start w:val="1"/>
      <w:numFmt w:val="bullet"/>
      <w:lvlText w:val=""/>
      <w:lvlJc w:val="left"/>
      <w:pPr>
        <w:ind w:left="646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771"/>
    <w:rsid w:val="0000137B"/>
    <w:rsid w:val="00001446"/>
    <w:rsid w:val="0000274B"/>
    <w:rsid w:val="00003347"/>
    <w:rsid w:val="000036A5"/>
    <w:rsid w:val="0000391F"/>
    <w:rsid w:val="00003AD3"/>
    <w:rsid w:val="00006D92"/>
    <w:rsid w:val="00011189"/>
    <w:rsid w:val="000121B8"/>
    <w:rsid w:val="000149D4"/>
    <w:rsid w:val="00015B36"/>
    <w:rsid w:val="000174BF"/>
    <w:rsid w:val="00020BCB"/>
    <w:rsid w:val="00020EAD"/>
    <w:rsid w:val="00021326"/>
    <w:rsid w:val="00022A24"/>
    <w:rsid w:val="000250C7"/>
    <w:rsid w:val="0002612D"/>
    <w:rsid w:val="00026B0C"/>
    <w:rsid w:val="000274C9"/>
    <w:rsid w:val="0002764F"/>
    <w:rsid w:val="000305F5"/>
    <w:rsid w:val="00030DF4"/>
    <w:rsid w:val="000326AA"/>
    <w:rsid w:val="00034017"/>
    <w:rsid w:val="00034E9E"/>
    <w:rsid w:val="00037E76"/>
    <w:rsid w:val="00037F79"/>
    <w:rsid w:val="00042556"/>
    <w:rsid w:val="000455DB"/>
    <w:rsid w:val="00045931"/>
    <w:rsid w:val="0005085E"/>
    <w:rsid w:val="0005145B"/>
    <w:rsid w:val="00051C01"/>
    <w:rsid w:val="00051C33"/>
    <w:rsid w:val="000527D6"/>
    <w:rsid w:val="00052C49"/>
    <w:rsid w:val="000616ED"/>
    <w:rsid w:val="00062E98"/>
    <w:rsid w:val="000633FB"/>
    <w:rsid w:val="000635CB"/>
    <w:rsid w:val="000641D7"/>
    <w:rsid w:val="000641E7"/>
    <w:rsid w:val="00064E83"/>
    <w:rsid w:val="00066CA6"/>
    <w:rsid w:val="0006702D"/>
    <w:rsid w:val="000713F8"/>
    <w:rsid w:val="00072F06"/>
    <w:rsid w:val="0007469C"/>
    <w:rsid w:val="0007567B"/>
    <w:rsid w:val="00076888"/>
    <w:rsid w:val="000849D8"/>
    <w:rsid w:val="00087962"/>
    <w:rsid w:val="00087DB2"/>
    <w:rsid w:val="00091140"/>
    <w:rsid w:val="000913C4"/>
    <w:rsid w:val="000A009F"/>
    <w:rsid w:val="000A2D0D"/>
    <w:rsid w:val="000A3B5F"/>
    <w:rsid w:val="000A6B05"/>
    <w:rsid w:val="000A7413"/>
    <w:rsid w:val="000B2828"/>
    <w:rsid w:val="000B74A8"/>
    <w:rsid w:val="000C1B0E"/>
    <w:rsid w:val="000C3D46"/>
    <w:rsid w:val="000C4639"/>
    <w:rsid w:val="000C4B26"/>
    <w:rsid w:val="000C59B6"/>
    <w:rsid w:val="000C663C"/>
    <w:rsid w:val="000D0E61"/>
    <w:rsid w:val="000D289C"/>
    <w:rsid w:val="000D28BA"/>
    <w:rsid w:val="000D516F"/>
    <w:rsid w:val="000D527F"/>
    <w:rsid w:val="000D78B4"/>
    <w:rsid w:val="000E0F36"/>
    <w:rsid w:val="000E4B19"/>
    <w:rsid w:val="000E5659"/>
    <w:rsid w:val="000F0E8C"/>
    <w:rsid w:val="000F4E27"/>
    <w:rsid w:val="000F69A0"/>
    <w:rsid w:val="0010160F"/>
    <w:rsid w:val="00104531"/>
    <w:rsid w:val="00104ACB"/>
    <w:rsid w:val="00105EDA"/>
    <w:rsid w:val="001062C5"/>
    <w:rsid w:val="00111129"/>
    <w:rsid w:val="0011148F"/>
    <w:rsid w:val="00113AC4"/>
    <w:rsid w:val="0011540C"/>
    <w:rsid w:val="00116ADD"/>
    <w:rsid w:val="00116EC0"/>
    <w:rsid w:val="00116FC5"/>
    <w:rsid w:val="00117317"/>
    <w:rsid w:val="00117C7D"/>
    <w:rsid w:val="00120352"/>
    <w:rsid w:val="0012055D"/>
    <w:rsid w:val="00121D7B"/>
    <w:rsid w:val="00121F95"/>
    <w:rsid w:val="0012372E"/>
    <w:rsid w:val="00123D04"/>
    <w:rsid w:val="00127954"/>
    <w:rsid w:val="00130B8B"/>
    <w:rsid w:val="00130C26"/>
    <w:rsid w:val="00132C70"/>
    <w:rsid w:val="00132DD6"/>
    <w:rsid w:val="00133C35"/>
    <w:rsid w:val="00135B70"/>
    <w:rsid w:val="0013688C"/>
    <w:rsid w:val="00137456"/>
    <w:rsid w:val="00137C3D"/>
    <w:rsid w:val="001410B3"/>
    <w:rsid w:val="001426FB"/>
    <w:rsid w:val="00142D28"/>
    <w:rsid w:val="001434BA"/>
    <w:rsid w:val="00143B96"/>
    <w:rsid w:val="00143E5E"/>
    <w:rsid w:val="00144047"/>
    <w:rsid w:val="00150054"/>
    <w:rsid w:val="00150627"/>
    <w:rsid w:val="00151ACC"/>
    <w:rsid w:val="00152A76"/>
    <w:rsid w:val="001531B7"/>
    <w:rsid w:val="001552EA"/>
    <w:rsid w:val="0015561D"/>
    <w:rsid w:val="0015762F"/>
    <w:rsid w:val="00160B0F"/>
    <w:rsid w:val="001623AA"/>
    <w:rsid w:val="00162B20"/>
    <w:rsid w:val="00163624"/>
    <w:rsid w:val="001642F0"/>
    <w:rsid w:val="00164959"/>
    <w:rsid w:val="00164B54"/>
    <w:rsid w:val="001748E0"/>
    <w:rsid w:val="00177A93"/>
    <w:rsid w:val="00177BD1"/>
    <w:rsid w:val="001803F5"/>
    <w:rsid w:val="0018042C"/>
    <w:rsid w:val="00183B99"/>
    <w:rsid w:val="0018400E"/>
    <w:rsid w:val="00184C9B"/>
    <w:rsid w:val="001853B2"/>
    <w:rsid w:val="00186C91"/>
    <w:rsid w:val="0018716A"/>
    <w:rsid w:val="00187C23"/>
    <w:rsid w:val="00187C82"/>
    <w:rsid w:val="00190838"/>
    <w:rsid w:val="00192BDA"/>
    <w:rsid w:val="001949DF"/>
    <w:rsid w:val="00194AB6"/>
    <w:rsid w:val="00195D55"/>
    <w:rsid w:val="001A2A44"/>
    <w:rsid w:val="001A37E8"/>
    <w:rsid w:val="001A6471"/>
    <w:rsid w:val="001A7F51"/>
    <w:rsid w:val="001B0B9A"/>
    <w:rsid w:val="001B3001"/>
    <w:rsid w:val="001B3A3F"/>
    <w:rsid w:val="001B3B54"/>
    <w:rsid w:val="001B3C9E"/>
    <w:rsid w:val="001B4946"/>
    <w:rsid w:val="001B5225"/>
    <w:rsid w:val="001B532B"/>
    <w:rsid w:val="001B568A"/>
    <w:rsid w:val="001B5905"/>
    <w:rsid w:val="001C0D8E"/>
    <w:rsid w:val="001C0EB9"/>
    <w:rsid w:val="001C5B28"/>
    <w:rsid w:val="001C5C25"/>
    <w:rsid w:val="001D0D32"/>
    <w:rsid w:val="001D11E6"/>
    <w:rsid w:val="001D15C8"/>
    <w:rsid w:val="001D16A7"/>
    <w:rsid w:val="001D27F0"/>
    <w:rsid w:val="001D3842"/>
    <w:rsid w:val="001D3F0B"/>
    <w:rsid w:val="001D4309"/>
    <w:rsid w:val="001D649A"/>
    <w:rsid w:val="001D692F"/>
    <w:rsid w:val="001D712A"/>
    <w:rsid w:val="001D77A4"/>
    <w:rsid w:val="001E1DC8"/>
    <w:rsid w:val="001E53CF"/>
    <w:rsid w:val="001E7447"/>
    <w:rsid w:val="001E7C60"/>
    <w:rsid w:val="001F2E2E"/>
    <w:rsid w:val="001F7E90"/>
    <w:rsid w:val="00200127"/>
    <w:rsid w:val="002017C8"/>
    <w:rsid w:val="0020254E"/>
    <w:rsid w:val="002026B8"/>
    <w:rsid w:val="0020329B"/>
    <w:rsid w:val="00203F2F"/>
    <w:rsid w:val="0021132E"/>
    <w:rsid w:val="00212D22"/>
    <w:rsid w:val="00214567"/>
    <w:rsid w:val="0021469B"/>
    <w:rsid w:val="0021574B"/>
    <w:rsid w:val="00216525"/>
    <w:rsid w:val="00220D4E"/>
    <w:rsid w:val="0022297D"/>
    <w:rsid w:val="00222EB9"/>
    <w:rsid w:val="0022314A"/>
    <w:rsid w:val="00223242"/>
    <w:rsid w:val="00225C94"/>
    <w:rsid w:val="0022697C"/>
    <w:rsid w:val="002315FD"/>
    <w:rsid w:val="00232079"/>
    <w:rsid w:val="002331C6"/>
    <w:rsid w:val="00233A6D"/>
    <w:rsid w:val="00236F6B"/>
    <w:rsid w:val="002407CF"/>
    <w:rsid w:val="00243744"/>
    <w:rsid w:val="00244AC9"/>
    <w:rsid w:val="00246B17"/>
    <w:rsid w:val="00247DED"/>
    <w:rsid w:val="00247EF5"/>
    <w:rsid w:val="0025025F"/>
    <w:rsid w:val="002503ED"/>
    <w:rsid w:val="002508C1"/>
    <w:rsid w:val="00250A18"/>
    <w:rsid w:val="00252696"/>
    <w:rsid w:val="00252943"/>
    <w:rsid w:val="00252AEB"/>
    <w:rsid w:val="00252F19"/>
    <w:rsid w:val="00256DFF"/>
    <w:rsid w:val="002577B2"/>
    <w:rsid w:val="00260A73"/>
    <w:rsid w:val="00260BF6"/>
    <w:rsid w:val="0026127D"/>
    <w:rsid w:val="00263DAD"/>
    <w:rsid w:val="0026407F"/>
    <w:rsid w:val="0026483B"/>
    <w:rsid w:val="00266458"/>
    <w:rsid w:val="00266CB6"/>
    <w:rsid w:val="00272284"/>
    <w:rsid w:val="00272534"/>
    <w:rsid w:val="00274210"/>
    <w:rsid w:val="00277DD6"/>
    <w:rsid w:val="00280047"/>
    <w:rsid w:val="00281321"/>
    <w:rsid w:val="0028195A"/>
    <w:rsid w:val="00282515"/>
    <w:rsid w:val="00284D0F"/>
    <w:rsid w:val="0028583F"/>
    <w:rsid w:val="00287876"/>
    <w:rsid w:val="002900DB"/>
    <w:rsid w:val="00290AFA"/>
    <w:rsid w:val="002953F4"/>
    <w:rsid w:val="00296707"/>
    <w:rsid w:val="00296FDB"/>
    <w:rsid w:val="002974CA"/>
    <w:rsid w:val="002A162F"/>
    <w:rsid w:val="002A639F"/>
    <w:rsid w:val="002A6C8C"/>
    <w:rsid w:val="002A7251"/>
    <w:rsid w:val="002B07C1"/>
    <w:rsid w:val="002B32DF"/>
    <w:rsid w:val="002B5665"/>
    <w:rsid w:val="002B5B86"/>
    <w:rsid w:val="002B5FB3"/>
    <w:rsid w:val="002C02B2"/>
    <w:rsid w:val="002C05AB"/>
    <w:rsid w:val="002C089A"/>
    <w:rsid w:val="002C2D33"/>
    <w:rsid w:val="002C4E7C"/>
    <w:rsid w:val="002C7A45"/>
    <w:rsid w:val="002C7B4D"/>
    <w:rsid w:val="002D3BFF"/>
    <w:rsid w:val="002D400A"/>
    <w:rsid w:val="002D563D"/>
    <w:rsid w:val="002E0938"/>
    <w:rsid w:val="002E66E4"/>
    <w:rsid w:val="002F3DFE"/>
    <w:rsid w:val="002F584E"/>
    <w:rsid w:val="002F5B71"/>
    <w:rsid w:val="00303E94"/>
    <w:rsid w:val="0030452B"/>
    <w:rsid w:val="003060D7"/>
    <w:rsid w:val="00307FAA"/>
    <w:rsid w:val="00310B44"/>
    <w:rsid w:val="00310C7A"/>
    <w:rsid w:val="00311447"/>
    <w:rsid w:val="00311654"/>
    <w:rsid w:val="00311C9C"/>
    <w:rsid w:val="003138A9"/>
    <w:rsid w:val="00315330"/>
    <w:rsid w:val="003171DC"/>
    <w:rsid w:val="003179B7"/>
    <w:rsid w:val="00317F72"/>
    <w:rsid w:val="00320065"/>
    <w:rsid w:val="00321898"/>
    <w:rsid w:val="00321B23"/>
    <w:rsid w:val="00321E6E"/>
    <w:rsid w:val="00326BC7"/>
    <w:rsid w:val="00331405"/>
    <w:rsid w:val="003342B0"/>
    <w:rsid w:val="00334C20"/>
    <w:rsid w:val="0033686B"/>
    <w:rsid w:val="003413DA"/>
    <w:rsid w:val="00344D4E"/>
    <w:rsid w:val="00346FA2"/>
    <w:rsid w:val="00347329"/>
    <w:rsid w:val="00351B73"/>
    <w:rsid w:val="0035217F"/>
    <w:rsid w:val="003548AB"/>
    <w:rsid w:val="00355AD8"/>
    <w:rsid w:val="00355E57"/>
    <w:rsid w:val="003561E7"/>
    <w:rsid w:val="0036002A"/>
    <w:rsid w:val="00364641"/>
    <w:rsid w:val="00364F5C"/>
    <w:rsid w:val="003704CA"/>
    <w:rsid w:val="0037232F"/>
    <w:rsid w:val="00372374"/>
    <w:rsid w:val="0037420E"/>
    <w:rsid w:val="003749B9"/>
    <w:rsid w:val="0037550B"/>
    <w:rsid w:val="00375753"/>
    <w:rsid w:val="00375A38"/>
    <w:rsid w:val="003804EB"/>
    <w:rsid w:val="00383780"/>
    <w:rsid w:val="00386822"/>
    <w:rsid w:val="0038780F"/>
    <w:rsid w:val="003906E7"/>
    <w:rsid w:val="00390F6E"/>
    <w:rsid w:val="00391730"/>
    <w:rsid w:val="00392E6D"/>
    <w:rsid w:val="003945BA"/>
    <w:rsid w:val="00395344"/>
    <w:rsid w:val="00396DB7"/>
    <w:rsid w:val="003A0AA8"/>
    <w:rsid w:val="003A0EE8"/>
    <w:rsid w:val="003A0F8F"/>
    <w:rsid w:val="003A2481"/>
    <w:rsid w:val="003A4731"/>
    <w:rsid w:val="003A5448"/>
    <w:rsid w:val="003A7FE8"/>
    <w:rsid w:val="003B3E04"/>
    <w:rsid w:val="003B507C"/>
    <w:rsid w:val="003B517F"/>
    <w:rsid w:val="003B59CA"/>
    <w:rsid w:val="003B664A"/>
    <w:rsid w:val="003C0C9F"/>
    <w:rsid w:val="003C18EC"/>
    <w:rsid w:val="003C1AB7"/>
    <w:rsid w:val="003C45A0"/>
    <w:rsid w:val="003C5BFA"/>
    <w:rsid w:val="003C75EF"/>
    <w:rsid w:val="003D7A9E"/>
    <w:rsid w:val="003E1F55"/>
    <w:rsid w:val="003E25E6"/>
    <w:rsid w:val="003E28A9"/>
    <w:rsid w:val="003E2DA8"/>
    <w:rsid w:val="003E570D"/>
    <w:rsid w:val="003E58FB"/>
    <w:rsid w:val="003E5957"/>
    <w:rsid w:val="003E5A77"/>
    <w:rsid w:val="003E5B0E"/>
    <w:rsid w:val="003E7E5C"/>
    <w:rsid w:val="003E7F5D"/>
    <w:rsid w:val="003F0076"/>
    <w:rsid w:val="003F0974"/>
    <w:rsid w:val="003F1489"/>
    <w:rsid w:val="003F1DE8"/>
    <w:rsid w:val="003F528B"/>
    <w:rsid w:val="003F5E2A"/>
    <w:rsid w:val="0040066E"/>
    <w:rsid w:val="0040092A"/>
    <w:rsid w:val="0040210E"/>
    <w:rsid w:val="00402570"/>
    <w:rsid w:val="004058CB"/>
    <w:rsid w:val="004100A2"/>
    <w:rsid w:val="00410331"/>
    <w:rsid w:val="00410CA0"/>
    <w:rsid w:val="00410E41"/>
    <w:rsid w:val="00414538"/>
    <w:rsid w:val="0041461A"/>
    <w:rsid w:val="00416172"/>
    <w:rsid w:val="00420607"/>
    <w:rsid w:val="00421771"/>
    <w:rsid w:val="00421A3B"/>
    <w:rsid w:val="00421B3B"/>
    <w:rsid w:val="00422816"/>
    <w:rsid w:val="0042455C"/>
    <w:rsid w:val="00427BE1"/>
    <w:rsid w:val="00430107"/>
    <w:rsid w:val="004310F4"/>
    <w:rsid w:val="00431B7A"/>
    <w:rsid w:val="00432806"/>
    <w:rsid w:val="00432EC8"/>
    <w:rsid w:val="00435E47"/>
    <w:rsid w:val="0044201F"/>
    <w:rsid w:val="00446BE7"/>
    <w:rsid w:val="004477D0"/>
    <w:rsid w:val="00451312"/>
    <w:rsid w:val="00451F07"/>
    <w:rsid w:val="004541ED"/>
    <w:rsid w:val="00454754"/>
    <w:rsid w:val="00454D0F"/>
    <w:rsid w:val="004552D9"/>
    <w:rsid w:val="00456A6D"/>
    <w:rsid w:val="00457E97"/>
    <w:rsid w:val="004602E8"/>
    <w:rsid w:val="00460FCE"/>
    <w:rsid w:val="004632B5"/>
    <w:rsid w:val="00463B44"/>
    <w:rsid w:val="00463C7E"/>
    <w:rsid w:val="00463D37"/>
    <w:rsid w:val="00463FA6"/>
    <w:rsid w:val="00466F85"/>
    <w:rsid w:val="00470DFD"/>
    <w:rsid w:val="00472F7A"/>
    <w:rsid w:val="0047357F"/>
    <w:rsid w:val="00476FB0"/>
    <w:rsid w:val="00481AB2"/>
    <w:rsid w:val="004827D6"/>
    <w:rsid w:val="00492288"/>
    <w:rsid w:val="004937AA"/>
    <w:rsid w:val="00495A76"/>
    <w:rsid w:val="004970FA"/>
    <w:rsid w:val="0049731D"/>
    <w:rsid w:val="004A1491"/>
    <w:rsid w:val="004A19E1"/>
    <w:rsid w:val="004A280A"/>
    <w:rsid w:val="004A42DC"/>
    <w:rsid w:val="004A6BF1"/>
    <w:rsid w:val="004A6F31"/>
    <w:rsid w:val="004B0095"/>
    <w:rsid w:val="004B0466"/>
    <w:rsid w:val="004B3C8A"/>
    <w:rsid w:val="004B5029"/>
    <w:rsid w:val="004B56F5"/>
    <w:rsid w:val="004B58B0"/>
    <w:rsid w:val="004B6727"/>
    <w:rsid w:val="004C4471"/>
    <w:rsid w:val="004C5738"/>
    <w:rsid w:val="004C717D"/>
    <w:rsid w:val="004D0EF3"/>
    <w:rsid w:val="004D3671"/>
    <w:rsid w:val="004D4615"/>
    <w:rsid w:val="004D4FE6"/>
    <w:rsid w:val="004D6DAC"/>
    <w:rsid w:val="004E062D"/>
    <w:rsid w:val="004E1AB1"/>
    <w:rsid w:val="004E40B9"/>
    <w:rsid w:val="004E600E"/>
    <w:rsid w:val="004E73B5"/>
    <w:rsid w:val="004F12DF"/>
    <w:rsid w:val="004F2A73"/>
    <w:rsid w:val="004F524C"/>
    <w:rsid w:val="004F54D1"/>
    <w:rsid w:val="004F554E"/>
    <w:rsid w:val="004F6278"/>
    <w:rsid w:val="004F6514"/>
    <w:rsid w:val="004F6CE4"/>
    <w:rsid w:val="00500A3D"/>
    <w:rsid w:val="00501797"/>
    <w:rsid w:val="00501E07"/>
    <w:rsid w:val="00503315"/>
    <w:rsid w:val="00503801"/>
    <w:rsid w:val="00503B2D"/>
    <w:rsid w:val="005056FF"/>
    <w:rsid w:val="0051187F"/>
    <w:rsid w:val="00511A71"/>
    <w:rsid w:val="00512BB8"/>
    <w:rsid w:val="0051576F"/>
    <w:rsid w:val="00515987"/>
    <w:rsid w:val="005159BB"/>
    <w:rsid w:val="005168D5"/>
    <w:rsid w:val="00516B46"/>
    <w:rsid w:val="005173F7"/>
    <w:rsid w:val="00520BAE"/>
    <w:rsid w:val="00521B45"/>
    <w:rsid w:val="0052480C"/>
    <w:rsid w:val="00525EAA"/>
    <w:rsid w:val="00526F63"/>
    <w:rsid w:val="00527043"/>
    <w:rsid w:val="0053081D"/>
    <w:rsid w:val="00531ED5"/>
    <w:rsid w:val="00532441"/>
    <w:rsid w:val="00532BAE"/>
    <w:rsid w:val="00534BBF"/>
    <w:rsid w:val="005350B7"/>
    <w:rsid w:val="00535A2D"/>
    <w:rsid w:val="00535A72"/>
    <w:rsid w:val="0054234E"/>
    <w:rsid w:val="00542E71"/>
    <w:rsid w:val="00542E7C"/>
    <w:rsid w:val="00543C43"/>
    <w:rsid w:val="00544B53"/>
    <w:rsid w:val="00546A55"/>
    <w:rsid w:val="00551AB9"/>
    <w:rsid w:val="00555230"/>
    <w:rsid w:val="00557133"/>
    <w:rsid w:val="00557BB5"/>
    <w:rsid w:val="00560EE7"/>
    <w:rsid w:val="00562883"/>
    <w:rsid w:val="0056303B"/>
    <w:rsid w:val="0056551A"/>
    <w:rsid w:val="005671AB"/>
    <w:rsid w:val="005733B6"/>
    <w:rsid w:val="005747EC"/>
    <w:rsid w:val="00576900"/>
    <w:rsid w:val="00577D22"/>
    <w:rsid w:val="00585198"/>
    <w:rsid w:val="00585677"/>
    <w:rsid w:val="005860C6"/>
    <w:rsid w:val="00587207"/>
    <w:rsid w:val="005906AE"/>
    <w:rsid w:val="00590E3E"/>
    <w:rsid w:val="00591728"/>
    <w:rsid w:val="00593492"/>
    <w:rsid w:val="005939D1"/>
    <w:rsid w:val="00594153"/>
    <w:rsid w:val="00595D38"/>
    <w:rsid w:val="00597795"/>
    <w:rsid w:val="005A1795"/>
    <w:rsid w:val="005A185F"/>
    <w:rsid w:val="005A1EDF"/>
    <w:rsid w:val="005A7065"/>
    <w:rsid w:val="005B2240"/>
    <w:rsid w:val="005B2BA3"/>
    <w:rsid w:val="005B340B"/>
    <w:rsid w:val="005B3AF1"/>
    <w:rsid w:val="005B5B55"/>
    <w:rsid w:val="005C2A7A"/>
    <w:rsid w:val="005C2D2F"/>
    <w:rsid w:val="005C4C14"/>
    <w:rsid w:val="005D1D03"/>
    <w:rsid w:val="005D27FB"/>
    <w:rsid w:val="005D2A59"/>
    <w:rsid w:val="005D5001"/>
    <w:rsid w:val="005D5555"/>
    <w:rsid w:val="005D602D"/>
    <w:rsid w:val="005E03D0"/>
    <w:rsid w:val="005E4131"/>
    <w:rsid w:val="005E4EDB"/>
    <w:rsid w:val="005E534C"/>
    <w:rsid w:val="005E6FB3"/>
    <w:rsid w:val="005F1518"/>
    <w:rsid w:val="005F36FB"/>
    <w:rsid w:val="005F3B2A"/>
    <w:rsid w:val="005F6CCC"/>
    <w:rsid w:val="00600BA9"/>
    <w:rsid w:val="00600F75"/>
    <w:rsid w:val="006028A9"/>
    <w:rsid w:val="00603514"/>
    <w:rsid w:val="006042E8"/>
    <w:rsid w:val="0060530D"/>
    <w:rsid w:val="00606227"/>
    <w:rsid w:val="00606447"/>
    <w:rsid w:val="006077EA"/>
    <w:rsid w:val="00615187"/>
    <w:rsid w:val="00615CE6"/>
    <w:rsid w:val="00621265"/>
    <w:rsid w:val="00621268"/>
    <w:rsid w:val="00623D76"/>
    <w:rsid w:val="00626297"/>
    <w:rsid w:val="006265BD"/>
    <w:rsid w:val="00630141"/>
    <w:rsid w:val="0063109C"/>
    <w:rsid w:val="00631CEB"/>
    <w:rsid w:val="00631E1C"/>
    <w:rsid w:val="00633BD6"/>
    <w:rsid w:val="00634603"/>
    <w:rsid w:val="00637572"/>
    <w:rsid w:val="006377EB"/>
    <w:rsid w:val="00637DD0"/>
    <w:rsid w:val="006404F8"/>
    <w:rsid w:val="006411ED"/>
    <w:rsid w:val="0064167B"/>
    <w:rsid w:val="00642F4C"/>
    <w:rsid w:val="00644519"/>
    <w:rsid w:val="00645458"/>
    <w:rsid w:val="0064705C"/>
    <w:rsid w:val="00647D59"/>
    <w:rsid w:val="00652D71"/>
    <w:rsid w:val="00652E64"/>
    <w:rsid w:val="006535AF"/>
    <w:rsid w:val="00653D8E"/>
    <w:rsid w:val="006568CE"/>
    <w:rsid w:val="00657554"/>
    <w:rsid w:val="00660661"/>
    <w:rsid w:val="006610EC"/>
    <w:rsid w:val="00661EDC"/>
    <w:rsid w:val="0066304E"/>
    <w:rsid w:val="006631B1"/>
    <w:rsid w:val="00664B3F"/>
    <w:rsid w:val="00670440"/>
    <w:rsid w:val="006727BD"/>
    <w:rsid w:val="006729BC"/>
    <w:rsid w:val="00672F7E"/>
    <w:rsid w:val="0067367E"/>
    <w:rsid w:val="00673B5A"/>
    <w:rsid w:val="00675D1B"/>
    <w:rsid w:val="006760EF"/>
    <w:rsid w:val="00676708"/>
    <w:rsid w:val="006776EF"/>
    <w:rsid w:val="00682E80"/>
    <w:rsid w:val="00683029"/>
    <w:rsid w:val="006831F0"/>
    <w:rsid w:val="00684884"/>
    <w:rsid w:val="00685737"/>
    <w:rsid w:val="00685B6D"/>
    <w:rsid w:val="006923D8"/>
    <w:rsid w:val="00693AB8"/>
    <w:rsid w:val="006A4D19"/>
    <w:rsid w:val="006B12D7"/>
    <w:rsid w:val="006B6FF6"/>
    <w:rsid w:val="006C0423"/>
    <w:rsid w:val="006C0E7D"/>
    <w:rsid w:val="006C6BF8"/>
    <w:rsid w:val="006C704D"/>
    <w:rsid w:val="006D2ED2"/>
    <w:rsid w:val="006D4BEC"/>
    <w:rsid w:val="006D68DA"/>
    <w:rsid w:val="006D7C21"/>
    <w:rsid w:val="006D7F17"/>
    <w:rsid w:val="006E0147"/>
    <w:rsid w:val="006E0D6A"/>
    <w:rsid w:val="006E4208"/>
    <w:rsid w:val="006E4284"/>
    <w:rsid w:val="006E718B"/>
    <w:rsid w:val="006F173A"/>
    <w:rsid w:val="006F5659"/>
    <w:rsid w:val="006F5835"/>
    <w:rsid w:val="006F5EA6"/>
    <w:rsid w:val="006F63B5"/>
    <w:rsid w:val="006F6838"/>
    <w:rsid w:val="006F6DAD"/>
    <w:rsid w:val="006F7221"/>
    <w:rsid w:val="00700666"/>
    <w:rsid w:val="00703973"/>
    <w:rsid w:val="00707C77"/>
    <w:rsid w:val="0071071B"/>
    <w:rsid w:val="00710A97"/>
    <w:rsid w:val="00712235"/>
    <w:rsid w:val="00713285"/>
    <w:rsid w:val="00714865"/>
    <w:rsid w:val="00714C51"/>
    <w:rsid w:val="0071538C"/>
    <w:rsid w:val="0071686D"/>
    <w:rsid w:val="00717200"/>
    <w:rsid w:val="00720E5D"/>
    <w:rsid w:val="00721915"/>
    <w:rsid w:val="00723C88"/>
    <w:rsid w:val="00724900"/>
    <w:rsid w:val="00726447"/>
    <w:rsid w:val="00726CD7"/>
    <w:rsid w:val="00731A6B"/>
    <w:rsid w:val="0073340C"/>
    <w:rsid w:val="00737E77"/>
    <w:rsid w:val="00744D0E"/>
    <w:rsid w:val="00750907"/>
    <w:rsid w:val="00750C3C"/>
    <w:rsid w:val="007563F9"/>
    <w:rsid w:val="00756F67"/>
    <w:rsid w:val="00757F8B"/>
    <w:rsid w:val="007601EB"/>
    <w:rsid w:val="007603BD"/>
    <w:rsid w:val="00760DE9"/>
    <w:rsid w:val="0076497B"/>
    <w:rsid w:val="00765B91"/>
    <w:rsid w:val="00767A34"/>
    <w:rsid w:val="00767FF0"/>
    <w:rsid w:val="0077371A"/>
    <w:rsid w:val="00774262"/>
    <w:rsid w:val="0077431A"/>
    <w:rsid w:val="00775797"/>
    <w:rsid w:val="00775EA2"/>
    <w:rsid w:val="0077730E"/>
    <w:rsid w:val="00780850"/>
    <w:rsid w:val="00780C9E"/>
    <w:rsid w:val="007815E1"/>
    <w:rsid w:val="007829B9"/>
    <w:rsid w:val="0078423B"/>
    <w:rsid w:val="0078558B"/>
    <w:rsid w:val="00790277"/>
    <w:rsid w:val="007909C5"/>
    <w:rsid w:val="00791558"/>
    <w:rsid w:val="00793111"/>
    <w:rsid w:val="007948BE"/>
    <w:rsid w:val="00794AEA"/>
    <w:rsid w:val="0079706F"/>
    <w:rsid w:val="00797A92"/>
    <w:rsid w:val="007A104B"/>
    <w:rsid w:val="007A1EC5"/>
    <w:rsid w:val="007A22C4"/>
    <w:rsid w:val="007A5785"/>
    <w:rsid w:val="007A653B"/>
    <w:rsid w:val="007B096E"/>
    <w:rsid w:val="007B23A6"/>
    <w:rsid w:val="007B2BEE"/>
    <w:rsid w:val="007B31CF"/>
    <w:rsid w:val="007B4E6E"/>
    <w:rsid w:val="007C00E1"/>
    <w:rsid w:val="007C0C69"/>
    <w:rsid w:val="007C2074"/>
    <w:rsid w:val="007C2A61"/>
    <w:rsid w:val="007C323C"/>
    <w:rsid w:val="007C328B"/>
    <w:rsid w:val="007C51DE"/>
    <w:rsid w:val="007C726A"/>
    <w:rsid w:val="007D26AD"/>
    <w:rsid w:val="007D2E16"/>
    <w:rsid w:val="007D30BE"/>
    <w:rsid w:val="007D3DBB"/>
    <w:rsid w:val="007D5D55"/>
    <w:rsid w:val="007D70A6"/>
    <w:rsid w:val="007E3F21"/>
    <w:rsid w:val="007E45F5"/>
    <w:rsid w:val="007E568D"/>
    <w:rsid w:val="007E5CAA"/>
    <w:rsid w:val="007E7518"/>
    <w:rsid w:val="007E771B"/>
    <w:rsid w:val="007F106B"/>
    <w:rsid w:val="007F47BD"/>
    <w:rsid w:val="007F48F6"/>
    <w:rsid w:val="007F4C6C"/>
    <w:rsid w:val="007F6EAB"/>
    <w:rsid w:val="008003DF"/>
    <w:rsid w:val="00801E84"/>
    <w:rsid w:val="008028AA"/>
    <w:rsid w:val="00803B17"/>
    <w:rsid w:val="00805A5B"/>
    <w:rsid w:val="00806294"/>
    <w:rsid w:val="008116AA"/>
    <w:rsid w:val="00812A70"/>
    <w:rsid w:val="00812DD6"/>
    <w:rsid w:val="00812E2B"/>
    <w:rsid w:val="00813466"/>
    <w:rsid w:val="00813BC7"/>
    <w:rsid w:val="00814145"/>
    <w:rsid w:val="008152C0"/>
    <w:rsid w:val="00815587"/>
    <w:rsid w:val="00815695"/>
    <w:rsid w:val="00815EB5"/>
    <w:rsid w:val="00817247"/>
    <w:rsid w:val="00817863"/>
    <w:rsid w:val="00820610"/>
    <w:rsid w:val="00821722"/>
    <w:rsid w:val="00822E0C"/>
    <w:rsid w:val="00823727"/>
    <w:rsid w:val="008242AF"/>
    <w:rsid w:val="00825333"/>
    <w:rsid w:val="00831097"/>
    <w:rsid w:val="008316A3"/>
    <w:rsid w:val="00832E3E"/>
    <w:rsid w:val="0083442B"/>
    <w:rsid w:val="008359CE"/>
    <w:rsid w:val="0083698D"/>
    <w:rsid w:val="00837248"/>
    <w:rsid w:val="008374E2"/>
    <w:rsid w:val="00837896"/>
    <w:rsid w:val="00840405"/>
    <w:rsid w:val="008407EB"/>
    <w:rsid w:val="008409E7"/>
    <w:rsid w:val="00841C43"/>
    <w:rsid w:val="00844F80"/>
    <w:rsid w:val="0084702F"/>
    <w:rsid w:val="0085597D"/>
    <w:rsid w:val="00857513"/>
    <w:rsid w:val="008638FB"/>
    <w:rsid w:val="00863C7A"/>
    <w:rsid w:val="00863D5D"/>
    <w:rsid w:val="008646EC"/>
    <w:rsid w:val="00867D2C"/>
    <w:rsid w:val="0087153C"/>
    <w:rsid w:val="008721B7"/>
    <w:rsid w:val="0087255A"/>
    <w:rsid w:val="00872D0E"/>
    <w:rsid w:val="008737D9"/>
    <w:rsid w:val="00874235"/>
    <w:rsid w:val="00882108"/>
    <w:rsid w:val="008824CC"/>
    <w:rsid w:val="00886207"/>
    <w:rsid w:val="0088717A"/>
    <w:rsid w:val="00895DA3"/>
    <w:rsid w:val="00897ACD"/>
    <w:rsid w:val="008A07BE"/>
    <w:rsid w:val="008A090F"/>
    <w:rsid w:val="008A1B0E"/>
    <w:rsid w:val="008A3D5C"/>
    <w:rsid w:val="008A44C0"/>
    <w:rsid w:val="008A56B8"/>
    <w:rsid w:val="008B0525"/>
    <w:rsid w:val="008B07E6"/>
    <w:rsid w:val="008B0C16"/>
    <w:rsid w:val="008B1769"/>
    <w:rsid w:val="008B22AE"/>
    <w:rsid w:val="008B447A"/>
    <w:rsid w:val="008B4B45"/>
    <w:rsid w:val="008B6AFD"/>
    <w:rsid w:val="008B6D2F"/>
    <w:rsid w:val="008C05B5"/>
    <w:rsid w:val="008C684B"/>
    <w:rsid w:val="008C7B2B"/>
    <w:rsid w:val="008D1E04"/>
    <w:rsid w:val="008D2ACD"/>
    <w:rsid w:val="008D597E"/>
    <w:rsid w:val="008D6069"/>
    <w:rsid w:val="008D66C1"/>
    <w:rsid w:val="008D6D3D"/>
    <w:rsid w:val="008E1C59"/>
    <w:rsid w:val="008E3C12"/>
    <w:rsid w:val="008E4F3C"/>
    <w:rsid w:val="008E5031"/>
    <w:rsid w:val="008E504B"/>
    <w:rsid w:val="008F31CC"/>
    <w:rsid w:val="008F6290"/>
    <w:rsid w:val="008F6C8B"/>
    <w:rsid w:val="00901147"/>
    <w:rsid w:val="00901455"/>
    <w:rsid w:val="009020AB"/>
    <w:rsid w:val="00902590"/>
    <w:rsid w:val="009026B3"/>
    <w:rsid w:val="009045A4"/>
    <w:rsid w:val="009048D2"/>
    <w:rsid w:val="00907153"/>
    <w:rsid w:val="00907269"/>
    <w:rsid w:val="00907E5A"/>
    <w:rsid w:val="00910DF8"/>
    <w:rsid w:val="009112FB"/>
    <w:rsid w:val="0091280E"/>
    <w:rsid w:val="0091361A"/>
    <w:rsid w:val="009178A2"/>
    <w:rsid w:val="00924B1F"/>
    <w:rsid w:val="0092529D"/>
    <w:rsid w:val="009259BE"/>
    <w:rsid w:val="00927EDB"/>
    <w:rsid w:val="00930AE3"/>
    <w:rsid w:val="009311D8"/>
    <w:rsid w:val="009340F9"/>
    <w:rsid w:val="0093488B"/>
    <w:rsid w:val="00935DCB"/>
    <w:rsid w:val="00937956"/>
    <w:rsid w:val="00937D66"/>
    <w:rsid w:val="0094054C"/>
    <w:rsid w:val="0094446C"/>
    <w:rsid w:val="00944D2D"/>
    <w:rsid w:val="00945DCA"/>
    <w:rsid w:val="00945E33"/>
    <w:rsid w:val="00952A57"/>
    <w:rsid w:val="00957D8C"/>
    <w:rsid w:val="00961BEF"/>
    <w:rsid w:val="009625FD"/>
    <w:rsid w:val="00962A3D"/>
    <w:rsid w:val="0096400B"/>
    <w:rsid w:val="00964C12"/>
    <w:rsid w:val="009661F7"/>
    <w:rsid w:val="00970434"/>
    <w:rsid w:val="0097464B"/>
    <w:rsid w:val="009758FF"/>
    <w:rsid w:val="00976DB8"/>
    <w:rsid w:val="00980C1D"/>
    <w:rsid w:val="009816AA"/>
    <w:rsid w:val="009858B3"/>
    <w:rsid w:val="00987AB9"/>
    <w:rsid w:val="00987FC9"/>
    <w:rsid w:val="00990AF9"/>
    <w:rsid w:val="009918DA"/>
    <w:rsid w:val="00992B00"/>
    <w:rsid w:val="00995C7B"/>
    <w:rsid w:val="0099721D"/>
    <w:rsid w:val="009A451C"/>
    <w:rsid w:val="009A75CD"/>
    <w:rsid w:val="009A7BF4"/>
    <w:rsid w:val="009B495A"/>
    <w:rsid w:val="009B4B9F"/>
    <w:rsid w:val="009B5C0D"/>
    <w:rsid w:val="009B660C"/>
    <w:rsid w:val="009C0233"/>
    <w:rsid w:val="009C0E6F"/>
    <w:rsid w:val="009C3038"/>
    <w:rsid w:val="009C3EF0"/>
    <w:rsid w:val="009C5450"/>
    <w:rsid w:val="009C6D73"/>
    <w:rsid w:val="009C7921"/>
    <w:rsid w:val="009D068A"/>
    <w:rsid w:val="009D2345"/>
    <w:rsid w:val="009D23AD"/>
    <w:rsid w:val="009D6733"/>
    <w:rsid w:val="009D7670"/>
    <w:rsid w:val="009E03A9"/>
    <w:rsid w:val="009E0EF4"/>
    <w:rsid w:val="009E3AC1"/>
    <w:rsid w:val="009E508E"/>
    <w:rsid w:val="009E5EA9"/>
    <w:rsid w:val="009F0257"/>
    <w:rsid w:val="009F070D"/>
    <w:rsid w:val="009F0945"/>
    <w:rsid w:val="009F098D"/>
    <w:rsid w:val="009F220D"/>
    <w:rsid w:val="009F3618"/>
    <w:rsid w:val="009F44BA"/>
    <w:rsid w:val="009F4A29"/>
    <w:rsid w:val="009F7189"/>
    <w:rsid w:val="00A0012E"/>
    <w:rsid w:val="00A001EA"/>
    <w:rsid w:val="00A00481"/>
    <w:rsid w:val="00A01577"/>
    <w:rsid w:val="00A01B63"/>
    <w:rsid w:val="00A0208E"/>
    <w:rsid w:val="00A03F15"/>
    <w:rsid w:val="00A04B35"/>
    <w:rsid w:val="00A04D95"/>
    <w:rsid w:val="00A058A4"/>
    <w:rsid w:val="00A06A9A"/>
    <w:rsid w:val="00A07099"/>
    <w:rsid w:val="00A0786E"/>
    <w:rsid w:val="00A123EA"/>
    <w:rsid w:val="00A12659"/>
    <w:rsid w:val="00A12D7B"/>
    <w:rsid w:val="00A14FB1"/>
    <w:rsid w:val="00A20B0F"/>
    <w:rsid w:val="00A21827"/>
    <w:rsid w:val="00A21E45"/>
    <w:rsid w:val="00A2231D"/>
    <w:rsid w:val="00A274E6"/>
    <w:rsid w:val="00A27D7E"/>
    <w:rsid w:val="00A30152"/>
    <w:rsid w:val="00A30A91"/>
    <w:rsid w:val="00A31438"/>
    <w:rsid w:val="00A3593E"/>
    <w:rsid w:val="00A40BBB"/>
    <w:rsid w:val="00A40CCF"/>
    <w:rsid w:val="00A4141F"/>
    <w:rsid w:val="00A45D34"/>
    <w:rsid w:val="00A45EE6"/>
    <w:rsid w:val="00A461C0"/>
    <w:rsid w:val="00A50830"/>
    <w:rsid w:val="00A5103F"/>
    <w:rsid w:val="00A51259"/>
    <w:rsid w:val="00A51BEE"/>
    <w:rsid w:val="00A552C0"/>
    <w:rsid w:val="00A555BD"/>
    <w:rsid w:val="00A5612D"/>
    <w:rsid w:val="00A63BF5"/>
    <w:rsid w:val="00A63DC3"/>
    <w:rsid w:val="00A64403"/>
    <w:rsid w:val="00A66948"/>
    <w:rsid w:val="00A66BEC"/>
    <w:rsid w:val="00A72428"/>
    <w:rsid w:val="00A728C7"/>
    <w:rsid w:val="00A74016"/>
    <w:rsid w:val="00A75A01"/>
    <w:rsid w:val="00A77AAC"/>
    <w:rsid w:val="00A8085A"/>
    <w:rsid w:val="00A81E41"/>
    <w:rsid w:val="00A82EEE"/>
    <w:rsid w:val="00A84A0D"/>
    <w:rsid w:val="00A872DC"/>
    <w:rsid w:val="00A8782C"/>
    <w:rsid w:val="00A92E21"/>
    <w:rsid w:val="00A944F7"/>
    <w:rsid w:val="00A94B18"/>
    <w:rsid w:val="00A9615D"/>
    <w:rsid w:val="00A973CB"/>
    <w:rsid w:val="00AA4247"/>
    <w:rsid w:val="00AA46C5"/>
    <w:rsid w:val="00AA5AA0"/>
    <w:rsid w:val="00AA5F97"/>
    <w:rsid w:val="00AA6380"/>
    <w:rsid w:val="00AA67AF"/>
    <w:rsid w:val="00AA7303"/>
    <w:rsid w:val="00AB29F4"/>
    <w:rsid w:val="00AB51E5"/>
    <w:rsid w:val="00AB5E54"/>
    <w:rsid w:val="00AB6F2E"/>
    <w:rsid w:val="00AC07E6"/>
    <w:rsid w:val="00AC1BA7"/>
    <w:rsid w:val="00AC645E"/>
    <w:rsid w:val="00AC6923"/>
    <w:rsid w:val="00AE0257"/>
    <w:rsid w:val="00AE0757"/>
    <w:rsid w:val="00AE44D2"/>
    <w:rsid w:val="00AF1A22"/>
    <w:rsid w:val="00AF221F"/>
    <w:rsid w:val="00AF2B4F"/>
    <w:rsid w:val="00AF672A"/>
    <w:rsid w:val="00B000B5"/>
    <w:rsid w:val="00B00230"/>
    <w:rsid w:val="00B02066"/>
    <w:rsid w:val="00B022E4"/>
    <w:rsid w:val="00B02F58"/>
    <w:rsid w:val="00B04524"/>
    <w:rsid w:val="00B055ED"/>
    <w:rsid w:val="00B07C9E"/>
    <w:rsid w:val="00B175CA"/>
    <w:rsid w:val="00B177EC"/>
    <w:rsid w:val="00B20DEE"/>
    <w:rsid w:val="00B225F4"/>
    <w:rsid w:val="00B24573"/>
    <w:rsid w:val="00B31B2C"/>
    <w:rsid w:val="00B327CC"/>
    <w:rsid w:val="00B3291F"/>
    <w:rsid w:val="00B32A3E"/>
    <w:rsid w:val="00B32B47"/>
    <w:rsid w:val="00B35252"/>
    <w:rsid w:val="00B35449"/>
    <w:rsid w:val="00B3685E"/>
    <w:rsid w:val="00B37316"/>
    <w:rsid w:val="00B41485"/>
    <w:rsid w:val="00B41EA3"/>
    <w:rsid w:val="00B43EE6"/>
    <w:rsid w:val="00B44AEF"/>
    <w:rsid w:val="00B473A0"/>
    <w:rsid w:val="00B4768C"/>
    <w:rsid w:val="00B50019"/>
    <w:rsid w:val="00B51D28"/>
    <w:rsid w:val="00B5750D"/>
    <w:rsid w:val="00B57602"/>
    <w:rsid w:val="00B61D90"/>
    <w:rsid w:val="00B63867"/>
    <w:rsid w:val="00B66C8C"/>
    <w:rsid w:val="00B71A96"/>
    <w:rsid w:val="00B73845"/>
    <w:rsid w:val="00B771DF"/>
    <w:rsid w:val="00B772E0"/>
    <w:rsid w:val="00B772F5"/>
    <w:rsid w:val="00B77EE8"/>
    <w:rsid w:val="00B81CE2"/>
    <w:rsid w:val="00B8286F"/>
    <w:rsid w:val="00B861A6"/>
    <w:rsid w:val="00B86E2B"/>
    <w:rsid w:val="00B92122"/>
    <w:rsid w:val="00B92284"/>
    <w:rsid w:val="00B9250F"/>
    <w:rsid w:val="00B92647"/>
    <w:rsid w:val="00B9387A"/>
    <w:rsid w:val="00B95108"/>
    <w:rsid w:val="00B95F71"/>
    <w:rsid w:val="00B97289"/>
    <w:rsid w:val="00B97B10"/>
    <w:rsid w:val="00B97BDD"/>
    <w:rsid w:val="00BA1C4C"/>
    <w:rsid w:val="00BA30D0"/>
    <w:rsid w:val="00BA4BED"/>
    <w:rsid w:val="00BA584E"/>
    <w:rsid w:val="00BA5AB9"/>
    <w:rsid w:val="00BB0427"/>
    <w:rsid w:val="00BB269E"/>
    <w:rsid w:val="00BB47D4"/>
    <w:rsid w:val="00BB4803"/>
    <w:rsid w:val="00BB6564"/>
    <w:rsid w:val="00BB72B6"/>
    <w:rsid w:val="00BC0907"/>
    <w:rsid w:val="00BC39E0"/>
    <w:rsid w:val="00BC41DF"/>
    <w:rsid w:val="00BC6C6E"/>
    <w:rsid w:val="00BD0B75"/>
    <w:rsid w:val="00BD0E74"/>
    <w:rsid w:val="00BD24C5"/>
    <w:rsid w:val="00BD39F9"/>
    <w:rsid w:val="00BD5A10"/>
    <w:rsid w:val="00BD6358"/>
    <w:rsid w:val="00BD6366"/>
    <w:rsid w:val="00BE09BF"/>
    <w:rsid w:val="00BE1DB0"/>
    <w:rsid w:val="00BE202E"/>
    <w:rsid w:val="00BE2079"/>
    <w:rsid w:val="00BE29D2"/>
    <w:rsid w:val="00BE4931"/>
    <w:rsid w:val="00BE4EF4"/>
    <w:rsid w:val="00BE7A46"/>
    <w:rsid w:val="00BF2222"/>
    <w:rsid w:val="00BF2984"/>
    <w:rsid w:val="00BF3CFD"/>
    <w:rsid w:val="00BF4571"/>
    <w:rsid w:val="00BF592A"/>
    <w:rsid w:val="00C01240"/>
    <w:rsid w:val="00C0127D"/>
    <w:rsid w:val="00C04D01"/>
    <w:rsid w:val="00C05CFC"/>
    <w:rsid w:val="00C0768C"/>
    <w:rsid w:val="00C12ABD"/>
    <w:rsid w:val="00C12E05"/>
    <w:rsid w:val="00C13334"/>
    <w:rsid w:val="00C13CCA"/>
    <w:rsid w:val="00C1403B"/>
    <w:rsid w:val="00C1448C"/>
    <w:rsid w:val="00C16344"/>
    <w:rsid w:val="00C2181D"/>
    <w:rsid w:val="00C2545B"/>
    <w:rsid w:val="00C27AC0"/>
    <w:rsid w:val="00C30E7D"/>
    <w:rsid w:val="00C32955"/>
    <w:rsid w:val="00C35F99"/>
    <w:rsid w:val="00C3764D"/>
    <w:rsid w:val="00C376CA"/>
    <w:rsid w:val="00C37D6F"/>
    <w:rsid w:val="00C41FD7"/>
    <w:rsid w:val="00C42744"/>
    <w:rsid w:val="00C445FD"/>
    <w:rsid w:val="00C44686"/>
    <w:rsid w:val="00C46780"/>
    <w:rsid w:val="00C46F75"/>
    <w:rsid w:val="00C502EA"/>
    <w:rsid w:val="00C51DBA"/>
    <w:rsid w:val="00C52E48"/>
    <w:rsid w:val="00C636A8"/>
    <w:rsid w:val="00C63EC6"/>
    <w:rsid w:val="00C64860"/>
    <w:rsid w:val="00C70869"/>
    <w:rsid w:val="00C73227"/>
    <w:rsid w:val="00C73646"/>
    <w:rsid w:val="00C764F5"/>
    <w:rsid w:val="00C84FDC"/>
    <w:rsid w:val="00C85E4E"/>
    <w:rsid w:val="00C92763"/>
    <w:rsid w:val="00C92F7A"/>
    <w:rsid w:val="00C95B11"/>
    <w:rsid w:val="00C97BDC"/>
    <w:rsid w:val="00C97DA9"/>
    <w:rsid w:val="00CA285C"/>
    <w:rsid w:val="00CA3052"/>
    <w:rsid w:val="00CA48F9"/>
    <w:rsid w:val="00CA5352"/>
    <w:rsid w:val="00CA67AB"/>
    <w:rsid w:val="00CA6CE3"/>
    <w:rsid w:val="00CB0F3B"/>
    <w:rsid w:val="00CB13BB"/>
    <w:rsid w:val="00CB1540"/>
    <w:rsid w:val="00CB2130"/>
    <w:rsid w:val="00CB3B85"/>
    <w:rsid w:val="00CB4EAA"/>
    <w:rsid w:val="00CB74A4"/>
    <w:rsid w:val="00CC3F32"/>
    <w:rsid w:val="00CC41BD"/>
    <w:rsid w:val="00CC7694"/>
    <w:rsid w:val="00CD2096"/>
    <w:rsid w:val="00CD34EA"/>
    <w:rsid w:val="00CE18F4"/>
    <w:rsid w:val="00CE211A"/>
    <w:rsid w:val="00CE3BDD"/>
    <w:rsid w:val="00CE7FFC"/>
    <w:rsid w:val="00CF1725"/>
    <w:rsid w:val="00CF1E21"/>
    <w:rsid w:val="00CF2139"/>
    <w:rsid w:val="00CF385C"/>
    <w:rsid w:val="00D00801"/>
    <w:rsid w:val="00D011BB"/>
    <w:rsid w:val="00D0205D"/>
    <w:rsid w:val="00D03B8F"/>
    <w:rsid w:val="00D04F04"/>
    <w:rsid w:val="00D0599B"/>
    <w:rsid w:val="00D06BFA"/>
    <w:rsid w:val="00D10673"/>
    <w:rsid w:val="00D1137F"/>
    <w:rsid w:val="00D13892"/>
    <w:rsid w:val="00D21EAB"/>
    <w:rsid w:val="00D223E5"/>
    <w:rsid w:val="00D225CE"/>
    <w:rsid w:val="00D22F1A"/>
    <w:rsid w:val="00D23505"/>
    <w:rsid w:val="00D2363D"/>
    <w:rsid w:val="00D24471"/>
    <w:rsid w:val="00D2479A"/>
    <w:rsid w:val="00D249D5"/>
    <w:rsid w:val="00D3189E"/>
    <w:rsid w:val="00D31C3B"/>
    <w:rsid w:val="00D337DB"/>
    <w:rsid w:val="00D34895"/>
    <w:rsid w:val="00D367F3"/>
    <w:rsid w:val="00D46D25"/>
    <w:rsid w:val="00D472F2"/>
    <w:rsid w:val="00D478C6"/>
    <w:rsid w:val="00D5285F"/>
    <w:rsid w:val="00D52EC1"/>
    <w:rsid w:val="00D55671"/>
    <w:rsid w:val="00D56B9B"/>
    <w:rsid w:val="00D57526"/>
    <w:rsid w:val="00D57A00"/>
    <w:rsid w:val="00D61723"/>
    <w:rsid w:val="00D631FC"/>
    <w:rsid w:val="00D636FB"/>
    <w:rsid w:val="00D640A2"/>
    <w:rsid w:val="00D64638"/>
    <w:rsid w:val="00D65311"/>
    <w:rsid w:val="00D66877"/>
    <w:rsid w:val="00D70CE2"/>
    <w:rsid w:val="00D7116E"/>
    <w:rsid w:val="00D72F61"/>
    <w:rsid w:val="00D749A6"/>
    <w:rsid w:val="00D753A1"/>
    <w:rsid w:val="00D755C1"/>
    <w:rsid w:val="00D76D8C"/>
    <w:rsid w:val="00D76DAD"/>
    <w:rsid w:val="00D7746E"/>
    <w:rsid w:val="00D77C1C"/>
    <w:rsid w:val="00D816EA"/>
    <w:rsid w:val="00D8468F"/>
    <w:rsid w:val="00D84AAB"/>
    <w:rsid w:val="00D87A19"/>
    <w:rsid w:val="00D914D9"/>
    <w:rsid w:val="00D917E4"/>
    <w:rsid w:val="00D94067"/>
    <w:rsid w:val="00D94575"/>
    <w:rsid w:val="00D95D2A"/>
    <w:rsid w:val="00D95EC6"/>
    <w:rsid w:val="00D969B1"/>
    <w:rsid w:val="00D9748F"/>
    <w:rsid w:val="00DA0173"/>
    <w:rsid w:val="00DA2468"/>
    <w:rsid w:val="00DA72BF"/>
    <w:rsid w:val="00DB2968"/>
    <w:rsid w:val="00DB4E10"/>
    <w:rsid w:val="00DB7061"/>
    <w:rsid w:val="00DB7316"/>
    <w:rsid w:val="00DC23FB"/>
    <w:rsid w:val="00DC2FC4"/>
    <w:rsid w:val="00DC46DC"/>
    <w:rsid w:val="00DC730F"/>
    <w:rsid w:val="00DC7A36"/>
    <w:rsid w:val="00DD0C0D"/>
    <w:rsid w:val="00DD3CB2"/>
    <w:rsid w:val="00DD5A99"/>
    <w:rsid w:val="00DD6C7B"/>
    <w:rsid w:val="00DD7F6E"/>
    <w:rsid w:val="00DD7FD1"/>
    <w:rsid w:val="00DE146F"/>
    <w:rsid w:val="00DE2C53"/>
    <w:rsid w:val="00DE34F5"/>
    <w:rsid w:val="00DE5686"/>
    <w:rsid w:val="00DE6967"/>
    <w:rsid w:val="00DF26D6"/>
    <w:rsid w:val="00DF3A92"/>
    <w:rsid w:val="00DF3C0C"/>
    <w:rsid w:val="00DF3F60"/>
    <w:rsid w:val="00DF4F8D"/>
    <w:rsid w:val="00DF799F"/>
    <w:rsid w:val="00DF7AE6"/>
    <w:rsid w:val="00DF7B95"/>
    <w:rsid w:val="00E01884"/>
    <w:rsid w:val="00E02E70"/>
    <w:rsid w:val="00E049E6"/>
    <w:rsid w:val="00E04F6D"/>
    <w:rsid w:val="00E05136"/>
    <w:rsid w:val="00E0549F"/>
    <w:rsid w:val="00E054FB"/>
    <w:rsid w:val="00E13B44"/>
    <w:rsid w:val="00E1687E"/>
    <w:rsid w:val="00E22D11"/>
    <w:rsid w:val="00E2384C"/>
    <w:rsid w:val="00E25891"/>
    <w:rsid w:val="00E26227"/>
    <w:rsid w:val="00E268DC"/>
    <w:rsid w:val="00E26E5E"/>
    <w:rsid w:val="00E306A1"/>
    <w:rsid w:val="00E32CE1"/>
    <w:rsid w:val="00E33366"/>
    <w:rsid w:val="00E36109"/>
    <w:rsid w:val="00E36B29"/>
    <w:rsid w:val="00E36D68"/>
    <w:rsid w:val="00E42D61"/>
    <w:rsid w:val="00E47F54"/>
    <w:rsid w:val="00E52A82"/>
    <w:rsid w:val="00E533E1"/>
    <w:rsid w:val="00E5541D"/>
    <w:rsid w:val="00E554AF"/>
    <w:rsid w:val="00E56DF6"/>
    <w:rsid w:val="00E57E71"/>
    <w:rsid w:val="00E60FCA"/>
    <w:rsid w:val="00E6158F"/>
    <w:rsid w:val="00E61984"/>
    <w:rsid w:val="00E6262C"/>
    <w:rsid w:val="00E62B62"/>
    <w:rsid w:val="00E638D9"/>
    <w:rsid w:val="00E641B4"/>
    <w:rsid w:val="00E64DBD"/>
    <w:rsid w:val="00E65E4F"/>
    <w:rsid w:val="00E65EC5"/>
    <w:rsid w:val="00E667BE"/>
    <w:rsid w:val="00E670A2"/>
    <w:rsid w:val="00E67DE6"/>
    <w:rsid w:val="00E7176A"/>
    <w:rsid w:val="00E720E9"/>
    <w:rsid w:val="00E73C69"/>
    <w:rsid w:val="00E74A29"/>
    <w:rsid w:val="00E767CF"/>
    <w:rsid w:val="00E81230"/>
    <w:rsid w:val="00E81638"/>
    <w:rsid w:val="00E818CB"/>
    <w:rsid w:val="00E832B0"/>
    <w:rsid w:val="00E837C0"/>
    <w:rsid w:val="00E86A72"/>
    <w:rsid w:val="00E900C4"/>
    <w:rsid w:val="00E91FE3"/>
    <w:rsid w:val="00E94490"/>
    <w:rsid w:val="00E95BE2"/>
    <w:rsid w:val="00E95DC8"/>
    <w:rsid w:val="00EA062A"/>
    <w:rsid w:val="00EA4010"/>
    <w:rsid w:val="00EA5498"/>
    <w:rsid w:val="00EA7E35"/>
    <w:rsid w:val="00EB0643"/>
    <w:rsid w:val="00EB1ABF"/>
    <w:rsid w:val="00EB3840"/>
    <w:rsid w:val="00EB6034"/>
    <w:rsid w:val="00EB75B5"/>
    <w:rsid w:val="00EC0388"/>
    <w:rsid w:val="00EC1192"/>
    <w:rsid w:val="00EC128F"/>
    <w:rsid w:val="00EC3490"/>
    <w:rsid w:val="00EC34A5"/>
    <w:rsid w:val="00EC6C6A"/>
    <w:rsid w:val="00EC7120"/>
    <w:rsid w:val="00ED037F"/>
    <w:rsid w:val="00ED0F30"/>
    <w:rsid w:val="00ED4D25"/>
    <w:rsid w:val="00ED511B"/>
    <w:rsid w:val="00ED6384"/>
    <w:rsid w:val="00EE2301"/>
    <w:rsid w:val="00EE2E55"/>
    <w:rsid w:val="00EE7623"/>
    <w:rsid w:val="00EF3122"/>
    <w:rsid w:val="00EF3665"/>
    <w:rsid w:val="00EF6C43"/>
    <w:rsid w:val="00F00BBE"/>
    <w:rsid w:val="00F00E52"/>
    <w:rsid w:val="00F019B7"/>
    <w:rsid w:val="00F02540"/>
    <w:rsid w:val="00F02F31"/>
    <w:rsid w:val="00F0602E"/>
    <w:rsid w:val="00F06242"/>
    <w:rsid w:val="00F06F1A"/>
    <w:rsid w:val="00F10FB2"/>
    <w:rsid w:val="00F11CCB"/>
    <w:rsid w:val="00F12D88"/>
    <w:rsid w:val="00F139AE"/>
    <w:rsid w:val="00F16E9F"/>
    <w:rsid w:val="00F2042F"/>
    <w:rsid w:val="00F21DD0"/>
    <w:rsid w:val="00F23EE5"/>
    <w:rsid w:val="00F24997"/>
    <w:rsid w:val="00F33DE0"/>
    <w:rsid w:val="00F35627"/>
    <w:rsid w:val="00F36DE8"/>
    <w:rsid w:val="00F3733B"/>
    <w:rsid w:val="00F40FE1"/>
    <w:rsid w:val="00F520FE"/>
    <w:rsid w:val="00F52C12"/>
    <w:rsid w:val="00F5301F"/>
    <w:rsid w:val="00F5351A"/>
    <w:rsid w:val="00F54C76"/>
    <w:rsid w:val="00F556AD"/>
    <w:rsid w:val="00F55D54"/>
    <w:rsid w:val="00F62B5E"/>
    <w:rsid w:val="00F631E4"/>
    <w:rsid w:val="00F63CDE"/>
    <w:rsid w:val="00F64534"/>
    <w:rsid w:val="00F6547C"/>
    <w:rsid w:val="00F65C7B"/>
    <w:rsid w:val="00F71184"/>
    <w:rsid w:val="00F7585D"/>
    <w:rsid w:val="00F76492"/>
    <w:rsid w:val="00F76BF0"/>
    <w:rsid w:val="00F7791B"/>
    <w:rsid w:val="00F81A03"/>
    <w:rsid w:val="00F81A82"/>
    <w:rsid w:val="00F86013"/>
    <w:rsid w:val="00F87C57"/>
    <w:rsid w:val="00F907DD"/>
    <w:rsid w:val="00F9242A"/>
    <w:rsid w:val="00F9553C"/>
    <w:rsid w:val="00F95B35"/>
    <w:rsid w:val="00FA11CD"/>
    <w:rsid w:val="00FA1550"/>
    <w:rsid w:val="00FA169A"/>
    <w:rsid w:val="00FA4BCC"/>
    <w:rsid w:val="00FA4BD3"/>
    <w:rsid w:val="00FA6035"/>
    <w:rsid w:val="00FA706A"/>
    <w:rsid w:val="00FB24EB"/>
    <w:rsid w:val="00FB27DF"/>
    <w:rsid w:val="00FB312C"/>
    <w:rsid w:val="00FB4279"/>
    <w:rsid w:val="00FB444F"/>
    <w:rsid w:val="00FB4538"/>
    <w:rsid w:val="00FB7661"/>
    <w:rsid w:val="00FC0118"/>
    <w:rsid w:val="00FC1C40"/>
    <w:rsid w:val="00FC2F02"/>
    <w:rsid w:val="00FC36EC"/>
    <w:rsid w:val="00FC4028"/>
    <w:rsid w:val="00FC605E"/>
    <w:rsid w:val="00FD048F"/>
    <w:rsid w:val="00FD1251"/>
    <w:rsid w:val="00FD1B87"/>
    <w:rsid w:val="00FD2EE5"/>
    <w:rsid w:val="00FD33F1"/>
    <w:rsid w:val="00FD3FC3"/>
    <w:rsid w:val="00FD4011"/>
    <w:rsid w:val="00FD46E1"/>
    <w:rsid w:val="00FD4967"/>
    <w:rsid w:val="00FD52CE"/>
    <w:rsid w:val="00FD53A4"/>
    <w:rsid w:val="00FD682F"/>
    <w:rsid w:val="00FD6FAA"/>
    <w:rsid w:val="00FD7CD2"/>
    <w:rsid w:val="00FE0019"/>
    <w:rsid w:val="00FE17EB"/>
    <w:rsid w:val="00FE24F8"/>
    <w:rsid w:val="00FE28C3"/>
    <w:rsid w:val="00FE3059"/>
    <w:rsid w:val="00FE3F33"/>
    <w:rsid w:val="00FE3FB1"/>
    <w:rsid w:val="00FE5357"/>
    <w:rsid w:val="00FE5B5F"/>
    <w:rsid w:val="00FE70E7"/>
    <w:rsid w:val="00FF049E"/>
    <w:rsid w:val="00FF27DA"/>
    <w:rsid w:val="00FF3007"/>
    <w:rsid w:val="00FF477D"/>
    <w:rsid w:val="641E2A7B"/>
    <w:rsid w:val="78415B7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82CDF"/>
  <w15:docId w15:val="{0203A851-454C-485F-92F4-5F7EA1690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1771"/>
    <w:rPr>
      <w:rFonts w:eastAsiaTheme="minorEastAsia"/>
      <w:lang w:val="en-GB" w:eastAsia="en-GB"/>
    </w:rPr>
  </w:style>
  <w:style w:type="paragraph" w:styleId="Heading1">
    <w:name w:val="heading 1"/>
    <w:basedOn w:val="---TEXT"/>
    <w:next w:val="Normal"/>
    <w:link w:val="Heading1Char"/>
    <w:uiPriority w:val="9"/>
    <w:qFormat/>
    <w:rsid w:val="00EC34A5"/>
    <w:pPr>
      <w:outlineLvl w:val="0"/>
    </w:pPr>
    <w:rPr>
      <w:b/>
    </w:rPr>
  </w:style>
  <w:style w:type="paragraph" w:styleId="Heading2">
    <w:name w:val="heading 2"/>
    <w:basedOn w:val="Heading1"/>
    <w:next w:val="Normal"/>
    <w:link w:val="Heading2Char"/>
    <w:uiPriority w:val="9"/>
    <w:unhideWhenUsed/>
    <w:qFormat/>
    <w:rsid w:val="009E0EF4"/>
    <w:pPr>
      <w:outlineLvl w:val="1"/>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00230"/>
    <w:pPr>
      <w:spacing w:after="0" w:line="240" w:lineRule="auto"/>
    </w:pPr>
    <w:rPr>
      <w:rFonts w:ascii="Corporate S" w:hAnsi="Corporate S"/>
    </w:rPr>
  </w:style>
  <w:style w:type="character" w:customStyle="1" w:styleId="Heading1Char">
    <w:name w:val="Heading 1 Char"/>
    <w:basedOn w:val="DefaultParagraphFont"/>
    <w:link w:val="Heading1"/>
    <w:uiPriority w:val="9"/>
    <w:rsid w:val="00EC34A5"/>
    <w:rPr>
      <w:rFonts w:ascii="Times New Roman" w:eastAsiaTheme="minorEastAsia" w:hAnsi="Times New Roman" w:cs="Times New Roman"/>
      <w:b/>
      <w:lang w:val="en-GB" w:eastAsia="en-GB"/>
    </w:rPr>
  </w:style>
  <w:style w:type="table" w:styleId="TableGrid">
    <w:name w:val="Table Grid"/>
    <w:basedOn w:val="TableNormal"/>
    <w:uiPriority w:val="59"/>
    <w:rsid w:val="00FD12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 TEXT"/>
    <w:basedOn w:val="Normal"/>
    <w:qFormat/>
    <w:rsid w:val="00AB29F4"/>
    <w:pPr>
      <w:widowControl w:val="0"/>
      <w:autoSpaceDE w:val="0"/>
      <w:autoSpaceDN w:val="0"/>
      <w:adjustRightInd w:val="0"/>
      <w:spacing w:after="160" w:line="360" w:lineRule="auto"/>
      <w:ind w:left="340" w:right="340"/>
    </w:pPr>
    <w:rPr>
      <w:rFonts w:ascii="Times New Roman" w:hAnsi="Times New Roman" w:cs="Times New Roman"/>
      <w:sz w:val="24"/>
    </w:rPr>
  </w:style>
  <w:style w:type="paragraph" w:styleId="BalloonText">
    <w:name w:val="Balloon Text"/>
    <w:basedOn w:val="Normal"/>
    <w:link w:val="BalloonTextChar"/>
    <w:uiPriority w:val="99"/>
    <w:semiHidden/>
    <w:unhideWhenUsed/>
    <w:rsid w:val="004217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1771"/>
    <w:rPr>
      <w:rFonts w:ascii="Tahoma" w:eastAsiaTheme="minorEastAsia" w:hAnsi="Tahoma" w:cs="Tahoma"/>
      <w:sz w:val="16"/>
      <w:szCs w:val="16"/>
      <w:lang w:val="en-GB" w:eastAsia="en-GB"/>
    </w:rPr>
  </w:style>
  <w:style w:type="paragraph" w:styleId="NormalWeb">
    <w:name w:val="Normal (Web)"/>
    <w:basedOn w:val="Normal"/>
    <w:uiPriority w:val="99"/>
    <w:unhideWhenUsed/>
    <w:rsid w:val="0043280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Hyperlink">
    <w:name w:val="Hyperlink"/>
    <w:basedOn w:val="DefaultParagraphFont"/>
    <w:uiPriority w:val="99"/>
    <w:unhideWhenUsed/>
    <w:rsid w:val="00C0127D"/>
    <w:rPr>
      <w:color w:val="0000FF" w:themeColor="hyperlink"/>
      <w:u w:val="single"/>
    </w:rPr>
  </w:style>
  <w:style w:type="character" w:styleId="PlaceholderText">
    <w:name w:val="Placeholder Text"/>
    <w:basedOn w:val="DefaultParagraphFont"/>
    <w:uiPriority w:val="99"/>
    <w:semiHidden/>
    <w:rsid w:val="008737D9"/>
    <w:rPr>
      <w:color w:val="808080"/>
    </w:rPr>
  </w:style>
  <w:style w:type="paragraph" w:styleId="FootnoteText">
    <w:name w:val="footnote text"/>
    <w:basedOn w:val="Normal"/>
    <w:link w:val="FootnoteTextChar"/>
    <w:uiPriority w:val="99"/>
    <w:semiHidden/>
    <w:unhideWhenUsed/>
    <w:rsid w:val="002508C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08C1"/>
    <w:rPr>
      <w:rFonts w:eastAsiaTheme="minorEastAsia"/>
      <w:sz w:val="20"/>
      <w:szCs w:val="20"/>
      <w:lang w:val="en-GB" w:eastAsia="en-GB"/>
    </w:rPr>
  </w:style>
  <w:style w:type="character" w:styleId="FootnoteReference">
    <w:name w:val="footnote reference"/>
    <w:basedOn w:val="DefaultParagraphFont"/>
    <w:uiPriority w:val="99"/>
    <w:semiHidden/>
    <w:unhideWhenUsed/>
    <w:rsid w:val="002508C1"/>
    <w:rPr>
      <w:vertAlign w:val="superscript"/>
    </w:rPr>
  </w:style>
  <w:style w:type="paragraph" w:styleId="Header">
    <w:name w:val="header"/>
    <w:basedOn w:val="Normal"/>
    <w:link w:val="HeaderChar"/>
    <w:uiPriority w:val="99"/>
    <w:unhideWhenUsed/>
    <w:rsid w:val="002503ED"/>
    <w:pPr>
      <w:tabs>
        <w:tab w:val="center" w:pos="4536"/>
        <w:tab w:val="right" w:pos="9072"/>
      </w:tabs>
      <w:spacing w:after="0" w:line="240" w:lineRule="auto"/>
    </w:pPr>
  </w:style>
  <w:style w:type="character" w:customStyle="1" w:styleId="HeaderChar">
    <w:name w:val="Header Char"/>
    <w:basedOn w:val="DefaultParagraphFont"/>
    <w:link w:val="Header"/>
    <w:uiPriority w:val="99"/>
    <w:rsid w:val="002503ED"/>
    <w:rPr>
      <w:rFonts w:eastAsiaTheme="minorEastAsia"/>
      <w:lang w:val="en-GB" w:eastAsia="en-GB"/>
    </w:rPr>
  </w:style>
  <w:style w:type="paragraph" w:styleId="Footer">
    <w:name w:val="footer"/>
    <w:basedOn w:val="Normal"/>
    <w:link w:val="FooterChar"/>
    <w:uiPriority w:val="99"/>
    <w:unhideWhenUsed/>
    <w:rsid w:val="002503ED"/>
    <w:pPr>
      <w:tabs>
        <w:tab w:val="center" w:pos="4536"/>
        <w:tab w:val="right" w:pos="9072"/>
      </w:tabs>
      <w:spacing w:after="0" w:line="240" w:lineRule="auto"/>
    </w:pPr>
  </w:style>
  <w:style w:type="character" w:customStyle="1" w:styleId="FooterChar">
    <w:name w:val="Footer Char"/>
    <w:basedOn w:val="DefaultParagraphFont"/>
    <w:link w:val="Footer"/>
    <w:uiPriority w:val="99"/>
    <w:rsid w:val="002503ED"/>
    <w:rPr>
      <w:rFonts w:eastAsiaTheme="minorEastAsia"/>
      <w:lang w:val="en-GB" w:eastAsia="en-GB"/>
    </w:rPr>
  </w:style>
  <w:style w:type="character" w:customStyle="1" w:styleId="Heading2Char">
    <w:name w:val="Heading 2 Char"/>
    <w:basedOn w:val="DefaultParagraphFont"/>
    <w:link w:val="Heading2"/>
    <w:uiPriority w:val="9"/>
    <w:rsid w:val="009E0EF4"/>
    <w:rPr>
      <w:rFonts w:ascii="Times New Roman" w:eastAsiaTheme="minorEastAsia" w:hAnsi="Times New Roman" w:cs="Times New Roman"/>
      <w:b/>
      <w:sz w:val="20"/>
      <w:u w:val="single"/>
      <w:lang w:val="en-GB" w:eastAsia="en-GB"/>
    </w:rPr>
  </w:style>
  <w:style w:type="paragraph" w:customStyle="1" w:styleId="----EBENE1">
    <w:name w:val="----&gt;EBENE 1"/>
    <w:basedOn w:val="Heading1"/>
    <w:qFormat/>
    <w:rsid w:val="00247DED"/>
    <w:pPr>
      <w:numPr>
        <w:numId w:val="3"/>
      </w:numPr>
      <w:spacing w:after="0"/>
    </w:pPr>
  </w:style>
  <w:style w:type="paragraph" w:customStyle="1" w:styleId="----EBENE2">
    <w:name w:val="----&gt; EBENE 2"/>
    <w:basedOn w:val="----EBENE1"/>
    <w:qFormat/>
    <w:rsid w:val="00247DED"/>
    <w:pPr>
      <w:numPr>
        <w:ilvl w:val="1"/>
      </w:numPr>
    </w:pPr>
    <w:rPr>
      <w:i/>
    </w:rPr>
  </w:style>
  <w:style w:type="paragraph" w:customStyle="1" w:styleId="--NOtesFu">
    <w:name w:val="--NOtes Fuß"/>
    <w:basedOn w:val="Normal"/>
    <w:qFormat/>
    <w:rsid w:val="0007567B"/>
    <w:pPr>
      <w:spacing w:after="0"/>
    </w:pPr>
    <w:rPr>
      <w:rFonts w:ascii="Times New Roman" w:hAnsi="Times New Roman" w:cs="Times New Roman"/>
      <w:b/>
      <w:sz w:val="18"/>
    </w:rPr>
  </w:style>
  <w:style w:type="paragraph" w:customStyle="1" w:styleId="----Literatur">
    <w:name w:val="----Literatur"/>
    <w:basedOn w:val="Normal"/>
    <w:qFormat/>
    <w:rsid w:val="00FD1B87"/>
    <w:pPr>
      <w:spacing w:after="0" w:line="240" w:lineRule="auto"/>
      <w:ind w:left="709" w:hanging="709"/>
    </w:pPr>
    <w:rPr>
      <w:rFonts w:ascii="Times New Roman" w:eastAsiaTheme="minorHAnsi" w:hAnsi="Times New Roman" w:cs="Times New Roman"/>
      <w:lang w:eastAsia="en-US"/>
    </w:rPr>
  </w:style>
  <w:style w:type="paragraph" w:customStyle="1" w:styleId="---TEXT0">
    <w:name w:val="---TEXT"/>
    <w:basedOn w:val="Normal"/>
    <w:qFormat/>
    <w:rsid w:val="008721B7"/>
    <w:pPr>
      <w:spacing w:after="160" w:line="480" w:lineRule="auto"/>
    </w:pPr>
    <w:rPr>
      <w:rFonts w:ascii="Times New Roman" w:eastAsiaTheme="minorHAnsi" w:hAnsi="Times New Roman" w:cs="Times New Roman"/>
      <w:sz w:val="24"/>
      <w:lang w:eastAsia="en-US"/>
    </w:rPr>
  </w:style>
  <w:style w:type="character" w:customStyle="1" w:styleId="st">
    <w:name w:val="st"/>
    <w:basedOn w:val="DefaultParagraphFont"/>
    <w:rsid w:val="00CB1540"/>
  </w:style>
  <w:style w:type="character" w:styleId="Emphasis">
    <w:name w:val="Emphasis"/>
    <w:basedOn w:val="DefaultParagraphFont"/>
    <w:uiPriority w:val="20"/>
    <w:qFormat/>
    <w:rsid w:val="00CB1540"/>
    <w:rPr>
      <w:i/>
      <w:iCs/>
    </w:rPr>
  </w:style>
  <w:style w:type="paragraph" w:styleId="Revision">
    <w:name w:val="Revision"/>
    <w:hidden/>
    <w:uiPriority w:val="99"/>
    <w:semiHidden/>
    <w:rsid w:val="00825333"/>
    <w:pPr>
      <w:spacing w:after="0" w:line="240" w:lineRule="auto"/>
    </w:pPr>
    <w:rPr>
      <w:rFonts w:eastAsiaTheme="minorEastAsia"/>
      <w:lang w:val="en-GB" w:eastAsia="en-GB"/>
    </w:rPr>
  </w:style>
  <w:style w:type="character" w:styleId="CommentReference">
    <w:name w:val="annotation reference"/>
    <w:basedOn w:val="DefaultParagraphFont"/>
    <w:uiPriority w:val="99"/>
    <w:semiHidden/>
    <w:unhideWhenUsed/>
    <w:rsid w:val="0010160F"/>
    <w:rPr>
      <w:sz w:val="16"/>
      <w:szCs w:val="16"/>
    </w:rPr>
  </w:style>
  <w:style w:type="paragraph" w:styleId="CommentText">
    <w:name w:val="annotation text"/>
    <w:basedOn w:val="Normal"/>
    <w:link w:val="CommentTextChar"/>
    <w:uiPriority w:val="99"/>
    <w:semiHidden/>
    <w:unhideWhenUsed/>
    <w:rsid w:val="0010160F"/>
    <w:pPr>
      <w:spacing w:line="240" w:lineRule="auto"/>
    </w:pPr>
    <w:rPr>
      <w:sz w:val="20"/>
      <w:szCs w:val="20"/>
    </w:rPr>
  </w:style>
  <w:style w:type="character" w:customStyle="1" w:styleId="CommentTextChar">
    <w:name w:val="Comment Text Char"/>
    <w:basedOn w:val="DefaultParagraphFont"/>
    <w:link w:val="CommentText"/>
    <w:uiPriority w:val="99"/>
    <w:semiHidden/>
    <w:rsid w:val="0010160F"/>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10160F"/>
    <w:rPr>
      <w:b/>
      <w:bCs/>
    </w:rPr>
  </w:style>
  <w:style w:type="character" w:customStyle="1" w:styleId="CommentSubjectChar">
    <w:name w:val="Comment Subject Char"/>
    <w:basedOn w:val="CommentTextChar"/>
    <w:link w:val="CommentSubject"/>
    <w:uiPriority w:val="99"/>
    <w:semiHidden/>
    <w:rsid w:val="0010160F"/>
    <w:rPr>
      <w:rFonts w:eastAsiaTheme="minorEastAsia"/>
      <w:b/>
      <w:bCs/>
      <w:sz w:val="20"/>
      <w:szCs w:val="20"/>
      <w:lang w:val="en-GB" w:eastAsia="en-GB"/>
    </w:rPr>
  </w:style>
  <w:style w:type="character" w:customStyle="1" w:styleId="smallcap">
    <w:name w:val="smallcap"/>
    <w:basedOn w:val="DefaultParagraphFont"/>
    <w:rsid w:val="00775797"/>
  </w:style>
  <w:style w:type="paragraph" w:styleId="PlainText">
    <w:name w:val="Plain Text"/>
    <w:basedOn w:val="Normal"/>
    <w:link w:val="PlainTextChar"/>
    <w:uiPriority w:val="99"/>
    <w:semiHidden/>
    <w:unhideWhenUsed/>
    <w:rsid w:val="00C73646"/>
    <w:pPr>
      <w:spacing w:after="0" w:line="240" w:lineRule="auto"/>
    </w:pPr>
    <w:rPr>
      <w:rFonts w:ascii="Calibri" w:eastAsiaTheme="minorHAnsi" w:hAnsi="Calibri" w:cs="Consolas"/>
      <w:szCs w:val="21"/>
      <w:lang w:eastAsia="en-US"/>
    </w:rPr>
  </w:style>
  <w:style w:type="character" w:customStyle="1" w:styleId="PlainTextChar">
    <w:name w:val="Plain Text Char"/>
    <w:basedOn w:val="DefaultParagraphFont"/>
    <w:link w:val="PlainText"/>
    <w:uiPriority w:val="99"/>
    <w:semiHidden/>
    <w:rsid w:val="00C73646"/>
    <w:rPr>
      <w:rFonts w:ascii="Calibri" w:hAnsi="Calibri" w:cs="Consolas"/>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810867">
      <w:bodyDiv w:val="1"/>
      <w:marLeft w:val="0"/>
      <w:marRight w:val="0"/>
      <w:marTop w:val="0"/>
      <w:marBottom w:val="0"/>
      <w:divBdr>
        <w:top w:val="none" w:sz="0" w:space="0" w:color="auto"/>
        <w:left w:val="none" w:sz="0" w:space="0" w:color="auto"/>
        <w:bottom w:val="none" w:sz="0" w:space="0" w:color="auto"/>
        <w:right w:val="none" w:sz="0" w:space="0" w:color="auto"/>
      </w:divBdr>
      <w:divsChild>
        <w:div w:id="1439368067">
          <w:marLeft w:val="0"/>
          <w:marRight w:val="0"/>
          <w:marTop w:val="0"/>
          <w:marBottom w:val="0"/>
          <w:divBdr>
            <w:top w:val="none" w:sz="0" w:space="0" w:color="auto"/>
            <w:left w:val="none" w:sz="0" w:space="0" w:color="auto"/>
            <w:bottom w:val="none" w:sz="0" w:space="0" w:color="auto"/>
            <w:right w:val="none" w:sz="0" w:space="0" w:color="auto"/>
          </w:divBdr>
        </w:div>
        <w:div w:id="1293052892">
          <w:marLeft w:val="0"/>
          <w:marRight w:val="0"/>
          <w:marTop w:val="0"/>
          <w:marBottom w:val="0"/>
          <w:divBdr>
            <w:top w:val="none" w:sz="0" w:space="0" w:color="auto"/>
            <w:left w:val="none" w:sz="0" w:space="0" w:color="auto"/>
            <w:bottom w:val="none" w:sz="0" w:space="0" w:color="auto"/>
            <w:right w:val="none" w:sz="0" w:space="0" w:color="auto"/>
          </w:divBdr>
        </w:div>
        <w:div w:id="205604423">
          <w:marLeft w:val="0"/>
          <w:marRight w:val="0"/>
          <w:marTop w:val="0"/>
          <w:marBottom w:val="0"/>
          <w:divBdr>
            <w:top w:val="none" w:sz="0" w:space="0" w:color="auto"/>
            <w:left w:val="none" w:sz="0" w:space="0" w:color="auto"/>
            <w:bottom w:val="none" w:sz="0" w:space="0" w:color="auto"/>
            <w:right w:val="none" w:sz="0" w:space="0" w:color="auto"/>
          </w:divBdr>
        </w:div>
        <w:div w:id="558563391">
          <w:marLeft w:val="0"/>
          <w:marRight w:val="0"/>
          <w:marTop w:val="0"/>
          <w:marBottom w:val="0"/>
          <w:divBdr>
            <w:top w:val="none" w:sz="0" w:space="0" w:color="auto"/>
            <w:left w:val="none" w:sz="0" w:space="0" w:color="auto"/>
            <w:bottom w:val="none" w:sz="0" w:space="0" w:color="auto"/>
            <w:right w:val="none" w:sz="0" w:space="0" w:color="auto"/>
          </w:divBdr>
        </w:div>
        <w:div w:id="2073382729">
          <w:marLeft w:val="0"/>
          <w:marRight w:val="0"/>
          <w:marTop w:val="0"/>
          <w:marBottom w:val="0"/>
          <w:divBdr>
            <w:top w:val="none" w:sz="0" w:space="0" w:color="auto"/>
            <w:left w:val="none" w:sz="0" w:space="0" w:color="auto"/>
            <w:bottom w:val="none" w:sz="0" w:space="0" w:color="auto"/>
            <w:right w:val="none" w:sz="0" w:space="0" w:color="auto"/>
          </w:divBdr>
        </w:div>
        <w:div w:id="1063216775">
          <w:marLeft w:val="0"/>
          <w:marRight w:val="0"/>
          <w:marTop w:val="0"/>
          <w:marBottom w:val="0"/>
          <w:divBdr>
            <w:top w:val="none" w:sz="0" w:space="0" w:color="auto"/>
            <w:left w:val="none" w:sz="0" w:space="0" w:color="auto"/>
            <w:bottom w:val="none" w:sz="0" w:space="0" w:color="auto"/>
            <w:right w:val="none" w:sz="0" w:space="0" w:color="auto"/>
          </w:divBdr>
        </w:div>
        <w:div w:id="1876038093">
          <w:marLeft w:val="0"/>
          <w:marRight w:val="0"/>
          <w:marTop w:val="0"/>
          <w:marBottom w:val="0"/>
          <w:divBdr>
            <w:top w:val="none" w:sz="0" w:space="0" w:color="auto"/>
            <w:left w:val="none" w:sz="0" w:space="0" w:color="auto"/>
            <w:bottom w:val="none" w:sz="0" w:space="0" w:color="auto"/>
            <w:right w:val="none" w:sz="0" w:space="0" w:color="auto"/>
          </w:divBdr>
        </w:div>
        <w:div w:id="1814903544">
          <w:marLeft w:val="0"/>
          <w:marRight w:val="0"/>
          <w:marTop w:val="0"/>
          <w:marBottom w:val="0"/>
          <w:divBdr>
            <w:top w:val="none" w:sz="0" w:space="0" w:color="auto"/>
            <w:left w:val="none" w:sz="0" w:space="0" w:color="auto"/>
            <w:bottom w:val="none" w:sz="0" w:space="0" w:color="auto"/>
            <w:right w:val="none" w:sz="0" w:space="0" w:color="auto"/>
          </w:divBdr>
        </w:div>
        <w:div w:id="1225261804">
          <w:marLeft w:val="0"/>
          <w:marRight w:val="0"/>
          <w:marTop w:val="0"/>
          <w:marBottom w:val="0"/>
          <w:divBdr>
            <w:top w:val="none" w:sz="0" w:space="0" w:color="auto"/>
            <w:left w:val="none" w:sz="0" w:space="0" w:color="auto"/>
            <w:bottom w:val="none" w:sz="0" w:space="0" w:color="auto"/>
            <w:right w:val="none" w:sz="0" w:space="0" w:color="auto"/>
          </w:divBdr>
        </w:div>
        <w:div w:id="836505904">
          <w:marLeft w:val="0"/>
          <w:marRight w:val="0"/>
          <w:marTop w:val="0"/>
          <w:marBottom w:val="0"/>
          <w:divBdr>
            <w:top w:val="none" w:sz="0" w:space="0" w:color="auto"/>
            <w:left w:val="none" w:sz="0" w:space="0" w:color="auto"/>
            <w:bottom w:val="none" w:sz="0" w:space="0" w:color="auto"/>
            <w:right w:val="none" w:sz="0" w:space="0" w:color="auto"/>
          </w:divBdr>
        </w:div>
        <w:div w:id="1851289986">
          <w:marLeft w:val="0"/>
          <w:marRight w:val="0"/>
          <w:marTop w:val="0"/>
          <w:marBottom w:val="0"/>
          <w:divBdr>
            <w:top w:val="none" w:sz="0" w:space="0" w:color="auto"/>
            <w:left w:val="none" w:sz="0" w:space="0" w:color="auto"/>
            <w:bottom w:val="none" w:sz="0" w:space="0" w:color="auto"/>
            <w:right w:val="none" w:sz="0" w:space="0" w:color="auto"/>
          </w:divBdr>
        </w:div>
        <w:div w:id="798380040">
          <w:marLeft w:val="0"/>
          <w:marRight w:val="0"/>
          <w:marTop w:val="0"/>
          <w:marBottom w:val="0"/>
          <w:divBdr>
            <w:top w:val="none" w:sz="0" w:space="0" w:color="auto"/>
            <w:left w:val="none" w:sz="0" w:space="0" w:color="auto"/>
            <w:bottom w:val="none" w:sz="0" w:space="0" w:color="auto"/>
            <w:right w:val="none" w:sz="0" w:space="0" w:color="auto"/>
          </w:divBdr>
        </w:div>
        <w:div w:id="1882131963">
          <w:marLeft w:val="0"/>
          <w:marRight w:val="0"/>
          <w:marTop w:val="0"/>
          <w:marBottom w:val="0"/>
          <w:divBdr>
            <w:top w:val="none" w:sz="0" w:space="0" w:color="auto"/>
            <w:left w:val="none" w:sz="0" w:space="0" w:color="auto"/>
            <w:bottom w:val="none" w:sz="0" w:space="0" w:color="auto"/>
            <w:right w:val="none" w:sz="0" w:space="0" w:color="auto"/>
          </w:divBdr>
        </w:div>
        <w:div w:id="1887328392">
          <w:marLeft w:val="0"/>
          <w:marRight w:val="0"/>
          <w:marTop w:val="0"/>
          <w:marBottom w:val="0"/>
          <w:divBdr>
            <w:top w:val="none" w:sz="0" w:space="0" w:color="auto"/>
            <w:left w:val="none" w:sz="0" w:space="0" w:color="auto"/>
            <w:bottom w:val="none" w:sz="0" w:space="0" w:color="auto"/>
            <w:right w:val="none" w:sz="0" w:space="0" w:color="auto"/>
          </w:divBdr>
        </w:div>
        <w:div w:id="183138039">
          <w:marLeft w:val="0"/>
          <w:marRight w:val="0"/>
          <w:marTop w:val="0"/>
          <w:marBottom w:val="0"/>
          <w:divBdr>
            <w:top w:val="none" w:sz="0" w:space="0" w:color="auto"/>
            <w:left w:val="none" w:sz="0" w:space="0" w:color="auto"/>
            <w:bottom w:val="none" w:sz="0" w:space="0" w:color="auto"/>
            <w:right w:val="none" w:sz="0" w:space="0" w:color="auto"/>
          </w:divBdr>
        </w:div>
        <w:div w:id="284115933">
          <w:marLeft w:val="0"/>
          <w:marRight w:val="0"/>
          <w:marTop w:val="0"/>
          <w:marBottom w:val="0"/>
          <w:divBdr>
            <w:top w:val="none" w:sz="0" w:space="0" w:color="auto"/>
            <w:left w:val="none" w:sz="0" w:space="0" w:color="auto"/>
            <w:bottom w:val="none" w:sz="0" w:space="0" w:color="auto"/>
            <w:right w:val="none" w:sz="0" w:space="0" w:color="auto"/>
          </w:divBdr>
        </w:div>
        <w:div w:id="334499320">
          <w:marLeft w:val="0"/>
          <w:marRight w:val="0"/>
          <w:marTop w:val="0"/>
          <w:marBottom w:val="0"/>
          <w:divBdr>
            <w:top w:val="none" w:sz="0" w:space="0" w:color="auto"/>
            <w:left w:val="none" w:sz="0" w:space="0" w:color="auto"/>
            <w:bottom w:val="none" w:sz="0" w:space="0" w:color="auto"/>
            <w:right w:val="none" w:sz="0" w:space="0" w:color="auto"/>
          </w:divBdr>
        </w:div>
        <w:div w:id="1915167253">
          <w:marLeft w:val="0"/>
          <w:marRight w:val="0"/>
          <w:marTop w:val="0"/>
          <w:marBottom w:val="0"/>
          <w:divBdr>
            <w:top w:val="none" w:sz="0" w:space="0" w:color="auto"/>
            <w:left w:val="none" w:sz="0" w:space="0" w:color="auto"/>
            <w:bottom w:val="none" w:sz="0" w:space="0" w:color="auto"/>
            <w:right w:val="none" w:sz="0" w:space="0" w:color="auto"/>
          </w:divBdr>
        </w:div>
        <w:div w:id="90662149">
          <w:marLeft w:val="0"/>
          <w:marRight w:val="0"/>
          <w:marTop w:val="0"/>
          <w:marBottom w:val="0"/>
          <w:divBdr>
            <w:top w:val="none" w:sz="0" w:space="0" w:color="auto"/>
            <w:left w:val="none" w:sz="0" w:space="0" w:color="auto"/>
            <w:bottom w:val="none" w:sz="0" w:space="0" w:color="auto"/>
            <w:right w:val="none" w:sz="0" w:space="0" w:color="auto"/>
          </w:divBdr>
        </w:div>
        <w:div w:id="475538583">
          <w:marLeft w:val="0"/>
          <w:marRight w:val="0"/>
          <w:marTop w:val="0"/>
          <w:marBottom w:val="0"/>
          <w:divBdr>
            <w:top w:val="none" w:sz="0" w:space="0" w:color="auto"/>
            <w:left w:val="none" w:sz="0" w:space="0" w:color="auto"/>
            <w:bottom w:val="none" w:sz="0" w:space="0" w:color="auto"/>
            <w:right w:val="none" w:sz="0" w:space="0" w:color="auto"/>
          </w:divBdr>
        </w:div>
        <w:div w:id="1221163255">
          <w:marLeft w:val="0"/>
          <w:marRight w:val="0"/>
          <w:marTop w:val="0"/>
          <w:marBottom w:val="0"/>
          <w:divBdr>
            <w:top w:val="none" w:sz="0" w:space="0" w:color="auto"/>
            <w:left w:val="none" w:sz="0" w:space="0" w:color="auto"/>
            <w:bottom w:val="none" w:sz="0" w:space="0" w:color="auto"/>
            <w:right w:val="none" w:sz="0" w:space="0" w:color="auto"/>
          </w:divBdr>
        </w:div>
        <w:div w:id="1126463648">
          <w:marLeft w:val="0"/>
          <w:marRight w:val="0"/>
          <w:marTop w:val="0"/>
          <w:marBottom w:val="0"/>
          <w:divBdr>
            <w:top w:val="none" w:sz="0" w:space="0" w:color="auto"/>
            <w:left w:val="none" w:sz="0" w:space="0" w:color="auto"/>
            <w:bottom w:val="none" w:sz="0" w:space="0" w:color="auto"/>
            <w:right w:val="none" w:sz="0" w:space="0" w:color="auto"/>
          </w:divBdr>
        </w:div>
        <w:div w:id="794562220">
          <w:marLeft w:val="0"/>
          <w:marRight w:val="0"/>
          <w:marTop w:val="0"/>
          <w:marBottom w:val="0"/>
          <w:divBdr>
            <w:top w:val="none" w:sz="0" w:space="0" w:color="auto"/>
            <w:left w:val="none" w:sz="0" w:space="0" w:color="auto"/>
            <w:bottom w:val="none" w:sz="0" w:space="0" w:color="auto"/>
            <w:right w:val="none" w:sz="0" w:space="0" w:color="auto"/>
          </w:divBdr>
        </w:div>
        <w:div w:id="1917470856">
          <w:marLeft w:val="0"/>
          <w:marRight w:val="0"/>
          <w:marTop w:val="0"/>
          <w:marBottom w:val="0"/>
          <w:divBdr>
            <w:top w:val="none" w:sz="0" w:space="0" w:color="auto"/>
            <w:left w:val="none" w:sz="0" w:space="0" w:color="auto"/>
            <w:bottom w:val="none" w:sz="0" w:space="0" w:color="auto"/>
            <w:right w:val="none" w:sz="0" w:space="0" w:color="auto"/>
          </w:divBdr>
        </w:div>
        <w:div w:id="768046718">
          <w:marLeft w:val="0"/>
          <w:marRight w:val="0"/>
          <w:marTop w:val="0"/>
          <w:marBottom w:val="0"/>
          <w:divBdr>
            <w:top w:val="none" w:sz="0" w:space="0" w:color="auto"/>
            <w:left w:val="none" w:sz="0" w:space="0" w:color="auto"/>
            <w:bottom w:val="none" w:sz="0" w:space="0" w:color="auto"/>
            <w:right w:val="none" w:sz="0" w:space="0" w:color="auto"/>
          </w:divBdr>
        </w:div>
        <w:div w:id="1827354345">
          <w:marLeft w:val="0"/>
          <w:marRight w:val="0"/>
          <w:marTop w:val="0"/>
          <w:marBottom w:val="0"/>
          <w:divBdr>
            <w:top w:val="none" w:sz="0" w:space="0" w:color="auto"/>
            <w:left w:val="none" w:sz="0" w:space="0" w:color="auto"/>
            <w:bottom w:val="none" w:sz="0" w:space="0" w:color="auto"/>
            <w:right w:val="none" w:sz="0" w:space="0" w:color="auto"/>
          </w:divBdr>
        </w:div>
        <w:div w:id="586773426">
          <w:marLeft w:val="0"/>
          <w:marRight w:val="0"/>
          <w:marTop w:val="0"/>
          <w:marBottom w:val="0"/>
          <w:divBdr>
            <w:top w:val="none" w:sz="0" w:space="0" w:color="auto"/>
            <w:left w:val="none" w:sz="0" w:space="0" w:color="auto"/>
            <w:bottom w:val="none" w:sz="0" w:space="0" w:color="auto"/>
            <w:right w:val="none" w:sz="0" w:space="0" w:color="auto"/>
          </w:divBdr>
        </w:div>
        <w:div w:id="789975437">
          <w:marLeft w:val="0"/>
          <w:marRight w:val="0"/>
          <w:marTop w:val="0"/>
          <w:marBottom w:val="0"/>
          <w:divBdr>
            <w:top w:val="none" w:sz="0" w:space="0" w:color="auto"/>
            <w:left w:val="none" w:sz="0" w:space="0" w:color="auto"/>
            <w:bottom w:val="none" w:sz="0" w:space="0" w:color="auto"/>
            <w:right w:val="none" w:sz="0" w:space="0" w:color="auto"/>
          </w:divBdr>
        </w:div>
        <w:div w:id="1754811139">
          <w:marLeft w:val="0"/>
          <w:marRight w:val="0"/>
          <w:marTop w:val="0"/>
          <w:marBottom w:val="0"/>
          <w:divBdr>
            <w:top w:val="none" w:sz="0" w:space="0" w:color="auto"/>
            <w:left w:val="none" w:sz="0" w:space="0" w:color="auto"/>
            <w:bottom w:val="none" w:sz="0" w:space="0" w:color="auto"/>
            <w:right w:val="none" w:sz="0" w:space="0" w:color="auto"/>
          </w:divBdr>
        </w:div>
        <w:div w:id="1511673540">
          <w:marLeft w:val="0"/>
          <w:marRight w:val="0"/>
          <w:marTop w:val="0"/>
          <w:marBottom w:val="0"/>
          <w:divBdr>
            <w:top w:val="none" w:sz="0" w:space="0" w:color="auto"/>
            <w:left w:val="none" w:sz="0" w:space="0" w:color="auto"/>
            <w:bottom w:val="none" w:sz="0" w:space="0" w:color="auto"/>
            <w:right w:val="none" w:sz="0" w:space="0" w:color="auto"/>
          </w:divBdr>
        </w:div>
        <w:div w:id="1419445517">
          <w:marLeft w:val="0"/>
          <w:marRight w:val="0"/>
          <w:marTop w:val="0"/>
          <w:marBottom w:val="0"/>
          <w:divBdr>
            <w:top w:val="none" w:sz="0" w:space="0" w:color="auto"/>
            <w:left w:val="none" w:sz="0" w:space="0" w:color="auto"/>
            <w:bottom w:val="none" w:sz="0" w:space="0" w:color="auto"/>
            <w:right w:val="none" w:sz="0" w:space="0" w:color="auto"/>
          </w:divBdr>
        </w:div>
        <w:div w:id="1115949112">
          <w:marLeft w:val="0"/>
          <w:marRight w:val="0"/>
          <w:marTop w:val="0"/>
          <w:marBottom w:val="0"/>
          <w:divBdr>
            <w:top w:val="none" w:sz="0" w:space="0" w:color="auto"/>
            <w:left w:val="none" w:sz="0" w:space="0" w:color="auto"/>
            <w:bottom w:val="none" w:sz="0" w:space="0" w:color="auto"/>
            <w:right w:val="none" w:sz="0" w:space="0" w:color="auto"/>
          </w:divBdr>
        </w:div>
        <w:div w:id="1505390076">
          <w:marLeft w:val="0"/>
          <w:marRight w:val="0"/>
          <w:marTop w:val="0"/>
          <w:marBottom w:val="0"/>
          <w:divBdr>
            <w:top w:val="none" w:sz="0" w:space="0" w:color="auto"/>
            <w:left w:val="none" w:sz="0" w:space="0" w:color="auto"/>
            <w:bottom w:val="none" w:sz="0" w:space="0" w:color="auto"/>
            <w:right w:val="none" w:sz="0" w:space="0" w:color="auto"/>
          </w:divBdr>
        </w:div>
        <w:div w:id="103160170">
          <w:marLeft w:val="0"/>
          <w:marRight w:val="0"/>
          <w:marTop w:val="0"/>
          <w:marBottom w:val="0"/>
          <w:divBdr>
            <w:top w:val="none" w:sz="0" w:space="0" w:color="auto"/>
            <w:left w:val="none" w:sz="0" w:space="0" w:color="auto"/>
            <w:bottom w:val="none" w:sz="0" w:space="0" w:color="auto"/>
            <w:right w:val="none" w:sz="0" w:space="0" w:color="auto"/>
          </w:divBdr>
        </w:div>
        <w:div w:id="9571781">
          <w:marLeft w:val="0"/>
          <w:marRight w:val="0"/>
          <w:marTop w:val="0"/>
          <w:marBottom w:val="0"/>
          <w:divBdr>
            <w:top w:val="none" w:sz="0" w:space="0" w:color="auto"/>
            <w:left w:val="none" w:sz="0" w:space="0" w:color="auto"/>
            <w:bottom w:val="none" w:sz="0" w:space="0" w:color="auto"/>
            <w:right w:val="none" w:sz="0" w:space="0" w:color="auto"/>
          </w:divBdr>
        </w:div>
        <w:div w:id="957099666">
          <w:marLeft w:val="0"/>
          <w:marRight w:val="0"/>
          <w:marTop w:val="0"/>
          <w:marBottom w:val="0"/>
          <w:divBdr>
            <w:top w:val="none" w:sz="0" w:space="0" w:color="auto"/>
            <w:left w:val="none" w:sz="0" w:space="0" w:color="auto"/>
            <w:bottom w:val="none" w:sz="0" w:space="0" w:color="auto"/>
            <w:right w:val="none" w:sz="0" w:space="0" w:color="auto"/>
          </w:divBdr>
        </w:div>
        <w:div w:id="882014584">
          <w:marLeft w:val="0"/>
          <w:marRight w:val="0"/>
          <w:marTop w:val="0"/>
          <w:marBottom w:val="0"/>
          <w:divBdr>
            <w:top w:val="none" w:sz="0" w:space="0" w:color="auto"/>
            <w:left w:val="none" w:sz="0" w:space="0" w:color="auto"/>
            <w:bottom w:val="none" w:sz="0" w:space="0" w:color="auto"/>
            <w:right w:val="none" w:sz="0" w:space="0" w:color="auto"/>
          </w:divBdr>
        </w:div>
        <w:div w:id="574364497">
          <w:marLeft w:val="0"/>
          <w:marRight w:val="0"/>
          <w:marTop w:val="0"/>
          <w:marBottom w:val="0"/>
          <w:divBdr>
            <w:top w:val="none" w:sz="0" w:space="0" w:color="auto"/>
            <w:left w:val="none" w:sz="0" w:space="0" w:color="auto"/>
            <w:bottom w:val="none" w:sz="0" w:space="0" w:color="auto"/>
            <w:right w:val="none" w:sz="0" w:space="0" w:color="auto"/>
          </w:divBdr>
        </w:div>
        <w:div w:id="1882015622">
          <w:marLeft w:val="0"/>
          <w:marRight w:val="0"/>
          <w:marTop w:val="0"/>
          <w:marBottom w:val="0"/>
          <w:divBdr>
            <w:top w:val="none" w:sz="0" w:space="0" w:color="auto"/>
            <w:left w:val="none" w:sz="0" w:space="0" w:color="auto"/>
            <w:bottom w:val="none" w:sz="0" w:space="0" w:color="auto"/>
            <w:right w:val="none" w:sz="0" w:space="0" w:color="auto"/>
          </w:divBdr>
        </w:div>
        <w:div w:id="2145006144">
          <w:marLeft w:val="0"/>
          <w:marRight w:val="0"/>
          <w:marTop w:val="0"/>
          <w:marBottom w:val="0"/>
          <w:divBdr>
            <w:top w:val="none" w:sz="0" w:space="0" w:color="auto"/>
            <w:left w:val="none" w:sz="0" w:space="0" w:color="auto"/>
            <w:bottom w:val="none" w:sz="0" w:space="0" w:color="auto"/>
            <w:right w:val="none" w:sz="0" w:space="0" w:color="auto"/>
          </w:divBdr>
        </w:div>
        <w:div w:id="1418861387">
          <w:marLeft w:val="0"/>
          <w:marRight w:val="0"/>
          <w:marTop w:val="0"/>
          <w:marBottom w:val="0"/>
          <w:divBdr>
            <w:top w:val="none" w:sz="0" w:space="0" w:color="auto"/>
            <w:left w:val="none" w:sz="0" w:space="0" w:color="auto"/>
            <w:bottom w:val="none" w:sz="0" w:space="0" w:color="auto"/>
            <w:right w:val="none" w:sz="0" w:space="0" w:color="auto"/>
          </w:divBdr>
        </w:div>
        <w:div w:id="745304931">
          <w:marLeft w:val="0"/>
          <w:marRight w:val="0"/>
          <w:marTop w:val="0"/>
          <w:marBottom w:val="0"/>
          <w:divBdr>
            <w:top w:val="none" w:sz="0" w:space="0" w:color="auto"/>
            <w:left w:val="none" w:sz="0" w:space="0" w:color="auto"/>
            <w:bottom w:val="none" w:sz="0" w:space="0" w:color="auto"/>
            <w:right w:val="none" w:sz="0" w:space="0" w:color="auto"/>
          </w:divBdr>
        </w:div>
        <w:div w:id="1472480244">
          <w:marLeft w:val="0"/>
          <w:marRight w:val="0"/>
          <w:marTop w:val="0"/>
          <w:marBottom w:val="0"/>
          <w:divBdr>
            <w:top w:val="none" w:sz="0" w:space="0" w:color="auto"/>
            <w:left w:val="none" w:sz="0" w:space="0" w:color="auto"/>
            <w:bottom w:val="none" w:sz="0" w:space="0" w:color="auto"/>
            <w:right w:val="none" w:sz="0" w:space="0" w:color="auto"/>
          </w:divBdr>
        </w:div>
      </w:divsChild>
    </w:div>
    <w:div w:id="217597465">
      <w:bodyDiv w:val="1"/>
      <w:marLeft w:val="0"/>
      <w:marRight w:val="0"/>
      <w:marTop w:val="0"/>
      <w:marBottom w:val="0"/>
      <w:divBdr>
        <w:top w:val="none" w:sz="0" w:space="0" w:color="auto"/>
        <w:left w:val="none" w:sz="0" w:space="0" w:color="auto"/>
        <w:bottom w:val="none" w:sz="0" w:space="0" w:color="auto"/>
        <w:right w:val="none" w:sz="0" w:space="0" w:color="auto"/>
      </w:divBdr>
    </w:div>
    <w:div w:id="295373469">
      <w:bodyDiv w:val="1"/>
      <w:marLeft w:val="0"/>
      <w:marRight w:val="0"/>
      <w:marTop w:val="0"/>
      <w:marBottom w:val="0"/>
      <w:divBdr>
        <w:top w:val="none" w:sz="0" w:space="0" w:color="auto"/>
        <w:left w:val="none" w:sz="0" w:space="0" w:color="auto"/>
        <w:bottom w:val="none" w:sz="0" w:space="0" w:color="auto"/>
        <w:right w:val="none" w:sz="0" w:space="0" w:color="auto"/>
      </w:divBdr>
    </w:div>
    <w:div w:id="359402330">
      <w:bodyDiv w:val="1"/>
      <w:marLeft w:val="0"/>
      <w:marRight w:val="0"/>
      <w:marTop w:val="0"/>
      <w:marBottom w:val="0"/>
      <w:divBdr>
        <w:top w:val="none" w:sz="0" w:space="0" w:color="auto"/>
        <w:left w:val="none" w:sz="0" w:space="0" w:color="auto"/>
        <w:bottom w:val="none" w:sz="0" w:space="0" w:color="auto"/>
        <w:right w:val="none" w:sz="0" w:space="0" w:color="auto"/>
      </w:divBdr>
      <w:divsChild>
        <w:div w:id="1470627977">
          <w:marLeft w:val="0"/>
          <w:marRight w:val="0"/>
          <w:marTop w:val="0"/>
          <w:marBottom w:val="0"/>
          <w:divBdr>
            <w:top w:val="none" w:sz="0" w:space="0" w:color="auto"/>
            <w:left w:val="none" w:sz="0" w:space="0" w:color="auto"/>
            <w:bottom w:val="none" w:sz="0" w:space="0" w:color="auto"/>
            <w:right w:val="none" w:sz="0" w:space="0" w:color="auto"/>
          </w:divBdr>
        </w:div>
      </w:divsChild>
    </w:div>
    <w:div w:id="491336890">
      <w:bodyDiv w:val="1"/>
      <w:marLeft w:val="0"/>
      <w:marRight w:val="0"/>
      <w:marTop w:val="0"/>
      <w:marBottom w:val="0"/>
      <w:divBdr>
        <w:top w:val="none" w:sz="0" w:space="0" w:color="auto"/>
        <w:left w:val="none" w:sz="0" w:space="0" w:color="auto"/>
        <w:bottom w:val="none" w:sz="0" w:space="0" w:color="auto"/>
        <w:right w:val="none" w:sz="0" w:space="0" w:color="auto"/>
      </w:divBdr>
    </w:div>
    <w:div w:id="679164261">
      <w:bodyDiv w:val="1"/>
      <w:marLeft w:val="0"/>
      <w:marRight w:val="0"/>
      <w:marTop w:val="0"/>
      <w:marBottom w:val="0"/>
      <w:divBdr>
        <w:top w:val="none" w:sz="0" w:space="0" w:color="auto"/>
        <w:left w:val="none" w:sz="0" w:space="0" w:color="auto"/>
        <w:bottom w:val="none" w:sz="0" w:space="0" w:color="auto"/>
        <w:right w:val="none" w:sz="0" w:space="0" w:color="auto"/>
      </w:divBdr>
      <w:divsChild>
        <w:div w:id="1498499749">
          <w:marLeft w:val="0"/>
          <w:marRight w:val="0"/>
          <w:marTop w:val="0"/>
          <w:marBottom w:val="0"/>
          <w:divBdr>
            <w:top w:val="none" w:sz="0" w:space="0" w:color="auto"/>
            <w:left w:val="none" w:sz="0" w:space="0" w:color="auto"/>
            <w:bottom w:val="none" w:sz="0" w:space="0" w:color="auto"/>
            <w:right w:val="none" w:sz="0" w:space="0" w:color="auto"/>
          </w:divBdr>
        </w:div>
      </w:divsChild>
    </w:div>
    <w:div w:id="711268504">
      <w:bodyDiv w:val="1"/>
      <w:marLeft w:val="0"/>
      <w:marRight w:val="0"/>
      <w:marTop w:val="0"/>
      <w:marBottom w:val="0"/>
      <w:divBdr>
        <w:top w:val="none" w:sz="0" w:space="0" w:color="auto"/>
        <w:left w:val="none" w:sz="0" w:space="0" w:color="auto"/>
        <w:bottom w:val="none" w:sz="0" w:space="0" w:color="auto"/>
        <w:right w:val="none" w:sz="0" w:space="0" w:color="auto"/>
      </w:divBdr>
      <w:divsChild>
        <w:div w:id="150294094">
          <w:marLeft w:val="0"/>
          <w:marRight w:val="0"/>
          <w:marTop w:val="0"/>
          <w:marBottom w:val="0"/>
          <w:divBdr>
            <w:top w:val="none" w:sz="0" w:space="0" w:color="auto"/>
            <w:left w:val="none" w:sz="0" w:space="0" w:color="auto"/>
            <w:bottom w:val="none" w:sz="0" w:space="0" w:color="auto"/>
            <w:right w:val="none" w:sz="0" w:space="0" w:color="auto"/>
          </w:divBdr>
        </w:div>
      </w:divsChild>
    </w:div>
    <w:div w:id="750086494">
      <w:bodyDiv w:val="1"/>
      <w:marLeft w:val="0"/>
      <w:marRight w:val="0"/>
      <w:marTop w:val="0"/>
      <w:marBottom w:val="0"/>
      <w:divBdr>
        <w:top w:val="none" w:sz="0" w:space="0" w:color="auto"/>
        <w:left w:val="none" w:sz="0" w:space="0" w:color="auto"/>
        <w:bottom w:val="none" w:sz="0" w:space="0" w:color="auto"/>
        <w:right w:val="none" w:sz="0" w:space="0" w:color="auto"/>
      </w:divBdr>
      <w:divsChild>
        <w:div w:id="661738092">
          <w:marLeft w:val="0"/>
          <w:marRight w:val="0"/>
          <w:marTop w:val="0"/>
          <w:marBottom w:val="0"/>
          <w:divBdr>
            <w:top w:val="none" w:sz="0" w:space="0" w:color="auto"/>
            <w:left w:val="none" w:sz="0" w:space="0" w:color="auto"/>
            <w:bottom w:val="none" w:sz="0" w:space="0" w:color="auto"/>
            <w:right w:val="none" w:sz="0" w:space="0" w:color="auto"/>
          </w:divBdr>
        </w:div>
      </w:divsChild>
    </w:div>
    <w:div w:id="1089084464">
      <w:bodyDiv w:val="1"/>
      <w:marLeft w:val="0"/>
      <w:marRight w:val="0"/>
      <w:marTop w:val="0"/>
      <w:marBottom w:val="0"/>
      <w:divBdr>
        <w:top w:val="none" w:sz="0" w:space="0" w:color="auto"/>
        <w:left w:val="none" w:sz="0" w:space="0" w:color="auto"/>
        <w:bottom w:val="none" w:sz="0" w:space="0" w:color="auto"/>
        <w:right w:val="none" w:sz="0" w:space="0" w:color="auto"/>
      </w:divBdr>
      <w:divsChild>
        <w:div w:id="2131778458">
          <w:marLeft w:val="0"/>
          <w:marRight w:val="0"/>
          <w:marTop w:val="0"/>
          <w:marBottom w:val="0"/>
          <w:divBdr>
            <w:top w:val="none" w:sz="0" w:space="0" w:color="auto"/>
            <w:left w:val="none" w:sz="0" w:space="0" w:color="auto"/>
            <w:bottom w:val="none" w:sz="0" w:space="0" w:color="auto"/>
            <w:right w:val="none" w:sz="0" w:space="0" w:color="auto"/>
          </w:divBdr>
        </w:div>
      </w:divsChild>
    </w:div>
    <w:div w:id="1256982686">
      <w:bodyDiv w:val="1"/>
      <w:marLeft w:val="0"/>
      <w:marRight w:val="0"/>
      <w:marTop w:val="0"/>
      <w:marBottom w:val="0"/>
      <w:divBdr>
        <w:top w:val="none" w:sz="0" w:space="0" w:color="auto"/>
        <w:left w:val="none" w:sz="0" w:space="0" w:color="auto"/>
        <w:bottom w:val="none" w:sz="0" w:space="0" w:color="auto"/>
        <w:right w:val="none" w:sz="0" w:space="0" w:color="auto"/>
      </w:divBdr>
      <w:divsChild>
        <w:div w:id="1384789908">
          <w:marLeft w:val="0"/>
          <w:marRight w:val="0"/>
          <w:marTop w:val="0"/>
          <w:marBottom w:val="0"/>
          <w:divBdr>
            <w:top w:val="none" w:sz="0" w:space="0" w:color="auto"/>
            <w:left w:val="none" w:sz="0" w:space="0" w:color="auto"/>
            <w:bottom w:val="none" w:sz="0" w:space="0" w:color="auto"/>
            <w:right w:val="none" w:sz="0" w:space="0" w:color="auto"/>
          </w:divBdr>
        </w:div>
      </w:divsChild>
    </w:div>
    <w:div w:id="1307318940">
      <w:bodyDiv w:val="1"/>
      <w:marLeft w:val="0"/>
      <w:marRight w:val="0"/>
      <w:marTop w:val="0"/>
      <w:marBottom w:val="0"/>
      <w:divBdr>
        <w:top w:val="none" w:sz="0" w:space="0" w:color="auto"/>
        <w:left w:val="none" w:sz="0" w:space="0" w:color="auto"/>
        <w:bottom w:val="none" w:sz="0" w:space="0" w:color="auto"/>
        <w:right w:val="none" w:sz="0" w:space="0" w:color="auto"/>
      </w:divBdr>
    </w:div>
    <w:div w:id="1320573094">
      <w:bodyDiv w:val="1"/>
      <w:marLeft w:val="0"/>
      <w:marRight w:val="0"/>
      <w:marTop w:val="0"/>
      <w:marBottom w:val="0"/>
      <w:divBdr>
        <w:top w:val="none" w:sz="0" w:space="0" w:color="auto"/>
        <w:left w:val="none" w:sz="0" w:space="0" w:color="auto"/>
        <w:bottom w:val="none" w:sz="0" w:space="0" w:color="auto"/>
        <w:right w:val="none" w:sz="0" w:space="0" w:color="auto"/>
      </w:divBdr>
    </w:div>
    <w:div w:id="1381435870">
      <w:bodyDiv w:val="1"/>
      <w:marLeft w:val="0"/>
      <w:marRight w:val="0"/>
      <w:marTop w:val="0"/>
      <w:marBottom w:val="0"/>
      <w:divBdr>
        <w:top w:val="none" w:sz="0" w:space="0" w:color="auto"/>
        <w:left w:val="none" w:sz="0" w:space="0" w:color="auto"/>
        <w:bottom w:val="none" w:sz="0" w:space="0" w:color="auto"/>
        <w:right w:val="none" w:sz="0" w:space="0" w:color="auto"/>
      </w:divBdr>
    </w:div>
    <w:div w:id="1426461381">
      <w:bodyDiv w:val="1"/>
      <w:marLeft w:val="0"/>
      <w:marRight w:val="0"/>
      <w:marTop w:val="0"/>
      <w:marBottom w:val="0"/>
      <w:divBdr>
        <w:top w:val="none" w:sz="0" w:space="0" w:color="auto"/>
        <w:left w:val="none" w:sz="0" w:space="0" w:color="auto"/>
        <w:bottom w:val="none" w:sz="0" w:space="0" w:color="auto"/>
        <w:right w:val="none" w:sz="0" w:space="0" w:color="auto"/>
      </w:divBdr>
    </w:div>
    <w:div w:id="1483354851">
      <w:bodyDiv w:val="1"/>
      <w:marLeft w:val="0"/>
      <w:marRight w:val="0"/>
      <w:marTop w:val="0"/>
      <w:marBottom w:val="0"/>
      <w:divBdr>
        <w:top w:val="none" w:sz="0" w:space="0" w:color="auto"/>
        <w:left w:val="none" w:sz="0" w:space="0" w:color="auto"/>
        <w:bottom w:val="none" w:sz="0" w:space="0" w:color="auto"/>
        <w:right w:val="none" w:sz="0" w:space="0" w:color="auto"/>
      </w:divBdr>
      <w:divsChild>
        <w:div w:id="1480657739">
          <w:marLeft w:val="0"/>
          <w:marRight w:val="0"/>
          <w:marTop w:val="0"/>
          <w:marBottom w:val="0"/>
          <w:divBdr>
            <w:top w:val="none" w:sz="0" w:space="0" w:color="auto"/>
            <w:left w:val="none" w:sz="0" w:space="0" w:color="auto"/>
            <w:bottom w:val="none" w:sz="0" w:space="0" w:color="auto"/>
            <w:right w:val="none" w:sz="0" w:space="0" w:color="auto"/>
          </w:divBdr>
        </w:div>
      </w:divsChild>
    </w:div>
    <w:div w:id="1484085541">
      <w:bodyDiv w:val="1"/>
      <w:marLeft w:val="0"/>
      <w:marRight w:val="0"/>
      <w:marTop w:val="0"/>
      <w:marBottom w:val="0"/>
      <w:divBdr>
        <w:top w:val="none" w:sz="0" w:space="0" w:color="auto"/>
        <w:left w:val="none" w:sz="0" w:space="0" w:color="auto"/>
        <w:bottom w:val="none" w:sz="0" w:space="0" w:color="auto"/>
        <w:right w:val="none" w:sz="0" w:space="0" w:color="auto"/>
      </w:divBdr>
      <w:divsChild>
        <w:div w:id="1706060066">
          <w:marLeft w:val="0"/>
          <w:marRight w:val="0"/>
          <w:marTop w:val="0"/>
          <w:marBottom w:val="0"/>
          <w:divBdr>
            <w:top w:val="none" w:sz="0" w:space="0" w:color="auto"/>
            <w:left w:val="none" w:sz="0" w:space="0" w:color="auto"/>
            <w:bottom w:val="none" w:sz="0" w:space="0" w:color="auto"/>
            <w:right w:val="none" w:sz="0" w:space="0" w:color="auto"/>
          </w:divBdr>
        </w:div>
      </w:divsChild>
    </w:div>
    <w:div w:id="1665818570">
      <w:bodyDiv w:val="1"/>
      <w:marLeft w:val="0"/>
      <w:marRight w:val="0"/>
      <w:marTop w:val="0"/>
      <w:marBottom w:val="0"/>
      <w:divBdr>
        <w:top w:val="none" w:sz="0" w:space="0" w:color="auto"/>
        <w:left w:val="none" w:sz="0" w:space="0" w:color="auto"/>
        <w:bottom w:val="none" w:sz="0" w:space="0" w:color="auto"/>
        <w:right w:val="none" w:sz="0" w:space="0" w:color="auto"/>
      </w:divBdr>
    </w:div>
    <w:div w:id="1666086033">
      <w:bodyDiv w:val="1"/>
      <w:marLeft w:val="0"/>
      <w:marRight w:val="0"/>
      <w:marTop w:val="0"/>
      <w:marBottom w:val="0"/>
      <w:divBdr>
        <w:top w:val="none" w:sz="0" w:space="0" w:color="auto"/>
        <w:left w:val="none" w:sz="0" w:space="0" w:color="auto"/>
        <w:bottom w:val="none" w:sz="0" w:space="0" w:color="auto"/>
        <w:right w:val="none" w:sz="0" w:space="0" w:color="auto"/>
      </w:divBdr>
    </w:div>
    <w:div w:id="1705908100">
      <w:bodyDiv w:val="1"/>
      <w:marLeft w:val="0"/>
      <w:marRight w:val="0"/>
      <w:marTop w:val="0"/>
      <w:marBottom w:val="0"/>
      <w:divBdr>
        <w:top w:val="none" w:sz="0" w:space="0" w:color="auto"/>
        <w:left w:val="none" w:sz="0" w:space="0" w:color="auto"/>
        <w:bottom w:val="none" w:sz="0" w:space="0" w:color="auto"/>
        <w:right w:val="none" w:sz="0" w:space="0" w:color="auto"/>
      </w:divBdr>
      <w:divsChild>
        <w:div w:id="999425717">
          <w:marLeft w:val="0"/>
          <w:marRight w:val="0"/>
          <w:marTop w:val="0"/>
          <w:marBottom w:val="0"/>
          <w:divBdr>
            <w:top w:val="none" w:sz="0" w:space="0" w:color="auto"/>
            <w:left w:val="none" w:sz="0" w:space="0" w:color="auto"/>
            <w:bottom w:val="none" w:sz="0" w:space="0" w:color="auto"/>
            <w:right w:val="none" w:sz="0" w:space="0" w:color="auto"/>
          </w:divBdr>
          <w:divsChild>
            <w:div w:id="1288971635">
              <w:marLeft w:val="0"/>
              <w:marRight w:val="0"/>
              <w:marTop w:val="0"/>
              <w:marBottom w:val="0"/>
              <w:divBdr>
                <w:top w:val="none" w:sz="0" w:space="0" w:color="auto"/>
                <w:left w:val="none" w:sz="0" w:space="0" w:color="auto"/>
                <w:bottom w:val="none" w:sz="0" w:space="0" w:color="auto"/>
                <w:right w:val="none" w:sz="0" w:space="0" w:color="auto"/>
              </w:divBdr>
              <w:divsChild>
                <w:div w:id="1851289093">
                  <w:marLeft w:val="0"/>
                  <w:marRight w:val="0"/>
                  <w:marTop w:val="0"/>
                  <w:marBottom w:val="0"/>
                  <w:divBdr>
                    <w:top w:val="none" w:sz="0" w:space="0" w:color="auto"/>
                    <w:left w:val="none" w:sz="0" w:space="0" w:color="auto"/>
                    <w:bottom w:val="none" w:sz="0" w:space="0" w:color="auto"/>
                    <w:right w:val="none" w:sz="0" w:space="0" w:color="auto"/>
                  </w:divBdr>
                  <w:divsChild>
                    <w:div w:id="819150812">
                      <w:marLeft w:val="0"/>
                      <w:marRight w:val="0"/>
                      <w:marTop w:val="0"/>
                      <w:marBottom w:val="0"/>
                      <w:divBdr>
                        <w:top w:val="none" w:sz="0" w:space="0" w:color="auto"/>
                        <w:left w:val="none" w:sz="0" w:space="0" w:color="auto"/>
                        <w:bottom w:val="none" w:sz="0" w:space="0" w:color="auto"/>
                        <w:right w:val="none" w:sz="0" w:space="0" w:color="auto"/>
                      </w:divBdr>
                      <w:divsChild>
                        <w:div w:id="8918409">
                          <w:marLeft w:val="0"/>
                          <w:marRight w:val="0"/>
                          <w:marTop w:val="0"/>
                          <w:marBottom w:val="0"/>
                          <w:divBdr>
                            <w:top w:val="none" w:sz="0" w:space="0" w:color="auto"/>
                            <w:left w:val="none" w:sz="0" w:space="0" w:color="auto"/>
                            <w:bottom w:val="none" w:sz="0" w:space="0" w:color="auto"/>
                            <w:right w:val="none" w:sz="0" w:space="0" w:color="auto"/>
                          </w:divBdr>
                          <w:divsChild>
                            <w:div w:id="1752197481">
                              <w:marLeft w:val="0"/>
                              <w:marRight w:val="0"/>
                              <w:marTop w:val="0"/>
                              <w:marBottom w:val="0"/>
                              <w:divBdr>
                                <w:top w:val="none" w:sz="0" w:space="0" w:color="auto"/>
                                <w:left w:val="none" w:sz="0" w:space="0" w:color="auto"/>
                                <w:bottom w:val="none" w:sz="0" w:space="0" w:color="auto"/>
                                <w:right w:val="none" w:sz="0" w:space="0" w:color="auto"/>
                              </w:divBdr>
                              <w:divsChild>
                                <w:div w:id="1612543150">
                                  <w:marLeft w:val="0"/>
                                  <w:marRight w:val="0"/>
                                  <w:marTop w:val="0"/>
                                  <w:marBottom w:val="0"/>
                                  <w:divBdr>
                                    <w:top w:val="none" w:sz="0" w:space="0" w:color="auto"/>
                                    <w:left w:val="none" w:sz="0" w:space="0" w:color="auto"/>
                                    <w:bottom w:val="none" w:sz="0" w:space="0" w:color="auto"/>
                                    <w:right w:val="none" w:sz="0" w:space="0" w:color="auto"/>
                                  </w:divBdr>
                                  <w:divsChild>
                                    <w:div w:id="698746339">
                                      <w:marLeft w:val="0"/>
                                      <w:marRight w:val="0"/>
                                      <w:marTop w:val="0"/>
                                      <w:marBottom w:val="0"/>
                                      <w:divBdr>
                                        <w:top w:val="none" w:sz="0" w:space="0" w:color="auto"/>
                                        <w:left w:val="none" w:sz="0" w:space="0" w:color="auto"/>
                                        <w:bottom w:val="none" w:sz="0" w:space="0" w:color="auto"/>
                                        <w:right w:val="none" w:sz="0" w:space="0" w:color="auto"/>
                                      </w:divBdr>
                                      <w:divsChild>
                                        <w:div w:id="609048236">
                                          <w:marLeft w:val="0"/>
                                          <w:marRight w:val="0"/>
                                          <w:marTop w:val="0"/>
                                          <w:marBottom w:val="0"/>
                                          <w:divBdr>
                                            <w:top w:val="none" w:sz="0" w:space="0" w:color="auto"/>
                                            <w:left w:val="none" w:sz="0" w:space="0" w:color="auto"/>
                                            <w:bottom w:val="none" w:sz="0" w:space="0" w:color="auto"/>
                                            <w:right w:val="none" w:sz="0" w:space="0" w:color="auto"/>
                                          </w:divBdr>
                                          <w:divsChild>
                                            <w:div w:id="1818109906">
                                              <w:marLeft w:val="0"/>
                                              <w:marRight w:val="0"/>
                                              <w:marTop w:val="0"/>
                                              <w:marBottom w:val="0"/>
                                              <w:divBdr>
                                                <w:top w:val="none" w:sz="0" w:space="0" w:color="auto"/>
                                                <w:left w:val="none" w:sz="0" w:space="0" w:color="auto"/>
                                                <w:bottom w:val="none" w:sz="0" w:space="0" w:color="auto"/>
                                                <w:right w:val="none" w:sz="0" w:space="0" w:color="auto"/>
                                              </w:divBdr>
                                              <w:divsChild>
                                                <w:div w:id="1428581146">
                                                  <w:marLeft w:val="0"/>
                                                  <w:marRight w:val="0"/>
                                                  <w:marTop w:val="0"/>
                                                  <w:marBottom w:val="0"/>
                                                  <w:divBdr>
                                                    <w:top w:val="single" w:sz="6" w:space="0" w:color="ABABAB"/>
                                                    <w:left w:val="single" w:sz="6" w:space="0" w:color="ABABAB"/>
                                                    <w:bottom w:val="none" w:sz="0" w:space="0" w:color="auto"/>
                                                    <w:right w:val="single" w:sz="6" w:space="0" w:color="ABABAB"/>
                                                  </w:divBdr>
                                                  <w:divsChild>
                                                    <w:div w:id="2091582670">
                                                      <w:marLeft w:val="-210"/>
                                                      <w:marRight w:val="-75"/>
                                                      <w:marTop w:val="0"/>
                                                      <w:marBottom w:val="0"/>
                                                      <w:divBdr>
                                                        <w:top w:val="none" w:sz="0" w:space="0" w:color="auto"/>
                                                        <w:left w:val="none" w:sz="0" w:space="0" w:color="auto"/>
                                                        <w:bottom w:val="none" w:sz="0" w:space="0" w:color="auto"/>
                                                        <w:right w:val="none" w:sz="0" w:space="0" w:color="auto"/>
                                                      </w:divBdr>
                                                      <w:divsChild>
                                                        <w:div w:id="1328825509">
                                                          <w:marLeft w:val="0"/>
                                                          <w:marRight w:val="0"/>
                                                          <w:marTop w:val="0"/>
                                                          <w:marBottom w:val="0"/>
                                                          <w:divBdr>
                                                            <w:top w:val="none" w:sz="0" w:space="0" w:color="auto"/>
                                                            <w:left w:val="none" w:sz="0" w:space="0" w:color="auto"/>
                                                            <w:bottom w:val="none" w:sz="0" w:space="0" w:color="auto"/>
                                                            <w:right w:val="none" w:sz="0" w:space="0" w:color="auto"/>
                                                          </w:divBdr>
                                                          <w:divsChild>
                                                            <w:div w:id="171577077">
                                                              <w:marLeft w:val="0"/>
                                                              <w:marRight w:val="0"/>
                                                              <w:marTop w:val="0"/>
                                                              <w:marBottom w:val="0"/>
                                                              <w:divBdr>
                                                                <w:top w:val="none" w:sz="0" w:space="0" w:color="auto"/>
                                                                <w:left w:val="none" w:sz="0" w:space="0" w:color="auto"/>
                                                                <w:bottom w:val="none" w:sz="0" w:space="0" w:color="auto"/>
                                                                <w:right w:val="none" w:sz="0" w:space="0" w:color="auto"/>
                                                              </w:divBdr>
                                                              <w:divsChild>
                                                                <w:div w:id="108479209">
                                                                  <w:marLeft w:val="0"/>
                                                                  <w:marRight w:val="0"/>
                                                                  <w:marTop w:val="0"/>
                                                                  <w:marBottom w:val="0"/>
                                                                  <w:divBdr>
                                                                    <w:top w:val="none" w:sz="0" w:space="0" w:color="auto"/>
                                                                    <w:left w:val="none" w:sz="0" w:space="0" w:color="auto"/>
                                                                    <w:bottom w:val="none" w:sz="0" w:space="0" w:color="auto"/>
                                                                    <w:right w:val="none" w:sz="0" w:space="0" w:color="auto"/>
                                                                  </w:divBdr>
                                                                  <w:divsChild>
                                                                    <w:div w:id="1833258573">
                                                                      <w:marLeft w:val="0"/>
                                                                      <w:marRight w:val="0"/>
                                                                      <w:marTop w:val="0"/>
                                                                      <w:marBottom w:val="0"/>
                                                                      <w:divBdr>
                                                                        <w:top w:val="none" w:sz="0" w:space="0" w:color="auto"/>
                                                                        <w:left w:val="none" w:sz="0" w:space="0" w:color="auto"/>
                                                                        <w:bottom w:val="none" w:sz="0" w:space="0" w:color="auto"/>
                                                                        <w:right w:val="none" w:sz="0" w:space="0" w:color="auto"/>
                                                                      </w:divBdr>
                                                                      <w:divsChild>
                                                                        <w:div w:id="669524066">
                                                                          <w:marLeft w:val="0"/>
                                                                          <w:marRight w:val="0"/>
                                                                          <w:marTop w:val="0"/>
                                                                          <w:marBottom w:val="0"/>
                                                                          <w:divBdr>
                                                                            <w:top w:val="none" w:sz="0" w:space="0" w:color="auto"/>
                                                                            <w:left w:val="none" w:sz="0" w:space="0" w:color="auto"/>
                                                                            <w:bottom w:val="none" w:sz="0" w:space="0" w:color="auto"/>
                                                                            <w:right w:val="none" w:sz="0" w:space="0" w:color="auto"/>
                                                                          </w:divBdr>
                                                                          <w:divsChild>
                                                                            <w:div w:id="138995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9462246">
      <w:bodyDiv w:val="1"/>
      <w:marLeft w:val="0"/>
      <w:marRight w:val="0"/>
      <w:marTop w:val="0"/>
      <w:marBottom w:val="0"/>
      <w:divBdr>
        <w:top w:val="none" w:sz="0" w:space="0" w:color="auto"/>
        <w:left w:val="none" w:sz="0" w:space="0" w:color="auto"/>
        <w:bottom w:val="none" w:sz="0" w:space="0" w:color="auto"/>
        <w:right w:val="none" w:sz="0" w:space="0" w:color="auto"/>
      </w:divBdr>
      <w:divsChild>
        <w:div w:id="1274170450">
          <w:marLeft w:val="0"/>
          <w:marRight w:val="0"/>
          <w:marTop w:val="0"/>
          <w:marBottom w:val="0"/>
          <w:divBdr>
            <w:top w:val="none" w:sz="0" w:space="0" w:color="auto"/>
            <w:left w:val="none" w:sz="0" w:space="0" w:color="auto"/>
            <w:bottom w:val="none" w:sz="0" w:space="0" w:color="auto"/>
            <w:right w:val="none" w:sz="0" w:space="0" w:color="auto"/>
          </w:divBdr>
        </w:div>
      </w:divsChild>
    </w:div>
    <w:div w:id="1975938356">
      <w:bodyDiv w:val="1"/>
      <w:marLeft w:val="0"/>
      <w:marRight w:val="0"/>
      <w:marTop w:val="0"/>
      <w:marBottom w:val="0"/>
      <w:divBdr>
        <w:top w:val="none" w:sz="0" w:space="0" w:color="auto"/>
        <w:left w:val="none" w:sz="0" w:space="0" w:color="auto"/>
        <w:bottom w:val="none" w:sz="0" w:space="0" w:color="auto"/>
        <w:right w:val="none" w:sz="0" w:space="0" w:color="auto"/>
      </w:divBdr>
      <w:divsChild>
        <w:div w:id="959453485">
          <w:marLeft w:val="0"/>
          <w:marRight w:val="0"/>
          <w:marTop w:val="0"/>
          <w:marBottom w:val="0"/>
          <w:divBdr>
            <w:top w:val="none" w:sz="0" w:space="0" w:color="auto"/>
            <w:left w:val="none" w:sz="0" w:space="0" w:color="auto"/>
            <w:bottom w:val="none" w:sz="0" w:space="0" w:color="auto"/>
            <w:right w:val="none" w:sz="0" w:space="0" w:color="auto"/>
          </w:divBdr>
        </w:div>
      </w:divsChild>
    </w:div>
    <w:div w:id="2075279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REZ01SR0333\Home$\2486\++++%20Cajias%20-%20EPC%20in%20Germany\2018%20EneRes%20&amp;%20SociScience\2018%2002%20-%20R&amp;R\TABL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REZ01SR0333\Home$\2486\++++%20Cajias%20-%20EPC%20in%20Germany\2018%20EneRes%20&amp;%20SociScience\2018%2002%20-%20R&amp;R\TABL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REZ01SR0333\Home$\2486\++++%20Cajias%20-%20EPC%20in%20Germany\2018%20EneRes%20&amp;%20SociScience\2018%2002%20-%20R&amp;R\GAMLSS%20Results.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oleObject" Target="file:///\\REZ01SR0333\Home$\2486\++++%20Cajias%20-%20EPC%20in%20Germany\2018%20EneRes%20&amp;%20SociScience\2018%2002%20-%20R&amp;R\Survival%20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9303368256873861E-2"/>
          <c:y val="1.9274266726274421E-2"/>
          <c:w val="0.94398472409621415"/>
          <c:h val="0.85805903400353079"/>
        </c:manualLayout>
      </c:layout>
      <c:areaChart>
        <c:grouping val="standard"/>
        <c:varyColors val="0"/>
        <c:ser>
          <c:idx val="0"/>
          <c:order val="0"/>
          <c:tx>
            <c:strRef>
              <c:f>Tabelle2!$D$45</c:f>
              <c:strCache>
                <c:ptCount val="1"/>
                <c:pt idx="0">
                  <c:v>All Sample data</c:v>
                </c:pt>
              </c:strCache>
            </c:strRef>
          </c:tx>
          <c:spPr>
            <a:solidFill>
              <a:srgbClr val="FFC000">
                <a:alpha val="30000"/>
              </a:srgbClr>
            </a:solidFill>
          </c:spPr>
          <c:cat>
            <c:multiLvlStrRef>
              <c:f>Tabelle2!$E$43:$W$44</c:f>
              <c:multiLvlStrCache>
                <c:ptCount val="19"/>
                <c:lvl>
                  <c:pt idx="0">
                    <c:v>A+</c:v>
                  </c:pt>
                  <c:pt idx="1">
                    <c:v>A</c:v>
                  </c:pt>
                  <c:pt idx="2">
                    <c:v>B</c:v>
                  </c:pt>
                  <c:pt idx="3">
                    <c:v>C</c:v>
                  </c:pt>
                  <c:pt idx="4">
                    <c:v>D</c:v>
                  </c:pt>
                  <c:pt idx="5">
                    <c:v>E</c:v>
                  </c:pt>
                  <c:pt idx="6">
                    <c:v>F</c:v>
                  </c:pt>
                  <c:pt idx="7">
                    <c:v>G</c:v>
                  </c:pt>
                  <c:pt idx="8">
                    <c:v>H</c:v>
                  </c:pt>
                  <c:pt idx="10">
                    <c:v>A+</c:v>
                  </c:pt>
                  <c:pt idx="11">
                    <c:v>A</c:v>
                  </c:pt>
                  <c:pt idx="12">
                    <c:v>B</c:v>
                  </c:pt>
                  <c:pt idx="13">
                    <c:v>C</c:v>
                  </c:pt>
                  <c:pt idx="14">
                    <c:v>D</c:v>
                  </c:pt>
                  <c:pt idx="15">
                    <c:v>E</c:v>
                  </c:pt>
                  <c:pt idx="16">
                    <c:v>F</c:v>
                  </c:pt>
                  <c:pt idx="17">
                    <c:v>G</c:v>
                  </c:pt>
                  <c:pt idx="18">
                    <c:v>H</c:v>
                  </c:pt>
                </c:lvl>
                <c:lvl>
                  <c:pt idx="0">
                    <c:v>Top 7 markets</c:v>
                  </c:pt>
                  <c:pt idx="10">
                    <c:v>Secondary markets</c:v>
                  </c:pt>
                </c:lvl>
              </c:multiLvlStrCache>
            </c:multiLvlStrRef>
          </c:cat>
          <c:val>
            <c:numRef>
              <c:f>Tabelle2!$E$45:$W$45</c:f>
              <c:numCache>
                <c:formatCode>General</c:formatCode>
                <c:ptCount val="19"/>
                <c:pt idx="0">
                  <c:v>759.02599999999995</c:v>
                </c:pt>
                <c:pt idx="1">
                  <c:v>658.51400000000001</c:v>
                </c:pt>
                <c:pt idx="2">
                  <c:v>515.77099999999996</c:v>
                </c:pt>
                <c:pt idx="3">
                  <c:v>486.666</c:v>
                </c:pt>
                <c:pt idx="4">
                  <c:v>492.78899999999999</c:v>
                </c:pt>
                <c:pt idx="5">
                  <c:v>503.685</c:v>
                </c:pt>
                <c:pt idx="6">
                  <c:v>499.642</c:v>
                </c:pt>
                <c:pt idx="7">
                  <c:v>491.81799999999998</c:v>
                </c:pt>
                <c:pt idx="8">
                  <c:v>491.13099999999997</c:v>
                </c:pt>
                <c:pt idx="10">
                  <c:v>759.02599999999995</c:v>
                </c:pt>
                <c:pt idx="11">
                  <c:v>658.51400000000001</c:v>
                </c:pt>
                <c:pt idx="12">
                  <c:v>515.77099999999996</c:v>
                </c:pt>
                <c:pt idx="13">
                  <c:v>486.666</c:v>
                </c:pt>
                <c:pt idx="14">
                  <c:v>492.78899999999999</c:v>
                </c:pt>
                <c:pt idx="15">
                  <c:v>503.685</c:v>
                </c:pt>
                <c:pt idx="16">
                  <c:v>499.642</c:v>
                </c:pt>
                <c:pt idx="17">
                  <c:v>491.81799999999998</c:v>
                </c:pt>
                <c:pt idx="18">
                  <c:v>491.13099999999997</c:v>
                </c:pt>
              </c:numCache>
            </c:numRef>
          </c:val>
          <c:extLst>
            <c:ext xmlns:c16="http://schemas.microsoft.com/office/drawing/2014/chart" uri="{C3380CC4-5D6E-409C-BE32-E72D297353CC}">
              <c16:uniqueId val="{00000000-AB7F-4541-914C-380E4C56A5C2}"/>
            </c:ext>
          </c:extLst>
        </c:ser>
        <c:dLbls>
          <c:showLegendKey val="0"/>
          <c:showVal val="0"/>
          <c:showCatName val="0"/>
          <c:showSerName val="0"/>
          <c:showPercent val="0"/>
          <c:showBubbleSize val="0"/>
        </c:dLbls>
        <c:axId val="231322752"/>
        <c:axId val="231324288"/>
      </c:areaChart>
      <c:lineChart>
        <c:grouping val="standard"/>
        <c:varyColors val="0"/>
        <c:ser>
          <c:idx val="1"/>
          <c:order val="1"/>
          <c:tx>
            <c:strRef>
              <c:f>Tabelle2!$D$46</c:f>
              <c:strCache>
                <c:ptCount val="1"/>
                <c:pt idx="0">
                  <c:v>All sample sector</c:v>
                </c:pt>
              </c:strCache>
            </c:strRef>
          </c:tx>
          <c:spPr>
            <a:ln>
              <a:solidFill>
                <a:schemeClr val="tx1"/>
              </a:solidFill>
              <a:prstDash val="sysDash"/>
            </a:ln>
          </c:spPr>
          <c:marker>
            <c:symbol val="none"/>
          </c:marker>
          <c:cat>
            <c:strRef>
              <c:f>Tabelle2!$E$44:$W$44</c:f>
              <c:strCache>
                <c:ptCount val="19"/>
                <c:pt idx="0">
                  <c:v>A+</c:v>
                </c:pt>
                <c:pt idx="1">
                  <c:v>A</c:v>
                </c:pt>
                <c:pt idx="2">
                  <c:v>B</c:v>
                </c:pt>
                <c:pt idx="3">
                  <c:v>C</c:v>
                </c:pt>
                <c:pt idx="4">
                  <c:v>D</c:v>
                </c:pt>
                <c:pt idx="5">
                  <c:v>E</c:v>
                </c:pt>
                <c:pt idx="6">
                  <c:v>F</c:v>
                </c:pt>
                <c:pt idx="7">
                  <c:v>G</c:v>
                </c:pt>
                <c:pt idx="8">
                  <c:v>H</c:v>
                </c:pt>
                <c:pt idx="10">
                  <c:v>A+</c:v>
                </c:pt>
                <c:pt idx="11">
                  <c:v>A</c:v>
                </c:pt>
                <c:pt idx="12">
                  <c:v>B</c:v>
                </c:pt>
                <c:pt idx="13">
                  <c:v>C</c:v>
                </c:pt>
                <c:pt idx="14">
                  <c:v>D</c:v>
                </c:pt>
                <c:pt idx="15">
                  <c:v>E</c:v>
                </c:pt>
                <c:pt idx="16">
                  <c:v>F</c:v>
                </c:pt>
                <c:pt idx="17">
                  <c:v>G</c:v>
                </c:pt>
                <c:pt idx="18">
                  <c:v>H</c:v>
                </c:pt>
              </c:strCache>
            </c:strRef>
          </c:cat>
          <c:val>
            <c:numRef>
              <c:f>Tabelle2!$E$46:$W$46</c:f>
              <c:numCache>
                <c:formatCode>General</c:formatCode>
                <c:ptCount val="19"/>
                <c:pt idx="0">
                  <c:v>1027.3800000000001</c:v>
                </c:pt>
                <c:pt idx="1">
                  <c:v>1037.4970000000001</c:v>
                </c:pt>
                <c:pt idx="2">
                  <c:v>815.80399999999997</c:v>
                </c:pt>
                <c:pt idx="3">
                  <c:v>723.15</c:v>
                </c:pt>
                <c:pt idx="4">
                  <c:v>720.11500000000001</c:v>
                </c:pt>
                <c:pt idx="5">
                  <c:v>723.11599999999999</c:v>
                </c:pt>
                <c:pt idx="6">
                  <c:v>724.40800000000002</c:v>
                </c:pt>
                <c:pt idx="7">
                  <c:v>728.60199999999998</c:v>
                </c:pt>
                <c:pt idx="8">
                  <c:v>750.35799999999995</c:v>
                </c:pt>
              </c:numCache>
            </c:numRef>
          </c:val>
          <c:smooth val="0"/>
          <c:extLst>
            <c:ext xmlns:c16="http://schemas.microsoft.com/office/drawing/2014/chart" uri="{C3380CC4-5D6E-409C-BE32-E72D297353CC}">
              <c16:uniqueId val="{00000001-AB7F-4541-914C-380E4C56A5C2}"/>
            </c:ext>
          </c:extLst>
        </c:ser>
        <c:ser>
          <c:idx val="2"/>
          <c:order val="2"/>
          <c:tx>
            <c:strRef>
              <c:f>Tabelle2!$D$47</c:f>
              <c:strCache>
                <c:ptCount val="1"/>
                <c:pt idx="0">
                  <c:v>Refurbished sample</c:v>
                </c:pt>
              </c:strCache>
            </c:strRef>
          </c:tx>
          <c:spPr>
            <a:ln>
              <a:solidFill>
                <a:schemeClr val="tx1"/>
              </a:solidFill>
            </a:ln>
          </c:spPr>
          <c:marker>
            <c:symbol val="none"/>
          </c:marker>
          <c:cat>
            <c:strRef>
              <c:f>Tabelle2!$E$44:$W$44</c:f>
              <c:strCache>
                <c:ptCount val="19"/>
                <c:pt idx="0">
                  <c:v>A+</c:v>
                </c:pt>
                <c:pt idx="1">
                  <c:v>A</c:v>
                </c:pt>
                <c:pt idx="2">
                  <c:v>B</c:v>
                </c:pt>
                <c:pt idx="3">
                  <c:v>C</c:v>
                </c:pt>
                <c:pt idx="4">
                  <c:v>D</c:v>
                </c:pt>
                <c:pt idx="5">
                  <c:v>E</c:v>
                </c:pt>
                <c:pt idx="6">
                  <c:v>F</c:v>
                </c:pt>
                <c:pt idx="7">
                  <c:v>G</c:v>
                </c:pt>
                <c:pt idx="8">
                  <c:v>H</c:v>
                </c:pt>
                <c:pt idx="10">
                  <c:v>A+</c:v>
                </c:pt>
                <c:pt idx="11">
                  <c:v>A</c:v>
                </c:pt>
                <c:pt idx="12">
                  <c:v>B</c:v>
                </c:pt>
                <c:pt idx="13">
                  <c:v>C</c:v>
                </c:pt>
                <c:pt idx="14">
                  <c:v>D</c:v>
                </c:pt>
                <c:pt idx="15">
                  <c:v>E</c:v>
                </c:pt>
                <c:pt idx="16">
                  <c:v>F</c:v>
                </c:pt>
                <c:pt idx="17">
                  <c:v>G</c:v>
                </c:pt>
                <c:pt idx="18">
                  <c:v>H</c:v>
                </c:pt>
              </c:strCache>
            </c:strRef>
          </c:cat>
          <c:val>
            <c:numRef>
              <c:f>Tabelle2!$E$47:$W$47</c:f>
              <c:numCache>
                <c:formatCode>General</c:formatCode>
                <c:ptCount val="19"/>
                <c:pt idx="0">
                  <c:v>1159.364</c:v>
                </c:pt>
                <c:pt idx="1">
                  <c:v>1147.105</c:v>
                </c:pt>
                <c:pt idx="2">
                  <c:v>963.48299999999995</c:v>
                </c:pt>
                <c:pt idx="3">
                  <c:v>826.47799999999995</c:v>
                </c:pt>
                <c:pt idx="4">
                  <c:v>794.82799999999997</c:v>
                </c:pt>
                <c:pt idx="5">
                  <c:v>799.31600000000003</c:v>
                </c:pt>
                <c:pt idx="6">
                  <c:v>794.50300000000004</c:v>
                </c:pt>
                <c:pt idx="7">
                  <c:v>795.17200000000003</c:v>
                </c:pt>
                <c:pt idx="8">
                  <c:v>803.95</c:v>
                </c:pt>
              </c:numCache>
            </c:numRef>
          </c:val>
          <c:smooth val="0"/>
          <c:extLst>
            <c:ext xmlns:c16="http://schemas.microsoft.com/office/drawing/2014/chart" uri="{C3380CC4-5D6E-409C-BE32-E72D297353CC}">
              <c16:uniqueId val="{00000002-AB7F-4541-914C-380E4C56A5C2}"/>
            </c:ext>
          </c:extLst>
        </c:ser>
        <c:ser>
          <c:idx val="3"/>
          <c:order val="3"/>
          <c:tx>
            <c:strRef>
              <c:f>Tabelle2!$D$48</c:f>
              <c:strCache>
                <c:ptCount val="1"/>
                <c:pt idx="0">
                  <c:v>Non-refurbished sample</c:v>
                </c:pt>
              </c:strCache>
            </c:strRef>
          </c:tx>
          <c:spPr>
            <a:ln>
              <a:solidFill>
                <a:schemeClr val="tx1"/>
              </a:solidFill>
              <a:prstDash val="sysDot"/>
            </a:ln>
          </c:spPr>
          <c:marker>
            <c:symbol val="none"/>
          </c:marker>
          <c:cat>
            <c:strRef>
              <c:f>Tabelle2!$E$44:$W$44</c:f>
              <c:strCache>
                <c:ptCount val="19"/>
                <c:pt idx="0">
                  <c:v>A+</c:v>
                </c:pt>
                <c:pt idx="1">
                  <c:v>A</c:v>
                </c:pt>
                <c:pt idx="2">
                  <c:v>B</c:v>
                </c:pt>
                <c:pt idx="3">
                  <c:v>C</c:v>
                </c:pt>
                <c:pt idx="4">
                  <c:v>D</c:v>
                </c:pt>
                <c:pt idx="5">
                  <c:v>E</c:v>
                </c:pt>
                <c:pt idx="6">
                  <c:v>F</c:v>
                </c:pt>
                <c:pt idx="7">
                  <c:v>G</c:v>
                </c:pt>
                <c:pt idx="8">
                  <c:v>H</c:v>
                </c:pt>
                <c:pt idx="10">
                  <c:v>A+</c:v>
                </c:pt>
                <c:pt idx="11">
                  <c:v>A</c:v>
                </c:pt>
                <c:pt idx="12">
                  <c:v>B</c:v>
                </c:pt>
                <c:pt idx="13">
                  <c:v>C</c:v>
                </c:pt>
                <c:pt idx="14">
                  <c:v>D</c:v>
                </c:pt>
                <c:pt idx="15">
                  <c:v>E</c:v>
                </c:pt>
                <c:pt idx="16">
                  <c:v>F</c:v>
                </c:pt>
                <c:pt idx="17">
                  <c:v>G</c:v>
                </c:pt>
                <c:pt idx="18">
                  <c:v>H</c:v>
                </c:pt>
              </c:strCache>
            </c:strRef>
          </c:cat>
          <c:val>
            <c:numRef>
              <c:f>Tabelle2!$E$48:$W$48</c:f>
              <c:numCache>
                <c:formatCode>General</c:formatCode>
                <c:ptCount val="19"/>
                <c:pt idx="0">
                  <c:v>909.70299999999997</c:v>
                </c:pt>
                <c:pt idx="1">
                  <c:v>947.33500000000004</c:v>
                </c:pt>
                <c:pt idx="2">
                  <c:v>756.61400000000003</c:v>
                </c:pt>
                <c:pt idx="3">
                  <c:v>688.28599999999994</c:v>
                </c:pt>
                <c:pt idx="4">
                  <c:v>686.13400000000001</c:v>
                </c:pt>
                <c:pt idx="5">
                  <c:v>685.51400000000001</c:v>
                </c:pt>
                <c:pt idx="6">
                  <c:v>686.19899999999996</c:v>
                </c:pt>
                <c:pt idx="7">
                  <c:v>693.423</c:v>
                </c:pt>
                <c:pt idx="8">
                  <c:v>716.26499999999999</c:v>
                </c:pt>
              </c:numCache>
            </c:numRef>
          </c:val>
          <c:smooth val="0"/>
          <c:extLst>
            <c:ext xmlns:c16="http://schemas.microsoft.com/office/drawing/2014/chart" uri="{C3380CC4-5D6E-409C-BE32-E72D297353CC}">
              <c16:uniqueId val="{00000003-AB7F-4541-914C-380E4C56A5C2}"/>
            </c:ext>
          </c:extLst>
        </c:ser>
        <c:ser>
          <c:idx val="4"/>
          <c:order val="4"/>
          <c:tx>
            <c:strRef>
              <c:f>Tabelle2!$D$49</c:f>
              <c:strCache>
                <c:ptCount val="1"/>
                <c:pt idx="0">
                  <c:v>All sample sector</c:v>
                </c:pt>
              </c:strCache>
            </c:strRef>
          </c:tx>
          <c:spPr>
            <a:ln>
              <a:solidFill>
                <a:schemeClr val="tx1"/>
              </a:solidFill>
            </a:ln>
          </c:spPr>
          <c:marker>
            <c:symbol val="none"/>
          </c:marker>
          <c:cat>
            <c:strRef>
              <c:f>Tabelle2!$E$44:$W$44</c:f>
              <c:strCache>
                <c:ptCount val="19"/>
                <c:pt idx="0">
                  <c:v>A+</c:v>
                </c:pt>
                <c:pt idx="1">
                  <c:v>A</c:v>
                </c:pt>
                <c:pt idx="2">
                  <c:v>B</c:v>
                </c:pt>
                <c:pt idx="3">
                  <c:v>C</c:v>
                </c:pt>
                <c:pt idx="4">
                  <c:v>D</c:v>
                </c:pt>
                <c:pt idx="5">
                  <c:v>E</c:v>
                </c:pt>
                <c:pt idx="6">
                  <c:v>F</c:v>
                </c:pt>
                <c:pt idx="7">
                  <c:v>G</c:v>
                </c:pt>
                <c:pt idx="8">
                  <c:v>H</c:v>
                </c:pt>
                <c:pt idx="10">
                  <c:v>A+</c:v>
                </c:pt>
                <c:pt idx="11">
                  <c:v>A</c:v>
                </c:pt>
                <c:pt idx="12">
                  <c:v>B</c:v>
                </c:pt>
                <c:pt idx="13">
                  <c:v>C</c:v>
                </c:pt>
                <c:pt idx="14">
                  <c:v>D</c:v>
                </c:pt>
                <c:pt idx="15">
                  <c:v>E</c:v>
                </c:pt>
                <c:pt idx="16">
                  <c:v>F</c:v>
                </c:pt>
                <c:pt idx="17">
                  <c:v>G</c:v>
                </c:pt>
                <c:pt idx="18">
                  <c:v>H</c:v>
                </c:pt>
              </c:strCache>
            </c:strRef>
          </c:cat>
          <c:val>
            <c:numRef>
              <c:f>Tabelle2!$E$49:$W$49</c:f>
              <c:numCache>
                <c:formatCode>General</c:formatCode>
                <c:ptCount val="19"/>
                <c:pt idx="10">
                  <c:v>702.45299999999997</c:v>
                </c:pt>
                <c:pt idx="11">
                  <c:v>592.54</c:v>
                </c:pt>
                <c:pt idx="12">
                  <c:v>469.363</c:v>
                </c:pt>
                <c:pt idx="13">
                  <c:v>442.90199999999999</c:v>
                </c:pt>
                <c:pt idx="14">
                  <c:v>445.36900000000003</c:v>
                </c:pt>
                <c:pt idx="15">
                  <c:v>447.12299999999999</c:v>
                </c:pt>
                <c:pt idx="16">
                  <c:v>438.11</c:v>
                </c:pt>
                <c:pt idx="17">
                  <c:v>422.48899999999998</c:v>
                </c:pt>
                <c:pt idx="18">
                  <c:v>420.43200000000002</c:v>
                </c:pt>
              </c:numCache>
            </c:numRef>
          </c:val>
          <c:smooth val="0"/>
          <c:extLst>
            <c:ext xmlns:c16="http://schemas.microsoft.com/office/drawing/2014/chart" uri="{C3380CC4-5D6E-409C-BE32-E72D297353CC}">
              <c16:uniqueId val="{00000004-AB7F-4541-914C-380E4C56A5C2}"/>
            </c:ext>
          </c:extLst>
        </c:ser>
        <c:ser>
          <c:idx val="5"/>
          <c:order val="5"/>
          <c:tx>
            <c:strRef>
              <c:f>Tabelle2!$D$50</c:f>
              <c:strCache>
                <c:ptCount val="1"/>
                <c:pt idx="0">
                  <c:v>Refurbished</c:v>
                </c:pt>
              </c:strCache>
            </c:strRef>
          </c:tx>
          <c:spPr>
            <a:ln>
              <a:solidFill>
                <a:schemeClr val="tx1"/>
              </a:solidFill>
              <a:prstDash val="sysDot"/>
            </a:ln>
          </c:spPr>
          <c:marker>
            <c:symbol val="none"/>
          </c:marker>
          <c:cat>
            <c:strRef>
              <c:f>Tabelle2!$E$44:$W$44</c:f>
              <c:strCache>
                <c:ptCount val="19"/>
                <c:pt idx="0">
                  <c:v>A+</c:v>
                </c:pt>
                <c:pt idx="1">
                  <c:v>A</c:v>
                </c:pt>
                <c:pt idx="2">
                  <c:v>B</c:v>
                </c:pt>
                <c:pt idx="3">
                  <c:v>C</c:v>
                </c:pt>
                <c:pt idx="4">
                  <c:v>D</c:v>
                </c:pt>
                <c:pt idx="5">
                  <c:v>E</c:v>
                </c:pt>
                <c:pt idx="6">
                  <c:v>F</c:v>
                </c:pt>
                <c:pt idx="7">
                  <c:v>G</c:v>
                </c:pt>
                <c:pt idx="8">
                  <c:v>H</c:v>
                </c:pt>
                <c:pt idx="10">
                  <c:v>A+</c:v>
                </c:pt>
                <c:pt idx="11">
                  <c:v>A</c:v>
                </c:pt>
                <c:pt idx="12">
                  <c:v>B</c:v>
                </c:pt>
                <c:pt idx="13">
                  <c:v>C</c:v>
                </c:pt>
                <c:pt idx="14">
                  <c:v>D</c:v>
                </c:pt>
                <c:pt idx="15">
                  <c:v>E</c:v>
                </c:pt>
                <c:pt idx="16">
                  <c:v>F</c:v>
                </c:pt>
                <c:pt idx="17">
                  <c:v>G</c:v>
                </c:pt>
                <c:pt idx="18">
                  <c:v>H</c:v>
                </c:pt>
              </c:strCache>
            </c:strRef>
          </c:cat>
          <c:val>
            <c:numRef>
              <c:f>Tabelle2!$E$50:$W$50</c:f>
              <c:numCache>
                <c:formatCode>General</c:formatCode>
                <c:ptCount val="19"/>
                <c:pt idx="10">
                  <c:v>764.84500000000003</c:v>
                </c:pt>
                <c:pt idx="11">
                  <c:v>723.53599999999994</c:v>
                </c:pt>
                <c:pt idx="12">
                  <c:v>527.97699999999998</c:v>
                </c:pt>
                <c:pt idx="13">
                  <c:v>467.916</c:v>
                </c:pt>
                <c:pt idx="14">
                  <c:v>474.88299999999998</c:v>
                </c:pt>
                <c:pt idx="15">
                  <c:v>481.69400000000002</c:v>
                </c:pt>
                <c:pt idx="16">
                  <c:v>483.21</c:v>
                </c:pt>
                <c:pt idx="17">
                  <c:v>478.57</c:v>
                </c:pt>
                <c:pt idx="18">
                  <c:v>468.863</c:v>
                </c:pt>
              </c:numCache>
            </c:numRef>
          </c:val>
          <c:smooth val="0"/>
          <c:extLst>
            <c:ext xmlns:c16="http://schemas.microsoft.com/office/drawing/2014/chart" uri="{C3380CC4-5D6E-409C-BE32-E72D297353CC}">
              <c16:uniqueId val="{00000005-AB7F-4541-914C-380E4C56A5C2}"/>
            </c:ext>
          </c:extLst>
        </c:ser>
        <c:ser>
          <c:idx val="6"/>
          <c:order val="6"/>
          <c:tx>
            <c:strRef>
              <c:f>Tabelle2!$D$51</c:f>
              <c:strCache>
                <c:ptCount val="1"/>
                <c:pt idx="0">
                  <c:v>Non-refurbished</c:v>
                </c:pt>
              </c:strCache>
            </c:strRef>
          </c:tx>
          <c:spPr>
            <a:ln>
              <a:solidFill>
                <a:schemeClr val="tx1"/>
              </a:solidFill>
              <a:prstDash val="dash"/>
            </a:ln>
          </c:spPr>
          <c:marker>
            <c:symbol val="none"/>
          </c:marker>
          <c:cat>
            <c:strRef>
              <c:f>Tabelle2!$E$44:$W$44</c:f>
              <c:strCache>
                <c:ptCount val="19"/>
                <c:pt idx="0">
                  <c:v>A+</c:v>
                </c:pt>
                <c:pt idx="1">
                  <c:v>A</c:v>
                </c:pt>
                <c:pt idx="2">
                  <c:v>B</c:v>
                </c:pt>
                <c:pt idx="3">
                  <c:v>C</c:v>
                </c:pt>
                <c:pt idx="4">
                  <c:v>D</c:v>
                </c:pt>
                <c:pt idx="5">
                  <c:v>E</c:v>
                </c:pt>
                <c:pt idx="6">
                  <c:v>F</c:v>
                </c:pt>
                <c:pt idx="7">
                  <c:v>G</c:v>
                </c:pt>
                <c:pt idx="8">
                  <c:v>H</c:v>
                </c:pt>
                <c:pt idx="10">
                  <c:v>A+</c:v>
                </c:pt>
                <c:pt idx="11">
                  <c:v>A</c:v>
                </c:pt>
                <c:pt idx="12">
                  <c:v>B</c:v>
                </c:pt>
                <c:pt idx="13">
                  <c:v>C</c:v>
                </c:pt>
                <c:pt idx="14">
                  <c:v>D</c:v>
                </c:pt>
                <c:pt idx="15">
                  <c:v>E</c:v>
                </c:pt>
                <c:pt idx="16">
                  <c:v>F</c:v>
                </c:pt>
                <c:pt idx="17">
                  <c:v>G</c:v>
                </c:pt>
                <c:pt idx="18">
                  <c:v>H</c:v>
                </c:pt>
              </c:strCache>
            </c:strRef>
          </c:cat>
          <c:val>
            <c:numRef>
              <c:f>Tabelle2!$E$51:$W$51</c:f>
              <c:numCache>
                <c:formatCode>General</c:formatCode>
                <c:ptCount val="19"/>
                <c:pt idx="10">
                  <c:v>648.72400000000005</c:v>
                </c:pt>
                <c:pt idx="11">
                  <c:v>523.92899999999997</c:v>
                </c:pt>
                <c:pt idx="12">
                  <c:v>451.55500000000001</c:v>
                </c:pt>
                <c:pt idx="13">
                  <c:v>436.34500000000003</c:v>
                </c:pt>
                <c:pt idx="14">
                  <c:v>436.53</c:v>
                </c:pt>
                <c:pt idx="15">
                  <c:v>436.14299999999997</c:v>
                </c:pt>
                <c:pt idx="16">
                  <c:v>423.59199999999998</c:v>
                </c:pt>
                <c:pt idx="17">
                  <c:v>405.14600000000002</c:v>
                </c:pt>
                <c:pt idx="18">
                  <c:v>404.91800000000001</c:v>
                </c:pt>
              </c:numCache>
            </c:numRef>
          </c:val>
          <c:smooth val="0"/>
          <c:extLst>
            <c:ext xmlns:c16="http://schemas.microsoft.com/office/drawing/2014/chart" uri="{C3380CC4-5D6E-409C-BE32-E72D297353CC}">
              <c16:uniqueId val="{00000006-AB7F-4541-914C-380E4C56A5C2}"/>
            </c:ext>
          </c:extLst>
        </c:ser>
        <c:dLbls>
          <c:showLegendKey val="0"/>
          <c:showVal val="0"/>
          <c:showCatName val="0"/>
          <c:showSerName val="0"/>
          <c:showPercent val="0"/>
          <c:showBubbleSize val="0"/>
        </c:dLbls>
        <c:marker val="1"/>
        <c:smooth val="0"/>
        <c:axId val="231322752"/>
        <c:axId val="231324288"/>
      </c:lineChart>
      <c:catAx>
        <c:axId val="231322752"/>
        <c:scaling>
          <c:orientation val="minMax"/>
        </c:scaling>
        <c:delete val="0"/>
        <c:axPos val="b"/>
        <c:numFmt formatCode="General" sourceLinked="0"/>
        <c:majorTickMark val="out"/>
        <c:minorTickMark val="none"/>
        <c:tickLblPos val="nextTo"/>
        <c:crossAx val="231324288"/>
        <c:crosses val="autoZero"/>
        <c:auto val="1"/>
        <c:lblAlgn val="ctr"/>
        <c:lblOffset val="100"/>
        <c:noMultiLvlLbl val="0"/>
      </c:catAx>
      <c:valAx>
        <c:axId val="231324288"/>
        <c:scaling>
          <c:orientation val="minMax"/>
          <c:max val="1200"/>
          <c:min val="300"/>
        </c:scaling>
        <c:delete val="0"/>
        <c:axPos val="l"/>
        <c:majorGridlines>
          <c:spPr>
            <a:ln>
              <a:prstDash val="dash"/>
            </a:ln>
          </c:spPr>
        </c:majorGridlines>
        <c:numFmt formatCode="&quot;€&quot;\ General" sourceLinked="0"/>
        <c:majorTickMark val="out"/>
        <c:minorTickMark val="none"/>
        <c:tickLblPos val="nextTo"/>
        <c:spPr>
          <a:ln>
            <a:noFill/>
          </a:ln>
        </c:spPr>
        <c:crossAx val="231322752"/>
        <c:crosses val="autoZero"/>
        <c:crossBetween val="between"/>
      </c:valAx>
    </c:plotArea>
    <c:legend>
      <c:legendPos val="t"/>
      <c:legendEntry>
        <c:idx val="4"/>
        <c:delete val="1"/>
      </c:legendEntry>
      <c:legendEntry>
        <c:idx val="5"/>
        <c:delete val="1"/>
      </c:legendEntry>
      <c:legendEntry>
        <c:idx val="6"/>
        <c:delete val="1"/>
      </c:legendEntry>
      <c:layout>
        <c:manualLayout>
          <c:xMode val="edge"/>
          <c:yMode val="edge"/>
          <c:x val="0.25366384033434475"/>
          <c:y val="2.3628698263383704E-2"/>
          <c:w val="0.72901162736860947"/>
          <c:h val="8.3201888490929687E-2"/>
        </c:manualLayout>
      </c:layout>
      <c:overlay val="0"/>
    </c:legend>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9382563905611498E-2"/>
          <c:y val="1.9274266726274421E-2"/>
          <c:w val="0.94387185422497499"/>
          <c:h val="0.85805903400353079"/>
        </c:manualLayout>
      </c:layout>
      <c:areaChart>
        <c:grouping val="standard"/>
        <c:varyColors val="0"/>
        <c:ser>
          <c:idx val="0"/>
          <c:order val="0"/>
          <c:tx>
            <c:strRef>
              <c:f>Tabelle2!$D$45</c:f>
              <c:strCache>
                <c:ptCount val="1"/>
                <c:pt idx="0">
                  <c:v>All Sample data</c:v>
                </c:pt>
              </c:strCache>
            </c:strRef>
          </c:tx>
          <c:spPr>
            <a:solidFill>
              <a:srgbClr val="FFC000">
                <a:alpha val="30000"/>
              </a:srgbClr>
            </a:solidFill>
          </c:spPr>
          <c:cat>
            <c:multiLvlStrRef>
              <c:f>Tabelle2!$E$43:$W$44</c:f>
              <c:multiLvlStrCache>
                <c:ptCount val="19"/>
                <c:lvl>
                  <c:pt idx="0">
                    <c:v>A+</c:v>
                  </c:pt>
                  <c:pt idx="1">
                    <c:v>A</c:v>
                  </c:pt>
                  <c:pt idx="2">
                    <c:v>B</c:v>
                  </c:pt>
                  <c:pt idx="3">
                    <c:v>C</c:v>
                  </c:pt>
                  <c:pt idx="4">
                    <c:v>D</c:v>
                  </c:pt>
                  <c:pt idx="5">
                    <c:v>E</c:v>
                  </c:pt>
                  <c:pt idx="6">
                    <c:v>F</c:v>
                  </c:pt>
                  <c:pt idx="7">
                    <c:v>G</c:v>
                  </c:pt>
                  <c:pt idx="8">
                    <c:v>H</c:v>
                  </c:pt>
                  <c:pt idx="10">
                    <c:v>A+</c:v>
                  </c:pt>
                  <c:pt idx="11">
                    <c:v>A</c:v>
                  </c:pt>
                  <c:pt idx="12">
                    <c:v>B</c:v>
                  </c:pt>
                  <c:pt idx="13">
                    <c:v>C</c:v>
                  </c:pt>
                  <c:pt idx="14">
                    <c:v>D</c:v>
                  </c:pt>
                  <c:pt idx="15">
                    <c:v>E</c:v>
                  </c:pt>
                  <c:pt idx="16">
                    <c:v>F</c:v>
                  </c:pt>
                  <c:pt idx="17">
                    <c:v>G</c:v>
                  </c:pt>
                  <c:pt idx="18">
                    <c:v>H</c:v>
                  </c:pt>
                </c:lvl>
                <c:lvl>
                  <c:pt idx="0">
                    <c:v>Top 7 markets</c:v>
                  </c:pt>
                  <c:pt idx="10">
                    <c:v>Secondary markets</c:v>
                  </c:pt>
                </c:lvl>
              </c:multiLvlStrCache>
            </c:multiLvlStrRef>
          </c:cat>
          <c:val>
            <c:numRef>
              <c:f>Tabelle2!$E$56:$W$56</c:f>
              <c:numCache>
                <c:formatCode>General</c:formatCode>
                <c:ptCount val="19"/>
                <c:pt idx="0">
                  <c:v>9.4049999999999994</c:v>
                </c:pt>
                <c:pt idx="1">
                  <c:v>9.7170000000000005</c:v>
                </c:pt>
                <c:pt idx="2">
                  <c:v>10.329000000000001</c:v>
                </c:pt>
                <c:pt idx="3">
                  <c:v>9.9090000000000007</c:v>
                </c:pt>
                <c:pt idx="4">
                  <c:v>9.2940000000000005</c:v>
                </c:pt>
                <c:pt idx="5">
                  <c:v>8.6769999999999996</c:v>
                </c:pt>
                <c:pt idx="6">
                  <c:v>8.4030000000000005</c:v>
                </c:pt>
                <c:pt idx="7">
                  <c:v>9.0020000000000007</c:v>
                </c:pt>
                <c:pt idx="8">
                  <c:v>10.388</c:v>
                </c:pt>
                <c:pt idx="10">
                  <c:v>9.4049999999999994</c:v>
                </c:pt>
                <c:pt idx="11">
                  <c:v>9.7170000000000005</c:v>
                </c:pt>
                <c:pt idx="12">
                  <c:v>10.329000000000001</c:v>
                </c:pt>
                <c:pt idx="13">
                  <c:v>9.9090000000000007</c:v>
                </c:pt>
                <c:pt idx="14">
                  <c:v>9.2940000000000005</c:v>
                </c:pt>
                <c:pt idx="15">
                  <c:v>8.6769999999999996</c:v>
                </c:pt>
                <c:pt idx="16">
                  <c:v>8.4030000000000005</c:v>
                </c:pt>
                <c:pt idx="17">
                  <c:v>9.0020000000000007</c:v>
                </c:pt>
                <c:pt idx="18">
                  <c:v>10.388</c:v>
                </c:pt>
              </c:numCache>
            </c:numRef>
          </c:val>
          <c:extLst>
            <c:ext xmlns:c16="http://schemas.microsoft.com/office/drawing/2014/chart" uri="{C3380CC4-5D6E-409C-BE32-E72D297353CC}">
              <c16:uniqueId val="{00000000-F79E-4275-9BAF-B4B690EFA16D}"/>
            </c:ext>
          </c:extLst>
        </c:ser>
        <c:dLbls>
          <c:showLegendKey val="0"/>
          <c:showVal val="0"/>
          <c:showCatName val="0"/>
          <c:showSerName val="0"/>
          <c:showPercent val="0"/>
          <c:showBubbleSize val="0"/>
        </c:dLbls>
        <c:axId val="372704000"/>
        <c:axId val="372705536"/>
      </c:areaChart>
      <c:lineChart>
        <c:grouping val="standard"/>
        <c:varyColors val="0"/>
        <c:ser>
          <c:idx val="1"/>
          <c:order val="1"/>
          <c:tx>
            <c:strRef>
              <c:f>Tabelle2!$D$46</c:f>
              <c:strCache>
                <c:ptCount val="1"/>
                <c:pt idx="0">
                  <c:v>All sample sector</c:v>
                </c:pt>
              </c:strCache>
            </c:strRef>
          </c:tx>
          <c:spPr>
            <a:ln>
              <a:solidFill>
                <a:schemeClr val="tx1"/>
              </a:solidFill>
              <a:prstDash val="sysDash"/>
            </a:ln>
          </c:spPr>
          <c:marker>
            <c:symbol val="none"/>
          </c:marker>
          <c:cat>
            <c:strRef>
              <c:f>Tabelle2!$E$44:$W$44</c:f>
              <c:strCache>
                <c:ptCount val="19"/>
                <c:pt idx="0">
                  <c:v>A+</c:v>
                </c:pt>
                <c:pt idx="1">
                  <c:v>A</c:v>
                </c:pt>
                <c:pt idx="2">
                  <c:v>B</c:v>
                </c:pt>
                <c:pt idx="3">
                  <c:v>C</c:v>
                </c:pt>
                <c:pt idx="4">
                  <c:v>D</c:v>
                </c:pt>
                <c:pt idx="5">
                  <c:v>E</c:v>
                </c:pt>
                <c:pt idx="6">
                  <c:v>F</c:v>
                </c:pt>
                <c:pt idx="7">
                  <c:v>G</c:v>
                </c:pt>
                <c:pt idx="8">
                  <c:v>H</c:v>
                </c:pt>
                <c:pt idx="10">
                  <c:v>A+</c:v>
                </c:pt>
                <c:pt idx="11">
                  <c:v>A</c:v>
                </c:pt>
                <c:pt idx="12">
                  <c:v>B</c:v>
                </c:pt>
                <c:pt idx="13">
                  <c:v>C</c:v>
                </c:pt>
                <c:pt idx="14">
                  <c:v>D</c:v>
                </c:pt>
                <c:pt idx="15">
                  <c:v>E</c:v>
                </c:pt>
                <c:pt idx="16">
                  <c:v>F</c:v>
                </c:pt>
                <c:pt idx="17">
                  <c:v>G</c:v>
                </c:pt>
                <c:pt idx="18">
                  <c:v>H</c:v>
                </c:pt>
              </c:strCache>
            </c:strRef>
          </c:cat>
          <c:val>
            <c:numRef>
              <c:f>Tabelle2!$E$57:$W$57</c:f>
              <c:numCache>
                <c:formatCode>General</c:formatCode>
                <c:ptCount val="19"/>
                <c:pt idx="0">
                  <c:v>7.7750000000000004</c:v>
                </c:pt>
                <c:pt idx="1">
                  <c:v>7.0890000000000004</c:v>
                </c:pt>
                <c:pt idx="2">
                  <c:v>6.335</c:v>
                </c:pt>
                <c:pt idx="3">
                  <c:v>5.6779999999999999</c:v>
                </c:pt>
                <c:pt idx="4">
                  <c:v>5.0259999999999998</c:v>
                </c:pt>
                <c:pt idx="5">
                  <c:v>5.9</c:v>
                </c:pt>
                <c:pt idx="6">
                  <c:v>5.3140000000000001</c:v>
                </c:pt>
                <c:pt idx="7">
                  <c:v>5.8049999999999997</c:v>
                </c:pt>
                <c:pt idx="8">
                  <c:v>5.8719999999999999</c:v>
                </c:pt>
              </c:numCache>
            </c:numRef>
          </c:val>
          <c:smooth val="0"/>
          <c:extLst>
            <c:ext xmlns:c16="http://schemas.microsoft.com/office/drawing/2014/chart" uri="{C3380CC4-5D6E-409C-BE32-E72D297353CC}">
              <c16:uniqueId val="{00000001-F79E-4275-9BAF-B4B690EFA16D}"/>
            </c:ext>
          </c:extLst>
        </c:ser>
        <c:ser>
          <c:idx val="2"/>
          <c:order val="2"/>
          <c:tx>
            <c:strRef>
              <c:f>Tabelle2!$D$47</c:f>
              <c:strCache>
                <c:ptCount val="1"/>
                <c:pt idx="0">
                  <c:v>Refurbished sample</c:v>
                </c:pt>
              </c:strCache>
            </c:strRef>
          </c:tx>
          <c:spPr>
            <a:ln>
              <a:solidFill>
                <a:schemeClr val="tx1"/>
              </a:solidFill>
            </a:ln>
          </c:spPr>
          <c:marker>
            <c:symbol val="none"/>
          </c:marker>
          <c:cat>
            <c:strRef>
              <c:f>Tabelle2!$E$44:$W$44</c:f>
              <c:strCache>
                <c:ptCount val="19"/>
                <c:pt idx="0">
                  <c:v>A+</c:v>
                </c:pt>
                <c:pt idx="1">
                  <c:v>A</c:v>
                </c:pt>
                <c:pt idx="2">
                  <c:v>B</c:v>
                </c:pt>
                <c:pt idx="3">
                  <c:v>C</c:v>
                </c:pt>
                <c:pt idx="4">
                  <c:v>D</c:v>
                </c:pt>
                <c:pt idx="5">
                  <c:v>E</c:v>
                </c:pt>
                <c:pt idx="6">
                  <c:v>F</c:v>
                </c:pt>
                <c:pt idx="7">
                  <c:v>G</c:v>
                </c:pt>
                <c:pt idx="8">
                  <c:v>H</c:v>
                </c:pt>
                <c:pt idx="10">
                  <c:v>A+</c:v>
                </c:pt>
                <c:pt idx="11">
                  <c:v>A</c:v>
                </c:pt>
                <c:pt idx="12">
                  <c:v>B</c:v>
                </c:pt>
                <c:pt idx="13">
                  <c:v>C</c:v>
                </c:pt>
                <c:pt idx="14">
                  <c:v>D</c:v>
                </c:pt>
                <c:pt idx="15">
                  <c:v>E</c:v>
                </c:pt>
                <c:pt idx="16">
                  <c:v>F</c:v>
                </c:pt>
                <c:pt idx="17">
                  <c:v>G</c:v>
                </c:pt>
                <c:pt idx="18">
                  <c:v>H</c:v>
                </c:pt>
              </c:strCache>
            </c:strRef>
          </c:cat>
          <c:val>
            <c:numRef>
              <c:f>Tabelle2!$E$58:$W$58</c:f>
              <c:numCache>
                <c:formatCode>General</c:formatCode>
                <c:ptCount val="19"/>
                <c:pt idx="0">
                  <c:v>10.287000000000001</c:v>
                </c:pt>
                <c:pt idx="1">
                  <c:v>9.5</c:v>
                </c:pt>
                <c:pt idx="2">
                  <c:v>8.3450000000000006</c:v>
                </c:pt>
                <c:pt idx="3">
                  <c:v>6.7969999999999997</c:v>
                </c:pt>
                <c:pt idx="4">
                  <c:v>5.734</c:v>
                </c:pt>
                <c:pt idx="5">
                  <c:v>7.7089999999999996</c:v>
                </c:pt>
                <c:pt idx="6">
                  <c:v>6.2060000000000004</c:v>
                </c:pt>
                <c:pt idx="7">
                  <c:v>6.4909999999999997</c:v>
                </c:pt>
                <c:pt idx="8">
                  <c:v>6.5149999999999997</c:v>
                </c:pt>
              </c:numCache>
            </c:numRef>
          </c:val>
          <c:smooth val="0"/>
          <c:extLst>
            <c:ext xmlns:c16="http://schemas.microsoft.com/office/drawing/2014/chart" uri="{C3380CC4-5D6E-409C-BE32-E72D297353CC}">
              <c16:uniqueId val="{00000002-F79E-4275-9BAF-B4B690EFA16D}"/>
            </c:ext>
          </c:extLst>
        </c:ser>
        <c:ser>
          <c:idx val="3"/>
          <c:order val="3"/>
          <c:tx>
            <c:strRef>
              <c:f>Tabelle2!$D$48</c:f>
              <c:strCache>
                <c:ptCount val="1"/>
                <c:pt idx="0">
                  <c:v>Non-refurbished sample</c:v>
                </c:pt>
              </c:strCache>
            </c:strRef>
          </c:tx>
          <c:spPr>
            <a:ln>
              <a:solidFill>
                <a:schemeClr val="tx1"/>
              </a:solidFill>
              <a:prstDash val="sysDot"/>
            </a:ln>
          </c:spPr>
          <c:marker>
            <c:symbol val="none"/>
          </c:marker>
          <c:cat>
            <c:strRef>
              <c:f>Tabelle2!$E$44:$W$44</c:f>
              <c:strCache>
                <c:ptCount val="19"/>
                <c:pt idx="0">
                  <c:v>A+</c:v>
                </c:pt>
                <c:pt idx="1">
                  <c:v>A</c:v>
                </c:pt>
                <c:pt idx="2">
                  <c:v>B</c:v>
                </c:pt>
                <c:pt idx="3">
                  <c:v>C</c:v>
                </c:pt>
                <c:pt idx="4">
                  <c:v>D</c:v>
                </c:pt>
                <c:pt idx="5">
                  <c:v>E</c:v>
                </c:pt>
                <c:pt idx="6">
                  <c:v>F</c:v>
                </c:pt>
                <c:pt idx="7">
                  <c:v>G</c:v>
                </c:pt>
                <c:pt idx="8">
                  <c:v>H</c:v>
                </c:pt>
                <c:pt idx="10">
                  <c:v>A+</c:v>
                </c:pt>
                <c:pt idx="11">
                  <c:v>A</c:v>
                </c:pt>
                <c:pt idx="12">
                  <c:v>B</c:v>
                </c:pt>
                <c:pt idx="13">
                  <c:v>C</c:v>
                </c:pt>
                <c:pt idx="14">
                  <c:v>D</c:v>
                </c:pt>
                <c:pt idx="15">
                  <c:v>E</c:v>
                </c:pt>
                <c:pt idx="16">
                  <c:v>F</c:v>
                </c:pt>
                <c:pt idx="17">
                  <c:v>G</c:v>
                </c:pt>
                <c:pt idx="18">
                  <c:v>H</c:v>
                </c:pt>
              </c:strCache>
            </c:strRef>
          </c:cat>
          <c:val>
            <c:numRef>
              <c:f>Tabelle2!$E$59:$W$59</c:f>
              <c:numCache>
                <c:formatCode>General</c:formatCode>
                <c:ptCount val="19"/>
                <c:pt idx="0">
                  <c:v>5.5350000000000001</c:v>
                </c:pt>
                <c:pt idx="1">
                  <c:v>5.1059999999999999</c:v>
                </c:pt>
                <c:pt idx="2">
                  <c:v>5.53</c:v>
                </c:pt>
                <c:pt idx="3">
                  <c:v>5.3</c:v>
                </c:pt>
                <c:pt idx="4">
                  <c:v>4.7039999999999997</c:v>
                </c:pt>
                <c:pt idx="5">
                  <c:v>5.0069999999999997</c:v>
                </c:pt>
                <c:pt idx="6">
                  <c:v>4.827</c:v>
                </c:pt>
                <c:pt idx="7">
                  <c:v>5.4429999999999996</c:v>
                </c:pt>
                <c:pt idx="8">
                  <c:v>5.4619999999999997</c:v>
                </c:pt>
              </c:numCache>
            </c:numRef>
          </c:val>
          <c:smooth val="0"/>
          <c:extLst>
            <c:ext xmlns:c16="http://schemas.microsoft.com/office/drawing/2014/chart" uri="{C3380CC4-5D6E-409C-BE32-E72D297353CC}">
              <c16:uniqueId val="{00000003-F79E-4275-9BAF-B4B690EFA16D}"/>
            </c:ext>
          </c:extLst>
        </c:ser>
        <c:ser>
          <c:idx val="4"/>
          <c:order val="4"/>
          <c:tx>
            <c:strRef>
              <c:f>Tabelle2!$D$49</c:f>
              <c:strCache>
                <c:ptCount val="1"/>
                <c:pt idx="0">
                  <c:v>All sample sector</c:v>
                </c:pt>
              </c:strCache>
            </c:strRef>
          </c:tx>
          <c:spPr>
            <a:ln>
              <a:solidFill>
                <a:schemeClr val="tx1"/>
              </a:solidFill>
            </a:ln>
          </c:spPr>
          <c:marker>
            <c:symbol val="none"/>
          </c:marker>
          <c:cat>
            <c:strRef>
              <c:f>Tabelle2!$E$44:$W$44</c:f>
              <c:strCache>
                <c:ptCount val="19"/>
                <c:pt idx="0">
                  <c:v>A+</c:v>
                </c:pt>
                <c:pt idx="1">
                  <c:v>A</c:v>
                </c:pt>
                <c:pt idx="2">
                  <c:v>B</c:v>
                </c:pt>
                <c:pt idx="3">
                  <c:v>C</c:v>
                </c:pt>
                <c:pt idx="4">
                  <c:v>D</c:v>
                </c:pt>
                <c:pt idx="5">
                  <c:v>E</c:v>
                </c:pt>
                <c:pt idx="6">
                  <c:v>F</c:v>
                </c:pt>
                <c:pt idx="7">
                  <c:v>G</c:v>
                </c:pt>
                <c:pt idx="8">
                  <c:v>H</c:v>
                </c:pt>
                <c:pt idx="10">
                  <c:v>A+</c:v>
                </c:pt>
                <c:pt idx="11">
                  <c:v>A</c:v>
                </c:pt>
                <c:pt idx="12">
                  <c:v>B</c:v>
                </c:pt>
                <c:pt idx="13">
                  <c:v>C</c:v>
                </c:pt>
                <c:pt idx="14">
                  <c:v>D</c:v>
                </c:pt>
                <c:pt idx="15">
                  <c:v>E</c:v>
                </c:pt>
                <c:pt idx="16">
                  <c:v>F</c:v>
                </c:pt>
                <c:pt idx="17">
                  <c:v>G</c:v>
                </c:pt>
                <c:pt idx="18">
                  <c:v>H</c:v>
                </c:pt>
              </c:strCache>
            </c:strRef>
          </c:cat>
          <c:val>
            <c:numRef>
              <c:f>Tabelle2!$E$60:$W$60</c:f>
              <c:numCache>
                <c:formatCode>General</c:formatCode>
                <c:ptCount val="19"/>
                <c:pt idx="10">
                  <c:v>9.7490000000000006</c:v>
                </c:pt>
                <c:pt idx="11">
                  <c:v>10.175000000000001</c:v>
                </c:pt>
                <c:pt idx="12">
                  <c:v>10.946999999999999</c:v>
                </c:pt>
                <c:pt idx="13">
                  <c:v>10.692</c:v>
                </c:pt>
                <c:pt idx="14">
                  <c:v>10.185</c:v>
                </c:pt>
                <c:pt idx="15">
                  <c:v>9.3930000000000007</c:v>
                </c:pt>
                <c:pt idx="16">
                  <c:v>9.2490000000000006</c:v>
                </c:pt>
                <c:pt idx="17">
                  <c:v>9.9380000000000006</c:v>
                </c:pt>
                <c:pt idx="18">
                  <c:v>11.62</c:v>
                </c:pt>
              </c:numCache>
            </c:numRef>
          </c:val>
          <c:smooth val="0"/>
          <c:extLst>
            <c:ext xmlns:c16="http://schemas.microsoft.com/office/drawing/2014/chart" uri="{C3380CC4-5D6E-409C-BE32-E72D297353CC}">
              <c16:uniqueId val="{00000004-F79E-4275-9BAF-B4B690EFA16D}"/>
            </c:ext>
          </c:extLst>
        </c:ser>
        <c:ser>
          <c:idx val="5"/>
          <c:order val="5"/>
          <c:tx>
            <c:strRef>
              <c:f>Tabelle2!$D$50</c:f>
              <c:strCache>
                <c:ptCount val="1"/>
                <c:pt idx="0">
                  <c:v>Refurbished</c:v>
                </c:pt>
              </c:strCache>
            </c:strRef>
          </c:tx>
          <c:spPr>
            <a:ln>
              <a:solidFill>
                <a:schemeClr val="tx1"/>
              </a:solidFill>
              <a:prstDash val="sysDot"/>
            </a:ln>
          </c:spPr>
          <c:marker>
            <c:symbol val="none"/>
          </c:marker>
          <c:cat>
            <c:strRef>
              <c:f>Tabelle2!$E$44:$W$44</c:f>
              <c:strCache>
                <c:ptCount val="19"/>
                <c:pt idx="0">
                  <c:v>A+</c:v>
                </c:pt>
                <c:pt idx="1">
                  <c:v>A</c:v>
                </c:pt>
                <c:pt idx="2">
                  <c:v>B</c:v>
                </c:pt>
                <c:pt idx="3">
                  <c:v>C</c:v>
                </c:pt>
                <c:pt idx="4">
                  <c:v>D</c:v>
                </c:pt>
                <c:pt idx="5">
                  <c:v>E</c:v>
                </c:pt>
                <c:pt idx="6">
                  <c:v>F</c:v>
                </c:pt>
                <c:pt idx="7">
                  <c:v>G</c:v>
                </c:pt>
                <c:pt idx="8">
                  <c:v>H</c:v>
                </c:pt>
                <c:pt idx="10">
                  <c:v>A+</c:v>
                </c:pt>
                <c:pt idx="11">
                  <c:v>A</c:v>
                </c:pt>
                <c:pt idx="12">
                  <c:v>B</c:v>
                </c:pt>
                <c:pt idx="13">
                  <c:v>C</c:v>
                </c:pt>
                <c:pt idx="14">
                  <c:v>D</c:v>
                </c:pt>
                <c:pt idx="15">
                  <c:v>E</c:v>
                </c:pt>
                <c:pt idx="16">
                  <c:v>F</c:v>
                </c:pt>
                <c:pt idx="17">
                  <c:v>G</c:v>
                </c:pt>
                <c:pt idx="18">
                  <c:v>H</c:v>
                </c:pt>
              </c:strCache>
            </c:strRef>
          </c:cat>
          <c:val>
            <c:numRef>
              <c:f>Tabelle2!$E$61:$W$61</c:f>
              <c:numCache>
                <c:formatCode>General</c:formatCode>
                <c:ptCount val="19"/>
                <c:pt idx="10">
                  <c:v>11.693</c:v>
                </c:pt>
                <c:pt idx="11">
                  <c:v>11.711</c:v>
                </c:pt>
                <c:pt idx="12">
                  <c:v>13.776</c:v>
                </c:pt>
                <c:pt idx="13">
                  <c:v>12.933</c:v>
                </c:pt>
                <c:pt idx="14">
                  <c:v>11.965</c:v>
                </c:pt>
                <c:pt idx="15">
                  <c:v>10.62</c:v>
                </c:pt>
                <c:pt idx="16">
                  <c:v>10.47</c:v>
                </c:pt>
                <c:pt idx="17">
                  <c:v>12.047000000000001</c:v>
                </c:pt>
                <c:pt idx="18">
                  <c:v>13.846</c:v>
                </c:pt>
              </c:numCache>
            </c:numRef>
          </c:val>
          <c:smooth val="0"/>
          <c:extLst>
            <c:ext xmlns:c16="http://schemas.microsoft.com/office/drawing/2014/chart" uri="{C3380CC4-5D6E-409C-BE32-E72D297353CC}">
              <c16:uniqueId val="{00000005-F79E-4275-9BAF-B4B690EFA16D}"/>
            </c:ext>
          </c:extLst>
        </c:ser>
        <c:ser>
          <c:idx val="6"/>
          <c:order val="6"/>
          <c:tx>
            <c:strRef>
              <c:f>Tabelle2!$D$51</c:f>
              <c:strCache>
                <c:ptCount val="1"/>
                <c:pt idx="0">
                  <c:v>Non-refurbished</c:v>
                </c:pt>
              </c:strCache>
            </c:strRef>
          </c:tx>
          <c:spPr>
            <a:ln>
              <a:solidFill>
                <a:schemeClr val="tx1"/>
              </a:solidFill>
              <a:prstDash val="dash"/>
            </a:ln>
          </c:spPr>
          <c:marker>
            <c:symbol val="none"/>
          </c:marker>
          <c:cat>
            <c:strRef>
              <c:f>Tabelle2!$E$44:$W$44</c:f>
              <c:strCache>
                <c:ptCount val="19"/>
                <c:pt idx="0">
                  <c:v>A+</c:v>
                </c:pt>
                <c:pt idx="1">
                  <c:v>A</c:v>
                </c:pt>
                <c:pt idx="2">
                  <c:v>B</c:v>
                </c:pt>
                <c:pt idx="3">
                  <c:v>C</c:v>
                </c:pt>
                <c:pt idx="4">
                  <c:v>D</c:v>
                </c:pt>
                <c:pt idx="5">
                  <c:v>E</c:v>
                </c:pt>
                <c:pt idx="6">
                  <c:v>F</c:v>
                </c:pt>
                <c:pt idx="7">
                  <c:v>G</c:v>
                </c:pt>
                <c:pt idx="8">
                  <c:v>H</c:v>
                </c:pt>
                <c:pt idx="10">
                  <c:v>A+</c:v>
                </c:pt>
                <c:pt idx="11">
                  <c:v>A</c:v>
                </c:pt>
                <c:pt idx="12">
                  <c:v>B</c:v>
                </c:pt>
                <c:pt idx="13">
                  <c:v>C</c:v>
                </c:pt>
                <c:pt idx="14">
                  <c:v>D</c:v>
                </c:pt>
                <c:pt idx="15">
                  <c:v>E</c:v>
                </c:pt>
                <c:pt idx="16">
                  <c:v>F</c:v>
                </c:pt>
                <c:pt idx="17">
                  <c:v>G</c:v>
                </c:pt>
                <c:pt idx="18">
                  <c:v>H</c:v>
                </c:pt>
              </c:strCache>
            </c:strRef>
          </c:cat>
          <c:val>
            <c:numRef>
              <c:f>Tabelle2!$E$62:$W$62</c:f>
              <c:numCache>
                <c:formatCode>General</c:formatCode>
                <c:ptCount val="19"/>
                <c:pt idx="10">
                  <c:v>8.0739999999999998</c:v>
                </c:pt>
                <c:pt idx="11">
                  <c:v>9.3699999999999992</c:v>
                </c:pt>
                <c:pt idx="12">
                  <c:v>10.087999999999999</c:v>
                </c:pt>
                <c:pt idx="13">
                  <c:v>10.103999999999999</c:v>
                </c:pt>
                <c:pt idx="14">
                  <c:v>9.6519999999999992</c:v>
                </c:pt>
                <c:pt idx="15">
                  <c:v>9.0030000000000001</c:v>
                </c:pt>
                <c:pt idx="16">
                  <c:v>8.8559999999999999</c:v>
                </c:pt>
                <c:pt idx="17">
                  <c:v>9.2859999999999996</c:v>
                </c:pt>
                <c:pt idx="18">
                  <c:v>10.906000000000001</c:v>
                </c:pt>
              </c:numCache>
            </c:numRef>
          </c:val>
          <c:smooth val="0"/>
          <c:extLst>
            <c:ext xmlns:c16="http://schemas.microsoft.com/office/drawing/2014/chart" uri="{C3380CC4-5D6E-409C-BE32-E72D297353CC}">
              <c16:uniqueId val="{00000006-F79E-4275-9BAF-B4B690EFA16D}"/>
            </c:ext>
          </c:extLst>
        </c:ser>
        <c:dLbls>
          <c:showLegendKey val="0"/>
          <c:showVal val="0"/>
          <c:showCatName val="0"/>
          <c:showSerName val="0"/>
          <c:showPercent val="0"/>
          <c:showBubbleSize val="0"/>
        </c:dLbls>
        <c:marker val="1"/>
        <c:smooth val="0"/>
        <c:axId val="372704000"/>
        <c:axId val="372705536"/>
      </c:lineChart>
      <c:catAx>
        <c:axId val="372704000"/>
        <c:scaling>
          <c:orientation val="minMax"/>
        </c:scaling>
        <c:delete val="0"/>
        <c:axPos val="b"/>
        <c:numFmt formatCode="General" sourceLinked="0"/>
        <c:majorTickMark val="out"/>
        <c:minorTickMark val="none"/>
        <c:tickLblPos val="nextTo"/>
        <c:crossAx val="372705536"/>
        <c:crosses val="autoZero"/>
        <c:auto val="1"/>
        <c:lblAlgn val="ctr"/>
        <c:lblOffset val="100"/>
        <c:noMultiLvlLbl val="0"/>
      </c:catAx>
      <c:valAx>
        <c:axId val="372705536"/>
        <c:scaling>
          <c:orientation val="minMax"/>
          <c:max val="14"/>
          <c:min val="4"/>
        </c:scaling>
        <c:delete val="0"/>
        <c:axPos val="l"/>
        <c:majorGridlines>
          <c:spPr>
            <a:ln>
              <a:prstDash val="dash"/>
            </a:ln>
          </c:spPr>
        </c:majorGridlines>
        <c:numFmt formatCode="General" sourceLinked="1"/>
        <c:majorTickMark val="out"/>
        <c:minorTickMark val="none"/>
        <c:tickLblPos val="nextTo"/>
        <c:spPr>
          <a:ln>
            <a:noFill/>
          </a:ln>
        </c:spPr>
        <c:crossAx val="372704000"/>
        <c:crosses val="autoZero"/>
        <c:crossBetween val="between"/>
      </c:valAx>
    </c:plotArea>
    <c:legend>
      <c:legendPos val="t"/>
      <c:legendEntry>
        <c:idx val="4"/>
        <c:delete val="1"/>
      </c:legendEntry>
      <c:legendEntry>
        <c:idx val="5"/>
        <c:delete val="1"/>
      </c:legendEntry>
      <c:legendEntry>
        <c:idx val="6"/>
        <c:delete val="1"/>
      </c:legendEntry>
      <c:layout>
        <c:manualLayout>
          <c:xMode val="edge"/>
          <c:yMode val="edge"/>
          <c:x val="3.8179373679656327E-2"/>
          <c:y val="2.0253169940043173E-2"/>
          <c:w val="0.50916775927376889"/>
          <c:h val="0.17318400563048755"/>
        </c:manualLayout>
      </c:layout>
      <c:overlay val="0"/>
    </c:legend>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272215101430083E-2"/>
          <c:y val="0.24903699558312434"/>
          <c:w val="0.89179261722697023"/>
          <c:h val="0.73219153418784955"/>
        </c:manualLayout>
      </c:layout>
      <c:lineChart>
        <c:grouping val="standard"/>
        <c:varyColors val="0"/>
        <c:ser>
          <c:idx val="0"/>
          <c:order val="0"/>
          <c:tx>
            <c:strRef>
              <c:f>Tabelle2!$D$77</c:f>
              <c:strCache>
                <c:ptCount val="1"/>
                <c:pt idx="0">
                  <c:v>Germany</c:v>
                </c:pt>
              </c:strCache>
            </c:strRef>
          </c:tx>
          <c:spPr>
            <a:ln w="19050">
              <a:solidFill>
                <a:schemeClr val="tx1"/>
              </a:solidFill>
            </a:ln>
          </c:spPr>
          <c:marker>
            <c:symbol val="none"/>
          </c:marker>
          <c:dPt>
            <c:idx val="4"/>
            <c:marker>
              <c:symbol val="square"/>
              <c:size val="5"/>
              <c:spPr>
                <a:solidFill>
                  <a:schemeClr val="bg1"/>
                </a:solidFill>
                <a:ln>
                  <a:solidFill>
                    <a:schemeClr val="tx1"/>
                  </a:solidFill>
                </a:ln>
              </c:spPr>
            </c:marker>
            <c:bubble3D val="0"/>
            <c:extLst>
              <c:ext xmlns:c16="http://schemas.microsoft.com/office/drawing/2014/chart" uri="{C3380CC4-5D6E-409C-BE32-E72D297353CC}">
                <c16:uniqueId val="{00000000-E34B-4985-B660-2031AC002F07}"/>
              </c:ext>
            </c:extLst>
          </c:dPt>
          <c:errBars>
            <c:errDir val="y"/>
            <c:errBarType val="both"/>
            <c:errValType val="cust"/>
            <c:noEndCap val="0"/>
            <c:plus>
              <c:numRef>
                <c:f>Tabelle2!$H$78:$H$104</c:f>
                <c:numCache>
                  <c:formatCode>General</c:formatCode>
                  <c:ptCount val="27"/>
                  <c:pt idx="0">
                    <c:v>3.107E-3</c:v>
                  </c:pt>
                  <c:pt idx="1">
                    <c:v>1.823E-3</c:v>
                  </c:pt>
                  <c:pt idx="2">
                    <c:v>7.7510000000000003E-4</c:v>
                  </c:pt>
                  <c:pt idx="3">
                    <c:v>5.6010000000000001E-4</c:v>
                  </c:pt>
                  <c:pt idx="4">
                    <c:v>0</c:v>
                  </c:pt>
                  <c:pt idx="5">
                    <c:v>5.3660000000000003E-4</c:v>
                  </c:pt>
                  <c:pt idx="6">
                    <c:v>6.2779999999999997E-4</c:v>
                  </c:pt>
                  <c:pt idx="7">
                    <c:v>9.4399999999999996E-4</c:v>
                  </c:pt>
                  <c:pt idx="8">
                    <c:v>1.5349999999999999E-3</c:v>
                  </c:pt>
                </c:numCache>
              </c:numRef>
            </c:plus>
            <c:minus>
              <c:numRef>
                <c:f>Tabelle2!$H$78:$H$104</c:f>
                <c:numCache>
                  <c:formatCode>General</c:formatCode>
                  <c:ptCount val="27"/>
                  <c:pt idx="0">
                    <c:v>3.107E-3</c:v>
                  </c:pt>
                  <c:pt idx="1">
                    <c:v>1.823E-3</c:v>
                  </c:pt>
                  <c:pt idx="2">
                    <c:v>7.7510000000000003E-4</c:v>
                  </c:pt>
                  <c:pt idx="3">
                    <c:v>5.6010000000000001E-4</c:v>
                  </c:pt>
                  <c:pt idx="4">
                    <c:v>0</c:v>
                  </c:pt>
                  <c:pt idx="5">
                    <c:v>5.3660000000000003E-4</c:v>
                  </c:pt>
                  <c:pt idx="6">
                    <c:v>6.2779999999999997E-4</c:v>
                  </c:pt>
                  <c:pt idx="7">
                    <c:v>9.4399999999999996E-4</c:v>
                  </c:pt>
                  <c:pt idx="8">
                    <c:v>1.5349999999999999E-3</c:v>
                  </c:pt>
                </c:numCache>
              </c:numRef>
            </c:minus>
            <c:spPr>
              <a:ln w="28575"/>
            </c:spPr>
          </c:errBars>
          <c:cat>
            <c:multiLvlStrRef>
              <c:f>Tabelle2!$B$78:$C$104</c:f>
              <c:multiLvlStrCache>
                <c:ptCount val="27"/>
                <c:lvl>
                  <c:pt idx="0">
                    <c:v>EPC - A+</c:v>
                  </c:pt>
                  <c:pt idx="1">
                    <c:v>EPC - A </c:v>
                  </c:pt>
                  <c:pt idx="2">
                    <c:v>EPC - B </c:v>
                  </c:pt>
                  <c:pt idx="3">
                    <c:v>EPC - C </c:v>
                  </c:pt>
                  <c:pt idx="4">
                    <c:v>Ref: D</c:v>
                  </c:pt>
                  <c:pt idx="5">
                    <c:v>EPC - E </c:v>
                  </c:pt>
                  <c:pt idx="6">
                    <c:v>EPC - F </c:v>
                  </c:pt>
                  <c:pt idx="7">
                    <c:v>EPC - G </c:v>
                  </c:pt>
                  <c:pt idx="8">
                    <c:v>EPC - H </c:v>
                  </c:pt>
                  <c:pt idx="9">
                    <c:v>EPC - A+</c:v>
                  </c:pt>
                  <c:pt idx="10">
                    <c:v>EPC - A </c:v>
                  </c:pt>
                  <c:pt idx="11">
                    <c:v>EPC - B </c:v>
                  </c:pt>
                  <c:pt idx="12">
                    <c:v>EPC - C </c:v>
                  </c:pt>
                  <c:pt idx="13">
                    <c:v>Ref: D</c:v>
                  </c:pt>
                  <c:pt idx="14">
                    <c:v>EPC - E </c:v>
                  </c:pt>
                  <c:pt idx="15">
                    <c:v>EPC - F </c:v>
                  </c:pt>
                  <c:pt idx="16">
                    <c:v>EPC - G </c:v>
                  </c:pt>
                  <c:pt idx="17">
                    <c:v>EPC - H </c:v>
                  </c:pt>
                  <c:pt idx="18">
                    <c:v>EPC - A+</c:v>
                  </c:pt>
                  <c:pt idx="19">
                    <c:v>EPC - A </c:v>
                  </c:pt>
                  <c:pt idx="20">
                    <c:v>EPC - B </c:v>
                  </c:pt>
                  <c:pt idx="21">
                    <c:v>EPC - C </c:v>
                  </c:pt>
                  <c:pt idx="22">
                    <c:v>Ref: D</c:v>
                  </c:pt>
                  <c:pt idx="23">
                    <c:v>EPC - E </c:v>
                  </c:pt>
                  <c:pt idx="24">
                    <c:v>EPC - F </c:v>
                  </c:pt>
                  <c:pt idx="25">
                    <c:v>EPC - G </c:v>
                  </c:pt>
                  <c:pt idx="26">
                    <c:v>EPC - H </c:v>
                  </c:pt>
                </c:lvl>
                <c:lvl>
                  <c:pt idx="0">
                    <c:v>Germany</c:v>
                  </c:pt>
                  <c:pt idx="9">
                    <c:v>Top 7 markets</c:v>
                  </c:pt>
                  <c:pt idx="18">
                    <c:v>Secondary markets</c:v>
                  </c:pt>
                </c:lvl>
              </c:multiLvlStrCache>
            </c:multiLvlStrRef>
          </c:cat>
          <c:val>
            <c:numRef>
              <c:f>Tabelle2!$D$78:$D$104</c:f>
              <c:numCache>
                <c:formatCode>0.0%</c:formatCode>
                <c:ptCount val="27"/>
                <c:pt idx="0">
                  <c:v>8.9999999999999993E-3</c:v>
                </c:pt>
                <c:pt idx="1">
                  <c:v>1.4E-2</c:v>
                </c:pt>
                <c:pt idx="2">
                  <c:v>8.9999999999999993E-3</c:v>
                </c:pt>
                <c:pt idx="3">
                  <c:v>2E-3</c:v>
                </c:pt>
                <c:pt idx="4">
                  <c:v>0</c:v>
                </c:pt>
                <c:pt idx="5">
                  <c:v>0</c:v>
                </c:pt>
                <c:pt idx="6">
                  <c:v>-1E-3</c:v>
                </c:pt>
                <c:pt idx="7">
                  <c:v>-3.0000000000000001E-3</c:v>
                </c:pt>
                <c:pt idx="8">
                  <c:v>-5.0000000000000001E-3</c:v>
                </c:pt>
              </c:numCache>
            </c:numRef>
          </c:val>
          <c:smooth val="0"/>
          <c:extLst>
            <c:ext xmlns:c16="http://schemas.microsoft.com/office/drawing/2014/chart" uri="{C3380CC4-5D6E-409C-BE32-E72D297353CC}">
              <c16:uniqueId val="{00000001-E34B-4985-B660-2031AC002F07}"/>
            </c:ext>
          </c:extLst>
        </c:ser>
        <c:ser>
          <c:idx val="1"/>
          <c:order val="1"/>
          <c:tx>
            <c:strRef>
              <c:f>Tabelle2!$E$77</c:f>
              <c:strCache>
                <c:ptCount val="1"/>
                <c:pt idx="0">
                  <c:v>Top 7 Markets</c:v>
                </c:pt>
              </c:strCache>
            </c:strRef>
          </c:tx>
          <c:spPr>
            <a:ln w="19050">
              <a:solidFill>
                <a:srgbClr val="C00000"/>
              </a:solidFill>
            </a:ln>
          </c:spPr>
          <c:marker>
            <c:symbol val="none"/>
          </c:marker>
          <c:dPt>
            <c:idx val="13"/>
            <c:marker>
              <c:symbol val="square"/>
              <c:size val="5"/>
              <c:spPr>
                <a:solidFill>
                  <a:schemeClr val="bg1"/>
                </a:solidFill>
                <a:ln>
                  <a:solidFill>
                    <a:schemeClr val="tx1"/>
                  </a:solidFill>
                </a:ln>
              </c:spPr>
            </c:marker>
            <c:bubble3D val="0"/>
            <c:extLst>
              <c:ext xmlns:c16="http://schemas.microsoft.com/office/drawing/2014/chart" uri="{C3380CC4-5D6E-409C-BE32-E72D297353CC}">
                <c16:uniqueId val="{00000002-E34B-4985-B660-2031AC002F07}"/>
              </c:ext>
            </c:extLst>
          </c:dPt>
          <c:errBars>
            <c:errDir val="y"/>
            <c:errBarType val="both"/>
            <c:errValType val="cust"/>
            <c:noEndCap val="0"/>
            <c:plus>
              <c:numRef>
                <c:f>Tabelle2!$I$78:$I$104</c:f>
                <c:numCache>
                  <c:formatCode>General</c:formatCode>
                  <c:ptCount val="27"/>
                  <c:pt idx="9">
                    <c:v>6.7388999999999999E-3</c:v>
                  </c:pt>
                  <c:pt idx="10">
                    <c:v>4.3593E-3</c:v>
                  </c:pt>
                  <c:pt idx="11">
                    <c:v>1.9067000000000001E-3</c:v>
                  </c:pt>
                  <c:pt idx="12">
                    <c:v>1.2768E-3</c:v>
                  </c:pt>
                  <c:pt idx="13">
                    <c:v>0</c:v>
                  </c:pt>
                  <c:pt idx="14">
                    <c:v>1.1172000000000001E-3</c:v>
                  </c:pt>
                  <c:pt idx="15">
                    <c:v>1.2727000000000001E-3</c:v>
                  </c:pt>
                  <c:pt idx="16">
                    <c:v>1.8393000000000001E-3</c:v>
                  </c:pt>
                  <c:pt idx="17">
                    <c:v>3.0355E-3</c:v>
                  </c:pt>
                </c:numCache>
              </c:numRef>
            </c:plus>
            <c:minus>
              <c:numRef>
                <c:f>Tabelle2!$I$78:$I$104</c:f>
                <c:numCache>
                  <c:formatCode>General</c:formatCode>
                  <c:ptCount val="27"/>
                  <c:pt idx="9">
                    <c:v>6.7388999999999999E-3</c:v>
                  </c:pt>
                  <c:pt idx="10">
                    <c:v>4.3593E-3</c:v>
                  </c:pt>
                  <c:pt idx="11">
                    <c:v>1.9067000000000001E-3</c:v>
                  </c:pt>
                  <c:pt idx="12">
                    <c:v>1.2768E-3</c:v>
                  </c:pt>
                  <c:pt idx="13">
                    <c:v>0</c:v>
                  </c:pt>
                  <c:pt idx="14">
                    <c:v>1.1172000000000001E-3</c:v>
                  </c:pt>
                  <c:pt idx="15">
                    <c:v>1.2727000000000001E-3</c:v>
                  </c:pt>
                  <c:pt idx="16">
                    <c:v>1.8393000000000001E-3</c:v>
                  </c:pt>
                  <c:pt idx="17">
                    <c:v>3.0355E-3</c:v>
                  </c:pt>
                </c:numCache>
              </c:numRef>
            </c:minus>
            <c:spPr>
              <a:ln w="28575">
                <a:solidFill>
                  <a:srgbClr val="C00000"/>
                </a:solidFill>
              </a:ln>
            </c:spPr>
          </c:errBars>
          <c:cat>
            <c:multiLvlStrRef>
              <c:f>Tabelle2!$B$78:$C$104</c:f>
              <c:multiLvlStrCache>
                <c:ptCount val="27"/>
                <c:lvl>
                  <c:pt idx="0">
                    <c:v>EPC - A+</c:v>
                  </c:pt>
                  <c:pt idx="1">
                    <c:v>EPC - A </c:v>
                  </c:pt>
                  <c:pt idx="2">
                    <c:v>EPC - B </c:v>
                  </c:pt>
                  <c:pt idx="3">
                    <c:v>EPC - C </c:v>
                  </c:pt>
                  <c:pt idx="4">
                    <c:v>Ref: D</c:v>
                  </c:pt>
                  <c:pt idx="5">
                    <c:v>EPC - E </c:v>
                  </c:pt>
                  <c:pt idx="6">
                    <c:v>EPC - F </c:v>
                  </c:pt>
                  <c:pt idx="7">
                    <c:v>EPC - G </c:v>
                  </c:pt>
                  <c:pt idx="8">
                    <c:v>EPC - H </c:v>
                  </c:pt>
                  <c:pt idx="9">
                    <c:v>EPC - A+</c:v>
                  </c:pt>
                  <c:pt idx="10">
                    <c:v>EPC - A </c:v>
                  </c:pt>
                  <c:pt idx="11">
                    <c:v>EPC - B </c:v>
                  </c:pt>
                  <c:pt idx="12">
                    <c:v>EPC - C </c:v>
                  </c:pt>
                  <c:pt idx="13">
                    <c:v>Ref: D</c:v>
                  </c:pt>
                  <c:pt idx="14">
                    <c:v>EPC - E </c:v>
                  </c:pt>
                  <c:pt idx="15">
                    <c:v>EPC - F </c:v>
                  </c:pt>
                  <c:pt idx="16">
                    <c:v>EPC - G </c:v>
                  </c:pt>
                  <c:pt idx="17">
                    <c:v>EPC - H </c:v>
                  </c:pt>
                  <c:pt idx="18">
                    <c:v>EPC - A+</c:v>
                  </c:pt>
                  <c:pt idx="19">
                    <c:v>EPC - A </c:v>
                  </c:pt>
                  <c:pt idx="20">
                    <c:v>EPC - B </c:v>
                  </c:pt>
                  <c:pt idx="21">
                    <c:v>EPC - C </c:v>
                  </c:pt>
                  <c:pt idx="22">
                    <c:v>Ref: D</c:v>
                  </c:pt>
                  <c:pt idx="23">
                    <c:v>EPC - E </c:v>
                  </c:pt>
                  <c:pt idx="24">
                    <c:v>EPC - F </c:v>
                  </c:pt>
                  <c:pt idx="25">
                    <c:v>EPC - G </c:v>
                  </c:pt>
                  <c:pt idx="26">
                    <c:v>EPC - H </c:v>
                  </c:pt>
                </c:lvl>
                <c:lvl>
                  <c:pt idx="0">
                    <c:v>Germany</c:v>
                  </c:pt>
                  <c:pt idx="9">
                    <c:v>Top 7 markets</c:v>
                  </c:pt>
                  <c:pt idx="18">
                    <c:v>Secondary markets</c:v>
                  </c:pt>
                </c:lvl>
              </c:multiLvlStrCache>
            </c:multiLvlStrRef>
          </c:cat>
          <c:val>
            <c:numRef>
              <c:f>Tabelle2!$E$78:$E$104</c:f>
              <c:numCache>
                <c:formatCode>General</c:formatCode>
                <c:ptCount val="27"/>
                <c:pt idx="9" formatCode="0.0%">
                  <c:v>1.7000000000000001E-2</c:v>
                </c:pt>
                <c:pt idx="10" formatCode="0.0%">
                  <c:v>0</c:v>
                </c:pt>
                <c:pt idx="11" formatCode="0.0%">
                  <c:v>5.0000000000000001E-3</c:v>
                </c:pt>
                <c:pt idx="12" formatCode="0.0%">
                  <c:v>4.0000000000000001E-3</c:v>
                </c:pt>
                <c:pt idx="13" formatCode="0.0%">
                  <c:v>0</c:v>
                </c:pt>
                <c:pt idx="14" formatCode="0.0%">
                  <c:v>1E-3</c:v>
                </c:pt>
                <c:pt idx="15" formatCode="0.0%">
                  <c:v>-3.0000000000000001E-3</c:v>
                </c:pt>
                <c:pt idx="16" formatCode="0.0%">
                  <c:v>5.0000000000000001E-3</c:v>
                </c:pt>
                <c:pt idx="17" formatCode="0.0%">
                  <c:v>0</c:v>
                </c:pt>
              </c:numCache>
            </c:numRef>
          </c:val>
          <c:smooth val="0"/>
          <c:extLst>
            <c:ext xmlns:c16="http://schemas.microsoft.com/office/drawing/2014/chart" uri="{C3380CC4-5D6E-409C-BE32-E72D297353CC}">
              <c16:uniqueId val="{00000003-E34B-4985-B660-2031AC002F07}"/>
            </c:ext>
          </c:extLst>
        </c:ser>
        <c:ser>
          <c:idx val="2"/>
          <c:order val="2"/>
          <c:tx>
            <c:strRef>
              <c:f>Tabelle2!$F$77</c:f>
              <c:strCache>
                <c:ptCount val="1"/>
                <c:pt idx="0">
                  <c:v>Secondary markets</c:v>
                </c:pt>
              </c:strCache>
            </c:strRef>
          </c:tx>
          <c:spPr>
            <a:ln w="19050">
              <a:solidFill>
                <a:srgbClr val="0070C0"/>
              </a:solidFill>
            </a:ln>
          </c:spPr>
          <c:marker>
            <c:symbol val="none"/>
          </c:marker>
          <c:dPt>
            <c:idx val="22"/>
            <c:marker>
              <c:symbol val="square"/>
              <c:size val="5"/>
              <c:spPr>
                <a:solidFill>
                  <a:schemeClr val="bg1"/>
                </a:solidFill>
                <a:ln>
                  <a:solidFill>
                    <a:schemeClr val="tx1"/>
                  </a:solidFill>
                </a:ln>
              </c:spPr>
            </c:marker>
            <c:bubble3D val="0"/>
            <c:extLst>
              <c:ext xmlns:c16="http://schemas.microsoft.com/office/drawing/2014/chart" uri="{C3380CC4-5D6E-409C-BE32-E72D297353CC}">
                <c16:uniqueId val="{00000004-E34B-4985-B660-2031AC002F07}"/>
              </c:ext>
            </c:extLst>
          </c:dPt>
          <c:errBars>
            <c:errDir val="y"/>
            <c:errBarType val="both"/>
            <c:errValType val="cust"/>
            <c:noEndCap val="0"/>
            <c:plus>
              <c:numRef>
                <c:f>Tabelle2!$J$78:$J$104</c:f>
                <c:numCache>
                  <c:formatCode>General</c:formatCode>
                  <c:ptCount val="27"/>
                  <c:pt idx="18">
                    <c:v>3.1870000000000002E-3</c:v>
                  </c:pt>
                  <c:pt idx="19">
                    <c:v>1.835E-3</c:v>
                  </c:pt>
                  <c:pt idx="20">
                    <c:v>7.7789999999999999E-4</c:v>
                  </c:pt>
                  <c:pt idx="21">
                    <c:v>5.6919999999999996E-4</c:v>
                  </c:pt>
                  <c:pt idx="22">
                    <c:v>0</c:v>
                  </c:pt>
                  <c:pt idx="23">
                    <c:v>5.5570000000000001E-4</c:v>
                  </c:pt>
                  <c:pt idx="24">
                    <c:v>6.5569999999999995E-4</c:v>
                  </c:pt>
                  <c:pt idx="25">
                    <c:v>9.9630000000000009E-4</c:v>
                  </c:pt>
                  <c:pt idx="26">
                    <c:v>1.611E-3</c:v>
                  </c:pt>
                </c:numCache>
              </c:numRef>
            </c:plus>
            <c:minus>
              <c:numRef>
                <c:f>Tabelle2!$J$78:$J$104</c:f>
                <c:numCache>
                  <c:formatCode>General</c:formatCode>
                  <c:ptCount val="27"/>
                  <c:pt idx="18">
                    <c:v>3.1870000000000002E-3</c:v>
                  </c:pt>
                  <c:pt idx="19">
                    <c:v>1.835E-3</c:v>
                  </c:pt>
                  <c:pt idx="20">
                    <c:v>7.7789999999999999E-4</c:v>
                  </c:pt>
                  <c:pt idx="21">
                    <c:v>5.6919999999999996E-4</c:v>
                  </c:pt>
                  <c:pt idx="22">
                    <c:v>0</c:v>
                  </c:pt>
                  <c:pt idx="23">
                    <c:v>5.5570000000000001E-4</c:v>
                  </c:pt>
                  <c:pt idx="24">
                    <c:v>6.5569999999999995E-4</c:v>
                  </c:pt>
                  <c:pt idx="25">
                    <c:v>9.9630000000000009E-4</c:v>
                  </c:pt>
                  <c:pt idx="26">
                    <c:v>1.611E-3</c:v>
                  </c:pt>
                </c:numCache>
              </c:numRef>
            </c:minus>
            <c:spPr>
              <a:ln w="28575">
                <a:solidFill>
                  <a:srgbClr val="0070C0"/>
                </a:solidFill>
              </a:ln>
            </c:spPr>
          </c:errBars>
          <c:cat>
            <c:multiLvlStrRef>
              <c:f>Tabelle2!$B$78:$C$104</c:f>
              <c:multiLvlStrCache>
                <c:ptCount val="27"/>
                <c:lvl>
                  <c:pt idx="0">
                    <c:v>EPC - A+</c:v>
                  </c:pt>
                  <c:pt idx="1">
                    <c:v>EPC - A </c:v>
                  </c:pt>
                  <c:pt idx="2">
                    <c:v>EPC - B </c:v>
                  </c:pt>
                  <c:pt idx="3">
                    <c:v>EPC - C </c:v>
                  </c:pt>
                  <c:pt idx="4">
                    <c:v>Ref: D</c:v>
                  </c:pt>
                  <c:pt idx="5">
                    <c:v>EPC - E </c:v>
                  </c:pt>
                  <c:pt idx="6">
                    <c:v>EPC - F </c:v>
                  </c:pt>
                  <c:pt idx="7">
                    <c:v>EPC - G </c:v>
                  </c:pt>
                  <c:pt idx="8">
                    <c:v>EPC - H </c:v>
                  </c:pt>
                  <c:pt idx="9">
                    <c:v>EPC - A+</c:v>
                  </c:pt>
                  <c:pt idx="10">
                    <c:v>EPC - A </c:v>
                  </c:pt>
                  <c:pt idx="11">
                    <c:v>EPC - B </c:v>
                  </c:pt>
                  <c:pt idx="12">
                    <c:v>EPC - C </c:v>
                  </c:pt>
                  <c:pt idx="13">
                    <c:v>Ref: D</c:v>
                  </c:pt>
                  <c:pt idx="14">
                    <c:v>EPC - E </c:v>
                  </c:pt>
                  <c:pt idx="15">
                    <c:v>EPC - F </c:v>
                  </c:pt>
                  <c:pt idx="16">
                    <c:v>EPC - G </c:v>
                  </c:pt>
                  <c:pt idx="17">
                    <c:v>EPC - H </c:v>
                  </c:pt>
                  <c:pt idx="18">
                    <c:v>EPC - A+</c:v>
                  </c:pt>
                  <c:pt idx="19">
                    <c:v>EPC - A </c:v>
                  </c:pt>
                  <c:pt idx="20">
                    <c:v>EPC - B </c:v>
                  </c:pt>
                  <c:pt idx="21">
                    <c:v>EPC - C </c:v>
                  </c:pt>
                  <c:pt idx="22">
                    <c:v>Ref: D</c:v>
                  </c:pt>
                  <c:pt idx="23">
                    <c:v>EPC - E </c:v>
                  </c:pt>
                  <c:pt idx="24">
                    <c:v>EPC - F </c:v>
                  </c:pt>
                  <c:pt idx="25">
                    <c:v>EPC - G </c:v>
                  </c:pt>
                  <c:pt idx="26">
                    <c:v>EPC - H </c:v>
                  </c:pt>
                </c:lvl>
                <c:lvl>
                  <c:pt idx="0">
                    <c:v>Germany</c:v>
                  </c:pt>
                  <c:pt idx="9">
                    <c:v>Top 7 markets</c:v>
                  </c:pt>
                  <c:pt idx="18">
                    <c:v>Secondary markets</c:v>
                  </c:pt>
                </c:lvl>
              </c:multiLvlStrCache>
            </c:multiLvlStrRef>
          </c:cat>
          <c:val>
            <c:numRef>
              <c:f>Tabelle2!$F$78:$F$104</c:f>
              <c:numCache>
                <c:formatCode>General</c:formatCode>
                <c:ptCount val="27"/>
                <c:pt idx="18" formatCode="0.0%">
                  <c:v>2.3E-2</c:v>
                </c:pt>
                <c:pt idx="19" formatCode="0.0%">
                  <c:v>0.02</c:v>
                </c:pt>
                <c:pt idx="20" formatCode="0.0%">
                  <c:v>0.01</c:v>
                </c:pt>
                <c:pt idx="21" formatCode="0.0%">
                  <c:v>3.0000000000000001E-3</c:v>
                </c:pt>
                <c:pt idx="22" formatCode="0.0%">
                  <c:v>0</c:v>
                </c:pt>
                <c:pt idx="23" formatCode="0.0%">
                  <c:v>-3.0000000000000001E-3</c:v>
                </c:pt>
                <c:pt idx="24" formatCode="0.0%">
                  <c:v>-8.9999999999999993E-3</c:v>
                </c:pt>
                <c:pt idx="25" formatCode="0.0%">
                  <c:v>-1.7000000000000001E-2</c:v>
                </c:pt>
                <c:pt idx="26" formatCode="0.0%">
                  <c:v>-1.7999999999999999E-2</c:v>
                </c:pt>
              </c:numCache>
            </c:numRef>
          </c:val>
          <c:smooth val="0"/>
          <c:extLst>
            <c:ext xmlns:c16="http://schemas.microsoft.com/office/drawing/2014/chart" uri="{C3380CC4-5D6E-409C-BE32-E72D297353CC}">
              <c16:uniqueId val="{00000005-E34B-4985-B660-2031AC002F07}"/>
            </c:ext>
          </c:extLst>
        </c:ser>
        <c:dLbls>
          <c:showLegendKey val="0"/>
          <c:showVal val="0"/>
          <c:showCatName val="0"/>
          <c:showSerName val="0"/>
          <c:showPercent val="0"/>
          <c:showBubbleSize val="0"/>
        </c:dLbls>
        <c:smooth val="0"/>
        <c:axId val="341457152"/>
        <c:axId val="341602304"/>
      </c:lineChart>
      <c:catAx>
        <c:axId val="341457152"/>
        <c:scaling>
          <c:orientation val="minMax"/>
        </c:scaling>
        <c:delete val="0"/>
        <c:axPos val="b"/>
        <c:majorGridlines>
          <c:spPr>
            <a:ln>
              <a:solidFill>
                <a:schemeClr val="bg1">
                  <a:lumMod val="85000"/>
                </a:schemeClr>
              </a:solidFill>
              <a:prstDash val="dash"/>
            </a:ln>
          </c:spPr>
        </c:majorGridlines>
        <c:numFmt formatCode="General" sourceLinked="0"/>
        <c:majorTickMark val="none"/>
        <c:minorTickMark val="none"/>
        <c:tickLblPos val="high"/>
        <c:spPr>
          <a:ln>
            <a:solidFill>
              <a:schemeClr val="tx1"/>
            </a:solidFill>
          </a:ln>
        </c:spPr>
        <c:txPr>
          <a:bodyPr rot="-5400000" vert="horz"/>
          <a:lstStyle/>
          <a:p>
            <a:pPr>
              <a:defRPr/>
            </a:pPr>
            <a:endParaRPr lang="en-US"/>
          </a:p>
        </c:txPr>
        <c:crossAx val="341602304"/>
        <c:crosses val="autoZero"/>
        <c:auto val="1"/>
        <c:lblAlgn val="ctr"/>
        <c:lblOffset val="100"/>
        <c:noMultiLvlLbl val="0"/>
      </c:catAx>
      <c:valAx>
        <c:axId val="341602304"/>
        <c:scaling>
          <c:orientation val="minMax"/>
          <c:max val="2.8000000000000004E-2"/>
          <c:min val="-2.0000000000000004E-2"/>
        </c:scaling>
        <c:delete val="0"/>
        <c:axPos val="l"/>
        <c:majorGridlines>
          <c:spPr>
            <a:ln>
              <a:solidFill>
                <a:schemeClr val="bg1">
                  <a:lumMod val="85000"/>
                </a:schemeClr>
              </a:solidFill>
              <a:prstDash val="dash"/>
            </a:ln>
          </c:spPr>
        </c:majorGridlines>
        <c:numFmt formatCode="0.0%" sourceLinked="1"/>
        <c:majorTickMark val="out"/>
        <c:minorTickMark val="none"/>
        <c:tickLblPos val="nextTo"/>
        <c:spPr>
          <a:ln>
            <a:noFill/>
          </a:ln>
        </c:spPr>
        <c:crossAx val="341457152"/>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3539482131393109E-2"/>
          <c:y val="0.11810225714692266"/>
          <c:w val="0.91653616169122765"/>
          <c:h val="0.67696441475069369"/>
        </c:manualLayout>
      </c:layout>
      <c:lineChart>
        <c:grouping val="standard"/>
        <c:varyColors val="0"/>
        <c:ser>
          <c:idx val="0"/>
          <c:order val="0"/>
          <c:tx>
            <c:v>High Energy - Top 7</c:v>
          </c:tx>
          <c:spPr>
            <a:ln w="19050">
              <a:solidFill>
                <a:schemeClr val="tx2"/>
              </a:solidFill>
            </a:ln>
          </c:spPr>
          <c:marker>
            <c:symbol val="none"/>
          </c:marker>
          <c:cat>
            <c:multiLvlStrRef>
              <c:f>Tabelle3!$P$6:$Q$47</c:f>
              <c:multiLvlStrCache>
                <c:ptCount val="42"/>
                <c:lvl>
                  <c:pt idx="0">
                    <c:v>2013Q1</c:v>
                  </c:pt>
                  <c:pt idx="1">
                    <c:v>2013Q2</c:v>
                  </c:pt>
                  <c:pt idx="2">
                    <c:v>2013Q3</c:v>
                  </c:pt>
                  <c:pt idx="3">
                    <c:v>2013Q4</c:v>
                  </c:pt>
                  <c:pt idx="4">
                    <c:v>2014Q1</c:v>
                  </c:pt>
                  <c:pt idx="5">
                    <c:v>2014Q2</c:v>
                  </c:pt>
                  <c:pt idx="6">
                    <c:v>2014Q3</c:v>
                  </c:pt>
                  <c:pt idx="7">
                    <c:v>2014Q4</c:v>
                  </c:pt>
                  <c:pt idx="8">
                    <c:v>2015Q1</c:v>
                  </c:pt>
                  <c:pt idx="9">
                    <c:v>2015Q2</c:v>
                  </c:pt>
                  <c:pt idx="10">
                    <c:v>2015Q3</c:v>
                  </c:pt>
                  <c:pt idx="11">
                    <c:v>2015Q4</c:v>
                  </c:pt>
                  <c:pt idx="12">
                    <c:v>2016Q1</c:v>
                  </c:pt>
                  <c:pt idx="13">
                    <c:v>2016Q2</c:v>
                  </c:pt>
                  <c:pt idx="14">
                    <c:v>2016Q3</c:v>
                  </c:pt>
                  <c:pt idx="15">
                    <c:v>2016Q4</c:v>
                  </c:pt>
                  <c:pt idx="16">
                    <c:v>2017Q1</c:v>
                  </c:pt>
                  <c:pt idx="17">
                    <c:v>2017Q2</c:v>
                  </c:pt>
                  <c:pt idx="18">
                    <c:v>2017Q3</c:v>
                  </c:pt>
                  <c:pt idx="19">
                    <c:v>2017Q4</c:v>
                  </c:pt>
                  <c:pt idx="22">
                    <c:v>2013Q1</c:v>
                  </c:pt>
                  <c:pt idx="23">
                    <c:v>2013Q2</c:v>
                  </c:pt>
                  <c:pt idx="24">
                    <c:v>2013Q3</c:v>
                  </c:pt>
                  <c:pt idx="25">
                    <c:v>2013Q4</c:v>
                  </c:pt>
                  <c:pt idx="26">
                    <c:v>2014Q1</c:v>
                  </c:pt>
                  <c:pt idx="27">
                    <c:v>2014Q2</c:v>
                  </c:pt>
                  <c:pt idx="28">
                    <c:v>2014Q3</c:v>
                  </c:pt>
                  <c:pt idx="29">
                    <c:v>2014Q4</c:v>
                  </c:pt>
                  <c:pt idx="30">
                    <c:v>2015Q1</c:v>
                  </c:pt>
                  <c:pt idx="31">
                    <c:v>2015Q2</c:v>
                  </c:pt>
                  <c:pt idx="32">
                    <c:v>2015Q3</c:v>
                  </c:pt>
                  <c:pt idx="33">
                    <c:v>2015Q4</c:v>
                  </c:pt>
                  <c:pt idx="34">
                    <c:v>2016Q1</c:v>
                  </c:pt>
                  <c:pt idx="35">
                    <c:v>2016Q2</c:v>
                  </c:pt>
                  <c:pt idx="36">
                    <c:v>2016Q3</c:v>
                  </c:pt>
                  <c:pt idx="37">
                    <c:v>2016Q4</c:v>
                  </c:pt>
                  <c:pt idx="38">
                    <c:v>2017Q1</c:v>
                  </c:pt>
                  <c:pt idx="39">
                    <c:v>2017Q2</c:v>
                  </c:pt>
                  <c:pt idx="40">
                    <c:v>2017Q3</c:v>
                  </c:pt>
                  <c:pt idx="41">
                    <c:v>2017Q4</c:v>
                  </c:pt>
                </c:lvl>
                <c:lvl>
                  <c:pt idx="0">
                    <c:v>Energy Threshold 125 kWh/m²/p.a.</c:v>
                  </c:pt>
                  <c:pt idx="22">
                    <c:v>Energy Threshold 200 kWh/m²/p.a.</c:v>
                  </c:pt>
                </c:lvl>
              </c:multiLvlStrCache>
            </c:multiLvlStrRef>
          </c:cat>
          <c:val>
            <c:numRef>
              <c:f>Tabelle3!$R$6:$R$47</c:f>
              <c:numCache>
                <c:formatCode>0.0</c:formatCode>
                <c:ptCount val="42"/>
                <c:pt idx="0">
                  <c:v>100</c:v>
                </c:pt>
                <c:pt idx="1">
                  <c:v>100.62138215</c:v>
                </c:pt>
                <c:pt idx="2">
                  <c:v>102.77904798</c:v>
                </c:pt>
                <c:pt idx="3">
                  <c:v>105.00714699</c:v>
                </c:pt>
                <c:pt idx="4">
                  <c:v>104.50323732</c:v>
                </c:pt>
                <c:pt idx="5">
                  <c:v>106.52701578</c:v>
                </c:pt>
                <c:pt idx="6">
                  <c:v>107.42488374</c:v>
                </c:pt>
                <c:pt idx="7">
                  <c:v>107.68655797</c:v>
                </c:pt>
                <c:pt idx="8">
                  <c:v>108.89829223</c:v>
                </c:pt>
                <c:pt idx="9">
                  <c:v>109.55044842</c:v>
                </c:pt>
                <c:pt idx="10">
                  <c:v>109.44355668</c:v>
                </c:pt>
                <c:pt idx="11">
                  <c:v>111.44606698</c:v>
                </c:pt>
                <c:pt idx="12">
                  <c:v>113.33500116</c:v>
                </c:pt>
                <c:pt idx="13">
                  <c:v>112.91443687</c:v>
                </c:pt>
                <c:pt idx="14">
                  <c:v>114.11300864</c:v>
                </c:pt>
                <c:pt idx="15">
                  <c:v>116.00249488</c:v>
                </c:pt>
                <c:pt idx="16">
                  <c:v>116.65800475</c:v>
                </c:pt>
                <c:pt idx="17">
                  <c:v>118.31089496</c:v>
                </c:pt>
                <c:pt idx="18">
                  <c:v>119.20932951</c:v>
                </c:pt>
                <c:pt idx="19">
                  <c:v>120.41989909999999</c:v>
                </c:pt>
                <c:pt idx="22">
                  <c:v>100</c:v>
                </c:pt>
                <c:pt idx="23">
                  <c:v>101.80977566</c:v>
                </c:pt>
                <c:pt idx="24">
                  <c:v>108.67219573</c:v>
                </c:pt>
                <c:pt idx="25">
                  <c:v>105.88536698</c:v>
                </c:pt>
                <c:pt idx="26">
                  <c:v>105.93852984999999</c:v>
                </c:pt>
                <c:pt idx="27">
                  <c:v>108.10666259999999</c:v>
                </c:pt>
                <c:pt idx="28">
                  <c:v>107.70025969</c:v>
                </c:pt>
                <c:pt idx="29">
                  <c:v>108.56833251</c:v>
                </c:pt>
                <c:pt idx="30">
                  <c:v>110.63655926999999</c:v>
                </c:pt>
                <c:pt idx="31">
                  <c:v>110.74134804000001</c:v>
                </c:pt>
                <c:pt idx="32">
                  <c:v>112.34212712999999</c:v>
                </c:pt>
                <c:pt idx="33">
                  <c:v>113.03638366</c:v>
                </c:pt>
                <c:pt idx="34">
                  <c:v>114.28872264</c:v>
                </c:pt>
                <c:pt idx="35">
                  <c:v>115.36450481</c:v>
                </c:pt>
                <c:pt idx="36">
                  <c:v>115.69797858999999</c:v>
                </c:pt>
                <c:pt idx="37">
                  <c:v>117.274103</c:v>
                </c:pt>
                <c:pt idx="38">
                  <c:v>117.75587317</c:v>
                </c:pt>
                <c:pt idx="39">
                  <c:v>119.47375819999999</c:v>
                </c:pt>
                <c:pt idx="40">
                  <c:v>120.77502774999999</c:v>
                </c:pt>
                <c:pt idx="41">
                  <c:v>122.55008271</c:v>
                </c:pt>
              </c:numCache>
            </c:numRef>
          </c:val>
          <c:smooth val="0"/>
          <c:extLst>
            <c:ext xmlns:c16="http://schemas.microsoft.com/office/drawing/2014/chart" uri="{C3380CC4-5D6E-409C-BE32-E72D297353CC}">
              <c16:uniqueId val="{00000000-F020-4EC9-BFC2-9DA17DE3DBDC}"/>
            </c:ext>
          </c:extLst>
        </c:ser>
        <c:ser>
          <c:idx val="1"/>
          <c:order val="1"/>
          <c:tx>
            <c:v>Low Energy - Top 7</c:v>
          </c:tx>
          <c:spPr>
            <a:ln w="19050">
              <a:solidFill>
                <a:schemeClr val="tx2"/>
              </a:solidFill>
              <a:prstDash val="sysDash"/>
            </a:ln>
          </c:spPr>
          <c:marker>
            <c:symbol val="none"/>
          </c:marker>
          <c:cat>
            <c:multiLvlStrRef>
              <c:f>Tabelle3!$P$6:$Q$47</c:f>
              <c:multiLvlStrCache>
                <c:ptCount val="42"/>
                <c:lvl>
                  <c:pt idx="0">
                    <c:v>2013Q1</c:v>
                  </c:pt>
                  <c:pt idx="1">
                    <c:v>2013Q2</c:v>
                  </c:pt>
                  <c:pt idx="2">
                    <c:v>2013Q3</c:v>
                  </c:pt>
                  <c:pt idx="3">
                    <c:v>2013Q4</c:v>
                  </c:pt>
                  <c:pt idx="4">
                    <c:v>2014Q1</c:v>
                  </c:pt>
                  <c:pt idx="5">
                    <c:v>2014Q2</c:v>
                  </c:pt>
                  <c:pt idx="6">
                    <c:v>2014Q3</c:v>
                  </c:pt>
                  <c:pt idx="7">
                    <c:v>2014Q4</c:v>
                  </c:pt>
                  <c:pt idx="8">
                    <c:v>2015Q1</c:v>
                  </c:pt>
                  <c:pt idx="9">
                    <c:v>2015Q2</c:v>
                  </c:pt>
                  <c:pt idx="10">
                    <c:v>2015Q3</c:v>
                  </c:pt>
                  <c:pt idx="11">
                    <c:v>2015Q4</c:v>
                  </c:pt>
                  <c:pt idx="12">
                    <c:v>2016Q1</c:v>
                  </c:pt>
                  <c:pt idx="13">
                    <c:v>2016Q2</c:v>
                  </c:pt>
                  <c:pt idx="14">
                    <c:v>2016Q3</c:v>
                  </c:pt>
                  <c:pt idx="15">
                    <c:v>2016Q4</c:v>
                  </c:pt>
                  <c:pt idx="16">
                    <c:v>2017Q1</c:v>
                  </c:pt>
                  <c:pt idx="17">
                    <c:v>2017Q2</c:v>
                  </c:pt>
                  <c:pt idx="18">
                    <c:v>2017Q3</c:v>
                  </c:pt>
                  <c:pt idx="19">
                    <c:v>2017Q4</c:v>
                  </c:pt>
                  <c:pt idx="22">
                    <c:v>2013Q1</c:v>
                  </c:pt>
                  <c:pt idx="23">
                    <c:v>2013Q2</c:v>
                  </c:pt>
                  <c:pt idx="24">
                    <c:v>2013Q3</c:v>
                  </c:pt>
                  <c:pt idx="25">
                    <c:v>2013Q4</c:v>
                  </c:pt>
                  <c:pt idx="26">
                    <c:v>2014Q1</c:v>
                  </c:pt>
                  <c:pt idx="27">
                    <c:v>2014Q2</c:v>
                  </c:pt>
                  <c:pt idx="28">
                    <c:v>2014Q3</c:v>
                  </c:pt>
                  <c:pt idx="29">
                    <c:v>2014Q4</c:v>
                  </c:pt>
                  <c:pt idx="30">
                    <c:v>2015Q1</c:v>
                  </c:pt>
                  <c:pt idx="31">
                    <c:v>2015Q2</c:v>
                  </c:pt>
                  <c:pt idx="32">
                    <c:v>2015Q3</c:v>
                  </c:pt>
                  <c:pt idx="33">
                    <c:v>2015Q4</c:v>
                  </c:pt>
                  <c:pt idx="34">
                    <c:v>2016Q1</c:v>
                  </c:pt>
                  <c:pt idx="35">
                    <c:v>2016Q2</c:v>
                  </c:pt>
                  <c:pt idx="36">
                    <c:v>2016Q3</c:v>
                  </c:pt>
                  <c:pt idx="37">
                    <c:v>2016Q4</c:v>
                  </c:pt>
                  <c:pt idx="38">
                    <c:v>2017Q1</c:v>
                  </c:pt>
                  <c:pt idx="39">
                    <c:v>2017Q2</c:v>
                  </c:pt>
                  <c:pt idx="40">
                    <c:v>2017Q3</c:v>
                  </c:pt>
                  <c:pt idx="41">
                    <c:v>2017Q4</c:v>
                  </c:pt>
                </c:lvl>
                <c:lvl>
                  <c:pt idx="0">
                    <c:v>Energy Threshold 125 kWh/m²/p.a.</c:v>
                  </c:pt>
                  <c:pt idx="22">
                    <c:v>Energy Threshold 200 kWh/m²/p.a.</c:v>
                  </c:pt>
                </c:lvl>
              </c:multiLvlStrCache>
            </c:multiLvlStrRef>
          </c:cat>
          <c:val>
            <c:numRef>
              <c:f>Tabelle3!$S$6:$S$47</c:f>
              <c:numCache>
                <c:formatCode>0.0</c:formatCode>
                <c:ptCount val="42"/>
                <c:pt idx="0">
                  <c:v>100</c:v>
                </c:pt>
                <c:pt idx="1">
                  <c:v>101.72104177999999</c:v>
                </c:pt>
                <c:pt idx="2">
                  <c:v>102.40101455</c:v>
                </c:pt>
                <c:pt idx="3">
                  <c:v>104.3993456</c:v>
                </c:pt>
                <c:pt idx="4">
                  <c:v>103.9173969</c:v>
                </c:pt>
                <c:pt idx="5">
                  <c:v>106.18706286</c:v>
                </c:pt>
                <c:pt idx="6">
                  <c:v>106.95504443999999</c:v>
                </c:pt>
                <c:pt idx="7">
                  <c:v>107.11420457</c:v>
                </c:pt>
                <c:pt idx="8">
                  <c:v>108.12604739</c:v>
                </c:pt>
                <c:pt idx="9">
                  <c:v>109.36818099</c:v>
                </c:pt>
                <c:pt idx="10">
                  <c:v>109.14231921</c:v>
                </c:pt>
                <c:pt idx="11">
                  <c:v>110.87080813</c:v>
                </c:pt>
                <c:pt idx="12">
                  <c:v>112.57470782</c:v>
                </c:pt>
                <c:pt idx="13">
                  <c:v>113.1244701</c:v>
                </c:pt>
                <c:pt idx="14">
                  <c:v>113.84398536</c:v>
                </c:pt>
                <c:pt idx="15">
                  <c:v>115.01571888000001</c:v>
                </c:pt>
                <c:pt idx="16">
                  <c:v>116.74019477</c:v>
                </c:pt>
                <c:pt idx="17">
                  <c:v>118.11558522</c:v>
                </c:pt>
                <c:pt idx="18">
                  <c:v>119.54541740000001</c:v>
                </c:pt>
                <c:pt idx="19">
                  <c:v>120.91527114</c:v>
                </c:pt>
                <c:pt idx="22">
                  <c:v>100</c:v>
                </c:pt>
                <c:pt idx="23">
                  <c:v>101.46014773</c:v>
                </c:pt>
                <c:pt idx="24">
                  <c:v>102.49860298</c:v>
                </c:pt>
                <c:pt idx="25">
                  <c:v>104.90413067999999</c:v>
                </c:pt>
                <c:pt idx="26">
                  <c:v>104.36803349</c:v>
                </c:pt>
                <c:pt idx="27">
                  <c:v>106.51695881000001</c:v>
                </c:pt>
                <c:pt idx="28">
                  <c:v>107.47546376</c:v>
                </c:pt>
                <c:pt idx="29">
                  <c:v>107.62835508000001</c:v>
                </c:pt>
                <c:pt idx="30">
                  <c:v>108.67065916</c:v>
                </c:pt>
                <c:pt idx="31">
                  <c:v>109.66211282</c:v>
                </c:pt>
                <c:pt idx="32">
                  <c:v>109.3525309</c:v>
                </c:pt>
                <c:pt idx="33">
                  <c:v>111.34109121</c:v>
                </c:pt>
                <c:pt idx="34">
                  <c:v>113.19159020000001</c:v>
                </c:pt>
                <c:pt idx="35">
                  <c:v>113.11920964000001</c:v>
                </c:pt>
                <c:pt idx="36">
                  <c:v>114.15518803000001</c:v>
                </c:pt>
                <c:pt idx="37">
                  <c:v>115.71197179000001</c:v>
                </c:pt>
                <c:pt idx="38">
                  <c:v>116.91080195000001</c:v>
                </c:pt>
                <c:pt idx="39">
                  <c:v>118.4169071</c:v>
                </c:pt>
                <c:pt idx="40">
                  <c:v>119.55542955</c:v>
                </c:pt>
                <c:pt idx="41">
                  <c:v>120.79815278000001</c:v>
                </c:pt>
              </c:numCache>
            </c:numRef>
          </c:val>
          <c:smooth val="0"/>
          <c:extLst>
            <c:ext xmlns:c16="http://schemas.microsoft.com/office/drawing/2014/chart" uri="{C3380CC4-5D6E-409C-BE32-E72D297353CC}">
              <c16:uniqueId val="{00000001-F020-4EC9-BFC2-9DA17DE3DBDC}"/>
            </c:ext>
          </c:extLst>
        </c:ser>
        <c:ser>
          <c:idx val="2"/>
          <c:order val="2"/>
          <c:tx>
            <c:v>High energy - Secondary </c:v>
          </c:tx>
          <c:spPr>
            <a:ln w="19050">
              <a:solidFill>
                <a:schemeClr val="tx1"/>
              </a:solidFill>
              <a:prstDash val="solid"/>
            </a:ln>
          </c:spPr>
          <c:marker>
            <c:symbol val="none"/>
          </c:marker>
          <c:cat>
            <c:multiLvlStrRef>
              <c:f>Tabelle3!$P$6:$Q$47</c:f>
              <c:multiLvlStrCache>
                <c:ptCount val="42"/>
                <c:lvl>
                  <c:pt idx="0">
                    <c:v>2013Q1</c:v>
                  </c:pt>
                  <c:pt idx="1">
                    <c:v>2013Q2</c:v>
                  </c:pt>
                  <c:pt idx="2">
                    <c:v>2013Q3</c:v>
                  </c:pt>
                  <c:pt idx="3">
                    <c:v>2013Q4</c:v>
                  </c:pt>
                  <c:pt idx="4">
                    <c:v>2014Q1</c:v>
                  </c:pt>
                  <c:pt idx="5">
                    <c:v>2014Q2</c:v>
                  </c:pt>
                  <c:pt idx="6">
                    <c:v>2014Q3</c:v>
                  </c:pt>
                  <c:pt idx="7">
                    <c:v>2014Q4</c:v>
                  </c:pt>
                  <c:pt idx="8">
                    <c:v>2015Q1</c:v>
                  </c:pt>
                  <c:pt idx="9">
                    <c:v>2015Q2</c:v>
                  </c:pt>
                  <c:pt idx="10">
                    <c:v>2015Q3</c:v>
                  </c:pt>
                  <c:pt idx="11">
                    <c:v>2015Q4</c:v>
                  </c:pt>
                  <c:pt idx="12">
                    <c:v>2016Q1</c:v>
                  </c:pt>
                  <c:pt idx="13">
                    <c:v>2016Q2</c:v>
                  </c:pt>
                  <c:pt idx="14">
                    <c:v>2016Q3</c:v>
                  </c:pt>
                  <c:pt idx="15">
                    <c:v>2016Q4</c:v>
                  </c:pt>
                  <c:pt idx="16">
                    <c:v>2017Q1</c:v>
                  </c:pt>
                  <c:pt idx="17">
                    <c:v>2017Q2</c:v>
                  </c:pt>
                  <c:pt idx="18">
                    <c:v>2017Q3</c:v>
                  </c:pt>
                  <c:pt idx="19">
                    <c:v>2017Q4</c:v>
                  </c:pt>
                  <c:pt idx="22">
                    <c:v>2013Q1</c:v>
                  </c:pt>
                  <c:pt idx="23">
                    <c:v>2013Q2</c:v>
                  </c:pt>
                  <c:pt idx="24">
                    <c:v>2013Q3</c:v>
                  </c:pt>
                  <c:pt idx="25">
                    <c:v>2013Q4</c:v>
                  </c:pt>
                  <c:pt idx="26">
                    <c:v>2014Q1</c:v>
                  </c:pt>
                  <c:pt idx="27">
                    <c:v>2014Q2</c:v>
                  </c:pt>
                  <c:pt idx="28">
                    <c:v>2014Q3</c:v>
                  </c:pt>
                  <c:pt idx="29">
                    <c:v>2014Q4</c:v>
                  </c:pt>
                  <c:pt idx="30">
                    <c:v>2015Q1</c:v>
                  </c:pt>
                  <c:pt idx="31">
                    <c:v>2015Q2</c:v>
                  </c:pt>
                  <c:pt idx="32">
                    <c:v>2015Q3</c:v>
                  </c:pt>
                  <c:pt idx="33">
                    <c:v>2015Q4</c:v>
                  </c:pt>
                  <c:pt idx="34">
                    <c:v>2016Q1</c:v>
                  </c:pt>
                  <c:pt idx="35">
                    <c:v>2016Q2</c:v>
                  </c:pt>
                  <c:pt idx="36">
                    <c:v>2016Q3</c:v>
                  </c:pt>
                  <c:pt idx="37">
                    <c:v>2016Q4</c:v>
                  </c:pt>
                  <c:pt idx="38">
                    <c:v>2017Q1</c:v>
                  </c:pt>
                  <c:pt idx="39">
                    <c:v>2017Q2</c:v>
                  </c:pt>
                  <c:pt idx="40">
                    <c:v>2017Q3</c:v>
                  </c:pt>
                  <c:pt idx="41">
                    <c:v>2017Q4</c:v>
                  </c:pt>
                </c:lvl>
                <c:lvl>
                  <c:pt idx="0">
                    <c:v>Energy Threshold 125 kWh/m²/p.a.</c:v>
                  </c:pt>
                  <c:pt idx="22">
                    <c:v>Energy Threshold 200 kWh/m²/p.a.</c:v>
                  </c:pt>
                </c:lvl>
              </c:multiLvlStrCache>
            </c:multiLvlStrRef>
          </c:cat>
          <c:val>
            <c:numRef>
              <c:f>Tabelle3!$T$6:$T$47</c:f>
              <c:numCache>
                <c:formatCode>0.0</c:formatCode>
                <c:ptCount val="42"/>
                <c:pt idx="0">
                  <c:v>100</c:v>
                </c:pt>
                <c:pt idx="1">
                  <c:v>98.955104489999997</c:v>
                </c:pt>
                <c:pt idx="2">
                  <c:v>98.937881050000001</c:v>
                </c:pt>
                <c:pt idx="3">
                  <c:v>99.396136589999998</c:v>
                </c:pt>
                <c:pt idx="4">
                  <c:v>100.95536979000001</c:v>
                </c:pt>
                <c:pt idx="5">
                  <c:v>102.39430985</c:v>
                </c:pt>
                <c:pt idx="6">
                  <c:v>102.43910259</c:v>
                </c:pt>
                <c:pt idx="7">
                  <c:v>102.97489621</c:v>
                </c:pt>
                <c:pt idx="8">
                  <c:v>103.79968103</c:v>
                </c:pt>
                <c:pt idx="9">
                  <c:v>104.42947275</c:v>
                </c:pt>
                <c:pt idx="10">
                  <c:v>104.61029637</c:v>
                </c:pt>
                <c:pt idx="11">
                  <c:v>105.95534412000001</c:v>
                </c:pt>
                <c:pt idx="12">
                  <c:v>107.18467035</c:v>
                </c:pt>
                <c:pt idx="13">
                  <c:v>108.17773263000001</c:v>
                </c:pt>
                <c:pt idx="14">
                  <c:v>108.91445981</c:v>
                </c:pt>
                <c:pt idx="15">
                  <c:v>109.72959545000001</c:v>
                </c:pt>
                <c:pt idx="16">
                  <c:v>110.60543349</c:v>
                </c:pt>
                <c:pt idx="17">
                  <c:v>112.07019164</c:v>
                </c:pt>
                <c:pt idx="18">
                  <c:v>112.69972734</c:v>
                </c:pt>
                <c:pt idx="19">
                  <c:v>113.11594205</c:v>
                </c:pt>
                <c:pt idx="22">
                  <c:v>100</c:v>
                </c:pt>
                <c:pt idx="23">
                  <c:v>98.759752950000006</c:v>
                </c:pt>
                <c:pt idx="24">
                  <c:v>98.254404710000003</c:v>
                </c:pt>
                <c:pt idx="25">
                  <c:v>97.090102150000007</c:v>
                </c:pt>
                <c:pt idx="26">
                  <c:v>100.89429776999999</c:v>
                </c:pt>
                <c:pt idx="27">
                  <c:v>102.31766008</c:v>
                </c:pt>
                <c:pt idx="28">
                  <c:v>101.56038415</c:v>
                </c:pt>
                <c:pt idx="29">
                  <c:v>102.21732351</c:v>
                </c:pt>
                <c:pt idx="30">
                  <c:v>103.28346257</c:v>
                </c:pt>
                <c:pt idx="31">
                  <c:v>103.86425398999999</c:v>
                </c:pt>
                <c:pt idx="32">
                  <c:v>104.08032588</c:v>
                </c:pt>
                <c:pt idx="33">
                  <c:v>105.69375992000001</c:v>
                </c:pt>
                <c:pt idx="34">
                  <c:v>106.90186308</c:v>
                </c:pt>
                <c:pt idx="35">
                  <c:v>107.29209081</c:v>
                </c:pt>
                <c:pt idx="36">
                  <c:v>108.89789235000001</c:v>
                </c:pt>
                <c:pt idx="37">
                  <c:v>108.32527918</c:v>
                </c:pt>
                <c:pt idx="38">
                  <c:v>109.74501488</c:v>
                </c:pt>
                <c:pt idx="39">
                  <c:v>112.03290034</c:v>
                </c:pt>
                <c:pt idx="40">
                  <c:v>113.24277119</c:v>
                </c:pt>
                <c:pt idx="41">
                  <c:v>113.0444457</c:v>
                </c:pt>
              </c:numCache>
            </c:numRef>
          </c:val>
          <c:smooth val="0"/>
          <c:extLst>
            <c:ext xmlns:c16="http://schemas.microsoft.com/office/drawing/2014/chart" uri="{C3380CC4-5D6E-409C-BE32-E72D297353CC}">
              <c16:uniqueId val="{00000002-F020-4EC9-BFC2-9DA17DE3DBDC}"/>
            </c:ext>
          </c:extLst>
        </c:ser>
        <c:ser>
          <c:idx val="3"/>
          <c:order val="3"/>
          <c:tx>
            <c:v>Low energy - Secondary</c:v>
          </c:tx>
          <c:spPr>
            <a:ln w="19050">
              <a:solidFill>
                <a:schemeClr val="tx1"/>
              </a:solidFill>
              <a:prstDash val="sysDash"/>
            </a:ln>
          </c:spPr>
          <c:marker>
            <c:symbol val="none"/>
          </c:marker>
          <c:dPt>
            <c:idx val="0"/>
            <c:marker>
              <c:symbol val="circle"/>
              <c:size val="5"/>
              <c:spPr>
                <a:solidFill>
                  <a:schemeClr val="bg1"/>
                </a:solidFill>
                <a:ln w="19050">
                  <a:solidFill>
                    <a:schemeClr val="tx1"/>
                  </a:solidFill>
                  <a:prstDash val="solid"/>
                </a:ln>
              </c:spPr>
            </c:marker>
            <c:bubble3D val="0"/>
            <c:spPr>
              <a:ln w="19050">
                <a:solidFill>
                  <a:schemeClr val="tx1"/>
                </a:solidFill>
                <a:prstDash val="solid"/>
              </a:ln>
            </c:spPr>
            <c:extLst>
              <c:ext xmlns:c16="http://schemas.microsoft.com/office/drawing/2014/chart" uri="{C3380CC4-5D6E-409C-BE32-E72D297353CC}">
                <c16:uniqueId val="{00000004-F020-4EC9-BFC2-9DA17DE3DBDC}"/>
              </c:ext>
            </c:extLst>
          </c:dPt>
          <c:dPt>
            <c:idx val="22"/>
            <c:marker>
              <c:symbol val="circle"/>
              <c:size val="5"/>
              <c:spPr>
                <a:solidFill>
                  <a:schemeClr val="bg1"/>
                </a:solidFill>
                <a:ln w="19050">
                  <a:solidFill>
                    <a:schemeClr val="tx1"/>
                  </a:solidFill>
                  <a:prstDash val="solid"/>
                </a:ln>
              </c:spPr>
            </c:marker>
            <c:bubble3D val="0"/>
            <c:spPr>
              <a:ln w="19050">
                <a:solidFill>
                  <a:schemeClr val="tx1"/>
                </a:solidFill>
                <a:prstDash val="solid"/>
              </a:ln>
            </c:spPr>
            <c:extLst>
              <c:ext xmlns:c16="http://schemas.microsoft.com/office/drawing/2014/chart" uri="{C3380CC4-5D6E-409C-BE32-E72D297353CC}">
                <c16:uniqueId val="{00000006-F020-4EC9-BFC2-9DA17DE3DBDC}"/>
              </c:ext>
            </c:extLst>
          </c:dPt>
          <c:cat>
            <c:multiLvlStrRef>
              <c:f>Tabelle3!$P$6:$Q$47</c:f>
              <c:multiLvlStrCache>
                <c:ptCount val="42"/>
                <c:lvl>
                  <c:pt idx="0">
                    <c:v>2013Q1</c:v>
                  </c:pt>
                  <c:pt idx="1">
                    <c:v>2013Q2</c:v>
                  </c:pt>
                  <c:pt idx="2">
                    <c:v>2013Q3</c:v>
                  </c:pt>
                  <c:pt idx="3">
                    <c:v>2013Q4</c:v>
                  </c:pt>
                  <c:pt idx="4">
                    <c:v>2014Q1</c:v>
                  </c:pt>
                  <c:pt idx="5">
                    <c:v>2014Q2</c:v>
                  </c:pt>
                  <c:pt idx="6">
                    <c:v>2014Q3</c:v>
                  </c:pt>
                  <c:pt idx="7">
                    <c:v>2014Q4</c:v>
                  </c:pt>
                  <c:pt idx="8">
                    <c:v>2015Q1</c:v>
                  </c:pt>
                  <c:pt idx="9">
                    <c:v>2015Q2</c:v>
                  </c:pt>
                  <c:pt idx="10">
                    <c:v>2015Q3</c:v>
                  </c:pt>
                  <c:pt idx="11">
                    <c:v>2015Q4</c:v>
                  </c:pt>
                  <c:pt idx="12">
                    <c:v>2016Q1</c:v>
                  </c:pt>
                  <c:pt idx="13">
                    <c:v>2016Q2</c:v>
                  </c:pt>
                  <c:pt idx="14">
                    <c:v>2016Q3</c:v>
                  </c:pt>
                  <c:pt idx="15">
                    <c:v>2016Q4</c:v>
                  </c:pt>
                  <c:pt idx="16">
                    <c:v>2017Q1</c:v>
                  </c:pt>
                  <c:pt idx="17">
                    <c:v>2017Q2</c:v>
                  </c:pt>
                  <c:pt idx="18">
                    <c:v>2017Q3</c:v>
                  </c:pt>
                  <c:pt idx="19">
                    <c:v>2017Q4</c:v>
                  </c:pt>
                  <c:pt idx="22">
                    <c:v>2013Q1</c:v>
                  </c:pt>
                  <c:pt idx="23">
                    <c:v>2013Q2</c:v>
                  </c:pt>
                  <c:pt idx="24">
                    <c:v>2013Q3</c:v>
                  </c:pt>
                  <c:pt idx="25">
                    <c:v>2013Q4</c:v>
                  </c:pt>
                  <c:pt idx="26">
                    <c:v>2014Q1</c:v>
                  </c:pt>
                  <c:pt idx="27">
                    <c:v>2014Q2</c:v>
                  </c:pt>
                  <c:pt idx="28">
                    <c:v>2014Q3</c:v>
                  </c:pt>
                  <c:pt idx="29">
                    <c:v>2014Q4</c:v>
                  </c:pt>
                  <c:pt idx="30">
                    <c:v>2015Q1</c:v>
                  </c:pt>
                  <c:pt idx="31">
                    <c:v>2015Q2</c:v>
                  </c:pt>
                  <c:pt idx="32">
                    <c:v>2015Q3</c:v>
                  </c:pt>
                  <c:pt idx="33">
                    <c:v>2015Q4</c:v>
                  </c:pt>
                  <c:pt idx="34">
                    <c:v>2016Q1</c:v>
                  </c:pt>
                  <c:pt idx="35">
                    <c:v>2016Q2</c:v>
                  </c:pt>
                  <c:pt idx="36">
                    <c:v>2016Q3</c:v>
                  </c:pt>
                  <c:pt idx="37">
                    <c:v>2016Q4</c:v>
                  </c:pt>
                  <c:pt idx="38">
                    <c:v>2017Q1</c:v>
                  </c:pt>
                  <c:pt idx="39">
                    <c:v>2017Q2</c:v>
                  </c:pt>
                  <c:pt idx="40">
                    <c:v>2017Q3</c:v>
                  </c:pt>
                  <c:pt idx="41">
                    <c:v>2017Q4</c:v>
                  </c:pt>
                </c:lvl>
                <c:lvl>
                  <c:pt idx="0">
                    <c:v>Energy Threshold 125 kWh/m²/p.a.</c:v>
                  </c:pt>
                  <c:pt idx="22">
                    <c:v>Energy Threshold 200 kWh/m²/p.a.</c:v>
                  </c:pt>
                </c:lvl>
              </c:multiLvlStrCache>
            </c:multiLvlStrRef>
          </c:cat>
          <c:val>
            <c:numRef>
              <c:f>Tabelle3!$U$6:$U$47</c:f>
              <c:numCache>
                <c:formatCode>0.0</c:formatCode>
                <c:ptCount val="42"/>
                <c:pt idx="0">
                  <c:v>100</c:v>
                </c:pt>
                <c:pt idx="1">
                  <c:v>99.541209899999998</c:v>
                </c:pt>
                <c:pt idx="2">
                  <c:v>99.269249360000003</c:v>
                </c:pt>
                <c:pt idx="3">
                  <c:v>99.762239579999999</c:v>
                </c:pt>
                <c:pt idx="4">
                  <c:v>101.1419808</c:v>
                </c:pt>
                <c:pt idx="5">
                  <c:v>102.54698571</c:v>
                </c:pt>
                <c:pt idx="6">
                  <c:v>102.73976963</c:v>
                </c:pt>
                <c:pt idx="7">
                  <c:v>103.36961863000001</c:v>
                </c:pt>
                <c:pt idx="8">
                  <c:v>104.14135404</c:v>
                </c:pt>
                <c:pt idx="9">
                  <c:v>104.61099389</c:v>
                </c:pt>
                <c:pt idx="10">
                  <c:v>105.16889128</c:v>
                </c:pt>
                <c:pt idx="11">
                  <c:v>106.14457217</c:v>
                </c:pt>
                <c:pt idx="12">
                  <c:v>107.42157272</c:v>
                </c:pt>
                <c:pt idx="13">
                  <c:v>108.09712274</c:v>
                </c:pt>
                <c:pt idx="14">
                  <c:v>108.8192629</c:v>
                </c:pt>
                <c:pt idx="15">
                  <c:v>109.37983339</c:v>
                </c:pt>
                <c:pt idx="16">
                  <c:v>110.2960578</c:v>
                </c:pt>
                <c:pt idx="17">
                  <c:v>111.22878747999999</c:v>
                </c:pt>
                <c:pt idx="18">
                  <c:v>111.65304879</c:v>
                </c:pt>
                <c:pt idx="19">
                  <c:v>112.77012404</c:v>
                </c:pt>
                <c:pt idx="22">
                  <c:v>100</c:v>
                </c:pt>
                <c:pt idx="23">
                  <c:v>99.258049790000001</c:v>
                </c:pt>
                <c:pt idx="24">
                  <c:v>99.11774466</c:v>
                </c:pt>
                <c:pt idx="25">
                  <c:v>99.686410210000005</c:v>
                </c:pt>
                <c:pt idx="26">
                  <c:v>100.99029933</c:v>
                </c:pt>
                <c:pt idx="27">
                  <c:v>102.40365995000001</c:v>
                </c:pt>
                <c:pt idx="28">
                  <c:v>102.59206863</c:v>
                </c:pt>
                <c:pt idx="29">
                  <c:v>103.16741071</c:v>
                </c:pt>
                <c:pt idx="30">
                  <c:v>103.94593947</c:v>
                </c:pt>
                <c:pt idx="31">
                  <c:v>104.49052945</c:v>
                </c:pt>
                <c:pt idx="32">
                  <c:v>104.88965906</c:v>
                </c:pt>
                <c:pt idx="33">
                  <c:v>106.00497763</c:v>
                </c:pt>
                <c:pt idx="34">
                  <c:v>107.26394743</c:v>
                </c:pt>
                <c:pt idx="35">
                  <c:v>108.11241284</c:v>
                </c:pt>
                <c:pt idx="36">
                  <c:v>108.78521592</c:v>
                </c:pt>
                <c:pt idx="37">
                  <c:v>109.53510302000001</c:v>
                </c:pt>
                <c:pt idx="38">
                  <c:v>110.40261603</c:v>
                </c:pt>
                <c:pt idx="39">
                  <c:v>111.50161342</c:v>
                </c:pt>
                <c:pt idx="40">
                  <c:v>111.97223205</c:v>
                </c:pt>
                <c:pt idx="41">
                  <c:v>112.84164726</c:v>
                </c:pt>
              </c:numCache>
            </c:numRef>
          </c:val>
          <c:smooth val="0"/>
          <c:extLst>
            <c:ext xmlns:c16="http://schemas.microsoft.com/office/drawing/2014/chart" uri="{C3380CC4-5D6E-409C-BE32-E72D297353CC}">
              <c16:uniqueId val="{00000007-F020-4EC9-BFC2-9DA17DE3DBDC}"/>
            </c:ext>
          </c:extLst>
        </c:ser>
        <c:dLbls>
          <c:showLegendKey val="0"/>
          <c:showVal val="0"/>
          <c:showCatName val="0"/>
          <c:showSerName val="0"/>
          <c:showPercent val="0"/>
          <c:showBubbleSize val="0"/>
        </c:dLbls>
        <c:smooth val="0"/>
        <c:axId val="373256960"/>
        <c:axId val="373258496"/>
      </c:lineChart>
      <c:catAx>
        <c:axId val="373256960"/>
        <c:scaling>
          <c:orientation val="minMax"/>
        </c:scaling>
        <c:delete val="0"/>
        <c:axPos val="b"/>
        <c:numFmt formatCode="General" sourceLinked="0"/>
        <c:majorTickMark val="out"/>
        <c:minorTickMark val="none"/>
        <c:tickLblPos val="nextTo"/>
        <c:crossAx val="373258496"/>
        <c:crosses val="autoZero"/>
        <c:auto val="1"/>
        <c:lblAlgn val="ctr"/>
        <c:lblOffset val="100"/>
        <c:noMultiLvlLbl val="0"/>
      </c:catAx>
      <c:valAx>
        <c:axId val="373258496"/>
        <c:scaling>
          <c:orientation val="minMax"/>
          <c:max val="124"/>
          <c:min val="96"/>
        </c:scaling>
        <c:delete val="0"/>
        <c:axPos val="l"/>
        <c:majorGridlines>
          <c:spPr>
            <a:ln>
              <a:prstDash val="dash"/>
            </a:ln>
          </c:spPr>
        </c:majorGridlines>
        <c:title>
          <c:tx>
            <c:rich>
              <a:bodyPr rot="-5400000" vert="horz"/>
              <a:lstStyle/>
              <a:p>
                <a:pPr>
                  <a:defRPr/>
                </a:pPr>
                <a:r>
                  <a:rPr lang="de-DE"/>
                  <a:t>Rental hedonic index</a:t>
                </a:r>
              </a:p>
            </c:rich>
          </c:tx>
          <c:layout>
            <c:manualLayout>
              <c:xMode val="edge"/>
              <c:yMode val="edge"/>
              <c:x val="4.2796496034079043E-3"/>
              <c:y val="0.29107101774412975"/>
            </c:manualLayout>
          </c:layout>
          <c:overlay val="0"/>
        </c:title>
        <c:numFmt formatCode="0" sourceLinked="0"/>
        <c:majorTickMark val="out"/>
        <c:minorTickMark val="none"/>
        <c:tickLblPos val="high"/>
        <c:spPr>
          <a:ln>
            <a:noFill/>
          </a:ln>
        </c:spPr>
        <c:crossAx val="373256960"/>
        <c:crosses val="autoZero"/>
        <c:crossBetween val="between"/>
        <c:majorUnit val="2"/>
      </c:valAx>
    </c:plotArea>
    <c:legend>
      <c:legendPos val="t"/>
      <c:layout>
        <c:manualLayout>
          <c:xMode val="edge"/>
          <c:yMode val="edge"/>
          <c:x val="0.30686210924047114"/>
          <c:y val="2.0266846816416145E-2"/>
          <c:w val="0.38627576859975749"/>
          <c:h val="8.7703686130872413E-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spPr>
            <a:ln w="19050">
              <a:solidFill>
                <a:schemeClr val="tx2"/>
              </a:solidFill>
            </a:ln>
          </c:spPr>
          <c:marker>
            <c:symbol val="none"/>
          </c:marker>
          <c:cat>
            <c:multiLvlStrRef>
              <c:f>Tabelle3!$P$6:$Q$47</c:f>
              <c:multiLvlStrCache>
                <c:ptCount val="42"/>
                <c:lvl>
                  <c:pt idx="0">
                    <c:v>2013Q1</c:v>
                  </c:pt>
                  <c:pt idx="1">
                    <c:v>2013Q2</c:v>
                  </c:pt>
                  <c:pt idx="2">
                    <c:v>2013Q3</c:v>
                  </c:pt>
                  <c:pt idx="3">
                    <c:v>2013Q4</c:v>
                  </c:pt>
                  <c:pt idx="4">
                    <c:v>2014Q1</c:v>
                  </c:pt>
                  <c:pt idx="5">
                    <c:v>2014Q2</c:v>
                  </c:pt>
                  <c:pt idx="6">
                    <c:v>2014Q3</c:v>
                  </c:pt>
                  <c:pt idx="7">
                    <c:v>2014Q4</c:v>
                  </c:pt>
                  <c:pt idx="8">
                    <c:v>2015Q1</c:v>
                  </c:pt>
                  <c:pt idx="9">
                    <c:v>2015Q2</c:v>
                  </c:pt>
                  <c:pt idx="10">
                    <c:v>2015Q3</c:v>
                  </c:pt>
                  <c:pt idx="11">
                    <c:v>2015Q4</c:v>
                  </c:pt>
                  <c:pt idx="12">
                    <c:v>2016Q1</c:v>
                  </c:pt>
                  <c:pt idx="13">
                    <c:v>2016Q2</c:v>
                  </c:pt>
                  <c:pt idx="14">
                    <c:v>2016Q3</c:v>
                  </c:pt>
                  <c:pt idx="15">
                    <c:v>2016Q4</c:v>
                  </c:pt>
                  <c:pt idx="16">
                    <c:v>2017Q1</c:v>
                  </c:pt>
                  <c:pt idx="17">
                    <c:v>2017Q2</c:v>
                  </c:pt>
                  <c:pt idx="18">
                    <c:v>2017Q3</c:v>
                  </c:pt>
                  <c:pt idx="19">
                    <c:v>2017Q4</c:v>
                  </c:pt>
                  <c:pt idx="22">
                    <c:v>2013Q1</c:v>
                  </c:pt>
                  <c:pt idx="23">
                    <c:v>2013Q2</c:v>
                  </c:pt>
                  <c:pt idx="24">
                    <c:v>2013Q3</c:v>
                  </c:pt>
                  <c:pt idx="25">
                    <c:v>2013Q4</c:v>
                  </c:pt>
                  <c:pt idx="26">
                    <c:v>2014Q1</c:v>
                  </c:pt>
                  <c:pt idx="27">
                    <c:v>2014Q2</c:v>
                  </c:pt>
                  <c:pt idx="28">
                    <c:v>2014Q3</c:v>
                  </c:pt>
                  <c:pt idx="29">
                    <c:v>2014Q4</c:v>
                  </c:pt>
                  <c:pt idx="30">
                    <c:v>2015Q1</c:v>
                  </c:pt>
                  <c:pt idx="31">
                    <c:v>2015Q2</c:v>
                  </c:pt>
                  <c:pt idx="32">
                    <c:v>2015Q3</c:v>
                  </c:pt>
                  <c:pt idx="33">
                    <c:v>2015Q4</c:v>
                  </c:pt>
                  <c:pt idx="34">
                    <c:v>2016Q1</c:v>
                  </c:pt>
                  <c:pt idx="35">
                    <c:v>2016Q2</c:v>
                  </c:pt>
                  <c:pt idx="36">
                    <c:v>2016Q3</c:v>
                  </c:pt>
                  <c:pt idx="37">
                    <c:v>2016Q4</c:v>
                  </c:pt>
                  <c:pt idx="38">
                    <c:v>2017Q1</c:v>
                  </c:pt>
                  <c:pt idx="39">
                    <c:v>2017Q2</c:v>
                  </c:pt>
                  <c:pt idx="40">
                    <c:v>2017Q3</c:v>
                  </c:pt>
                  <c:pt idx="41">
                    <c:v>2017Q4</c:v>
                  </c:pt>
                </c:lvl>
                <c:lvl>
                  <c:pt idx="0">
                    <c:v>Energy Threshold 125 kWh/m²/p.a.</c:v>
                  </c:pt>
                  <c:pt idx="22">
                    <c:v>Energy Threshold 200 kWh/m²/p.a.</c:v>
                  </c:pt>
                </c:lvl>
              </c:multiLvlStrCache>
            </c:multiLvlStrRef>
          </c:cat>
          <c:val>
            <c:numRef>
              <c:f>Tabelle3!$X$6:$X$47</c:f>
              <c:numCache>
                <c:formatCode>0.0</c:formatCode>
                <c:ptCount val="42"/>
                <c:pt idx="0">
                  <c:v>651.08230000000003</c:v>
                </c:pt>
                <c:pt idx="1">
                  <c:v>655.12800919400945</c:v>
                </c:pt>
                <c:pt idx="2">
                  <c:v>669.17618950628753</c:v>
                </c:pt>
                <c:pt idx="3">
                  <c:v>683.68294778687277</c:v>
                </c:pt>
                <c:pt idx="4">
                  <c:v>680.4020811175144</c:v>
                </c:pt>
                <c:pt idx="5">
                  <c:v>693.57854446178692</c:v>
                </c:pt>
                <c:pt idx="6">
                  <c:v>699.42440382671793</c:v>
                </c:pt>
                <c:pt idx="7">
                  <c:v>701.12811842190922</c:v>
                </c:pt>
                <c:pt idx="8">
                  <c:v>709.01750571180526</c:v>
                </c:pt>
                <c:pt idx="9">
                  <c:v>713.26357923324963</c:v>
                </c:pt>
                <c:pt idx="10">
                  <c:v>712.5676260339477</c:v>
                </c:pt>
                <c:pt idx="11">
                  <c:v>725.60561615292454</c:v>
                </c:pt>
                <c:pt idx="12">
                  <c:v>737.90413225755469</c:v>
                </c:pt>
                <c:pt idx="13">
                  <c:v>735.16591260524399</c:v>
                </c:pt>
                <c:pt idx="14">
                  <c:v>742.96960125251064</c:v>
                </c:pt>
                <c:pt idx="15">
                  <c:v>755.27171172208614</c:v>
                </c:pt>
                <c:pt idx="16">
                  <c:v>759.5396204604092</c:v>
                </c:pt>
                <c:pt idx="17">
                  <c:v>770.30129605615207</c:v>
                </c:pt>
                <c:pt idx="18">
                  <c:v>776.15084438828671</c:v>
                </c:pt>
                <c:pt idx="19">
                  <c:v>784.0326487179592</c:v>
                </c:pt>
                <c:pt idx="22">
                  <c:v>651.08230000000003</c:v>
                </c:pt>
                <c:pt idx="23">
                  <c:v>662.8654289919682</c:v>
                </c:pt>
                <c:pt idx="24">
                  <c:v>707.54543141938575</c:v>
                </c:pt>
                <c:pt idx="25">
                  <c:v>689.40088269682451</c:v>
                </c:pt>
                <c:pt idx="26">
                  <c:v>689.74701673356651</c:v>
                </c:pt>
                <c:pt idx="27">
                  <c:v>703.86334530931981</c:v>
                </c:pt>
                <c:pt idx="28">
                  <c:v>701.21732789562486</c:v>
                </c:pt>
                <c:pt idx="29">
                  <c:v>706.86919637775577</c:v>
                </c:pt>
                <c:pt idx="30">
                  <c:v>720.33505473597927</c:v>
                </c:pt>
                <c:pt idx="31">
                  <c:v>721.01731586983715</c:v>
                </c:pt>
                <c:pt idx="32">
                  <c:v>731.43970518692822</c:v>
                </c:pt>
                <c:pt idx="33">
                  <c:v>735.95988657035241</c:v>
                </c:pt>
                <c:pt idx="34">
                  <c:v>744.11364400513298</c:v>
                </c:pt>
                <c:pt idx="35">
                  <c:v>751.11787130055882</c:v>
                </c:pt>
                <c:pt idx="36">
                  <c:v>753.2890600572797</c:v>
                </c:pt>
                <c:pt idx="37">
                  <c:v>763.55092711676912</c:v>
                </c:pt>
                <c:pt idx="38">
                  <c:v>766.68764742031908</c:v>
                </c:pt>
                <c:pt idx="39">
                  <c:v>777.87249278499883</c:v>
                </c:pt>
                <c:pt idx="40">
                  <c:v>786.34482850033851</c:v>
                </c:pt>
                <c:pt idx="41">
                  <c:v>797.90189716017062</c:v>
                </c:pt>
              </c:numCache>
            </c:numRef>
          </c:val>
          <c:smooth val="0"/>
          <c:extLst>
            <c:ext xmlns:c16="http://schemas.microsoft.com/office/drawing/2014/chart" uri="{C3380CC4-5D6E-409C-BE32-E72D297353CC}">
              <c16:uniqueId val="{00000000-CD4F-4F24-A6DE-0AFB8E480D2C}"/>
            </c:ext>
          </c:extLst>
        </c:ser>
        <c:ser>
          <c:idx val="1"/>
          <c:order val="1"/>
          <c:spPr>
            <a:ln w="19050">
              <a:solidFill>
                <a:schemeClr val="tx2"/>
              </a:solidFill>
              <a:prstDash val="sysDash"/>
            </a:ln>
          </c:spPr>
          <c:marker>
            <c:symbol val="none"/>
          </c:marker>
          <c:cat>
            <c:multiLvlStrRef>
              <c:f>Tabelle3!$P$6:$Q$47</c:f>
              <c:multiLvlStrCache>
                <c:ptCount val="42"/>
                <c:lvl>
                  <c:pt idx="0">
                    <c:v>2013Q1</c:v>
                  </c:pt>
                  <c:pt idx="1">
                    <c:v>2013Q2</c:v>
                  </c:pt>
                  <c:pt idx="2">
                    <c:v>2013Q3</c:v>
                  </c:pt>
                  <c:pt idx="3">
                    <c:v>2013Q4</c:v>
                  </c:pt>
                  <c:pt idx="4">
                    <c:v>2014Q1</c:v>
                  </c:pt>
                  <c:pt idx="5">
                    <c:v>2014Q2</c:v>
                  </c:pt>
                  <c:pt idx="6">
                    <c:v>2014Q3</c:v>
                  </c:pt>
                  <c:pt idx="7">
                    <c:v>2014Q4</c:v>
                  </c:pt>
                  <c:pt idx="8">
                    <c:v>2015Q1</c:v>
                  </c:pt>
                  <c:pt idx="9">
                    <c:v>2015Q2</c:v>
                  </c:pt>
                  <c:pt idx="10">
                    <c:v>2015Q3</c:v>
                  </c:pt>
                  <c:pt idx="11">
                    <c:v>2015Q4</c:v>
                  </c:pt>
                  <c:pt idx="12">
                    <c:v>2016Q1</c:v>
                  </c:pt>
                  <c:pt idx="13">
                    <c:v>2016Q2</c:v>
                  </c:pt>
                  <c:pt idx="14">
                    <c:v>2016Q3</c:v>
                  </c:pt>
                  <c:pt idx="15">
                    <c:v>2016Q4</c:v>
                  </c:pt>
                  <c:pt idx="16">
                    <c:v>2017Q1</c:v>
                  </c:pt>
                  <c:pt idx="17">
                    <c:v>2017Q2</c:v>
                  </c:pt>
                  <c:pt idx="18">
                    <c:v>2017Q3</c:v>
                  </c:pt>
                  <c:pt idx="19">
                    <c:v>2017Q4</c:v>
                  </c:pt>
                  <c:pt idx="22">
                    <c:v>2013Q1</c:v>
                  </c:pt>
                  <c:pt idx="23">
                    <c:v>2013Q2</c:v>
                  </c:pt>
                  <c:pt idx="24">
                    <c:v>2013Q3</c:v>
                  </c:pt>
                  <c:pt idx="25">
                    <c:v>2013Q4</c:v>
                  </c:pt>
                  <c:pt idx="26">
                    <c:v>2014Q1</c:v>
                  </c:pt>
                  <c:pt idx="27">
                    <c:v>2014Q2</c:v>
                  </c:pt>
                  <c:pt idx="28">
                    <c:v>2014Q3</c:v>
                  </c:pt>
                  <c:pt idx="29">
                    <c:v>2014Q4</c:v>
                  </c:pt>
                  <c:pt idx="30">
                    <c:v>2015Q1</c:v>
                  </c:pt>
                  <c:pt idx="31">
                    <c:v>2015Q2</c:v>
                  </c:pt>
                  <c:pt idx="32">
                    <c:v>2015Q3</c:v>
                  </c:pt>
                  <c:pt idx="33">
                    <c:v>2015Q4</c:v>
                  </c:pt>
                  <c:pt idx="34">
                    <c:v>2016Q1</c:v>
                  </c:pt>
                  <c:pt idx="35">
                    <c:v>2016Q2</c:v>
                  </c:pt>
                  <c:pt idx="36">
                    <c:v>2016Q3</c:v>
                  </c:pt>
                  <c:pt idx="37">
                    <c:v>2016Q4</c:v>
                  </c:pt>
                  <c:pt idx="38">
                    <c:v>2017Q1</c:v>
                  </c:pt>
                  <c:pt idx="39">
                    <c:v>2017Q2</c:v>
                  </c:pt>
                  <c:pt idx="40">
                    <c:v>2017Q3</c:v>
                  </c:pt>
                  <c:pt idx="41">
                    <c:v>2017Q4</c:v>
                  </c:pt>
                </c:lvl>
                <c:lvl>
                  <c:pt idx="0">
                    <c:v>Energy Threshold 125 kWh/m²/p.a.</c:v>
                  </c:pt>
                  <c:pt idx="22">
                    <c:v>Energy Threshold 200 kWh/m²/p.a.</c:v>
                  </c:pt>
                </c:lvl>
              </c:multiLvlStrCache>
            </c:multiLvlStrRef>
          </c:cat>
          <c:val>
            <c:numRef>
              <c:f>Tabelle3!$Y$6:$Y$47</c:f>
              <c:numCache>
                <c:formatCode>0.0</c:formatCode>
                <c:ptCount val="42"/>
                <c:pt idx="0">
                  <c:v>727.65229999999997</c:v>
                </c:pt>
                <c:pt idx="1">
                  <c:v>740.1755000961308</c:v>
                </c:pt>
                <c:pt idx="2">
                  <c:v>745.12333759640956</c:v>
                </c:pt>
                <c:pt idx="3">
                  <c:v>759.66423944334883</c:v>
                </c:pt>
                <c:pt idx="4">
                  <c:v>756.15732864297877</c:v>
                </c:pt>
                <c:pt idx="5">
                  <c:v>772.67260520323589</c:v>
                </c:pt>
                <c:pt idx="6">
                  <c:v>778.26084083368221</c:v>
                </c:pt>
                <c:pt idx="7">
                  <c:v>779.41897318031022</c:v>
                </c:pt>
                <c:pt idx="8">
                  <c:v>786.78167073242514</c:v>
                </c:pt>
                <c:pt idx="9">
                  <c:v>795.82008444189796</c:v>
                </c:pt>
                <c:pt idx="10">
                  <c:v>794.17659600490697</c:v>
                </c:pt>
                <c:pt idx="11">
                  <c:v>806.75398538653212</c:v>
                </c:pt>
                <c:pt idx="12">
                  <c:v>819.15245067051001</c:v>
                </c:pt>
                <c:pt idx="13">
                  <c:v>823.15280854546234</c:v>
                </c:pt>
                <c:pt idx="14">
                  <c:v>828.38837788370347</c:v>
                </c:pt>
                <c:pt idx="15">
                  <c:v>836.91452379185455</c:v>
                </c:pt>
                <c:pt idx="16">
                  <c:v>849.46271226838496</c:v>
                </c:pt>
                <c:pt idx="17">
                  <c:v>859.4707725117903</c:v>
                </c:pt>
                <c:pt idx="18">
                  <c:v>869.87497925570051</c:v>
                </c:pt>
                <c:pt idx="19">
                  <c:v>879.84275150144651</c:v>
                </c:pt>
                <c:pt idx="22">
                  <c:v>727.65229999999997</c:v>
                </c:pt>
                <c:pt idx="23">
                  <c:v>738.27709854074271</c:v>
                </c:pt>
                <c:pt idx="24">
                  <c:v>745.83344205183846</c:v>
                </c:pt>
                <c:pt idx="25">
                  <c:v>763.33731968802556</c:v>
                </c:pt>
                <c:pt idx="26">
                  <c:v>759.43639615475536</c:v>
                </c:pt>
                <c:pt idx="27">
                  <c:v>775.07310067101776</c:v>
                </c:pt>
                <c:pt idx="28">
                  <c:v>782.04768398530655</c:v>
                </c:pt>
                <c:pt idx="29">
                  <c:v>783.160201191787</c:v>
                </c:pt>
                <c:pt idx="30">
                  <c:v>790.74455080290079</c:v>
                </c:pt>
                <c:pt idx="31">
                  <c:v>797.95888616332502</c:v>
                </c:pt>
                <c:pt idx="32">
                  <c:v>795.7062062020608</c:v>
                </c:pt>
                <c:pt idx="33">
                  <c:v>810.17601103466291</c:v>
                </c:pt>
                <c:pt idx="34">
                  <c:v>823.64120949687469</c:v>
                </c:pt>
                <c:pt idx="35">
                  <c:v>823.1145306872819</c:v>
                </c:pt>
                <c:pt idx="36">
                  <c:v>830.65285126961987</c:v>
                </c:pt>
                <c:pt idx="37">
                  <c:v>841.98082410528627</c:v>
                </c:pt>
                <c:pt idx="38">
                  <c:v>850.70413933761995</c:v>
                </c:pt>
                <c:pt idx="39">
                  <c:v>861.6633481020134</c:v>
                </c:pt>
                <c:pt idx="40">
                  <c:v>869.94783289545478</c:v>
                </c:pt>
                <c:pt idx="41">
                  <c:v>878.99053706118411</c:v>
                </c:pt>
              </c:numCache>
            </c:numRef>
          </c:val>
          <c:smooth val="0"/>
          <c:extLst>
            <c:ext xmlns:c16="http://schemas.microsoft.com/office/drawing/2014/chart" uri="{C3380CC4-5D6E-409C-BE32-E72D297353CC}">
              <c16:uniqueId val="{00000001-CD4F-4F24-A6DE-0AFB8E480D2C}"/>
            </c:ext>
          </c:extLst>
        </c:ser>
        <c:ser>
          <c:idx val="2"/>
          <c:order val="2"/>
          <c:spPr>
            <a:ln w="19050">
              <a:solidFill>
                <a:schemeClr val="tx1"/>
              </a:solidFill>
              <a:prstDash val="solid"/>
            </a:ln>
          </c:spPr>
          <c:marker>
            <c:symbol val="none"/>
          </c:marker>
          <c:cat>
            <c:multiLvlStrRef>
              <c:f>Tabelle3!$P$6:$Q$47</c:f>
              <c:multiLvlStrCache>
                <c:ptCount val="42"/>
                <c:lvl>
                  <c:pt idx="0">
                    <c:v>2013Q1</c:v>
                  </c:pt>
                  <c:pt idx="1">
                    <c:v>2013Q2</c:v>
                  </c:pt>
                  <c:pt idx="2">
                    <c:v>2013Q3</c:v>
                  </c:pt>
                  <c:pt idx="3">
                    <c:v>2013Q4</c:v>
                  </c:pt>
                  <c:pt idx="4">
                    <c:v>2014Q1</c:v>
                  </c:pt>
                  <c:pt idx="5">
                    <c:v>2014Q2</c:v>
                  </c:pt>
                  <c:pt idx="6">
                    <c:v>2014Q3</c:v>
                  </c:pt>
                  <c:pt idx="7">
                    <c:v>2014Q4</c:v>
                  </c:pt>
                  <c:pt idx="8">
                    <c:v>2015Q1</c:v>
                  </c:pt>
                  <c:pt idx="9">
                    <c:v>2015Q2</c:v>
                  </c:pt>
                  <c:pt idx="10">
                    <c:v>2015Q3</c:v>
                  </c:pt>
                  <c:pt idx="11">
                    <c:v>2015Q4</c:v>
                  </c:pt>
                  <c:pt idx="12">
                    <c:v>2016Q1</c:v>
                  </c:pt>
                  <c:pt idx="13">
                    <c:v>2016Q2</c:v>
                  </c:pt>
                  <c:pt idx="14">
                    <c:v>2016Q3</c:v>
                  </c:pt>
                  <c:pt idx="15">
                    <c:v>2016Q4</c:v>
                  </c:pt>
                  <c:pt idx="16">
                    <c:v>2017Q1</c:v>
                  </c:pt>
                  <c:pt idx="17">
                    <c:v>2017Q2</c:v>
                  </c:pt>
                  <c:pt idx="18">
                    <c:v>2017Q3</c:v>
                  </c:pt>
                  <c:pt idx="19">
                    <c:v>2017Q4</c:v>
                  </c:pt>
                  <c:pt idx="22">
                    <c:v>2013Q1</c:v>
                  </c:pt>
                  <c:pt idx="23">
                    <c:v>2013Q2</c:v>
                  </c:pt>
                  <c:pt idx="24">
                    <c:v>2013Q3</c:v>
                  </c:pt>
                  <c:pt idx="25">
                    <c:v>2013Q4</c:v>
                  </c:pt>
                  <c:pt idx="26">
                    <c:v>2014Q1</c:v>
                  </c:pt>
                  <c:pt idx="27">
                    <c:v>2014Q2</c:v>
                  </c:pt>
                  <c:pt idx="28">
                    <c:v>2014Q3</c:v>
                  </c:pt>
                  <c:pt idx="29">
                    <c:v>2014Q4</c:v>
                  </c:pt>
                  <c:pt idx="30">
                    <c:v>2015Q1</c:v>
                  </c:pt>
                  <c:pt idx="31">
                    <c:v>2015Q2</c:v>
                  </c:pt>
                  <c:pt idx="32">
                    <c:v>2015Q3</c:v>
                  </c:pt>
                  <c:pt idx="33">
                    <c:v>2015Q4</c:v>
                  </c:pt>
                  <c:pt idx="34">
                    <c:v>2016Q1</c:v>
                  </c:pt>
                  <c:pt idx="35">
                    <c:v>2016Q2</c:v>
                  </c:pt>
                  <c:pt idx="36">
                    <c:v>2016Q3</c:v>
                  </c:pt>
                  <c:pt idx="37">
                    <c:v>2016Q4</c:v>
                  </c:pt>
                  <c:pt idx="38">
                    <c:v>2017Q1</c:v>
                  </c:pt>
                  <c:pt idx="39">
                    <c:v>2017Q2</c:v>
                  </c:pt>
                  <c:pt idx="40">
                    <c:v>2017Q3</c:v>
                  </c:pt>
                  <c:pt idx="41">
                    <c:v>2017Q4</c:v>
                  </c:pt>
                </c:lvl>
                <c:lvl>
                  <c:pt idx="0">
                    <c:v>Energy Threshold 125 kWh/m²/p.a.</c:v>
                  </c:pt>
                  <c:pt idx="22">
                    <c:v>Energy Threshold 200 kWh/m²/p.a.</c:v>
                  </c:pt>
                </c:lvl>
              </c:multiLvlStrCache>
            </c:multiLvlStrRef>
          </c:cat>
          <c:val>
            <c:numRef>
              <c:f>Tabelle3!$Z$6:$Z$47</c:f>
              <c:numCache>
                <c:formatCode>0.0</c:formatCode>
                <c:ptCount val="42"/>
                <c:pt idx="0">
                  <c:v>440.3802</c:v>
                </c:pt>
                <c:pt idx="1">
                  <c:v>435.77868706327098</c:v>
                </c:pt>
                <c:pt idx="2">
                  <c:v>435.70283844375211</c:v>
                </c:pt>
                <c:pt idx="3">
                  <c:v>437.72090510731516</c:v>
                </c:pt>
                <c:pt idx="4">
                  <c:v>444.58745939194159</c:v>
                </c:pt>
                <c:pt idx="5">
                  <c:v>450.92426650604966</c:v>
                </c:pt>
                <c:pt idx="6">
                  <c:v>451.12152486404716</c:v>
                </c:pt>
                <c:pt idx="7">
                  <c:v>453.48105387939034</c:v>
                </c:pt>
                <c:pt idx="8">
                  <c:v>457.11324291927599</c:v>
                </c:pt>
                <c:pt idx="9">
                  <c:v>459.88672095539539</c:v>
                </c:pt>
                <c:pt idx="10">
                  <c:v>460.68303237479864</c:v>
                </c:pt>
                <c:pt idx="11">
                  <c:v>466.60635634634417</c:v>
                </c:pt>
                <c:pt idx="12">
                  <c:v>472.02006565667062</c:v>
                </c:pt>
                <c:pt idx="13">
                  <c:v>476.39331531145916</c:v>
                </c:pt>
                <c:pt idx="14">
                  <c:v>479.63771594019744</c:v>
                </c:pt>
                <c:pt idx="15">
                  <c:v>483.22741190190072</c:v>
                </c:pt>
                <c:pt idx="16">
                  <c:v>487.0844292141287</c:v>
                </c:pt>
                <c:pt idx="17">
                  <c:v>493.53493408461503</c:v>
                </c:pt>
                <c:pt idx="18">
                  <c:v>496.30728465934641</c:v>
                </c:pt>
                <c:pt idx="19">
                  <c:v>498.14021183167381</c:v>
                </c:pt>
                <c:pt idx="22">
                  <c:v>440.3802</c:v>
                </c:pt>
                <c:pt idx="23">
                  <c:v>434.91839756071596</c:v>
                </c:pt>
                <c:pt idx="24">
                  <c:v>432.69294397070746</c:v>
                </c:pt>
                <c:pt idx="25">
                  <c:v>427.5655860283743</c:v>
                </c:pt>
                <c:pt idx="26">
                  <c:v>444.31851030812152</c:v>
                </c:pt>
                <c:pt idx="27">
                  <c:v>450.58671609562413</c:v>
                </c:pt>
                <c:pt idx="28">
                  <c:v>447.2518228405383</c:v>
                </c:pt>
                <c:pt idx="29">
                  <c:v>450.14485370798502</c:v>
                </c:pt>
                <c:pt idx="30">
                  <c:v>454.83991903269117</c:v>
                </c:pt>
                <c:pt idx="31">
                  <c:v>457.39760944966997</c:v>
                </c:pt>
                <c:pt idx="32">
                  <c:v>458.34914727099584</c:v>
                </c:pt>
                <c:pt idx="33">
                  <c:v>465.45439132321593</c:v>
                </c:pt>
                <c:pt idx="34">
                  <c:v>470.77463843543023</c:v>
                </c:pt>
                <c:pt idx="35">
                  <c:v>472.49312409325972</c:v>
                </c:pt>
                <c:pt idx="36">
                  <c:v>479.56475612671483</c:v>
                </c:pt>
                <c:pt idx="37">
                  <c:v>477.04308110344243</c:v>
                </c:pt>
                <c:pt idx="38">
                  <c:v>483.29531601857389</c:v>
                </c:pt>
                <c:pt idx="39">
                  <c:v>493.37071058309277</c:v>
                </c:pt>
                <c:pt idx="40">
                  <c:v>498.69874225206445</c:v>
                </c:pt>
                <c:pt idx="41">
                  <c:v>497.82535606255141</c:v>
                </c:pt>
              </c:numCache>
            </c:numRef>
          </c:val>
          <c:smooth val="0"/>
          <c:extLst>
            <c:ext xmlns:c16="http://schemas.microsoft.com/office/drawing/2014/chart" uri="{C3380CC4-5D6E-409C-BE32-E72D297353CC}">
              <c16:uniqueId val="{00000002-CD4F-4F24-A6DE-0AFB8E480D2C}"/>
            </c:ext>
          </c:extLst>
        </c:ser>
        <c:ser>
          <c:idx val="3"/>
          <c:order val="3"/>
          <c:spPr>
            <a:ln w="19050">
              <a:solidFill>
                <a:schemeClr val="tx1"/>
              </a:solidFill>
              <a:prstDash val="sysDash"/>
            </a:ln>
          </c:spPr>
          <c:marker>
            <c:symbol val="none"/>
          </c:marker>
          <c:dPt>
            <c:idx val="0"/>
            <c:bubble3D val="0"/>
            <c:spPr>
              <a:ln w="19050">
                <a:solidFill>
                  <a:schemeClr val="tx1"/>
                </a:solidFill>
                <a:prstDash val="solid"/>
              </a:ln>
            </c:spPr>
            <c:extLst>
              <c:ext xmlns:c16="http://schemas.microsoft.com/office/drawing/2014/chart" uri="{C3380CC4-5D6E-409C-BE32-E72D297353CC}">
                <c16:uniqueId val="{00000004-CD4F-4F24-A6DE-0AFB8E480D2C}"/>
              </c:ext>
            </c:extLst>
          </c:dPt>
          <c:dPt>
            <c:idx val="22"/>
            <c:bubble3D val="0"/>
            <c:spPr>
              <a:ln w="19050">
                <a:solidFill>
                  <a:schemeClr val="tx1"/>
                </a:solidFill>
                <a:prstDash val="solid"/>
              </a:ln>
            </c:spPr>
            <c:extLst>
              <c:ext xmlns:c16="http://schemas.microsoft.com/office/drawing/2014/chart" uri="{C3380CC4-5D6E-409C-BE32-E72D297353CC}">
                <c16:uniqueId val="{00000006-CD4F-4F24-A6DE-0AFB8E480D2C}"/>
              </c:ext>
            </c:extLst>
          </c:dPt>
          <c:cat>
            <c:multiLvlStrRef>
              <c:f>Tabelle3!$P$6:$Q$47</c:f>
              <c:multiLvlStrCache>
                <c:ptCount val="42"/>
                <c:lvl>
                  <c:pt idx="0">
                    <c:v>2013Q1</c:v>
                  </c:pt>
                  <c:pt idx="1">
                    <c:v>2013Q2</c:v>
                  </c:pt>
                  <c:pt idx="2">
                    <c:v>2013Q3</c:v>
                  </c:pt>
                  <c:pt idx="3">
                    <c:v>2013Q4</c:v>
                  </c:pt>
                  <c:pt idx="4">
                    <c:v>2014Q1</c:v>
                  </c:pt>
                  <c:pt idx="5">
                    <c:v>2014Q2</c:v>
                  </c:pt>
                  <c:pt idx="6">
                    <c:v>2014Q3</c:v>
                  </c:pt>
                  <c:pt idx="7">
                    <c:v>2014Q4</c:v>
                  </c:pt>
                  <c:pt idx="8">
                    <c:v>2015Q1</c:v>
                  </c:pt>
                  <c:pt idx="9">
                    <c:v>2015Q2</c:v>
                  </c:pt>
                  <c:pt idx="10">
                    <c:v>2015Q3</c:v>
                  </c:pt>
                  <c:pt idx="11">
                    <c:v>2015Q4</c:v>
                  </c:pt>
                  <c:pt idx="12">
                    <c:v>2016Q1</c:v>
                  </c:pt>
                  <c:pt idx="13">
                    <c:v>2016Q2</c:v>
                  </c:pt>
                  <c:pt idx="14">
                    <c:v>2016Q3</c:v>
                  </c:pt>
                  <c:pt idx="15">
                    <c:v>2016Q4</c:v>
                  </c:pt>
                  <c:pt idx="16">
                    <c:v>2017Q1</c:v>
                  </c:pt>
                  <c:pt idx="17">
                    <c:v>2017Q2</c:v>
                  </c:pt>
                  <c:pt idx="18">
                    <c:v>2017Q3</c:v>
                  </c:pt>
                  <c:pt idx="19">
                    <c:v>2017Q4</c:v>
                  </c:pt>
                  <c:pt idx="22">
                    <c:v>2013Q1</c:v>
                  </c:pt>
                  <c:pt idx="23">
                    <c:v>2013Q2</c:v>
                  </c:pt>
                  <c:pt idx="24">
                    <c:v>2013Q3</c:v>
                  </c:pt>
                  <c:pt idx="25">
                    <c:v>2013Q4</c:v>
                  </c:pt>
                  <c:pt idx="26">
                    <c:v>2014Q1</c:v>
                  </c:pt>
                  <c:pt idx="27">
                    <c:v>2014Q2</c:v>
                  </c:pt>
                  <c:pt idx="28">
                    <c:v>2014Q3</c:v>
                  </c:pt>
                  <c:pt idx="29">
                    <c:v>2014Q4</c:v>
                  </c:pt>
                  <c:pt idx="30">
                    <c:v>2015Q1</c:v>
                  </c:pt>
                  <c:pt idx="31">
                    <c:v>2015Q2</c:v>
                  </c:pt>
                  <c:pt idx="32">
                    <c:v>2015Q3</c:v>
                  </c:pt>
                  <c:pt idx="33">
                    <c:v>2015Q4</c:v>
                  </c:pt>
                  <c:pt idx="34">
                    <c:v>2016Q1</c:v>
                  </c:pt>
                  <c:pt idx="35">
                    <c:v>2016Q2</c:v>
                  </c:pt>
                  <c:pt idx="36">
                    <c:v>2016Q3</c:v>
                  </c:pt>
                  <c:pt idx="37">
                    <c:v>2016Q4</c:v>
                  </c:pt>
                  <c:pt idx="38">
                    <c:v>2017Q1</c:v>
                  </c:pt>
                  <c:pt idx="39">
                    <c:v>2017Q2</c:v>
                  </c:pt>
                  <c:pt idx="40">
                    <c:v>2017Q3</c:v>
                  </c:pt>
                  <c:pt idx="41">
                    <c:v>2017Q4</c:v>
                  </c:pt>
                </c:lvl>
                <c:lvl>
                  <c:pt idx="0">
                    <c:v>Energy Threshold 125 kWh/m²/p.a.</c:v>
                  </c:pt>
                  <c:pt idx="22">
                    <c:v>Energy Threshold 200 kWh/m²/p.a.</c:v>
                  </c:pt>
                </c:lvl>
              </c:multiLvlStrCache>
            </c:multiLvlStrRef>
          </c:cat>
          <c:val>
            <c:numRef>
              <c:f>Tabelle3!$AA$6:$AA$47</c:f>
              <c:numCache>
                <c:formatCode>0.0</c:formatCode>
                <c:ptCount val="42"/>
                <c:pt idx="0">
                  <c:v>466.57380000000001</c:v>
                </c:pt>
                <c:pt idx="1">
                  <c:v>464.4332055964062</c:v>
                </c:pt>
                <c:pt idx="2">
                  <c:v>463.16430897042773</c:v>
                </c:pt>
                <c:pt idx="3">
                  <c:v>465.46447217351005</c:v>
                </c:pt>
                <c:pt idx="4">
                  <c:v>471.90198321383042</c:v>
                </c:pt>
                <c:pt idx="5">
                  <c:v>478.45736801260398</c:v>
                </c:pt>
                <c:pt idx="6">
                  <c:v>479.35684727393692</c:v>
                </c:pt>
                <c:pt idx="7">
                  <c:v>482.29555768749896</c:v>
                </c:pt>
                <c:pt idx="8">
                  <c:v>485.89627291588153</c:v>
                </c:pt>
                <c:pt idx="9">
                  <c:v>488.08748941034082</c:v>
                </c:pt>
                <c:pt idx="10">
                  <c:v>490.69049246296458</c:v>
                </c:pt>
                <c:pt idx="11">
                  <c:v>495.24276386731145</c:v>
                </c:pt>
                <c:pt idx="12">
                  <c:v>501.20091385946733</c:v>
                </c:pt>
                <c:pt idx="13">
                  <c:v>504.35285325868216</c:v>
                </c:pt>
                <c:pt idx="14">
                  <c:v>507.72217004452023</c:v>
                </c:pt>
                <c:pt idx="15">
                  <c:v>510.33764508139183</c:v>
                </c:pt>
                <c:pt idx="16">
                  <c:v>514.61250812765638</c:v>
                </c:pt>
                <c:pt idx="17">
                  <c:v>518.96438043936018</c:v>
                </c:pt>
                <c:pt idx="18">
                  <c:v>520.94387255535696</c:v>
                </c:pt>
                <c:pt idx="19">
                  <c:v>526.15585299814154</c:v>
                </c:pt>
                <c:pt idx="22">
                  <c:v>466.57380000000001</c:v>
                </c:pt>
                <c:pt idx="23">
                  <c:v>463.11205471109503</c:v>
                </c:pt>
                <c:pt idx="24">
                  <c:v>462.45742773445909</c:v>
                </c:pt>
                <c:pt idx="25">
                  <c:v>465.11067220038501</c:v>
                </c:pt>
                <c:pt idx="26">
                  <c:v>471.19427721535556</c:v>
                </c:pt>
                <c:pt idx="27">
                  <c:v>477.78864756779313</c:v>
                </c:pt>
                <c:pt idx="28">
                  <c:v>478.66771310559898</c:v>
                </c:pt>
                <c:pt idx="29">
                  <c:v>481.35210851125402</c:v>
                </c:pt>
                <c:pt idx="30">
                  <c:v>484.98451973087896</c:v>
                </c:pt>
                <c:pt idx="31">
                  <c:v>487.52543389498419</c:v>
                </c:pt>
                <c:pt idx="32">
                  <c:v>489.38766808328637</c:v>
                </c:pt>
                <c:pt idx="33">
                  <c:v>494.59145231744105</c:v>
                </c:pt>
                <c:pt idx="34">
                  <c:v>500.4654755541535</c:v>
                </c:pt>
                <c:pt idx="35">
                  <c:v>504.4241928592761</c:v>
                </c:pt>
                <c:pt idx="36">
                  <c:v>507.56331575614911</c:v>
                </c:pt>
                <c:pt idx="37">
                  <c:v>511.06209249432897</c:v>
                </c:pt>
                <c:pt idx="38">
                  <c:v>515.10968091058032</c:v>
                </c:pt>
                <c:pt idx="39">
                  <c:v>520.23731479500418</c:v>
                </c:pt>
                <c:pt idx="40">
                  <c:v>522.43309802050317</c:v>
                </c:pt>
                <c:pt idx="41">
                  <c:v>526.48956160357818</c:v>
                </c:pt>
              </c:numCache>
            </c:numRef>
          </c:val>
          <c:smooth val="0"/>
          <c:extLst>
            <c:ext xmlns:c16="http://schemas.microsoft.com/office/drawing/2014/chart" uri="{C3380CC4-5D6E-409C-BE32-E72D297353CC}">
              <c16:uniqueId val="{00000007-CD4F-4F24-A6DE-0AFB8E480D2C}"/>
            </c:ext>
          </c:extLst>
        </c:ser>
        <c:dLbls>
          <c:showLegendKey val="0"/>
          <c:showVal val="0"/>
          <c:showCatName val="0"/>
          <c:showSerName val="0"/>
          <c:showPercent val="0"/>
          <c:showBubbleSize val="0"/>
        </c:dLbls>
        <c:smooth val="0"/>
        <c:axId val="428289024"/>
        <c:axId val="428290816"/>
      </c:lineChart>
      <c:catAx>
        <c:axId val="428289024"/>
        <c:scaling>
          <c:orientation val="minMax"/>
        </c:scaling>
        <c:delete val="0"/>
        <c:axPos val="b"/>
        <c:numFmt formatCode="General" sourceLinked="0"/>
        <c:majorTickMark val="out"/>
        <c:minorTickMark val="none"/>
        <c:tickLblPos val="nextTo"/>
        <c:crossAx val="428290816"/>
        <c:crosses val="autoZero"/>
        <c:auto val="1"/>
        <c:lblAlgn val="ctr"/>
        <c:lblOffset val="100"/>
        <c:noMultiLvlLbl val="0"/>
      </c:catAx>
      <c:valAx>
        <c:axId val="428290816"/>
        <c:scaling>
          <c:orientation val="minMax"/>
          <c:max val="900"/>
          <c:min val="400"/>
        </c:scaling>
        <c:delete val="0"/>
        <c:axPos val="l"/>
        <c:majorGridlines>
          <c:spPr>
            <a:ln>
              <a:prstDash val="dash"/>
            </a:ln>
          </c:spPr>
        </c:majorGridlines>
        <c:title>
          <c:tx>
            <c:rich>
              <a:bodyPr rot="-5400000" vert="horz"/>
              <a:lstStyle/>
              <a:p>
                <a:pPr>
                  <a:defRPr/>
                </a:pPr>
                <a:r>
                  <a:rPr lang="de-DE"/>
                  <a:t>Mean asking rents in €/p.m.</a:t>
                </a:r>
              </a:p>
            </c:rich>
          </c:tx>
          <c:layout>
            <c:manualLayout>
              <c:xMode val="edge"/>
              <c:yMode val="edge"/>
              <c:x val="0"/>
              <c:y val="0.20408779819582565"/>
            </c:manualLayout>
          </c:layout>
          <c:overlay val="0"/>
        </c:title>
        <c:numFmt formatCode="_(&quot;€&quot;* #,##0_);_(&quot;€&quot;* \(#,##0\);_(&quot;€&quot;* &quot;-&quot;_);_(@_)" sourceLinked="0"/>
        <c:majorTickMark val="out"/>
        <c:minorTickMark val="none"/>
        <c:tickLblPos val="high"/>
        <c:spPr>
          <a:ln>
            <a:noFill/>
          </a:ln>
        </c:spPr>
        <c:crossAx val="428289024"/>
        <c:crosses val="autoZero"/>
        <c:crossBetween val="between"/>
        <c:majorUnit val="50"/>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48775536795128"/>
          <c:y val="5.128960857000054E-2"/>
          <c:w val="0.84276631762175558"/>
          <c:h val="0.58628567181404367"/>
        </c:manualLayout>
      </c:layout>
      <c:areaChart>
        <c:grouping val="standard"/>
        <c:varyColors val="0"/>
        <c:ser>
          <c:idx val="3"/>
          <c:order val="3"/>
          <c:tx>
            <c:strRef>
              <c:f>Tabelle2!$G$63</c:f>
              <c:strCache>
                <c:ptCount val="1"/>
                <c:pt idx="0">
                  <c:v>All sample</c:v>
                </c:pt>
              </c:strCache>
            </c:strRef>
          </c:tx>
          <c:spPr>
            <a:solidFill>
              <a:srgbClr val="FFC000">
                <a:alpha val="30000"/>
              </a:srgbClr>
            </a:solidFill>
          </c:spPr>
          <c:cat>
            <c:multiLvlStrRef>
              <c:f>Tabelle2!$B$64:$C$94</c:f>
              <c:multiLvlStrCache>
                <c:ptCount val="31"/>
                <c:lvl>
                  <c:pt idx="0">
                    <c:v>EPC - A+</c:v>
                  </c:pt>
                  <c:pt idx="1">
                    <c:v>EPC - A </c:v>
                  </c:pt>
                  <c:pt idx="2">
                    <c:v>EPC - B</c:v>
                  </c:pt>
                  <c:pt idx="3">
                    <c:v>EPC - C</c:v>
                  </c:pt>
                  <c:pt idx="4">
                    <c:v>EPC - D Ref: D</c:v>
                  </c:pt>
                  <c:pt idx="5">
                    <c:v>EPC - E</c:v>
                  </c:pt>
                  <c:pt idx="6">
                    <c:v>EPC - F </c:v>
                  </c:pt>
                  <c:pt idx="7">
                    <c:v>EPC - G </c:v>
                  </c:pt>
                  <c:pt idx="8">
                    <c:v>EPC - H</c:v>
                  </c:pt>
                  <c:pt idx="11">
                    <c:v>EPC - A+</c:v>
                  </c:pt>
                  <c:pt idx="12">
                    <c:v>EPC - A </c:v>
                  </c:pt>
                  <c:pt idx="13">
                    <c:v>EPC - B</c:v>
                  </c:pt>
                  <c:pt idx="14">
                    <c:v>EPC - C</c:v>
                  </c:pt>
                  <c:pt idx="15">
                    <c:v>EPC - D Ref: D</c:v>
                  </c:pt>
                  <c:pt idx="16">
                    <c:v>EPC - E</c:v>
                  </c:pt>
                  <c:pt idx="17">
                    <c:v>EPC - F </c:v>
                  </c:pt>
                  <c:pt idx="18">
                    <c:v>EPC - G </c:v>
                  </c:pt>
                  <c:pt idx="19">
                    <c:v>EPC - H</c:v>
                  </c:pt>
                  <c:pt idx="22">
                    <c:v>EPC - A+</c:v>
                  </c:pt>
                  <c:pt idx="23">
                    <c:v>EPC - A </c:v>
                  </c:pt>
                  <c:pt idx="24">
                    <c:v>EPC - B</c:v>
                  </c:pt>
                  <c:pt idx="25">
                    <c:v>EPC - C</c:v>
                  </c:pt>
                  <c:pt idx="26">
                    <c:v>EPC - D Ref: D</c:v>
                  </c:pt>
                  <c:pt idx="27">
                    <c:v>EPC - E</c:v>
                  </c:pt>
                  <c:pt idx="28">
                    <c:v>EPC - F </c:v>
                  </c:pt>
                  <c:pt idx="29">
                    <c:v>EPC - G </c:v>
                  </c:pt>
                  <c:pt idx="30">
                    <c:v>EPC - H</c:v>
                  </c:pt>
                </c:lvl>
                <c:lvl>
                  <c:pt idx="0">
                    <c:v>Germany </c:v>
                  </c:pt>
                  <c:pt idx="11">
                    <c:v>Top 7 markets</c:v>
                  </c:pt>
                  <c:pt idx="22">
                    <c:v>Secondary markets</c:v>
                  </c:pt>
                </c:lvl>
              </c:multiLvlStrCache>
            </c:multiLvlStrRef>
          </c:cat>
          <c:val>
            <c:numRef>
              <c:f>Tabelle2!$G$64:$G$94</c:f>
              <c:numCache>
                <c:formatCode>General</c:formatCode>
                <c:ptCount val="31"/>
                <c:pt idx="22">
                  <c:v>1</c:v>
                </c:pt>
                <c:pt idx="23">
                  <c:v>0.96025154769006427</c:v>
                </c:pt>
                <c:pt idx="24">
                  <c:v>1.0190084024634833</c:v>
                </c:pt>
                <c:pt idx="25">
                  <c:v>1.0200075201856187</c:v>
                </c:pt>
                <c:pt idx="26">
                  <c:v>1</c:v>
                </c:pt>
                <c:pt idx="27">
                  <c:v>0.97746773044501567</c:v>
                </c:pt>
                <c:pt idx="28">
                  <c:v>0.9499841298007341</c:v>
                </c:pt>
                <c:pt idx="29">
                  <c:v>0.90333663391746832</c:v>
                </c:pt>
                <c:pt idx="30">
                  <c:v>0.86730896904869048</c:v>
                </c:pt>
              </c:numCache>
            </c:numRef>
          </c:val>
          <c:extLst>
            <c:ext xmlns:c16="http://schemas.microsoft.com/office/drawing/2014/chart" uri="{C3380CC4-5D6E-409C-BE32-E72D297353CC}">
              <c16:uniqueId val="{00000000-7954-4848-9D62-476132B52885}"/>
            </c:ext>
          </c:extLst>
        </c:ser>
        <c:dLbls>
          <c:showLegendKey val="0"/>
          <c:showVal val="0"/>
          <c:showCatName val="0"/>
          <c:showSerName val="0"/>
          <c:showPercent val="0"/>
          <c:showBubbleSize val="0"/>
        </c:dLbls>
        <c:axId val="428417024"/>
        <c:axId val="428418944"/>
      </c:areaChart>
      <c:areaChart>
        <c:grouping val="standard"/>
        <c:varyColors val="0"/>
        <c:ser>
          <c:idx val="0"/>
          <c:order val="0"/>
          <c:tx>
            <c:strRef>
              <c:f>Tabelle2!$D$63</c:f>
              <c:strCache>
                <c:ptCount val="1"/>
                <c:pt idx="0">
                  <c:v>All sample</c:v>
                </c:pt>
              </c:strCache>
            </c:strRef>
          </c:tx>
          <c:spPr>
            <a:solidFill>
              <a:srgbClr val="FFC000">
                <a:alpha val="30000"/>
              </a:srgbClr>
            </a:solidFill>
          </c:spPr>
          <c:cat>
            <c:multiLvlStrRef>
              <c:f>Tabelle2!$B$64:$C$94</c:f>
              <c:multiLvlStrCache>
                <c:ptCount val="31"/>
                <c:lvl>
                  <c:pt idx="0">
                    <c:v>EPC - A+</c:v>
                  </c:pt>
                  <c:pt idx="1">
                    <c:v>EPC - A </c:v>
                  </c:pt>
                  <c:pt idx="2">
                    <c:v>EPC - B</c:v>
                  </c:pt>
                  <c:pt idx="3">
                    <c:v>EPC - C</c:v>
                  </c:pt>
                  <c:pt idx="4">
                    <c:v>EPC - D Ref: D</c:v>
                  </c:pt>
                  <c:pt idx="5">
                    <c:v>EPC - E</c:v>
                  </c:pt>
                  <c:pt idx="6">
                    <c:v>EPC - F </c:v>
                  </c:pt>
                  <c:pt idx="7">
                    <c:v>EPC - G </c:v>
                  </c:pt>
                  <c:pt idx="8">
                    <c:v>EPC - H</c:v>
                  </c:pt>
                  <c:pt idx="11">
                    <c:v>EPC - A+</c:v>
                  </c:pt>
                  <c:pt idx="12">
                    <c:v>EPC - A </c:v>
                  </c:pt>
                  <c:pt idx="13">
                    <c:v>EPC - B</c:v>
                  </c:pt>
                  <c:pt idx="14">
                    <c:v>EPC - C</c:v>
                  </c:pt>
                  <c:pt idx="15">
                    <c:v>EPC - D Ref: D</c:v>
                  </c:pt>
                  <c:pt idx="16">
                    <c:v>EPC - E</c:v>
                  </c:pt>
                  <c:pt idx="17">
                    <c:v>EPC - F </c:v>
                  </c:pt>
                  <c:pt idx="18">
                    <c:v>EPC - G </c:v>
                  </c:pt>
                  <c:pt idx="19">
                    <c:v>EPC - H</c:v>
                  </c:pt>
                  <c:pt idx="22">
                    <c:v>EPC - A+</c:v>
                  </c:pt>
                  <c:pt idx="23">
                    <c:v>EPC - A </c:v>
                  </c:pt>
                  <c:pt idx="24">
                    <c:v>EPC - B</c:v>
                  </c:pt>
                  <c:pt idx="25">
                    <c:v>EPC - C</c:v>
                  </c:pt>
                  <c:pt idx="26">
                    <c:v>EPC - D Ref: D</c:v>
                  </c:pt>
                  <c:pt idx="27">
                    <c:v>EPC - E</c:v>
                  </c:pt>
                  <c:pt idx="28">
                    <c:v>EPC - F </c:v>
                  </c:pt>
                  <c:pt idx="29">
                    <c:v>EPC - G </c:v>
                  </c:pt>
                  <c:pt idx="30">
                    <c:v>EPC - H</c:v>
                  </c:pt>
                </c:lvl>
                <c:lvl>
                  <c:pt idx="0">
                    <c:v>Germany </c:v>
                  </c:pt>
                  <c:pt idx="11">
                    <c:v>Top 7 markets</c:v>
                  </c:pt>
                  <c:pt idx="22">
                    <c:v>Secondary markets</c:v>
                  </c:pt>
                </c:lvl>
              </c:multiLvlStrCache>
            </c:multiLvlStrRef>
          </c:cat>
          <c:val>
            <c:numRef>
              <c:f>Tabelle2!$D$64:$D$94</c:f>
              <c:numCache>
                <c:formatCode>0.000</c:formatCode>
                <c:ptCount val="31"/>
                <c:pt idx="0">
                  <c:v>1</c:v>
                </c:pt>
                <c:pt idx="1">
                  <c:v>0.97</c:v>
                </c:pt>
                <c:pt idx="2">
                  <c:v>1.01</c:v>
                </c:pt>
                <c:pt idx="3">
                  <c:v>1.0069999999999999</c:v>
                </c:pt>
                <c:pt idx="4">
                  <c:v>1</c:v>
                </c:pt>
                <c:pt idx="5">
                  <c:v>0.96</c:v>
                </c:pt>
                <c:pt idx="6">
                  <c:v>0.94499999999999995</c:v>
                </c:pt>
                <c:pt idx="7">
                  <c:v>0.89300000000000002</c:v>
                </c:pt>
                <c:pt idx="8">
                  <c:v>0.86199999999999999</c:v>
                </c:pt>
                <c:pt idx="11" formatCode="General">
                  <c:v>1</c:v>
                </c:pt>
                <c:pt idx="12" formatCode="General">
                  <c:v>1</c:v>
                </c:pt>
                <c:pt idx="13" formatCode="General">
                  <c:v>0.97815219739180959</c:v>
                </c:pt>
                <c:pt idx="14" formatCode="General">
                  <c:v>0.97656887367052192</c:v>
                </c:pt>
                <c:pt idx="15" formatCode="General">
                  <c:v>1</c:v>
                </c:pt>
                <c:pt idx="16" formatCode="General">
                  <c:v>0.9247886999970466</c:v>
                </c:pt>
                <c:pt idx="17" formatCode="General">
                  <c:v>0.91570593271905887</c:v>
                </c:pt>
                <c:pt idx="18" formatCode="General">
                  <c:v>0.87136006055668347</c:v>
                </c:pt>
                <c:pt idx="19" formatCode="General">
                  <c:v>0.83162804451823891</c:v>
                </c:pt>
              </c:numCache>
            </c:numRef>
          </c:val>
          <c:extLst>
            <c:ext xmlns:c16="http://schemas.microsoft.com/office/drawing/2014/chart" uri="{C3380CC4-5D6E-409C-BE32-E72D297353CC}">
              <c16:uniqueId val="{00000001-7954-4848-9D62-476132B52885}"/>
            </c:ext>
          </c:extLst>
        </c:ser>
        <c:dLbls>
          <c:showLegendKey val="0"/>
          <c:showVal val="0"/>
          <c:showCatName val="0"/>
          <c:showSerName val="0"/>
          <c:showPercent val="0"/>
          <c:showBubbleSize val="0"/>
        </c:dLbls>
        <c:axId val="428427136"/>
        <c:axId val="428425216"/>
      </c:areaChart>
      <c:lineChart>
        <c:grouping val="standard"/>
        <c:varyColors val="0"/>
        <c:ser>
          <c:idx val="1"/>
          <c:order val="1"/>
          <c:tx>
            <c:strRef>
              <c:f>Tabelle2!$E$63</c:f>
              <c:strCache>
                <c:ptCount val="1"/>
                <c:pt idx="0">
                  <c:v>Refurbished</c:v>
                </c:pt>
              </c:strCache>
            </c:strRef>
          </c:tx>
          <c:spPr>
            <a:ln w="19050">
              <a:solidFill>
                <a:schemeClr val="tx1"/>
              </a:solidFill>
            </a:ln>
          </c:spPr>
          <c:marker>
            <c:symbol val="circle"/>
            <c:size val="5"/>
            <c:spPr>
              <a:solidFill>
                <a:schemeClr val="tx1"/>
              </a:solidFill>
              <a:ln>
                <a:solidFill>
                  <a:schemeClr val="tx1"/>
                </a:solidFill>
              </a:ln>
            </c:spPr>
          </c:marker>
          <c:cat>
            <c:multiLvlStrRef>
              <c:f>Tabelle2!$B$64:$C$94</c:f>
              <c:multiLvlStrCache>
                <c:ptCount val="31"/>
                <c:lvl>
                  <c:pt idx="0">
                    <c:v>EPC - A+</c:v>
                  </c:pt>
                  <c:pt idx="1">
                    <c:v>EPC - A </c:v>
                  </c:pt>
                  <c:pt idx="2">
                    <c:v>EPC - B</c:v>
                  </c:pt>
                  <c:pt idx="3">
                    <c:v>EPC - C</c:v>
                  </c:pt>
                  <c:pt idx="4">
                    <c:v>EPC - D Ref: D</c:v>
                  </c:pt>
                  <c:pt idx="5">
                    <c:v>EPC - E</c:v>
                  </c:pt>
                  <c:pt idx="6">
                    <c:v>EPC - F </c:v>
                  </c:pt>
                  <c:pt idx="7">
                    <c:v>EPC - G </c:v>
                  </c:pt>
                  <c:pt idx="8">
                    <c:v>EPC - H</c:v>
                  </c:pt>
                  <c:pt idx="11">
                    <c:v>EPC - A+</c:v>
                  </c:pt>
                  <c:pt idx="12">
                    <c:v>EPC - A </c:v>
                  </c:pt>
                  <c:pt idx="13">
                    <c:v>EPC - B</c:v>
                  </c:pt>
                  <c:pt idx="14">
                    <c:v>EPC - C</c:v>
                  </c:pt>
                  <c:pt idx="15">
                    <c:v>EPC - D Ref: D</c:v>
                  </c:pt>
                  <c:pt idx="16">
                    <c:v>EPC - E</c:v>
                  </c:pt>
                  <c:pt idx="17">
                    <c:v>EPC - F </c:v>
                  </c:pt>
                  <c:pt idx="18">
                    <c:v>EPC - G </c:v>
                  </c:pt>
                  <c:pt idx="19">
                    <c:v>EPC - H</c:v>
                  </c:pt>
                  <c:pt idx="22">
                    <c:v>EPC - A+</c:v>
                  </c:pt>
                  <c:pt idx="23">
                    <c:v>EPC - A </c:v>
                  </c:pt>
                  <c:pt idx="24">
                    <c:v>EPC - B</c:v>
                  </c:pt>
                  <c:pt idx="25">
                    <c:v>EPC - C</c:v>
                  </c:pt>
                  <c:pt idx="26">
                    <c:v>EPC - D Ref: D</c:v>
                  </c:pt>
                  <c:pt idx="27">
                    <c:v>EPC - E</c:v>
                  </c:pt>
                  <c:pt idx="28">
                    <c:v>EPC - F </c:v>
                  </c:pt>
                  <c:pt idx="29">
                    <c:v>EPC - G </c:v>
                  </c:pt>
                  <c:pt idx="30">
                    <c:v>EPC - H</c:v>
                  </c:pt>
                </c:lvl>
                <c:lvl>
                  <c:pt idx="0">
                    <c:v>Germany </c:v>
                  </c:pt>
                  <c:pt idx="11">
                    <c:v>Top 7 markets</c:v>
                  </c:pt>
                  <c:pt idx="22">
                    <c:v>Secondary markets</c:v>
                  </c:pt>
                </c:lvl>
              </c:multiLvlStrCache>
            </c:multiLvlStrRef>
          </c:cat>
          <c:val>
            <c:numRef>
              <c:f>Tabelle2!$E$64:$E$94</c:f>
              <c:numCache>
                <c:formatCode>General</c:formatCode>
                <c:ptCount val="31"/>
                <c:pt idx="11">
                  <c:v>0.86299187739481142</c:v>
                </c:pt>
                <c:pt idx="12">
                  <c:v>1</c:v>
                </c:pt>
                <c:pt idx="13">
                  <c:v>0.9423768795219486</c:v>
                </c:pt>
                <c:pt idx="14">
                  <c:v>0.94891125402303655</c:v>
                </c:pt>
                <c:pt idx="15">
                  <c:v>1</c:v>
                </c:pt>
                <c:pt idx="16">
                  <c:v>0.89706226914147791</c:v>
                </c:pt>
                <c:pt idx="17">
                  <c:v>0.9208206460172238</c:v>
                </c:pt>
                <c:pt idx="18">
                  <c:v>0.89432145418344833</c:v>
                </c:pt>
                <c:pt idx="19">
                  <c:v>0.82940226523537208</c:v>
                </c:pt>
              </c:numCache>
            </c:numRef>
          </c:val>
          <c:smooth val="0"/>
          <c:extLst>
            <c:ext xmlns:c16="http://schemas.microsoft.com/office/drawing/2014/chart" uri="{C3380CC4-5D6E-409C-BE32-E72D297353CC}">
              <c16:uniqueId val="{00000002-7954-4848-9D62-476132B52885}"/>
            </c:ext>
          </c:extLst>
        </c:ser>
        <c:ser>
          <c:idx val="2"/>
          <c:order val="2"/>
          <c:tx>
            <c:strRef>
              <c:f>Tabelle2!$F$63</c:f>
              <c:strCache>
                <c:ptCount val="1"/>
                <c:pt idx="0">
                  <c:v>Existing</c:v>
                </c:pt>
              </c:strCache>
            </c:strRef>
          </c:tx>
          <c:spPr>
            <a:ln w="22225">
              <a:solidFill>
                <a:schemeClr val="tx1"/>
              </a:solidFill>
            </a:ln>
          </c:spPr>
          <c:marker>
            <c:symbol val="circle"/>
            <c:size val="5"/>
            <c:spPr>
              <a:solidFill>
                <a:schemeClr val="bg1"/>
              </a:solidFill>
            </c:spPr>
          </c:marker>
          <c:cat>
            <c:multiLvlStrRef>
              <c:f>Tabelle2!$B$64:$C$94</c:f>
              <c:multiLvlStrCache>
                <c:ptCount val="31"/>
                <c:lvl>
                  <c:pt idx="0">
                    <c:v>EPC - A+</c:v>
                  </c:pt>
                  <c:pt idx="1">
                    <c:v>EPC - A </c:v>
                  </c:pt>
                  <c:pt idx="2">
                    <c:v>EPC - B</c:v>
                  </c:pt>
                  <c:pt idx="3">
                    <c:v>EPC - C</c:v>
                  </c:pt>
                  <c:pt idx="4">
                    <c:v>EPC - D Ref: D</c:v>
                  </c:pt>
                  <c:pt idx="5">
                    <c:v>EPC - E</c:v>
                  </c:pt>
                  <c:pt idx="6">
                    <c:v>EPC - F </c:v>
                  </c:pt>
                  <c:pt idx="7">
                    <c:v>EPC - G </c:v>
                  </c:pt>
                  <c:pt idx="8">
                    <c:v>EPC - H</c:v>
                  </c:pt>
                  <c:pt idx="11">
                    <c:v>EPC - A+</c:v>
                  </c:pt>
                  <c:pt idx="12">
                    <c:v>EPC - A </c:v>
                  </c:pt>
                  <c:pt idx="13">
                    <c:v>EPC - B</c:v>
                  </c:pt>
                  <c:pt idx="14">
                    <c:v>EPC - C</c:v>
                  </c:pt>
                  <c:pt idx="15">
                    <c:v>EPC - D Ref: D</c:v>
                  </c:pt>
                  <c:pt idx="16">
                    <c:v>EPC - E</c:v>
                  </c:pt>
                  <c:pt idx="17">
                    <c:v>EPC - F </c:v>
                  </c:pt>
                  <c:pt idx="18">
                    <c:v>EPC - G </c:v>
                  </c:pt>
                  <c:pt idx="19">
                    <c:v>EPC - H</c:v>
                  </c:pt>
                  <c:pt idx="22">
                    <c:v>EPC - A+</c:v>
                  </c:pt>
                  <c:pt idx="23">
                    <c:v>EPC - A </c:v>
                  </c:pt>
                  <c:pt idx="24">
                    <c:v>EPC - B</c:v>
                  </c:pt>
                  <c:pt idx="25">
                    <c:v>EPC - C</c:v>
                  </c:pt>
                  <c:pt idx="26">
                    <c:v>EPC - D Ref: D</c:v>
                  </c:pt>
                  <c:pt idx="27">
                    <c:v>EPC - E</c:v>
                  </c:pt>
                  <c:pt idx="28">
                    <c:v>EPC - F </c:v>
                  </c:pt>
                  <c:pt idx="29">
                    <c:v>EPC - G </c:v>
                  </c:pt>
                  <c:pt idx="30">
                    <c:v>EPC - H</c:v>
                  </c:pt>
                </c:lvl>
                <c:lvl>
                  <c:pt idx="0">
                    <c:v>Germany </c:v>
                  </c:pt>
                  <c:pt idx="11">
                    <c:v>Top 7 markets</c:v>
                  </c:pt>
                  <c:pt idx="22">
                    <c:v>Secondary markets</c:v>
                  </c:pt>
                </c:lvl>
              </c:multiLvlStrCache>
            </c:multiLvlStrRef>
          </c:cat>
          <c:val>
            <c:numRef>
              <c:f>Tabelle2!$F$64:$F$94</c:f>
              <c:numCache>
                <c:formatCode>General</c:formatCode>
                <c:ptCount val="31"/>
                <c:pt idx="11">
                  <c:v>1</c:v>
                </c:pt>
                <c:pt idx="12">
                  <c:v>1.0585076089563876</c:v>
                </c:pt>
                <c:pt idx="13">
                  <c:v>1</c:v>
                </c:pt>
                <c:pt idx="14">
                  <c:v>0.98540751751941424</c:v>
                </c:pt>
                <c:pt idx="15">
                  <c:v>1</c:v>
                </c:pt>
                <c:pt idx="16">
                  <c:v>0.93972312028087257</c:v>
                </c:pt>
                <c:pt idx="17">
                  <c:v>0.91309075523787231</c:v>
                </c:pt>
                <c:pt idx="18">
                  <c:v>0.85903123122891378</c:v>
                </c:pt>
                <c:pt idx="19">
                  <c:v>0.82891306222796135</c:v>
                </c:pt>
              </c:numCache>
            </c:numRef>
          </c:val>
          <c:smooth val="0"/>
          <c:extLst>
            <c:ext xmlns:c16="http://schemas.microsoft.com/office/drawing/2014/chart" uri="{C3380CC4-5D6E-409C-BE32-E72D297353CC}">
              <c16:uniqueId val="{00000003-7954-4848-9D62-476132B52885}"/>
            </c:ext>
          </c:extLst>
        </c:ser>
        <c:ser>
          <c:idx val="4"/>
          <c:order val="4"/>
          <c:tx>
            <c:strRef>
              <c:f>Tabelle2!$H$63</c:f>
              <c:strCache>
                <c:ptCount val="1"/>
                <c:pt idx="0">
                  <c:v>Refurbished</c:v>
                </c:pt>
              </c:strCache>
            </c:strRef>
          </c:tx>
          <c:spPr>
            <a:ln w="19050">
              <a:solidFill>
                <a:sysClr val="windowText" lastClr="000000"/>
              </a:solidFill>
            </a:ln>
          </c:spPr>
          <c:marker>
            <c:symbol val="circle"/>
            <c:size val="5"/>
            <c:spPr>
              <a:solidFill>
                <a:schemeClr val="tx1"/>
              </a:solidFill>
              <a:ln w="9525">
                <a:solidFill>
                  <a:sysClr val="windowText" lastClr="000000"/>
                </a:solidFill>
              </a:ln>
            </c:spPr>
          </c:marker>
          <c:cat>
            <c:multiLvlStrRef>
              <c:f>Tabelle2!$B$64:$C$94</c:f>
              <c:multiLvlStrCache>
                <c:ptCount val="31"/>
                <c:lvl>
                  <c:pt idx="0">
                    <c:v>EPC - A+</c:v>
                  </c:pt>
                  <c:pt idx="1">
                    <c:v>EPC - A </c:v>
                  </c:pt>
                  <c:pt idx="2">
                    <c:v>EPC - B</c:v>
                  </c:pt>
                  <c:pt idx="3">
                    <c:v>EPC - C</c:v>
                  </c:pt>
                  <c:pt idx="4">
                    <c:v>EPC - D Ref: D</c:v>
                  </c:pt>
                  <c:pt idx="5">
                    <c:v>EPC - E</c:v>
                  </c:pt>
                  <c:pt idx="6">
                    <c:v>EPC - F </c:v>
                  </c:pt>
                  <c:pt idx="7">
                    <c:v>EPC - G </c:v>
                  </c:pt>
                  <c:pt idx="8">
                    <c:v>EPC - H</c:v>
                  </c:pt>
                  <c:pt idx="11">
                    <c:v>EPC - A+</c:v>
                  </c:pt>
                  <c:pt idx="12">
                    <c:v>EPC - A </c:v>
                  </c:pt>
                  <c:pt idx="13">
                    <c:v>EPC - B</c:v>
                  </c:pt>
                  <c:pt idx="14">
                    <c:v>EPC - C</c:v>
                  </c:pt>
                  <c:pt idx="15">
                    <c:v>EPC - D Ref: D</c:v>
                  </c:pt>
                  <c:pt idx="16">
                    <c:v>EPC - E</c:v>
                  </c:pt>
                  <c:pt idx="17">
                    <c:v>EPC - F </c:v>
                  </c:pt>
                  <c:pt idx="18">
                    <c:v>EPC - G </c:v>
                  </c:pt>
                  <c:pt idx="19">
                    <c:v>EPC - H</c:v>
                  </c:pt>
                  <c:pt idx="22">
                    <c:v>EPC - A+</c:v>
                  </c:pt>
                  <c:pt idx="23">
                    <c:v>EPC - A </c:v>
                  </c:pt>
                  <c:pt idx="24">
                    <c:v>EPC - B</c:v>
                  </c:pt>
                  <c:pt idx="25">
                    <c:v>EPC - C</c:v>
                  </c:pt>
                  <c:pt idx="26">
                    <c:v>EPC - D Ref: D</c:v>
                  </c:pt>
                  <c:pt idx="27">
                    <c:v>EPC - E</c:v>
                  </c:pt>
                  <c:pt idx="28">
                    <c:v>EPC - F </c:v>
                  </c:pt>
                  <c:pt idx="29">
                    <c:v>EPC - G </c:v>
                  </c:pt>
                  <c:pt idx="30">
                    <c:v>EPC - H</c:v>
                  </c:pt>
                </c:lvl>
                <c:lvl>
                  <c:pt idx="0">
                    <c:v>Germany </c:v>
                  </c:pt>
                  <c:pt idx="11">
                    <c:v>Top 7 markets</c:v>
                  </c:pt>
                  <c:pt idx="22">
                    <c:v>Secondary markets</c:v>
                  </c:pt>
                </c:lvl>
              </c:multiLvlStrCache>
            </c:multiLvlStrRef>
          </c:cat>
          <c:val>
            <c:numRef>
              <c:f>Tabelle2!$H$64:$H$94</c:f>
              <c:numCache>
                <c:formatCode>General</c:formatCode>
                <c:ptCount val="31"/>
                <c:pt idx="22">
                  <c:v>1</c:v>
                </c:pt>
                <c:pt idx="23">
                  <c:v>1</c:v>
                </c:pt>
                <c:pt idx="24">
                  <c:v>1</c:v>
                </c:pt>
                <c:pt idx="25">
                  <c:v>1</c:v>
                </c:pt>
                <c:pt idx="26">
                  <c:v>1</c:v>
                </c:pt>
                <c:pt idx="27">
                  <c:v>0.98317317938786775</c:v>
                </c:pt>
                <c:pt idx="28">
                  <c:v>0.95235253772811046</c:v>
                </c:pt>
                <c:pt idx="29">
                  <c:v>0.86562802069583966</c:v>
                </c:pt>
                <c:pt idx="30">
                  <c:v>0.83845027651164816</c:v>
                </c:pt>
              </c:numCache>
            </c:numRef>
          </c:val>
          <c:smooth val="0"/>
          <c:extLst>
            <c:ext xmlns:c16="http://schemas.microsoft.com/office/drawing/2014/chart" uri="{C3380CC4-5D6E-409C-BE32-E72D297353CC}">
              <c16:uniqueId val="{00000004-7954-4848-9D62-476132B52885}"/>
            </c:ext>
          </c:extLst>
        </c:ser>
        <c:ser>
          <c:idx val="5"/>
          <c:order val="5"/>
          <c:tx>
            <c:strRef>
              <c:f>Tabelle2!$I$63</c:f>
              <c:strCache>
                <c:ptCount val="1"/>
                <c:pt idx="0">
                  <c:v>Existing</c:v>
                </c:pt>
              </c:strCache>
            </c:strRef>
          </c:tx>
          <c:spPr>
            <a:ln w="19050">
              <a:solidFill>
                <a:sysClr val="windowText" lastClr="000000"/>
              </a:solidFill>
            </a:ln>
          </c:spPr>
          <c:marker>
            <c:symbol val="circle"/>
            <c:size val="5"/>
            <c:spPr>
              <a:solidFill>
                <a:schemeClr val="bg1"/>
              </a:solidFill>
              <a:ln w="9525">
                <a:solidFill>
                  <a:sysClr val="windowText" lastClr="000000"/>
                </a:solidFill>
              </a:ln>
            </c:spPr>
          </c:marker>
          <c:cat>
            <c:multiLvlStrRef>
              <c:f>Tabelle2!$B$64:$C$94</c:f>
              <c:multiLvlStrCache>
                <c:ptCount val="31"/>
                <c:lvl>
                  <c:pt idx="0">
                    <c:v>EPC - A+</c:v>
                  </c:pt>
                  <c:pt idx="1">
                    <c:v>EPC - A </c:v>
                  </c:pt>
                  <c:pt idx="2">
                    <c:v>EPC - B</c:v>
                  </c:pt>
                  <c:pt idx="3">
                    <c:v>EPC - C</c:v>
                  </c:pt>
                  <c:pt idx="4">
                    <c:v>EPC - D Ref: D</c:v>
                  </c:pt>
                  <c:pt idx="5">
                    <c:v>EPC - E</c:v>
                  </c:pt>
                  <c:pt idx="6">
                    <c:v>EPC - F </c:v>
                  </c:pt>
                  <c:pt idx="7">
                    <c:v>EPC - G </c:v>
                  </c:pt>
                  <c:pt idx="8">
                    <c:v>EPC - H</c:v>
                  </c:pt>
                  <c:pt idx="11">
                    <c:v>EPC - A+</c:v>
                  </c:pt>
                  <c:pt idx="12">
                    <c:v>EPC - A </c:v>
                  </c:pt>
                  <c:pt idx="13">
                    <c:v>EPC - B</c:v>
                  </c:pt>
                  <c:pt idx="14">
                    <c:v>EPC - C</c:v>
                  </c:pt>
                  <c:pt idx="15">
                    <c:v>EPC - D Ref: D</c:v>
                  </c:pt>
                  <c:pt idx="16">
                    <c:v>EPC - E</c:v>
                  </c:pt>
                  <c:pt idx="17">
                    <c:v>EPC - F </c:v>
                  </c:pt>
                  <c:pt idx="18">
                    <c:v>EPC - G </c:v>
                  </c:pt>
                  <c:pt idx="19">
                    <c:v>EPC - H</c:v>
                  </c:pt>
                  <c:pt idx="22">
                    <c:v>EPC - A+</c:v>
                  </c:pt>
                  <c:pt idx="23">
                    <c:v>EPC - A </c:v>
                  </c:pt>
                  <c:pt idx="24">
                    <c:v>EPC - B</c:v>
                  </c:pt>
                  <c:pt idx="25">
                    <c:v>EPC - C</c:v>
                  </c:pt>
                  <c:pt idx="26">
                    <c:v>EPC - D Ref: D</c:v>
                  </c:pt>
                  <c:pt idx="27">
                    <c:v>EPC - E</c:v>
                  </c:pt>
                  <c:pt idx="28">
                    <c:v>EPC - F </c:v>
                  </c:pt>
                  <c:pt idx="29">
                    <c:v>EPC - G </c:v>
                  </c:pt>
                  <c:pt idx="30">
                    <c:v>EPC - H</c:v>
                  </c:pt>
                </c:lvl>
                <c:lvl>
                  <c:pt idx="0">
                    <c:v>Germany </c:v>
                  </c:pt>
                  <c:pt idx="11">
                    <c:v>Top 7 markets</c:v>
                  </c:pt>
                  <c:pt idx="22">
                    <c:v>Secondary markets</c:v>
                  </c:pt>
                </c:lvl>
              </c:multiLvlStrCache>
            </c:multiLvlStrRef>
          </c:cat>
          <c:val>
            <c:numRef>
              <c:f>Tabelle2!$I$64:$I$94</c:f>
              <c:numCache>
                <c:formatCode>General</c:formatCode>
                <c:ptCount val="31"/>
                <c:pt idx="22">
                  <c:v>1</c:v>
                </c:pt>
                <c:pt idx="23">
                  <c:v>0.94973716603366687</c:v>
                </c:pt>
                <c:pt idx="24">
                  <c:v>1.0301660470740577</c:v>
                </c:pt>
                <c:pt idx="25">
                  <c:v>1.0212322639091063</c:v>
                </c:pt>
                <c:pt idx="26">
                  <c:v>1</c:v>
                </c:pt>
                <c:pt idx="27">
                  <c:v>0.97565133024224471</c:v>
                </c:pt>
                <c:pt idx="28">
                  <c:v>0.95038320693558231</c:v>
                </c:pt>
                <c:pt idx="29">
                  <c:v>0.91685128082839218</c:v>
                </c:pt>
                <c:pt idx="30">
                  <c:v>0.87742833192279057</c:v>
                </c:pt>
              </c:numCache>
            </c:numRef>
          </c:val>
          <c:smooth val="0"/>
          <c:extLst>
            <c:ext xmlns:c16="http://schemas.microsoft.com/office/drawing/2014/chart" uri="{C3380CC4-5D6E-409C-BE32-E72D297353CC}">
              <c16:uniqueId val="{00000005-7954-4848-9D62-476132B52885}"/>
            </c:ext>
          </c:extLst>
        </c:ser>
        <c:dLbls>
          <c:showLegendKey val="0"/>
          <c:showVal val="0"/>
          <c:showCatName val="0"/>
          <c:showSerName val="0"/>
          <c:showPercent val="0"/>
          <c:showBubbleSize val="0"/>
        </c:dLbls>
        <c:marker val="1"/>
        <c:smooth val="0"/>
        <c:axId val="428417024"/>
        <c:axId val="428418944"/>
      </c:lineChart>
      <c:catAx>
        <c:axId val="428417024"/>
        <c:scaling>
          <c:orientation val="minMax"/>
        </c:scaling>
        <c:delete val="0"/>
        <c:axPos val="b"/>
        <c:numFmt formatCode="General" sourceLinked="0"/>
        <c:majorTickMark val="out"/>
        <c:minorTickMark val="none"/>
        <c:tickLblPos val="nextTo"/>
        <c:crossAx val="428418944"/>
        <c:crosses val="autoZero"/>
        <c:auto val="1"/>
        <c:lblAlgn val="ctr"/>
        <c:lblOffset val="100"/>
        <c:noMultiLvlLbl val="0"/>
      </c:catAx>
      <c:valAx>
        <c:axId val="428418944"/>
        <c:scaling>
          <c:orientation val="minMax"/>
          <c:max val="1.1000000000000001"/>
          <c:min val="0.8"/>
        </c:scaling>
        <c:delete val="0"/>
        <c:axPos val="l"/>
        <c:majorGridlines>
          <c:spPr>
            <a:ln>
              <a:prstDash val="dash"/>
            </a:ln>
          </c:spPr>
        </c:majorGridlines>
        <c:title>
          <c:tx>
            <c:rich>
              <a:bodyPr rot="-5400000" vert="horz"/>
              <a:lstStyle/>
              <a:p>
                <a:pPr>
                  <a:defRPr/>
                </a:pPr>
                <a:r>
                  <a:rPr lang="de-DE"/>
                  <a:t>longer </a:t>
                </a:r>
              </a:p>
              <a:p>
                <a:pPr>
                  <a:defRPr/>
                </a:pPr>
                <a:r>
                  <a:rPr lang="de-DE"/>
                  <a:t>on market</a:t>
                </a:r>
              </a:p>
            </c:rich>
          </c:tx>
          <c:layout>
            <c:manualLayout>
              <c:xMode val="edge"/>
              <c:yMode val="edge"/>
              <c:x val="5.1506623195538056E-3"/>
              <c:y val="0.38551892771988316"/>
            </c:manualLayout>
          </c:layout>
          <c:overlay val="0"/>
        </c:title>
        <c:numFmt formatCode="#,##0.00" sourceLinked="0"/>
        <c:majorTickMark val="out"/>
        <c:minorTickMark val="none"/>
        <c:tickLblPos val="nextTo"/>
        <c:spPr>
          <a:ln>
            <a:noFill/>
          </a:ln>
        </c:spPr>
        <c:crossAx val="428417024"/>
        <c:crosses val="autoZero"/>
        <c:crossBetween val="between"/>
        <c:majorUnit val="5.000000000000001E-2"/>
      </c:valAx>
      <c:valAx>
        <c:axId val="428425216"/>
        <c:scaling>
          <c:orientation val="minMax"/>
          <c:max val="1.1000000000000001"/>
          <c:min val="0.8"/>
        </c:scaling>
        <c:delete val="0"/>
        <c:axPos val="r"/>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de-DE"/>
                  <a:t>quicker out </a:t>
                </a: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de-DE"/>
                  <a:t>of market</a:t>
                </a:r>
              </a:p>
            </c:rich>
          </c:tx>
          <c:layout>
            <c:manualLayout>
              <c:xMode val="edge"/>
              <c:yMode val="edge"/>
              <c:x val="8.0656828703703706E-3"/>
              <c:y val="5.0483127694365991E-2"/>
            </c:manualLayout>
          </c:layout>
          <c:overlay val="0"/>
        </c:title>
        <c:numFmt formatCode="0.00" sourceLinked="0"/>
        <c:majorTickMark val="out"/>
        <c:minorTickMark val="none"/>
        <c:tickLblPos val="nextTo"/>
        <c:spPr>
          <a:ln>
            <a:noFill/>
          </a:ln>
        </c:spPr>
        <c:txPr>
          <a:bodyPr/>
          <a:lstStyle/>
          <a:p>
            <a:pPr>
              <a:defRPr>
                <a:solidFill>
                  <a:schemeClr val="bg1"/>
                </a:solidFill>
              </a:defRPr>
            </a:pPr>
            <a:endParaRPr lang="en-US"/>
          </a:p>
        </c:txPr>
        <c:crossAx val="428427136"/>
        <c:crosses val="max"/>
        <c:crossBetween val="between"/>
        <c:majorUnit val="5.000000000000001E-2"/>
      </c:valAx>
      <c:catAx>
        <c:axId val="428427136"/>
        <c:scaling>
          <c:orientation val="minMax"/>
        </c:scaling>
        <c:delete val="1"/>
        <c:axPos val="b"/>
        <c:numFmt formatCode="General" sourceLinked="1"/>
        <c:majorTickMark val="out"/>
        <c:minorTickMark val="none"/>
        <c:tickLblPos val="nextTo"/>
        <c:crossAx val="428425216"/>
        <c:crosses val="autoZero"/>
        <c:auto val="1"/>
        <c:lblAlgn val="ctr"/>
        <c:lblOffset val="100"/>
        <c:noMultiLvlLbl val="0"/>
      </c:catAx>
    </c:plotArea>
    <c:legend>
      <c:legendPos val="r"/>
      <c:legendEntry>
        <c:idx val="0"/>
        <c:delete val="1"/>
      </c:legendEntry>
      <c:legendEntry>
        <c:idx val="4"/>
        <c:delete val="1"/>
      </c:legendEntry>
      <c:legendEntry>
        <c:idx val="5"/>
        <c:delete val="1"/>
      </c:legendEntry>
      <c:layout>
        <c:manualLayout>
          <c:xMode val="edge"/>
          <c:yMode val="edge"/>
          <c:x val="0.26303606450174272"/>
          <c:y val="0.93124108241226378"/>
          <c:w val="0.51750738834537724"/>
          <c:h val="6.6585337876352929E-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TRIZIA 2016">
    <a:dk1>
      <a:sysClr val="windowText" lastClr="000000"/>
    </a:dk1>
    <a:lt1>
      <a:sysClr val="window" lastClr="FFFFFF"/>
    </a:lt1>
    <a:dk2>
      <a:srgbClr val="C50A33"/>
    </a:dk2>
    <a:lt2>
      <a:srgbClr val="EEECE1"/>
    </a:lt2>
    <a:accent1>
      <a:srgbClr val="802537"/>
    </a:accent1>
    <a:accent2>
      <a:srgbClr val="ABA69D"/>
    </a:accent2>
    <a:accent3>
      <a:srgbClr val="747474"/>
    </a:accent3>
    <a:accent4>
      <a:srgbClr val="DFAB00"/>
    </a:accent4>
    <a:accent5>
      <a:srgbClr val="8CA652"/>
    </a:accent5>
    <a:accent6>
      <a:srgbClr val="6666FF"/>
    </a:accent6>
    <a:hlink>
      <a:srgbClr val="0000FF"/>
    </a:hlink>
    <a:folHlink>
      <a:srgbClr val="800080"/>
    </a:folHlink>
  </a:clrScheme>
  <a:fontScheme name="PATRIZIA">
    <a:majorFont>
      <a:latin typeface="Times New Roman"/>
      <a:ea typeface=""/>
      <a:cs typeface=""/>
    </a:majorFont>
    <a:minorFont>
      <a:latin typeface="Corporate 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TRIZIA 2016">
    <a:dk1>
      <a:sysClr val="windowText" lastClr="000000"/>
    </a:dk1>
    <a:lt1>
      <a:sysClr val="window" lastClr="FFFFFF"/>
    </a:lt1>
    <a:dk2>
      <a:srgbClr val="C50A33"/>
    </a:dk2>
    <a:lt2>
      <a:srgbClr val="EEECE1"/>
    </a:lt2>
    <a:accent1>
      <a:srgbClr val="802537"/>
    </a:accent1>
    <a:accent2>
      <a:srgbClr val="ABA69D"/>
    </a:accent2>
    <a:accent3>
      <a:srgbClr val="747474"/>
    </a:accent3>
    <a:accent4>
      <a:srgbClr val="DFAB00"/>
    </a:accent4>
    <a:accent5>
      <a:srgbClr val="8CA652"/>
    </a:accent5>
    <a:accent6>
      <a:srgbClr val="6666FF"/>
    </a:accent6>
    <a:hlink>
      <a:srgbClr val="0000FF"/>
    </a:hlink>
    <a:folHlink>
      <a:srgbClr val="800080"/>
    </a:folHlink>
  </a:clrScheme>
  <a:fontScheme name="PATRIZIA">
    <a:majorFont>
      <a:latin typeface="Times New Roman"/>
      <a:ea typeface=""/>
      <a:cs typeface=""/>
    </a:majorFont>
    <a:minorFont>
      <a:latin typeface="Corporate 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AAC31-2727-4A69-ACBC-8C6B771EC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10551</Words>
  <Characters>60145</Characters>
  <Application>Microsoft Office Word</Application>
  <DocSecurity>0</DocSecurity>
  <Lines>501</Lines>
  <Paragraphs>141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PATRIZIA Immobilien AG</Company>
  <LinksUpToDate>false</LinksUpToDate>
  <CharactersWithSpaces>70555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Cajias Marcelo</dc:creator>
  <cp:lastModifiedBy>F Fuerst</cp:lastModifiedBy>
  <cp:revision>2</cp:revision>
  <cp:lastPrinted>2018-03-29T08:33:00Z</cp:lastPrinted>
  <dcterms:created xsi:type="dcterms:W3CDTF">2018-09-03T21:26:00Z</dcterms:created>
  <dcterms:modified xsi:type="dcterms:W3CDTF">2018-09-03T21:26:00Z</dcterms:modified>
</cp:coreProperties>
</file>