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1B26" w14:textId="7633F3DA" w:rsidR="00BC1BC6" w:rsidRPr="00190F04" w:rsidRDefault="00BB1A4E" w:rsidP="00132CED">
      <w:pPr>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“Essential Collaborators”:</w:t>
      </w:r>
      <w:r w:rsidR="0081452A" w:rsidRPr="00190F04">
        <w:rPr>
          <w:rFonts w:ascii="Times New Roman" w:eastAsia="Times New Roman" w:hAnsi="Times New Roman" w:cs="Times New Roman"/>
          <w:b/>
          <w:color w:val="000000"/>
          <w:shd w:val="clear" w:color="auto" w:fill="FFFFFF"/>
        </w:rPr>
        <w:t xml:space="preserve"> Locating</w:t>
      </w:r>
      <w:r w:rsidR="0092689B" w:rsidRPr="00190F04">
        <w:rPr>
          <w:rFonts w:ascii="Times New Roman" w:eastAsia="Times New Roman" w:hAnsi="Times New Roman" w:cs="Times New Roman"/>
          <w:b/>
          <w:color w:val="000000"/>
          <w:shd w:val="clear" w:color="auto" w:fill="FFFFFF"/>
        </w:rPr>
        <w:t xml:space="preserve"> Middle Eastern Geneticists</w:t>
      </w:r>
    </w:p>
    <w:p w14:paraId="39A4051E" w14:textId="3836601D" w:rsidR="00FB47EE" w:rsidRDefault="0092689B" w:rsidP="00132CED">
      <w:pPr>
        <w:jc w:val="center"/>
        <w:rPr>
          <w:rFonts w:ascii="Times New Roman" w:eastAsia="Times New Roman" w:hAnsi="Times New Roman" w:cs="Times New Roman"/>
          <w:b/>
          <w:color w:val="000000"/>
          <w:shd w:val="clear" w:color="auto" w:fill="FFFFFF"/>
        </w:rPr>
      </w:pPr>
      <w:proofErr w:type="gramStart"/>
      <w:r w:rsidRPr="00190F04">
        <w:rPr>
          <w:rFonts w:ascii="Times New Roman" w:eastAsia="Times New Roman" w:hAnsi="Times New Roman" w:cs="Times New Roman"/>
          <w:b/>
          <w:color w:val="000000"/>
          <w:shd w:val="clear" w:color="auto" w:fill="FFFFFF"/>
        </w:rPr>
        <w:t>in</w:t>
      </w:r>
      <w:proofErr w:type="gramEnd"/>
      <w:r w:rsidRPr="00190F04">
        <w:rPr>
          <w:rFonts w:ascii="Times New Roman" w:eastAsia="Times New Roman" w:hAnsi="Times New Roman" w:cs="Times New Roman"/>
          <w:b/>
          <w:color w:val="000000"/>
          <w:shd w:val="clear" w:color="auto" w:fill="FFFFFF"/>
        </w:rPr>
        <w:t xml:space="preserve"> the Global Scientific Infrastructure, 1950s-70s</w:t>
      </w:r>
    </w:p>
    <w:p w14:paraId="68F6F8FD" w14:textId="77777777" w:rsidR="004F4E11" w:rsidRPr="00190F04" w:rsidRDefault="004F4E11" w:rsidP="00132CED">
      <w:pPr>
        <w:jc w:val="center"/>
        <w:rPr>
          <w:rFonts w:ascii="Times New Roman" w:eastAsia="Times New Roman" w:hAnsi="Times New Roman" w:cs="Times New Roman"/>
          <w:b/>
          <w:color w:val="000000"/>
          <w:shd w:val="clear" w:color="auto" w:fill="FFFFFF"/>
        </w:rPr>
      </w:pPr>
      <w:bookmarkStart w:id="0" w:name="_GoBack"/>
      <w:bookmarkEnd w:id="0"/>
    </w:p>
    <w:p w14:paraId="0ACD943B" w14:textId="34FFC140" w:rsidR="00DC1AAC" w:rsidRPr="00373FF5" w:rsidRDefault="00373FF5" w:rsidP="00132CED">
      <w:pPr>
        <w:shd w:val="clear" w:color="auto" w:fill="FFFFFF"/>
        <w:jc w:val="center"/>
        <w:outlineLvl w:val="3"/>
        <w:rPr>
          <w:rFonts w:ascii="Times New Roman" w:eastAsia="Times New Roman" w:hAnsi="Times New Roman" w:cs="Times New Roman"/>
          <w:i/>
        </w:rPr>
      </w:pPr>
      <w:r>
        <w:rPr>
          <w:rFonts w:ascii="Times New Roman" w:eastAsia="Times New Roman" w:hAnsi="Times New Roman" w:cs="Times New Roman"/>
          <w:i/>
        </w:rPr>
        <w:t>Elise K. Burton</w:t>
      </w:r>
    </w:p>
    <w:p w14:paraId="3D3AAA60" w14:textId="77777777" w:rsidR="00373FF5" w:rsidRDefault="00373FF5" w:rsidP="00132CED">
      <w:pPr>
        <w:shd w:val="clear" w:color="auto" w:fill="FFFFFF"/>
        <w:outlineLvl w:val="3"/>
        <w:rPr>
          <w:rFonts w:ascii="Times New Roman" w:eastAsia="Times New Roman" w:hAnsi="Times New Roman" w:cs="Times New Roman"/>
        </w:rPr>
      </w:pPr>
    </w:p>
    <w:p w14:paraId="40DF5809" w14:textId="089CE7D5" w:rsidR="00A43531" w:rsidRPr="00A43531" w:rsidRDefault="00A43531" w:rsidP="00132CED">
      <w:pPr>
        <w:rPr>
          <w:rFonts w:ascii="Times New Roman" w:hAnsi="Times New Roman" w:cs="Times New Roman"/>
          <w:b/>
        </w:rPr>
      </w:pPr>
      <w:r w:rsidRPr="003B4674">
        <w:rPr>
          <w:rFonts w:ascii="Times New Roman" w:hAnsi="Times New Roman" w:cs="Times New Roman"/>
          <w:b/>
        </w:rPr>
        <w:t>Abstract:</w:t>
      </w:r>
      <w:r>
        <w:rPr>
          <w:rFonts w:ascii="Times New Roman" w:hAnsi="Times New Roman" w:cs="Times New Roman"/>
          <w:b/>
        </w:rPr>
        <w:t xml:space="preserve"> </w:t>
      </w:r>
      <w:r w:rsidRPr="00B90D8A">
        <w:rPr>
          <w:rFonts w:ascii="Times New Roman" w:hAnsi="Times New Roman" w:cs="Times New Roman"/>
        </w:rPr>
        <w:t xml:space="preserve">In the aftermath of World War II, a new international infrastructure based on United Nations agencies took charge of coordinating global biomedical research. Through this infrastructure, European and American geneticists hoped to collect and test blood samples from human populations all over the world to understand processes of human heredity and evolution and trace the historical migrations of different groups. </w:t>
      </w:r>
      <w:r>
        <w:rPr>
          <w:rFonts w:ascii="Times New Roman" w:hAnsi="Times New Roman" w:cs="Times New Roman"/>
        </w:rPr>
        <w:t>They</w:t>
      </w:r>
      <w:r w:rsidRPr="00B90D8A">
        <w:rPr>
          <w:rFonts w:ascii="Times New Roman" w:hAnsi="Times New Roman" w:cs="Times New Roman"/>
        </w:rPr>
        <w:t xml:space="preserve"> relied heavily on local scientific workers to help them identify and access populations of interest, although they did not always acknowledge the critical role non-Western collaborators played in their studies. Using scientific publications, personal correspondence, and oral histories, I investigate the collaborative </w:t>
      </w:r>
      <w:r>
        <w:rPr>
          <w:rFonts w:ascii="Times New Roman" w:hAnsi="Times New Roman" w:cs="Times New Roman"/>
        </w:rPr>
        <w:t>relationships</w:t>
      </w:r>
      <w:r w:rsidRPr="00B90D8A">
        <w:rPr>
          <w:rFonts w:ascii="Times New Roman" w:hAnsi="Times New Roman" w:cs="Times New Roman"/>
        </w:rPr>
        <w:t xml:space="preserve"> between Western scientists, their counterparts in the Middle East, and the human subjects of genetic research. I comparatively examine the experiences of Israeli and Iranian scientists and physicians engaged in genetic anthropology and medical genetics between the mid-1950s and </w:t>
      </w:r>
      <w:r>
        <w:rPr>
          <w:rFonts w:ascii="Times New Roman" w:hAnsi="Times New Roman" w:cs="Times New Roman"/>
        </w:rPr>
        <w:t xml:space="preserve">the </w:t>
      </w:r>
      <w:r w:rsidRPr="00B90D8A">
        <w:rPr>
          <w:rFonts w:ascii="Times New Roman" w:hAnsi="Times New Roman" w:cs="Times New Roman"/>
        </w:rPr>
        <w:t xml:space="preserve">late 1970s, noting </w:t>
      </w:r>
      <w:r>
        <w:rPr>
          <w:rFonts w:ascii="Times New Roman" w:hAnsi="Times New Roman" w:cs="Times New Roman"/>
        </w:rPr>
        <w:t>both how</w:t>
      </w:r>
      <w:r w:rsidRPr="00B90D8A">
        <w:rPr>
          <w:rFonts w:ascii="Times New Roman" w:hAnsi="Times New Roman" w:cs="Times New Roman"/>
        </w:rPr>
        <w:t xml:space="preserve"> they applied </w:t>
      </w:r>
      <w:r>
        <w:rPr>
          <w:rFonts w:ascii="Times New Roman" w:hAnsi="Times New Roman" w:cs="Times New Roman"/>
        </w:rPr>
        <w:t xml:space="preserve">nationalist historical narratives </w:t>
      </w:r>
      <w:r w:rsidRPr="00B90D8A">
        <w:rPr>
          <w:rFonts w:ascii="Times New Roman" w:hAnsi="Times New Roman" w:cs="Times New Roman"/>
        </w:rPr>
        <w:t>to their genetic data</w:t>
      </w:r>
      <w:r>
        <w:rPr>
          <w:rFonts w:ascii="Times New Roman" w:hAnsi="Times New Roman" w:cs="Times New Roman"/>
        </w:rPr>
        <w:t xml:space="preserve"> and how they struggled to establish the value of their local knowledge and scientific labor</w:t>
      </w:r>
      <w:r w:rsidRPr="00B90D8A">
        <w:rPr>
          <w:rFonts w:ascii="Times New Roman" w:hAnsi="Times New Roman" w:cs="Times New Roman"/>
        </w:rPr>
        <w:t xml:space="preserve">. </w:t>
      </w:r>
      <w:r>
        <w:rPr>
          <w:rFonts w:ascii="Times New Roman" w:hAnsi="Times New Roman" w:cs="Times New Roman"/>
        </w:rPr>
        <w:t xml:space="preserve">I argue that the Israeli and Iranian experience of transnational scientific collaboration is representative of how Western scientists relegated their collaborators from “developing” regions to a subordinate positionality as collection agents or native informants. </w:t>
      </w:r>
      <w:r>
        <w:rPr>
          <w:rFonts w:ascii="Times New Roman" w:eastAsia="Times New Roman" w:hAnsi="Times New Roman" w:cs="Times New Roman"/>
        </w:rPr>
        <w:t>Meanwhile</w:t>
      </w:r>
      <w:r w:rsidRPr="00190F04">
        <w:rPr>
          <w:rFonts w:ascii="Times New Roman" w:eastAsia="Times New Roman" w:hAnsi="Times New Roman" w:cs="Times New Roman"/>
        </w:rPr>
        <w:t>, w</w:t>
      </w:r>
      <w:r>
        <w:rPr>
          <w:rFonts w:ascii="Times New Roman" w:eastAsia="Times New Roman" w:hAnsi="Times New Roman" w:cs="Times New Roman"/>
        </w:rPr>
        <w:t>ithin their own countries, the elite professional identity of Israeli and Iranian</w:t>
      </w:r>
      <w:r w:rsidRPr="00190F04">
        <w:rPr>
          <w:rFonts w:ascii="Times New Roman" w:eastAsia="Times New Roman" w:hAnsi="Times New Roman" w:cs="Times New Roman"/>
        </w:rPr>
        <w:t xml:space="preserve"> scientists granted them the authority to manipulate their research subjects</w:t>
      </w:r>
      <w:r>
        <w:rPr>
          <w:rFonts w:ascii="Times New Roman" w:eastAsia="Times New Roman" w:hAnsi="Times New Roman" w:cs="Times New Roman"/>
        </w:rPr>
        <w:t>, who often belonged to marginalized minority communities,</w:t>
      </w:r>
      <w:r w:rsidRPr="00190F04">
        <w:rPr>
          <w:rFonts w:ascii="Times New Roman" w:eastAsia="Times New Roman" w:hAnsi="Times New Roman" w:cs="Times New Roman"/>
        </w:rPr>
        <w:t xml:space="preserve"> and to </w:t>
      </w:r>
      <w:r>
        <w:rPr>
          <w:rFonts w:ascii="Times New Roman" w:eastAsia="Times New Roman" w:hAnsi="Times New Roman" w:cs="Times New Roman"/>
        </w:rPr>
        <w:t xml:space="preserve">interpret </w:t>
      </w:r>
      <w:r w:rsidRPr="00A43531">
        <w:rPr>
          <w:rFonts w:ascii="Times New Roman" w:eastAsia="Times New Roman" w:hAnsi="Times New Roman" w:cs="Times New Roman"/>
        </w:rPr>
        <w:t xml:space="preserve">their biology and history </w:t>
      </w:r>
      <w:r w:rsidRPr="00A43531">
        <w:rPr>
          <w:rFonts w:ascii="Times New Roman" w:hAnsi="Times New Roman" w:cs="Times New Roman"/>
        </w:rPr>
        <w:t>within contexts of Jewish and Persian nationalism.</w:t>
      </w:r>
    </w:p>
    <w:p w14:paraId="06769459" w14:textId="77777777" w:rsidR="00A43531" w:rsidRPr="00A43531" w:rsidRDefault="00A43531" w:rsidP="00132CED">
      <w:pPr>
        <w:rPr>
          <w:rFonts w:ascii="Times New Roman" w:hAnsi="Times New Roman" w:cs="Times New Roman"/>
          <w:b/>
        </w:rPr>
      </w:pPr>
    </w:p>
    <w:p w14:paraId="0346A29C" w14:textId="77777777" w:rsidR="00A43531" w:rsidRPr="00A43531" w:rsidRDefault="00A43531" w:rsidP="00132CED">
      <w:pPr>
        <w:rPr>
          <w:rFonts w:ascii="Times New Roman" w:eastAsia="Times New Roman" w:hAnsi="Times New Roman" w:cs="Times New Roman"/>
        </w:rPr>
      </w:pPr>
      <w:r w:rsidRPr="00A43531">
        <w:rPr>
          <w:rFonts w:ascii="Times New Roman" w:eastAsia="Times New Roman" w:hAnsi="Times New Roman" w:cs="Times New Roman"/>
          <w:b/>
        </w:rPr>
        <w:t xml:space="preserve">Keywords: </w:t>
      </w:r>
      <w:r w:rsidRPr="00A43531">
        <w:rPr>
          <w:rFonts w:ascii="Times New Roman" w:eastAsia="Times New Roman" w:hAnsi="Times New Roman" w:cs="Times New Roman"/>
          <w:color w:val="222222"/>
          <w:shd w:val="clear" w:color="auto" w:fill="FFFFFF"/>
        </w:rPr>
        <w:t>Iran, Israel, Middle East, genetics, biology, scientific collaboration, nationalism, ethnicity</w:t>
      </w:r>
    </w:p>
    <w:p w14:paraId="0744D5A8" w14:textId="0E25D621" w:rsidR="00A43531" w:rsidRPr="00A43531" w:rsidRDefault="00A43531" w:rsidP="00132CED">
      <w:pPr>
        <w:shd w:val="clear" w:color="auto" w:fill="FFFFFF"/>
        <w:outlineLvl w:val="3"/>
        <w:rPr>
          <w:rFonts w:ascii="Times New Roman" w:eastAsia="Times New Roman" w:hAnsi="Times New Roman" w:cs="Times New Roman"/>
          <w:b/>
        </w:rPr>
      </w:pPr>
    </w:p>
    <w:p w14:paraId="3E906971" w14:textId="77777777" w:rsidR="00A43531" w:rsidRPr="00A43531" w:rsidRDefault="00A43531" w:rsidP="00132CED">
      <w:pPr>
        <w:rPr>
          <w:rFonts w:ascii="Times New Roman" w:eastAsia="Times New Roman" w:hAnsi="Times New Roman" w:cs="Times New Roman"/>
        </w:rPr>
      </w:pPr>
      <w:r w:rsidRPr="00A43531">
        <w:rPr>
          <w:rFonts w:ascii="Times New Roman" w:eastAsia="Times New Roman" w:hAnsi="Times New Roman" w:cs="Times New Roman"/>
          <w:b/>
          <w:color w:val="222222"/>
          <w:shd w:val="clear" w:color="auto" w:fill="FFFFFF"/>
        </w:rPr>
        <w:t>Acknowledgements:</w:t>
      </w:r>
      <w:r w:rsidRPr="00A43531">
        <w:rPr>
          <w:rFonts w:ascii="Times New Roman" w:eastAsia="Times New Roman" w:hAnsi="Times New Roman" w:cs="Times New Roman"/>
          <w:color w:val="222222"/>
          <w:shd w:val="clear" w:color="auto" w:fill="FFFFFF"/>
        </w:rPr>
        <w:t xml:space="preserve"> I thank Afsaneh Najmabadi and three anonymous reviewers for their incisive comments and suggestions, which have greatly improved this paper. </w:t>
      </w:r>
      <w:proofErr w:type="gramStart"/>
      <w:r w:rsidRPr="00A43531">
        <w:rPr>
          <w:rFonts w:ascii="Times New Roman" w:eastAsia="Times New Roman" w:hAnsi="Times New Roman" w:cs="Times New Roman"/>
          <w:color w:val="222222"/>
          <w:shd w:val="clear" w:color="auto" w:fill="FFFFFF"/>
        </w:rPr>
        <w:t>My research was supported by the Social Science Research Council and the Council on Library and Information Resources</w:t>
      </w:r>
      <w:proofErr w:type="gramEnd"/>
      <w:r w:rsidRPr="00A43531">
        <w:rPr>
          <w:rFonts w:ascii="Times New Roman" w:eastAsia="Times New Roman" w:hAnsi="Times New Roman" w:cs="Times New Roman"/>
          <w:color w:val="222222"/>
          <w:shd w:val="clear" w:color="auto" w:fill="FFFFFF"/>
        </w:rPr>
        <w:t>.</w:t>
      </w:r>
    </w:p>
    <w:p w14:paraId="47D8EADA" w14:textId="77777777" w:rsidR="00A43531" w:rsidRPr="00A43531" w:rsidRDefault="00A43531" w:rsidP="00132CED">
      <w:pPr>
        <w:shd w:val="clear" w:color="auto" w:fill="FFFFFF"/>
        <w:outlineLvl w:val="3"/>
        <w:rPr>
          <w:rFonts w:ascii="Times New Roman" w:eastAsia="Times New Roman" w:hAnsi="Times New Roman" w:cs="Times New Roman"/>
          <w:b/>
        </w:rPr>
      </w:pPr>
    </w:p>
    <w:p w14:paraId="0EA6EDDC" w14:textId="77777777" w:rsidR="00373FF5" w:rsidRPr="00A43531" w:rsidRDefault="00373FF5" w:rsidP="00132CED">
      <w:pPr>
        <w:shd w:val="clear" w:color="auto" w:fill="FFFFFF"/>
        <w:outlineLvl w:val="3"/>
        <w:rPr>
          <w:rFonts w:ascii="Times New Roman" w:eastAsia="Times New Roman" w:hAnsi="Times New Roman" w:cs="Times New Roman"/>
        </w:rPr>
      </w:pPr>
    </w:p>
    <w:p w14:paraId="2A5DBF9A" w14:textId="7FFF26D5" w:rsidR="00BB3CD0" w:rsidRPr="00190F04" w:rsidRDefault="00B220BD" w:rsidP="00132CED">
      <w:pPr>
        <w:shd w:val="clear" w:color="auto" w:fill="FFFFFF"/>
        <w:ind w:firstLine="720"/>
        <w:outlineLvl w:val="3"/>
        <w:rPr>
          <w:rFonts w:ascii="Times New Roman" w:eastAsia="Times New Roman" w:hAnsi="Times New Roman" w:cs="Times New Roman"/>
        </w:rPr>
      </w:pPr>
      <w:r w:rsidRPr="00A43531">
        <w:rPr>
          <w:rFonts w:ascii="Times New Roman" w:eastAsia="Times New Roman" w:hAnsi="Times New Roman" w:cs="Times New Roman"/>
        </w:rPr>
        <w:t xml:space="preserve">Between the two World Wars, </w:t>
      </w:r>
      <w:r w:rsidR="00F1523C" w:rsidRPr="00A43531">
        <w:rPr>
          <w:rFonts w:ascii="Times New Roman" w:eastAsia="Times New Roman" w:hAnsi="Times New Roman" w:cs="Times New Roman"/>
        </w:rPr>
        <w:t>a number of European and American scientists proposed that the collection of data on inherited blood types, such</w:t>
      </w:r>
      <w:r w:rsidR="00F1523C" w:rsidRPr="00190F04">
        <w:rPr>
          <w:rFonts w:ascii="Times New Roman" w:eastAsia="Times New Roman" w:hAnsi="Times New Roman" w:cs="Times New Roman"/>
        </w:rPr>
        <w:t xml:space="preserve"> as the ABO antigens, from populations </w:t>
      </w:r>
      <w:r w:rsidR="00B91B72" w:rsidRPr="00190F04">
        <w:rPr>
          <w:rFonts w:ascii="Times New Roman" w:eastAsia="Times New Roman" w:hAnsi="Times New Roman" w:cs="Times New Roman"/>
        </w:rPr>
        <w:t>across the globe</w:t>
      </w:r>
      <w:r w:rsidR="001210DC" w:rsidRPr="00190F04">
        <w:rPr>
          <w:rFonts w:ascii="Times New Roman" w:eastAsia="Times New Roman" w:hAnsi="Times New Roman" w:cs="Times New Roman"/>
        </w:rPr>
        <w:t xml:space="preserve"> could illuminate the evolutionary history of the entire human species. </w:t>
      </w:r>
      <w:r w:rsidR="000651E5" w:rsidRPr="00190F04">
        <w:rPr>
          <w:rFonts w:ascii="Times New Roman" w:eastAsia="Times New Roman" w:hAnsi="Times New Roman" w:cs="Times New Roman"/>
        </w:rPr>
        <w:t xml:space="preserve">While these emergent geneticists quickly began to tabulate blood-group frequencies from their own and neighboring countries, </w:t>
      </w:r>
      <w:r w:rsidR="00B91B72" w:rsidRPr="00190F04">
        <w:rPr>
          <w:rFonts w:ascii="Times New Roman" w:eastAsia="Times New Roman" w:hAnsi="Times New Roman" w:cs="Times New Roman"/>
        </w:rPr>
        <w:t>they lamented the logistical and technological limitations that made a comprehensive dataset</w:t>
      </w:r>
      <w:r w:rsidR="00632C33" w:rsidRPr="00190F04">
        <w:rPr>
          <w:rFonts w:ascii="Times New Roman" w:eastAsia="Times New Roman" w:hAnsi="Times New Roman" w:cs="Times New Roman"/>
        </w:rPr>
        <w:t xml:space="preserve"> impossible</w:t>
      </w:r>
      <w:r w:rsidR="00B91B72" w:rsidRPr="00190F04">
        <w:rPr>
          <w:rFonts w:ascii="Times New Roman" w:eastAsia="Times New Roman" w:hAnsi="Times New Roman" w:cs="Times New Roman"/>
        </w:rPr>
        <w:t xml:space="preserve">, especially one including </w:t>
      </w:r>
      <w:r w:rsidR="000758D4" w:rsidRPr="00190F04">
        <w:rPr>
          <w:rFonts w:ascii="Times New Roman" w:eastAsia="Times New Roman" w:hAnsi="Times New Roman" w:cs="Times New Roman"/>
        </w:rPr>
        <w:t xml:space="preserve">those coveted </w:t>
      </w:r>
      <w:r w:rsidR="00B91B72" w:rsidRPr="00190F04">
        <w:rPr>
          <w:rFonts w:ascii="Times New Roman" w:eastAsia="Times New Roman" w:hAnsi="Times New Roman" w:cs="Times New Roman"/>
        </w:rPr>
        <w:t>“people[s] giving evidence of long i</w:t>
      </w:r>
      <w:r w:rsidR="00901FDF" w:rsidRPr="00190F04">
        <w:rPr>
          <w:rFonts w:ascii="Times New Roman" w:eastAsia="Times New Roman" w:hAnsi="Times New Roman" w:cs="Times New Roman"/>
        </w:rPr>
        <w:t xml:space="preserve">solation and all </w:t>
      </w:r>
      <w:r w:rsidR="00B51BBA" w:rsidRPr="00190F04">
        <w:rPr>
          <w:rFonts w:ascii="Times New Roman" w:eastAsia="Times New Roman" w:hAnsi="Times New Roman" w:cs="Times New Roman"/>
        </w:rPr>
        <w:t xml:space="preserve">of </w:t>
      </w:r>
      <w:r w:rsidR="00901FDF" w:rsidRPr="00190F04">
        <w:rPr>
          <w:rFonts w:ascii="Times New Roman" w:eastAsia="Times New Roman" w:hAnsi="Times New Roman" w:cs="Times New Roman"/>
        </w:rPr>
        <w:t>the rapidly va</w:t>
      </w:r>
      <w:r w:rsidR="00B51BBA" w:rsidRPr="00190F04">
        <w:rPr>
          <w:rFonts w:ascii="Times New Roman" w:eastAsia="Times New Roman" w:hAnsi="Times New Roman" w:cs="Times New Roman"/>
        </w:rPr>
        <w:t>nishing primitive tribes</w:t>
      </w:r>
      <w:r w:rsidR="00B91B72" w:rsidRPr="00190F04">
        <w:rPr>
          <w:rFonts w:ascii="Times New Roman" w:eastAsia="Times New Roman" w:hAnsi="Times New Roman" w:cs="Times New Roman"/>
        </w:rPr>
        <w:t>”</w:t>
      </w:r>
      <w:r w:rsidR="00B51BBA" w:rsidRPr="00190F04">
        <w:rPr>
          <w:rFonts w:ascii="Times New Roman" w:eastAsia="Times New Roman" w:hAnsi="Times New Roman" w:cs="Times New Roman"/>
        </w:rPr>
        <w:t xml:space="preserve"> from the far-flung corners of the earth</w:t>
      </w:r>
      <w:r w:rsidR="00B91B72" w:rsidRPr="00190F04">
        <w:rPr>
          <w:rFonts w:ascii="Times New Roman" w:eastAsia="Times New Roman" w:hAnsi="Times New Roman" w:cs="Times New Roman"/>
        </w:rPr>
        <w:t>.</w:t>
      </w:r>
      <w:r w:rsidR="00B91B72" w:rsidRPr="00D941C7">
        <w:rPr>
          <w:rStyle w:val="FootnoteReference"/>
        </w:rPr>
        <w:footnoteReference w:id="1"/>
      </w:r>
      <w:r w:rsidR="00B91B72" w:rsidRPr="00190F04">
        <w:rPr>
          <w:rFonts w:ascii="Times New Roman" w:eastAsia="Times New Roman" w:hAnsi="Times New Roman" w:cs="Times New Roman"/>
        </w:rPr>
        <w:t xml:space="preserve"> </w:t>
      </w:r>
      <w:r w:rsidR="00F1523C" w:rsidRPr="00190F04">
        <w:rPr>
          <w:rFonts w:ascii="Times New Roman" w:eastAsia="Times New Roman" w:hAnsi="Times New Roman" w:cs="Times New Roman"/>
        </w:rPr>
        <w:t xml:space="preserve">The kind of global biomedical infrastructure necessary to coordinate such a </w:t>
      </w:r>
      <w:r w:rsidR="00F1523C" w:rsidRPr="00190F04">
        <w:rPr>
          <w:rFonts w:ascii="Times New Roman" w:eastAsia="Times New Roman" w:hAnsi="Times New Roman" w:cs="Times New Roman"/>
        </w:rPr>
        <w:lastRenderedPageBreak/>
        <w:t>mas</w:t>
      </w:r>
      <w:r w:rsidR="000651E5" w:rsidRPr="00190F04">
        <w:rPr>
          <w:rFonts w:ascii="Times New Roman" w:eastAsia="Times New Roman" w:hAnsi="Times New Roman" w:cs="Times New Roman"/>
        </w:rPr>
        <w:t xml:space="preserve">sive undertaking did not become available </w:t>
      </w:r>
      <w:r w:rsidR="00F1523C" w:rsidRPr="00190F04">
        <w:rPr>
          <w:rFonts w:ascii="Times New Roman" w:eastAsia="Times New Roman" w:hAnsi="Times New Roman" w:cs="Times New Roman"/>
        </w:rPr>
        <w:t>until after</w:t>
      </w:r>
      <w:r w:rsidR="007E45A8" w:rsidRPr="00190F04">
        <w:rPr>
          <w:rFonts w:ascii="Times New Roman" w:eastAsia="Times New Roman" w:hAnsi="Times New Roman" w:cs="Times New Roman"/>
        </w:rPr>
        <w:t xml:space="preserve"> World War II</w:t>
      </w:r>
      <w:r w:rsidR="00F1523C" w:rsidRPr="00190F04">
        <w:rPr>
          <w:rFonts w:ascii="Times New Roman" w:eastAsia="Times New Roman" w:hAnsi="Times New Roman" w:cs="Times New Roman"/>
        </w:rPr>
        <w:t xml:space="preserve">. </w:t>
      </w:r>
      <w:r w:rsidR="002509F3" w:rsidRPr="00190F04">
        <w:rPr>
          <w:rFonts w:ascii="Times New Roman" w:eastAsia="Times New Roman" w:hAnsi="Times New Roman" w:cs="Times New Roman"/>
        </w:rPr>
        <w:t xml:space="preserve">By the early 1950s, </w:t>
      </w:r>
      <w:r w:rsidR="00F1523C" w:rsidRPr="00190F04">
        <w:rPr>
          <w:rFonts w:ascii="Times New Roman" w:eastAsia="Times New Roman" w:hAnsi="Times New Roman" w:cs="Times New Roman"/>
        </w:rPr>
        <w:t xml:space="preserve">United Nations-affiliated </w:t>
      </w:r>
      <w:r w:rsidR="000F76C4" w:rsidRPr="00190F04">
        <w:rPr>
          <w:rFonts w:ascii="Times New Roman" w:eastAsia="Times New Roman" w:hAnsi="Times New Roman" w:cs="Times New Roman"/>
        </w:rPr>
        <w:t>agencies</w:t>
      </w:r>
      <w:r w:rsidR="00822A0A" w:rsidRPr="00190F04">
        <w:rPr>
          <w:rFonts w:ascii="Times New Roman" w:eastAsia="Times New Roman" w:hAnsi="Times New Roman" w:cs="Times New Roman"/>
        </w:rPr>
        <w:t xml:space="preserve"> </w:t>
      </w:r>
      <w:r w:rsidR="00B51BBA" w:rsidRPr="00190F04">
        <w:rPr>
          <w:rFonts w:ascii="Times New Roman" w:eastAsia="Times New Roman" w:hAnsi="Times New Roman" w:cs="Times New Roman"/>
        </w:rPr>
        <w:t>tasked with coordinating</w:t>
      </w:r>
      <w:r w:rsidR="007F3616" w:rsidRPr="00190F04">
        <w:rPr>
          <w:rFonts w:ascii="Times New Roman" w:eastAsia="Times New Roman" w:hAnsi="Times New Roman" w:cs="Times New Roman"/>
        </w:rPr>
        <w:t xml:space="preserve"> global health and scientific research (</w:t>
      </w:r>
      <w:r w:rsidR="000F76C4" w:rsidRPr="00190F04">
        <w:rPr>
          <w:rFonts w:ascii="Times New Roman" w:eastAsia="Times New Roman" w:hAnsi="Times New Roman" w:cs="Times New Roman"/>
        </w:rPr>
        <w:t>such as UNESCO and the WHO) founded and</w:t>
      </w:r>
      <w:r w:rsidR="007F3616" w:rsidRPr="00190F04">
        <w:rPr>
          <w:rFonts w:ascii="Times New Roman" w:eastAsia="Times New Roman" w:hAnsi="Times New Roman" w:cs="Times New Roman"/>
        </w:rPr>
        <w:t xml:space="preserve"> </w:t>
      </w:r>
      <w:r w:rsidR="000F76C4" w:rsidRPr="00190F04">
        <w:rPr>
          <w:rFonts w:ascii="Times New Roman" w:eastAsia="Times New Roman" w:hAnsi="Times New Roman" w:cs="Times New Roman"/>
        </w:rPr>
        <w:t>supervised</w:t>
      </w:r>
      <w:r w:rsidR="007F3616" w:rsidRPr="00190F04">
        <w:rPr>
          <w:rFonts w:ascii="Times New Roman" w:eastAsia="Times New Roman" w:hAnsi="Times New Roman" w:cs="Times New Roman"/>
        </w:rPr>
        <w:t xml:space="preserve"> a </w:t>
      </w:r>
      <w:r w:rsidR="000F76C4" w:rsidRPr="00190F04">
        <w:rPr>
          <w:rFonts w:ascii="Times New Roman" w:eastAsia="Times New Roman" w:hAnsi="Times New Roman" w:cs="Times New Roman"/>
        </w:rPr>
        <w:t xml:space="preserve">myriad </w:t>
      </w:r>
      <w:r w:rsidR="007F3616" w:rsidRPr="00190F04">
        <w:rPr>
          <w:rFonts w:ascii="Times New Roman" w:eastAsia="Times New Roman" w:hAnsi="Times New Roman" w:cs="Times New Roman"/>
        </w:rPr>
        <w:t xml:space="preserve">of international organizations, projects, and conferences </w:t>
      </w:r>
      <w:r w:rsidR="00822A0A" w:rsidRPr="00190F04">
        <w:rPr>
          <w:rFonts w:ascii="Times New Roman" w:eastAsia="Times New Roman" w:hAnsi="Times New Roman" w:cs="Times New Roman"/>
        </w:rPr>
        <w:t>specializing in</w:t>
      </w:r>
      <w:r w:rsidR="007F3616" w:rsidRPr="00190F04">
        <w:rPr>
          <w:rFonts w:ascii="Times New Roman" w:eastAsia="Times New Roman" w:hAnsi="Times New Roman" w:cs="Times New Roman"/>
        </w:rPr>
        <w:t xml:space="preserve"> the </w:t>
      </w:r>
      <w:r w:rsidR="00C51295" w:rsidRPr="00190F04">
        <w:rPr>
          <w:rFonts w:ascii="Times New Roman" w:eastAsia="Times New Roman" w:hAnsi="Times New Roman" w:cs="Times New Roman"/>
        </w:rPr>
        <w:t xml:space="preserve">genetic </w:t>
      </w:r>
      <w:r w:rsidR="007F3616" w:rsidRPr="00190F04">
        <w:rPr>
          <w:rFonts w:ascii="Times New Roman" w:eastAsia="Times New Roman" w:hAnsi="Times New Roman" w:cs="Times New Roman"/>
        </w:rPr>
        <w:t xml:space="preserve">analysis of </w:t>
      </w:r>
      <w:r w:rsidR="00C95456" w:rsidRPr="00190F04">
        <w:rPr>
          <w:rFonts w:ascii="Times New Roman" w:eastAsia="Times New Roman" w:hAnsi="Times New Roman" w:cs="Times New Roman"/>
        </w:rPr>
        <w:t xml:space="preserve">human </w:t>
      </w:r>
      <w:r w:rsidR="007F3616" w:rsidRPr="00190F04">
        <w:rPr>
          <w:rFonts w:ascii="Times New Roman" w:eastAsia="Times New Roman" w:hAnsi="Times New Roman" w:cs="Times New Roman"/>
        </w:rPr>
        <w:t xml:space="preserve">blood. </w:t>
      </w:r>
      <w:r w:rsidR="002672D2" w:rsidRPr="00190F04">
        <w:rPr>
          <w:rFonts w:ascii="Times New Roman" w:eastAsia="Times New Roman" w:hAnsi="Times New Roman" w:cs="Times New Roman"/>
        </w:rPr>
        <w:t xml:space="preserve">These organizations </w:t>
      </w:r>
      <w:r w:rsidR="000F76C4" w:rsidRPr="00190F04">
        <w:rPr>
          <w:rFonts w:ascii="Times New Roman" w:eastAsia="Times New Roman" w:hAnsi="Times New Roman" w:cs="Times New Roman"/>
        </w:rPr>
        <w:t xml:space="preserve">also unofficially </w:t>
      </w:r>
      <w:r w:rsidR="002672D2" w:rsidRPr="00190F04">
        <w:rPr>
          <w:rFonts w:ascii="Times New Roman" w:eastAsia="Times New Roman" w:hAnsi="Times New Roman" w:cs="Times New Roman"/>
        </w:rPr>
        <w:t>enforced</w:t>
      </w:r>
      <w:r w:rsidR="007F3616" w:rsidRPr="00190F04">
        <w:rPr>
          <w:rFonts w:ascii="Times New Roman" w:eastAsia="Times New Roman" w:hAnsi="Times New Roman" w:cs="Times New Roman"/>
        </w:rPr>
        <w:t xml:space="preserve"> a particular scientific division of labor within the Cold War geopolitical order, in which </w:t>
      </w:r>
      <w:r w:rsidR="000758D4" w:rsidRPr="00190F04">
        <w:rPr>
          <w:rFonts w:ascii="Times New Roman" w:eastAsia="Times New Roman" w:hAnsi="Times New Roman" w:cs="Times New Roman"/>
        </w:rPr>
        <w:t>First World</w:t>
      </w:r>
      <w:r w:rsidR="007F3616" w:rsidRPr="00190F04">
        <w:rPr>
          <w:rFonts w:ascii="Times New Roman" w:eastAsia="Times New Roman" w:hAnsi="Times New Roman" w:cs="Times New Roman"/>
        </w:rPr>
        <w:t xml:space="preserve"> countries controlled the intellectual agenda and administrative management, while </w:t>
      </w:r>
      <w:r w:rsidR="000E33D5" w:rsidRPr="00190F04">
        <w:rPr>
          <w:rFonts w:ascii="Times New Roman" w:eastAsia="Times New Roman" w:hAnsi="Times New Roman" w:cs="Times New Roman"/>
        </w:rPr>
        <w:t xml:space="preserve">less developed </w:t>
      </w:r>
      <w:r w:rsidR="000758D4" w:rsidRPr="00190F04">
        <w:rPr>
          <w:rFonts w:ascii="Times New Roman" w:eastAsia="Times New Roman" w:hAnsi="Times New Roman" w:cs="Times New Roman"/>
        </w:rPr>
        <w:t>Third World</w:t>
      </w:r>
      <w:r w:rsidR="007F3616" w:rsidRPr="00190F04">
        <w:rPr>
          <w:rFonts w:ascii="Times New Roman" w:eastAsia="Times New Roman" w:hAnsi="Times New Roman" w:cs="Times New Roman"/>
        </w:rPr>
        <w:t xml:space="preserve"> nations only contributed “basic data” (i.e., blood samples collected from exotic populations).</w:t>
      </w:r>
      <w:r w:rsidR="00BB3CD0" w:rsidRPr="00D941C7">
        <w:rPr>
          <w:rStyle w:val="FootnoteReference"/>
        </w:rPr>
        <w:footnoteReference w:id="2"/>
      </w:r>
      <w:r w:rsidR="00BB3CD0" w:rsidRPr="00190F04">
        <w:rPr>
          <w:rFonts w:ascii="Times New Roman" w:eastAsia="Times New Roman" w:hAnsi="Times New Roman" w:cs="Times New Roman"/>
        </w:rPr>
        <w:t xml:space="preserve"> The geographic distribution of Allied command theaters during the war, which in turn mapped onto older imperialist spheres of influence, structured the division of fieldwork sites for genetic research. For example, many of the British geneticists who attained global prominence and worked closely with international organizations in this period</w:t>
      </w:r>
      <w:r w:rsidR="00384E1B">
        <w:rPr>
          <w:rFonts w:ascii="Times New Roman" w:eastAsia="Times New Roman" w:hAnsi="Times New Roman" w:cs="Times New Roman"/>
        </w:rPr>
        <w:t>, such as Arthur Ernest Mourant and Hermann Lehmann,</w:t>
      </w:r>
      <w:r w:rsidR="00BB3CD0" w:rsidRPr="00190F04">
        <w:rPr>
          <w:rFonts w:ascii="Times New Roman" w:eastAsia="Times New Roman" w:hAnsi="Times New Roman" w:cs="Times New Roman"/>
        </w:rPr>
        <w:t xml:space="preserve"> </w:t>
      </w:r>
      <w:r w:rsidR="000758D4" w:rsidRPr="00190F04">
        <w:rPr>
          <w:rFonts w:ascii="Times New Roman" w:eastAsia="Times New Roman" w:hAnsi="Times New Roman" w:cs="Times New Roman"/>
        </w:rPr>
        <w:t>had begun their careers</w:t>
      </w:r>
      <w:r w:rsidR="00BB3CD0" w:rsidRPr="00190F04">
        <w:rPr>
          <w:rFonts w:ascii="Times New Roman" w:eastAsia="Times New Roman" w:hAnsi="Times New Roman" w:cs="Times New Roman"/>
        </w:rPr>
        <w:t xml:space="preserve"> </w:t>
      </w:r>
      <w:r w:rsidR="00B51BBA" w:rsidRPr="00190F04">
        <w:rPr>
          <w:rFonts w:ascii="Times New Roman" w:eastAsia="Times New Roman" w:hAnsi="Times New Roman" w:cs="Times New Roman"/>
        </w:rPr>
        <w:t xml:space="preserve">by </w:t>
      </w:r>
      <w:r w:rsidR="00BB3CD0" w:rsidRPr="00190F04">
        <w:rPr>
          <w:rFonts w:ascii="Times New Roman" w:eastAsia="Times New Roman" w:hAnsi="Times New Roman" w:cs="Times New Roman"/>
        </w:rPr>
        <w:t>conducting their clinical research across colonial settings from India to Uganda.</w:t>
      </w:r>
      <w:r w:rsidR="00BB3CD0" w:rsidRPr="00D941C7">
        <w:rPr>
          <w:rStyle w:val="FootnoteReference"/>
        </w:rPr>
        <w:footnoteReference w:id="3"/>
      </w:r>
      <w:r w:rsidR="00BB3CD0" w:rsidRPr="00190F04">
        <w:rPr>
          <w:rFonts w:ascii="Times New Roman" w:eastAsia="Times New Roman" w:hAnsi="Times New Roman" w:cs="Times New Roman"/>
        </w:rPr>
        <w:t xml:space="preserve"> Meanwhile, their counterparts in the United States</w:t>
      </w:r>
      <w:r w:rsidR="00384E1B">
        <w:rPr>
          <w:rFonts w:ascii="Times New Roman" w:eastAsia="Times New Roman" w:hAnsi="Times New Roman" w:cs="Times New Roman"/>
        </w:rPr>
        <w:t>, like James V. Neel and D. Carleton Gajdusek,</w:t>
      </w:r>
      <w:r w:rsidR="00BB3CD0" w:rsidRPr="00190F04">
        <w:rPr>
          <w:rFonts w:ascii="Times New Roman" w:eastAsia="Times New Roman" w:hAnsi="Times New Roman" w:cs="Times New Roman"/>
        </w:rPr>
        <w:t xml:space="preserve"> coordinated research on the indigenous peoples of the Americas and the Pacific. </w:t>
      </w:r>
    </w:p>
    <w:p w14:paraId="44356106" w14:textId="0038C6DA" w:rsidR="00BB3CD0" w:rsidRPr="00190F04" w:rsidRDefault="00BB3CD0" w:rsidP="00132CED">
      <w:pPr>
        <w:shd w:val="clear" w:color="auto" w:fill="FFFFFF"/>
        <w:ind w:firstLine="720"/>
        <w:outlineLvl w:val="3"/>
        <w:rPr>
          <w:rFonts w:ascii="Times New Roman" w:eastAsia="Times New Roman" w:hAnsi="Times New Roman" w:cs="Times New Roman"/>
        </w:rPr>
      </w:pPr>
      <w:r w:rsidRPr="00190F04">
        <w:rPr>
          <w:rFonts w:ascii="Times New Roman" w:eastAsia="Times New Roman" w:hAnsi="Times New Roman" w:cs="Times New Roman"/>
        </w:rPr>
        <w:t>The WHO was responsible for authorizing the status of particular laboratories and serum banks as international reference centers with a broad set of tasks. The directors of these centers drafted the standardized protocols for how human blood should be collected, transported, stored, and analyzed. Center staff produced the standardized reagents to be used in field and laboratory testing and performed analyses for researchers who did not have the equipment or facilities to do so themselves.</w:t>
      </w:r>
      <w:r w:rsidRPr="00D941C7">
        <w:rPr>
          <w:rStyle w:val="FootnoteReference"/>
        </w:rPr>
        <w:footnoteReference w:id="4"/>
      </w:r>
      <w:r w:rsidRPr="00190F04">
        <w:rPr>
          <w:rFonts w:ascii="Times New Roman" w:eastAsia="Times New Roman" w:hAnsi="Times New Roman" w:cs="Times New Roman"/>
        </w:rPr>
        <w:t xml:space="preserve"> These centers, overwhelmingly located in Europe and North America, were sometimes generated anew, but more often built out of existing national reference laboratories developed for “utilitarian wartime purposes,” such as Mourant’s Blood Group Reference Laboratory in London</w:t>
      </w:r>
      <w:r w:rsidR="00B51BBA" w:rsidRPr="00190F04">
        <w:rPr>
          <w:rFonts w:ascii="Times New Roman" w:eastAsia="Times New Roman" w:hAnsi="Times New Roman" w:cs="Times New Roman"/>
        </w:rPr>
        <w:t xml:space="preserve"> and Lehmann’s International Reference Center for Abnormal Hemoglobins in Cambridge</w:t>
      </w:r>
      <w:r w:rsidRPr="00190F04">
        <w:rPr>
          <w:rFonts w:ascii="Times New Roman" w:eastAsia="Times New Roman" w:hAnsi="Times New Roman" w:cs="Times New Roman"/>
        </w:rPr>
        <w:t>, which</w:t>
      </w:r>
      <w:r w:rsidR="00B51BBA" w:rsidRPr="00190F04">
        <w:rPr>
          <w:rFonts w:ascii="Times New Roman" w:eastAsia="Times New Roman" w:hAnsi="Times New Roman" w:cs="Times New Roman"/>
        </w:rPr>
        <w:t xml:space="preserve"> </w:t>
      </w:r>
      <w:r w:rsidRPr="00190F04">
        <w:rPr>
          <w:rFonts w:ascii="Times New Roman" w:eastAsia="Times New Roman" w:hAnsi="Times New Roman" w:cs="Times New Roman"/>
        </w:rPr>
        <w:t>attained WHO recognition in 1952</w:t>
      </w:r>
      <w:r w:rsidR="00B51BBA" w:rsidRPr="00190F04">
        <w:rPr>
          <w:rFonts w:ascii="Times New Roman" w:eastAsia="Times New Roman" w:hAnsi="Times New Roman" w:cs="Times New Roman"/>
        </w:rPr>
        <w:t xml:space="preserve"> and 1965</w:t>
      </w:r>
      <w:r w:rsidR="00632C33" w:rsidRPr="00190F04">
        <w:rPr>
          <w:rFonts w:ascii="Times New Roman" w:eastAsia="Times New Roman" w:hAnsi="Times New Roman" w:cs="Times New Roman"/>
        </w:rPr>
        <w:t>, respectively</w:t>
      </w:r>
      <w:r w:rsidRPr="00190F04">
        <w:rPr>
          <w:rFonts w:ascii="Times New Roman" w:eastAsia="Times New Roman" w:hAnsi="Times New Roman" w:cs="Times New Roman"/>
        </w:rPr>
        <w:t>.</w:t>
      </w:r>
      <w:r w:rsidRPr="00D941C7">
        <w:rPr>
          <w:rStyle w:val="FootnoteReference"/>
        </w:rPr>
        <w:footnoteReference w:id="5"/>
      </w:r>
      <w:r w:rsidRPr="00190F04">
        <w:rPr>
          <w:rFonts w:ascii="Times New Roman" w:eastAsia="Times New Roman" w:hAnsi="Times New Roman" w:cs="Times New Roman"/>
        </w:rPr>
        <w:t xml:space="preserve"> Many such centers</w:t>
      </w:r>
      <w:r w:rsidR="00B03F28" w:rsidRPr="00190F04">
        <w:rPr>
          <w:rFonts w:ascii="Times New Roman" w:eastAsia="Times New Roman" w:hAnsi="Times New Roman" w:cs="Times New Roman"/>
        </w:rPr>
        <w:t xml:space="preserve"> </w:t>
      </w:r>
      <w:r w:rsidRPr="00190F04">
        <w:rPr>
          <w:rFonts w:ascii="Times New Roman" w:eastAsia="Times New Roman" w:hAnsi="Times New Roman" w:cs="Times New Roman"/>
        </w:rPr>
        <w:t>were designated in the early 1960s during the preparatory stages of the Internati</w:t>
      </w:r>
      <w:r w:rsidR="001657C1" w:rsidRPr="00190F04">
        <w:rPr>
          <w:rFonts w:ascii="Times New Roman" w:eastAsia="Times New Roman" w:hAnsi="Times New Roman" w:cs="Times New Roman"/>
        </w:rPr>
        <w:t>onal Biological Program</w:t>
      </w:r>
      <w:r w:rsidR="00E936BA">
        <w:rPr>
          <w:rFonts w:ascii="Times New Roman" w:eastAsia="Times New Roman" w:hAnsi="Times New Roman" w:cs="Times New Roman"/>
        </w:rPr>
        <w:t xml:space="preserve"> (IBP)</w:t>
      </w:r>
      <w:r w:rsidR="001657C1" w:rsidRPr="00190F04">
        <w:rPr>
          <w:rFonts w:ascii="Times New Roman" w:eastAsia="Times New Roman" w:hAnsi="Times New Roman" w:cs="Times New Roman"/>
        </w:rPr>
        <w:t>, whose Human Adaptability</w:t>
      </w:r>
      <w:r w:rsidRPr="00190F04">
        <w:rPr>
          <w:rFonts w:ascii="Times New Roman" w:eastAsia="Times New Roman" w:hAnsi="Times New Roman" w:cs="Times New Roman"/>
        </w:rPr>
        <w:t xml:space="preserve"> component channeled vast quantities of blood samples from “primitive” populations living in </w:t>
      </w:r>
      <w:r w:rsidR="00FF6F0E" w:rsidRPr="00190F04">
        <w:rPr>
          <w:rFonts w:ascii="Times New Roman" w:eastAsia="Times New Roman" w:hAnsi="Times New Roman" w:cs="Times New Roman"/>
        </w:rPr>
        <w:t>underdeveloped</w:t>
      </w:r>
      <w:r w:rsidRPr="00190F04">
        <w:rPr>
          <w:rFonts w:ascii="Times New Roman" w:eastAsia="Times New Roman" w:hAnsi="Times New Roman" w:cs="Times New Roman"/>
        </w:rPr>
        <w:t xml:space="preserve"> countries to fre</w:t>
      </w:r>
      <w:r w:rsidR="00FF6F0E" w:rsidRPr="00190F04">
        <w:rPr>
          <w:rFonts w:ascii="Times New Roman" w:eastAsia="Times New Roman" w:hAnsi="Times New Roman" w:cs="Times New Roman"/>
        </w:rPr>
        <w:t>ezers in laboratories across Western Europe and North America</w:t>
      </w:r>
      <w:r w:rsidR="00EA1158" w:rsidRPr="00190F04">
        <w:rPr>
          <w:rFonts w:ascii="Times New Roman" w:eastAsia="Times New Roman" w:hAnsi="Times New Roman" w:cs="Times New Roman"/>
        </w:rPr>
        <w:t>.</w:t>
      </w:r>
      <w:r w:rsidRPr="00D941C7">
        <w:rPr>
          <w:rStyle w:val="FootnoteReference"/>
        </w:rPr>
        <w:footnoteReference w:id="6"/>
      </w:r>
      <w:r w:rsidRPr="00190F04">
        <w:rPr>
          <w:rFonts w:ascii="Times New Roman" w:eastAsia="Times New Roman" w:hAnsi="Times New Roman" w:cs="Times New Roman"/>
        </w:rPr>
        <w:t xml:space="preserve"> </w:t>
      </w:r>
    </w:p>
    <w:p w14:paraId="4ED7F706" w14:textId="059495B4" w:rsidR="00BB3CD0" w:rsidRPr="00190F04" w:rsidRDefault="00BB3CD0" w:rsidP="00132CED">
      <w:pPr>
        <w:ind w:firstLine="720"/>
        <w:rPr>
          <w:rFonts w:ascii="Times New Roman" w:hAnsi="Times New Roman" w:cs="Times New Roman"/>
        </w:rPr>
      </w:pPr>
      <w:r w:rsidRPr="00190F04">
        <w:rPr>
          <w:rFonts w:ascii="Times New Roman" w:eastAsia="Times New Roman" w:hAnsi="Times New Roman" w:cs="Times New Roman"/>
        </w:rPr>
        <w:lastRenderedPageBreak/>
        <w:t>In short, the postwar international scientific community ultimately reduplicated colonial patterns of research.</w:t>
      </w:r>
      <w:r w:rsidRPr="00D941C7">
        <w:rPr>
          <w:rStyle w:val="FootnoteReference"/>
        </w:rPr>
        <w:footnoteReference w:id="7"/>
      </w:r>
      <w:r w:rsidRPr="00190F04">
        <w:rPr>
          <w:rFonts w:ascii="Times New Roman" w:eastAsia="Times New Roman" w:hAnsi="Times New Roman" w:cs="Times New Roman"/>
        </w:rPr>
        <w:t xml:space="preserve"> Even blood samples from countries that had never been formally</w:t>
      </w:r>
      <w:r w:rsidR="007A7F59" w:rsidRPr="00190F04">
        <w:rPr>
          <w:rFonts w:ascii="Times New Roman" w:eastAsia="Times New Roman" w:hAnsi="Times New Roman" w:cs="Times New Roman"/>
        </w:rPr>
        <w:t xml:space="preserve"> colonized, like Iran and Ethiopia</w:t>
      </w:r>
      <w:r w:rsidRPr="00190F04">
        <w:rPr>
          <w:rFonts w:ascii="Times New Roman" w:eastAsia="Times New Roman" w:hAnsi="Times New Roman" w:cs="Times New Roman"/>
        </w:rPr>
        <w:t>, were shipped to the same laboratories</w:t>
      </w:r>
      <w:r w:rsidR="00203615" w:rsidRPr="00190F04">
        <w:rPr>
          <w:rFonts w:ascii="Times New Roman" w:eastAsia="Times New Roman" w:hAnsi="Times New Roman" w:cs="Times New Roman"/>
        </w:rPr>
        <w:t xml:space="preserve"> in the </w:t>
      </w:r>
      <w:r w:rsidR="00480BAB" w:rsidRPr="00190F04">
        <w:rPr>
          <w:rFonts w:ascii="Times New Roman" w:eastAsia="Times New Roman" w:hAnsi="Times New Roman" w:cs="Times New Roman"/>
        </w:rPr>
        <w:t xml:space="preserve">same </w:t>
      </w:r>
      <w:r w:rsidR="00203615" w:rsidRPr="00190F04">
        <w:rPr>
          <w:rFonts w:ascii="Times New Roman" w:eastAsia="Times New Roman" w:hAnsi="Times New Roman" w:cs="Times New Roman"/>
        </w:rPr>
        <w:t>European metropoles</w:t>
      </w:r>
      <w:r w:rsidRPr="00190F04">
        <w:rPr>
          <w:rFonts w:ascii="Times New Roman" w:eastAsia="Times New Roman" w:hAnsi="Times New Roman" w:cs="Times New Roman"/>
        </w:rPr>
        <w:t xml:space="preserve"> as those from the former Asian and African colonies of Britain and France. This pattern was exacerbated through the professional competition between individual scientists of the genetic-research “superpowers,” particul</w:t>
      </w:r>
      <w:r w:rsidR="00E936BA">
        <w:rPr>
          <w:rFonts w:ascii="Times New Roman" w:eastAsia="Times New Roman" w:hAnsi="Times New Roman" w:cs="Times New Roman"/>
        </w:rPr>
        <w:t>arly the US and the UK, who</w:t>
      </w:r>
      <w:r w:rsidRPr="00190F04">
        <w:rPr>
          <w:rFonts w:ascii="Times New Roman" w:eastAsia="Times New Roman" w:hAnsi="Times New Roman" w:cs="Times New Roman"/>
        </w:rPr>
        <w:t xml:space="preserve"> sought to dominate the coordination and management of international data collection in the </w:t>
      </w:r>
      <w:r w:rsidR="000758D4" w:rsidRPr="00190F04">
        <w:rPr>
          <w:rFonts w:ascii="Times New Roman" w:eastAsia="Times New Roman" w:hAnsi="Times New Roman" w:cs="Times New Roman"/>
        </w:rPr>
        <w:t>Third World.</w:t>
      </w:r>
      <w:r w:rsidR="002425DA" w:rsidRPr="00D941C7">
        <w:rPr>
          <w:rStyle w:val="FootnoteReference"/>
        </w:rPr>
        <w:footnoteReference w:id="8"/>
      </w:r>
      <w:r w:rsidRPr="00190F04">
        <w:rPr>
          <w:rFonts w:ascii="Times New Roman" w:eastAsia="Times New Roman" w:hAnsi="Times New Roman" w:cs="Times New Roman"/>
        </w:rPr>
        <w:t xml:space="preserve"> </w:t>
      </w:r>
      <w:r w:rsidR="00E936BA">
        <w:rPr>
          <w:rFonts w:ascii="Times New Roman" w:eastAsia="Times New Roman" w:hAnsi="Times New Roman" w:cs="Times New Roman"/>
        </w:rPr>
        <w:t xml:space="preserve">For example, when Mourant accepted the role </w:t>
      </w:r>
      <w:r w:rsidR="00E936BA" w:rsidRPr="00A56AE4">
        <w:rPr>
          <w:rFonts w:ascii="Times New Roman" w:eastAsia="Times New Roman" w:hAnsi="Times New Roman" w:cs="Times New Roman"/>
        </w:rPr>
        <w:t>of</w:t>
      </w:r>
      <w:r w:rsidRPr="00A56AE4">
        <w:rPr>
          <w:rFonts w:ascii="Times New Roman" w:eastAsia="Times New Roman" w:hAnsi="Times New Roman" w:cs="Times New Roman"/>
        </w:rPr>
        <w:t xml:space="preserve"> </w:t>
      </w:r>
      <w:r w:rsidR="00A56AE4" w:rsidRPr="00A56AE4">
        <w:rPr>
          <w:rFonts w:ascii="Times New Roman" w:eastAsia="Times New Roman" w:hAnsi="Times New Roman" w:cs="Times New Roman"/>
        </w:rPr>
        <w:t xml:space="preserve">IBP’s </w:t>
      </w:r>
      <w:r w:rsidRPr="00A56AE4">
        <w:rPr>
          <w:rFonts w:ascii="Times New Roman" w:eastAsia="Times New Roman" w:hAnsi="Times New Roman" w:cs="Times New Roman"/>
        </w:rPr>
        <w:t xml:space="preserve">general coordinator for </w:t>
      </w:r>
      <w:r w:rsidR="00A56AE4" w:rsidRPr="00A56AE4">
        <w:rPr>
          <w:rFonts w:ascii="Times New Roman" w:eastAsia="Times New Roman" w:hAnsi="Times New Roman" w:cs="Times New Roman"/>
        </w:rPr>
        <w:t xml:space="preserve">worldwide </w:t>
      </w:r>
      <w:r w:rsidRPr="00A56AE4">
        <w:rPr>
          <w:rFonts w:ascii="Times New Roman" w:eastAsia="Times New Roman" w:hAnsi="Times New Roman" w:cs="Times New Roman"/>
        </w:rPr>
        <w:t>population surv</w:t>
      </w:r>
      <w:r w:rsidR="00E936BA" w:rsidRPr="00A56AE4">
        <w:rPr>
          <w:rFonts w:ascii="Times New Roman" w:eastAsia="Times New Roman" w:hAnsi="Times New Roman" w:cs="Times New Roman"/>
        </w:rPr>
        <w:t>eys</w:t>
      </w:r>
      <w:r w:rsidRPr="00A56AE4">
        <w:rPr>
          <w:rFonts w:ascii="Times New Roman" w:eastAsia="Times New Roman" w:hAnsi="Times New Roman" w:cs="Times New Roman"/>
        </w:rPr>
        <w:t>,</w:t>
      </w:r>
      <w:r w:rsidR="00E936BA">
        <w:rPr>
          <w:rFonts w:ascii="Times New Roman" w:eastAsia="Times New Roman" w:hAnsi="Times New Roman" w:cs="Times New Roman"/>
        </w:rPr>
        <w:t xml:space="preserve"> he apparently felt some animus from James Neel, who </w:t>
      </w:r>
      <w:r w:rsidR="00A56AE4">
        <w:rPr>
          <w:rFonts w:ascii="Times New Roman" w:eastAsia="Times New Roman" w:hAnsi="Times New Roman" w:cs="Times New Roman"/>
        </w:rPr>
        <w:t xml:space="preserve">had </w:t>
      </w:r>
      <w:r w:rsidR="00E936BA">
        <w:rPr>
          <w:rFonts w:ascii="Times New Roman" w:eastAsia="Times New Roman" w:hAnsi="Times New Roman" w:cs="Times New Roman"/>
        </w:rPr>
        <w:t>ser</w:t>
      </w:r>
      <w:r w:rsidR="00A56AE4">
        <w:rPr>
          <w:rFonts w:ascii="Times New Roman" w:eastAsia="Times New Roman" w:hAnsi="Times New Roman" w:cs="Times New Roman"/>
        </w:rPr>
        <w:t xml:space="preserve">ved as the chairman for the </w:t>
      </w:r>
      <w:r w:rsidR="00CB485B">
        <w:rPr>
          <w:rFonts w:ascii="Times New Roman" w:eastAsia="Times New Roman" w:hAnsi="Times New Roman" w:cs="Times New Roman"/>
        </w:rPr>
        <w:t xml:space="preserve">earlier </w:t>
      </w:r>
      <w:r w:rsidR="00A56AE4">
        <w:rPr>
          <w:rFonts w:ascii="Times New Roman" w:eastAsia="Times New Roman" w:hAnsi="Times New Roman" w:cs="Times New Roman"/>
        </w:rPr>
        <w:t>WHO working group that defined much of the protocol for the IBP</w:t>
      </w:r>
      <w:r w:rsidR="00E936BA">
        <w:rPr>
          <w:rFonts w:ascii="Times New Roman" w:eastAsia="Times New Roman" w:hAnsi="Times New Roman" w:cs="Times New Roman"/>
        </w:rPr>
        <w:t xml:space="preserve"> </w:t>
      </w:r>
      <w:r w:rsidR="00A56AE4">
        <w:rPr>
          <w:rFonts w:ascii="Times New Roman" w:eastAsia="Times New Roman" w:hAnsi="Times New Roman" w:cs="Times New Roman"/>
        </w:rPr>
        <w:t xml:space="preserve">(the “WHO Scientific Group for Research on </w:t>
      </w:r>
      <w:r w:rsidR="00E936BA">
        <w:rPr>
          <w:rFonts w:ascii="Times New Roman" w:eastAsia="Times New Roman" w:hAnsi="Times New Roman" w:cs="Times New Roman"/>
        </w:rPr>
        <w:t>Populati</w:t>
      </w:r>
      <w:r w:rsidR="00A56AE4">
        <w:rPr>
          <w:rFonts w:ascii="Times New Roman" w:eastAsia="Times New Roman" w:hAnsi="Times New Roman" w:cs="Times New Roman"/>
        </w:rPr>
        <w:t>on Genetics of Primitive Groups</w:t>
      </w:r>
      <w:r w:rsidR="00E936BA">
        <w:rPr>
          <w:rFonts w:ascii="Times New Roman" w:eastAsia="Times New Roman" w:hAnsi="Times New Roman" w:cs="Times New Roman"/>
        </w:rPr>
        <w:t>”</w:t>
      </w:r>
      <w:r w:rsidR="00A56AE4">
        <w:rPr>
          <w:rFonts w:ascii="Times New Roman" w:eastAsia="Times New Roman" w:hAnsi="Times New Roman" w:cs="Times New Roman"/>
        </w:rPr>
        <w:t>).</w:t>
      </w:r>
      <w:r w:rsidRPr="00190F04">
        <w:rPr>
          <w:rFonts w:ascii="Times New Roman" w:eastAsia="Times New Roman" w:hAnsi="Times New Roman" w:cs="Times New Roman"/>
        </w:rPr>
        <w:t xml:space="preserve"> </w:t>
      </w:r>
      <w:r w:rsidR="00644A86">
        <w:rPr>
          <w:rFonts w:ascii="Times New Roman" w:eastAsia="Times New Roman" w:hAnsi="Times New Roman" w:cs="Times New Roman"/>
        </w:rPr>
        <w:t xml:space="preserve">Anxious to smooth things over with Neel, Mourant </w:t>
      </w:r>
      <w:r w:rsidR="00563BDE">
        <w:rPr>
          <w:rFonts w:ascii="Times New Roman" w:eastAsia="Times New Roman" w:hAnsi="Times New Roman" w:cs="Times New Roman"/>
        </w:rPr>
        <w:t>turned to another</w:t>
      </w:r>
      <w:r w:rsidRPr="00190F04">
        <w:rPr>
          <w:rFonts w:ascii="Times New Roman" w:eastAsia="Times New Roman" w:hAnsi="Times New Roman" w:cs="Times New Roman"/>
        </w:rPr>
        <w:t xml:space="preserve"> American colleague</w:t>
      </w:r>
      <w:r w:rsidR="00563BDE">
        <w:rPr>
          <w:rFonts w:ascii="Times New Roman" w:eastAsia="Times New Roman" w:hAnsi="Times New Roman" w:cs="Times New Roman"/>
        </w:rPr>
        <w:t>,</w:t>
      </w:r>
      <w:r w:rsidRPr="00190F04">
        <w:rPr>
          <w:rFonts w:ascii="Times New Roman" w:eastAsia="Times New Roman" w:hAnsi="Times New Roman" w:cs="Times New Roman"/>
        </w:rPr>
        <w:t xml:space="preserve"> William C. Boyd</w:t>
      </w:r>
      <w:r w:rsidR="00563BDE">
        <w:rPr>
          <w:rFonts w:ascii="Times New Roman" w:eastAsia="Times New Roman" w:hAnsi="Times New Roman" w:cs="Times New Roman"/>
        </w:rPr>
        <w:t>, for help</w:t>
      </w:r>
      <w:r w:rsidRPr="00190F04">
        <w:rPr>
          <w:rFonts w:ascii="Times New Roman" w:eastAsia="Times New Roman" w:hAnsi="Times New Roman" w:cs="Times New Roman"/>
        </w:rPr>
        <w:t>:</w:t>
      </w:r>
      <w:r w:rsidR="00413988">
        <w:rPr>
          <w:rFonts w:ascii="Times New Roman" w:hAnsi="Times New Roman" w:cs="Times New Roman"/>
        </w:rPr>
        <w:t xml:space="preserve"> “I think Jim</w:t>
      </w:r>
      <w:r w:rsidR="00141E52" w:rsidRPr="00190F04">
        <w:rPr>
          <w:rFonts w:ascii="Times New Roman" w:hAnsi="Times New Roman" w:cs="Times New Roman"/>
        </w:rPr>
        <w:t xml:space="preserve"> </w:t>
      </w:r>
      <w:r w:rsidRPr="00190F04">
        <w:rPr>
          <w:rFonts w:ascii="Times New Roman" w:hAnsi="Times New Roman" w:cs="Times New Roman"/>
        </w:rPr>
        <w:t>Neel, who represents American human genetics in the I.B.P. organisation, feels that I am taking on too much. I do not want to prejudice in any way the full participation of America in this part of the Programme but I do not know just how I ought to tackle the matter, and Jim Neel in particular.”</w:t>
      </w:r>
      <w:r w:rsidRPr="00D941C7">
        <w:rPr>
          <w:rStyle w:val="FootnoteReference"/>
        </w:rPr>
        <w:footnoteReference w:id="9"/>
      </w:r>
      <w:r w:rsidRPr="00190F04">
        <w:rPr>
          <w:rFonts w:ascii="Times New Roman" w:hAnsi="Times New Roman" w:cs="Times New Roman"/>
        </w:rPr>
        <w:t xml:space="preserve"> His request for Boyd’s advice on reaching for compromise with Neel represents a </w:t>
      </w:r>
      <w:r w:rsidRPr="00190F04">
        <w:rPr>
          <w:rFonts w:ascii="Times New Roman" w:eastAsia="Times New Roman" w:hAnsi="Times New Roman" w:cs="Times New Roman"/>
        </w:rPr>
        <w:t>good-faith effort to avoid interference with others’ research,</w:t>
      </w:r>
      <w:r w:rsidRPr="00190F04">
        <w:rPr>
          <w:rFonts w:ascii="Times New Roman" w:hAnsi="Times New Roman" w:cs="Times New Roman"/>
        </w:rPr>
        <w:t xml:space="preserve"> </w:t>
      </w:r>
      <w:r w:rsidRPr="00190F04">
        <w:rPr>
          <w:rFonts w:ascii="Times New Roman" w:eastAsia="Times New Roman" w:hAnsi="Times New Roman" w:cs="Times New Roman"/>
        </w:rPr>
        <w:t>driven by norms of scholarly etiquette such as the acknowledgement of others’ scientific priority and/or expertise in a given geographical region or genetic condition</w:t>
      </w:r>
      <w:r w:rsidRPr="00190F04">
        <w:rPr>
          <w:rFonts w:ascii="Times New Roman" w:hAnsi="Times New Roman" w:cs="Times New Roman"/>
        </w:rPr>
        <w:t>.</w:t>
      </w:r>
    </w:p>
    <w:p w14:paraId="1CF0CF8D" w14:textId="59954461" w:rsidR="00BB3CD0" w:rsidRDefault="00BB3CD0" w:rsidP="00132CED">
      <w:pPr>
        <w:ind w:firstLine="720"/>
        <w:rPr>
          <w:rFonts w:ascii="Times New Roman" w:eastAsia="Times New Roman" w:hAnsi="Times New Roman" w:cs="Times New Roman"/>
        </w:rPr>
      </w:pPr>
      <w:r w:rsidRPr="00190F04">
        <w:rPr>
          <w:rFonts w:ascii="Times New Roman" w:hAnsi="Times New Roman" w:cs="Times New Roman"/>
        </w:rPr>
        <w:t>Yet the delicacy with which Mourant approached his interactions with fellow Western geneticists did not apply to his more extractive relationships with the scientists</w:t>
      </w:r>
      <w:r w:rsidRPr="00190F04">
        <w:rPr>
          <w:rFonts w:ascii="Times New Roman" w:eastAsia="Times New Roman" w:hAnsi="Times New Roman" w:cs="Times New Roman"/>
        </w:rPr>
        <w:t xml:space="preserve"> and research sub</w:t>
      </w:r>
      <w:r w:rsidR="00CB11ED">
        <w:rPr>
          <w:rFonts w:ascii="Times New Roman" w:eastAsia="Times New Roman" w:hAnsi="Times New Roman" w:cs="Times New Roman"/>
        </w:rPr>
        <w:t>jects of developing regions, such as</w:t>
      </w:r>
      <w:r w:rsidRPr="00190F04">
        <w:rPr>
          <w:rFonts w:ascii="Times New Roman" w:eastAsia="Times New Roman" w:hAnsi="Times New Roman" w:cs="Times New Roman"/>
        </w:rPr>
        <w:t xml:space="preserve"> the Middle East. He spoke of local research facilities in </w:t>
      </w:r>
      <w:r w:rsidR="00CB11ED">
        <w:rPr>
          <w:rFonts w:ascii="Times New Roman" w:eastAsia="Times New Roman" w:hAnsi="Times New Roman" w:cs="Times New Roman"/>
        </w:rPr>
        <w:t>these areas</w:t>
      </w:r>
      <w:r w:rsidRPr="00190F04">
        <w:rPr>
          <w:rFonts w:ascii="Times New Roman" w:eastAsia="Times New Roman" w:hAnsi="Times New Roman" w:cs="Times New Roman"/>
        </w:rPr>
        <w:t xml:space="preserve"> as regional “outposts” for Western scientists, in which he sought to install and maintain his own protégés (like </w:t>
      </w:r>
      <w:r w:rsidRPr="00190F04">
        <w:rPr>
          <w:rFonts w:ascii="Times New Roman" w:hAnsi="Times New Roman" w:cs="Times New Roman"/>
        </w:rPr>
        <w:t xml:space="preserve">Harry M. Smith, an American </w:t>
      </w:r>
      <w:r w:rsidR="005E64CD">
        <w:rPr>
          <w:rFonts w:ascii="Times New Roman" w:hAnsi="Times New Roman" w:cs="Times New Roman"/>
        </w:rPr>
        <w:t>biologist</w:t>
      </w:r>
      <w:r w:rsidRPr="00190F04">
        <w:rPr>
          <w:rFonts w:ascii="Times New Roman" w:hAnsi="Times New Roman" w:cs="Times New Roman"/>
        </w:rPr>
        <w:t>), rather than as centers for training and collaborating with local researchers. If Mourant could hardly conceive of working as equals with most non-Western scientists, he condescended even further to the research subjects, often musing how best to</w:t>
      </w:r>
      <w:r w:rsidRPr="00190F04">
        <w:rPr>
          <w:rFonts w:ascii="Times New Roman" w:eastAsia="Times New Roman" w:hAnsi="Times New Roman" w:cs="Times New Roman"/>
        </w:rPr>
        <w:t xml:space="preserve"> “bait” local populations to provide blood samples. His letter to Boyd continued:</w:t>
      </w:r>
    </w:p>
    <w:p w14:paraId="442B2281" w14:textId="77777777" w:rsidR="003A631C" w:rsidRPr="00B80A2B" w:rsidRDefault="003A631C" w:rsidP="00132CED">
      <w:pPr>
        <w:ind w:firstLine="720"/>
        <w:rPr>
          <w:rFonts w:ascii="Times New Roman" w:eastAsia="Times New Roman" w:hAnsi="Times New Roman" w:cs="Times New Roman"/>
        </w:rPr>
      </w:pPr>
    </w:p>
    <w:p w14:paraId="6E539542" w14:textId="4AD5C92B" w:rsidR="00BB3CD0" w:rsidRDefault="00BB3CD0" w:rsidP="00132CED">
      <w:pPr>
        <w:ind w:left="1440"/>
        <w:rPr>
          <w:rFonts w:ascii="Times New Roman" w:hAnsi="Times New Roman" w:cs="Times New Roman"/>
        </w:rPr>
      </w:pPr>
      <w:r w:rsidRPr="00190F04">
        <w:rPr>
          <w:rFonts w:ascii="Times New Roman" w:hAnsi="Times New Roman" w:cs="Times New Roman"/>
        </w:rPr>
        <w:t xml:space="preserve">The other matter is the future of Harry Smith’s laboratory [at the American University Hospital in Beirut]. This could be a very valuable outpost of American serological genetics for the whole of western Asia and N.E. Africa, (and if I am suspected of empire building in the I.B.P. I certainly am not on this particular point). I have already diverted to Harry the specimens from two British expeditions </w:t>
      </w:r>
      <w:r w:rsidR="00FD32AC" w:rsidRPr="00190F04">
        <w:rPr>
          <w:rFonts w:ascii="Times New Roman" w:hAnsi="Times New Roman" w:cs="Times New Roman"/>
        </w:rPr>
        <w:t xml:space="preserve">(to Afghanistan and Iran) </w:t>
      </w:r>
      <w:r w:rsidRPr="00190F04">
        <w:rPr>
          <w:rFonts w:ascii="Times New Roman" w:hAnsi="Times New Roman" w:cs="Times New Roman"/>
        </w:rPr>
        <w:t xml:space="preserve">that would otherwise have come to me, and there is an enormous amount which he could do if he exerted himself. […] it might work if he could run the laboratory, and have a young medically qualified </w:t>
      </w:r>
      <w:r w:rsidRPr="00190F04">
        <w:rPr>
          <w:rFonts w:ascii="Times New Roman" w:hAnsi="Times New Roman" w:cs="Times New Roman"/>
        </w:rPr>
        <w:lastRenderedPageBreak/>
        <w:t>field worker who would go out and get specimens (using medical treatment as a bait).</w:t>
      </w:r>
      <w:r w:rsidRPr="00D941C7">
        <w:rPr>
          <w:rStyle w:val="FootnoteReference"/>
        </w:rPr>
        <w:footnoteReference w:id="10"/>
      </w:r>
    </w:p>
    <w:p w14:paraId="0693551C" w14:textId="77777777" w:rsidR="00B80A2B" w:rsidRPr="00190F04" w:rsidRDefault="00B80A2B" w:rsidP="00132CED">
      <w:pPr>
        <w:ind w:left="1440"/>
        <w:rPr>
          <w:rFonts w:ascii="Times New Roman" w:hAnsi="Times New Roman" w:cs="Times New Roman"/>
        </w:rPr>
      </w:pPr>
    </w:p>
    <w:p w14:paraId="1B251072" w14:textId="0B3B0879" w:rsidR="007B1767" w:rsidRDefault="00BB3CD0" w:rsidP="00132CED">
      <w:pPr>
        <w:widowControl w:val="0"/>
        <w:autoSpaceDE w:val="0"/>
        <w:autoSpaceDN w:val="0"/>
        <w:adjustRightInd w:val="0"/>
        <w:rPr>
          <w:rFonts w:ascii="Times New Roman" w:eastAsia="Times New Roman" w:hAnsi="Times New Roman" w:cs="Times New Roman"/>
        </w:rPr>
      </w:pPr>
      <w:r w:rsidRPr="00190F04">
        <w:rPr>
          <w:rFonts w:ascii="Times New Roman" w:eastAsia="Times New Roman" w:hAnsi="Times New Roman" w:cs="Times New Roman"/>
        </w:rPr>
        <w:t>Not every Western geneticist was quite as callous as Mourant. Some, especially those who spent significant time working in foreign universities or hospitals and maintained close relationships with their research subjects, took the provision of medical care as an ethical responsibility rather than</w:t>
      </w:r>
      <w:r w:rsidR="00874833" w:rsidRPr="00190F04">
        <w:rPr>
          <w:rFonts w:ascii="Times New Roman" w:eastAsia="Times New Roman" w:hAnsi="Times New Roman" w:cs="Times New Roman"/>
        </w:rPr>
        <w:t xml:space="preserve"> as</w:t>
      </w:r>
      <w:r w:rsidRPr="00190F04">
        <w:rPr>
          <w:rFonts w:ascii="Times New Roman" w:eastAsia="Times New Roman" w:hAnsi="Times New Roman" w:cs="Times New Roman"/>
        </w:rPr>
        <w:t xml:space="preserve"> a coercive means of exchange. Unfortunately, however, </w:t>
      </w:r>
      <w:r w:rsidR="00730E44">
        <w:rPr>
          <w:rFonts w:ascii="Times New Roman" w:eastAsia="Times New Roman" w:hAnsi="Times New Roman" w:cs="Times New Roman"/>
        </w:rPr>
        <w:t xml:space="preserve">Mourant’s attitudes </w:t>
      </w:r>
      <w:r w:rsidR="000D2F33">
        <w:rPr>
          <w:rFonts w:ascii="Times New Roman" w:eastAsia="Times New Roman" w:hAnsi="Times New Roman" w:cs="Times New Roman"/>
        </w:rPr>
        <w:t>toward both research subjects and local researchers were not unusual,</w:t>
      </w:r>
      <w:r w:rsidR="00730E44">
        <w:rPr>
          <w:rFonts w:ascii="Times New Roman" w:eastAsia="Times New Roman" w:hAnsi="Times New Roman" w:cs="Times New Roman"/>
        </w:rPr>
        <w:t xml:space="preserve"> and they</w:t>
      </w:r>
      <w:r w:rsidRPr="00190F04">
        <w:rPr>
          <w:rFonts w:ascii="Times New Roman" w:eastAsia="Times New Roman" w:hAnsi="Times New Roman" w:cs="Times New Roman"/>
        </w:rPr>
        <w:t xml:space="preserve"> set the tone for how W</w:t>
      </w:r>
      <w:r w:rsidR="000D2F33">
        <w:rPr>
          <w:rFonts w:ascii="Times New Roman" w:eastAsia="Times New Roman" w:hAnsi="Times New Roman" w:cs="Times New Roman"/>
        </w:rPr>
        <w:t xml:space="preserve">estern scientists approached projects in </w:t>
      </w:r>
      <w:r w:rsidR="00874833" w:rsidRPr="00190F04">
        <w:rPr>
          <w:rFonts w:ascii="Times New Roman" w:eastAsia="Times New Roman" w:hAnsi="Times New Roman" w:cs="Times New Roman"/>
        </w:rPr>
        <w:t>developing</w:t>
      </w:r>
      <w:r w:rsidR="000D2F33">
        <w:rPr>
          <w:rFonts w:ascii="Times New Roman" w:eastAsia="Times New Roman" w:hAnsi="Times New Roman" w:cs="Times New Roman"/>
        </w:rPr>
        <w:t xml:space="preserve"> nations.</w:t>
      </w:r>
      <w:r w:rsidR="00BC2BF4">
        <w:rPr>
          <w:rFonts w:ascii="Times New Roman" w:eastAsia="Times New Roman" w:hAnsi="Times New Roman" w:cs="Times New Roman"/>
        </w:rPr>
        <w:t xml:space="preserve"> </w:t>
      </w:r>
      <w:r w:rsidR="00D46178">
        <w:rPr>
          <w:rFonts w:ascii="Times New Roman" w:eastAsia="Times New Roman" w:hAnsi="Times New Roman" w:cs="Times New Roman"/>
        </w:rPr>
        <w:t xml:space="preserve">In an era prior to informed consent, </w:t>
      </w:r>
      <w:r w:rsidR="003B02B8">
        <w:rPr>
          <w:rFonts w:ascii="Times New Roman" w:eastAsia="Times New Roman" w:hAnsi="Times New Roman" w:cs="Times New Roman"/>
        </w:rPr>
        <w:t xml:space="preserve">Western </w:t>
      </w:r>
      <w:r w:rsidR="00FD6DF1">
        <w:rPr>
          <w:rFonts w:ascii="Times New Roman" w:eastAsia="Times New Roman" w:hAnsi="Times New Roman" w:cs="Times New Roman"/>
        </w:rPr>
        <w:t>researchers</w:t>
      </w:r>
      <w:r w:rsidR="009304AB">
        <w:rPr>
          <w:rFonts w:ascii="Times New Roman" w:eastAsia="Times New Roman" w:hAnsi="Times New Roman" w:cs="Times New Roman"/>
        </w:rPr>
        <w:t xml:space="preserve"> coaxed blood </w:t>
      </w:r>
      <w:r w:rsidR="003B02B8">
        <w:rPr>
          <w:rFonts w:ascii="Times New Roman" w:eastAsia="Times New Roman" w:hAnsi="Times New Roman" w:cs="Times New Roman"/>
        </w:rPr>
        <w:t>and other tissues</w:t>
      </w:r>
      <w:r w:rsidR="009304AB">
        <w:rPr>
          <w:rFonts w:ascii="Times New Roman" w:eastAsia="Times New Roman" w:hAnsi="Times New Roman" w:cs="Times New Roman"/>
        </w:rPr>
        <w:t xml:space="preserve"> from their </w:t>
      </w:r>
      <w:r w:rsidR="003B02B8">
        <w:rPr>
          <w:rFonts w:ascii="Times New Roman" w:eastAsia="Times New Roman" w:hAnsi="Times New Roman" w:cs="Times New Roman"/>
        </w:rPr>
        <w:t xml:space="preserve">“primitive” </w:t>
      </w:r>
      <w:r w:rsidR="009304AB">
        <w:rPr>
          <w:rFonts w:ascii="Times New Roman" w:eastAsia="Times New Roman" w:hAnsi="Times New Roman" w:cs="Times New Roman"/>
        </w:rPr>
        <w:t>research subjects in exchange for basic medical supplies, like antibiotics, or “trade goods”</w:t>
      </w:r>
      <w:r w:rsidR="00583609">
        <w:rPr>
          <w:rFonts w:ascii="Times New Roman" w:eastAsia="Times New Roman" w:hAnsi="Times New Roman" w:cs="Times New Roman"/>
        </w:rPr>
        <w:t xml:space="preserve"> like knives and blankets</w:t>
      </w:r>
      <w:r w:rsidR="00D46178">
        <w:rPr>
          <w:rFonts w:ascii="Times New Roman" w:eastAsia="Times New Roman" w:hAnsi="Times New Roman" w:cs="Times New Roman"/>
        </w:rPr>
        <w:t>.</w:t>
      </w:r>
      <w:r w:rsidR="00583609" w:rsidRPr="00D941C7">
        <w:rPr>
          <w:rStyle w:val="FootnoteReference"/>
        </w:rPr>
        <w:footnoteReference w:id="11"/>
      </w:r>
      <w:r w:rsidRPr="00190F04">
        <w:rPr>
          <w:rFonts w:ascii="Times New Roman" w:eastAsia="Times New Roman" w:hAnsi="Times New Roman" w:cs="Times New Roman"/>
        </w:rPr>
        <w:t xml:space="preserve"> </w:t>
      </w:r>
      <w:r w:rsidR="000D2F33">
        <w:rPr>
          <w:rFonts w:ascii="Times New Roman" w:eastAsia="Times New Roman" w:hAnsi="Times New Roman" w:cs="Times New Roman"/>
        </w:rPr>
        <w:t>Meanwhile,</w:t>
      </w:r>
      <w:r w:rsidRPr="00190F04">
        <w:rPr>
          <w:rFonts w:ascii="Times New Roman" w:eastAsia="Times New Roman" w:hAnsi="Times New Roman" w:cs="Times New Roman"/>
        </w:rPr>
        <w:t xml:space="preserve"> </w:t>
      </w:r>
      <w:r w:rsidR="00F65F5A">
        <w:rPr>
          <w:rFonts w:ascii="Times New Roman" w:eastAsia="Times New Roman" w:hAnsi="Times New Roman" w:cs="Times New Roman"/>
        </w:rPr>
        <w:t xml:space="preserve">Westerners presumed local scientists to be incapable of accurately interpreting genetic data due to the </w:t>
      </w:r>
      <w:r w:rsidRPr="00190F04">
        <w:rPr>
          <w:rFonts w:ascii="Times New Roman" w:eastAsia="Times New Roman" w:hAnsi="Times New Roman" w:cs="Times New Roman"/>
        </w:rPr>
        <w:t>“unstable governments” and “unrelia</w:t>
      </w:r>
      <w:r w:rsidR="00F65F5A">
        <w:rPr>
          <w:rFonts w:ascii="Times New Roman" w:eastAsia="Times New Roman" w:hAnsi="Times New Roman" w:cs="Times New Roman"/>
        </w:rPr>
        <w:t>ble infrastructures” in recently decolonized regions</w:t>
      </w:r>
      <w:r w:rsidR="00CD42EA">
        <w:rPr>
          <w:rFonts w:ascii="Times New Roman" w:eastAsia="Times New Roman" w:hAnsi="Times New Roman" w:cs="Times New Roman"/>
        </w:rPr>
        <w:t>, necessitating the shipment of biological materials to “nations with robust biomedical facilities”</w:t>
      </w:r>
      <w:r w:rsidR="00ED329A">
        <w:rPr>
          <w:rFonts w:ascii="Times New Roman" w:eastAsia="Times New Roman" w:hAnsi="Times New Roman" w:cs="Times New Roman"/>
        </w:rPr>
        <w:t xml:space="preserve"> (i.e., former colonial powers</w:t>
      </w:r>
      <w:r w:rsidR="00CD42EA">
        <w:rPr>
          <w:rFonts w:ascii="Times New Roman" w:eastAsia="Times New Roman" w:hAnsi="Times New Roman" w:cs="Times New Roman"/>
        </w:rPr>
        <w:t>)</w:t>
      </w:r>
      <w:r w:rsidRPr="00190F04">
        <w:rPr>
          <w:rFonts w:ascii="Times New Roman" w:eastAsia="Times New Roman" w:hAnsi="Times New Roman" w:cs="Times New Roman"/>
        </w:rPr>
        <w:t>.</w:t>
      </w:r>
      <w:r w:rsidRPr="00D941C7">
        <w:rPr>
          <w:rStyle w:val="FootnoteReference"/>
        </w:rPr>
        <w:footnoteReference w:id="12"/>
      </w:r>
      <w:r w:rsidRPr="00190F04">
        <w:rPr>
          <w:rFonts w:ascii="Times New Roman" w:eastAsia="Times New Roman" w:hAnsi="Times New Roman" w:cs="Times New Roman"/>
        </w:rPr>
        <w:t xml:space="preserve"> As a result, the professional conflicts that occasionally erupted between Western scientists and their </w:t>
      </w:r>
      <w:r w:rsidR="00CB11ED">
        <w:rPr>
          <w:rFonts w:ascii="Times New Roman" w:eastAsia="Times New Roman" w:hAnsi="Times New Roman" w:cs="Times New Roman"/>
        </w:rPr>
        <w:t>non-Western</w:t>
      </w:r>
      <w:r w:rsidRPr="00190F04">
        <w:rPr>
          <w:rFonts w:ascii="Times New Roman" w:eastAsia="Times New Roman" w:hAnsi="Times New Roman" w:cs="Times New Roman"/>
        </w:rPr>
        <w:t xml:space="preserve"> collaborators, mostly regarding the former’s publication and interpretation of the genetic data produced by the latter’s scientific labor, were shaped by not only a professional, but also a geopolitical hierarchy of scientific prestige. </w:t>
      </w:r>
      <w:r w:rsidR="003457E5" w:rsidRPr="00190F04">
        <w:rPr>
          <w:rFonts w:ascii="Times New Roman" w:eastAsia="Times New Roman" w:hAnsi="Times New Roman" w:cs="Times New Roman"/>
        </w:rPr>
        <w:t>As such,</w:t>
      </w:r>
      <w:r w:rsidRPr="00190F04">
        <w:rPr>
          <w:rFonts w:ascii="Times New Roman" w:eastAsia="Times New Roman" w:hAnsi="Times New Roman" w:cs="Times New Roman"/>
        </w:rPr>
        <w:t xml:space="preserve"> </w:t>
      </w:r>
      <w:r w:rsidR="00715547" w:rsidRPr="00190F04">
        <w:rPr>
          <w:rFonts w:ascii="Times New Roman" w:hAnsi="Times New Roman" w:cs="Times New Roman"/>
          <w:color w:val="231F20"/>
        </w:rPr>
        <w:t>“</w:t>
      </w:r>
      <w:r w:rsidR="00CF711C" w:rsidRPr="00190F04">
        <w:rPr>
          <w:rFonts w:ascii="Times New Roman" w:hAnsi="Times New Roman" w:cs="Times New Roman"/>
          <w:color w:val="231F20"/>
        </w:rPr>
        <w:t xml:space="preserve">the shift </w:t>
      </w:r>
      <w:r w:rsidR="003457E5" w:rsidRPr="00190F04">
        <w:rPr>
          <w:rFonts w:ascii="Times New Roman" w:hAnsi="Times New Roman" w:cs="Times New Roman"/>
          <w:color w:val="231F20"/>
        </w:rPr>
        <w:t xml:space="preserve">from formal political and economic imperialism to the neocolonial intellectual hegemony </w:t>
      </w:r>
      <w:r w:rsidR="00CF711C" w:rsidRPr="00190F04">
        <w:rPr>
          <w:rFonts w:ascii="Times New Roman" w:hAnsi="Times New Roman" w:cs="Times New Roman"/>
          <w:color w:val="231F20"/>
        </w:rPr>
        <w:t>of science and technical reason</w:t>
      </w:r>
      <w:r w:rsidR="003457E5" w:rsidRPr="00190F04">
        <w:rPr>
          <w:rFonts w:ascii="Times New Roman" w:hAnsi="Times New Roman" w:cs="Times New Roman"/>
          <w:color w:val="231F20"/>
        </w:rPr>
        <w:t>”</w:t>
      </w:r>
      <w:r w:rsidR="00CF711C" w:rsidRPr="00190F04">
        <w:rPr>
          <w:rFonts w:ascii="Times New Roman" w:hAnsi="Times New Roman" w:cs="Times New Roman"/>
          <w:color w:val="231F20"/>
        </w:rPr>
        <w:t xml:space="preserve"> traced by Warwick Anderson and Hans Pols in </w:t>
      </w:r>
      <w:r w:rsidR="009267B7" w:rsidRPr="00190F04">
        <w:rPr>
          <w:rFonts w:ascii="Times New Roman" w:hAnsi="Times New Roman" w:cs="Times New Roman"/>
          <w:color w:val="231F20"/>
        </w:rPr>
        <w:t>early 20</w:t>
      </w:r>
      <w:r w:rsidR="009267B7" w:rsidRPr="00190F04">
        <w:rPr>
          <w:rFonts w:ascii="Times New Roman" w:hAnsi="Times New Roman" w:cs="Times New Roman"/>
          <w:color w:val="231F20"/>
          <w:vertAlign w:val="superscript"/>
        </w:rPr>
        <w:t>th</w:t>
      </w:r>
      <w:r w:rsidR="009267B7" w:rsidRPr="00190F04">
        <w:rPr>
          <w:rFonts w:ascii="Times New Roman" w:hAnsi="Times New Roman" w:cs="Times New Roman"/>
          <w:color w:val="231F20"/>
        </w:rPr>
        <w:t xml:space="preserve">-century Southeast Asia can also be found in </w:t>
      </w:r>
      <w:r w:rsidR="0013772C" w:rsidRPr="00190F04">
        <w:rPr>
          <w:rFonts w:ascii="Times New Roman" w:hAnsi="Times New Roman" w:cs="Times New Roman"/>
          <w:color w:val="231F20"/>
        </w:rPr>
        <w:t xml:space="preserve">the </w:t>
      </w:r>
      <w:r w:rsidR="009267B7" w:rsidRPr="00190F04">
        <w:rPr>
          <w:rFonts w:ascii="Times New Roman" w:hAnsi="Times New Roman" w:cs="Times New Roman"/>
          <w:color w:val="231F20"/>
        </w:rPr>
        <w:t>Middle East</w:t>
      </w:r>
      <w:r w:rsidR="00874833" w:rsidRPr="00190F04">
        <w:rPr>
          <w:rFonts w:ascii="Times New Roman" w:hAnsi="Times New Roman" w:cs="Times New Roman"/>
          <w:color w:val="231F20"/>
        </w:rPr>
        <w:t xml:space="preserve"> during the Cold War</w:t>
      </w:r>
      <w:r w:rsidR="00B02A13" w:rsidRPr="00190F04">
        <w:rPr>
          <w:rFonts w:ascii="Times New Roman" w:hAnsi="Times New Roman" w:cs="Times New Roman"/>
          <w:color w:val="231F20"/>
        </w:rPr>
        <w:t xml:space="preserve"> era</w:t>
      </w:r>
      <w:r w:rsidR="00CD712E" w:rsidRPr="00190F04">
        <w:rPr>
          <w:rFonts w:ascii="Times New Roman" w:hAnsi="Times New Roman" w:cs="Times New Roman"/>
          <w:color w:val="231F20"/>
        </w:rPr>
        <w:t>.</w:t>
      </w:r>
      <w:r w:rsidR="00871823" w:rsidRPr="00D941C7">
        <w:rPr>
          <w:rStyle w:val="FootnoteReference"/>
        </w:rPr>
        <w:footnoteReference w:id="13"/>
      </w:r>
      <w:r w:rsidR="00CD712E" w:rsidRPr="00190F04">
        <w:rPr>
          <w:rFonts w:ascii="Times New Roman" w:hAnsi="Times New Roman" w:cs="Times New Roman"/>
          <w:color w:val="231F20"/>
        </w:rPr>
        <w:t xml:space="preserve"> </w:t>
      </w:r>
      <w:r w:rsidR="00ED58DD">
        <w:rPr>
          <w:rFonts w:ascii="Times New Roman" w:hAnsi="Times New Roman" w:cs="Times New Roman"/>
          <w:color w:val="231F20"/>
        </w:rPr>
        <w:t xml:space="preserve">Mourant’s </w:t>
      </w:r>
      <w:r w:rsidR="00A90E6C">
        <w:rPr>
          <w:rFonts w:ascii="Times New Roman" w:hAnsi="Times New Roman" w:cs="Times New Roman"/>
          <w:color w:val="231F20"/>
        </w:rPr>
        <w:t xml:space="preserve">aforementioned </w:t>
      </w:r>
      <w:r w:rsidR="00ED58DD">
        <w:rPr>
          <w:rFonts w:ascii="Times New Roman" w:hAnsi="Times New Roman" w:cs="Times New Roman"/>
          <w:color w:val="231F20"/>
        </w:rPr>
        <w:t>letter concerning Lebanon, and his</w:t>
      </w:r>
      <w:r w:rsidR="00EF681E">
        <w:rPr>
          <w:rFonts w:ascii="Times New Roman" w:hAnsi="Times New Roman" w:cs="Times New Roman"/>
          <w:color w:val="231F20"/>
        </w:rPr>
        <w:t xml:space="preserve"> laboratory’s</w:t>
      </w:r>
      <w:r w:rsidR="00ED58DD">
        <w:rPr>
          <w:rFonts w:ascii="Times New Roman" w:hAnsi="Times New Roman" w:cs="Times New Roman"/>
          <w:color w:val="231F20"/>
        </w:rPr>
        <w:t xml:space="preserve"> publications involving the procurement of blood samples from British colonies like Aden and former protectorates and mandates like Egypt and Iraq, readily confirm this state of affairs.</w:t>
      </w:r>
      <w:r w:rsidR="00EF681E" w:rsidRPr="00D941C7">
        <w:rPr>
          <w:rStyle w:val="FootnoteReference"/>
        </w:rPr>
        <w:footnoteReference w:id="14"/>
      </w:r>
      <w:r w:rsidR="00ED58DD">
        <w:rPr>
          <w:rFonts w:ascii="Times New Roman" w:hAnsi="Times New Roman" w:cs="Times New Roman"/>
          <w:color w:val="231F20"/>
        </w:rPr>
        <w:t xml:space="preserve"> However, </w:t>
      </w:r>
      <w:r w:rsidR="00CD712E" w:rsidRPr="00190F04">
        <w:rPr>
          <w:rFonts w:ascii="Times New Roman" w:hAnsi="Times New Roman" w:cs="Times New Roman"/>
          <w:color w:val="231F20"/>
        </w:rPr>
        <w:t xml:space="preserve">the </w:t>
      </w:r>
      <w:r w:rsidR="000352BE" w:rsidRPr="00190F04">
        <w:rPr>
          <w:rFonts w:ascii="Times New Roman" w:hAnsi="Times New Roman" w:cs="Times New Roman"/>
          <w:color w:val="231F20"/>
        </w:rPr>
        <w:t xml:space="preserve">notion of a </w:t>
      </w:r>
      <w:r w:rsidR="00871823">
        <w:rPr>
          <w:rFonts w:ascii="Times New Roman" w:hAnsi="Times New Roman" w:cs="Times New Roman"/>
          <w:color w:val="231F20"/>
        </w:rPr>
        <w:t>neocolonial</w:t>
      </w:r>
      <w:r w:rsidR="00CD712E" w:rsidRPr="00190F04">
        <w:rPr>
          <w:rFonts w:ascii="Times New Roman" w:hAnsi="Times New Roman" w:cs="Times New Roman"/>
          <w:color w:val="231F20"/>
        </w:rPr>
        <w:t xml:space="preserve"> scientific hegemony applies well even to</w:t>
      </w:r>
      <w:r w:rsidR="00942DAB" w:rsidRPr="00190F04">
        <w:rPr>
          <w:rFonts w:ascii="Times New Roman" w:hAnsi="Times New Roman" w:cs="Times New Roman"/>
          <w:color w:val="231F20"/>
        </w:rPr>
        <w:t xml:space="preserve"> countries that were never formally colonized </w:t>
      </w:r>
      <w:r w:rsidR="00925D67">
        <w:rPr>
          <w:rFonts w:ascii="Times New Roman" w:hAnsi="Times New Roman" w:cs="Times New Roman"/>
          <w:color w:val="231F20"/>
        </w:rPr>
        <w:t xml:space="preserve">by Western powers </w:t>
      </w:r>
      <w:r w:rsidR="00942DAB" w:rsidRPr="00190F04">
        <w:rPr>
          <w:rFonts w:ascii="Times New Roman" w:hAnsi="Times New Roman" w:cs="Times New Roman"/>
          <w:color w:val="231F20"/>
        </w:rPr>
        <w:t>(like Iran) or in which</w:t>
      </w:r>
      <w:r w:rsidR="008F3A99" w:rsidRPr="00190F04">
        <w:rPr>
          <w:rFonts w:ascii="Times New Roman" w:hAnsi="Times New Roman" w:cs="Times New Roman"/>
          <w:color w:val="231F20"/>
        </w:rPr>
        <w:t xml:space="preserve"> ethnic nationalism took the form of settler-colonialism</w:t>
      </w:r>
      <w:r w:rsidR="00942DAB" w:rsidRPr="00190F04">
        <w:rPr>
          <w:rFonts w:ascii="Times New Roman" w:hAnsi="Times New Roman" w:cs="Times New Roman"/>
          <w:color w:val="231F20"/>
        </w:rPr>
        <w:t xml:space="preserve"> (like Israel)</w:t>
      </w:r>
      <w:r w:rsidR="009267B7" w:rsidRPr="00190F04">
        <w:rPr>
          <w:rFonts w:ascii="Times New Roman" w:hAnsi="Times New Roman" w:cs="Times New Roman"/>
          <w:color w:val="231F20"/>
        </w:rPr>
        <w:t>.</w:t>
      </w:r>
      <w:r w:rsidR="00925D67">
        <w:rPr>
          <w:rFonts w:ascii="Times New Roman" w:hAnsi="Times New Roman" w:cs="Times New Roman"/>
          <w:color w:val="231F20"/>
        </w:rPr>
        <w:t xml:space="preserve"> </w:t>
      </w:r>
      <w:r w:rsidR="00871823">
        <w:rPr>
          <w:rFonts w:ascii="Times New Roman" w:eastAsia="Times New Roman" w:hAnsi="Times New Roman" w:cs="Times New Roman"/>
        </w:rPr>
        <w:t>I</w:t>
      </w:r>
      <w:r w:rsidR="00871823" w:rsidRPr="00190F04">
        <w:rPr>
          <w:rFonts w:ascii="Times New Roman" w:eastAsia="Times New Roman" w:hAnsi="Times New Roman" w:cs="Times New Roman"/>
        </w:rPr>
        <w:t xml:space="preserve"> add another layer to this analysis by examining how </w:t>
      </w:r>
      <w:r w:rsidR="00871823">
        <w:rPr>
          <w:rFonts w:ascii="Times New Roman" w:eastAsia="Times New Roman" w:hAnsi="Times New Roman" w:cs="Times New Roman"/>
        </w:rPr>
        <w:t xml:space="preserve">international </w:t>
      </w:r>
      <w:r w:rsidR="00871823" w:rsidRPr="00190F04">
        <w:rPr>
          <w:rFonts w:ascii="Times New Roman" w:eastAsia="Times New Roman" w:hAnsi="Times New Roman" w:cs="Times New Roman"/>
        </w:rPr>
        <w:t>professional networks</w:t>
      </w:r>
      <w:r w:rsidR="00871823">
        <w:rPr>
          <w:rFonts w:ascii="Times New Roman" w:eastAsia="Times New Roman" w:hAnsi="Times New Roman" w:cs="Times New Roman"/>
        </w:rPr>
        <w:t xml:space="preserve"> of genetic researchers</w:t>
      </w:r>
      <w:r w:rsidR="00871823" w:rsidRPr="00190F04">
        <w:rPr>
          <w:rFonts w:ascii="Times New Roman" w:eastAsia="Times New Roman" w:hAnsi="Times New Roman" w:cs="Times New Roman"/>
        </w:rPr>
        <w:t xml:space="preserve"> simultaneously reinforced regional and national power structures. </w:t>
      </w:r>
      <w:r w:rsidR="00871823">
        <w:rPr>
          <w:rFonts w:ascii="Times New Roman" w:hAnsi="Times New Roman" w:cs="Times New Roman"/>
          <w:color w:val="231F20"/>
        </w:rPr>
        <w:t>In this regard, I build</w:t>
      </w:r>
      <w:r w:rsidR="007B1767">
        <w:rPr>
          <w:rFonts w:ascii="Times New Roman" w:hAnsi="Times New Roman" w:cs="Times New Roman"/>
          <w:color w:val="231F20"/>
        </w:rPr>
        <w:t xml:space="preserve"> on Christopher Houston’s observation that </w:t>
      </w:r>
      <w:r w:rsidR="007B1767">
        <w:rPr>
          <w:rFonts w:ascii="Times New Roman" w:hAnsi="Times New Roman"/>
        </w:rPr>
        <w:lastRenderedPageBreak/>
        <w:t>p</w:t>
      </w:r>
      <w:r w:rsidR="007B1767" w:rsidRPr="007D545E">
        <w:rPr>
          <w:rFonts w:ascii="Times New Roman" w:hAnsi="Times New Roman"/>
        </w:rPr>
        <w:t xml:space="preserve">ostcolonial critiques of anthropology </w:t>
      </w:r>
      <w:r w:rsidR="007B1767">
        <w:rPr>
          <w:rFonts w:ascii="Times New Roman" w:hAnsi="Times New Roman"/>
        </w:rPr>
        <w:t>and race science</w:t>
      </w:r>
      <w:r w:rsidR="007B1767" w:rsidRPr="007D545E">
        <w:rPr>
          <w:rFonts w:ascii="Times New Roman" w:hAnsi="Times New Roman"/>
        </w:rPr>
        <w:t xml:space="preserve"> have tended to be Eurocentric by framing the discipline’s history exclusively in terms of Western colonial power, thus overlooking the development of</w:t>
      </w:r>
      <w:r w:rsidR="007B1767">
        <w:rPr>
          <w:rFonts w:ascii="Times New Roman" w:hAnsi="Times New Roman"/>
        </w:rPr>
        <w:t xml:space="preserve"> “internal colonialisms” produced by </w:t>
      </w:r>
      <w:r w:rsidR="007B1767" w:rsidRPr="007D545E">
        <w:rPr>
          <w:rFonts w:ascii="Times New Roman" w:hAnsi="Times New Roman"/>
        </w:rPr>
        <w:t xml:space="preserve">anthropological research </w:t>
      </w:r>
      <w:r w:rsidR="007B1767">
        <w:rPr>
          <w:rFonts w:ascii="Times New Roman" w:hAnsi="Times New Roman"/>
        </w:rPr>
        <w:t>in service to local</w:t>
      </w:r>
      <w:r w:rsidR="007B1767" w:rsidRPr="007D545E">
        <w:rPr>
          <w:rFonts w:ascii="Times New Roman" w:hAnsi="Times New Roman"/>
        </w:rPr>
        <w:t xml:space="preserve"> nationalist regimes.</w:t>
      </w:r>
      <w:r w:rsidR="007B1767" w:rsidRPr="00D941C7">
        <w:rPr>
          <w:rStyle w:val="FootnoteReference"/>
        </w:rPr>
        <w:footnoteReference w:id="15"/>
      </w:r>
    </w:p>
    <w:p w14:paraId="5393AF22" w14:textId="42C2664A" w:rsidR="00BB3CD0" w:rsidRPr="004168C1" w:rsidRDefault="00715547" w:rsidP="00132CED">
      <w:pPr>
        <w:widowControl w:val="0"/>
        <w:autoSpaceDE w:val="0"/>
        <w:autoSpaceDN w:val="0"/>
        <w:adjustRightInd w:val="0"/>
        <w:ind w:firstLine="720"/>
        <w:rPr>
          <w:rFonts w:ascii="Times New Roman" w:hAnsi="Times New Roman" w:cs="Times New Roman"/>
        </w:rPr>
      </w:pPr>
      <w:r w:rsidRPr="00190F04">
        <w:rPr>
          <w:rFonts w:ascii="Times New Roman" w:eastAsia="Times New Roman" w:hAnsi="Times New Roman" w:cs="Times New Roman"/>
        </w:rPr>
        <w:t>Addressing Cyrus Schayegh’s call to investigate the positionality of Middle Eastern science</w:t>
      </w:r>
      <w:r w:rsidR="00BB3CD0" w:rsidRPr="00190F04">
        <w:rPr>
          <w:rFonts w:ascii="Times New Roman" w:eastAsia="Times New Roman" w:hAnsi="Times New Roman" w:cs="Times New Roman"/>
        </w:rPr>
        <w:t>,</w:t>
      </w:r>
      <w:r w:rsidRPr="00D941C7">
        <w:rPr>
          <w:rStyle w:val="FootnoteReference"/>
        </w:rPr>
        <w:footnoteReference w:id="16"/>
      </w:r>
      <w:r w:rsidR="00BB3CD0" w:rsidRPr="00190F04">
        <w:rPr>
          <w:rFonts w:ascii="Times New Roman" w:eastAsia="Times New Roman" w:hAnsi="Times New Roman" w:cs="Times New Roman"/>
        </w:rPr>
        <w:t xml:space="preserve"> I situate the people of Israel and Iran as both practitioners and subjects of genetic research within the biomedical infrastructure emerging from postwar international organizations. </w:t>
      </w:r>
      <w:r w:rsidR="002D297E">
        <w:rPr>
          <w:rFonts w:ascii="Times New Roman" w:eastAsia="Times New Roman" w:hAnsi="Times New Roman" w:cs="Times New Roman"/>
        </w:rPr>
        <w:t>By the early 1960s, Israel had established itself as</w:t>
      </w:r>
      <w:r w:rsidR="00BB3CD0" w:rsidRPr="00190F04">
        <w:rPr>
          <w:rFonts w:ascii="Times New Roman" w:eastAsia="Times New Roman" w:hAnsi="Times New Roman" w:cs="Times New Roman"/>
        </w:rPr>
        <w:t xml:space="preserve"> the </w:t>
      </w:r>
      <w:r w:rsidR="000D192E" w:rsidRPr="00190F04">
        <w:rPr>
          <w:rFonts w:ascii="Times New Roman" w:eastAsia="Times New Roman" w:hAnsi="Times New Roman" w:cs="Times New Roman"/>
        </w:rPr>
        <w:t>Middle East’s regional center for human</w:t>
      </w:r>
      <w:r w:rsidR="00BB3CD0" w:rsidRPr="00190F04">
        <w:rPr>
          <w:rFonts w:ascii="Times New Roman" w:eastAsia="Times New Roman" w:hAnsi="Times New Roman" w:cs="Times New Roman"/>
        </w:rPr>
        <w:t xml:space="preserve"> genetic</w:t>
      </w:r>
      <w:r w:rsidR="000D192E" w:rsidRPr="00190F04">
        <w:rPr>
          <w:rFonts w:ascii="Times New Roman" w:eastAsia="Times New Roman" w:hAnsi="Times New Roman" w:cs="Times New Roman"/>
        </w:rPr>
        <w:t>s</w:t>
      </w:r>
      <w:r w:rsidR="00BB3CD0" w:rsidRPr="00190F04">
        <w:rPr>
          <w:rFonts w:ascii="Times New Roman" w:eastAsia="Times New Roman" w:hAnsi="Times New Roman" w:cs="Times New Roman"/>
        </w:rPr>
        <w:t xml:space="preserve"> research. Nearly twice as many publications were produced by and on Israeli Jews as for Iranians, and Israeli scientists took on much more prominent roles in terms of organizing and participating in international genetics con</w:t>
      </w:r>
      <w:r w:rsidR="007060A5">
        <w:rPr>
          <w:rFonts w:ascii="Times New Roman" w:eastAsia="Times New Roman" w:hAnsi="Times New Roman" w:cs="Times New Roman"/>
        </w:rPr>
        <w:t>ferences (including one hosted in Jerusalem in 1961)</w:t>
      </w:r>
      <w:r w:rsidR="00BB3CD0" w:rsidRPr="00190F04">
        <w:rPr>
          <w:rFonts w:ascii="Times New Roman" w:eastAsia="Times New Roman" w:hAnsi="Times New Roman" w:cs="Times New Roman"/>
        </w:rPr>
        <w:t xml:space="preserve">. </w:t>
      </w:r>
      <w:r w:rsidR="006F45D7">
        <w:rPr>
          <w:rFonts w:ascii="Times New Roman" w:hAnsi="Times New Roman" w:cs="Times New Roman"/>
        </w:rPr>
        <w:t>Yet</w:t>
      </w:r>
      <w:r w:rsidR="00BB3CD0" w:rsidRPr="00190F04">
        <w:rPr>
          <w:rFonts w:ascii="Times New Roman" w:hAnsi="Times New Roman" w:cs="Times New Roman"/>
        </w:rPr>
        <w:t xml:space="preserve"> </w:t>
      </w:r>
      <w:r w:rsidR="006F45D7">
        <w:rPr>
          <w:rFonts w:ascii="Times New Roman" w:hAnsi="Times New Roman" w:cs="Times New Roman"/>
        </w:rPr>
        <w:t xml:space="preserve">in practical terms, </w:t>
      </w:r>
      <w:r w:rsidR="00BB3CD0" w:rsidRPr="00190F04">
        <w:rPr>
          <w:rFonts w:ascii="Times New Roman" w:hAnsi="Times New Roman" w:cs="Times New Roman"/>
        </w:rPr>
        <w:t xml:space="preserve">Israeli researchers </w:t>
      </w:r>
      <w:r w:rsidR="003C67C3">
        <w:rPr>
          <w:rFonts w:ascii="Times New Roman" w:hAnsi="Times New Roman" w:cs="Times New Roman"/>
        </w:rPr>
        <w:t>had much in common</w:t>
      </w:r>
      <w:r w:rsidR="00BB3CD0" w:rsidRPr="00190F04">
        <w:rPr>
          <w:rFonts w:ascii="Times New Roman" w:hAnsi="Times New Roman" w:cs="Times New Roman"/>
        </w:rPr>
        <w:t xml:space="preserve"> with their colleagues in Iran</w:t>
      </w:r>
      <w:r w:rsidR="003C67C3">
        <w:rPr>
          <w:rFonts w:ascii="Times New Roman" w:hAnsi="Times New Roman" w:cs="Times New Roman"/>
        </w:rPr>
        <w:t xml:space="preserve">. </w:t>
      </w:r>
      <w:r w:rsidR="005344F1">
        <w:rPr>
          <w:rFonts w:ascii="Times New Roman" w:hAnsi="Times New Roman" w:cs="Times New Roman"/>
        </w:rPr>
        <w:t xml:space="preserve">As </w:t>
      </w:r>
      <w:r w:rsidR="00F8491D">
        <w:rPr>
          <w:rFonts w:ascii="Times New Roman" w:hAnsi="Times New Roman" w:cs="Times New Roman"/>
        </w:rPr>
        <w:t xml:space="preserve">biomedical researchers in </w:t>
      </w:r>
      <w:r w:rsidR="008907DA">
        <w:rPr>
          <w:rFonts w:ascii="Times New Roman" w:hAnsi="Times New Roman" w:cs="Times New Roman"/>
        </w:rPr>
        <w:t>self-professed “</w:t>
      </w:r>
      <w:r w:rsidR="005344F1">
        <w:rPr>
          <w:rFonts w:ascii="Times New Roman" w:hAnsi="Times New Roman" w:cs="Times New Roman"/>
        </w:rPr>
        <w:t>developing</w:t>
      </w:r>
      <w:r w:rsidR="008907DA">
        <w:rPr>
          <w:rFonts w:ascii="Times New Roman" w:hAnsi="Times New Roman" w:cs="Times New Roman"/>
        </w:rPr>
        <w:t>”</w:t>
      </w:r>
      <w:r w:rsidR="00F8491D">
        <w:rPr>
          <w:rFonts w:ascii="Times New Roman" w:hAnsi="Times New Roman" w:cs="Times New Roman"/>
        </w:rPr>
        <w:t xml:space="preserve"> countries</w:t>
      </w:r>
      <w:r w:rsidR="005344F1">
        <w:rPr>
          <w:rFonts w:ascii="Times New Roman" w:hAnsi="Times New Roman" w:cs="Times New Roman"/>
        </w:rPr>
        <w:t>, they</w:t>
      </w:r>
      <w:r w:rsidR="00F8491D">
        <w:rPr>
          <w:rFonts w:ascii="Times New Roman" w:hAnsi="Times New Roman" w:cs="Times New Roman"/>
        </w:rPr>
        <w:t xml:space="preserve"> struggled against the limitations of local facilities and infrastructure, </w:t>
      </w:r>
      <w:r w:rsidR="00A90E6C">
        <w:rPr>
          <w:rFonts w:ascii="Times New Roman" w:hAnsi="Times New Roman" w:cs="Times New Roman"/>
        </w:rPr>
        <w:t>inadequate</w:t>
      </w:r>
      <w:r w:rsidR="00C66D73">
        <w:rPr>
          <w:rFonts w:ascii="Times New Roman" w:hAnsi="Times New Roman" w:cs="Times New Roman"/>
        </w:rPr>
        <w:t xml:space="preserve"> </w:t>
      </w:r>
      <w:r w:rsidR="007D5DFE">
        <w:rPr>
          <w:rFonts w:ascii="Times New Roman" w:hAnsi="Times New Roman" w:cs="Times New Roman"/>
        </w:rPr>
        <w:t xml:space="preserve">state </w:t>
      </w:r>
      <w:r w:rsidR="00C66D73">
        <w:rPr>
          <w:rFonts w:ascii="Times New Roman" w:hAnsi="Times New Roman" w:cs="Times New Roman"/>
        </w:rPr>
        <w:t>funding</w:t>
      </w:r>
      <w:r w:rsidR="00F8491D">
        <w:rPr>
          <w:rFonts w:ascii="Times New Roman" w:hAnsi="Times New Roman" w:cs="Times New Roman"/>
        </w:rPr>
        <w:t>,</w:t>
      </w:r>
      <w:r w:rsidR="00A90E6C">
        <w:rPr>
          <w:rFonts w:ascii="Times New Roman" w:hAnsi="Times New Roman" w:cs="Times New Roman"/>
        </w:rPr>
        <w:t xml:space="preserve"> and unfavorable </w:t>
      </w:r>
      <w:r w:rsidR="0004528E">
        <w:rPr>
          <w:rFonts w:ascii="Times New Roman" w:hAnsi="Times New Roman" w:cs="Times New Roman"/>
        </w:rPr>
        <w:t xml:space="preserve">currency </w:t>
      </w:r>
      <w:r w:rsidR="00A90E6C">
        <w:rPr>
          <w:rFonts w:ascii="Times New Roman" w:hAnsi="Times New Roman" w:cs="Times New Roman"/>
        </w:rPr>
        <w:t xml:space="preserve">exchange rates that inhibited the procurement of necessary </w:t>
      </w:r>
      <w:r w:rsidR="00F8491D">
        <w:rPr>
          <w:rFonts w:ascii="Times New Roman" w:hAnsi="Times New Roman" w:cs="Times New Roman"/>
        </w:rPr>
        <w:t xml:space="preserve">laboratory </w:t>
      </w:r>
      <w:r w:rsidR="006855F0">
        <w:rPr>
          <w:rFonts w:ascii="Times New Roman" w:hAnsi="Times New Roman" w:cs="Times New Roman"/>
        </w:rPr>
        <w:t xml:space="preserve">equipment and </w:t>
      </w:r>
      <w:r w:rsidR="001D3DDD">
        <w:rPr>
          <w:rFonts w:ascii="Times New Roman" w:hAnsi="Times New Roman" w:cs="Times New Roman"/>
        </w:rPr>
        <w:t>serological</w:t>
      </w:r>
      <w:r w:rsidR="00F8491D">
        <w:rPr>
          <w:rFonts w:ascii="Times New Roman" w:hAnsi="Times New Roman" w:cs="Times New Roman"/>
        </w:rPr>
        <w:t xml:space="preserve"> </w:t>
      </w:r>
      <w:r w:rsidR="006855F0">
        <w:rPr>
          <w:rFonts w:ascii="Times New Roman" w:hAnsi="Times New Roman" w:cs="Times New Roman"/>
        </w:rPr>
        <w:t>reagents</w:t>
      </w:r>
      <w:r w:rsidR="00C66D73">
        <w:rPr>
          <w:rFonts w:ascii="Times New Roman" w:hAnsi="Times New Roman" w:cs="Times New Roman"/>
        </w:rPr>
        <w:t>.</w:t>
      </w:r>
      <w:r w:rsidR="007D5DFE" w:rsidRPr="00D941C7">
        <w:rPr>
          <w:rStyle w:val="FootnoteReference"/>
        </w:rPr>
        <w:footnoteReference w:id="17"/>
      </w:r>
      <w:r w:rsidR="004168C1">
        <w:rPr>
          <w:rFonts w:ascii="Times New Roman" w:hAnsi="Times New Roman" w:cs="Times New Roman"/>
        </w:rPr>
        <w:t xml:space="preserve"> </w:t>
      </w:r>
      <w:r w:rsidR="00C66D73">
        <w:rPr>
          <w:rFonts w:ascii="Times New Roman" w:hAnsi="Times New Roman" w:cs="Times New Roman"/>
        </w:rPr>
        <w:t xml:space="preserve">Furthermore, </w:t>
      </w:r>
      <w:r w:rsidR="001E4C2C">
        <w:rPr>
          <w:rFonts w:ascii="Times New Roman" w:hAnsi="Times New Roman" w:cs="Times New Roman"/>
        </w:rPr>
        <w:t>Israelis as well as Iranians occupied</w:t>
      </w:r>
      <w:r w:rsidR="00C66D73">
        <w:rPr>
          <w:rFonts w:ascii="Times New Roman" w:hAnsi="Times New Roman" w:cs="Times New Roman"/>
        </w:rPr>
        <w:t xml:space="preserve"> </w:t>
      </w:r>
      <w:r w:rsidR="001E4CE9" w:rsidRPr="00190F04">
        <w:rPr>
          <w:rFonts w:ascii="Times New Roman" w:hAnsi="Times New Roman" w:cs="Times New Roman"/>
        </w:rPr>
        <w:t>a similar status as outsiders</w:t>
      </w:r>
      <w:r w:rsidR="00BB3CD0" w:rsidRPr="00190F04">
        <w:rPr>
          <w:rFonts w:ascii="Times New Roman" w:hAnsi="Times New Roman" w:cs="Times New Roman"/>
        </w:rPr>
        <w:t xml:space="preserve"> to the communities </w:t>
      </w:r>
      <w:r w:rsidR="00614EE5" w:rsidRPr="00190F04">
        <w:rPr>
          <w:rFonts w:ascii="Times New Roman" w:hAnsi="Times New Roman" w:cs="Times New Roman"/>
        </w:rPr>
        <w:t>on whose blood they built their careers</w:t>
      </w:r>
      <w:r w:rsidR="008D1CE6">
        <w:rPr>
          <w:rFonts w:ascii="Times New Roman" w:hAnsi="Times New Roman" w:cs="Times New Roman"/>
        </w:rPr>
        <w:t>, reflecting the “internal colonialism” inherent to Zionism and Iranian nationalism</w:t>
      </w:r>
      <w:r w:rsidR="00224BE5">
        <w:rPr>
          <w:rFonts w:ascii="Times New Roman" w:hAnsi="Times New Roman" w:cs="Times New Roman"/>
        </w:rPr>
        <w:t>.</w:t>
      </w:r>
      <w:r w:rsidR="007712B6">
        <w:rPr>
          <w:rFonts w:ascii="Times New Roman" w:hAnsi="Times New Roman" w:cs="Times New Roman"/>
        </w:rPr>
        <w:t xml:space="preserve"> The governing </w:t>
      </w:r>
      <w:r w:rsidR="00BF6571">
        <w:rPr>
          <w:rFonts w:ascii="Times New Roman" w:hAnsi="Times New Roman" w:cs="Times New Roman"/>
        </w:rPr>
        <w:t>regimes of</w:t>
      </w:r>
      <w:r w:rsidR="007712B6">
        <w:rPr>
          <w:rFonts w:ascii="Times New Roman" w:hAnsi="Times New Roman" w:cs="Times New Roman"/>
        </w:rPr>
        <w:t xml:space="preserve"> both states claimed</w:t>
      </w:r>
      <w:r w:rsidR="00224BE5">
        <w:rPr>
          <w:rFonts w:ascii="Times New Roman" w:hAnsi="Times New Roman" w:cs="Times New Roman"/>
        </w:rPr>
        <w:t xml:space="preserve"> </w:t>
      </w:r>
      <w:r w:rsidR="007712B6">
        <w:rPr>
          <w:rFonts w:ascii="Times New Roman" w:hAnsi="Times New Roman" w:cs="Times New Roman"/>
        </w:rPr>
        <w:t xml:space="preserve">to represent European civilization within the Middle East, and forcibly suppressed the cultural expression of social groups that </w:t>
      </w:r>
      <w:r w:rsidR="008B5F69">
        <w:rPr>
          <w:rFonts w:ascii="Times New Roman" w:hAnsi="Times New Roman" w:cs="Times New Roman"/>
        </w:rPr>
        <w:t xml:space="preserve">did not meet the ideal of the “new Jew” or the secularized Persian-speaking subject. </w:t>
      </w:r>
      <w:r w:rsidR="008E6A28">
        <w:rPr>
          <w:rFonts w:ascii="Times New Roman" w:hAnsi="Times New Roman" w:cs="Times New Roman"/>
        </w:rPr>
        <w:t xml:space="preserve">The Israeli physicians </w:t>
      </w:r>
      <w:r w:rsidR="00224BE5">
        <w:rPr>
          <w:rFonts w:ascii="Times New Roman" w:hAnsi="Times New Roman" w:cs="Times New Roman"/>
        </w:rPr>
        <w:t>and anthropologists involved in genetic research</w:t>
      </w:r>
      <w:r w:rsidR="00BB3CD0" w:rsidRPr="00190F04">
        <w:rPr>
          <w:rFonts w:ascii="Times New Roman" w:hAnsi="Times New Roman" w:cs="Times New Roman"/>
        </w:rPr>
        <w:t xml:space="preserve"> all had Ashkenazi backgrounds, while their research subjects were predominantly new </w:t>
      </w:r>
      <w:r w:rsidR="00710B95" w:rsidRPr="00190F04">
        <w:rPr>
          <w:rFonts w:ascii="Times New Roman" w:hAnsi="Times New Roman" w:cs="Times New Roman"/>
        </w:rPr>
        <w:t xml:space="preserve">Jewish </w:t>
      </w:r>
      <w:r w:rsidR="00BB3CD0" w:rsidRPr="00190F04">
        <w:rPr>
          <w:rFonts w:ascii="Times New Roman" w:hAnsi="Times New Roman" w:cs="Times New Roman"/>
        </w:rPr>
        <w:t>immigr</w:t>
      </w:r>
      <w:r w:rsidR="00710B95" w:rsidRPr="00190F04">
        <w:rPr>
          <w:rFonts w:ascii="Times New Roman" w:hAnsi="Times New Roman" w:cs="Times New Roman"/>
        </w:rPr>
        <w:t>ants from the Middle East and North Africa (i.e., Mizrahim), as well as Samaritans,</w:t>
      </w:r>
      <w:r w:rsidR="00BB3CD0" w:rsidRPr="00190F04">
        <w:rPr>
          <w:rFonts w:ascii="Times New Roman" w:hAnsi="Times New Roman" w:cs="Times New Roman"/>
        </w:rPr>
        <w:t xml:space="preserve"> Bedouins</w:t>
      </w:r>
      <w:r w:rsidR="00710B95" w:rsidRPr="00190F04">
        <w:rPr>
          <w:rFonts w:ascii="Times New Roman" w:hAnsi="Times New Roman" w:cs="Times New Roman"/>
        </w:rPr>
        <w:t>, and Armenians</w:t>
      </w:r>
      <w:r w:rsidR="00F453BF" w:rsidRPr="00190F04">
        <w:rPr>
          <w:rFonts w:ascii="Times New Roman" w:hAnsi="Times New Roman" w:cs="Times New Roman"/>
        </w:rPr>
        <w:t xml:space="preserve">. Meanwhile, </w:t>
      </w:r>
      <w:r w:rsidR="00A03A01" w:rsidRPr="00190F04">
        <w:rPr>
          <w:rFonts w:ascii="Times New Roman" w:hAnsi="Times New Roman" w:cs="Times New Roman"/>
        </w:rPr>
        <w:t xml:space="preserve">genetic research in Iran overwhelmingly concentrated on Zoroastrians, Armenians, and Kurds, but members of these </w:t>
      </w:r>
      <w:r w:rsidR="00614EE5" w:rsidRPr="00190F04">
        <w:rPr>
          <w:rFonts w:ascii="Times New Roman" w:hAnsi="Times New Roman" w:cs="Times New Roman"/>
        </w:rPr>
        <w:t>communities</w:t>
      </w:r>
      <w:r w:rsidR="00A03A01" w:rsidRPr="00190F04">
        <w:rPr>
          <w:rFonts w:ascii="Times New Roman" w:hAnsi="Times New Roman" w:cs="Times New Roman"/>
        </w:rPr>
        <w:t xml:space="preserve"> tended to serve only as consultants rather than primary investigators. </w:t>
      </w:r>
      <w:r w:rsidR="008E6A28">
        <w:rPr>
          <w:rFonts w:ascii="Times New Roman" w:eastAsia="Times New Roman" w:hAnsi="Times New Roman" w:cs="Times New Roman"/>
        </w:rPr>
        <w:t>Regardless</w:t>
      </w:r>
      <w:r w:rsidR="008E6A28" w:rsidRPr="00190F04">
        <w:rPr>
          <w:rFonts w:ascii="Times New Roman" w:eastAsia="Times New Roman" w:hAnsi="Times New Roman" w:cs="Times New Roman"/>
        </w:rPr>
        <w:t xml:space="preserve">, </w:t>
      </w:r>
      <w:r w:rsidR="008E6A28">
        <w:rPr>
          <w:rFonts w:ascii="Times New Roman" w:eastAsia="Times New Roman" w:hAnsi="Times New Roman" w:cs="Times New Roman"/>
        </w:rPr>
        <w:t>the elite professional identity of</w:t>
      </w:r>
      <w:r w:rsidR="008E6A28" w:rsidRPr="00190F04">
        <w:rPr>
          <w:rFonts w:ascii="Times New Roman" w:eastAsia="Times New Roman" w:hAnsi="Times New Roman" w:cs="Times New Roman"/>
        </w:rPr>
        <w:t xml:space="preserve"> </w:t>
      </w:r>
      <w:r w:rsidR="008E6A28">
        <w:rPr>
          <w:rFonts w:ascii="Times New Roman" w:eastAsia="Times New Roman" w:hAnsi="Times New Roman" w:cs="Times New Roman"/>
        </w:rPr>
        <w:t xml:space="preserve">(Ashkenazi) Israeli and (Shi’ite Persian) Iranian </w:t>
      </w:r>
      <w:r w:rsidR="008E6A28" w:rsidRPr="00190F04">
        <w:rPr>
          <w:rFonts w:ascii="Times New Roman" w:eastAsia="Times New Roman" w:hAnsi="Times New Roman" w:cs="Times New Roman"/>
        </w:rPr>
        <w:t>scientists and physicians granted them the authority to manipulate their research subjects and to make claims about their biological and historical identities.</w:t>
      </w:r>
      <w:r w:rsidR="008E6A28">
        <w:rPr>
          <w:rFonts w:ascii="Times New Roman" w:eastAsia="Times New Roman" w:hAnsi="Times New Roman" w:cs="Times New Roman"/>
        </w:rPr>
        <w:t xml:space="preserve"> </w:t>
      </w:r>
      <w:r w:rsidR="00F453BF" w:rsidRPr="00190F04">
        <w:rPr>
          <w:rFonts w:ascii="Times New Roman" w:hAnsi="Times New Roman" w:cs="Times New Roman"/>
        </w:rPr>
        <w:t>Accordingly, scientists in both countries</w:t>
      </w:r>
      <w:r w:rsidR="00BB3CD0" w:rsidRPr="00190F04">
        <w:rPr>
          <w:rFonts w:ascii="Times New Roman" w:hAnsi="Times New Roman" w:cs="Times New Roman"/>
        </w:rPr>
        <w:t xml:space="preserve"> wielded a similar role as representatives of state hegemony investigating “exotic” </w:t>
      </w:r>
      <w:r w:rsidR="005D37A2" w:rsidRPr="00190F04">
        <w:rPr>
          <w:rFonts w:ascii="Times New Roman" w:hAnsi="Times New Roman" w:cs="Times New Roman"/>
        </w:rPr>
        <w:t xml:space="preserve">and </w:t>
      </w:r>
      <w:r w:rsidR="00BB3CD0" w:rsidRPr="00190F04">
        <w:rPr>
          <w:rFonts w:ascii="Times New Roman" w:hAnsi="Times New Roman" w:cs="Times New Roman"/>
        </w:rPr>
        <w:t xml:space="preserve">socioculturally marginalized populations in </w:t>
      </w:r>
      <w:r w:rsidR="000758D4" w:rsidRPr="00190F04">
        <w:rPr>
          <w:rFonts w:ascii="Times New Roman" w:hAnsi="Times New Roman" w:cs="Times New Roman"/>
        </w:rPr>
        <w:t xml:space="preserve">the </w:t>
      </w:r>
      <w:r w:rsidR="00BB3CD0" w:rsidRPr="00190F04">
        <w:rPr>
          <w:rFonts w:ascii="Times New Roman" w:hAnsi="Times New Roman" w:cs="Times New Roman"/>
        </w:rPr>
        <w:t xml:space="preserve">service </w:t>
      </w:r>
      <w:r w:rsidR="00B02A13" w:rsidRPr="00190F04">
        <w:rPr>
          <w:rFonts w:ascii="Times New Roman" w:hAnsi="Times New Roman" w:cs="Times New Roman"/>
        </w:rPr>
        <w:t xml:space="preserve">of </w:t>
      </w:r>
      <w:r w:rsidR="00BB3CD0" w:rsidRPr="00190F04">
        <w:rPr>
          <w:rFonts w:ascii="Times New Roman" w:hAnsi="Times New Roman" w:cs="Times New Roman"/>
        </w:rPr>
        <w:t>national and international agendas of biomedical research.</w:t>
      </w:r>
      <w:r w:rsidR="00A6706E" w:rsidRPr="00D941C7">
        <w:rPr>
          <w:rStyle w:val="FootnoteReference"/>
        </w:rPr>
        <w:footnoteReference w:id="18"/>
      </w:r>
      <w:r w:rsidR="00BB3CD0" w:rsidRPr="00190F04">
        <w:rPr>
          <w:rFonts w:ascii="Times New Roman" w:eastAsia="Times New Roman" w:hAnsi="Times New Roman" w:cs="Times New Roman"/>
        </w:rPr>
        <w:t xml:space="preserve"> In this sense, </w:t>
      </w:r>
      <w:r w:rsidR="008B5F69">
        <w:rPr>
          <w:rFonts w:ascii="Times New Roman" w:eastAsia="Times New Roman" w:hAnsi="Times New Roman" w:cs="Times New Roman"/>
        </w:rPr>
        <w:t>Israeli and Iranian</w:t>
      </w:r>
      <w:r w:rsidR="00BB3CD0" w:rsidRPr="00190F04">
        <w:rPr>
          <w:rFonts w:ascii="Times New Roman" w:eastAsia="Times New Roman" w:hAnsi="Times New Roman" w:cs="Times New Roman"/>
        </w:rPr>
        <w:t xml:space="preserve"> scientists behaved as “native informants” to their Western colleagues, </w:t>
      </w:r>
      <w:r w:rsidR="007A3419" w:rsidRPr="00190F04">
        <w:rPr>
          <w:rFonts w:ascii="Times New Roman" w:eastAsia="Times New Roman" w:hAnsi="Times New Roman" w:cs="Times New Roman"/>
        </w:rPr>
        <w:t>marshaling</w:t>
      </w:r>
      <w:r w:rsidR="00BB3CD0" w:rsidRPr="00190F04">
        <w:rPr>
          <w:rFonts w:ascii="Times New Roman" w:eastAsia="Times New Roman" w:hAnsi="Times New Roman" w:cs="Times New Roman"/>
        </w:rPr>
        <w:t xml:space="preserve"> their national identities to speak on behalf of their fellow </w:t>
      </w:r>
      <w:r w:rsidR="00BB3CD0" w:rsidRPr="00190F04">
        <w:rPr>
          <w:rFonts w:ascii="Times New Roman" w:eastAsia="Times New Roman" w:hAnsi="Times New Roman" w:cs="Times New Roman"/>
        </w:rPr>
        <w:lastRenderedPageBreak/>
        <w:t xml:space="preserve">citizens, even when they </w:t>
      </w:r>
      <w:r w:rsidR="005D37A2" w:rsidRPr="00190F04">
        <w:rPr>
          <w:rFonts w:ascii="Times New Roman" w:eastAsia="Times New Roman" w:hAnsi="Times New Roman" w:cs="Times New Roman"/>
        </w:rPr>
        <w:t>did not belong to</w:t>
      </w:r>
      <w:r w:rsidR="00BB3CD0" w:rsidRPr="00190F04">
        <w:rPr>
          <w:rFonts w:ascii="Times New Roman" w:eastAsia="Times New Roman" w:hAnsi="Times New Roman" w:cs="Times New Roman"/>
        </w:rPr>
        <w:t xml:space="preserve"> the specific minority </w:t>
      </w:r>
      <w:r w:rsidR="00F721AA">
        <w:rPr>
          <w:rFonts w:ascii="Times New Roman" w:eastAsia="Times New Roman" w:hAnsi="Times New Roman" w:cs="Times New Roman"/>
        </w:rPr>
        <w:t>communities under investigation</w:t>
      </w:r>
      <w:r w:rsidR="008E6A28" w:rsidRPr="00190F04">
        <w:rPr>
          <w:rFonts w:ascii="Times New Roman" w:hAnsi="Times New Roman" w:cs="Times New Roman"/>
        </w:rPr>
        <w:t>.</w:t>
      </w:r>
      <w:r w:rsidR="008E6A28" w:rsidRPr="00D941C7">
        <w:rPr>
          <w:rStyle w:val="FootnoteReference"/>
        </w:rPr>
        <w:footnoteReference w:id="19"/>
      </w:r>
    </w:p>
    <w:p w14:paraId="173818FC" w14:textId="77777777" w:rsidR="008F1346" w:rsidRDefault="00B94ED3" w:rsidP="00132CED">
      <w:pPr>
        <w:widowControl w:val="0"/>
        <w:autoSpaceDE w:val="0"/>
        <w:autoSpaceDN w:val="0"/>
        <w:adjustRightInd w:val="0"/>
        <w:ind w:firstLine="720"/>
        <w:rPr>
          <w:rFonts w:ascii="Times New Roman" w:hAnsi="Times New Roman" w:cs="Times New Roman"/>
        </w:rPr>
      </w:pPr>
      <w:r w:rsidRPr="00190F04">
        <w:rPr>
          <w:rFonts w:ascii="Times New Roman" w:hAnsi="Times New Roman" w:cs="Times New Roman"/>
        </w:rPr>
        <w:t xml:space="preserve">Historians of science now acknowledge </w:t>
      </w:r>
      <w:r w:rsidR="006029CA" w:rsidRPr="00190F04">
        <w:rPr>
          <w:rFonts w:ascii="Times New Roman" w:hAnsi="Times New Roman" w:cs="Times New Roman"/>
        </w:rPr>
        <w:t xml:space="preserve">that </w:t>
      </w:r>
      <w:r w:rsidR="005A098D" w:rsidRPr="00190F04">
        <w:rPr>
          <w:rFonts w:ascii="Times New Roman" w:hAnsi="Times New Roman" w:cs="Times New Roman"/>
        </w:rPr>
        <w:t xml:space="preserve">the </w:t>
      </w:r>
      <w:r w:rsidR="006029CA" w:rsidRPr="00190F04">
        <w:rPr>
          <w:rFonts w:ascii="Times New Roman" w:hAnsi="Times New Roman" w:cs="Times New Roman"/>
        </w:rPr>
        <w:t xml:space="preserve">modern </w:t>
      </w:r>
      <w:r w:rsidR="005A098D" w:rsidRPr="00190F04">
        <w:rPr>
          <w:rFonts w:ascii="Times New Roman" w:hAnsi="Times New Roman" w:cs="Times New Roman"/>
        </w:rPr>
        <w:t>natural sciences</w:t>
      </w:r>
      <w:r w:rsidR="006029CA" w:rsidRPr="00190F04">
        <w:rPr>
          <w:rFonts w:ascii="Times New Roman" w:hAnsi="Times New Roman" w:cs="Times New Roman"/>
        </w:rPr>
        <w:t xml:space="preserve"> emerged as a process of </w:t>
      </w:r>
      <w:r w:rsidR="00284273" w:rsidRPr="00190F04">
        <w:rPr>
          <w:rFonts w:ascii="Times New Roman" w:hAnsi="Times New Roman" w:cs="Times New Roman"/>
        </w:rPr>
        <w:t xml:space="preserve">mercantile, colonial and imperial </w:t>
      </w:r>
      <w:r w:rsidR="006029CA" w:rsidRPr="00190F04">
        <w:rPr>
          <w:rFonts w:ascii="Times New Roman" w:hAnsi="Times New Roman" w:cs="Times New Roman"/>
        </w:rPr>
        <w:t xml:space="preserve">interaction between the West and the rest of the world, </w:t>
      </w:r>
      <w:r w:rsidR="00CB22B7" w:rsidRPr="00190F04">
        <w:rPr>
          <w:rFonts w:ascii="Times New Roman" w:hAnsi="Times New Roman" w:cs="Times New Roman"/>
        </w:rPr>
        <w:t>dependent on</w:t>
      </w:r>
      <w:r w:rsidR="00284273" w:rsidRPr="00190F04">
        <w:rPr>
          <w:rFonts w:ascii="Times New Roman" w:hAnsi="Times New Roman" w:cs="Times New Roman"/>
        </w:rPr>
        <w:t xml:space="preserve"> the work of “go-betweens” and “intermediaries”</w:t>
      </w:r>
      <w:r w:rsidR="008255DD" w:rsidRPr="00190F04">
        <w:rPr>
          <w:rFonts w:ascii="Times New Roman" w:hAnsi="Times New Roman" w:cs="Times New Roman"/>
        </w:rPr>
        <w:t xml:space="preserve"> who both physically and intellectually transported ideas, objects, and technologies across the globe.</w:t>
      </w:r>
      <w:r w:rsidR="00284273" w:rsidRPr="00D941C7">
        <w:rPr>
          <w:rStyle w:val="FootnoteReference"/>
        </w:rPr>
        <w:footnoteReference w:id="20"/>
      </w:r>
      <w:r w:rsidR="006029CA" w:rsidRPr="00190F04">
        <w:rPr>
          <w:rFonts w:ascii="Times New Roman" w:hAnsi="Times New Roman" w:cs="Times New Roman"/>
        </w:rPr>
        <w:t xml:space="preserve"> </w:t>
      </w:r>
      <w:r w:rsidR="00EB13A3" w:rsidRPr="00190F04">
        <w:rPr>
          <w:rFonts w:ascii="Times New Roman" w:hAnsi="Times New Roman" w:cs="Times New Roman"/>
        </w:rPr>
        <w:t>For example,</w:t>
      </w:r>
      <w:r w:rsidR="003A1B9B" w:rsidRPr="00190F04">
        <w:rPr>
          <w:rFonts w:ascii="Times New Roman" w:hAnsi="Times New Roman" w:cs="Times New Roman"/>
        </w:rPr>
        <w:t xml:space="preserve"> </w:t>
      </w:r>
      <w:r w:rsidR="008255DD" w:rsidRPr="00190F04">
        <w:rPr>
          <w:rFonts w:ascii="Times New Roman" w:hAnsi="Times New Roman" w:cs="Times New Roman"/>
        </w:rPr>
        <w:t>Londa Schiebinger</w:t>
      </w:r>
      <w:r w:rsidR="003A1B9B" w:rsidRPr="00190F04">
        <w:rPr>
          <w:rFonts w:ascii="Times New Roman" w:hAnsi="Times New Roman" w:cs="Times New Roman"/>
        </w:rPr>
        <w:t xml:space="preserve"> describes </w:t>
      </w:r>
      <w:r w:rsidR="00CF6629" w:rsidRPr="00190F04">
        <w:rPr>
          <w:rFonts w:ascii="Times New Roman" w:hAnsi="Times New Roman" w:cs="Times New Roman"/>
        </w:rPr>
        <w:t>how European naturalists in the 18</w:t>
      </w:r>
      <w:r w:rsidR="00CF6629" w:rsidRPr="00190F04">
        <w:rPr>
          <w:rFonts w:ascii="Times New Roman" w:hAnsi="Times New Roman" w:cs="Times New Roman"/>
          <w:vertAlign w:val="superscript"/>
        </w:rPr>
        <w:t>th</w:t>
      </w:r>
      <w:r w:rsidR="00CF6629" w:rsidRPr="00190F04">
        <w:rPr>
          <w:rFonts w:ascii="Times New Roman" w:hAnsi="Times New Roman" w:cs="Times New Roman"/>
        </w:rPr>
        <w:t xml:space="preserve">-century New World relied heavily on the botanical knowledge of Native </w:t>
      </w:r>
      <w:r w:rsidR="00DC2841" w:rsidRPr="00190F04">
        <w:rPr>
          <w:rFonts w:ascii="Times New Roman" w:hAnsi="Times New Roman" w:cs="Times New Roman"/>
        </w:rPr>
        <w:t xml:space="preserve">Americans and enslaved Africans, </w:t>
      </w:r>
      <w:r w:rsidR="00213444" w:rsidRPr="00190F04">
        <w:rPr>
          <w:rFonts w:ascii="Times New Roman" w:hAnsi="Times New Roman" w:cs="Times New Roman"/>
        </w:rPr>
        <w:t>although</w:t>
      </w:r>
      <w:r w:rsidR="00DC2841" w:rsidRPr="00190F04">
        <w:rPr>
          <w:rFonts w:ascii="Times New Roman" w:hAnsi="Times New Roman" w:cs="Times New Roman"/>
        </w:rPr>
        <w:t xml:space="preserve"> these “local informants” were not always willing to divulge this knowledge to the people who had conquered and exploited them.</w:t>
      </w:r>
      <w:r w:rsidR="00DC2841" w:rsidRPr="00D941C7">
        <w:rPr>
          <w:rStyle w:val="FootnoteReference"/>
        </w:rPr>
        <w:footnoteReference w:id="21"/>
      </w:r>
      <w:r w:rsidR="00B55C90" w:rsidRPr="00190F04">
        <w:rPr>
          <w:rFonts w:ascii="Times New Roman" w:eastAsia="Times New Roman" w:hAnsi="Times New Roman" w:cs="Times New Roman"/>
        </w:rPr>
        <w:t xml:space="preserve"> The case of human genetics in the </w:t>
      </w:r>
      <w:r w:rsidR="00BB53D1" w:rsidRPr="00190F04">
        <w:rPr>
          <w:rFonts w:ascii="Times New Roman" w:eastAsia="Times New Roman" w:hAnsi="Times New Roman" w:cs="Times New Roman"/>
        </w:rPr>
        <w:t xml:space="preserve">Cold War </w:t>
      </w:r>
      <w:r w:rsidR="00B55C90" w:rsidRPr="00190F04">
        <w:rPr>
          <w:rFonts w:ascii="Times New Roman" w:eastAsia="Times New Roman" w:hAnsi="Times New Roman" w:cs="Times New Roman"/>
        </w:rPr>
        <w:t>period of decolonization is even more fraught with the negotiation of asymmetrical power relations and th</w:t>
      </w:r>
      <w:r w:rsidR="00BB53D1" w:rsidRPr="00190F04">
        <w:rPr>
          <w:rFonts w:ascii="Times New Roman" w:eastAsia="Times New Roman" w:hAnsi="Times New Roman" w:cs="Times New Roman"/>
        </w:rPr>
        <w:t>e assertion of new professional</w:t>
      </w:r>
      <w:r w:rsidR="00B55C90" w:rsidRPr="00190F04">
        <w:rPr>
          <w:rFonts w:ascii="Times New Roman" w:eastAsia="Times New Roman" w:hAnsi="Times New Roman" w:cs="Times New Roman"/>
        </w:rPr>
        <w:t xml:space="preserve"> and national identities</w:t>
      </w:r>
      <w:r w:rsidR="00BB53D1" w:rsidRPr="00190F04">
        <w:rPr>
          <w:rFonts w:ascii="Times New Roman" w:eastAsia="Times New Roman" w:hAnsi="Times New Roman" w:cs="Times New Roman"/>
        </w:rPr>
        <w:t xml:space="preserve">. </w:t>
      </w:r>
      <w:r w:rsidR="00BB3CD0" w:rsidRPr="00190F04">
        <w:rPr>
          <w:rFonts w:ascii="Times New Roman" w:hAnsi="Times New Roman" w:cs="Times New Roman"/>
        </w:rPr>
        <w:t>Jenny Bangham refers to the extensive use of local medical staff, i.e. “local experts” or “local assistants” to help collect b</w:t>
      </w:r>
      <w:r w:rsidR="00DE0022" w:rsidRPr="00190F04">
        <w:rPr>
          <w:rFonts w:ascii="Times New Roman" w:hAnsi="Times New Roman" w:cs="Times New Roman"/>
        </w:rPr>
        <w:t>lood from their own communities</w:t>
      </w:r>
      <w:r w:rsidR="00B254B8" w:rsidRPr="00190F04">
        <w:rPr>
          <w:rFonts w:ascii="Times New Roman" w:hAnsi="Times New Roman" w:cs="Times New Roman"/>
        </w:rPr>
        <w:t xml:space="preserve"> for the use of foreign scientists.</w:t>
      </w:r>
      <w:r w:rsidR="00BB3CD0" w:rsidRPr="00190F04">
        <w:rPr>
          <w:rFonts w:ascii="Times New Roman" w:hAnsi="Times New Roman" w:cs="Times New Roman"/>
        </w:rPr>
        <w:t xml:space="preserve"> Susan Lindee and Ricardo Ventura Santos call such </w:t>
      </w:r>
      <w:r w:rsidR="00B254B8" w:rsidRPr="00190F04">
        <w:rPr>
          <w:rFonts w:ascii="Times New Roman" w:hAnsi="Times New Roman" w:cs="Times New Roman"/>
        </w:rPr>
        <w:t xml:space="preserve">“assistant” </w:t>
      </w:r>
      <w:r w:rsidR="00BB3CD0" w:rsidRPr="00190F04">
        <w:rPr>
          <w:rFonts w:ascii="Times New Roman" w:hAnsi="Times New Roman" w:cs="Times New Roman"/>
        </w:rPr>
        <w:t>figures “indigenous or subject intellectuals</w:t>
      </w:r>
      <w:r w:rsidR="00DE0022" w:rsidRPr="00190F04">
        <w:rPr>
          <w:rFonts w:ascii="Times New Roman" w:hAnsi="Times New Roman" w:cs="Times New Roman"/>
        </w:rPr>
        <w:t>.”</w:t>
      </w:r>
      <w:r w:rsidR="00B826EE" w:rsidRPr="00D941C7">
        <w:rPr>
          <w:rStyle w:val="FootnoteReference"/>
        </w:rPr>
        <w:footnoteReference w:id="22"/>
      </w:r>
      <w:r w:rsidR="00611FCC" w:rsidRPr="00190F04">
        <w:rPr>
          <w:rFonts w:ascii="Times New Roman" w:hAnsi="Times New Roman" w:cs="Times New Roman"/>
        </w:rPr>
        <w:t xml:space="preserve"> </w:t>
      </w:r>
    </w:p>
    <w:p w14:paraId="006EAE70" w14:textId="08EDACE3" w:rsidR="00CE11C5" w:rsidRPr="00242AD5" w:rsidRDefault="00213444" w:rsidP="00132CED">
      <w:pPr>
        <w:widowControl w:val="0"/>
        <w:autoSpaceDE w:val="0"/>
        <w:autoSpaceDN w:val="0"/>
        <w:adjustRightInd w:val="0"/>
        <w:ind w:firstLine="720"/>
        <w:rPr>
          <w:rFonts w:ascii="Times New Roman" w:eastAsia="Times New Roman" w:hAnsi="Times New Roman" w:cs="Times New Roman"/>
        </w:rPr>
      </w:pPr>
      <w:r w:rsidRPr="00190F04">
        <w:rPr>
          <w:rFonts w:ascii="Times New Roman" w:hAnsi="Times New Roman" w:cs="Times New Roman"/>
        </w:rPr>
        <w:t>T</w:t>
      </w:r>
      <w:r w:rsidR="00BB3CD0" w:rsidRPr="00190F04">
        <w:rPr>
          <w:rFonts w:ascii="Times New Roman" w:hAnsi="Times New Roman" w:cs="Times New Roman"/>
        </w:rPr>
        <w:t xml:space="preserve">hese terms do not quite capture the </w:t>
      </w:r>
      <w:r w:rsidR="00543E30" w:rsidRPr="00190F04">
        <w:rPr>
          <w:rFonts w:ascii="Times New Roman" w:hAnsi="Times New Roman" w:cs="Times New Roman"/>
        </w:rPr>
        <w:t>dynamics of sociopolitical power experienced by</w:t>
      </w:r>
      <w:r w:rsidR="00BB3CD0" w:rsidRPr="00190F04">
        <w:rPr>
          <w:rFonts w:ascii="Times New Roman" w:hAnsi="Times New Roman" w:cs="Times New Roman"/>
        </w:rPr>
        <w:t xml:space="preserve"> </w:t>
      </w:r>
      <w:r w:rsidR="00DC39C6">
        <w:rPr>
          <w:rFonts w:ascii="Times New Roman" w:hAnsi="Times New Roman" w:cs="Times New Roman"/>
        </w:rPr>
        <w:t>Israeli and Iranian scientists</w:t>
      </w:r>
      <w:r w:rsidR="00BB3CD0" w:rsidRPr="00190F04">
        <w:rPr>
          <w:rFonts w:ascii="Times New Roman" w:hAnsi="Times New Roman" w:cs="Times New Roman"/>
        </w:rPr>
        <w:t xml:space="preserve"> in their interstitial role between Western </w:t>
      </w:r>
      <w:r w:rsidR="004530A9" w:rsidRPr="00190F04">
        <w:rPr>
          <w:rFonts w:ascii="Times New Roman" w:hAnsi="Times New Roman" w:cs="Times New Roman"/>
        </w:rPr>
        <w:t>geneticists</w:t>
      </w:r>
      <w:r w:rsidR="00BB3CD0" w:rsidRPr="00190F04">
        <w:rPr>
          <w:rFonts w:ascii="Times New Roman" w:hAnsi="Times New Roman" w:cs="Times New Roman"/>
        </w:rPr>
        <w:t xml:space="preserve"> and </w:t>
      </w:r>
      <w:r w:rsidR="00543E30" w:rsidRPr="00190F04">
        <w:rPr>
          <w:rFonts w:ascii="Times New Roman" w:hAnsi="Times New Roman" w:cs="Times New Roman"/>
        </w:rPr>
        <w:t xml:space="preserve">doubly marginalized </w:t>
      </w:r>
      <w:r w:rsidR="00BB3CD0" w:rsidRPr="00190F04">
        <w:rPr>
          <w:rFonts w:ascii="Times New Roman" w:hAnsi="Times New Roman" w:cs="Times New Roman"/>
        </w:rPr>
        <w:t>research subjects.</w:t>
      </w:r>
      <w:r w:rsidR="00945C9E" w:rsidRPr="00D941C7">
        <w:rPr>
          <w:rStyle w:val="FootnoteReference"/>
        </w:rPr>
        <w:footnoteReference w:id="23"/>
      </w:r>
      <w:r w:rsidR="00BB3CD0" w:rsidRPr="00190F04">
        <w:rPr>
          <w:rFonts w:ascii="Times New Roman" w:hAnsi="Times New Roman" w:cs="Times New Roman"/>
        </w:rPr>
        <w:t xml:space="preserve"> </w:t>
      </w:r>
      <w:r w:rsidR="008770D5" w:rsidRPr="00190F04">
        <w:rPr>
          <w:rFonts w:ascii="Times New Roman" w:hAnsi="Times New Roman" w:cs="Times New Roman"/>
        </w:rPr>
        <w:t>As mediators of medical and anthropological knowledge, t</w:t>
      </w:r>
      <w:r w:rsidR="00773EBD" w:rsidRPr="00190F04">
        <w:rPr>
          <w:rFonts w:ascii="Times New Roman" w:hAnsi="Times New Roman" w:cs="Times New Roman"/>
        </w:rPr>
        <w:t xml:space="preserve">hey were engaged not only in the intellectual work of </w:t>
      </w:r>
      <w:r w:rsidR="004530A9" w:rsidRPr="00190F04">
        <w:rPr>
          <w:rFonts w:ascii="Times New Roman" w:hAnsi="Times New Roman" w:cs="Times New Roman"/>
        </w:rPr>
        <w:t xml:space="preserve">Jewish and Persian </w:t>
      </w:r>
      <w:r w:rsidR="00773EBD" w:rsidRPr="00190F04">
        <w:rPr>
          <w:rFonts w:ascii="Times New Roman" w:hAnsi="Times New Roman" w:cs="Times New Roman"/>
        </w:rPr>
        <w:t>ethnic nationalism, but also in what Greggor Mattson calls “nation-state science,” namely “the scientific work that helped imagine a national population fitted to state borders.”</w:t>
      </w:r>
      <w:r w:rsidR="001C7DA0" w:rsidRPr="00D941C7">
        <w:rPr>
          <w:rStyle w:val="FootnoteReference"/>
        </w:rPr>
        <w:footnoteReference w:id="24"/>
      </w:r>
      <w:r w:rsidR="00773EBD" w:rsidRPr="00190F04">
        <w:rPr>
          <w:rFonts w:ascii="Times New Roman" w:hAnsi="Times New Roman" w:cs="Times New Roman"/>
        </w:rPr>
        <w:t xml:space="preserve"> </w:t>
      </w:r>
      <w:r w:rsidR="00DC7DE6">
        <w:rPr>
          <w:rFonts w:ascii="Times New Roman" w:eastAsia="Times New Roman" w:hAnsi="Times New Roman" w:cs="Times New Roman"/>
        </w:rPr>
        <w:t>Scholars working on other non-Western contexts, ranging from Jap</w:t>
      </w:r>
      <w:r w:rsidR="007B166D">
        <w:rPr>
          <w:rFonts w:ascii="Times New Roman" w:eastAsia="Times New Roman" w:hAnsi="Times New Roman" w:cs="Times New Roman"/>
        </w:rPr>
        <w:t>an and</w:t>
      </w:r>
      <w:r w:rsidR="00DC7DE6">
        <w:rPr>
          <w:rFonts w:ascii="Times New Roman" w:eastAsia="Times New Roman" w:hAnsi="Times New Roman" w:cs="Times New Roman"/>
        </w:rPr>
        <w:t xml:space="preserve"> India to </w:t>
      </w:r>
      <w:r w:rsidR="007B166D">
        <w:rPr>
          <w:rFonts w:ascii="Times New Roman" w:eastAsia="Times New Roman" w:hAnsi="Times New Roman" w:cs="Times New Roman"/>
        </w:rPr>
        <w:t>Mexico and Brazil</w:t>
      </w:r>
      <w:r w:rsidR="00DC7DE6">
        <w:rPr>
          <w:rFonts w:ascii="Times New Roman" w:eastAsia="Times New Roman" w:hAnsi="Times New Roman" w:cs="Times New Roman"/>
        </w:rPr>
        <w:t xml:space="preserve">, have observed </w:t>
      </w:r>
      <w:r w:rsidR="007B166D">
        <w:rPr>
          <w:rFonts w:ascii="Times New Roman" w:eastAsia="Times New Roman" w:hAnsi="Times New Roman" w:cs="Times New Roman"/>
        </w:rPr>
        <w:t xml:space="preserve">similar patterns wherein local scientists </w:t>
      </w:r>
      <w:r w:rsidR="00FE4412">
        <w:rPr>
          <w:rFonts w:ascii="Times New Roman" w:eastAsia="Times New Roman" w:hAnsi="Times New Roman" w:cs="Times New Roman"/>
        </w:rPr>
        <w:t>simultaneously strove to</w:t>
      </w:r>
      <w:r w:rsidR="00EF49B2">
        <w:rPr>
          <w:rFonts w:ascii="Times New Roman" w:eastAsia="Times New Roman" w:hAnsi="Times New Roman" w:cs="Times New Roman"/>
        </w:rPr>
        <w:t xml:space="preserve"> </w:t>
      </w:r>
      <w:r w:rsidR="00746ED7">
        <w:rPr>
          <w:rFonts w:ascii="Times New Roman" w:eastAsia="Times New Roman" w:hAnsi="Times New Roman" w:cs="Times New Roman"/>
        </w:rPr>
        <w:t>wrest</w:t>
      </w:r>
      <w:r w:rsidR="007B166D">
        <w:rPr>
          <w:rFonts w:ascii="Times New Roman" w:eastAsia="Times New Roman" w:hAnsi="Times New Roman" w:cs="Times New Roman"/>
        </w:rPr>
        <w:t xml:space="preserve"> </w:t>
      </w:r>
      <w:r w:rsidR="00746ED7">
        <w:rPr>
          <w:rFonts w:ascii="Times New Roman" w:eastAsia="Times New Roman" w:hAnsi="Times New Roman" w:cs="Times New Roman"/>
        </w:rPr>
        <w:t>narrative control</w:t>
      </w:r>
      <w:r w:rsidR="007B166D">
        <w:rPr>
          <w:rFonts w:ascii="Times New Roman" w:eastAsia="Times New Roman" w:hAnsi="Times New Roman" w:cs="Times New Roman"/>
        </w:rPr>
        <w:t xml:space="preserve"> </w:t>
      </w:r>
      <w:r w:rsidR="00746ED7">
        <w:rPr>
          <w:rFonts w:ascii="Times New Roman" w:eastAsia="Times New Roman" w:hAnsi="Times New Roman" w:cs="Times New Roman"/>
        </w:rPr>
        <w:t>of the nation’s biology from Western scientists</w:t>
      </w:r>
      <w:r w:rsidR="00EF49B2">
        <w:rPr>
          <w:rFonts w:ascii="Times New Roman" w:eastAsia="Times New Roman" w:hAnsi="Times New Roman" w:cs="Times New Roman"/>
        </w:rPr>
        <w:t xml:space="preserve"> and</w:t>
      </w:r>
      <w:r w:rsidR="00D36440">
        <w:rPr>
          <w:rFonts w:ascii="Times New Roman" w:eastAsia="Times New Roman" w:hAnsi="Times New Roman" w:cs="Times New Roman"/>
        </w:rPr>
        <w:t xml:space="preserve"> </w:t>
      </w:r>
      <w:r w:rsidR="00FE4412">
        <w:rPr>
          <w:rFonts w:ascii="Times New Roman" w:eastAsia="Times New Roman" w:hAnsi="Times New Roman" w:cs="Times New Roman"/>
        </w:rPr>
        <w:t>supported the transformation of</w:t>
      </w:r>
      <w:r w:rsidR="00D36440">
        <w:rPr>
          <w:rFonts w:ascii="Times New Roman" w:eastAsia="Times New Roman" w:hAnsi="Times New Roman" w:cs="Times New Roman"/>
        </w:rPr>
        <w:t xml:space="preserve"> that biology </w:t>
      </w:r>
      <w:r w:rsidR="00FE4412">
        <w:rPr>
          <w:rFonts w:ascii="Times New Roman" w:eastAsia="Times New Roman" w:hAnsi="Times New Roman" w:cs="Times New Roman"/>
        </w:rPr>
        <w:t>through</w:t>
      </w:r>
      <w:r w:rsidR="00D36440">
        <w:rPr>
          <w:rFonts w:ascii="Times New Roman" w:eastAsia="Times New Roman" w:hAnsi="Times New Roman" w:cs="Times New Roman"/>
        </w:rPr>
        <w:t xml:space="preserve"> national</w:t>
      </w:r>
      <w:r w:rsidR="00FE4412">
        <w:rPr>
          <w:rFonts w:ascii="Times New Roman" w:eastAsia="Times New Roman" w:hAnsi="Times New Roman" w:cs="Times New Roman"/>
        </w:rPr>
        <w:t>ist</w:t>
      </w:r>
      <w:r w:rsidR="00D36440">
        <w:rPr>
          <w:rFonts w:ascii="Times New Roman" w:eastAsia="Times New Roman" w:hAnsi="Times New Roman" w:cs="Times New Roman"/>
        </w:rPr>
        <w:t xml:space="preserve"> </w:t>
      </w:r>
      <w:r w:rsidR="00FE4412">
        <w:rPr>
          <w:rFonts w:ascii="Times New Roman" w:eastAsia="Times New Roman" w:hAnsi="Times New Roman" w:cs="Times New Roman"/>
        </w:rPr>
        <w:t>social and demographic policies</w:t>
      </w:r>
      <w:r w:rsidR="00DC7DE6">
        <w:rPr>
          <w:rFonts w:ascii="Times New Roman" w:eastAsia="Times New Roman" w:hAnsi="Times New Roman" w:cs="Times New Roman"/>
        </w:rPr>
        <w:t>.</w:t>
      </w:r>
      <w:r w:rsidR="00DC7DE6" w:rsidRPr="00D941C7">
        <w:rPr>
          <w:rStyle w:val="FootnoteReference"/>
        </w:rPr>
        <w:footnoteReference w:id="25"/>
      </w:r>
      <w:r w:rsidR="00896212">
        <w:rPr>
          <w:rFonts w:ascii="Times New Roman" w:eastAsia="Times New Roman" w:hAnsi="Times New Roman" w:cs="Times New Roman"/>
        </w:rPr>
        <w:t xml:space="preserve"> Furthermore, t</w:t>
      </w:r>
      <w:r w:rsidR="00B60964">
        <w:rPr>
          <w:rFonts w:ascii="Times New Roman" w:eastAsia="Times New Roman" w:hAnsi="Times New Roman" w:cs="Times New Roman"/>
        </w:rPr>
        <w:t xml:space="preserve">hese processes occurred not through an outright rejection of Western models of scientific </w:t>
      </w:r>
      <w:r w:rsidR="00896212">
        <w:rPr>
          <w:rFonts w:ascii="Times New Roman" w:eastAsia="Times New Roman" w:hAnsi="Times New Roman" w:cs="Times New Roman"/>
        </w:rPr>
        <w:t>practice, but through relationships of</w:t>
      </w:r>
      <w:r w:rsidR="00896212">
        <w:rPr>
          <w:rFonts w:ascii="Times New Roman" w:eastAsia="Times New Roman" w:hAnsi="Times New Roman" w:cs="Times New Roman"/>
          <w:i/>
        </w:rPr>
        <w:t xml:space="preserve"> scientific</w:t>
      </w:r>
      <w:r w:rsidR="00896212">
        <w:rPr>
          <w:rFonts w:ascii="Times New Roman" w:eastAsia="Times New Roman" w:hAnsi="Times New Roman" w:cs="Times New Roman"/>
        </w:rPr>
        <w:t xml:space="preserve"> </w:t>
      </w:r>
      <w:r w:rsidR="00896212">
        <w:rPr>
          <w:rFonts w:ascii="Times New Roman" w:eastAsia="Times New Roman" w:hAnsi="Times New Roman" w:cs="Times New Roman"/>
          <w:i/>
        </w:rPr>
        <w:lastRenderedPageBreak/>
        <w:t>collaboration</w:t>
      </w:r>
      <w:r w:rsidR="00896212">
        <w:rPr>
          <w:rFonts w:ascii="Times New Roman" w:eastAsia="Times New Roman" w:hAnsi="Times New Roman" w:cs="Times New Roman"/>
        </w:rPr>
        <w:t xml:space="preserve">. The non-Western scientific actors I consider here do not identify themselves as go-betweens, intermediaries, local assistants, or subject intellectuals; instead, they imagine themselves as </w:t>
      </w:r>
      <w:r w:rsidR="00896212" w:rsidRPr="00896FFA">
        <w:rPr>
          <w:rFonts w:ascii="Times New Roman" w:eastAsia="Times New Roman" w:hAnsi="Times New Roman" w:cs="Times New Roman"/>
        </w:rPr>
        <w:t>collaborators</w:t>
      </w:r>
      <w:r w:rsidR="00896212">
        <w:rPr>
          <w:rFonts w:ascii="Times New Roman" w:eastAsia="Times New Roman" w:hAnsi="Times New Roman" w:cs="Times New Roman"/>
        </w:rPr>
        <w:t xml:space="preserve"> in a global scientific enterprise. </w:t>
      </w:r>
      <w:r w:rsidR="0004229B" w:rsidRPr="00242AD5">
        <w:rPr>
          <w:rFonts w:ascii="Times New Roman" w:eastAsia="Times New Roman" w:hAnsi="Times New Roman" w:cs="Times New Roman"/>
        </w:rPr>
        <w:t xml:space="preserve">Generally, the notion of scholarly collaboration has positive connotations of sharing knowledge and the capacity for its production. However, in postwar and postcolonial politics, </w:t>
      </w:r>
      <w:r w:rsidR="00896FFA">
        <w:rPr>
          <w:rFonts w:ascii="Times New Roman" w:eastAsia="Times New Roman" w:hAnsi="Times New Roman" w:cs="Times New Roman"/>
        </w:rPr>
        <w:t>“</w:t>
      </w:r>
      <w:r w:rsidR="0004229B" w:rsidRPr="00896FFA">
        <w:rPr>
          <w:rFonts w:ascii="Times New Roman" w:eastAsia="Times New Roman" w:hAnsi="Times New Roman" w:cs="Times New Roman"/>
        </w:rPr>
        <w:t>collaborator</w:t>
      </w:r>
      <w:r w:rsidR="00896FFA">
        <w:rPr>
          <w:rFonts w:ascii="Times New Roman" w:eastAsia="Times New Roman" w:hAnsi="Times New Roman" w:cs="Times New Roman"/>
        </w:rPr>
        <w:t>”</w:t>
      </w:r>
      <w:r w:rsidR="0004229B" w:rsidRPr="00242AD5">
        <w:rPr>
          <w:rFonts w:ascii="Times New Roman" w:eastAsia="Times New Roman" w:hAnsi="Times New Roman" w:cs="Times New Roman"/>
        </w:rPr>
        <w:t xml:space="preserve"> is also a loaded term, </w:t>
      </w:r>
      <w:r w:rsidR="008F1346" w:rsidRPr="00242AD5">
        <w:rPr>
          <w:rFonts w:ascii="Times New Roman" w:eastAsia="Times New Roman" w:hAnsi="Times New Roman" w:cs="Times New Roman"/>
        </w:rPr>
        <w:t xml:space="preserve">often </w:t>
      </w:r>
      <w:r w:rsidR="0004229B" w:rsidRPr="00242AD5">
        <w:rPr>
          <w:rFonts w:ascii="Times New Roman" w:eastAsia="Times New Roman" w:hAnsi="Times New Roman" w:cs="Times New Roman"/>
        </w:rPr>
        <w:t xml:space="preserve">posed as a </w:t>
      </w:r>
      <w:r w:rsidR="00515AFC" w:rsidRPr="00242AD5">
        <w:rPr>
          <w:rFonts w:ascii="Times New Roman" w:eastAsia="Times New Roman" w:hAnsi="Times New Roman" w:cs="Times New Roman"/>
        </w:rPr>
        <w:t>derogatory opposite to</w:t>
      </w:r>
      <w:r w:rsidR="0004229B" w:rsidRPr="00242AD5">
        <w:rPr>
          <w:rFonts w:ascii="Times New Roman" w:eastAsia="Times New Roman" w:hAnsi="Times New Roman" w:cs="Times New Roman"/>
        </w:rPr>
        <w:t xml:space="preserve"> heroic nationalists.</w:t>
      </w:r>
      <w:r w:rsidR="00FE69B6" w:rsidRPr="00D941C7">
        <w:rPr>
          <w:rStyle w:val="FootnoteReference"/>
        </w:rPr>
        <w:footnoteReference w:id="26"/>
      </w:r>
      <w:r w:rsidR="0004229B" w:rsidRPr="00242AD5">
        <w:rPr>
          <w:rFonts w:ascii="Times New Roman" w:eastAsia="Times New Roman" w:hAnsi="Times New Roman" w:cs="Times New Roman"/>
        </w:rPr>
        <w:t xml:space="preserve"> </w:t>
      </w:r>
      <w:r w:rsidR="00515AFC" w:rsidRPr="00242AD5">
        <w:rPr>
          <w:rFonts w:ascii="Times New Roman" w:eastAsia="Times New Roman" w:hAnsi="Times New Roman" w:cs="Times New Roman"/>
        </w:rPr>
        <w:t xml:space="preserve">The positive and negative valences of this label invite us to reconsider the </w:t>
      </w:r>
      <w:r w:rsidR="00CE11C5" w:rsidRPr="00242AD5">
        <w:rPr>
          <w:rFonts w:ascii="Times New Roman" w:eastAsia="Times New Roman" w:hAnsi="Times New Roman" w:cs="Times New Roman"/>
        </w:rPr>
        <w:t>broader sociopolitical</w:t>
      </w:r>
      <w:r w:rsidR="00515AFC" w:rsidRPr="00242AD5">
        <w:rPr>
          <w:rFonts w:ascii="Times New Roman" w:eastAsia="Times New Roman" w:hAnsi="Times New Roman" w:cs="Times New Roman"/>
        </w:rPr>
        <w:t xml:space="preserve"> implications of scientific collaboration: with what kinds of</w:t>
      </w:r>
      <w:r w:rsidR="00CE11C5" w:rsidRPr="00242AD5">
        <w:rPr>
          <w:rFonts w:ascii="Times New Roman" w:eastAsia="Times New Roman" w:hAnsi="Times New Roman" w:cs="Times New Roman"/>
        </w:rPr>
        <w:t xml:space="preserve"> asymmetrical</w:t>
      </w:r>
      <w:r w:rsidR="00515AFC" w:rsidRPr="00242AD5">
        <w:rPr>
          <w:rFonts w:ascii="Times New Roman" w:eastAsia="Times New Roman" w:hAnsi="Times New Roman" w:cs="Times New Roman"/>
        </w:rPr>
        <w:t xml:space="preserve"> power structures do these scientists collaborate? </w:t>
      </w:r>
    </w:p>
    <w:p w14:paraId="4AA03A3B" w14:textId="43B78EC7" w:rsidR="00433768" w:rsidRDefault="008F1346" w:rsidP="00132CED">
      <w:pPr>
        <w:widowControl w:val="0"/>
        <w:autoSpaceDE w:val="0"/>
        <w:autoSpaceDN w:val="0"/>
        <w:adjustRightInd w:val="0"/>
        <w:ind w:firstLine="720"/>
        <w:rPr>
          <w:rFonts w:ascii="Times New Roman" w:hAnsi="Times New Roman" w:cs="Times New Roman"/>
        </w:rPr>
      </w:pPr>
      <w:r w:rsidRPr="00242AD5">
        <w:rPr>
          <w:rFonts w:ascii="Times New Roman" w:eastAsia="Times New Roman" w:hAnsi="Times New Roman" w:cs="Times New Roman"/>
        </w:rPr>
        <w:t xml:space="preserve">Here, I take </w:t>
      </w:r>
      <w:r w:rsidR="00575426" w:rsidRPr="00242AD5">
        <w:rPr>
          <w:rFonts w:ascii="Times New Roman" w:eastAsia="Times New Roman" w:hAnsi="Times New Roman" w:cs="Times New Roman"/>
        </w:rPr>
        <w:t xml:space="preserve">the </w:t>
      </w:r>
      <w:r w:rsidR="0004229B" w:rsidRPr="00242AD5">
        <w:rPr>
          <w:rFonts w:ascii="Times New Roman" w:eastAsia="Times New Roman" w:hAnsi="Times New Roman" w:cs="Times New Roman"/>
        </w:rPr>
        <w:t xml:space="preserve">figure of the </w:t>
      </w:r>
      <w:r w:rsidR="0004229B" w:rsidRPr="00896FFA">
        <w:rPr>
          <w:rFonts w:ascii="Times New Roman" w:eastAsia="Times New Roman" w:hAnsi="Times New Roman" w:cs="Times New Roman"/>
        </w:rPr>
        <w:t>scientific collaborator</w:t>
      </w:r>
      <w:r w:rsidR="0004229B" w:rsidRPr="00242AD5">
        <w:rPr>
          <w:rFonts w:ascii="Times New Roman" w:eastAsia="Times New Roman" w:hAnsi="Times New Roman" w:cs="Times New Roman"/>
        </w:rPr>
        <w:t xml:space="preserve"> in the Middle East</w:t>
      </w:r>
      <w:r w:rsidRPr="00242AD5">
        <w:rPr>
          <w:rFonts w:ascii="Times New Roman" w:eastAsia="Times New Roman" w:hAnsi="Times New Roman" w:cs="Times New Roman"/>
        </w:rPr>
        <w:t xml:space="preserve"> as a provocation to scrutinize the relationship of genetic research</w:t>
      </w:r>
      <w:r w:rsidR="00515AFC" w:rsidRPr="00242AD5">
        <w:rPr>
          <w:rFonts w:ascii="Times New Roman" w:eastAsia="Times New Roman" w:hAnsi="Times New Roman" w:cs="Times New Roman"/>
        </w:rPr>
        <w:t xml:space="preserve"> to </w:t>
      </w:r>
      <w:r w:rsidR="00905B05">
        <w:rPr>
          <w:rFonts w:ascii="Times New Roman" w:eastAsia="Times New Roman" w:hAnsi="Times New Roman" w:cs="Times New Roman"/>
        </w:rPr>
        <w:t>the promotion of</w:t>
      </w:r>
      <w:r w:rsidR="00515AFC" w:rsidRPr="00242AD5">
        <w:rPr>
          <w:rFonts w:ascii="Times New Roman" w:eastAsia="Times New Roman" w:hAnsi="Times New Roman" w:cs="Times New Roman"/>
        </w:rPr>
        <w:t xml:space="preserve"> national interests in the global scientific community and </w:t>
      </w:r>
      <w:r w:rsidR="00905B05">
        <w:rPr>
          <w:rFonts w:ascii="Times New Roman" w:eastAsia="Times New Roman" w:hAnsi="Times New Roman" w:cs="Times New Roman"/>
        </w:rPr>
        <w:t>enforcement of</w:t>
      </w:r>
      <w:r w:rsidR="00515AFC" w:rsidRPr="00242AD5">
        <w:rPr>
          <w:rFonts w:ascii="Times New Roman" w:eastAsia="Times New Roman" w:hAnsi="Times New Roman" w:cs="Times New Roman"/>
        </w:rPr>
        <w:t xml:space="preserve"> different versions of colonialism at home</w:t>
      </w:r>
      <w:r w:rsidR="0004229B" w:rsidRPr="00242AD5">
        <w:rPr>
          <w:rFonts w:ascii="Times New Roman" w:eastAsia="Times New Roman" w:hAnsi="Times New Roman" w:cs="Times New Roman"/>
        </w:rPr>
        <w:t xml:space="preserve">. </w:t>
      </w:r>
      <w:r w:rsidR="00DA6BFA" w:rsidRPr="00242AD5">
        <w:rPr>
          <w:rFonts w:ascii="Times New Roman" w:hAnsi="Times New Roman" w:cs="Times New Roman"/>
        </w:rPr>
        <w:t>Using</w:t>
      </w:r>
      <w:r w:rsidR="00DA6BFA">
        <w:rPr>
          <w:rFonts w:ascii="Times New Roman" w:hAnsi="Times New Roman" w:cs="Times New Roman"/>
        </w:rPr>
        <w:t xml:space="preserve"> a comparative lens</w:t>
      </w:r>
      <w:r w:rsidR="00E25321">
        <w:rPr>
          <w:rFonts w:ascii="Times New Roman" w:hAnsi="Times New Roman" w:cs="Times New Roman"/>
        </w:rPr>
        <w:t>, I</w:t>
      </w:r>
      <w:r w:rsidR="00F976B4" w:rsidRPr="00190F04">
        <w:rPr>
          <w:rFonts w:ascii="Times New Roman" w:hAnsi="Times New Roman" w:cs="Times New Roman"/>
        </w:rPr>
        <w:t xml:space="preserve"> highlight the basic tensions between </w:t>
      </w:r>
      <w:r w:rsidR="00DA6BFA">
        <w:rPr>
          <w:rFonts w:ascii="Times New Roman" w:hAnsi="Times New Roman" w:cs="Times New Roman"/>
        </w:rPr>
        <w:t>Iranian and Israeli</w:t>
      </w:r>
      <w:r w:rsidR="00F976B4" w:rsidRPr="00190F04">
        <w:rPr>
          <w:rFonts w:ascii="Times New Roman" w:hAnsi="Times New Roman" w:cs="Times New Roman"/>
        </w:rPr>
        <w:t xml:space="preserve"> geneticists’ (conscious or unconscious) interests in consolidating the dominant national culture to which they belonged, and the quest of Western researchers, who set the agenda of the major international organizations, to locate unique, isolated populations that could yield more universal information about human evolutionary history. These tensions </w:t>
      </w:r>
      <w:r w:rsidR="00BF6571">
        <w:rPr>
          <w:rFonts w:ascii="Times New Roman" w:hAnsi="Times New Roman" w:cs="Times New Roman"/>
        </w:rPr>
        <w:t>reveal</w:t>
      </w:r>
      <w:r w:rsidR="00F976B4" w:rsidRPr="00190F04">
        <w:rPr>
          <w:rFonts w:ascii="Times New Roman" w:hAnsi="Times New Roman" w:cs="Times New Roman"/>
        </w:rPr>
        <w:t xml:space="preserve"> how national scientific communities, composed of technocratic elites, reshape or resist the standard practic</w:t>
      </w:r>
      <w:r w:rsidR="001E4CE9" w:rsidRPr="00190F04">
        <w:rPr>
          <w:rFonts w:ascii="Times New Roman" w:hAnsi="Times New Roman" w:cs="Times New Roman"/>
        </w:rPr>
        <w:t xml:space="preserve">es and assumptions of the same </w:t>
      </w:r>
      <w:r w:rsidR="00F976B4" w:rsidRPr="00190F04">
        <w:rPr>
          <w:rFonts w:ascii="Times New Roman" w:hAnsi="Times New Roman" w:cs="Times New Roman"/>
        </w:rPr>
        <w:t>int</w:t>
      </w:r>
      <w:r w:rsidR="001E4CE9" w:rsidRPr="00190F04">
        <w:rPr>
          <w:rFonts w:ascii="Times New Roman" w:hAnsi="Times New Roman" w:cs="Times New Roman"/>
        </w:rPr>
        <w:t>ernational scientific community</w:t>
      </w:r>
      <w:r w:rsidR="00F976B4" w:rsidRPr="00190F04">
        <w:rPr>
          <w:rFonts w:ascii="Times New Roman" w:hAnsi="Times New Roman" w:cs="Times New Roman"/>
        </w:rPr>
        <w:t xml:space="preserve"> through which they claim local legitimacy. </w:t>
      </w:r>
    </w:p>
    <w:p w14:paraId="30884DC6" w14:textId="77777777" w:rsidR="0030333D" w:rsidRPr="00190F04" w:rsidRDefault="0030333D" w:rsidP="00132CED">
      <w:pPr>
        <w:rPr>
          <w:rFonts w:ascii="Times New Roman" w:hAnsi="Times New Roman" w:cs="Times New Roman"/>
        </w:rPr>
      </w:pPr>
    </w:p>
    <w:p w14:paraId="2A918B6B" w14:textId="4CFD7CBE" w:rsidR="00560F35" w:rsidRDefault="009B130B" w:rsidP="00132CED">
      <w:pPr>
        <w:jc w:val="center"/>
        <w:rPr>
          <w:rFonts w:ascii="Times New Roman" w:hAnsi="Times New Roman" w:cs="Times New Roman"/>
          <w:i/>
        </w:rPr>
      </w:pPr>
      <w:r>
        <w:rPr>
          <w:rFonts w:ascii="Times New Roman" w:hAnsi="Times New Roman" w:cs="Times New Roman"/>
          <w:i/>
        </w:rPr>
        <w:t>Israeli Biology: Western Aspira</w:t>
      </w:r>
      <w:r w:rsidR="00EA2041" w:rsidRPr="00190F04">
        <w:rPr>
          <w:rFonts w:ascii="Times New Roman" w:hAnsi="Times New Roman" w:cs="Times New Roman"/>
          <w:i/>
        </w:rPr>
        <w:t>tions, Middle Eastern Subjects</w:t>
      </w:r>
    </w:p>
    <w:p w14:paraId="45D7834F" w14:textId="77777777" w:rsidR="003A631C" w:rsidRPr="00B80A2B" w:rsidRDefault="003A631C" w:rsidP="00132CED">
      <w:pPr>
        <w:jc w:val="center"/>
        <w:rPr>
          <w:rFonts w:ascii="Times New Roman" w:hAnsi="Times New Roman" w:cs="Times New Roman"/>
          <w:i/>
        </w:rPr>
      </w:pPr>
    </w:p>
    <w:p w14:paraId="3D798FEB" w14:textId="0563D295" w:rsidR="00940E14" w:rsidRDefault="00977697" w:rsidP="00132CED">
      <w:pPr>
        <w:ind w:firstLine="720"/>
        <w:rPr>
          <w:rFonts w:ascii="Times New Roman" w:hAnsi="Times New Roman" w:cs="Times New Roman"/>
        </w:rPr>
      </w:pPr>
      <w:r w:rsidRPr="00190F04">
        <w:rPr>
          <w:rFonts w:ascii="Times New Roman" w:hAnsi="Times New Roman" w:cs="Times New Roman"/>
        </w:rPr>
        <w:t xml:space="preserve">Throughout the 1950s, </w:t>
      </w:r>
      <w:r w:rsidR="008A5822" w:rsidRPr="00190F04">
        <w:rPr>
          <w:rFonts w:ascii="Times New Roman" w:hAnsi="Times New Roman" w:cs="Times New Roman"/>
        </w:rPr>
        <w:t xml:space="preserve">Arthur </w:t>
      </w:r>
      <w:r w:rsidRPr="00190F04">
        <w:rPr>
          <w:rFonts w:ascii="Times New Roman" w:hAnsi="Times New Roman" w:cs="Times New Roman"/>
        </w:rPr>
        <w:t xml:space="preserve">Mourant </w:t>
      </w:r>
      <w:r w:rsidR="0006214E" w:rsidRPr="00190F04">
        <w:rPr>
          <w:rFonts w:ascii="Times New Roman" w:hAnsi="Times New Roman" w:cs="Times New Roman"/>
        </w:rPr>
        <w:t xml:space="preserve">had </w:t>
      </w:r>
      <w:r w:rsidRPr="00190F04">
        <w:rPr>
          <w:rFonts w:ascii="Times New Roman" w:hAnsi="Times New Roman" w:cs="Times New Roman"/>
        </w:rPr>
        <w:t>established close working relationships with the first generation</w:t>
      </w:r>
      <w:r w:rsidR="003E43A4">
        <w:rPr>
          <w:rFonts w:ascii="Times New Roman" w:hAnsi="Times New Roman" w:cs="Times New Roman"/>
        </w:rPr>
        <w:t xml:space="preserve"> of Israeli geneticists, including</w:t>
      </w:r>
      <w:r w:rsidRPr="00190F04">
        <w:rPr>
          <w:rFonts w:ascii="Times New Roman" w:hAnsi="Times New Roman" w:cs="Times New Roman"/>
        </w:rPr>
        <w:t xml:space="preserve"> the prominent physician Chaim Sheba. </w:t>
      </w:r>
      <w:r w:rsidR="00404096" w:rsidRPr="00190F04">
        <w:rPr>
          <w:rFonts w:ascii="Times New Roman" w:hAnsi="Times New Roman" w:cs="Times New Roman"/>
        </w:rPr>
        <w:t xml:space="preserve">Historian Nurit Kirsh and anthropologist Nadia Abu El-Haj have closely analyzed Sheba’s </w:t>
      </w:r>
      <w:r w:rsidR="002133D9" w:rsidRPr="00190F04">
        <w:rPr>
          <w:rFonts w:ascii="Times New Roman" w:hAnsi="Times New Roman" w:cs="Times New Roman"/>
        </w:rPr>
        <w:t>publications on hereditary blood diseases</w:t>
      </w:r>
      <w:r w:rsidR="005C7F31" w:rsidRPr="00190F04">
        <w:rPr>
          <w:rFonts w:ascii="Times New Roman" w:hAnsi="Times New Roman" w:cs="Times New Roman"/>
        </w:rPr>
        <w:t xml:space="preserve"> </w:t>
      </w:r>
      <w:r w:rsidR="00141488" w:rsidRPr="00190F04">
        <w:rPr>
          <w:rFonts w:ascii="Times New Roman" w:hAnsi="Times New Roman" w:cs="Times New Roman"/>
        </w:rPr>
        <w:t xml:space="preserve">(most notably G6PD deficiency) </w:t>
      </w:r>
      <w:r w:rsidR="002133D9" w:rsidRPr="00190F04">
        <w:rPr>
          <w:rFonts w:ascii="Times New Roman" w:hAnsi="Times New Roman" w:cs="Times New Roman"/>
        </w:rPr>
        <w:t xml:space="preserve">among </w:t>
      </w:r>
      <w:r w:rsidR="00F453BF" w:rsidRPr="00190F04">
        <w:rPr>
          <w:rFonts w:ascii="Times New Roman" w:hAnsi="Times New Roman" w:cs="Times New Roman"/>
        </w:rPr>
        <w:t>Mizrahi</w:t>
      </w:r>
      <w:r w:rsidR="00710B95" w:rsidRPr="00190F04">
        <w:rPr>
          <w:rFonts w:ascii="Times New Roman" w:hAnsi="Times New Roman" w:cs="Times New Roman"/>
        </w:rPr>
        <w:t xml:space="preserve"> immigrants to</w:t>
      </w:r>
      <w:r w:rsidR="002133D9" w:rsidRPr="00190F04">
        <w:rPr>
          <w:rFonts w:ascii="Times New Roman" w:hAnsi="Times New Roman" w:cs="Times New Roman"/>
        </w:rPr>
        <w:t xml:space="preserve"> Israel</w:t>
      </w:r>
      <w:r w:rsidR="00710B95" w:rsidRPr="00190F04">
        <w:rPr>
          <w:rFonts w:ascii="Times New Roman" w:hAnsi="Times New Roman" w:cs="Times New Roman"/>
        </w:rPr>
        <w:t>, as well as his attempts to interpret genetic variations between Jewish communities according to a Zionist historical narrative</w:t>
      </w:r>
      <w:r w:rsidR="002133D9" w:rsidRPr="00190F04">
        <w:rPr>
          <w:rFonts w:ascii="Times New Roman" w:hAnsi="Times New Roman" w:cs="Times New Roman"/>
        </w:rPr>
        <w:t>.</w:t>
      </w:r>
      <w:r w:rsidR="009E5308" w:rsidRPr="00D941C7">
        <w:rPr>
          <w:rStyle w:val="FootnoteReference"/>
        </w:rPr>
        <w:footnoteReference w:id="27"/>
      </w:r>
      <w:r w:rsidR="00710B95" w:rsidRPr="00190F04">
        <w:rPr>
          <w:rFonts w:ascii="Times New Roman" w:hAnsi="Times New Roman" w:cs="Times New Roman"/>
        </w:rPr>
        <w:t xml:space="preserve"> </w:t>
      </w:r>
      <w:r w:rsidR="007A3419" w:rsidRPr="00190F04">
        <w:rPr>
          <w:rFonts w:ascii="Times New Roman" w:hAnsi="Times New Roman" w:cs="Times New Roman"/>
        </w:rPr>
        <w:t xml:space="preserve">Although Mourant’s own interpretations of Jewish genetics rarely aligned with Sheba’s fanciful “medical archaeology,” he certainly accepted Sheba and his Israeli colleagues as important collaborators whose cooperation was necessary for all work concerning Jewish populations. </w:t>
      </w:r>
      <w:r w:rsidR="00CA0FC4" w:rsidRPr="00190F04">
        <w:rPr>
          <w:rFonts w:ascii="Times New Roman" w:hAnsi="Times New Roman" w:cs="Times New Roman"/>
        </w:rPr>
        <w:t>This can largely be a</w:t>
      </w:r>
      <w:r w:rsidR="003C5F04" w:rsidRPr="00190F04">
        <w:rPr>
          <w:rFonts w:ascii="Times New Roman" w:hAnsi="Times New Roman" w:cs="Times New Roman"/>
        </w:rPr>
        <w:t xml:space="preserve">ttributed to the ability of </w:t>
      </w:r>
      <w:r w:rsidR="00CA0FC4" w:rsidRPr="00190F04">
        <w:rPr>
          <w:rFonts w:ascii="Times New Roman" w:hAnsi="Times New Roman" w:cs="Times New Roman"/>
        </w:rPr>
        <w:t xml:space="preserve">Western scientists </w:t>
      </w:r>
      <w:r w:rsidR="003C5F04" w:rsidRPr="00190F04">
        <w:rPr>
          <w:rFonts w:ascii="Times New Roman" w:hAnsi="Times New Roman" w:cs="Times New Roman"/>
        </w:rPr>
        <w:t>like Mourant</w:t>
      </w:r>
      <w:r w:rsidR="00CA0FC4" w:rsidRPr="00190F04">
        <w:rPr>
          <w:rFonts w:ascii="Times New Roman" w:hAnsi="Times New Roman" w:cs="Times New Roman"/>
        </w:rPr>
        <w:t xml:space="preserve"> to culturally identify with </w:t>
      </w:r>
      <w:r w:rsidR="008B1E69">
        <w:rPr>
          <w:rFonts w:ascii="Times New Roman" w:hAnsi="Times New Roman" w:cs="Times New Roman"/>
        </w:rPr>
        <w:t>scientists in Israel,</w:t>
      </w:r>
      <w:r w:rsidR="00CA0FC4" w:rsidRPr="00190F04">
        <w:rPr>
          <w:rFonts w:ascii="Times New Roman" w:hAnsi="Times New Roman" w:cs="Times New Roman"/>
        </w:rPr>
        <w:t xml:space="preserve"> many of whom </w:t>
      </w:r>
      <w:r w:rsidR="003E43A4">
        <w:rPr>
          <w:rFonts w:ascii="Times New Roman" w:hAnsi="Times New Roman" w:cs="Times New Roman"/>
        </w:rPr>
        <w:t>were German Jews driven out of their homeland</w:t>
      </w:r>
      <w:r w:rsidR="00CA0FC4" w:rsidRPr="00190F04">
        <w:rPr>
          <w:rFonts w:ascii="Times New Roman" w:hAnsi="Times New Roman" w:cs="Times New Roman"/>
        </w:rPr>
        <w:t xml:space="preserve"> </w:t>
      </w:r>
      <w:r w:rsidR="008B1E69">
        <w:rPr>
          <w:rFonts w:ascii="Times New Roman" w:hAnsi="Times New Roman" w:cs="Times New Roman"/>
        </w:rPr>
        <w:t>during the 1930s</w:t>
      </w:r>
      <w:r w:rsidR="00CA0FC4" w:rsidRPr="00190F04">
        <w:rPr>
          <w:rFonts w:ascii="Times New Roman" w:hAnsi="Times New Roman" w:cs="Times New Roman"/>
        </w:rPr>
        <w:t xml:space="preserve">. The professional network of these German refugee geneticists, </w:t>
      </w:r>
      <w:r w:rsidR="003C5F04" w:rsidRPr="00190F04">
        <w:rPr>
          <w:rFonts w:ascii="Times New Roman" w:hAnsi="Times New Roman" w:cs="Times New Roman"/>
        </w:rPr>
        <w:t>including</w:t>
      </w:r>
      <w:r w:rsidR="00CA0FC4" w:rsidRPr="00190F04">
        <w:rPr>
          <w:rFonts w:ascii="Times New Roman" w:hAnsi="Times New Roman" w:cs="Times New Roman"/>
        </w:rPr>
        <w:t xml:space="preserve"> Herman</w:t>
      </w:r>
      <w:r w:rsidR="003C5F04" w:rsidRPr="00190F04">
        <w:rPr>
          <w:rFonts w:ascii="Times New Roman" w:hAnsi="Times New Roman" w:cs="Times New Roman"/>
        </w:rPr>
        <w:t>n Lehmann in the United Kingdom</w:t>
      </w:r>
      <w:r w:rsidR="00CA0FC4" w:rsidRPr="00190F04">
        <w:rPr>
          <w:rFonts w:ascii="Times New Roman" w:hAnsi="Times New Roman" w:cs="Times New Roman"/>
        </w:rPr>
        <w:t xml:space="preserve"> and many scientists</w:t>
      </w:r>
      <w:r w:rsidR="003C5F04" w:rsidRPr="00190F04">
        <w:rPr>
          <w:rFonts w:ascii="Times New Roman" w:hAnsi="Times New Roman" w:cs="Times New Roman"/>
        </w:rPr>
        <w:t xml:space="preserve"> and physicians</w:t>
      </w:r>
      <w:r w:rsidR="00CA0FC4" w:rsidRPr="00190F04">
        <w:rPr>
          <w:rFonts w:ascii="Times New Roman" w:hAnsi="Times New Roman" w:cs="Times New Roman"/>
        </w:rPr>
        <w:t xml:space="preserve"> in Israel </w:t>
      </w:r>
      <w:r w:rsidR="003C5F04" w:rsidRPr="00190F04">
        <w:rPr>
          <w:rFonts w:ascii="Times New Roman" w:hAnsi="Times New Roman" w:cs="Times New Roman"/>
        </w:rPr>
        <w:t xml:space="preserve">and the United States, </w:t>
      </w:r>
      <w:r w:rsidR="00CA0FC4" w:rsidRPr="00190F04">
        <w:rPr>
          <w:rFonts w:ascii="Times New Roman" w:hAnsi="Times New Roman" w:cs="Times New Roman"/>
        </w:rPr>
        <w:t>therefore also represented shared social norms and educational experiences rooted in a German intellectual tradition.</w:t>
      </w:r>
      <w:r w:rsidR="00CA0FC4" w:rsidRPr="00D941C7">
        <w:rPr>
          <w:rStyle w:val="FootnoteReference"/>
        </w:rPr>
        <w:footnoteReference w:id="28"/>
      </w:r>
      <w:r w:rsidR="00CA0FC4" w:rsidRPr="00190F04">
        <w:rPr>
          <w:rFonts w:ascii="Times New Roman" w:hAnsi="Times New Roman" w:cs="Times New Roman"/>
        </w:rPr>
        <w:t xml:space="preserve"> </w:t>
      </w:r>
    </w:p>
    <w:p w14:paraId="796F56F9" w14:textId="1519AC95" w:rsidR="00560F35" w:rsidRPr="00190F04" w:rsidRDefault="00CA0FC4" w:rsidP="00132CED">
      <w:pPr>
        <w:ind w:firstLine="720"/>
        <w:rPr>
          <w:rFonts w:ascii="Times New Roman" w:hAnsi="Times New Roman" w:cs="Times New Roman"/>
        </w:rPr>
      </w:pPr>
      <w:r w:rsidRPr="00190F04">
        <w:rPr>
          <w:rFonts w:ascii="Times New Roman" w:hAnsi="Times New Roman" w:cs="Times New Roman"/>
        </w:rPr>
        <w:t xml:space="preserve">As an example of the role of this network in structuring Israel’s integration into the international scientific community, consider </w:t>
      </w:r>
      <w:r w:rsidRPr="00190F04">
        <w:rPr>
          <w:rFonts w:ascii="Times New Roman" w:eastAsia="Times New Roman" w:hAnsi="Times New Roman" w:cs="Times New Roman"/>
        </w:rPr>
        <w:t xml:space="preserve">Hermann Lehmann’s close personal connections to Israel. His sister, Ruth, married the biochemist (Chaim) Ernst Wertheimer; when Hermann left </w:t>
      </w:r>
      <w:r w:rsidRPr="00190F04">
        <w:rPr>
          <w:rFonts w:ascii="Times New Roman" w:eastAsia="Times New Roman" w:hAnsi="Times New Roman" w:cs="Times New Roman"/>
        </w:rPr>
        <w:lastRenderedPageBreak/>
        <w:t>Germany for Cambridge in the mid-1930s, Ruth and her husband headed to Jerusalem, where Ernst became a professor at the Hadassah Medical School.</w:t>
      </w:r>
      <w:r w:rsidRPr="00D941C7">
        <w:rPr>
          <w:rStyle w:val="FootnoteReference"/>
        </w:rPr>
        <w:footnoteReference w:id="29"/>
      </w:r>
      <w:r w:rsidRPr="00190F04">
        <w:rPr>
          <w:rFonts w:ascii="Times New Roman" w:eastAsia="Times New Roman" w:hAnsi="Times New Roman" w:cs="Times New Roman"/>
        </w:rPr>
        <w:t xml:space="preserve"> Hermann’s subsequent visits to his relatives in Jerusalem kept him in contact with his brother-in-law’s colleagues at Hadassah, including Fritz Dreyfuss, who had graduated with Lehmann from the University of Basel in 1934. Dreyfuss believed he had discovered sickle-cell trait among Yemenite Jews in Israel in 1951,</w:t>
      </w:r>
      <w:r w:rsidRPr="00D941C7">
        <w:rPr>
          <w:rStyle w:val="FootnoteReference"/>
        </w:rPr>
        <w:footnoteReference w:id="30"/>
      </w:r>
      <w:r w:rsidRPr="00190F04">
        <w:rPr>
          <w:rFonts w:ascii="Times New Roman" w:eastAsia="Times New Roman" w:hAnsi="Times New Roman" w:cs="Times New Roman"/>
        </w:rPr>
        <w:t xml:space="preserve"> just as Lehmann was completing his own studies on sickle-cell anemia among East African populations. Although the Yemenites were ultimately found not to have the sickle-cell trait after all,</w:t>
      </w:r>
      <w:r w:rsidRPr="00D941C7">
        <w:rPr>
          <w:rStyle w:val="FootnoteReference"/>
        </w:rPr>
        <w:footnoteReference w:id="31"/>
      </w:r>
      <w:r w:rsidRPr="00190F04">
        <w:rPr>
          <w:rFonts w:ascii="Times New Roman" w:eastAsia="Times New Roman" w:hAnsi="Times New Roman" w:cs="Times New Roman"/>
        </w:rPr>
        <w:t xml:space="preserve"> Mizrahi populations thus became relev</w:t>
      </w:r>
      <w:r w:rsidR="0071418A" w:rsidRPr="00190F04">
        <w:rPr>
          <w:rFonts w:ascii="Times New Roman" w:eastAsia="Times New Roman" w:hAnsi="Times New Roman" w:cs="Times New Roman"/>
        </w:rPr>
        <w:t xml:space="preserve">ant to a major international </w:t>
      </w:r>
      <w:r w:rsidRPr="00190F04">
        <w:rPr>
          <w:rFonts w:ascii="Times New Roman" w:eastAsia="Times New Roman" w:hAnsi="Times New Roman" w:cs="Times New Roman"/>
        </w:rPr>
        <w:t xml:space="preserve">medical </w:t>
      </w:r>
      <w:r w:rsidR="00C33CA7">
        <w:rPr>
          <w:rFonts w:ascii="Times New Roman" w:eastAsia="Times New Roman" w:hAnsi="Times New Roman" w:cs="Times New Roman"/>
        </w:rPr>
        <w:t>research agenda and to</w:t>
      </w:r>
      <w:r w:rsidR="00012514">
        <w:rPr>
          <w:rFonts w:ascii="Times New Roman" w:eastAsia="Times New Roman" w:hAnsi="Times New Roman" w:cs="Times New Roman"/>
        </w:rPr>
        <w:t xml:space="preserve"> collaborative</w:t>
      </w:r>
      <w:r w:rsidRPr="00190F04">
        <w:rPr>
          <w:rFonts w:ascii="Times New Roman" w:eastAsia="Times New Roman" w:hAnsi="Times New Roman" w:cs="Times New Roman"/>
        </w:rPr>
        <w:t xml:space="preserve"> relationship</w:t>
      </w:r>
      <w:r w:rsidR="00012514">
        <w:rPr>
          <w:rFonts w:ascii="Times New Roman" w:eastAsia="Times New Roman" w:hAnsi="Times New Roman" w:cs="Times New Roman"/>
        </w:rPr>
        <w:t>s</w:t>
      </w:r>
      <w:r w:rsidRPr="00190F04">
        <w:rPr>
          <w:rFonts w:ascii="Times New Roman" w:eastAsia="Times New Roman" w:hAnsi="Times New Roman" w:cs="Times New Roman"/>
        </w:rPr>
        <w:t xml:space="preserve"> between the emerging community of Israeli geneticists and Lehmann and </w:t>
      </w:r>
      <w:r w:rsidR="00940E14">
        <w:rPr>
          <w:rFonts w:ascii="Times New Roman" w:eastAsia="Times New Roman" w:hAnsi="Times New Roman" w:cs="Times New Roman"/>
        </w:rPr>
        <w:t>Mourant’s laboratories in Britain</w:t>
      </w:r>
      <w:r w:rsidRPr="00190F04">
        <w:rPr>
          <w:rFonts w:ascii="Times New Roman" w:eastAsia="Times New Roman" w:hAnsi="Times New Roman" w:cs="Times New Roman"/>
        </w:rPr>
        <w:t xml:space="preserve">. </w:t>
      </w:r>
    </w:p>
    <w:p w14:paraId="3EB22B3A" w14:textId="0A3CEC5B" w:rsidR="00977697" w:rsidRPr="00190F04" w:rsidRDefault="009B7A0F" w:rsidP="00132CED">
      <w:pPr>
        <w:ind w:firstLine="720"/>
        <w:rPr>
          <w:rFonts w:ascii="Times New Roman" w:hAnsi="Times New Roman" w:cs="Times New Roman"/>
        </w:rPr>
      </w:pPr>
      <w:r>
        <w:rPr>
          <w:rFonts w:ascii="Times New Roman" w:hAnsi="Times New Roman" w:cs="Times New Roman"/>
        </w:rPr>
        <w:t xml:space="preserve">In the resulting exchange of </w:t>
      </w:r>
      <w:r w:rsidR="00B74DB5">
        <w:rPr>
          <w:rFonts w:ascii="Times New Roman" w:hAnsi="Times New Roman" w:cs="Times New Roman"/>
        </w:rPr>
        <w:t>blood serum</w:t>
      </w:r>
      <w:r>
        <w:rPr>
          <w:rFonts w:ascii="Times New Roman" w:hAnsi="Times New Roman" w:cs="Times New Roman"/>
        </w:rPr>
        <w:t xml:space="preserve"> and </w:t>
      </w:r>
      <w:r w:rsidR="00B74DB5">
        <w:rPr>
          <w:rFonts w:ascii="Times New Roman" w:hAnsi="Times New Roman" w:cs="Times New Roman"/>
        </w:rPr>
        <w:t>statistical data between Israel and London</w:t>
      </w:r>
      <w:r w:rsidR="008861CF" w:rsidRPr="00190F04">
        <w:rPr>
          <w:rFonts w:ascii="Times New Roman" w:hAnsi="Times New Roman" w:cs="Times New Roman"/>
        </w:rPr>
        <w:t xml:space="preserve">, Mourant </w:t>
      </w:r>
      <w:r w:rsidR="00B74DB5">
        <w:rPr>
          <w:rFonts w:ascii="Times New Roman" w:hAnsi="Times New Roman" w:cs="Times New Roman"/>
        </w:rPr>
        <w:t xml:space="preserve">entrusted Israeli scientists </w:t>
      </w:r>
      <w:r w:rsidR="00E96BEE">
        <w:rPr>
          <w:rFonts w:ascii="Times New Roman" w:hAnsi="Times New Roman" w:cs="Times New Roman"/>
        </w:rPr>
        <w:t>with handling</w:t>
      </w:r>
      <w:r w:rsidR="00B74DB5">
        <w:rPr>
          <w:rFonts w:ascii="Times New Roman" w:hAnsi="Times New Roman" w:cs="Times New Roman"/>
        </w:rPr>
        <w:t xml:space="preserve"> the</w:t>
      </w:r>
      <w:r w:rsidR="008861CF" w:rsidRPr="00190F04">
        <w:rPr>
          <w:rFonts w:ascii="Times New Roman" w:hAnsi="Times New Roman" w:cs="Times New Roman"/>
        </w:rPr>
        <w:t xml:space="preserve"> </w:t>
      </w:r>
      <w:r w:rsidR="00B74DB5">
        <w:rPr>
          <w:rFonts w:ascii="Times New Roman" w:hAnsi="Times New Roman" w:cs="Times New Roman"/>
        </w:rPr>
        <w:t>collection of biological material from Middle Eastern</w:t>
      </w:r>
      <w:r w:rsidR="00197632">
        <w:rPr>
          <w:rFonts w:ascii="Times New Roman" w:hAnsi="Times New Roman" w:cs="Times New Roman"/>
        </w:rPr>
        <w:t xml:space="preserve"> </w:t>
      </w:r>
      <w:r w:rsidR="008861CF" w:rsidRPr="00190F04">
        <w:rPr>
          <w:rFonts w:ascii="Times New Roman" w:hAnsi="Times New Roman" w:cs="Times New Roman"/>
        </w:rPr>
        <w:t xml:space="preserve">Jewish populations. </w:t>
      </w:r>
      <w:r w:rsidR="00977697" w:rsidRPr="00190F04">
        <w:rPr>
          <w:rFonts w:ascii="Times New Roman" w:hAnsi="Times New Roman" w:cs="Times New Roman"/>
        </w:rPr>
        <w:t>He was less prepared to pass up the opportunity to directly sample and test for himself the Samaritans of Nablus, a city within Jordanian territory between 1948 and 1967. The Samaritans, a small isolated population generally understood to be an ancient offshoot of Judaism, had already attracted attention from racial anthropologists in prior decades, and</w:t>
      </w:r>
      <w:r w:rsidR="00347D3D">
        <w:rPr>
          <w:rFonts w:ascii="Times New Roman" w:hAnsi="Times New Roman" w:cs="Times New Roman"/>
        </w:rPr>
        <w:t xml:space="preserve"> in the 1950s</w:t>
      </w:r>
      <w:r w:rsidR="00977697" w:rsidRPr="00190F04">
        <w:rPr>
          <w:rFonts w:ascii="Times New Roman" w:hAnsi="Times New Roman" w:cs="Times New Roman"/>
        </w:rPr>
        <w:t xml:space="preserve"> </w:t>
      </w:r>
      <w:r w:rsidR="00B9456D">
        <w:rPr>
          <w:rFonts w:ascii="Times New Roman" w:hAnsi="Times New Roman" w:cs="Times New Roman"/>
        </w:rPr>
        <w:t>several Samaritan families</w:t>
      </w:r>
      <w:r w:rsidR="00977697" w:rsidRPr="00190F04">
        <w:rPr>
          <w:rFonts w:ascii="Times New Roman" w:hAnsi="Times New Roman" w:cs="Times New Roman"/>
        </w:rPr>
        <w:t xml:space="preserve"> had been convinced to resettle in the town of Holon within Israel. In the 1960s, the Samaritans’ coveted st</w:t>
      </w:r>
      <w:r w:rsidR="00754C77" w:rsidRPr="00190F04">
        <w:rPr>
          <w:rFonts w:ascii="Times New Roman" w:hAnsi="Times New Roman" w:cs="Times New Roman"/>
        </w:rPr>
        <w:t>atus as an ancient genetic isolate</w:t>
      </w:r>
      <w:r w:rsidR="00977697" w:rsidRPr="00190F04">
        <w:rPr>
          <w:rFonts w:ascii="Times New Roman" w:hAnsi="Times New Roman" w:cs="Times New Roman"/>
        </w:rPr>
        <w:t xml:space="preserve"> made them a source of conflict between Batsheva Bonné, a young Israeli anthropologist who worked with the Samaritans in Holon, and Mourant, who controlled blood-sampling and testing of the Samaritans on the Jordanian side of the border until 1967. Bonné’s efforts to stake out professional boundaries against Mourant, particularly in </w:t>
      </w:r>
      <w:r w:rsidR="00754C77" w:rsidRPr="00190F04">
        <w:rPr>
          <w:rFonts w:ascii="Times New Roman" w:hAnsi="Times New Roman" w:cs="Times New Roman"/>
        </w:rPr>
        <w:t>terms of defining</w:t>
      </w:r>
      <w:r w:rsidR="00977697" w:rsidRPr="00190F04">
        <w:rPr>
          <w:rFonts w:ascii="Times New Roman" w:hAnsi="Times New Roman" w:cs="Times New Roman"/>
        </w:rPr>
        <w:t xml:space="preserve"> the Israeli community</w:t>
      </w:r>
      <w:r w:rsidR="000758D4" w:rsidRPr="00190F04">
        <w:rPr>
          <w:rFonts w:ascii="Times New Roman" w:hAnsi="Times New Roman" w:cs="Times New Roman"/>
        </w:rPr>
        <w:t xml:space="preserve"> of geneticists</w:t>
      </w:r>
      <w:r w:rsidR="00977697" w:rsidRPr="00190F04">
        <w:rPr>
          <w:rFonts w:ascii="Times New Roman" w:hAnsi="Times New Roman" w:cs="Times New Roman"/>
        </w:rPr>
        <w:t xml:space="preserve"> as a distinct entity with its own interests and not merely an “outpost” conducting fieldwork on behalf of Western scientists, reveal the</w:t>
      </w:r>
      <w:r w:rsidR="00260EB7">
        <w:rPr>
          <w:rFonts w:ascii="Times New Roman" w:hAnsi="Times New Roman" w:cs="Times New Roman"/>
        </w:rPr>
        <w:t xml:space="preserve"> postcolonial</w:t>
      </w:r>
      <w:r w:rsidR="00977697" w:rsidRPr="00190F04">
        <w:rPr>
          <w:rFonts w:ascii="Times New Roman" w:hAnsi="Times New Roman" w:cs="Times New Roman"/>
        </w:rPr>
        <w:t xml:space="preserve"> power dynamics shaping the operations of international scientific agendas within a Middle Eastern context.</w:t>
      </w:r>
    </w:p>
    <w:p w14:paraId="54312F74" w14:textId="16FA6A92" w:rsidR="00977697" w:rsidRPr="00190F04" w:rsidRDefault="00977697" w:rsidP="00132CED">
      <w:pPr>
        <w:ind w:firstLine="720"/>
        <w:rPr>
          <w:rFonts w:ascii="Times New Roman" w:hAnsi="Times New Roman" w:cs="Times New Roman"/>
          <w:lang w:bidi="he-IL"/>
        </w:rPr>
      </w:pPr>
      <w:r w:rsidRPr="00190F04">
        <w:rPr>
          <w:rFonts w:ascii="Times New Roman" w:hAnsi="Times New Roman" w:cs="Times New Roman"/>
          <w:lang w:bidi="he-IL"/>
        </w:rPr>
        <w:t>Bonné</w:t>
      </w:r>
      <w:r w:rsidR="00D979F5">
        <w:rPr>
          <w:rFonts w:ascii="Times New Roman" w:hAnsi="Times New Roman" w:cs="Times New Roman"/>
          <w:lang w:bidi="he-IL"/>
        </w:rPr>
        <w:t>, born and raised in Mandate Palestine by German Jewish immigrants,</w:t>
      </w:r>
      <w:r w:rsidRPr="00190F04">
        <w:rPr>
          <w:rFonts w:ascii="Times New Roman" w:hAnsi="Times New Roman" w:cs="Times New Roman"/>
          <w:lang w:bidi="he-IL"/>
        </w:rPr>
        <w:t xml:space="preserve"> </w:t>
      </w:r>
      <w:r w:rsidR="00815B37" w:rsidRPr="00190F04">
        <w:rPr>
          <w:rFonts w:ascii="Times New Roman" w:hAnsi="Times New Roman" w:cs="Times New Roman"/>
          <w:lang w:bidi="he-IL"/>
        </w:rPr>
        <w:t>first encountered</w:t>
      </w:r>
      <w:r w:rsidRPr="00190F04">
        <w:rPr>
          <w:rFonts w:ascii="Times New Roman" w:hAnsi="Times New Roman" w:cs="Times New Roman"/>
          <w:lang w:bidi="he-IL"/>
        </w:rPr>
        <w:t xml:space="preserve"> the Samaritans in 1960 while looking for a suitable population to be the subject of her master’s thesis in physical anthropology at the University of Chicago. She </w:t>
      </w:r>
      <w:r w:rsidR="00815B37" w:rsidRPr="00190F04">
        <w:rPr>
          <w:rFonts w:ascii="Times New Roman" w:hAnsi="Times New Roman" w:cs="Times New Roman"/>
          <w:lang w:bidi="he-IL"/>
        </w:rPr>
        <w:t xml:space="preserve">quickly </w:t>
      </w:r>
      <w:r w:rsidRPr="00190F04">
        <w:rPr>
          <w:rFonts w:ascii="Times New Roman" w:hAnsi="Times New Roman" w:cs="Times New Roman"/>
          <w:lang w:bidi="he-IL"/>
        </w:rPr>
        <w:t>established contact with Yisra’el Tsedaka, who would become her longtime liaison with the Samaritan community of Holon.</w:t>
      </w:r>
      <w:r w:rsidRPr="00D941C7">
        <w:rPr>
          <w:rStyle w:val="FootnoteReference"/>
        </w:rPr>
        <w:footnoteReference w:id="32"/>
      </w:r>
      <w:r w:rsidRPr="00190F04">
        <w:rPr>
          <w:rFonts w:ascii="Times New Roman" w:hAnsi="Times New Roman" w:cs="Times New Roman"/>
          <w:lang w:bidi="he-IL"/>
        </w:rPr>
        <w:t xml:space="preserve"> Based on his information and historical sources, she wrote a detailed demography of the Samaritans for her thesis, which was eventually published in</w:t>
      </w:r>
      <w:r w:rsidR="00ED3177" w:rsidRPr="00190F04">
        <w:rPr>
          <w:rFonts w:ascii="Times New Roman" w:hAnsi="Times New Roman" w:cs="Times New Roman"/>
          <w:lang w:bidi="he-IL"/>
        </w:rPr>
        <w:t xml:space="preserve"> the journal</w:t>
      </w:r>
      <w:r w:rsidRPr="00190F04">
        <w:rPr>
          <w:rFonts w:ascii="Times New Roman" w:hAnsi="Times New Roman" w:cs="Times New Roman"/>
          <w:lang w:bidi="he-IL"/>
        </w:rPr>
        <w:t xml:space="preserve"> </w:t>
      </w:r>
      <w:r w:rsidRPr="00190F04">
        <w:rPr>
          <w:rFonts w:ascii="Times New Roman" w:hAnsi="Times New Roman" w:cs="Times New Roman"/>
          <w:i/>
          <w:lang w:bidi="he-IL"/>
        </w:rPr>
        <w:t>Human Biology</w:t>
      </w:r>
      <w:r w:rsidRPr="00190F04">
        <w:rPr>
          <w:rFonts w:ascii="Times New Roman" w:hAnsi="Times New Roman" w:cs="Times New Roman"/>
          <w:lang w:bidi="he-IL"/>
        </w:rPr>
        <w:t>.</w:t>
      </w:r>
      <w:r w:rsidRPr="00D941C7">
        <w:rPr>
          <w:rStyle w:val="FootnoteReference"/>
        </w:rPr>
        <w:footnoteReference w:id="33"/>
      </w:r>
      <w:r w:rsidRPr="00190F04">
        <w:rPr>
          <w:rFonts w:ascii="Times New Roman" w:hAnsi="Times New Roman" w:cs="Times New Roman"/>
          <w:lang w:bidi="he-IL"/>
        </w:rPr>
        <w:t xml:space="preserve"> Bonné met Tsedaka and other Holon Samarita</w:t>
      </w:r>
      <w:r w:rsidR="00821276">
        <w:rPr>
          <w:rFonts w:ascii="Times New Roman" w:hAnsi="Times New Roman" w:cs="Times New Roman"/>
          <w:lang w:bidi="he-IL"/>
        </w:rPr>
        <w:t xml:space="preserve">ns in person </w:t>
      </w:r>
      <w:r w:rsidRPr="00190F04">
        <w:rPr>
          <w:rFonts w:ascii="Times New Roman" w:hAnsi="Times New Roman" w:cs="Times New Roman"/>
          <w:lang w:bidi="he-IL"/>
        </w:rPr>
        <w:t xml:space="preserve">during the summer of 1961, and at that time </w:t>
      </w:r>
      <w:r w:rsidR="00821276">
        <w:rPr>
          <w:rFonts w:ascii="Times New Roman" w:hAnsi="Times New Roman" w:cs="Times New Roman"/>
          <w:lang w:bidi="he-IL"/>
        </w:rPr>
        <w:t xml:space="preserve">she </w:t>
      </w:r>
      <w:r w:rsidRPr="00190F04">
        <w:rPr>
          <w:rFonts w:ascii="Times New Roman" w:hAnsi="Times New Roman" w:cs="Times New Roman"/>
          <w:lang w:bidi="he-IL"/>
        </w:rPr>
        <w:t xml:space="preserve">initiated a genetic survey of the community with the assistance of Israeli hematologists. She intended </w:t>
      </w:r>
      <w:r w:rsidR="00821276">
        <w:rPr>
          <w:rFonts w:ascii="Times New Roman" w:hAnsi="Times New Roman" w:cs="Times New Roman"/>
          <w:lang w:bidi="he-IL"/>
        </w:rPr>
        <w:t>to continue working with the Samaritans for</w:t>
      </w:r>
      <w:r w:rsidRPr="00190F04">
        <w:rPr>
          <w:rFonts w:ascii="Times New Roman" w:hAnsi="Times New Roman" w:cs="Times New Roman"/>
          <w:lang w:bidi="he-IL"/>
        </w:rPr>
        <w:t xml:space="preserve"> her doctorate in human genetics at Boston University, which she began in October 1961 under the supervision of William </w:t>
      </w:r>
      <w:r w:rsidR="00A95B1A">
        <w:rPr>
          <w:rFonts w:ascii="Times New Roman" w:hAnsi="Times New Roman" w:cs="Times New Roman"/>
          <w:lang w:bidi="he-IL"/>
        </w:rPr>
        <w:t xml:space="preserve">C. </w:t>
      </w:r>
      <w:r w:rsidRPr="00190F04">
        <w:rPr>
          <w:rFonts w:ascii="Times New Roman" w:hAnsi="Times New Roman" w:cs="Times New Roman"/>
          <w:lang w:bidi="he-IL"/>
        </w:rPr>
        <w:t xml:space="preserve">Boyd. However, she faced a major barrier in her research plans; as an Israeli citizen, she could not personally visit the rest of the Samaritans in Jordan. After several false starts in recruiting an assistant to sample the Jordanian Samaritans on her behalf, her advisor Boyd decided to do the work himself. In November 1962, he applied to the Wenner-Gren </w:t>
      </w:r>
      <w:r w:rsidRPr="00190F04">
        <w:rPr>
          <w:rFonts w:ascii="Times New Roman" w:hAnsi="Times New Roman" w:cs="Times New Roman"/>
          <w:lang w:bidi="he-IL"/>
        </w:rPr>
        <w:lastRenderedPageBreak/>
        <w:t>Foundation for funds to travel to Nablus, while Bonné tried to coordinate his visit with her Samaritan contacts in both cities.</w:t>
      </w:r>
      <w:r w:rsidRPr="00D941C7">
        <w:rPr>
          <w:rStyle w:val="FootnoteReference"/>
        </w:rPr>
        <w:footnoteReference w:id="34"/>
      </w:r>
    </w:p>
    <w:p w14:paraId="7DF657BE" w14:textId="3D672A24" w:rsidR="00977697" w:rsidRPr="00190F04" w:rsidRDefault="00977697" w:rsidP="00132CED">
      <w:pPr>
        <w:rPr>
          <w:rFonts w:ascii="Times New Roman" w:hAnsi="Times New Roman" w:cs="Times New Roman"/>
        </w:rPr>
      </w:pPr>
      <w:r w:rsidRPr="00190F04">
        <w:rPr>
          <w:rFonts w:ascii="Times New Roman" w:hAnsi="Times New Roman" w:cs="Times New Roman"/>
        </w:rPr>
        <w:tab/>
        <w:t>Bonné and Boyd’s preparations were interrupted by a letter from Mourant, who had been asked by Wenner-Gren to evaluate their funding application. Declaring it “one of the most embarrassing situations of [his] life,” Mourant explained that he had recently finalized plans to do the exact same project in January 1963, as part of a trip to help his protégé Harry M. Smith set up a blood-grouping laboratory. He added that “testing of the Samaritans has had first priority with Harry Smith ever since he planned his Beirut laboratory, and he has for years been in personal contact with the community,” and therefore he could not “relinquish the Samaritan blood grouping.” However, he offered to turn the project into a “joint scheme,” which would allow them to share the blood samples. If they agreed, Mourant wrote, he would explain the situation to Wenner-Gren and endorse their application accordingly.</w:t>
      </w:r>
      <w:r w:rsidRPr="00D941C7">
        <w:rPr>
          <w:rStyle w:val="FootnoteReference"/>
        </w:rPr>
        <w:footnoteReference w:id="35"/>
      </w:r>
      <w:r w:rsidRPr="00190F04">
        <w:rPr>
          <w:rFonts w:ascii="Times New Roman" w:hAnsi="Times New Roman" w:cs="Times New Roman"/>
        </w:rPr>
        <w:t xml:space="preserve"> The idea of sharing her project was a seri</w:t>
      </w:r>
      <w:r w:rsidR="005C159C">
        <w:rPr>
          <w:rFonts w:ascii="Times New Roman" w:hAnsi="Times New Roman" w:cs="Times New Roman"/>
        </w:rPr>
        <w:t>ous disappointment to Bonné, who</w:t>
      </w:r>
      <w:r w:rsidRPr="00190F04">
        <w:rPr>
          <w:rFonts w:ascii="Times New Roman" w:hAnsi="Times New Roman" w:cs="Times New Roman"/>
        </w:rPr>
        <w:t xml:space="preserve"> felt she had no choice other than to agree to Mourant’s terms.</w:t>
      </w:r>
      <w:r w:rsidRPr="00D941C7">
        <w:rPr>
          <w:rStyle w:val="FootnoteReference"/>
        </w:rPr>
        <w:footnoteReference w:id="36"/>
      </w:r>
      <w:r w:rsidRPr="00190F04">
        <w:rPr>
          <w:rFonts w:ascii="Times New Roman" w:hAnsi="Times New Roman" w:cs="Times New Roman"/>
        </w:rPr>
        <w:t xml:space="preserve"> Her letters to Mourant over the subsequent year reveal undercurrents of her frustration with Mourant’s paternalistic attitude toward their collaboration.</w:t>
      </w:r>
    </w:p>
    <w:p w14:paraId="6E9115B9" w14:textId="75A46729" w:rsidR="00977697" w:rsidRPr="00190F04" w:rsidRDefault="00977697" w:rsidP="00132CED">
      <w:pPr>
        <w:rPr>
          <w:rFonts w:ascii="Times New Roman" w:hAnsi="Times New Roman" w:cs="Times New Roman"/>
        </w:rPr>
      </w:pPr>
      <w:r w:rsidRPr="00190F04">
        <w:rPr>
          <w:rFonts w:ascii="Times New Roman" w:hAnsi="Times New Roman" w:cs="Times New Roman"/>
        </w:rPr>
        <w:tab/>
        <w:t xml:space="preserve">In planning the now-joint expedition, Mourant and Smith took the leading role, generally disregarding the information offered by Bonné based on her correspondence with the Nablus Samaritans and her experience with the Holon Samaritans. A major point of disagreement was whether and how the Nablus Samaritans should be financially compensated for their participation in the study. Bonné warned Mourant that the Nablus Samaritans would not give blood without being individually paid, but Smith </w:t>
      </w:r>
      <w:r w:rsidR="00027C70">
        <w:rPr>
          <w:rFonts w:ascii="Times New Roman" w:hAnsi="Times New Roman" w:cs="Times New Roman"/>
        </w:rPr>
        <w:t>rejected this idea</w:t>
      </w:r>
      <w:r w:rsidR="00C3703D">
        <w:rPr>
          <w:rFonts w:ascii="Times New Roman" w:hAnsi="Times New Roman" w:cs="Times New Roman"/>
        </w:rPr>
        <w:t>,</w:t>
      </w:r>
      <w:r w:rsidRPr="00190F04">
        <w:rPr>
          <w:rFonts w:ascii="Times New Roman" w:hAnsi="Times New Roman" w:cs="Times New Roman"/>
        </w:rPr>
        <w:t xml:space="preserve"> and Mourant</w:t>
      </w:r>
      <w:r w:rsidR="00027C70">
        <w:rPr>
          <w:rFonts w:ascii="Times New Roman" w:hAnsi="Times New Roman" w:cs="Times New Roman"/>
        </w:rPr>
        <w:t xml:space="preserve"> sided with Smith. </w:t>
      </w:r>
      <w:r w:rsidR="00E32E86">
        <w:rPr>
          <w:rFonts w:ascii="Times New Roman" w:hAnsi="Times New Roman" w:cs="Times New Roman"/>
        </w:rPr>
        <w:t>The</w:t>
      </w:r>
      <w:r w:rsidRPr="00190F04">
        <w:rPr>
          <w:rFonts w:ascii="Times New Roman" w:hAnsi="Times New Roman" w:cs="Times New Roman"/>
        </w:rPr>
        <w:t xml:space="preserve"> research team</w:t>
      </w:r>
      <w:r w:rsidR="00E32E86">
        <w:rPr>
          <w:rFonts w:ascii="Times New Roman" w:hAnsi="Times New Roman" w:cs="Times New Roman"/>
        </w:rPr>
        <w:t xml:space="preserve">’s </w:t>
      </w:r>
      <w:r w:rsidR="006D5319">
        <w:rPr>
          <w:rFonts w:ascii="Times New Roman" w:hAnsi="Times New Roman" w:cs="Times New Roman"/>
        </w:rPr>
        <w:t>failure</w:t>
      </w:r>
      <w:r w:rsidR="00E32E86">
        <w:rPr>
          <w:rFonts w:ascii="Times New Roman" w:hAnsi="Times New Roman" w:cs="Times New Roman"/>
        </w:rPr>
        <w:t xml:space="preserve"> to meet the Samaritans’ expectations for compensation</w:t>
      </w:r>
      <w:r w:rsidRPr="00190F04">
        <w:rPr>
          <w:rFonts w:ascii="Times New Roman" w:hAnsi="Times New Roman" w:cs="Times New Roman"/>
        </w:rPr>
        <w:t xml:space="preserve"> indeed led to the expedition’s undoing. </w:t>
      </w:r>
      <w:r w:rsidR="00E32E86">
        <w:rPr>
          <w:rFonts w:ascii="Times New Roman" w:hAnsi="Times New Roman" w:cs="Times New Roman"/>
          <w:lang w:bidi="he-IL"/>
        </w:rPr>
        <w:t>From</w:t>
      </w:r>
      <w:r w:rsidRPr="00190F04">
        <w:rPr>
          <w:rFonts w:ascii="Times New Roman" w:hAnsi="Times New Roman" w:cs="Times New Roman"/>
          <w:lang w:bidi="he-IL"/>
        </w:rPr>
        <w:t xml:space="preserve"> a community of over 200, Mourant and Sm</w:t>
      </w:r>
      <w:r w:rsidR="005929AE" w:rsidRPr="00190F04">
        <w:rPr>
          <w:rFonts w:ascii="Times New Roman" w:hAnsi="Times New Roman" w:cs="Times New Roman"/>
          <w:lang w:bidi="he-IL"/>
        </w:rPr>
        <w:t>ith were only able to collect</w:t>
      </w:r>
      <w:r w:rsidR="00E32E86">
        <w:rPr>
          <w:rFonts w:ascii="Times New Roman" w:hAnsi="Times New Roman" w:cs="Times New Roman"/>
          <w:lang w:bidi="he-IL"/>
        </w:rPr>
        <w:t xml:space="preserve"> </w:t>
      </w:r>
      <w:r w:rsidRPr="00190F04">
        <w:rPr>
          <w:rFonts w:ascii="Times New Roman" w:hAnsi="Times New Roman" w:cs="Times New Roman"/>
          <w:lang w:bidi="he-IL"/>
        </w:rPr>
        <w:t>samples</w:t>
      </w:r>
      <w:r w:rsidR="005929AE" w:rsidRPr="00190F04">
        <w:rPr>
          <w:rFonts w:ascii="Times New Roman" w:hAnsi="Times New Roman" w:cs="Times New Roman"/>
          <w:lang w:bidi="he-IL"/>
        </w:rPr>
        <w:t xml:space="preserve"> from 82 individuals</w:t>
      </w:r>
      <w:r w:rsidRPr="00190F04">
        <w:rPr>
          <w:rFonts w:ascii="Times New Roman" w:hAnsi="Times New Roman" w:cs="Times New Roman"/>
          <w:lang w:bidi="he-IL"/>
        </w:rPr>
        <w:t>—not even half of its members</w:t>
      </w:r>
      <w:r w:rsidR="00E32E86">
        <w:rPr>
          <w:rFonts w:ascii="Times New Roman" w:hAnsi="Times New Roman" w:cs="Times New Roman"/>
          <w:lang w:bidi="he-IL"/>
        </w:rPr>
        <w:t>—while the rest refused to provide their blood</w:t>
      </w:r>
      <w:r w:rsidRPr="00190F04">
        <w:rPr>
          <w:rFonts w:ascii="Times New Roman" w:hAnsi="Times New Roman" w:cs="Times New Roman"/>
          <w:lang w:bidi="he-IL"/>
        </w:rPr>
        <w:t>.</w:t>
      </w:r>
      <w:r w:rsidRPr="00190F04">
        <w:rPr>
          <w:rFonts w:ascii="Times New Roman" w:hAnsi="Times New Roman" w:cs="Times New Roman"/>
        </w:rPr>
        <w:t xml:space="preserve"> Bo</w:t>
      </w:r>
      <w:r w:rsidR="00512208" w:rsidRPr="00190F04">
        <w:rPr>
          <w:rFonts w:ascii="Times New Roman" w:hAnsi="Times New Roman" w:cs="Times New Roman"/>
        </w:rPr>
        <w:t xml:space="preserve">nné clearly felt that the </w:t>
      </w:r>
      <w:r w:rsidRPr="00190F04">
        <w:rPr>
          <w:rFonts w:ascii="Times New Roman" w:hAnsi="Times New Roman" w:cs="Times New Roman"/>
        </w:rPr>
        <w:t>men had bungled her project. As she wrote rather acidly to Mourant, “I was naturally disappointed to hear that the Samaritans did not cooperate as expected, though growing up in the Middle East, I can perceive quite clearly what has happened, and thus I should be grateful for what has been accomplished by you.”</w:t>
      </w:r>
      <w:r w:rsidRPr="00D941C7">
        <w:rPr>
          <w:rStyle w:val="FootnoteReference"/>
        </w:rPr>
        <w:footnoteReference w:id="37"/>
      </w:r>
    </w:p>
    <w:p w14:paraId="1875662D" w14:textId="61FBC9F0" w:rsidR="00977697" w:rsidRPr="00190F04" w:rsidRDefault="00977697" w:rsidP="00132CED">
      <w:pPr>
        <w:ind w:firstLine="720"/>
        <w:rPr>
          <w:rFonts w:ascii="Times New Roman" w:hAnsi="Times New Roman" w:cs="Times New Roman"/>
        </w:rPr>
      </w:pPr>
      <w:r w:rsidRPr="00190F04">
        <w:rPr>
          <w:rFonts w:ascii="Times New Roman" w:hAnsi="Times New Roman" w:cs="Times New Roman"/>
        </w:rPr>
        <w:t>Over the next few months, Smith and Mourant strongly discouraged Bonné from contacting the Samaritans again too soon, emphasizing the danger she posed to the Samaritan project as an I</w:t>
      </w:r>
      <w:r w:rsidR="00E66CED">
        <w:rPr>
          <w:rFonts w:ascii="Times New Roman" w:hAnsi="Times New Roman" w:cs="Times New Roman"/>
        </w:rPr>
        <w:t xml:space="preserve">sraeli citizen. Yet, as Bonné </w:t>
      </w:r>
      <w:r w:rsidR="00207506" w:rsidRPr="00190F04">
        <w:rPr>
          <w:rFonts w:ascii="Times New Roman" w:hAnsi="Times New Roman" w:cs="Times New Roman"/>
        </w:rPr>
        <w:t>noted</w:t>
      </w:r>
      <w:r w:rsidRPr="00190F04">
        <w:rPr>
          <w:rFonts w:ascii="Times New Roman" w:hAnsi="Times New Roman" w:cs="Times New Roman"/>
        </w:rPr>
        <w:t xml:space="preserve"> </w:t>
      </w:r>
      <w:r w:rsidR="00207506" w:rsidRPr="00190F04">
        <w:rPr>
          <w:rFonts w:ascii="Times New Roman" w:hAnsi="Times New Roman" w:cs="Times New Roman"/>
        </w:rPr>
        <w:t>in her autobiography</w:t>
      </w:r>
      <w:r w:rsidRPr="00190F04">
        <w:rPr>
          <w:rFonts w:ascii="Times New Roman" w:hAnsi="Times New Roman" w:cs="Times New Roman"/>
        </w:rPr>
        <w:t>, after all these efforts to disassociate the Samaritan project from her as an Israeli, Smith himself visited Israel a few months later.</w:t>
      </w:r>
      <w:r w:rsidRPr="00D941C7">
        <w:rPr>
          <w:rStyle w:val="FootnoteReference"/>
        </w:rPr>
        <w:footnoteReference w:id="38"/>
      </w:r>
      <w:r w:rsidRPr="00190F04">
        <w:rPr>
          <w:rFonts w:ascii="Times New Roman" w:hAnsi="Times New Roman" w:cs="Times New Roman"/>
        </w:rPr>
        <w:t xml:space="preserve"> As she recounted to Mourant, in November 1963, Smith spent a week in Israel, </w:t>
      </w:r>
      <w:r w:rsidR="00F80285">
        <w:rPr>
          <w:rFonts w:ascii="Times New Roman" w:hAnsi="Times New Roman" w:cs="Times New Roman"/>
        </w:rPr>
        <w:t>meeting with</w:t>
      </w:r>
      <w:r w:rsidRPr="00190F04">
        <w:rPr>
          <w:rFonts w:ascii="Times New Roman" w:hAnsi="Times New Roman" w:cs="Times New Roman"/>
        </w:rPr>
        <w:t xml:space="preserve"> </w:t>
      </w:r>
      <w:r w:rsidR="00F80285">
        <w:rPr>
          <w:rFonts w:ascii="Times New Roman" w:hAnsi="Times New Roman" w:cs="Times New Roman"/>
        </w:rPr>
        <w:t>“</w:t>
      </w:r>
      <w:r w:rsidRPr="00190F04">
        <w:rPr>
          <w:rFonts w:ascii="Times New Roman" w:hAnsi="Times New Roman" w:cs="Times New Roman"/>
        </w:rPr>
        <w:t>geneticists, doctors,</w:t>
      </w:r>
      <w:r w:rsidR="00207506" w:rsidRPr="00190F04">
        <w:rPr>
          <w:rFonts w:ascii="Times New Roman" w:hAnsi="Times New Roman" w:cs="Times New Roman"/>
        </w:rPr>
        <w:t xml:space="preserve"> biochemists</w:t>
      </w:r>
      <w:r w:rsidRPr="00190F04">
        <w:rPr>
          <w:rFonts w:ascii="Times New Roman" w:hAnsi="Times New Roman" w:cs="Times New Roman"/>
        </w:rPr>
        <w:t xml:space="preserve"> […] with whom he discussed at length possibilities for future projects,” while Bonné herself introduced Smith to the Holon Samaritans.</w:t>
      </w:r>
      <w:r w:rsidRPr="00D941C7">
        <w:rPr>
          <w:rStyle w:val="FootnoteReference"/>
        </w:rPr>
        <w:footnoteReference w:id="39"/>
      </w:r>
      <w:r w:rsidR="00FD2BB9">
        <w:rPr>
          <w:rFonts w:ascii="Times New Roman" w:hAnsi="Times New Roman" w:cs="Times New Roman"/>
        </w:rPr>
        <w:t xml:space="preserve"> </w:t>
      </w:r>
      <w:r w:rsidRPr="00190F04">
        <w:rPr>
          <w:rFonts w:ascii="Times New Roman" w:hAnsi="Times New Roman" w:cs="Times New Roman"/>
        </w:rPr>
        <w:t>The latter group, as Bonné pointed out to Mourant once she arrived in Israel for fieldwork in autumn 1963, had an excellent working relationship with her own team of Israeli workers from Tel-Hashomer</w:t>
      </w:r>
      <w:r w:rsidR="00207506" w:rsidRPr="00190F04">
        <w:rPr>
          <w:rFonts w:ascii="Times New Roman" w:hAnsi="Times New Roman" w:cs="Times New Roman"/>
        </w:rPr>
        <w:t xml:space="preserve"> Hospital</w:t>
      </w:r>
      <w:r w:rsidRPr="00190F04">
        <w:rPr>
          <w:rFonts w:ascii="Times New Roman" w:hAnsi="Times New Roman" w:cs="Times New Roman"/>
        </w:rPr>
        <w:t>, who paid weekly visits to Holo</w:t>
      </w:r>
      <w:r w:rsidR="00221C6A">
        <w:rPr>
          <w:rFonts w:ascii="Times New Roman" w:hAnsi="Times New Roman" w:cs="Times New Roman"/>
        </w:rPr>
        <w:t xml:space="preserve">n. Describing their very </w:t>
      </w:r>
      <w:r w:rsidR="00221C6A">
        <w:rPr>
          <w:rFonts w:ascii="Times New Roman" w:hAnsi="Times New Roman" w:cs="Times New Roman"/>
        </w:rPr>
        <w:lastRenderedPageBreak/>
        <w:t xml:space="preserve">first visit, </w:t>
      </w:r>
      <w:r w:rsidRPr="00190F04">
        <w:rPr>
          <w:rFonts w:ascii="Times New Roman" w:hAnsi="Times New Roman" w:cs="Times New Roman"/>
        </w:rPr>
        <w:t xml:space="preserve">Bonné </w:t>
      </w:r>
      <w:r w:rsidR="00221C6A">
        <w:rPr>
          <w:rFonts w:ascii="Times New Roman" w:hAnsi="Times New Roman" w:cs="Times New Roman"/>
        </w:rPr>
        <w:t>commented,</w:t>
      </w:r>
      <w:r w:rsidRPr="00190F04">
        <w:rPr>
          <w:rFonts w:ascii="Times New Roman" w:hAnsi="Times New Roman" w:cs="Times New Roman"/>
        </w:rPr>
        <w:t xml:space="preserve"> “The Samaritans were indeed so cooperative that they almost stood in line to give blood. There was no reward or money involved</w:t>
      </w:r>
      <w:r w:rsidR="00221C6A">
        <w:rPr>
          <w:rFonts w:ascii="Times New Roman" w:hAnsi="Times New Roman" w:cs="Times New Roman"/>
        </w:rPr>
        <w:t>…</w:t>
      </w:r>
      <w:r w:rsidRPr="00190F04">
        <w:rPr>
          <w:rFonts w:ascii="Times New Roman" w:hAnsi="Times New Roman" w:cs="Times New Roman"/>
        </w:rPr>
        <w:t>”</w:t>
      </w:r>
      <w:r w:rsidRPr="00D941C7">
        <w:rPr>
          <w:rStyle w:val="FootnoteReference"/>
        </w:rPr>
        <w:footnoteReference w:id="40"/>
      </w:r>
      <w:r w:rsidRPr="00190F04">
        <w:rPr>
          <w:rFonts w:ascii="Times New Roman" w:hAnsi="Times New Roman" w:cs="Times New Roman"/>
        </w:rPr>
        <w:t xml:space="preserve"> Within two months, Bonné’s team had sampled 90% of the community members, who provided not only blood and saliva but also submitted to </w:t>
      </w:r>
      <w:r w:rsidR="00B738D6" w:rsidRPr="00190F04">
        <w:rPr>
          <w:rFonts w:ascii="Times New Roman" w:hAnsi="Times New Roman" w:cs="Times New Roman"/>
        </w:rPr>
        <w:t>colorblindness</w:t>
      </w:r>
      <w:r w:rsidRPr="00190F04">
        <w:rPr>
          <w:rFonts w:ascii="Times New Roman" w:hAnsi="Times New Roman" w:cs="Times New Roman"/>
        </w:rPr>
        <w:t xml:space="preserve"> testing and 18 anthropometric measurements.</w:t>
      </w:r>
      <w:r w:rsidRPr="00D941C7">
        <w:rPr>
          <w:rStyle w:val="FootnoteReference"/>
        </w:rPr>
        <w:footnoteReference w:id="41"/>
      </w:r>
      <w:r w:rsidRPr="00190F04">
        <w:rPr>
          <w:rFonts w:ascii="Times New Roman" w:hAnsi="Times New Roman" w:cs="Times New Roman"/>
        </w:rPr>
        <w:t xml:space="preserve"> Bonné consistently portrayed her relationship to the Holon Samaritans as one of mutual respect and appreciation, as opposed to the exploitative relationship Mourant and Smith had formed with the Nablus Samaritans. In Bonné’s o</w:t>
      </w:r>
      <w:r w:rsidR="008B6749" w:rsidRPr="00190F04">
        <w:rPr>
          <w:rFonts w:ascii="Times New Roman" w:hAnsi="Times New Roman" w:cs="Times New Roman"/>
        </w:rPr>
        <w:t>w</w:t>
      </w:r>
      <w:r w:rsidRPr="00190F04">
        <w:rPr>
          <w:rFonts w:ascii="Times New Roman" w:hAnsi="Times New Roman" w:cs="Times New Roman"/>
        </w:rPr>
        <w:t>n words, her relationship with them “was not that of an anthropologist-scientist with a foreign tribe whose customs and traditions are anchored in another world;” rather, she attained a high degree of personal familiarity with the Samaritan community that enabled the discussion of delicate family and medical information.</w:t>
      </w:r>
      <w:r w:rsidRPr="00D941C7">
        <w:rPr>
          <w:rStyle w:val="FootnoteReference"/>
        </w:rPr>
        <w:footnoteReference w:id="42"/>
      </w:r>
      <w:r w:rsidRPr="00190F04">
        <w:rPr>
          <w:rFonts w:ascii="Times New Roman" w:hAnsi="Times New Roman" w:cs="Times New Roman"/>
        </w:rPr>
        <w:t xml:space="preserve"> The Samaritans threw her a farewell party in Holon before her return to Boston, during which she “gave each [Samaritan] a card with his ABO, Rh and MN results—to carry with their identity card; [she] also gave them a small sum of $100.00 to the synagogue just as a token for their extreme cooperation.”</w:t>
      </w:r>
      <w:r w:rsidRPr="00D941C7">
        <w:rPr>
          <w:rStyle w:val="FootnoteReference"/>
        </w:rPr>
        <w:footnoteReference w:id="43"/>
      </w:r>
      <w:r w:rsidRPr="00190F04">
        <w:rPr>
          <w:rFonts w:ascii="Times New Roman" w:hAnsi="Times New Roman" w:cs="Times New Roman"/>
          <w:lang w:bidi="he-IL"/>
        </w:rPr>
        <w:t xml:space="preserve"> </w:t>
      </w:r>
    </w:p>
    <w:p w14:paraId="6ADD7E8C" w14:textId="5A68D59E" w:rsidR="00977697" w:rsidRPr="00190F04" w:rsidRDefault="00977697" w:rsidP="00132CED">
      <w:pPr>
        <w:ind w:firstLine="720"/>
        <w:rPr>
          <w:rFonts w:ascii="Times New Roman" w:hAnsi="Times New Roman" w:cs="Times New Roman"/>
          <w:lang w:bidi="he-IL"/>
        </w:rPr>
      </w:pPr>
      <w:r w:rsidRPr="00190F04">
        <w:rPr>
          <w:rFonts w:ascii="Times New Roman" w:hAnsi="Times New Roman" w:cs="Times New Roman"/>
          <w:lang w:bidi="he-IL"/>
        </w:rPr>
        <w:t>The time and effort Bonné invested in her relationships with the Samaritan communities was rewarded with further scientific payoff years later. Less than ten days after the 1967 war ended with the Israeli occupation of the West Bank, Bonné accepted an invitation to accompany the Holon Samaritans to Nablus, where the High Priest’s family “hosted her like a queen.”</w:t>
      </w:r>
      <w:r w:rsidRPr="00D941C7">
        <w:rPr>
          <w:rStyle w:val="FootnoteReference"/>
        </w:rPr>
        <w:footnoteReference w:id="44"/>
      </w:r>
      <w:r w:rsidRPr="00190F04">
        <w:rPr>
          <w:rFonts w:ascii="Times New Roman" w:hAnsi="Times New Roman" w:cs="Times New Roman"/>
          <w:lang w:bidi="he-IL"/>
        </w:rPr>
        <w:t xml:space="preserve"> Now it was Mourant who needed Bonné’s help to acces</w:t>
      </w:r>
      <w:r w:rsidR="00067B87">
        <w:rPr>
          <w:rFonts w:ascii="Times New Roman" w:hAnsi="Times New Roman" w:cs="Times New Roman"/>
          <w:lang w:bidi="he-IL"/>
        </w:rPr>
        <w:t>s the blood of the Nablus Samaritans</w:t>
      </w:r>
      <w:r w:rsidRPr="00190F04">
        <w:rPr>
          <w:rFonts w:ascii="Times New Roman" w:hAnsi="Times New Roman" w:cs="Times New Roman"/>
          <w:lang w:bidi="he-IL"/>
        </w:rPr>
        <w:t>.</w:t>
      </w:r>
      <w:r w:rsidRPr="00190F04">
        <w:rPr>
          <w:rFonts w:ascii="Times New Roman" w:hAnsi="Times New Roman" w:cs="Times New Roman"/>
        </w:rPr>
        <w:t xml:space="preserve"> “I am delighted that you have been to see the Samaritans at Nablus,” he wrote to her. “Do you think there is any hope of resuming a study of their blood. As you know, we tested only 82 and then for some reason they became hostile and we could get no more.”</w:t>
      </w:r>
      <w:r w:rsidRPr="00D941C7">
        <w:rPr>
          <w:rStyle w:val="FootnoteReference"/>
        </w:rPr>
        <w:footnoteReference w:id="45"/>
      </w:r>
      <w:r w:rsidRPr="00190F04">
        <w:rPr>
          <w:rFonts w:ascii="Times New Roman" w:hAnsi="Times New Roman" w:cs="Times New Roman"/>
        </w:rPr>
        <w:t xml:space="preserve"> Within six weeks, Bonné had already sent several samples to his new domain, the Serological Population Genetics Laboratory (SPGL) in London. In response, Mourant mused, “I am touched to see that [the Samaritans] seem to trust you better than they did me and my team. Even though I did all I could [to help them] I suppose I was, in the final analysis, associated in their minds with their Arab masters, and so had to pay for the blood and put up with considerable obstruction.”</w:t>
      </w:r>
      <w:r w:rsidRPr="00D941C7">
        <w:rPr>
          <w:rStyle w:val="FootnoteReference"/>
        </w:rPr>
        <w:footnoteReference w:id="46"/>
      </w:r>
      <w:r w:rsidRPr="00190F04">
        <w:rPr>
          <w:rFonts w:ascii="Times New Roman" w:hAnsi="Times New Roman" w:cs="Times New Roman"/>
        </w:rPr>
        <w:t xml:space="preserve"> </w:t>
      </w:r>
    </w:p>
    <w:p w14:paraId="4E4CB586" w14:textId="63DBEB4E" w:rsidR="00977697" w:rsidRPr="00190F04" w:rsidRDefault="00977697" w:rsidP="00132CED">
      <w:pPr>
        <w:rPr>
          <w:rFonts w:ascii="Times New Roman" w:hAnsi="Times New Roman" w:cs="Times New Roman"/>
        </w:rPr>
      </w:pPr>
      <w:r w:rsidRPr="00190F04">
        <w:rPr>
          <w:rFonts w:ascii="Times New Roman" w:hAnsi="Times New Roman" w:cs="Times New Roman"/>
        </w:rPr>
        <w:tab/>
        <w:t>Despite the inauspicious start to their professional relationship, Bonné maintained contact with Mourant and even asked</w:t>
      </w:r>
      <w:r w:rsidR="007A51F5">
        <w:rPr>
          <w:rFonts w:ascii="Times New Roman" w:hAnsi="Times New Roman" w:cs="Times New Roman"/>
        </w:rPr>
        <w:t xml:space="preserve"> to continue collaborating with his lab </w:t>
      </w:r>
      <w:r w:rsidRPr="00190F04">
        <w:rPr>
          <w:rFonts w:ascii="Times New Roman" w:hAnsi="Times New Roman" w:cs="Times New Roman"/>
        </w:rPr>
        <w:t>to test blood samples she collected from other Israeli populations. After graduating from Boston University in 1965, Bonné moved back to Israel permanently, taking a faculty position at the new medical</w:t>
      </w:r>
      <w:r w:rsidR="007A51F5">
        <w:rPr>
          <w:rFonts w:ascii="Times New Roman" w:hAnsi="Times New Roman" w:cs="Times New Roman"/>
        </w:rPr>
        <w:t xml:space="preserve"> school at Tel-Aviv University.</w:t>
      </w:r>
      <w:r w:rsidRPr="00190F04">
        <w:rPr>
          <w:rFonts w:ascii="Times New Roman" w:hAnsi="Times New Roman" w:cs="Times New Roman"/>
        </w:rPr>
        <w:t xml:space="preserve"> In February 1966, Bonné told Mourant of her next anthropological-genetic project on the Habbanite Jews, an isolated community which had immigrated </w:t>
      </w:r>
      <w:r w:rsidRPr="00190F04">
        <w:rPr>
          <w:rFonts w:ascii="Times New Roman" w:hAnsi="Times New Roman" w:cs="Times New Roman"/>
          <w:i/>
        </w:rPr>
        <w:t>en masse</w:t>
      </w:r>
      <w:r w:rsidRPr="00190F04">
        <w:rPr>
          <w:rFonts w:ascii="Times New Roman" w:hAnsi="Times New Roman" w:cs="Times New Roman"/>
        </w:rPr>
        <w:t xml:space="preserve"> to Israel from the southeastern Yemeni town of Habban.</w:t>
      </w:r>
      <w:r w:rsidRPr="00D941C7">
        <w:rPr>
          <w:rStyle w:val="FootnoteReference"/>
        </w:rPr>
        <w:footnoteReference w:id="47"/>
      </w:r>
      <w:r w:rsidRPr="00190F04">
        <w:rPr>
          <w:rFonts w:ascii="Times New Roman" w:hAnsi="Times New Roman" w:cs="Times New Roman"/>
        </w:rPr>
        <w:t xml:space="preserve"> He enthusiastically agreed to have the SPGL perform a full range of blood-group tests on Bonné’s Habbanite samples, and she began to ship him regular batches of samples over the next several years. This collaborative arrangement expanded significantly by the end of 1967, when Bonné not only began to supply Mourant’s lab with samples from previously inaccessible groups (such as the Nablus Samaritans and Bedouin </w:t>
      </w:r>
      <w:r w:rsidRPr="00190F04">
        <w:rPr>
          <w:rFonts w:ascii="Times New Roman" w:hAnsi="Times New Roman" w:cs="Times New Roman"/>
        </w:rPr>
        <w:lastRenderedPageBreak/>
        <w:t xml:space="preserve">tribes from the southern Sinai Peninsula) but also hosted Mourant’s deputy director, Donald Tills, for a six-week expedition in Israel to support Tills’s thesis research. </w:t>
      </w:r>
    </w:p>
    <w:p w14:paraId="7F381F24" w14:textId="47DCEF6E" w:rsidR="00977697" w:rsidRDefault="00977697" w:rsidP="00132CED">
      <w:pPr>
        <w:ind w:firstLine="720"/>
        <w:rPr>
          <w:rFonts w:ascii="Times New Roman" w:hAnsi="Times New Roman" w:cs="Times New Roman"/>
        </w:rPr>
      </w:pPr>
      <w:r w:rsidRPr="00190F04">
        <w:rPr>
          <w:rFonts w:ascii="Times New Roman" w:hAnsi="Times New Roman" w:cs="Times New Roman"/>
        </w:rPr>
        <w:t xml:space="preserve">However, in 1969 and again in 1970, Bonné’s working relationship with Mourant and Tills nearly dissolved </w:t>
      </w:r>
      <w:r w:rsidR="00283566" w:rsidRPr="00190F04">
        <w:rPr>
          <w:rFonts w:ascii="Times New Roman" w:hAnsi="Times New Roman" w:cs="Times New Roman"/>
        </w:rPr>
        <w:t xml:space="preserve">into </w:t>
      </w:r>
      <w:r w:rsidRPr="00190F04">
        <w:rPr>
          <w:rFonts w:ascii="Times New Roman" w:hAnsi="Times New Roman" w:cs="Times New Roman"/>
        </w:rPr>
        <w:t>personal and professional hostilities. Resentment built up on both sides due to miscommunications, but especially on the part of Bonné, who felt that the SPGL took far too long—months dragged almost to years—to send her the test results on her hard-earned blood samples</w:t>
      </w:r>
      <w:r w:rsidR="00097FA8">
        <w:rPr>
          <w:rFonts w:ascii="Times New Roman" w:hAnsi="Times New Roman" w:cs="Times New Roman"/>
        </w:rPr>
        <w:t xml:space="preserve"> and review her drafts for publication</w:t>
      </w:r>
      <w:r w:rsidRPr="00190F04">
        <w:rPr>
          <w:rFonts w:ascii="Times New Roman" w:hAnsi="Times New Roman" w:cs="Times New Roman"/>
        </w:rPr>
        <w:t xml:space="preserve">. </w:t>
      </w:r>
      <w:r w:rsidR="00001A88">
        <w:rPr>
          <w:rFonts w:ascii="Times New Roman" w:hAnsi="Times New Roman" w:cs="Times New Roman"/>
        </w:rPr>
        <w:t xml:space="preserve">In response, she sought to build up her own serological laboratory in Tel Aviv, rendering her own research less dependent on shipping blood overseas for testing and enabling her to make short reports or presentations on her </w:t>
      </w:r>
      <w:r w:rsidR="000F7477">
        <w:rPr>
          <w:rFonts w:ascii="Times New Roman" w:hAnsi="Times New Roman" w:cs="Times New Roman"/>
        </w:rPr>
        <w:t>ongoing</w:t>
      </w:r>
      <w:r w:rsidR="00001A88">
        <w:rPr>
          <w:rFonts w:ascii="Times New Roman" w:hAnsi="Times New Roman" w:cs="Times New Roman"/>
        </w:rPr>
        <w:t xml:space="preserve"> genetic surveys. However, </w:t>
      </w:r>
      <w:r w:rsidR="00F950CB">
        <w:rPr>
          <w:rFonts w:ascii="Times New Roman" w:hAnsi="Times New Roman" w:cs="Times New Roman"/>
        </w:rPr>
        <w:t>when Mourant discovered</w:t>
      </w:r>
      <w:r w:rsidRPr="00190F04">
        <w:rPr>
          <w:rFonts w:ascii="Times New Roman" w:hAnsi="Times New Roman" w:cs="Times New Roman"/>
        </w:rPr>
        <w:t xml:space="preserve"> that Bonné had presented </w:t>
      </w:r>
      <w:r w:rsidR="00F950CB">
        <w:rPr>
          <w:rFonts w:ascii="Times New Roman" w:hAnsi="Times New Roman" w:cs="Times New Roman"/>
        </w:rPr>
        <w:t xml:space="preserve">a segment of some of their </w:t>
      </w:r>
      <w:r w:rsidRPr="00190F04">
        <w:rPr>
          <w:rFonts w:ascii="Times New Roman" w:hAnsi="Times New Roman" w:cs="Times New Roman"/>
        </w:rPr>
        <w:t xml:space="preserve">in-progress </w:t>
      </w:r>
      <w:r w:rsidR="00F950CB">
        <w:rPr>
          <w:rFonts w:ascii="Times New Roman" w:hAnsi="Times New Roman" w:cs="Times New Roman"/>
        </w:rPr>
        <w:t xml:space="preserve">work </w:t>
      </w:r>
      <w:r w:rsidR="006E38D6">
        <w:rPr>
          <w:rFonts w:ascii="Times New Roman" w:hAnsi="Times New Roman" w:cs="Times New Roman"/>
        </w:rPr>
        <w:t xml:space="preserve">on the Sinai Bedouins </w:t>
      </w:r>
      <w:r w:rsidRPr="00190F04">
        <w:rPr>
          <w:rFonts w:ascii="Times New Roman" w:hAnsi="Times New Roman" w:cs="Times New Roman"/>
        </w:rPr>
        <w:t>at a</w:t>
      </w:r>
      <w:r w:rsidR="00001A88">
        <w:rPr>
          <w:rFonts w:ascii="Times New Roman" w:hAnsi="Times New Roman" w:cs="Times New Roman"/>
        </w:rPr>
        <w:t xml:space="preserve"> local Israeli conference,</w:t>
      </w:r>
      <w:r w:rsidRPr="00190F04">
        <w:rPr>
          <w:rFonts w:ascii="Times New Roman" w:hAnsi="Times New Roman" w:cs="Times New Roman"/>
        </w:rPr>
        <w:t xml:space="preserve"> he </w:t>
      </w:r>
      <w:r w:rsidR="00001A88">
        <w:rPr>
          <w:rFonts w:ascii="Times New Roman" w:hAnsi="Times New Roman" w:cs="Times New Roman"/>
        </w:rPr>
        <w:t xml:space="preserve">angrily </w:t>
      </w:r>
      <w:r w:rsidRPr="00190F04">
        <w:rPr>
          <w:rFonts w:ascii="Times New Roman" w:hAnsi="Times New Roman" w:cs="Times New Roman"/>
        </w:rPr>
        <w:t>wrote a letter to</w:t>
      </w:r>
      <w:r w:rsidR="00F950CB">
        <w:rPr>
          <w:rFonts w:ascii="Times New Roman" w:hAnsi="Times New Roman" w:cs="Times New Roman"/>
        </w:rPr>
        <w:t xml:space="preserve"> Bonné’s senior colleague Chaim Sheba</w:t>
      </w:r>
      <w:r w:rsidR="003648AF" w:rsidRPr="00190F04">
        <w:rPr>
          <w:rFonts w:ascii="Times New Roman" w:hAnsi="Times New Roman" w:cs="Times New Roman"/>
        </w:rPr>
        <w:t>,</w:t>
      </w:r>
      <w:r w:rsidR="00001A88">
        <w:rPr>
          <w:rFonts w:ascii="Times New Roman" w:hAnsi="Times New Roman" w:cs="Times New Roman"/>
        </w:rPr>
        <w:t xml:space="preserve"> complaining of Bonné’s failure to </w:t>
      </w:r>
      <w:r w:rsidR="00001A88" w:rsidRPr="00190F04">
        <w:rPr>
          <w:rFonts w:ascii="Times New Roman" w:hAnsi="Times New Roman" w:cs="Times New Roman"/>
        </w:rPr>
        <w:t>seek</w:t>
      </w:r>
      <w:r w:rsidR="00F950CB">
        <w:rPr>
          <w:rFonts w:ascii="Times New Roman" w:hAnsi="Times New Roman" w:cs="Times New Roman"/>
        </w:rPr>
        <w:t xml:space="preserve"> his approval for the report or</w:t>
      </w:r>
      <w:r w:rsidR="00001A88">
        <w:rPr>
          <w:rFonts w:ascii="Times New Roman" w:hAnsi="Times New Roman" w:cs="Times New Roman"/>
        </w:rPr>
        <w:t xml:space="preserve"> to</w:t>
      </w:r>
      <w:r w:rsidR="00001A88" w:rsidRPr="00190F04">
        <w:rPr>
          <w:rFonts w:ascii="Times New Roman" w:hAnsi="Times New Roman" w:cs="Times New Roman"/>
        </w:rPr>
        <w:t xml:space="preserve"> </w:t>
      </w:r>
      <w:r w:rsidR="00001A88">
        <w:rPr>
          <w:rFonts w:ascii="Times New Roman" w:hAnsi="Times New Roman" w:cs="Times New Roman"/>
        </w:rPr>
        <w:t xml:space="preserve">adequately </w:t>
      </w:r>
      <w:r w:rsidR="00001A88" w:rsidRPr="00190F04">
        <w:rPr>
          <w:rFonts w:ascii="Times New Roman" w:hAnsi="Times New Roman" w:cs="Times New Roman"/>
        </w:rPr>
        <w:t xml:space="preserve">acknowledge his </w:t>
      </w:r>
      <w:r w:rsidR="00001A88">
        <w:rPr>
          <w:rFonts w:ascii="Times New Roman" w:hAnsi="Times New Roman" w:cs="Times New Roman"/>
        </w:rPr>
        <w:t xml:space="preserve">laboratory’s </w:t>
      </w:r>
      <w:r w:rsidR="00F950CB">
        <w:rPr>
          <w:rFonts w:ascii="Times New Roman" w:hAnsi="Times New Roman" w:cs="Times New Roman"/>
        </w:rPr>
        <w:t>contribution, as well as</w:t>
      </w:r>
      <w:r w:rsidR="00001A88">
        <w:rPr>
          <w:rFonts w:ascii="Times New Roman" w:hAnsi="Times New Roman" w:cs="Times New Roman"/>
        </w:rPr>
        <w:t xml:space="preserve"> </w:t>
      </w:r>
      <w:r w:rsidR="000F7477">
        <w:rPr>
          <w:rFonts w:ascii="Times New Roman" w:hAnsi="Times New Roman" w:cs="Times New Roman"/>
        </w:rPr>
        <w:t xml:space="preserve">of </w:t>
      </w:r>
      <w:r w:rsidR="00001A88">
        <w:rPr>
          <w:rFonts w:ascii="Times New Roman" w:hAnsi="Times New Roman" w:cs="Times New Roman"/>
        </w:rPr>
        <w:t>her other</w:t>
      </w:r>
      <w:r w:rsidR="00001A88" w:rsidRPr="00190F04">
        <w:rPr>
          <w:rFonts w:ascii="Times New Roman" w:hAnsi="Times New Roman" w:cs="Times New Roman"/>
        </w:rPr>
        <w:t xml:space="preserve"> </w:t>
      </w:r>
      <w:r w:rsidRPr="00190F04">
        <w:rPr>
          <w:rFonts w:ascii="Times New Roman" w:hAnsi="Times New Roman" w:cs="Times New Roman"/>
        </w:rPr>
        <w:t>various faults as a collaborator.</w:t>
      </w:r>
      <w:r w:rsidR="00C838AA">
        <w:rPr>
          <w:rFonts w:ascii="Times New Roman" w:hAnsi="Times New Roman" w:cs="Times New Roman"/>
        </w:rPr>
        <w:t xml:space="preserve"> </w:t>
      </w:r>
      <w:r w:rsidRPr="00190F04">
        <w:rPr>
          <w:rFonts w:ascii="Times New Roman" w:hAnsi="Times New Roman" w:cs="Times New Roman"/>
        </w:rPr>
        <w:t>Bonné, i</w:t>
      </w:r>
      <w:r w:rsidR="00C118E7">
        <w:rPr>
          <w:rFonts w:ascii="Times New Roman" w:hAnsi="Times New Roman" w:cs="Times New Roman"/>
        </w:rPr>
        <w:t>ncensed by Mourant’s</w:t>
      </w:r>
      <w:r w:rsidRPr="00190F04">
        <w:rPr>
          <w:rFonts w:ascii="Times New Roman" w:hAnsi="Times New Roman" w:cs="Times New Roman"/>
        </w:rPr>
        <w:t xml:space="preserve"> behavior, responded to him directly, refuting many of his complaints and ending with a tirade of her own on the British researchers’ apparent lack of respect for her own status as an Israeli geneticist:</w:t>
      </w:r>
    </w:p>
    <w:p w14:paraId="4A79FE13" w14:textId="77777777" w:rsidR="003A631C" w:rsidRPr="00190F04" w:rsidRDefault="003A631C" w:rsidP="00132CED">
      <w:pPr>
        <w:ind w:firstLine="720"/>
        <w:rPr>
          <w:rFonts w:ascii="Times New Roman" w:hAnsi="Times New Roman" w:cs="Times New Roman"/>
        </w:rPr>
      </w:pPr>
    </w:p>
    <w:p w14:paraId="270FAB94" w14:textId="4CF75210" w:rsidR="00977697" w:rsidRPr="00190F04" w:rsidRDefault="00977697" w:rsidP="00132CED">
      <w:pPr>
        <w:ind w:left="1440"/>
        <w:rPr>
          <w:rFonts w:ascii="Times New Roman" w:hAnsi="Times New Roman" w:cs="Times New Roman"/>
        </w:rPr>
      </w:pPr>
      <w:r w:rsidRPr="00190F04">
        <w:rPr>
          <w:rFonts w:ascii="Times New Roman" w:hAnsi="Times New Roman" w:cs="Times New Roman"/>
        </w:rPr>
        <w:t>I would like to emphasize that my interest in this population</w:t>
      </w:r>
      <w:r w:rsidR="00D01517" w:rsidRPr="00190F04">
        <w:rPr>
          <w:rFonts w:ascii="Times New Roman" w:hAnsi="Times New Roman" w:cs="Times New Roman"/>
        </w:rPr>
        <w:t xml:space="preserve"> [the Sinai Bedouins]</w:t>
      </w:r>
      <w:r w:rsidRPr="00190F04">
        <w:rPr>
          <w:rFonts w:ascii="Times New Roman" w:hAnsi="Times New Roman" w:cs="Times New Roman"/>
        </w:rPr>
        <w:t xml:space="preserve"> as well as in the Habbanites, Samaritans etc. is not accidental nor secondary […] I do not regard myself only as an agent for collecting bloods and sending them to labs abroad to be typed and classified. I have my deep anthropological and genetic interest in these populations, hence I spend many hours visiting them; becoming acquainted with them, and observing their way of life and thus collecting as many genetic markers and traits as I can. […] It seems to me, for unknown reasons that the fact that we are typing </w:t>
      </w:r>
      <w:r w:rsidRPr="00190F04">
        <w:rPr>
          <w:rFonts w:ascii="Times New Roman" w:hAnsi="Times New Roman" w:cs="Times New Roman"/>
          <w:i/>
        </w:rPr>
        <w:t>here</w:t>
      </w:r>
      <w:r w:rsidRPr="00190F04">
        <w:rPr>
          <w:rFonts w:ascii="Times New Roman" w:hAnsi="Times New Roman" w:cs="Times New Roman"/>
        </w:rPr>
        <w:t xml:space="preserve"> the bloods, screening the sera, etc. is not only not encouraged or supported by you and your colleagues but rather the opposite.</w:t>
      </w:r>
      <w:r w:rsidRPr="00D941C7">
        <w:rPr>
          <w:rStyle w:val="FootnoteReference"/>
        </w:rPr>
        <w:footnoteReference w:id="48"/>
      </w:r>
    </w:p>
    <w:p w14:paraId="1F361E37" w14:textId="77777777" w:rsidR="00977697" w:rsidRPr="00190F04" w:rsidRDefault="00977697" w:rsidP="00132CED">
      <w:pPr>
        <w:rPr>
          <w:rFonts w:ascii="Times New Roman" w:hAnsi="Times New Roman" w:cs="Times New Roman"/>
        </w:rPr>
      </w:pPr>
    </w:p>
    <w:p w14:paraId="7A31E876" w14:textId="3AA1B370" w:rsidR="00977697" w:rsidRPr="00190F04" w:rsidRDefault="00977697" w:rsidP="00132CED">
      <w:pPr>
        <w:rPr>
          <w:rFonts w:ascii="Times New Roman" w:hAnsi="Times New Roman" w:cs="Times New Roman"/>
        </w:rPr>
      </w:pPr>
      <w:r w:rsidRPr="00190F04">
        <w:rPr>
          <w:rFonts w:ascii="Times New Roman" w:hAnsi="Times New Roman" w:cs="Times New Roman"/>
        </w:rPr>
        <w:t>Bonné’s anger reflected the same essential frustrations she had experienced with Mourant since the Samaritan project. On the one hand, she wanted to be acknowledged as a competent and autonomous geneticist, capable of analyzing, interpreting, and publishing the results of her own re</w:t>
      </w:r>
      <w:r w:rsidR="0046238C">
        <w:rPr>
          <w:rFonts w:ascii="Times New Roman" w:hAnsi="Times New Roman" w:cs="Times New Roman"/>
        </w:rPr>
        <w:t xml:space="preserve">search, not merely a “collection </w:t>
      </w:r>
      <w:r w:rsidRPr="00190F04">
        <w:rPr>
          <w:rFonts w:ascii="Times New Roman" w:hAnsi="Times New Roman" w:cs="Times New Roman"/>
        </w:rPr>
        <w:t>agent” providing raw material to Western scientists. On the other hand, she also wanted the British researchers to</w:t>
      </w:r>
      <w:r w:rsidR="0046238C">
        <w:rPr>
          <w:rFonts w:ascii="Times New Roman" w:hAnsi="Times New Roman" w:cs="Times New Roman"/>
        </w:rPr>
        <w:t xml:space="preserve"> recognize that </w:t>
      </w:r>
      <w:r w:rsidRPr="00190F04">
        <w:rPr>
          <w:rFonts w:ascii="Times New Roman" w:hAnsi="Times New Roman" w:cs="Times New Roman"/>
        </w:rPr>
        <w:t xml:space="preserve">her status as a native informant </w:t>
      </w:r>
      <w:r w:rsidR="005D67A9">
        <w:rPr>
          <w:rFonts w:ascii="Times New Roman" w:hAnsi="Times New Roman" w:cs="Times New Roman"/>
        </w:rPr>
        <w:t>on Israeli social groups</w:t>
      </w:r>
      <w:r w:rsidR="0046238C">
        <w:rPr>
          <w:rFonts w:ascii="Times New Roman" w:hAnsi="Times New Roman" w:cs="Times New Roman"/>
        </w:rPr>
        <w:t>, and especially her</w:t>
      </w:r>
      <w:r w:rsidRPr="00190F04">
        <w:rPr>
          <w:rFonts w:ascii="Times New Roman" w:hAnsi="Times New Roman" w:cs="Times New Roman"/>
        </w:rPr>
        <w:t xml:space="preserve"> special relationship to the s</w:t>
      </w:r>
      <w:r w:rsidR="0046238C">
        <w:rPr>
          <w:rFonts w:ascii="Times New Roman" w:hAnsi="Times New Roman" w:cs="Times New Roman"/>
        </w:rPr>
        <w:t xml:space="preserve">ubject populations, </w:t>
      </w:r>
      <w:r w:rsidRPr="00190F04">
        <w:rPr>
          <w:rFonts w:ascii="Times New Roman" w:hAnsi="Times New Roman" w:cs="Times New Roman"/>
        </w:rPr>
        <w:t xml:space="preserve">was a key asset to the success of their work. </w:t>
      </w:r>
      <w:r w:rsidR="0046238C">
        <w:rPr>
          <w:rFonts w:ascii="Times New Roman" w:hAnsi="Times New Roman" w:cs="Times New Roman"/>
        </w:rPr>
        <w:t>Her stanc</w:t>
      </w:r>
      <w:r w:rsidR="00F80285">
        <w:rPr>
          <w:rFonts w:ascii="Times New Roman" w:hAnsi="Times New Roman" w:cs="Times New Roman"/>
        </w:rPr>
        <w:t>e that ethnographic knowledge was</w:t>
      </w:r>
      <w:r w:rsidR="0046238C">
        <w:rPr>
          <w:rFonts w:ascii="Times New Roman" w:hAnsi="Times New Roman" w:cs="Times New Roman"/>
        </w:rPr>
        <w:t xml:space="preserve"> equally important, if not more so, than laboratory techniques</w:t>
      </w:r>
      <w:r w:rsidR="00E934E1">
        <w:rPr>
          <w:rFonts w:ascii="Times New Roman" w:hAnsi="Times New Roman" w:cs="Times New Roman"/>
        </w:rPr>
        <w:t xml:space="preserve"> for the interpretation of genetic variation </w:t>
      </w:r>
      <w:r w:rsidR="0046238C">
        <w:rPr>
          <w:rFonts w:ascii="Times New Roman" w:hAnsi="Times New Roman" w:cs="Times New Roman"/>
        </w:rPr>
        <w:t xml:space="preserve">notably resonates with </w:t>
      </w:r>
      <w:r w:rsidR="00E934E1">
        <w:rPr>
          <w:rFonts w:ascii="Times New Roman" w:hAnsi="Times New Roman" w:cs="Times New Roman"/>
        </w:rPr>
        <w:t>how certain Indian geneticists during the 1950s d</w:t>
      </w:r>
      <w:r w:rsidR="00AA0A7B">
        <w:rPr>
          <w:rFonts w:ascii="Times New Roman" w:hAnsi="Times New Roman" w:cs="Times New Roman"/>
        </w:rPr>
        <w:t>efended their research practices using a</w:t>
      </w:r>
      <w:r w:rsidR="00E934E1">
        <w:rPr>
          <w:rFonts w:ascii="Times New Roman" w:hAnsi="Times New Roman" w:cs="Times New Roman"/>
        </w:rPr>
        <w:t xml:space="preserve"> concept of</w:t>
      </w:r>
      <w:r w:rsidR="0046238C">
        <w:rPr>
          <w:rFonts w:ascii="Times New Roman" w:hAnsi="Times New Roman" w:cs="Times New Roman"/>
        </w:rPr>
        <w:t xml:space="preserve"> “serosocialit</w:t>
      </w:r>
      <w:r w:rsidR="00E934E1">
        <w:rPr>
          <w:rFonts w:ascii="Times New Roman" w:hAnsi="Times New Roman" w:cs="Times New Roman"/>
        </w:rPr>
        <w:t>y</w:t>
      </w:r>
      <w:r w:rsidR="0046238C">
        <w:rPr>
          <w:rFonts w:ascii="Times New Roman" w:hAnsi="Times New Roman" w:cs="Times New Roman"/>
        </w:rPr>
        <w:t>.</w:t>
      </w:r>
      <w:r w:rsidR="00E934E1">
        <w:rPr>
          <w:rFonts w:ascii="Times New Roman" w:hAnsi="Times New Roman" w:cs="Times New Roman"/>
        </w:rPr>
        <w:t>”</w:t>
      </w:r>
      <w:r w:rsidR="0046238C" w:rsidRPr="00D941C7">
        <w:rPr>
          <w:rStyle w:val="FootnoteReference"/>
        </w:rPr>
        <w:footnoteReference w:id="49"/>
      </w:r>
      <w:r w:rsidR="00001A88">
        <w:rPr>
          <w:rFonts w:ascii="Times New Roman" w:hAnsi="Times New Roman" w:cs="Times New Roman"/>
        </w:rPr>
        <w:t xml:space="preserve"> </w:t>
      </w:r>
      <w:r w:rsidR="001001EC">
        <w:rPr>
          <w:rFonts w:ascii="Times New Roman" w:hAnsi="Times New Roman" w:cs="Times New Roman"/>
        </w:rPr>
        <w:t>At the same time</w:t>
      </w:r>
      <w:r w:rsidR="00001A88">
        <w:rPr>
          <w:rFonts w:ascii="Times New Roman" w:hAnsi="Times New Roman" w:cs="Times New Roman"/>
        </w:rPr>
        <w:t xml:space="preserve">, </w:t>
      </w:r>
      <w:r w:rsidR="006544BB">
        <w:rPr>
          <w:rFonts w:ascii="Times New Roman" w:hAnsi="Times New Roman" w:cs="Times New Roman"/>
        </w:rPr>
        <w:t xml:space="preserve">her insight that Mourant’s behavior was related to the increasing technological capabilities of her own </w:t>
      </w:r>
      <w:r w:rsidR="00973436">
        <w:rPr>
          <w:rFonts w:ascii="Times New Roman" w:hAnsi="Times New Roman" w:cs="Times New Roman"/>
        </w:rPr>
        <w:t xml:space="preserve">small </w:t>
      </w:r>
      <w:r w:rsidR="006544BB">
        <w:rPr>
          <w:rFonts w:ascii="Times New Roman" w:hAnsi="Times New Roman" w:cs="Times New Roman"/>
        </w:rPr>
        <w:t xml:space="preserve">laboratory </w:t>
      </w:r>
      <w:r w:rsidR="00A70384">
        <w:rPr>
          <w:rFonts w:ascii="Times New Roman" w:hAnsi="Times New Roman" w:cs="Times New Roman"/>
        </w:rPr>
        <w:t>signals</w:t>
      </w:r>
      <w:r w:rsidR="00163D93">
        <w:rPr>
          <w:rFonts w:ascii="Times New Roman" w:hAnsi="Times New Roman" w:cs="Times New Roman"/>
        </w:rPr>
        <w:t xml:space="preserve"> her </w:t>
      </w:r>
      <w:r w:rsidR="00163D93" w:rsidRPr="00973436">
        <w:rPr>
          <w:rFonts w:ascii="Times New Roman" w:hAnsi="Times New Roman" w:cs="Times New Roman"/>
        </w:rPr>
        <w:t xml:space="preserve">aspirations </w:t>
      </w:r>
      <w:r w:rsidR="001001EC" w:rsidRPr="00973436">
        <w:rPr>
          <w:rFonts w:ascii="Times New Roman" w:hAnsi="Times New Roman" w:cs="Times New Roman"/>
        </w:rPr>
        <w:t xml:space="preserve">to dislodge </w:t>
      </w:r>
      <w:r w:rsidR="001001EC">
        <w:rPr>
          <w:rFonts w:ascii="Times New Roman" w:hAnsi="Times New Roman" w:cs="Times New Roman"/>
        </w:rPr>
        <w:t>the Israeli genetics community from its subordinate status</w:t>
      </w:r>
      <w:r w:rsidR="00973436">
        <w:rPr>
          <w:rFonts w:ascii="Times New Roman" w:hAnsi="Times New Roman" w:cs="Times New Roman"/>
        </w:rPr>
        <w:t xml:space="preserve"> to the Western-based reference laboratories.</w:t>
      </w:r>
    </w:p>
    <w:p w14:paraId="5432029A" w14:textId="2F010547" w:rsidR="00EF1039" w:rsidRDefault="00001A88" w:rsidP="00132CED">
      <w:pPr>
        <w:ind w:firstLine="720"/>
        <w:rPr>
          <w:rFonts w:ascii="Times New Roman" w:hAnsi="Times New Roman" w:cs="Times New Roman"/>
        </w:rPr>
      </w:pPr>
      <w:r>
        <w:rPr>
          <w:rFonts w:ascii="Times New Roman" w:hAnsi="Times New Roman" w:cs="Times New Roman"/>
        </w:rPr>
        <w:t>However,</w:t>
      </w:r>
      <w:r w:rsidR="00977697" w:rsidRPr="00190F04">
        <w:rPr>
          <w:rFonts w:ascii="Times New Roman" w:hAnsi="Times New Roman" w:cs="Times New Roman"/>
        </w:rPr>
        <w:t xml:space="preserve"> as in the Samaritan case, Mourant seemed oblivious to the root causes of Bonné’s grievances, perceiving them to emanate from Bonné’s “difficult personality</w:t>
      </w:r>
      <w:r w:rsidR="00DF6136" w:rsidRPr="00190F04">
        <w:rPr>
          <w:rFonts w:ascii="Times New Roman" w:hAnsi="Times New Roman" w:cs="Times New Roman"/>
        </w:rPr>
        <w:t xml:space="preserve">.” He accordingly sought the help of Hermann Lehmann, who was planning to visit his sister in Israel </w:t>
      </w:r>
      <w:r w:rsidR="00DF6136" w:rsidRPr="00190F04">
        <w:rPr>
          <w:rFonts w:ascii="Times New Roman" w:hAnsi="Times New Roman" w:cs="Times New Roman"/>
        </w:rPr>
        <w:lastRenderedPageBreak/>
        <w:t>after finishing a fieldwork expedition in Iran</w:t>
      </w:r>
      <w:r w:rsidR="00AA2219" w:rsidRPr="00190F04">
        <w:rPr>
          <w:rFonts w:ascii="Times New Roman" w:hAnsi="Times New Roman" w:cs="Times New Roman"/>
        </w:rPr>
        <w:t>, as a mediator</w:t>
      </w:r>
      <w:r w:rsidR="00DA359D" w:rsidRPr="00190F04">
        <w:rPr>
          <w:rFonts w:ascii="Times New Roman" w:hAnsi="Times New Roman" w:cs="Times New Roman"/>
        </w:rPr>
        <w:t>.</w:t>
      </w:r>
      <w:r w:rsidR="00DF6136" w:rsidRPr="00D941C7">
        <w:rPr>
          <w:rStyle w:val="FootnoteReference"/>
        </w:rPr>
        <w:footnoteReference w:id="50"/>
      </w:r>
      <w:r w:rsidR="00977697" w:rsidRPr="00190F04">
        <w:rPr>
          <w:rFonts w:ascii="Times New Roman" w:hAnsi="Times New Roman" w:cs="Times New Roman"/>
        </w:rPr>
        <w:t xml:space="preserve"> Matters came to a final head in April 1970, when Bonné wrote directly to the editor of </w:t>
      </w:r>
      <w:r w:rsidR="00977697" w:rsidRPr="00190F04">
        <w:rPr>
          <w:rFonts w:ascii="Times New Roman" w:hAnsi="Times New Roman" w:cs="Times New Roman"/>
          <w:i/>
        </w:rPr>
        <w:t>Human Heredity</w:t>
      </w:r>
      <w:r w:rsidR="00977697" w:rsidRPr="00190F04">
        <w:rPr>
          <w:rFonts w:ascii="Times New Roman" w:hAnsi="Times New Roman" w:cs="Times New Roman"/>
        </w:rPr>
        <w:t xml:space="preserve"> to prevent that journal’s imminent publication of two articles by Tills and Mourant, which included previously unpublished data from the Israeli population samples provided by Bonné. She justified her request to delay the publications by claiming that because Tills and Mourant had not shown her the drafts, many of the Israeli population figures were erroneous, including “duplicate specimens, closely related individuals and incorrect division of population groups all of which distort the representation of these populations and their gene frequency.”</w:t>
      </w:r>
      <w:r w:rsidR="00977697" w:rsidRPr="00D941C7">
        <w:rPr>
          <w:rStyle w:val="FootnoteReference"/>
        </w:rPr>
        <w:footnoteReference w:id="51"/>
      </w:r>
      <w:r w:rsidR="00977697" w:rsidRPr="00190F04">
        <w:rPr>
          <w:rFonts w:ascii="Times New Roman" w:hAnsi="Times New Roman" w:cs="Times New Roman"/>
        </w:rPr>
        <w:t xml:space="preserve"> Forwarding this letter to Mourant, she defended her actions as a matter of proper acknowledgment of the Is</w:t>
      </w:r>
      <w:r w:rsidR="00EF1039">
        <w:rPr>
          <w:rFonts w:ascii="Times New Roman" w:hAnsi="Times New Roman" w:cs="Times New Roman"/>
        </w:rPr>
        <w:t>raeli community of geneticists: “I think there has been a basic misunderstanding […] with regards to our collaborative efforts. Since the group here at Tel-Hashomer and myself have and will continue to devote all of our research efforts to the study of the Middle Eastern populations, it would seem only logical that we should have the right to publish first and that we should be properly consulted on all matters regarding the use of this data.”</w:t>
      </w:r>
      <w:r w:rsidR="00EF1039" w:rsidRPr="00D941C7">
        <w:rPr>
          <w:rStyle w:val="FootnoteReference"/>
        </w:rPr>
        <w:footnoteReference w:id="52"/>
      </w:r>
    </w:p>
    <w:p w14:paraId="2C72F53E" w14:textId="44BFC49F" w:rsidR="00404DD2" w:rsidRDefault="00977697" w:rsidP="00132CED">
      <w:pPr>
        <w:ind w:firstLine="720"/>
        <w:rPr>
          <w:rFonts w:ascii="Times New Roman" w:hAnsi="Times New Roman" w:cs="Times New Roman"/>
        </w:rPr>
      </w:pPr>
      <w:r w:rsidRPr="00190F04">
        <w:rPr>
          <w:rFonts w:ascii="Times New Roman" w:hAnsi="Times New Roman" w:cs="Times New Roman"/>
        </w:rPr>
        <w:t xml:space="preserve"> Needless to say, the SPGL directors did not t</w:t>
      </w:r>
      <w:r w:rsidR="00912670">
        <w:rPr>
          <w:rFonts w:ascii="Times New Roman" w:hAnsi="Times New Roman" w:cs="Times New Roman"/>
        </w:rPr>
        <w:t>ake kindly to her point of view;</w:t>
      </w:r>
      <w:r w:rsidRPr="00190F04">
        <w:rPr>
          <w:rFonts w:ascii="Times New Roman" w:hAnsi="Times New Roman" w:cs="Times New Roman"/>
        </w:rPr>
        <w:t xml:space="preserve"> </w:t>
      </w:r>
      <w:r w:rsidR="00912670">
        <w:rPr>
          <w:rFonts w:ascii="Times New Roman" w:hAnsi="Times New Roman" w:cs="Times New Roman"/>
        </w:rPr>
        <w:t>i</w:t>
      </w:r>
      <w:r w:rsidR="00404DD2">
        <w:rPr>
          <w:rFonts w:ascii="Times New Roman" w:hAnsi="Times New Roman" w:cs="Times New Roman"/>
        </w:rPr>
        <w:t xml:space="preserve">n fact, they fundamentally disagreed with </w:t>
      </w:r>
      <w:r w:rsidR="00912670">
        <w:rPr>
          <w:rFonts w:ascii="Times New Roman" w:hAnsi="Times New Roman" w:cs="Times New Roman"/>
        </w:rPr>
        <w:t>her assessment of the collaborative hierarchy. Don Tills fumed, “In your letter to [</w:t>
      </w:r>
      <w:r w:rsidR="00912670" w:rsidRPr="00190F04">
        <w:rPr>
          <w:rFonts w:ascii="Times New Roman" w:hAnsi="Times New Roman" w:cs="Times New Roman"/>
        </w:rPr>
        <w:t xml:space="preserve">the editor of </w:t>
      </w:r>
      <w:r w:rsidR="00912670" w:rsidRPr="00190F04">
        <w:rPr>
          <w:rFonts w:ascii="Times New Roman" w:hAnsi="Times New Roman" w:cs="Times New Roman"/>
          <w:i/>
        </w:rPr>
        <w:t>Human Heredity</w:t>
      </w:r>
      <w:r w:rsidR="00912670">
        <w:rPr>
          <w:rFonts w:ascii="Times New Roman" w:hAnsi="Times New Roman" w:cs="Times New Roman"/>
        </w:rPr>
        <w:t xml:space="preserve">] you state that these papers include your work; this as you well know is not true. All the data included in the two papers was on work performed in this laboratory, and </w:t>
      </w:r>
      <w:r w:rsidR="00912670" w:rsidRPr="00780304">
        <w:rPr>
          <w:rFonts w:ascii="Times New Roman" w:hAnsi="Times New Roman" w:cs="Times New Roman"/>
          <w:i/>
        </w:rPr>
        <w:t>your connection with it was in collecting and sending the samples</w:t>
      </w:r>
      <w:r w:rsidR="00912670">
        <w:rPr>
          <w:rFonts w:ascii="Times New Roman" w:hAnsi="Times New Roman" w:cs="Times New Roman"/>
        </w:rPr>
        <w:t>.”</w:t>
      </w:r>
      <w:r w:rsidR="00912670" w:rsidRPr="00D941C7">
        <w:rPr>
          <w:rStyle w:val="FootnoteReference"/>
        </w:rPr>
        <w:footnoteReference w:id="53"/>
      </w:r>
      <w:r w:rsidR="00A32A48">
        <w:rPr>
          <w:rFonts w:ascii="Times New Roman" w:hAnsi="Times New Roman" w:cs="Times New Roman"/>
        </w:rPr>
        <w:t xml:space="preserve"> Tills thus demeaned Bonné’s scientific labor as</w:t>
      </w:r>
      <w:r w:rsidR="00947A75">
        <w:rPr>
          <w:rFonts w:ascii="Times New Roman" w:hAnsi="Times New Roman" w:cs="Times New Roman"/>
        </w:rPr>
        <w:t xml:space="preserve"> the </w:t>
      </w:r>
      <w:r w:rsidR="00A32A48">
        <w:rPr>
          <w:rFonts w:ascii="Times New Roman" w:hAnsi="Times New Roman" w:cs="Times New Roman"/>
        </w:rPr>
        <w:t>work</w:t>
      </w:r>
      <w:r w:rsidR="00947A75">
        <w:rPr>
          <w:rFonts w:ascii="Times New Roman" w:hAnsi="Times New Roman" w:cs="Times New Roman"/>
        </w:rPr>
        <w:t xml:space="preserve"> of </w:t>
      </w:r>
      <w:r w:rsidR="00A32A48">
        <w:rPr>
          <w:rFonts w:ascii="Times New Roman" w:hAnsi="Times New Roman" w:cs="Times New Roman"/>
        </w:rPr>
        <w:t xml:space="preserve">a </w:t>
      </w:r>
      <w:r w:rsidR="00947A75">
        <w:rPr>
          <w:rFonts w:ascii="Times New Roman" w:hAnsi="Times New Roman" w:cs="Times New Roman"/>
        </w:rPr>
        <w:t>“collection agent,”</w:t>
      </w:r>
      <w:r w:rsidR="00A32A48">
        <w:rPr>
          <w:rFonts w:ascii="Times New Roman" w:hAnsi="Times New Roman" w:cs="Times New Roman"/>
        </w:rPr>
        <w:t xml:space="preserve"> a status she had explicitly </w:t>
      </w:r>
      <w:r w:rsidR="00D33794">
        <w:rPr>
          <w:rFonts w:ascii="Times New Roman" w:hAnsi="Times New Roman" w:cs="Times New Roman"/>
        </w:rPr>
        <w:t>disputed</w:t>
      </w:r>
      <w:r w:rsidR="00A32A48">
        <w:rPr>
          <w:rFonts w:ascii="Times New Roman" w:hAnsi="Times New Roman" w:cs="Times New Roman"/>
        </w:rPr>
        <w:t xml:space="preserve"> one year earlier. </w:t>
      </w:r>
      <w:r w:rsidR="00DC5D8D">
        <w:rPr>
          <w:rFonts w:ascii="Times New Roman" w:hAnsi="Times New Roman" w:cs="Times New Roman"/>
        </w:rPr>
        <w:t>He followed with an</w:t>
      </w:r>
      <w:r w:rsidR="00947A75">
        <w:rPr>
          <w:rFonts w:ascii="Times New Roman" w:hAnsi="Times New Roman" w:cs="Times New Roman"/>
        </w:rPr>
        <w:t xml:space="preserve"> itemized list of </w:t>
      </w:r>
      <w:r w:rsidR="00DC5D8D">
        <w:rPr>
          <w:rFonts w:ascii="Times New Roman" w:hAnsi="Times New Roman" w:cs="Times New Roman"/>
        </w:rPr>
        <w:t>grievances against Bonné, which included minor</w:t>
      </w:r>
      <w:r w:rsidR="00E87934">
        <w:rPr>
          <w:rFonts w:ascii="Times New Roman" w:hAnsi="Times New Roman" w:cs="Times New Roman"/>
        </w:rPr>
        <w:t xml:space="preserve"> </w:t>
      </w:r>
      <w:r w:rsidR="00DC5D8D">
        <w:rPr>
          <w:rFonts w:ascii="Times New Roman" w:hAnsi="Times New Roman" w:cs="Times New Roman"/>
        </w:rPr>
        <w:t>logistical difficulties</w:t>
      </w:r>
      <w:r w:rsidR="004B2B88">
        <w:rPr>
          <w:rFonts w:ascii="Times New Roman" w:hAnsi="Times New Roman" w:cs="Times New Roman"/>
        </w:rPr>
        <w:t>,</w:t>
      </w:r>
      <w:r w:rsidR="00DC5D8D">
        <w:rPr>
          <w:rFonts w:ascii="Times New Roman" w:hAnsi="Times New Roman" w:cs="Times New Roman"/>
        </w:rPr>
        <w:t xml:space="preserve"> but ultimately </w:t>
      </w:r>
      <w:r w:rsidR="00DC5D8D" w:rsidRPr="004B2B88">
        <w:rPr>
          <w:rFonts w:ascii="Times New Roman" w:hAnsi="Times New Roman" w:cs="Times New Roman"/>
        </w:rPr>
        <w:t>centered</w:t>
      </w:r>
      <w:r w:rsidR="00DC5D8D">
        <w:rPr>
          <w:rFonts w:ascii="Times New Roman" w:hAnsi="Times New Roman" w:cs="Times New Roman"/>
        </w:rPr>
        <w:t xml:space="preserve"> </w:t>
      </w:r>
      <w:r w:rsidR="004B2B88">
        <w:rPr>
          <w:rFonts w:ascii="Times New Roman" w:hAnsi="Times New Roman" w:cs="Times New Roman"/>
        </w:rPr>
        <w:t xml:space="preserve">on her resistance to the established hierarchy of Western laboratories over </w:t>
      </w:r>
      <w:r w:rsidR="005063A3">
        <w:rPr>
          <w:rFonts w:ascii="Times New Roman" w:hAnsi="Times New Roman" w:cs="Times New Roman"/>
        </w:rPr>
        <w:t>collaborators in developing regions</w:t>
      </w:r>
      <w:r w:rsidR="004B2B88">
        <w:rPr>
          <w:rFonts w:ascii="Times New Roman" w:hAnsi="Times New Roman" w:cs="Times New Roman"/>
        </w:rPr>
        <w:t xml:space="preserve">: “You appear to completely fail to understand that if you send samples to outside laboratories for testing, it is not unreasonable for them to use these results in general review articles […] You are the only person who has ever complained of such a procedure!” To conclude, Tills further </w:t>
      </w:r>
      <w:r w:rsidR="006544BB">
        <w:rPr>
          <w:rFonts w:ascii="Times New Roman" w:hAnsi="Times New Roman" w:cs="Times New Roman"/>
        </w:rPr>
        <w:t>cast</w:t>
      </w:r>
      <w:r w:rsidR="004B2B88">
        <w:rPr>
          <w:rFonts w:ascii="Times New Roman" w:hAnsi="Times New Roman" w:cs="Times New Roman"/>
        </w:rPr>
        <w:t xml:space="preserve"> Bonné </w:t>
      </w:r>
      <w:r w:rsidR="006544BB">
        <w:rPr>
          <w:rFonts w:ascii="Times New Roman" w:hAnsi="Times New Roman" w:cs="Times New Roman"/>
        </w:rPr>
        <w:t xml:space="preserve">as a foreigner to the Anglo-American scientific community </w:t>
      </w:r>
      <w:r w:rsidR="004B2B88">
        <w:rPr>
          <w:rFonts w:ascii="Times New Roman" w:hAnsi="Times New Roman" w:cs="Times New Roman"/>
        </w:rPr>
        <w:t>with the patronizing comment,</w:t>
      </w:r>
      <w:r w:rsidR="00702A30">
        <w:rPr>
          <w:rFonts w:ascii="Times New Roman" w:hAnsi="Times New Roman" w:cs="Times New Roman"/>
        </w:rPr>
        <w:t xml:space="preserve"> “Originally I put these [problems] down to language difficulties but I can no longer take such a charitable view. […] You would do well to [t]hink about who has gained most from this work and who would suffer most if the connection should be completely broken.”</w:t>
      </w:r>
      <w:r w:rsidR="00702A30" w:rsidRPr="00D941C7">
        <w:rPr>
          <w:rStyle w:val="FootnoteReference"/>
        </w:rPr>
        <w:footnoteReference w:id="54"/>
      </w:r>
      <w:r w:rsidR="0030655E">
        <w:rPr>
          <w:rFonts w:ascii="Times New Roman" w:hAnsi="Times New Roman" w:cs="Times New Roman"/>
        </w:rPr>
        <w:t xml:space="preserve"> </w:t>
      </w:r>
    </w:p>
    <w:p w14:paraId="64C2FDFE" w14:textId="7CFCE08C" w:rsidR="00977697" w:rsidRDefault="00977697" w:rsidP="00132CED">
      <w:pPr>
        <w:ind w:firstLine="720"/>
        <w:rPr>
          <w:rFonts w:ascii="Times New Roman" w:hAnsi="Times New Roman" w:cs="Times New Roman"/>
        </w:rPr>
      </w:pPr>
      <w:r w:rsidRPr="00190F04">
        <w:rPr>
          <w:rFonts w:ascii="Times New Roman" w:hAnsi="Times New Roman" w:cs="Times New Roman"/>
        </w:rPr>
        <w:t>Unfazed</w:t>
      </w:r>
      <w:r w:rsidR="00947A75">
        <w:rPr>
          <w:rFonts w:ascii="Times New Roman" w:hAnsi="Times New Roman" w:cs="Times New Roman"/>
        </w:rPr>
        <w:t xml:space="preserve"> by Tills’ caustic letter</w:t>
      </w:r>
      <w:r w:rsidRPr="00190F04">
        <w:rPr>
          <w:rFonts w:ascii="Times New Roman" w:hAnsi="Times New Roman" w:cs="Times New Roman"/>
        </w:rPr>
        <w:t>, Bonné firmly maintained her position throughout her correspondence with Mourant over the next few months, as they tersely finished drafting joint publications on the Habbanites and Sinai Bedouins.</w:t>
      </w:r>
      <w:r w:rsidRPr="00D941C7">
        <w:rPr>
          <w:rStyle w:val="FootnoteReference"/>
        </w:rPr>
        <w:footnoteReference w:id="55"/>
      </w:r>
      <w:r w:rsidRPr="00190F04">
        <w:rPr>
          <w:rFonts w:ascii="Times New Roman" w:hAnsi="Times New Roman" w:cs="Times New Roman"/>
        </w:rPr>
        <w:t xml:space="preserve"> In the course of these revisions, she chided him</w:t>
      </w:r>
      <w:r w:rsidR="00283566" w:rsidRPr="00190F04">
        <w:rPr>
          <w:rFonts w:ascii="Times New Roman" w:hAnsi="Times New Roman" w:cs="Times New Roman"/>
        </w:rPr>
        <w:t>:</w:t>
      </w:r>
    </w:p>
    <w:p w14:paraId="4514F897" w14:textId="77777777" w:rsidR="003A631C" w:rsidRPr="00190F04" w:rsidRDefault="003A631C" w:rsidP="00132CED">
      <w:pPr>
        <w:ind w:firstLine="720"/>
        <w:rPr>
          <w:rFonts w:ascii="Times New Roman" w:hAnsi="Times New Roman" w:cs="Times New Roman"/>
        </w:rPr>
      </w:pPr>
    </w:p>
    <w:p w14:paraId="60BAAADE" w14:textId="51CC4E72" w:rsidR="00977697" w:rsidRDefault="00977697" w:rsidP="00132CED">
      <w:pPr>
        <w:ind w:left="1440"/>
        <w:rPr>
          <w:rFonts w:ascii="Times New Roman" w:hAnsi="Times New Roman" w:cs="Times New Roman"/>
        </w:rPr>
      </w:pPr>
      <w:r w:rsidRPr="00190F04">
        <w:rPr>
          <w:rFonts w:ascii="Times New Roman" w:hAnsi="Times New Roman" w:cs="Times New Roman"/>
        </w:rPr>
        <w:t xml:space="preserve">I have often the feeling, Dr. Mourant, that you completely disregard or underestimate my own ability to sort the results of tests obtained by you, according to number, sex, tribal affiliation, family relationship etc. […] please give me some credit for close familiarity and involvement with my own data and with my objective to present the results to their utmost accuracy and exactness. I know many of these people personally (as I do the Habbanites, Yemenites and the Samaritans) as a result of more trips to the Sinai and my constant contact with them. And all this information is not always at hand immediately upon blood letting; often only after some time we realize that we bled the same person twice or that he didn’t tell the truth about his tribe. This is the very reason why I have emphasized so often that it is important for me to see the results and prepare them </w:t>
      </w:r>
      <w:r w:rsidRPr="00190F04">
        <w:rPr>
          <w:rFonts w:ascii="Times New Roman" w:hAnsi="Times New Roman" w:cs="Times New Roman"/>
          <w:i/>
        </w:rPr>
        <w:t>myself</w:t>
      </w:r>
      <w:r w:rsidRPr="00190F04">
        <w:rPr>
          <w:rFonts w:ascii="Times New Roman" w:hAnsi="Times New Roman" w:cs="Times New Roman"/>
        </w:rPr>
        <w:t xml:space="preserve"> for publication.</w:t>
      </w:r>
      <w:r w:rsidRPr="00D941C7">
        <w:rPr>
          <w:rStyle w:val="FootnoteReference"/>
        </w:rPr>
        <w:footnoteReference w:id="56"/>
      </w:r>
    </w:p>
    <w:p w14:paraId="25EA4D59" w14:textId="77777777" w:rsidR="00B80A2B" w:rsidRPr="00190F04" w:rsidRDefault="00B80A2B" w:rsidP="00132CED">
      <w:pPr>
        <w:ind w:left="1440"/>
        <w:rPr>
          <w:rFonts w:ascii="Times New Roman" w:hAnsi="Times New Roman" w:cs="Times New Roman"/>
        </w:rPr>
      </w:pPr>
    </w:p>
    <w:p w14:paraId="2DFB4EE5" w14:textId="14CAA64A" w:rsidR="001124E2" w:rsidRDefault="00A40BEA" w:rsidP="00132CED">
      <w:pPr>
        <w:ind w:firstLine="720"/>
        <w:rPr>
          <w:rFonts w:ascii="Times New Roman" w:hAnsi="Times New Roman" w:cs="Times New Roman"/>
        </w:rPr>
      </w:pPr>
      <w:r>
        <w:rPr>
          <w:rFonts w:ascii="Times New Roman" w:hAnsi="Times New Roman" w:cs="Times New Roman"/>
        </w:rPr>
        <w:t>As a young</w:t>
      </w:r>
      <w:r w:rsidR="00501E49">
        <w:rPr>
          <w:rFonts w:ascii="Times New Roman" w:hAnsi="Times New Roman" w:cs="Times New Roman"/>
        </w:rPr>
        <w:t>, female scientist, Bonné’s relationships with Mourant, Smith, and Tills requi</w:t>
      </w:r>
      <w:r w:rsidR="005063A3">
        <w:rPr>
          <w:rFonts w:ascii="Times New Roman" w:hAnsi="Times New Roman" w:cs="Times New Roman"/>
        </w:rPr>
        <w:t>re</w:t>
      </w:r>
      <w:r w:rsidR="0075229F">
        <w:rPr>
          <w:rFonts w:ascii="Times New Roman" w:hAnsi="Times New Roman" w:cs="Times New Roman"/>
        </w:rPr>
        <w:t xml:space="preserve"> an intersectional analysis. The highly gendered</w:t>
      </w:r>
      <w:r w:rsidR="00DC5D8D">
        <w:rPr>
          <w:rFonts w:ascii="Times New Roman" w:hAnsi="Times New Roman" w:cs="Times New Roman"/>
        </w:rPr>
        <w:t xml:space="preserve"> and</w:t>
      </w:r>
      <w:r w:rsidR="0075229F">
        <w:rPr>
          <w:rFonts w:ascii="Times New Roman" w:hAnsi="Times New Roman" w:cs="Times New Roman"/>
        </w:rPr>
        <w:t xml:space="preserve"> paternalistic attitude of the three men toward Bonné </w:t>
      </w:r>
      <w:r w:rsidR="00934798">
        <w:rPr>
          <w:rFonts w:ascii="Times New Roman" w:hAnsi="Times New Roman" w:cs="Times New Roman"/>
        </w:rPr>
        <w:t>reflects</w:t>
      </w:r>
      <w:r w:rsidR="003B2EB1">
        <w:rPr>
          <w:rFonts w:ascii="Times New Roman" w:hAnsi="Times New Roman" w:cs="Times New Roman"/>
        </w:rPr>
        <w:t xml:space="preserve"> </w:t>
      </w:r>
      <w:r w:rsidR="00934798">
        <w:rPr>
          <w:rFonts w:ascii="Times New Roman" w:hAnsi="Times New Roman" w:cs="Times New Roman"/>
        </w:rPr>
        <w:t xml:space="preserve">their </w:t>
      </w:r>
      <w:r w:rsidR="003B2EB1">
        <w:rPr>
          <w:rFonts w:ascii="Times New Roman" w:hAnsi="Times New Roman" w:cs="Times New Roman"/>
        </w:rPr>
        <w:t xml:space="preserve">general </w:t>
      </w:r>
      <w:r w:rsidR="00934798">
        <w:rPr>
          <w:rFonts w:ascii="Times New Roman" w:hAnsi="Times New Roman" w:cs="Times New Roman"/>
        </w:rPr>
        <w:t>expectations</w:t>
      </w:r>
      <w:r w:rsidR="0075229F">
        <w:rPr>
          <w:rFonts w:ascii="Times New Roman" w:hAnsi="Times New Roman" w:cs="Times New Roman"/>
        </w:rPr>
        <w:t xml:space="preserve"> </w:t>
      </w:r>
      <w:r w:rsidR="00005027">
        <w:rPr>
          <w:rFonts w:ascii="Times New Roman" w:hAnsi="Times New Roman" w:cs="Times New Roman"/>
        </w:rPr>
        <w:t>that both women and foreigners held an</w:t>
      </w:r>
      <w:r w:rsidR="00934798">
        <w:rPr>
          <w:rFonts w:ascii="Times New Roman" w:hAnsi="Times New Roman" w:cs="Times New Roman"/>
        </w:rPr>
        <w:t xml:space="preserve"> auxiliary status</w:t>
      </w:r>
      <w:r w:rsidR="0075229F">
        <w:rPr>
          <w:rFonts w:ascii="Times New Roman" w:hAnsi="Times New Roman" w:cs="Times New Roman"/>
        </w:rPr>
        <w:t xml:space="preserve"> as scientific actors. </w:t>
      </w:r>
      <w:r w:rsidR="00732D9C">
        <w:rPr>
          <w:rFonts w:ascii="Times New Roman" w:hAnsi="Times New Roman" w:cs="Times New Roman"/>
        </w:rPr>
        <w:t>Each of these men relied extensively on women laboratory technicians, statisticians, and a</w:t>
      </w:r>
      <w:r w:rsidR="00D33794">
        <w:rPr>
          <w:rFonts w:ascii="Times New Roman" w:hAnsi="Times New Roman" w:cs="Times New Roman"/>
        </w:rPr>
        <w:t xml:space="preserve">rchivists, whose contributions </w:t>
      </w:r>
      <w:r w:rsidR="00732D9C">
        <w:rPr>
          <w:rFonts w:ascii="Times New Roman" w:hAnsi="Times New Roman" w:cs="Times New Roman"/>
        </w:rPr>
        <w:t xml:space="preserve">they readily acknowledged, up to the status </w:t>
      </w:r>
      <w:r w:rsidR="00A70384">
        <w:rPr>
          <w:rFonts w:ascii="Times New Roman" w:hAnsi="Times New Roman" w:cs="Times New Roman"/>
        </w:rPr>
        <w:t>of co-authorship</w:t>
      </w:r>
      <w:r w:rsidR="00732D9C">
        <w:rPr>
          <w:rFonts w:ascii="Times New Roman" w:hAnsi="Times New Roman" w:cs="Times New Roman"/>
        </w:rPr>
        <w:t xml:space="preserve">. </w:t>
      </w:r>
      <w:r w:rsidR="00D33794">
        <w:rPr>
          <w:rFonts w:ascii="Times New Roman" w:hAnsi="Times New Roman" w:cs="Times New Roman"/>
        </w:rPr>
        <w:t xml:space="preserve">In fact, Tills complained about Bonné’s failure to properly acknowledge the SPGL’s </w:t>
      </w:r>
      <w:r w:rsidR="00641141">
        <w:rPr>
          <w:rFonts w:ascii="Times New Roman" w:hAnsi="Times New Roman" w:cs="Times New Roman"/>
        </w:rPr>
        <w:t>serology</w:t>
      </w:r>
      <w:r w:rsidR="00D33794">
        <w:rPr>
          <w:rFonts w:ascii="Times New Roman" w:hAnsi="Times New Roman" w:cs="Times New Roman"/>
        </w:rPr>
        <w:t xml:space="preserve"> technician, Marilyn Godber, in her report on the Sinai Bedouins, whereas Tills and Mourant “always included” Godber’s name in their publications.</w:t>
      </w:r>
      <w:r w:rsidR="00641141" w:rsidRPr="00D941C7">
        <w:rPr>
          <w:rStyle w:val="FootnoteReference"/>
        </w:rPr>
        <w:footnoteReference w:id="57"/>
      </w:r>
      <w:r w:rsidR="00D33794">
        <w:rPr>
          <w:rFonts w:ascii="Times New Roman" w:hAnsi="Times New Roman" w:cs="Times New Roman"/>
        </w:rPr>
        <w:t xml:space="preserve"> </w:t>
      </w:r>
      <w:r w:rsidR="00005027">
        <w:rPr>
          <w:rFonts w:ascii="Times New Roman" w:hAnsi="Times New Roman" w:cs="Times New Roman"/>
        </w:rPr>
        <w:t>However</w:t>
      </w:r>
      <w:r w:rsidR="00DC5D8D">
        <w:rPr>
          <w:rFonts w:ascii="Times New Roman" w:hAnsi="Times New Roman" w:cs="Times New Roman"/>
        </w:rPr>
        <w:t xml:space="preserve">, although gender certainly played a role in </w:t>
      </w:r>
      <w:r w:rsidR="00007A9B">
        <w:rPr>
          <w:rFonts w:ascii="Times New Roman" w:hAnsi="Times New Roman" w:cs="Times New Roman"/>
        </w:rPr>
        <w:t xml:space="preserve">Mourant and Tills’ assumptions of superiority in the collaborative </w:t>
      </w:r>
      <w:r w:rsidR="00007A9B" w:rsidRPr="00DE7D05">
        <w:rPr>
          <w:rFonts w:ascii="Times New Roman" w:hAnsi="Times New Roman" w:cs="Times New Roman"/>
        </w:rPr>
        <w:t>relationship,</w:t>
      </w:r>
      <w:r w:rsidR="004B2B88">
        <w:rPr>
          <w:rFonts w:ascii="Times New Roman" w:hAnsi="Times New Roman" w:cs="Times New Roman"/>
        </w:rPr>
        <w:t xml:space="preserve"> </w:t>
      </w:r>
      <w:r w:rsidR="00A70384">
        <w:rPr>
          <w:rFonts w:ascii="Times New Roman" w:hAnsi="Times New Roman" w:cs="Times New Roman"/>
        </w:rPr>
        <w:t xml:space="preserve">the fundamental source of friction was </w:t>
      </w:r>
      <w:r w:rsidR="004B2B88">
        <w:rPr>
          <w:rFonts w:ascii="Times New Roman" w:hAnsi="Times New Roman" w:cs="Times New Roman"/>
        </w:rPr>
        <w:t>Bonné’s explicit challenge to</w:t>
      </w:r>
      <w:r w:rsidR="00007A9B">
        <w:rPr>
          <w:rFonts w:ascii="Times New Roman" w:hAnsi="Times New Roman" w:cs="Times New Roman"/>
        </w:rPr>
        <w:t xml:space="preserve"> </w:t>
      </w:r>
      <w:r w:rsidR="000A5B72">
        <w:rPr>
          <w:rFonts w:ascii="Times New Roman" w:hAnsi="Times New Roman" w:cs="Times New Roman"/>
        </w:rPr>
        <w:t>the</w:t>
      </w:r>
      <w:r w:rsidR="0037785D">
        <w:rPr>
          <w:rFonts w:ascii="Times New Roman" w:hAnsi="Times New Roman" w:cs="Times New Roman"/>
        </w:rPr>
        <w:t xml:space="preserve"> neocolonial structure</w:t>
      </w:r>
      <w:r w:rsidR="00A70384">
        <w:rPr>
          <w:rFonts w:ascii="Times New Roman" w:hAnsi="Times New Roman" w:cs="Times New Roman"/>
        </w:rPr>
        <w:t xml:space="preserve"> of scientific labor</w:t>
      </w:r>
      <w:r w:rsidR="004B2B88">
        <w:rPr>
          <w:rFonts w:ascii="Times New Roman" w:hAnsi="Times New Roman" w:cs="Times New Roman"/>
        </w:rPr>
        <w:t xml:space="preserve">. </w:t>
      </w:r>
      <w:r w:rsidR="0037785D">
        <w:rPr>
          <w:rFonts w:ascii="Times New Roman" w:hAnsi="Times New Roman" w:cs="Times New Roman"/>
        </w:rPr>
        <w:t xml:space="preserve">Accordingly, </w:t>
      </w:r>
      <w:r w:rsidR="004B2B88">
        <w:rPr>
          <w:rFonts w:ascii="Times New Roman" w:hAnsi="Times New Roman" w:cs="Times New Roman"/>
        </w:rPr>
        <w:t xml:space="preserve">Mourant’s </w:t>
      </w:r>
      <w:r w:rsidR="0037785D">
        <w:rPr>
          <w:rFonts w:ascii="Times New Roman" w:hAnsi="Times New Roman" w:cs="Times New Roman"/>
        </w:rPr>
        <w:t xml:space="preserve">attempts to smooth things over via Chaim Sheba </w:t>
      </w:r>
      <w:r w:rsidR="00A70384">
        <w:rPr>
          <w:rFonts w:ascii="Times New Roman" w:hAnsi="Times New Roman" w:cs="Times New Roman"/>
        </w:rPr>
        <w:t>indicate</w:t>
      </w:r>
      <w:r w:rsidR="0037785D">
        <w:rPr>
          <w:rFonts w:ascii="Times New Roman" w:hAnsi="Times New Roman" w:cs="Times New Roman"/>
        </w:rPr>
        <w:t xml:space="preserve"> Sheba’s status </w:t>
      </w:r>
      <w:r w:rsidR="005A6B6B">
        <w:rPr>
          <w:rFonts w:ascii="Times New Roman" w:hAnsi="Times New Roman" w:cs="Times New Roman"/>
        </w:rPr>
        <w:t>both</w:t>
      </w:r>
      <w:r w:rsidR="0037785D">
        <w:rPr>
          <w:rFonts w:ascii="Times New Roman" w:hAnsi="Times New Roman" w:cs="Times New Roman"/>
        </w:rPr>
        <w:t xml:space="preserve"> as a senior male scientist</w:t>
      </w:r>
      <w:r w:rsidR="005A6B6B">
        <w:rPr>
          <w:rFonts w:ascii="Times New Roman" w:hAnsi="Times New Roman" w:cs="Times New Roman"/>
        </w:rPr>
        <w:t xml:space="preserve"> and</w:t>
      </w:r>
      <w:r w:rsidR="0037785D">
        <w:rPr>
          <w:rFonts w:ascii="Times New Roman" w:hAnsi="Times New Roman" w:cs="Times New Roman"/>
        </w:rPr>
        <w:t xml:space="preserve"> as a representative of </w:t>
      </w:r>
      <w:r w:rsidR="00AF437B">
        <w:rPr>
          <w:rFonts w:ascii="Times New Roman" w:hAnsi="Times New Roman" w:cs="Times New Roman"/>
        </w:rPr>
        <w:t xml:space="preserve">the </w:t>
      </w:r>
      <w:r w:rsidR="0037785D">
        <w:rPr>
          <w:rFonts w:ascii="Times New Roman" w:hAnsi="Times New Roman" w:cs="Times New Roman"/>
        </w:rPr>
        <w:t>established order of things</w:t>
      </w:r>
      <w:r w:rsidR="00DE7D05">
        <w:rPr>
          <w:rFonts w:ascii="Times New Roman" w:hAnsi="Times New Roman" w:cs="Times New Roman"/>
        </w:rPr>
        <w:t>, whereby Israeli “collection agents” unquestioningly provided blood samples to Western laborator</w:t>
      </w:r>
      <w:r w:rsidR="00AF437B">
        <w:rPr>
          <w:rFonts w:ascii="Times New Roman" w:hAnsi="Times New Roman" w:cs="Times New Roman"/>
        </w:rPr>
        <w:t>i</w:t>
      </w:r>
      <w:r w:rsidR="00DE7D05">
        <w:rPr>
          <w:rFonts w:ascii="Times New Roman" w:hAnsi="Times New Roman" w:cs="Times New Roman"/>
        </w:rPr>
        <w:t>es</w:t>
      </w:r>
      <w:r w:rsidR="0037785D">
        <w:rPr>
          <w:rFonts w:ascii="Times New Roman" w:hAnsi="Times New Roman" w:cs="Times New Roman"/>
        </w:rPr>
        <w:t>.</w:t>
      </w:r>
    </w:p>
    <w:p w14:paraId="6CEC28F6" w14:textId="686DA22E" w:rsidR="00977697" w:rsidRDefault="0037785D" w:rsidP="00132CED">
      <w:pPr>
        <w:ind w:firstLine="720"/>
        <w:rPr>
          <w:rFonts w:ascii="Times New Roman" w:hAnsi="Times New Roman" w:cs="Times New Roman"/>
        </w:rPr>
      </w:pPr>
      <w:r>
        <w:rPr>
          <w:rFonts w:ascii="Times New Roman" w:hAnsi="Times New Roman" w:cs="Times New Roman"/>
        </w:rPr>
        <w:t>In contrast</w:t>
      </w:r>
      <w:r w:rsidR="00732D9C">
        <w:rPr>
          <w:rFonts w:ascii="Times New Roman" w:hAnsi="Times New Roman" w:cs="Times New Roman"/>
        </w:rPr>
        <w:t xml:space="preserve">, </w:t>
      </w:r>
      <w:r>
        <w:rPr>
          <w:rFonts w:ascii="Times New Roman" w:hAnsi="Times New Roman" w:cs="Times New Roman"/>
        </w:rPr>
        <w:t>Bonné</w:t>
      </w:r>
      <w:r w:rsidR="00DE7D05">
        <w:rPr>
          <w:rFonts w:ascii="Times New Roman" w:hAnsi="Times New Roman" w:cs="Times New Roman"/>
        </w:rPr>
        <w:t xml:space="preserve">’s </w:t>
      </w:r>
      <w:r w:rsidR="00977697" w:rsidRPr="00190F04">
        <w:rPr>
          <w:rFonts w:ascii="Times New Roman" w:hAnsi="Times New Roman" w:cs="Times New Roman"/>
        </w:rPr>
        <w:t xml:space="preserve">desire to </w:t>
      </w:r>
      <w:r w:rsidR="00C60342">
        <w:rPr>
          <w:rFonts w:ascii="Times New Roman" w:hAnsi="Times New Roman" w:cs="Times New Roman"/>
        </w:rPr>
        <w:t xml:space="preserve">control the publication of Middle Eastern population data </w:t>
      </w:r>
      <w:r w:rsidR="00977697" w:rsidRPr="00190F04">
        <w:rPr>
          <w:rFonts w:ascii="Times New Roman" w:hAnsi="Times New Roman" w:cs="Times New Roman"/>
        </w:rPr>
        <w:t xml:space="preserve">asserted a </w:t>
      </w:r>
      <w:r w:rsidR="00736B1A">
        <w:rPr>
          <w:rFonts w:ascii="Times New Roman" w:hAnsi="Times New Roman" w:cs="Times New Roman"/>
        </w:rPr>
        <w:t xml:space="preserve">newly </w:t>
      </w:r>
      <w:r w:rsidR="00977697" w:rsidRPr="00190F04">
        <w:rPr>
          <w:rFonts w:ascii="Times New Roman" w:hAnsi="Times New Roman" w:cs="Times New Roman"/>
        </w:rPr>
        <w:t xml:space="preserve">distinct identity for Israeli geneticists. This </w:t>
      </w:r>
      <w:r w:rsidR="001E4CE9" w:rsidRPr="00190F04">
        <w:rPr>
          <w:rFonts w:ascii="Times New Roman" w:hAnsi="Times New Roman" w:cs="Times New Roman"/>
        </w:rPr>
        <w:t>identity emphasize</w:t>
      </w:r>
      <w:r w:rsidR="00DE7D05">
        <w:rPr>
          <w:rFonts w:ascii="Times New Roman" w:hAnsi="Times New Roman" w:cs="Times New Roman"/>
        </w:rPr>
        <w:t>d</w:t>
      </w:r>
      <w:r w:rsidR="00977697" w:rsidRPr="00190F04">
        <w:rPr>
          <w:rFonts w:ascii="Times New Roman" w:hAnsi="Times New Roman" w:cs="Times New Roman"/>
        </w:rPr>
        <w:t xml:space="preserve"> a status of territorial propriety that legitimized Israeli control over both access to local subject populations (even non-Jewish ones) and the data obtained about their genetic characteristics. Furthermore, Bonné communicated her anxieties about proper attribution and fair data-sharing not only in terms of professional courtesy, but also in terms of scientific accuracy. Bonné’s assertions of priority on behalf of the Israeli genetics community </w:t>
      </w:r>
      <w:r w:rsidR="000458EE">
        <w:rPr>
          <w:rFonts w:ascii="Times New Roman" w:hAnsi="Times New Roman" w:cs="Times New Roman"/>
        </w:rPr>
        <w:t>portrayed</w:t>
      </w:r>
      <w:r w:rsidR="00977697" w:rsidRPr="00190F04">
        <w:rPr>
          <w:rFonts w:ascii="Times New Roman" w:hAnsi="Times New Roman" w:cs="Times New Roman"/>
        </w:rPr>
        <w:t xml:space="preserve"> its </w:t>
      </w:r>
      <w:r w:rsidR="000458EE">
        <w:rPr>
          <w:rFonts w:ascii="Times New Roman" w:hAnsi="Times New Roman" w:cs="Times New Roman"/>
        </w:rPr>
        <w:t>evolution</w:t>
      </w:r>
      <w:r w:rsidR="00977697" w:rsidRPr="00190F04">
        <w:rPr>
          <w:rFonts w:ascii="Times New Roman" w:hAnsi="Times New Roman" w:cs="Times New Roman"/>
        </w:rPr>
        <w:t xml:space="preserve"> into an institution with independent research interests, rather than an “outpost</w:t>
      </w:r>
      <w:r w:rsidR="00B444CD" w:rsidRPr="00190F04">
        <w:rPr>
          <w:rFonts w:ascii="Times New Roman" w:hAnsi="Times New Roman" w:cs="Times New Roman"/>
        </w:rPr>
        <w:t>” of Western genetics.</w:t>
      </w:r>
      <w:r w:rsidR="00977697" w:rsidRPr="00190F04">
        <w:rPr>
          <w:rFonts w:ascii="Times New Roman" w:hAnsi="Times New Roman" w:cs="Times New Roman"/>
        </w:rPr>
        <w:t xml:space="preserve"> </w:t>
      </w:r>
      <w:r w:rsidR="005A6B6B">
        <w:rPr>
          <w:rFonts w:ascii="Times New Roman" w:hAnsi="Times New Roman" w:cs="Times New Roman"/>
        </w:rPr>
        <w:t>More significantly, they</w:t>
      </w:r>
      <w:r w:rsidR="00977697" w:rsidRPr="00190F04">
        <w:rPr>
          <w:rFonts w:ascii="Times New Roman" w:hAnsi="Times New Roman" w:cs="Times New Roman"/>
        </w:rPr>
        <w:t xml:space="preserve"> upended the logic upon which the directors of centralized laboratories had published data gathered by </w:t>
      </w:r>
      <w:r w:rsidR="005A6B6B">
        <w:rPr>
          <w:rFonts w:ascii="Times New Roman" w:hAnsi="Times New Roman" w:cs="Times New Roman"/>
        </w:rPr>
        <w:t>others</w:t>
      </w:r>
      <w:r w:rsidR="00977697" w:rsidRPr="00190F04">
        <w:rPr>
          <w:rFonts w:ascii="Times New Roman" w:hAnsi="Times New Roman" w:cs="Times New Roman"/>
        </w:rPr>
        <w:t xml:space="preserve"> with impunity: that Western mastery of the technological apparatus as yet unavailable in developing nations entitled Western scientists to authoritatively interpret the meaning of </w:t>
      </w:r>
      <w:r w:rsidR="00632FF8">
        <w:rPr>
          <w:rFonts w:ascii="Times New Roman" w:hAnsi="Times New Roman" w:cs="Times New Roman"/>
        </w:rPr>
        <w:t xml:space="preserve">non-Western </w:t>
      </w:r>
      <w:r w:rsidR="00977697" w:rsidRPr="00190F04">
        <w:rPr>
          <w:rFonts w:ascii="Times New Roman" w:hAnsi="Times New Roman" w:cs="Times New Roman"/>
        </w:rPr>
        <w:t>blood-group frequencies. Bonné, on the other hand, insisted that ethnographic knowledge must not be divorced from the raw</w:t>
      </w:r>
      <w:r w:rsidR="00632FF8">
        <w:rPr>
          <w:rFonts w:ascii="Times New Roman" w:hAnsi="Times New Roman" w:cs="Times New Roman"/>
        </w:rPr>
        <w:t xml:space="preserve"> output of laboratory equipment</w:t>
      </w:r>
      <w:r w:rsidR="0046238C">
        <w:rPr>
          <w:rFonts w:ascii="Times New Roman" w:hAnsi="Times New Roman" w:cs="Times New Roman"/>
        </w:rPr>
        <w:t xml:space="preserve">. </w:t>
      </w:r>
      <w:r w:rsidR="00632FF8" w:rsidRPr="00190F04">
        <w:rPr>
          <w:rFonts w:ascii="Times New Roman" w:hAnsi="Times New Roman" w:cs="Times New Roman"/>
        </w:rPr>
        <w:t>For the sake of scientific truth, she proclaimed, even Western luminaries like Mourant had to grant Israeli geneticists a leading role in explaining and interpreting the data they had painstakingly acquired from their research subjects.</w:t>
      </w:r>
    </w:p>
    <w:p w14:paraId="5091A2F4" w14:textId="77777777" w:rsidR="003A631C" w:rsidRPr="00190F04" w:rsidRDefault="003A631C" w:rsidP="00132CED">
      <w:pPr>
        <w:rPr>
          <w:rFonts w:ascii="Times New Roman" w:hAnsi="Times New Roman" w:cs="Times New Roman"/>
        </w:rPr>
      </w:pPr>
    </w:p>
    <w:p w14:paraId="6DB938D6" w14:textId="0619961B" w:rsidR="008F344F" w:rsidRDefault="008F344F" w:rsidP="00132CED">
      <w:pPr>
        <w:jc w:val="center"/>
        <w:rPr>
          <w:rFonts w:ascii="Times New Roman" w:hAnsi="Times New Roman" w:cs="Times New Roman"/>
          <w:i/>
        </w:rPr>
      </w:pPr>
      <w:r w:rsidRPr="00190F04">
        <w:rPr>
          <w:rFonts w:ascii="Times New Roman" w:hAnsi="Times New Roman" w:cs="Times New Roman"/>
          <w:i/>
        </w:rPr>
        <w:t>An African-American in “Aryan” Iran</w:t>
      </w:r>
    </w:p>
    <w:p w14:paraId="7E254C45" w14:textId="77777777" w:rsidR="003A631C" w:rsidRPr="00190F04" w:rsidRDefault="003A631C" w:rsidP="00132CED">
      <w:pPr>
        <w:jc w:val="center"/>
        <w:rPr>
          <w:rFonts w:ascii="Times New Roman" w:hAnsi="Times New Roman" w:cs="Times New Roman"/>
          <w:i/>
        </w:rPr>
      </w:pPr>
    </w:p>
    <w:p w14:paraId="75C65509" w14:textId="60C29FF2" w:rsidR="008F344F" w:rsidRPr="00190F04" w:rsidRDefault="00283566" w:rsidP="00132CED">
      <w:pPr>
        <w:ind w:firstLine="720"/>
        <w:rPr>
          <w:rFonts w:ascii="Times New Roman" w:hAnsi="Times New Roman" w:cs="Times New Roman"/>
        </w:rPr>
      </w:pPr>
      <w:r w:rsidRPr="00190F04">
        <w:rPr>
          <w:rFonts w:ascii="Times New Roman" w:hAnsi="Times New Roman" w:cs="Times New Roman"/>
        </w:rPr>
        <w:t>In Iran</w:t>
      </w:r>
      <w:r w:rsidRPr="00190F04">
        <w:rPr>
          <w:rFonts w:ascii="Times New Roman" w:eastAsia="Times New Roman" w:hAnsi="Times New Roman" w:cs="Times New Roman"/>
        </w:rPr>
        <w:t>, human</w:t>
      </w:r>
      <w:r w:rsidRPr="00190F04">
        <w:rPr>
          <w:rFonts w:ascii="Times New Roman" w:hAnsi="Times New Roman" w:cs="Times New Roman"/>
        </w:rPr>
        <w:t xml:space="preserve"> genetics research</w:t>
      </w:r>
      <w:r w:rsidRPr="00190F04">
        <w:rPr>
          <w:rFonts w:ascii="Times New Roman" w:eastAsia="Times New Roman" w:hAnsi="Times New Roman" w:cs="Times New Roman"/>
        </w:rPr>
        <w:t xml:space="preserve"> b</w:t>
      </w:r>
      <w:r w:rsidR="008F344F" w:rsidRPr="00190F04">
        <w:rPr>
          <w:rFonts w:ascii="Times New Roman" w:eastAsia="Times New Roman" w:hAnsi="Times New Roman" w:cs="Times New Roman"/>
        </w:rPr>
        <w:t>oth before and after World War II</w:t>
      </w:r>
      <w:r w:rsidR="008F344F" w:rsidRPr="00190F04">
        <w:rPr>
          <w:rFonts w:ascii="Times New Roman" w:hAnsi="Times New Roman" w:cs="Times New Roman"/>
        </w:rPr>
        <w:t xml:space="preserve"> was dominated by Western researchers, who targeted ethnic, linguistic, or religiou</w:t>
      </w:r>
      <w:r w:rsidR="00D4456E">
        <w:rPr>
          <w:rFonts w:ascii="Times New Roman" w:hAnsi="Times New Roman" w:cs="Times New Roman"/>
        </w:rPr>
        <w:t>s minorities for blood sampling. T</w:t>
      </w:r>
      <w:r w:rsidR="008F344F" w:rsidRPr="00190F04">
        <w:rPr>
          <w:rFonts w:ascii="Times New Roman" w:hAnsi="Times New Roman" w:cs="Times New Roman"/>
        </w:rPr>
        <w:t xml:space="preserve">heir interpretation of the statistical results tended to emphasize the genetic distinctiveness of various groups (such as Turkmens, Kurds, Zoroastrians, Armenians, and Jews) from the majority Persian Shi’ite population. While this emphasis on minority difference did not match the contemporary Iranian state’s ideology of “one nation, one language” (i.e., Persian-speaking ethnic Aryans), the influence of Pahlavi-era nationalism is nonetheless visible in many aspects of the </w:t>
      </w:r>
      <w:r w:rsidR="00D34F4A" w:rsidRPr="00190F04">
        <w:rPr>
          <w:rFonts w:ascii="Times New Roman" w:hAnsi="Times New Roman" w:cs="Times New Roman"/>
        </w:rPr>
        <w:t>Western</w:t>
      </w:r>
      <w:r w:rsidR="008F344F" w:rsidRPr="00190F04">
        <w:rPr>
          <w:rFonts w:ascii="Times New Roman" w:hAnsi="Times New Roman" w:cs="Times New Roman"/>
        </w:rPr>
        <w:t xml:space="preserve">-authored studies. </w:t>
      </w:r>
      <w:r w:rsidR="00D34F4A" w:rsidRPr="00190F04">
        <w:rPr>
          <w:rFonts w:ascii="Times New Roman" w:hAnsi="Times New Roman" w:cs="Times New Roman"/>
        </w:rPr>
        <w:t>Western</w:t>
      </w:r>
      <w:r w:rsidR="008F344F" w:rsidRPr="00190F04">
        <w:rPr>
          <w:rFonts w:ascii="Times New Roman" w:hAnsi="Times New Roman" w:cs="Times New Roman"/>
        </w:rPr>
        <w:t xml:space="preserve"> researchers relied on Iranian medical staff to provide information on the histories of these communities and to assess their relative isolation from other groups over time. For example, James E. Bowman, the foremost American figure in Iranian population genetics, accepted his Iranian colleagues’ fo</w:t>
      </w:r>
      <w:r w:rsidR="00D34F4A" w:rsidRPr="00190F04">
        <w:rPr>
          <w:rFonts w:ascii="Times New Roman" w:hAnsi="Times New Roman" w:cs="Times New Roman"/>
        </w:rPr>
        <w:t>undational assumption</w:t>
      </w:r>
      <w:r w:rsidR="008F344F" w:rsidRPr="00190F04">
        <w:rPr>
          <w:rFonts w:ascii="Times New Roman" w:hAnsi="Times New Roman" w:cs="Times New Roman"/>
        </w:rPr>
        <w:t xml:space="preserve"> that the Zoroastrians were the living remnants of the ancestral Iranian population. During his tenure as the head of the pathology department of the Nemazee Hospital in Shir</w:t>
      </w:r>
      <w:r w:rsidR="00D10E43">
        <w:rPr>
          <w:rFonts w:ascii="Times New Roman" w:hAnsi="Times New Roman" w:cs="Times New Roman"/>
        </w:rPr>
        <w:t>az between 1955-1961, Bowman</w:t>
      </w:r>
      <w:r w:rsidR="008F344F" w:rsidRPr="00190F04">
        <w:rPr>
          <w:rFonts w:ascii="Times New Roman" w:hAnsi="Times New Roman" w:cs="Times New Roman"/>
        </w:rPr>
        <w:t xml:space="preserve"> formed close personal relationships not only with Muslim, Persian-speaking Iranians, but also with Zoroast</w:t>
      </w:r>
      <w:r w:rsidR="001E4CE9" w:rsidRPr="00190F04">
        <w:rPr>
          <w:rFonts w:ascii="Times New Roman" w:hAnsi="Times New Roman" w:cs="Times New Roman"/>
        </w:rPr>
        <w:t>rians, Armenians, Jews,</w:t>
      </w:r>
      <w:r w:rsidR="008F344F" w:rsidRPr="00190F04">
        <w:rPr>
          <w:rFonts w:ascii="Times New Roman" w:hAnsi="Times New Roman" w:cs="Times New Roman"/>
        </w:rPr>
        <w:t xml:space="preserve"> and other minorities. Unlike most other Western geneticists who worked in Iran, Bowman nurtured these relationships with former Iranian students and colleagues for decades, even after returning to the United States. He revisited Shiraz every few years during the 1960s and 70s,</w:t>
      </w:r>
      <w:r w:rsidR="00777D1C" w:rsidRPr="00190F04">
        <w:rPr>
          <w:rFonts w:ascii="Times New Roman" w:hAnsi="Times New Roman" w:cs="Times New Roman"/>
        </w:rPr>
        <w:t xml:space="preserve"> as well as</w:t>
      </w:r>
      <w:r w:rsidR="008F344F" w:rsidRPr="00190F04">
        <w:rPr>
          <w:rFonts w:ascii="Times New Roman" w:hAnsi="Times New Roman" w:cs="Times New Roman"/>
        </w:rPr>
        <w:t xml:space="preserve"> in 1993 and 2004. He sponsored many of his Iranian students for postgraduate study in the US, and maintained contact with them over the course of their careers in Iran or abroad.</w:t>
      </w:r>
      <w:r w:rsidR="008F344F" w:rsidRPr="00D941C7">
        <w:rPr>
          <w:rStyle w:val="FootnoteReference"/>
        </w:rPr>
        <w:footnoteReference w:id="58"/>
      </w:r>
      <w:r w:rsidR="008F344F" w:rsidRPr="00190F04">
        <w:rPr>
          <w:rFonts w:ascii="Times New Roman" w:hAnsi="Times New Roman" w:cs="Times New Roman"/>
        </w:rPr>
        <w:t xml:space="preserve"> </w:t>
      </w:r>
    </w:p>
    <w:p w14:paraId="54B93EAB" w14:textId="430258BB" w:rsidR="008F344F" w:rsidRPr="00190F04" w:rsidRDefault="008F344F" w:rsidP="00132CED">
      <w:pPr>
        <w:ind w:firstLine="720"/>
        <w:rPr>
          <w:rFonts w:ascii="Times New Roman" w:hAnsi="Times New Roman" w:cs="Times New Roman"/>
        </w:rPr>
      </w:pPr>
      <w:r w:rsidRPr="00190F04">
        <w:rPr>
          <w:rFonts w:ascii="Times New Roman" w:hAnsi="Times New Roman" w:cs="Times New Roman"/>
        </w:rPr>
        <w:t xml:space="preserve">Bowman arrived in Shiraz in 1955 almost by accident. He had received his medical training, specializing in pathology, at Howard University and </w:t>
      </w:r>
      <w:r w:rsidR="00BE3093" w:rsidRPr="00190F04">
        <w:rPr>
          <w:rFonts w:ascii="Times New Roman" w:hAnsi="Times New Roman" w:cs="Times New Roman"/>
        </w:rPr>
        <w:t xml:space="preserve">at </w:t>
      </w:r>
      <w:r w:rsidRPr="00190F04">
        <w:rPr>
          <w:rFonts w:ascii="Times New Roman" w:hAnsi="Times New Roman" w:cs="Times New Roman"/>
        </w:rPr>
        <w:t>several hospitals in Washington, DC and Chicago with the support of the Army Specialized Training Program, and completed his military service at the US Army Medical Nutrition Laboratory in Colorado. After his discharge, Bowman and his wife Barbara decided to look for work somew</w:t>
      </w:r>
      <w:r w:rsidR="00C6587A">
        <w:rPr>
          <w:rFonts w:ascii="Times New Roman" w:hAnsi="Times New Roman" w:cs="Times New Roman"/>
        </w:rPr>
        <w:t xml:space="preserve">here overseas </w:t>
      </w:r>
      <w:r w:rsidRPr="00190F04">
        <w:rPr>
          <w:rFonts w:ascii="Times New Roman" w:hAnsi="Times New Roman" w:cs="Times New Roman"/>
        </w:rPr>
        <w:t xml:space="preserve">to escape the stifling segregation policies of their home country. By chance, Bowman </w:t>
      </w:r>
      <w:r w:rsidR="00F242F5">
        <w:rPr>
          <w:rFonts w:ascii="Times New Roman" w:hAnsi="Times New Roman" w:cs="Times New Roman"/>
        </w:rPr>
        <w:t>applied for a pathology position offered through</w:t>
      </w:r>
      <w:r w:rsidRPr="00190F04">
        <w:rPr>
          <w:rFonts w:ascii="Times New Roman" w:hAnsi="Times New Roman" w:cs="Times New Roman"/>
        </w:rPr>
        <w:t xml:space="preserve"> the Iran Foundation, Inc. for the Advancement of Health and Education in Iran (better known by the less-redun</w:t>
      </w:r>
      <w:r w:rsidR="00777D1C" w:rsidRPr="00190F04">
        <w:rPr>
          <w:rFonts w:ascii="Times New Roman" w:hAnsi="Times New Roman" w:cs="Times New Roman"/>
        </w:rPr>
        <w:t>dant name, Iran Foundation), a</w:t>
      </w:r>
      <w:r w:rsidRPr="00190F04">
        <w:rPr>
          <w:rFonts w:ascii="Times New Roman" w:hAnsi="Times New Roman" w:cs="Times New Roman"/>
        </w:rPr>
        <w:t xml:space="preserve"> joint Iranian-American organization established in 1948 by </w:t>
      </w:r>
      <w:r w:rsidR="003F6BC9">
        <w:rPr>
          <w:rFonts w:ascii="Times New Roman" w:hAnsi="Times New Roman" w:cs="Times New Roman"/>
        </w:rPr>
        <w:t xml:space="preserve">shipping magnate </w:t>
      </w:r>
      <w:r w:rsidRPr="00190F04">
        <w:rPr>
          <w:rFonts w:ascii="Times New Roman" w:hAnsi="Times New Roman" w:cs="Times New Roman"/>
        </w:rPr>
        <w:t>Haj Mohammad Nemazee</w:t>
      </w:r>
      <w:r w:rsidR="00C6587A">
        <w:rPr>
          <w:rFonts w:ascii="Times New Roman" w:hAnsi="Times New Roman" w:cs="Times New Roman"/>
        </w:rPr>
        <w:t>. The f</w:t>
      </w:r>
      <w:r w:rsidR="003F6BC9">
        <w:rPr>
          <w:rFonts w:ascii="Times New Roman" w:hAnsi="Times New Roman" w:cs="Times New Roman"/>
        </w:rPr>
        <w:t>oundation’s purpose was</w:t>
      </w:r>
      <w:r w:rsidRPr="00190F04">
        <w:rPr>
          <w:rFonts w:ascii="Times New Roman" w:hAnsi="Times New Roman" w:cs="Times New Roman"/>
        </w:rPr>
        <w:t xml:space="preserve"> to manage and finance the construction and operation of the Nemazee Hospital</w:t>
      </w:r>
      <w:r w:rsidR="00F242F5">
        <w:rPr>
          <w:rFonts w:ascii="Times New Roman" w:hAnsi="Times New Roman" w:cs="Times New Roman"/>
        </w:rPr>
        <w:t>, a</w:t>
      </w:r>
      <w:r w:rsidR="003F6BC9">
        <w:rPr>
          <w:rFonts w:ascii="Times New Roman" w:hAnsi="Times New Roman" w:cs="Times New Roman"/>
        </w:rPr>
        <w:t xml:space="preserve"> state-of-the-art facility </w:t>
      </w:r>
      <w:r w:rsidR="00F242F5">
        <w:rPr>
          <w:rFonts w:ascii="Times New Roman" w:hAnsi="Times New Roman" w:cs="Times New Roman"/>
        </w:rPr>
        <w:t>that opened in May 1955</w:t>
      </w:r>
      <w:r w:rsidRPr="00190F04">
        <w:rPr>
          <w:rFonts w:ascii="Times New Roman" w:hAnsi="Times New Roman" w:cs="Times New Roman"/>
        </w:rPr>
        <w:t xml:space="preserve">. At the time Bowman assumed the position of director of pathology, nearly all the other departments </w:t>
      </w:r>
      <w:r w:rsidR="00104BED">
        <w:rPr>
          <w:rFonts w:ascii="Times New Roman" w:hAnsi="Times New Roman" w:cs="Times New Roman"/>
        </w:rPr>
        <w:t>at the h</w:t>
      </w:r>
      <w:r w:rsidR="00F242F5">
        <w:rPr>
          <w:rFonts w:ascii="Times New Roman" w:hAnsi="Times New Roman" w:cs="Times New Roman"/>
        </w:rPr>
        <w:t xml:space="preserve">ospital </w:t>
      </w:r>
      <w:r w:rsidRPr="00190F04">
        <w:rPr>
          <w:rFonts w:ascii="Times New Roman" w:hAnsi="Times New Roman" w:cs="Times New Roman"/>
        </w:rPr>
        <w:t>were also headed by Americans, with Iranians filling out the remainder of the staff positio</w:t>
      </w:r>
      <w:r w:rsidR="00104BED">
        <w:rPr>
          <w:rFonts w:ascii="Times New Roman" w:hAnsi="Times New Roman" w:cs="Times New Roman"/>
        </w:rPr>
        <w:t>ns. Bowman noted that the hospital did not employ any</w:t>
      </w:r>
      <w:r w:rsidRPr="00190F04">
        <w:rPr>
          <w:rFonts w:ascii="Times New Roman" w:hAnsi="Times New Roman" w:cs="Times New Roman"/>
        </w:rPr>
        <w:t xml:space="preserve"> British c</w:t>
      </w:r>
      <w:r w:rsidR="00104BED">
        <w:rPr>
          <w:rFonts w:ascii="Times New Roman" w:hAnsi="Times New Roman" w:cs="Times New Roman"/>
        </w:rPr>
        <w:t>itizens</w:t>
      </w:r>
      <w:r w:rsidRPr="00190F04">
        <w:rPr>
          <w:rFonts w:ascii="Times New Roman" w:hAnsi="Times New Roman" w:cs="Times New Roman"/>
        </w:rPr>
        <w:t>, although he met several working for the University of Shiraz medical faculty, which used Nemazee Hospital as a teaching facility. One of these, the British biochemist Deryck G. Walker, would join Bowman in his first foray into genetic research at the beginning of 1959.</w:t>
      </w:r>
    </w:p>
    <w:p w14:paraId="61A5FE76" w14:textId="58F161E4" w:rsidR="008F344F" w:rsidRPr="00190F04" w:rsidRDefault="008F344F" w:rsidP="00132CED">
      <w:pPr>
        <w:rPr>
          <w:rFonts w:ascii="Times New Roman" w:hAnsi="Times New Roman" w:cs="Times New Roman"/>
        </w:rPr>
      </w:pPr>
      <w:r w:rsidRPr="00190F04">
        <w:rPr>
          <w:rFonts w:ascii="Times New Roman" w:hAnsi="Times New Roman" w:cs="Times New Roman"/>
        </w:rPr>
        <w:tab/>
        <w:t>This research trajectory was just as serendipitous as Bowman’s presence in Iran, since he had never received any specific training in genetics. It was sparke</w:t>
      </w:r>
      <w:r w:rsidR="00C6587A">
        <w:rPr>
          <w:rFonts w:ascii="Times New Roman" w:hAnsi="Times New Roman" w:cs="Times New Roman"/>
        </w:rPr>
        <w:t xml:space="preserve">d by Bowman’s chance encounter </w:t>
      </w:r>
      <w:r w:rsidRPr="00190F04">
        <w:rPr>
          <w:rFonts w:ascii="Times New Roman" w:hAnsi="Times New Roman" w:cs="Times New Roman"/>
        </w:rPr>
        <w:t xml:space="preserve">with a child brought to the hospital with severe symptoms of favism (G6PD </w:t>
      </w:r>
      <w:r w:rsidRPr="00190F04">
        <w:rPr>
          <w:rFonts w:ascii="Times New Roman" w:hAnsi="Times New Roman" w:cs="Times New Roman"/>
        </w:rPr>
        <w:lastRenderedPageBreak/>
        <w:t>deficiency), the same hereditary condition found</w:t>
      </w:r>
      <w:r w:rsidR="006D6763" w:rsidRPr="00190F04">
        <w:rPr>
          <w:rFonts w:ascii="Times New Roman" w:hAnsi="Times New Roman" w:cs="Times New Roman"/>
        </w:rPr>
        <w:t xml:space="preserve"> in high levels</w:t>
      </w:r>
      <w:r w:rsidRPr="00190F04">
        <w:rPr>
          <w:rFonts w:ascii="Times New Roman" w:hAnsi="Times New Roman" w:cs="Times New Roman"/>
        </w:rPr>
        <w:t xml:space="preserve"> among Mizrahi immigrants to Israel. Bowman did not immediately recognize the condition, and only with the arrival of similarly afflicted patients did he begin familiarizing himself with the burgeoning literature on G6PD deficiency. He quickly took an interest in the anthropological as</w:t>
      </w:r>
      <w:r w:rsidR="00777D1C" w:rsidRPr="00190F04">
        <w:rPr>
          <w:rFonts w:ascii="Times New Roman" w:hAnsi="Times New Roman" w:cs="Times New Roman"/>
        </w:rPr>
        <w:t>pects of genetic disorders, namely</w:t>
      </w:r>
      <w:r w:rsidRPr="00190F04">
        <w:rPr>
          <w:rFonts w:ascii="Times New Roman" w:hAnsi="Times New Roman" w:cs="Times New Roman"/>
        </w:rPr>
        <w:t xml:space="preserve"> their tendency to vary significantly in frequency among different peoples. Together with Walker, Bowman developed a chemical test for G6</w:t>
      </w:r>
      <w:r w:rsidR="00777D1C" w:rsidRPr="00190F04">
        <w:rPr>
          <w:rFonts w:ascii="Times New Roman" w:hAnsi="Times New Roman" w:cs="Times New Roman"/>
        </w:rPr>
        <w:t>PD deficiency, and set out to conduct</w:t>
      </w:r>
      <w:r w:rsidRPr="00190F04">
        <w:rPr>
          <w:rFonts w:ascii="Times New Roman" w:hAnsi="Times New Roman" w:cs="Times New Roman"/>
        </w:rPr>
        <w:t xml:space="preserve"> population surveys for the condition across Iran. Their first favism report, published in </w:t>
      </w:r>
      <w:r w:rsidRPr="00190F04">
        <w:rPr>
          <w:rFonts w:ascii="Times New Roman" w:hAnsi="Times New Roman" w:cs="Times New Roman"/>
          <w:i/>
        </w:rPr>
        <w:t>Nature</w:t>
      </w:r>
      <w:r w:rsidRPr="00190F04">
        <w:rPr>
          <w:rFonts w:ascii="Times New Roman" w:hAnsi="Times New Roman" w:cs="Times New Roman"/>
        </w:rPr>
        <w:t xml:space="preserve"> in 1959, presented results from the Iranian “medical, nursing, and ancillary staff” at the Nemazee Hospital and University of Shiraz medical facilities and announced the presence of G6PD deficiency at a level of about 8% among Muslims “throughout Iran.”</w:t>
      </w:r>
      <w:r w:rsidRPr="00D941C7">
        <w:rPr>
          <w:rStyle w:val="FootnoteReference"/>
        </w:rPr>
        <w:footnoteReference w:id="59"/>
      </w:r>
      <w:r w:rsidRPr="00190F04">
        <w:rPr>
          <w:rFonts w:ascii="Times New Roman" w:hAnsi="Times New Roman" w:cs="Times New Roman"/>
        </w:rPr>
        <w:t xml:space="preserve"> This analysis was restricted only to Muslim staff members, since the Jews, Armenians, Assyrians, and Zoroastrians involved “were not in sufficient number for evaluation,” and their samples had been separated out for future studies with a special focus on these minority groups. Those subsequent studies would reveal the extent of Bowman’s network of </w:t>
      </w:r>
      <w:r w:rsidR="004F4A40">
        <w:rPr>
          <w:rFonts w:ascii="Times New Roman" w:hAnsi="Times New Roman" w:cs="Times New Roman"/>
        </w:rPr>
        <w:t xml:space="preserve">Iranian collaborators and </w:t>
      </w:r>
      <w:r w:rsidRPr="00190F04">
        <w:rPr>
          <w:rFonts w:ascii="Times New Roman" w:hAnsi="Times New Roman" w:cs="Times New Roman"/>
        </w:rPr>
        <w:t>“native informants” representing minority populations, who took a leading role in defining Bowman’s personal understanding and professional portrayal of Iran’s biological history</w:t>
      </w:r>
      <w:r w:rsidR="00B3333E" w:rsidRPr="00190F04">
        <w:rPr>
          <w:rFonts w:ascii="Times New Roman" w:hAnsi="Times New Roman" w:cs="Times New Roman"/>
        </w:rPr>
        <w:t xml:space="preserve"> along nationalist lines</w:t>
      </w:r>
      <w:r w:rsidRPr="00190F04">
        <w:rPr>
          <w:rFonts w:ascii="Times New Roman" w:hAnsi="Times New Roman" w:cs="Times New Roman"/>
        </w:rPr>
        <w:t>.</w:t>
      </w:r>
    </w:p>
    <w:p w14:paraId="382CDD36" w14:textId="24BAD8A1" w:rsidR="008F344F" w:rsidRPr="00190F04" w:rsidRDefault="008F344F" w:rsidP="00132CED">
      <w:pPr>
        <w:rPr>
          <w:rFonts w:ascii="Times New Roman" w:hAnsi="Times New Roman" w:cs="Times New Roman"/>
        </w:rPr>
      </w:pPr>
      <w:r w:rsidRPr="00190F04">
        <w:rPr>
          <w:rFonts w:ascii="Times New Roman" w:hAnsi="Times New Roman" w:cs="Times New Roman"/>
        </w:rPr>
        <w:tab/>
      </w:r>
      <w:r w:rsidR="005532A4" w:rsidRPr="00190F04">
        <w:rPr>
          <w:rFonts w:ascii="Times New Roman" w:hAnsi="Times New Roman" w:cs="Times New Roman"/>
        </w:rPr>
        <w:t xml:space="preserve">First, </w:t>
      </w:r>
      <w:r w:rsidRPr="00190F04">
        <w:rPr>
          <w:rFonts w:ascii="Times New Roman" w:hAnsi="Times New Roman" w:cs="Times New Roman"/>
        </w:rPr>
        <w:t xml:space="preserve">Bowman made several trips outside of his home base in Shiraz to collect blood samples from tribal populations maintaining a semi-nomadic lifestyle in the rural areas of Fars province. Namely, these included family groups from the Persian-speaking Basseri tribe of the Khamseh confederacy, the Turkic-speaking Qashqai confederacy, and the Luri-speaking Mamasani tribe. Bowman’s closest personal tribal connection appears to have been a “good friend” who served as a Nemazee Hospital technician and whose brother was a khan of the Mamasani tribe. Bowman’s plans to visit this tribe, which had a history of disputes with the </w:t>
      </w:r>
      <w:r w:rsidR="00C3563A" w:rsidRPr="00190F04">
        <w:rPr>
          <w:rFonts w:ascii="Times New Roman" w:hAnsi="Times New Roman" w:cs="Times New Roman"/>
        </w:rPr>
        <w:t xml:space="preserve">national </w:t>
      </w:r>
      <w:r w:rsidRPr="00190F04">
        <w:rPr>
          <w:rFonts w:ascii="Times New Roman" w:hAnsi="Times New Roman" w:cs="Times New Roman"/>
        </w:rPr>
        <w:t>government, attracted the attention of SAVAK</w:t>
      </w:r>
      <w:r w:rsidR="00C3563A" w:rsidRPr="00190F04">
        <w:rPr>
          <w:rFonts w:ascii="Times New Roman" w:hAnsi="Times New Roman" w:cs="Times New Roman"/>
        </w:rPr>
        <w:t xml:space="preserve">, the Iranian </w:t>
      </w:r>
      <w:r w:rsidR="000758D4" w:rsidRPr="00190F04">
        <w:rPr>
          <w:rFonts w:ascii="Times New Roman" w:hAnsi="Times New Roman" w:cs="Times New Roman"/>
        </w:rPr>
        <w:t>secret police</w:t>
      </w:r>
      <w:r w:rsidRPr="00190F04">
        <w:rPr>
          <w:rFonts w:ascii="Times New Roman" w:hAnsi="Times New Roman" w:cs="Times New Roman"/>
        </w:rPr>
        <w:t xml:space="preserve">, whose agents subjected Bowman to interrogation in Shiraz and surveillance in the field. According to Bowman, he earned the government’s trust by consistently distancing himself from his colleagues’ criticisms of the Shah, professing his own ignorance of Iranian politics and exclusive interest in medical and scientific questions. In so doing, he preserved the freedom of his own research agenda, as well as (he believed) his personal safety within Iran. </w:t>
      </w:r>
      <w:r w:rsidR="005532A4" w:rsidRPr="00190F04">
        <w:rPr>
          <w:rFonts w:ascii="Times New Roman" w:hAnsi="Times New Roman" w:cs="Times New Roman"/>
        </w:rPr>
        <w:t xml:space="preserve">His </w:t>
      </w:r>
      <w:r w:rsidRPr="00190F04">
        <w:rPr>
          <w:rFonts w:ascii="Times New Roman" w:hAnsi="Times New Roman" w:cs="Times New Roman"/>
        </w:rPr>
        <w:t>Iranian friends</w:t>
      </w:r>
      <w:r w:rsidR="005532A4" w:rsidRPr="00190F04">
        <w:rPr>
          <w:rFonts w:ascii="Times New Roman" w:hAnsi="Times New Roman" w:cs="Times New Roman"/>
        </w:rPr>
        <w:t>, however, did not enjoy Bowman’s privileged status as an American medical researcher</w:t>
      </w:r>
      <w:r w:rsidRPr="00190F04">
        <w:rPr>
          <w:rFonts w:ascii="Times New Roman" w:hAnsi="Times New Roman" w:cs="Times New Roman"/>
        </w:rPr>
        <w:t>; the Mamasani khan who had assisted his research was executed years later for attacking government soldiers who entered tribal territory (plausibly for the purpose of enforcing White Revolution land reforms).</w:t>
      </w:r>
      <w:r w:rsidRPr="00D941C7">
        <w:rPr>
          <w:rStyle w:val="FootnoteReference"/>
        </w:rPr>
        <w:footnoteReference w:id="60"/>
      </w:r>
    </w:p>
    <w:p w14:paraId="28056D28" w14:textId="02EEDB9F" w:rsidR="008F344F" w:rsidRDefault="008F344F" w:rsidP="00132CED">
      <w:pPr>
        <w:rPr>
          <w:rFonts w:ascii="Times New Roman" w:hAnsi="Times New Roman" w:cs="Times New Roman"/>
        </w:rPr>
      </w:pPr>
      <w:r w:rsidRPr="00190F04">
        <w:rPr>
          <w:rFonts w:ascii="Times New Roman" w:hAnsi="Times New Roman" w:cs="Times New Roman"/>
        </w:rPr>
        <w:tab/>
        <w:t>Sampling among the urban-dwelling minorities presented considerably fewer difficulties</w:t>
      </w:r>
      <w:r w:rsidR="005532A4" w:rsidRPr="00190F04">
        <w:rPr>
          <w:rFonts w:ascii="Times New Roman" w:hAnsi="Times New Roman" w:cs="Times New Roman"/>
        </w:rPr>
        <w:t xml:space="preserve">. Not only did Bowman have </w:t>
      </w:r>
      <w:r w:rsidRPr="00190F04">
        <w:rPr>
          <w:rFonts w:ascii="Times New Roman" w:hAnsi="Times New Roman" w:cs="Times New Roman"/>
        </w:rPr>
        <w:t>more Armenian, Zoroastrian, and Jewish colleagues working with him in Shiraz, but also, these groups had well-established pract</w:t>
      </w:r>
      <w:r w:rsidR="00B8073B" w:rsidRPr="00190F04">
        <w:rPr>
          <w:rFonts w:ascii="Times New Roman" w:hAnsi="Times New Roman" w:cs="Times New Roman"/>
        </w:rPr>
        <w:t>ices of recording their history.</w:t>
      </w:r>
      <w:r w:rsidRPr="00190F04">
        <w:rPr>
          <w:rFonts w:ascii="Times New Roman" w:hAnsi="Times New Roman" w:cs="Times New Roman"/>
        </w:rPr>
        <w:t xml:space="preserve"> In the case of the Armenians, Bowman and Walker traveled to New Julfa, the Armenian quarter of Isfahan, to add a further 153 blood samples to the ten they had already collected from Armenian hospital staff in Shiraz. When publishing the data, they credited Caro Owen Minasian, the Isfahan-born physician and scholar of Iranian-Armenian history, as “making this survey possible” and thanked him for “his clarification of many points regarding the history of the </w:t>
      </w:r>
      <w:r w:rsidRPr="00190F04">
        <w:rPr>
          <w:rFonts w:ascii="Times New Roman" w:hAnsi="Times New Roman" w:cs="Times New Roman"/>
        </w:rPr>
        <w:lastRenderedPageBreak/>
        <w:t>Armenians.”</w:t>
      </w:r>
      <w:r w:rsidRPr="00D941C7">
        <w:rPr>
          <w:rStyle w:val="FootnoteReference"/>
        </w:rPr>
        <w:footnoteReference w:id="61"/>
      </w:r>
      <w:r w:rsidRPr="00190F04">
        <w:rPr>
          <w:rFonts w:ascii="Times New Roman" w:hAnsi="Times New Roman" w:cs="Times New Roman"/>
        </w:rPr>
        <w:t xml:space="preserve"> These “clarifications” consisted primarily of a narrative of Armenian endogamy within the New Julfa community, which correlated with Bowman and Walker’s genetic findings:</w:t>
      </w:r>
    </w:p>
    <w:p w14:paraId="77EBE6E7" w14:textId="77777777" w:rsidR="003A631C" w:rsidRPr="00190F04" w:rsidRDefault="003A631C" w:rsidP="00132CED">
      <w:pPr>
        <w:rPr>
          <w:rFonts w:ascii="Times New Roman" w:hAnsi="Times New Roman" w:cs="Times New Roman"/>
        </w:rPr>
      </w:pPr>
    </w:p>
    <w:p w14:paraId="76CEFEE7" w14:textId="7E15E624" w:rsidR="003A631C" w:rsidRDefault="008F344F" w:rsidP="00132CED">
      <w:pPr>
        <w:ind w:left="1440"/>
        <w:rPr>
          <w:rFonts w:ascii="Times New Roman" w:eastAsia="Times New Roman" w:hAnsi="Times New Roman" w:cs="Times New Roman"/>
          <w:shd w:val="clear" w:color="auto" w:fill="FFFFFF"/>
        </w:rPr>
      </w:pPr>
      <w:r w:rsidRPr="00190F04">
        <w:rPr>
          <w:rFonts w:ascii="Times New Roman" w:eastAsia="Times New Roman" w:hAnsi="Times New Roman" w:cs="Times New Roman"/>
          <w:shd w:val="clear" w:color="auto" w:fill="FFFFFF"/>
        </w:rPr>
        <w:t xml:space="preserve">The Armenians in New Julfa were brought to Iran as Christian captives in 1604 and 1605 by Shah Abbas the Great from Julfa in what is now Soviet Armenia. </w:t>
      </w:r>
      <w:r w:rsidR="00677A63" w:rsidRPr="00190F04">
        <w:rPr>
          <w:rFonts w:ascii="Times New Roman" w:eastAsia="Times New Roman" w:hAnsi="Times New Roman" w:cs="Times New Roman"/>
          <w:shd w:val="clear" w:color="auto" w:fill="FFFFFF"/>
        </w:rPr>
        <w:t xml:space="preserve">Rather than being treated as slaves, they were encouraged to create a prosperous trade centre </w:t>
      </w:r>
      <w:r w:rsidRPr="00190F04">
        <w:rPr>
          <w:rFonts w:ascii="Times New Roman" w:eastAsia="Times New Roman" w:hAnsi="Times New Roman" w:cs="Times New Roman"/>
          <w:shd w:val="clear" w:color="auto" w:fill="FFFFFF"/>
        </w:rPr>
        <w:t>[…] While religious intolerance has not been permitted in Iran for many centuries, the Armenians were not encouraged to intermarry with the surrounding population. According to Dr. Caro Minasian, an Armenian physician and scholar, Armenians who have intermarried live outside of the area of New Julfa. This fact is supported by our finding of a virtual absence of the erythrocytic defect and by the blood group data. This population is thus an excellent example of what has been termed “religious isolates” by [anthropologist Ashley Montagu].</w:t>
      </w:r>
      <w:r w:rsidRPr="00D941C7">
        <w:rPr>
          <w:rStyle w:val="FootnoteReference"/>
        </w:rPr>
        <w:footnoteReference w:id="62"/>
      </w:r>
    </w:p>
    <w:p w14:paraId="6B7EAC46" w14:textId="77777777" w:rsidR="00B80A2B" w:rsidRPr="00B80A2B" w:rsidRDefault="00B80A2B" w:rsidP="00132CED">
      <w:pPr>
        <w:ind w:left="1440"/>
        <w:rPr>
          <w:rFonts w:ascii="Times New Roman" w:eastAsia="Times New Roman" w:hAnsi="Times New Roman" w:cs="Times New Roman"/>
        </w:rPr>
      </w:pPr>
    </w:p>
    <w:p w14:paraId="560B0F7A" w14:textId="5426C0F1" w:rsidR="0076191B" w:rsidRPr="00190F04" w:rsidRDefault="00191D23" w:rsidP="00132CED">
      <w:pPr>
        <w:rPr>
          <w:rFonts w:ascii="Times New Roman" w:hAnsi="Times New Roman" w:cs="Times New Roman"/>
        </w:rPr>
      </w:pPr>
      <w:r w:rsidRPr="00190F04">
        <w:rPr>
          <w:rFonts w:ascii="Times New Roman" w:hAnsi="Times New Roman" w:cs="Times New Roman"/>
        </w:rPr>
        <w:t>On the other hand, t</w:t>
      </w:r>
      <w:r w:rsidR="009728CA" w:rsidRPr="00190F04">
        <w:rPr>
          <w:rFonts w:ascii="Times New Roman" w:hAnsi="Times New Roman" w:cs="Times New Roman"/>
        </w:rPr>
        <w:t>he</w:t>
      </w:r>
      <w:r w:rsidR="00C6679E" w:rsidRPr="00190F04">
        <w:rPr>
          <w:rFonts w:ascii="Times New Roman" w:hAnsi="Times New Roman" w:cs="Times New Roman"/>
        </w:rPr>
        <w:t xml:space="preserve"> rosy</w:t>
      </w:r>
      <w:r w:rsidR="009728CA" w:rsidRPr="00190F04">
        <w:rPr>
          <w:rFonts w:ascii="Times New Roman" w:hAnsi="Times New Roman" w:cs="Times New Roman"/>
        </w:rPr>
        <w:t xml:space="preserve"> account of </w:t>
      </w:r>
      <w:r w:rsidR="00677A63" w:rsidRPr="00190F04">
        <w:rPr>
          <w:rFonts w:ascii="Times New Roman" w:hAnsi="Times New Roman" w:cs="Times New Roman"/>
        </w:rPr>
        <w:t>the Armenians’ arrival</w:t>
      </w:r>
      <w:r w:rsidR="00C6679E" w:rsidRPr="00190F04">
        <w:rPr>
          <w:rFonts w:ascii="Times New Roman" w:hAnsi="Times New Roman" w:cs="Times New Roman"/>
        </w:rPr>
        <w:t xml:space="preserve"> and </w:t>
      </w:r>
      <w:r w:rsidRPr="00190F04">
        <w:rPr>
          <w:rFonts w:ascii="Times New Roman" w:hAnsi="Times New Roman" w:cs="Times New Roman"/>
        </w:rPr>
        <w:t>enjoyment of</w:t>
      </w:r>
      <w:r w:rsidR="00C6679E" w:rsidRPr="00190F04">
        <w:rPr>
          <w:rFonts w:ascii="Times New Roman" w:hAnsi="Times New Roman" w:cs="Times New Roman"/>
        </w:rPr>
        <w:t xml:space="preserve"> “religious tolerance”</w:t>
      </w:r>
      <w:r w:rsidR="00677A63" w:rsidRPr="00190F04">
        <w:rPr>
          <w:rFonts w:ascii="Times New Roman" w:hAnsi="Times New Roman" w:cs="Times New Roman"/>
        </w:rPr>
        <w:t xml:space="preserve"> in Isfahan </w:t>
      </w:r>
      <w:r w:rsidR="00C6679E" w:rsidRPr="00190F04">
        <w:rPr>
          <w:rFonts w:ascii="Times New Roman" w:hAnsi="Times New Roman" w:cs="Times New Roman"/>
        </w:rPr>
        <w:t>represents a</w:t>
      </w:r>
      <w:r w:rsidRPr="00190F04">
        <w:rPr>
          <w:rFonts w:ascii="Times New Roman" w:hAnsi="Times New Roman" w:cs="Times New Roman"/>
        </w:rPr>
        <w:t xml:space="preserve">n Iranian nationalist </w:t>
      </w:r>
      <w:r w:rsidR="00B738D6" w:rsidRPr="00190F04">
        <w:rPr>
          <w:rFonts w:ascii="Times New Roman" w:hAnsi="Times New Roman" w:cs="Times New Roman"/>
        </w:rPr>
        <w:t>narrative that</w:t>
      </w:r>
      <w:r w:rsidRPr="00190F04">
        <w:rPr>
          <w:rFonts w:ascii="Times New Roman" w:hAnsi="Times New Roman" w:cs="Times New Roman"/>
        </w:rPr>
        <w:t xml:space="preserve"> glosses</w:t>
      </w:r>
      <w:r w:rsidR="00C6679E" w:rsidRPr="00190F04">
        <w:rPr>
          <w:rFonts w:ascii="Times New Roman" w:hAnsi="Times New Roman" w:cs="Times New Roman"/>
        </w:rPr>
        <w:t xml:space="preserve"> over the total destruction of Julfa, the </w:t>
      </w:r>
      <w:r w:rsidRPr="00190F04">
        <w:rPr>
          <w:rFonts w:ascii="Times New Roman" w:hAnsi="Times New Roman" w:cs="Times New Roman"/>
        </w:rPr>
        <w:t>coerced</w:t>
      </w:r>
      <w:r w:rsidR="00C6679E" w:rsidRPr="00190F04">
        <w:rPr>
          <w:rFonts w:ascii="Times New Roman" w:hAnsi="Times New Roman" w:cs="Times New Roman"/>
        </w:rPr>
        <w:t xml:space="preserve"> relocation of the Armenian population, and the centuries of formal and informal discrimination</w:t>
      </w:r>
      <w:r w:rsidRPr="00190F04">
        <w:rPr>
          <w:rFonts w:ascii="Times New Roman" w:hAnsi="Times New Roman" w:cs="Times New Roman"/>
        </w:rPr>
        <w:t xml:space="preserve"> they experienced in Iran</w:t>
      </w:r>
      <w:r w:rsidR="00C6679E" w:rsidRPr="00190F04">
        <w:rPr>
          <w:rFonts w:ascii="Times New Roman" w:hAnsi="Times New Roman" w:cs="Times New Roman"/>
        </w:rPr>
        <w:t>. The fact that Bowman, so active in the civil right</w:t>
      </w:r>
      <w:r w:rsidRPr="00190F04">
        <w:rPr>
          <w:rFonts w:ascii="Times New Roman" w:hAnsi="Times New Roman" w:cs="Times New Roman"/>
        </w:rPr>
        <w:t>s movement in his own country, could make such a distinction between captivity and slavery attests to his unquestioning acceptance of the domi</w:t>
      </w:r>
      <w:r w:rsidR="004F4A40">
        <w:rPr>
          <w:rFonts w:ascii="Times New Roman" w:hAnsi="Times New Roman" w:cs="Times New Roman"/>
        </w:rPr>
        <w:t>nant Iranian version of history—</w:t>
      </w:r>
      <w:r w:rsidRPr="00190F04">
        <w:rPr>
          <w:rFonts w:ascii="Times New Roman" w:hAnsi="Times New Roman" w:cs="Times New Roman"/>
        </w:rPr>
        <w:t xml:space="preserve"> one to which Iranian Armenians</w:t>
      </w:r>
      <w:r w:rsidR="004F4A40">
        <w:rPr>
          <w:rFonts w:ascii="Times New Roman" w:hAnsi="Times New Roman" w:cs="Times New Roman"/>
        </w:rPr>
        <w:t>, like his collaborator Minasian,</w:t>
      </w:r>
      <w:r w:rsidRPr="00190F04">
        <w:rPr>
          <w:rFonts w:ascii="Times New Roman" w:hAnsi="Times New Roman" w:cs="Times New Roman"/>
        </w:rPr>
        <w:t xml:space="preserve"> also paid “homage” to secure their community’s safety.</w:t>
      </w:r>
      <w:r w:rsidRPr="00D941C7">
        <w:rPr>
          <w:rStyle w:val="FootnoteReference"/>
        </w:rPr>
        <w:footnoteReference w:id="63"/>
      </w:r>
    </w:p>
    <w:p w14:paraId="1A519433" w14:textId="3AD562DB" w:rsidR="008F344F" w:rsidRPr="00190F04" w:rsidRDefault="004378A1" w:rsidP="00132CED">
      <w:pPr>
        <w:ind w:firstLine="720"/>
        <w:rPr>
          <w:rFonts w:ascii="Times New Roman" w:hAnsi="Times New Roman" w:cs="Times New Roman"/>
          <w:color w:val="000000"/>
        </w:rPr>
      </w:pPr>
      <w:r w:rsidRPr="00190F04">
        <w:rPr>
          <w:rFonts w:ascii="Times New Roman" w:hAnsi="Times New Roman" w:cs="Times New Roman"/>
        </w:rPr>
        <w:t>Meanwhile, a</w:t>
      </w:r>
      <w:r w:rsidR="008F344F" w:rsidRPr="00190F04">
        <w:rPr>
          <w:rFonts w:ascii="Times New Roman" w:hAnsi="Times New Roman" w:cs="Times New Roman"/>
        </w:rPr>
        <w:t xml:space="preserve"> striking absence of G6PD</w:t>
      </w:r>
      <w:r w:rsidR="0076191B" w:rsidRPr="00190F04">
        <w:rPr>
          <w:rFonts w:ascii="Times New Roman" w:hAnsi="Times New Roman" w:cs="Times New Roman"/>
        </w:rPr>
        <w:t xml:space="preserve"> deficiency </w:t>
      </w:r>
      <w:r w:rsidR="008F344F" w:rsidRPr="00190F04">
        <w:rPr>
          <w:rFonts w:ascii="Times New Roman" w:hAnsi="Times New Roman" w:cs="Times New Roman"/>
        </w:rPr>
        <w:t xml:space="preserve">also turned out to be a diagnostic character of the Zoroastrians in Yazd. This came as no surprise to Bowman, whose personal interactions with Zoroastrians had led him to expect evidence for their own claims to Iranian antiquity. </w:t>
      </w:r>
      <w:r w:rsidR="008F344F" w:rsidRPr="00190F04">
        <w:rPr>
          <w:rFonts w:ascii="Times New Roman" w:hAnsi="Times New Roman" w:cs="Times New Roman"/>
          <w:color w:val="000000"/>
        </w:rPr>
        <w:t>Just as for the Armenians, the collection of blood samples was facilitated by a prominent community member: Manouchehr Mavendad, the Zoroastrian chief of surgery at the Nemazee Hospital, who was also similarly thanked “for his clarification of Zoroastrian customs.”</w:t>
      </w:r>
      <w:r w:rsidR="008F344F" w:rsidRPr="00D941C7">
        <w:rPr>
          <w:rStyle w:val="FootnoteReference"/>
        </w:rPr>
        <w:footnoteReference w:id="64"/>
      </w:r>
      <w:r w:rsidR="008F344F" w:rsidRPr="00190F04">
        <w:rPr>
          <w:rFonts w:ascii="Times New Roman" w:hAnsi="Times New Roman" w:cs="Times New Roman"/>
        </w:rPr>
        <w:t xml:space="preserve"> In a 2006 oral history interview, Bowman recalled, “</w:t>
      </w:r>
      <w:r w:rsidR="008F344F" w:rsidRPr="00190F04">
        <w:rPr>
          <w:rFonts w:ascii="Times New Roman" w:hAnsi="Times New Roman" w:cs="Times New Roman"/>
          <w:color w:val="000000"/>
        </w:rPr>
        <w:t>[the Zoroastrians] knew that they were different and [were] very proud of it. They would say, ‘We</w:t>
      </w:r>
      <w:r w:rsidR="008F344F" w:rsidRPr="00190F04">
        <w:rPr>
          <w:rFonts w:ascii="Times New Roman" w:hAnsi="Times New Roman" w:cs="Times New Roman"/>
          <w:b/>
          <w:bCs/>
          <w:color w:val="000000"/>
        </w:rPr>
        <w:t xml:space="preserve"> </w:t>
      </w:r>
      <w:r w:rsidR="008F344F" w:rsidRPr="00190F04">
        <w:rPr>
          <w:rFonts w:ascii="Times New Roman" w:hAnsi="Times New Roman" w:cs="Times New Roman"/>
          <w:color w:val="000000"/>
        </w:rPr>
        <w:t>are the original Iranians.’”</w:t>
      </w:r>
      <w:r w:rsidR="008F344F" w:rsidRPr="00D941C7">
        <w:rPr>
          <w:rStyle w:val="FootnoteReference"/>
        </w:rPr>
        <w:footnoteReference w:id="65"/>
      </w:r>
      <w:r w:rsidR="008F344F" w:rsidRPr="00190F04">
        <w:rPr>
          <w:rFonts w:ascii="Times New Roman" w:hAnsi="Times New Roman" w:cs="Times New Roman"/>
          <w:color w:val="000000"/>
        </w:rPr>
        <w:t xml:space="preserve"> Bowman himself would continue to refer to Zoroastrians as “the original Iranians,” “the original Persians,” or even “the original Aryan populations,” for the rest of his career. </w:t>
      </w:r>
    </w:p>
    <w:p w14:paraId="4B55B00C" w14:textId="75A3F56F" w:rsidR="008F344F" w:rsidRDefault="008F344F" w:rsidP="00132CED">
      <w:pPr>
        <w:rPr>
          <w:rFonts w:ascii="Times New Roman" w:eastAsia="Times New Roman" w:hAnsi="Times New Roman" w:cs="Times New Roman"/>
          <w:shd w:val="clear" w:color="auto" w:fill="FFFFFF"/>
        </w:rPr>
      </w:pPr>
      <w:r w:rsidRPr="00190F04">
        <w:rPr>
          <w:rFonts w:ascii="Times New Roman" w:hAnsi="Times New Roman" w:cs="Times New Roman"/>
        </w:rPr>
        <w:tab/>
        <w:t xml:space="preserve">As seen above, Bowman’s rhetorical slippage between “Iranian” and “Persian” is symptomatic of Iranian nationalism generally, and of the constitution of “Iranians” as a coherent genetic population more specifically. In his 1961 conference report with Walker on the origins of G6PD deficiency in Iran, he foregrounded Zoroastrianism in his framing of the contemporary Iranians as the product of an ancient Persian population: </w:t>
      </w:r>
      <w:r w:rsidRPr="00190F04">
        <w:rPr>
          <w:rFonts w:ascii="Times New Roman" w:eastAsia="Times New Roman" w:hAnsi="Times New Roman" w:cs="Times New Roman"/>
          <w:shd w:val="clear" w:color="auto" w:fill="FFFFFF"/>
        </w:rPr>
        <w:t xml:space="preserve">"By the mid-sixth century B. C., a new people, the Persians, appeared on the world scene. They were Indo-Iranian in language, </w:t>
      </w:r>
      <w:r w:rsidRPr="00190F04">
        <w:rPr>
          <w:rFonts w:ascii="Times New Roman" w:eastAsia="Times New Roman" w:hAnsi="Times New Roman" w:cs="Times New Roman"/>
          <w:shd w:val="clear" w:color="auto" w:fill="FFFFFF"/>
        </w:rPr>
        <w:lastRenderedPageBreak/>
        <w:t>Zoroastrian in religion, and differed ethnically from Mesopotamians, Phoenicians, Hebrews and Egyptians,” and, in Bowman’s narrative, initially devoid of G6PD deficiency.</w:t>
      </w:r>
      <w:r w:rsidRPr="00D941C7">
        <w:rPr>
          <w:rStyle w:val="FootnoteReference"/>
        </w:rPr>
        <w:footnoteReference w:id="66"/>
      </w:r>
      <w:r w:rsidRPr="00190F04">
        <w:rPr>
          <w:rFonts w:ascii="Times New Roman" w:hAnsi="Times New Roman" w:cs="Times New Roman"/>
        </w:rPr>
        <w:t xml:space="preserve"> Based on his population surveys, Bowman argued, the possible human sources of the condition who had introduced it into the ancient Persian population included </w:t>
      </w:r>
      <w:r w:rsidRPr="00190F04">
        <w:rPr>
          <w:rFonts w:ascii="Times New Roman" w:eastAsia="Times New Roman" w:hAnsi="Times New Roman" w:cs="Times New Roman"/>
          <w:shd w:val="clear" w:color="auto" w:fill="FFFFFF"/>
        </w:rPr>
        <w:t>the Muslim Arab forces who conquered Iran in the 7</w:t>
      </w:r>
      <w:r w:rsidRPr="00190F04">
        <w:rPr>
          <w:rFonts w:ascii="Times New Roman" w:eastAsia="Times New Roman" w:hAnsi="Times New Roman" w:cs="Times New Roman"/>
          <w:shd w:val="clear" w:color="auto" w:fill="FFFFFF"/>
          <w:vertAlign w:val="superscript"/>
        </w:rPr>
        <w:t>th</w:t>
      </w:r>
      <w:r w:rsidRPr="00190F04">
        <w:rPr>
          <w:rFonts w:ascii="Times New Roman" w:eastAsia="Times New Roman" w:hAnsi="Times New Roman" w:cs="Times New Roman"/>
          <w:shd w:val="clear" w:color="auto" w:fill="FFFFFF"/>
        </w:rPr>
        <w:t xml:space="preserve"> century CE; Jews originally liberated by Cyrus in the 5th century BCE who settled in Iran and eventually converted to Islam; and nomadic tribal groups who “migrated or were brought to Iran from bordering countries since the Islamic conquests to act as buffers against local dissident groups,” many of whose descendants had gradually “left their peoples” and whose “progeny are lost in the Moslem population.”</w:t>
      </w:r>
      <w:r w:rsidRPr="00D941C7">
        <w:rPr>
          <w:rStyle w:val="FootnoteReference"/>
        </w:rPr>
        <w:footnoteReference w:id="67"/>
      </w:r>
      <w:r w:rsidRPr="00190F04">
        <w:rPr>
          <w:rFonts w:ascii="Times New Roman" w:eastAsia="Times New Roman" w:hAnsi="Times New Roman" w:cs="Times New Roman"/>
          <w:shd w:val="clear" w:color="auto" w:fill="FFFFFF"/>
        </w:rPr>
        <w:t xml:space="preserve"> Central to his argument was the absence of favism among the Zoroastrian community, which despite its shrinking numbers maintained its total and permanent rejection of proselytism and outmarriage:</w:t>
      </w:r>
    </w:p>
    <w:p w14:paraId="3006253A" w14:textId="77777777" w:rsidR="003A631C" w:rsidRPr="00B80A2B" w:rsidRDefault="003A631C" w:rsidP="00132CED">
      <w:pPr>
        <w:rPr>
          <w:rFonts w:ascii="Times New Roman" w:eastAsia="Times New Roman" w:hAnsi="Times New Roman" w:cs="Times New Roman"/>
          <w:shd w:val="clear" w:color="auto" w:fill="FFFFFF"/>
        </w:rPr>
      </w:pPr>
    </w:p>
    <w:p w14:paraId="54228122" w14:textId="2E0B94D8" w:rsidR="008F344F" w:rsidRDefault="008F344F" w:rsidP="00132CED">
      <w:pPr>
        <w:ind w:left="1440"/>
        <w:rPr>
          <w:rFonts w:ascii="Times New Roman" w:eastAsia="Times New Roman" w:hAnsi="Times New Roman" w:cs="Times New Roman"/>
        </w:rPr>
      </w:pPr>
      <w:r w:rsidRPr="00190F04">
        <w:rPr>
          <w:rFonts w:ascii="Times New Roman" w:eastAsia="Times New Roman" w:hAnsi="Times New Roman" w:cs="Times New Roman"/>
          <w:shd w:val="clear" w:color="auto" w:fill="FFFFFF"/>
        </w:rPr>
        <w:t>The Zoroastrians are the closest to the original Persians now in existence and today number only 15 to 20,000. […] Zoroastrians have a strict unwritten code: they do not proselytize, outsiders are not accepted into the religion, and if a Zoroastrian marries into another group, neither he nor his children are considered Zoroastrian. In this population, there is not only absence (or at least a very low frequency) of G-6-PD deficiency, but a clear difference in the frequency of the B gene from that of the Moslem population. […] Zoroastrians believe that they were untouched by the Mongol invasions of the 13th-14th centuries. They most certainly were not the defending forces. If this is true, it suggests that the Zoroastrians, with their extensive Empire, were also reservoirs of the B gene. The importance of this group for future studies is incalculable. Unfortunately, if the present rate of loss of its members continues, they will probably be extinct within the next 50 years.</w:t>
      </w:r>
      <w:r w:rsidRPr="00D941C7">
        <w:rPr>
          <w:rStyle w:val="FootnoteReference"/>
        </w:rPr>
        <w:footnoteReference w:id="68"/>
      </w:r>
    </w:p>
    <w:p w14:paraId="0D59DD24" w14:textId="77777777" w:rsidR="00B80A2B" w:rsidRPr="00B80A2B" w:rsidRDefault="00B80A2B" w:rsidP="00132CED">
      <w:pPr>
        <w:ind w:left="1440"/>
        <w:rPr>
          <w:rFonts w:ascii="Times New Roman" w:eastAsia="Times New Roman" w:hAnsi="Times New Roman" w:cs="Times New Roman"/>
        </w:rPr>
      </w:pPr>
    </w:p>
    <w:p w14:paraId="33B81CFB" w14:textId="77777777" w:rsidR="00B31F2A" w:rsidRPr="00190F04" w:rsidRDefault="008F344F" w:rsidP="00132CED">
      <w:pPr>
        <w:rPr>
          <w:rFonts w:ascii="Times New Roman" w:hAnsi="Times New Roman" w:cs="Times New Roman"/>
        </w:rPr>
      </w:pPr>
      <w:r w:rsidRPr="00190F04">
        <w:rPr>
          <w:rFonts w:ascii="Times New Roman" w:hAnsi="Times New Roman" w:cs="Times New Roman"/>
        </w:rPr>
        <w:t>Following up on this initial work on ABO and G6PD markers, Bowman expanded the genetic analysis to haptoglobins and transferrins, the results of which further reinforced his belief in the longstanding marital, and thus genetic, isolation of Zoroastrians from Muslim Iranians: “</w:t>
      </w:r>
      <w:r w:rsidRPr="00190F04">
        <w:rPr>
          <w:rFonts w:ascii="Times New Roman" w:eastAsia="Times New Roman" w:hAnsi="Times New Roman" w:cs="Times New Roman"/>
          <w:shd w:val="clear" w:color="auto" w:fill="FFFFFF"/>
        </w:rPr>
        <w:t>The Zoroastrians are…separable from the Moslems by ABO blood groups, G6PD assays and haptoglobins. Whatever the Zoroastrians were before the Islamic era, there is no doubt that they are a separate and genetically different breeding group from that of the present Moslem majority. There is no question of their cultural distinctiveness.”</w:t>
      </w:r>
      <w:r w:rsidRPr="00D941C7">
        <w:rPr>
          <w:rStyle w:val="FootnoteReference"/>
        </w:rPr>
        <w:footnoteReference w:id="69"/>
      </w:r>
      <w:r w:rsidRPr="00190F04">
        <w:rPr>
          <w:rFonts w:ascii="Times New Roman" w:hAnsi="Times New Roman" w:cs="Times New Roman"/>
        </w:rPr>
        <w:t xml:space="preserve"> </w:t>
      </w:r>
    </w:p>
    <w:p w14:paraId="604CAE51" w14:textId="412FD53F" w:rsidR="008F344F" w:rsidRDefault="008F344F" w:rsidP="00132CED">
      <w:pPr>
        <w:ind w:firstLine="720"/>
        <w:rPr>
          <w:rFonts w:ascii="Times New Roman" w:hAnsi="Times New Roman" w:cs="Times New Roman"/>
        </w:rPr>
      </w:pPr>
      <w:r w:rsidRPr="00190F04">
        <w:rPr>
          <w:rFonts w:ascii="Times New Roman" w:hAnsi="Times New Roman" w:cs="Times New Roman"/>
        </w:rPr>
        <w:t xml:space="preserve">Bowman’s </w:t>
      </w:r>
      <w:r w:rsidR="009944C7">
        <w:rPr>
          <w:rFonts w:ascii="Times New Roman" w:hAnsi="Times New Roman" w:cs="Times New Roman"/>
        </w:rPr>
        <w:t>acceptance of</w:t>
      </w:r>
      <w:r w:rsidRPr="00190F04">
        <w:rPr>
          <w:rFonts w:ascii="Times New Roman" w:hAnsi="Times New Roman" w:cs="Times New Roman"/>
        </w:rPr>
        <w:t xml:space="preserve"> Zoroastrians’ </w:t>
      </w:r>
      <w:r w:rsidR="009944C7">
        <w:rPr>
          <w:rFonts w:ascii="Times New Roman" w:hAnsi="Times New Roman" w:cs="Times New Roman"/>
        </w:rPr>
        <w:t xml:space="preserve">claims to have </w:t>
      </w:r>
      <w:r w:rsidRPr="00190F04">
        <w:rPr>
          <w:rFonts w:ascii="Times New Roman" w:hAnsi="Times New Roman" w:cs="Times New Roman"/>
        </w:rPr>
        <w:t>perfect</w:t>
      </w:r>
      <w:r w:rsidR="009944C7">
        <w:rPr>
          <w:rFonts w:ascii="Times New Roman" w:hAnsi="Times New Roman" w:cs="Times New Roman"/>
        </w:rPr>
        <w:t>ly preserved</w:t>
      </w:r>
      <w:r w:rsidRPr="00190F04">
        <w:rPr>
          <w:rFonts w:ascii="Times New Roman" w:hAnsi="Times New Roman" w:cs="Times New Roman"/>
        </w:rPr>
        <w:t xml:space="preserve"> their original gene pool are all the more striking given the skepticism he meted out to Israeli geneticists who made similar claims about Jewish history. In the course of his G6PD deficiency research in Iran, he had established a friendly professional correspondence with the Tel-Hashomer medical geneticists Chaim Sheba, Aryeh Szeinberg, and Bracha Ramot regarding their work on the </w:t>
      </w:r>
      <w:r w:rsidRPr="00190F04">
        <w:rPr>
          <w:rFonts w:ascii="Times New Roman" w:hAnsi="Times New Roman" w:cs="Times New Roman"/>
        </w:rPr>
        <w:lastRenderedPageBreak/>
        <w:t>condition among Mizrahi Jews in Israel. In Bowman’s view, the dramatic genetic variation observable between different Jewish communities (e.g. between Ashkenazim and Kurdish, Indian and Ethiopian Jews) was obvious evidence of past proselytization, even if Zionists had lately attempted to erase such incidents from their history:</w:t>
      </w:r>
    </w:p>
    <w:p w14:paraId="292AE798" w14:textId="77777777" w:rsidR="003A631C" w:rsidRPr="00190F04" w:rsidRDefault="003A631C" w:rsidP="00132CED">
      <w:pPr>
        <w:ind w:firstLine="720"/>
        <w:rPr>
          <w:rFonts w:ascii="Times New Roman" w:hAnsi="Times New Roman" w:cs="Times New Roman"/>
        </w:rPr>
      </w:pPr>
    </w:p>
    <w:p w14:paraId="78C8526F" w14:textId="4F83BB21" w:rsidR="008F344F" w:rsidRPr="00190F04" w:rsidRDefault="00B80A2B" w:rsidP="00132CED">
      <w:pPr>
        <w:ind w:left="1440"/>
        <w:rPr>
          <w:rFonts w:ascii="Times New Roman" w:hAnsi="Times New Roman" w:cs="Times New Roman"/>
        </w:rPr>
      </w:pPr>
      <w:r>
        <w:rPr>
          <w:rFonts w:ascii="Times New Roman" w:hAnsi="Times New Roman" w:cs="Times New Roman"/>
        </w:rPr>
        <w:t>[G]</w:t>
      </w:r>
      <w:r w:rsidR="008F344F" w:rsidRPr="00190F04">
        <w:rPr>
          <w:rFonts w:ascii="Times New Roman" w:hAnsi="Times New Roman" w:cs="Times New Roman"/>
        </w:rPr>
        <w:t xml:space="preserve">oing back to the history of Judaism, one of the things that I ran across that was very interesting was that Jews maintained they did not proselytize. I mean, they did </w:t>
      </w:r>
      <w:r w:rsidR="008F344F" w:rsidRPr="00190F04">
        <w:rPr>
          <w:rFonts w:ascii="Times New Roman" w:hAnsi="Times New Roman" w:cs="Times New Roman"/>
          <w:i/>
          <w:iCs/>
        </w:rPr>
        <w:t xml:space="preserve">not </w:t>
      </w:r>
      <w:r w:rsidR="008F344F" w:rsidRPr="00190F04">
        <w:rPr>
          <w:rFonts w:ascii="Times New Roman" w:hAnsi="Times New Roman" w:cs="Times New Roman"/>
        </w:rPr>
        <w:t>do it. I said, “But you do proselytize. Look at the Asian-Indian Jews. They're Asian Indians. Look at the Falasha in Ethiopia. They're Ethiopians. All of this is from proselytizing.” […]</w:t>
      </w:r>
      <w:r w:rsidR="00B86ADD">
        <w:rPr>
          <w:rFonts w:ascii="Times New Roman" w:hAnsi="Times New Roman" w:cs="Times New Roman"/>
        </w:rPr>
        <w:t xml:space="preserve"> </w:t>
      </w:r>
      <w:r w:rsidR="008F344F" w:rsidRPr="00190F04">
        <w:rPr>
          <w:rFonts w:ascii="Times New Roman" w:hAnsi="Times New Roman" w:cs="Times New Roman"/>
        </w:rPr>
        <w:t>That is part of your heritage, and it's a beautiful part… The Zoroastrians did not proselytize. They were a bunch to themselves.</w:t>
      </w:r>
      <w:r w:rsidR="008F344F" w:rsidRPr="00D941C7">
        <w:rPr>
          <w:rStyle w:val="FootnoteReference"/>
        </w:rPr>
        <w:footnoteReference w:id="70"/>
      </w:r>
    </w:p>
    <w:p w14:paraId="380F5394" w14:textId="77777777" w:rsidR="008F344F" w:rsidRPr="00190F04" w:rsidRDefault="008F344F" w:rsidP="00132CED">
      <w:pPr>
        <w:rPr>
          <w:rFonts w:ascii="Times New Roman" w:hAnsi="Times New Roman" w:cs="Times New Roman"/>
        </w:rPr>
      </w:pPr>
    </w:p>
    <w:p w14:paraId="67377005" w14:textId="2BAC097C" w:rsidR="008F344F" w:rsidRPr="00190F04" w:rsidRDefault="008F344F" w:rsidP="00132CED">
      <w:pPr>
        <w:ind w:firstLine="720"/>
        <w:rPr>
          <w:rFonts w:ascii="Times New Roman" w:eastAsia="Times New Roman" w:hAnsi="Times New Roman" w:cs="Times New Roman"/>
          <w:shd w:val="clear" w:color="auto" w:fill="FFFFFF"/>
        </w:rPr>
      </w:pPr>
      <w:r w:rsidRPr="00190F04">
        <w:rPr>
          <w:rFonts w:ascii="Times New Roman" w:hAnsi="Times New Roman" w:cs="Times New Roman"/>
        </w:rPr>
        <w:t xml:space="preserve">The </w:t>
      </w:r>
      <w:proofErr w:type="gramStart"/>
      <w:r w:rsidRPr="00190F04">
        <w:rPr>
          <w:rFonts w:ascii="Times New Roman" w:hAnsi="Times New Roman" w:cs="Times New Roman"/>
        </w:rPr>
        <w:t>British-affiliated research in Iran between 1965-1972, most of which was financed by the WHO or the IBP</w:t>
      </w:r>
      <w:proofErr w:type="gramEnd"/>
      <w:r w:rsidRPr="00190F04">
        <w:rPr>
          <w:rFonts w:ascii="Times New Roman" w:hAnsi="Times New Roman" w:cs="Times New Roman"/>
        </w:rPr>
        <w:t xml:space="preserve">, </w:t>
      </w:r>
      <w:r w:rsidR="00E10DE1" w:rsidRPr="00190F04">
        <w:rPr>
          <w:rFonts w:ascii="Times New Roman" w:hAnsi="Times New Roman" w:cs="Times New Roman"/>
        </w:rPr>
        <w:t>involved</w:t>
      </w:r>
      <w:r w:rsidRPr="00190F04">
        <w:rPr>
          <w:rFonts w:ascii="Times New Roman" w:hAnsi="Times New Roman" w:cs="Times New Roman"/>
        </w:rPr>
        <w:t xml:space="preserve"> stark logistic</w:t>
      </w:r>
      <w:r w:rsidR="00E10DE1" w:rsidRPr="00190F04">
        <w:rPr>
          <w:rFonts w:ascii="Times New Roman" w:hAnsi="Times New Roman" w:cs="Times New Roman"/>
        </w:rPr>
        <w:t>al and conceptual differences to Bowman’s approach to</w:t>
      </w:r>
      <w:r w:rsidRPr="00190F04">
        <w:rPr>
          <w:rFonts w:ascii="Times New Roman" w:hAnsi="Times New Roman" w:cs="Times New Roman"/>
        </w:rPr>
        <w:t xml:space="preserve"> blood sampling and interpretation. Curiously, the British hematologists involved (</w:t>
      </w:r>
      <w:r w:rsidR="00B738D6" w:rsidRPr="00190F04">
        <w:rPr>
          <w:rFonts w:ascii="Times New Roman" w:hAnsi="Times New Roman" w:cs="Times New Roman"/>
        </w:rPr>
        <w:t>i.e.</w:t>
      </w:r>
      <w:r w:rsidRPr="00190F04">
        <w:rPr>
          <w:rFonts w:ascii="Times New Roman" w:hAnsi="Times New Roman" w:cs="Times New Roman"/>
        </w:rPr>
        <w:t xml:space="preserve">, Mourant, Lehmann, Eric Sunderland, and Peter Beaconsfield) seem to have been unaware of Bowman’s 1959-1964 publications in </w:t>
      </w:r>
      <w:r w:rsidRPr="00190F04">
        <w:rPr>
          <w:rFonts w:ascii="Times New Roman" w:hAnsi="Times New Roman" w:cs="Times New Roman"/>
          <w:i/>
        </w:rPr>
        <w:t>Nature</w:t>
      </w:r>
      <w:r w:rsidRPr="00190F04">
        <w:rPr>
          <w:rFonts w:ascii="Times New Roman" w:hAnsi="Times New Roman" w:cs="Times New Roman"/>
        </w:rPr>
        <w:t xml:space="preserve"> until about 1968, even though they shared a major interest in the variable incidence of favism in different Iranian groups</w:t>
      </w:r>
      <w:r w:rsidR="008B1E69">
        <w:rPr>
          <w:rFonts w:ascii="Times New Roman" w:hAnsi="Times New Roman" w:cs="Times New Roman"/>
        </w:rPr>
        <w:t xml:space="preserve"> and </w:t>
      </w:r>
      <w:r w:rsidRPr="00190F04">
        <w:rPr>
          <w:rFonts w:ascii="Times New Roman" w:hAnsi="Times New Roman" w:cs="Times New Roman"/>
        </w:rPr>
        <w:t>ultimately covered similar ground to Bowman in other locations within Iran</w:t>
      </w:r>
      <w:r w:rsidRPr="00190F04">
        <w:rPr>
          <w:rFonts w:ascii="Times New Roman" w:eastAsia="Times New Roman" w:hAnsi="Times New Roman" w:cs="Times New Roman"/>
          <w:shd w:val="clear" w:color="auto" w:fill="FFFFFF"/>
        </w:rPr>
        <w:t xml:space="preserve">. </w:t>
      </w:r>
      <w:r w:rsidR="008B1E69">
        <w:rPr>
          <w:rFonts w:ascii="Times New Roman" w:eastAsia="Times New Roman" w:hAnsi="Times New Roman" w:cs="Times New Roman"/>
          <w:shd w:val="clear" w:color="auto" w:fill="FFFFFF"/>
        </w:rPr>
        <w:t xml:space="preserve">For example, </w:t>
      </w:r>
      <w:r w:rsidRPr="00190F04">
        <w:rPr>
          <w:rFonts w:ascii="Times New Roman" w:eastAsia="Times New Roman" w:hAnsi="Times New Roman" w:cs="Times New Roman"/>
          <w:shd w:val="clear" w:color="auto" w:fill="FFFFFF"/>
        </w:rPr>
        <w:t xml:space="preserve">Peter Beaconsfield </w:t>
      </w:r>
      <w:r w:rsidR="00A17543">
        <w:rPr>
          <w:rFonts w:ascii="Times New Roman" w:eastAsia="Times New Roman" w:hAnsi="Times New Roman" w:cs="Times New Roman"/>
          <w:shd w:val="clear" w:color="auto" w:fill="FFFFFF"/>
        </w:rPr>
        <w:t>worked</w:t>
      </w:r>
      <w:r w:rsidRPr="00190F04">
        <w:rPr>
          <w:rFonts w:ascii="Times New Roman" w:eastAsia="Times New Roman" w:hAnsi="Times New Roman" w:cs="Times New Roman"/>
          <w:shd w:val="clear" w:color="auto" w:fill="FFFFFF"/>
        </w:rPr>
        <w:t xml:space="preserve"> closely with Iranian physicians at the University of Tehran’s Institute of Public Health Research to conduct a survey of G6PD deficiency in different regions of Iran. </w:t>
      </w:r>
      <w:r w:rsidR="008B1E69">
        <w:rPr>
          <w:rFonts w:ascii="Times New Roman" w:eastAsia="Times New Roman" w:hAnsi="Times New Roman" w:cs="Times New Roman"/>
          <w:shd w:val="clear" w:color="auto" w:fill="FFFFFF"/>
        </w:rPr>
        <w:t>Unlike Bowman</w:t>
      </w:r>
      <w:r w:rsidRPr="00190F04">
        <w:rPr>
          <w:rFonts w:ascii="Times New Roman" w:eastAsia="Times New Roman" w:hAnsi="Times New Roman" w:cs="Times New Roman"/>
          <w:shd w:val="clear" w:color="auto" w:fill="FFFFFF"/>
        </w:rPr>
        <w:t>, Beaconsf</w:t>
      </w:r>
      <w:r w:rsidR="008B1E69">
        <w:rPr>
          <w:rFonts w:ascii="Times New Roman" w:eastAsia="Times New Roman" w:hAnsi="Times New Roman" w:cs="Times New Roman"/>
          <w:shd w:val="clear" w:color="auto" w:fill="FFFFFF"/>
        </w:rPr>
        <w:t>ield and his Iranian colleagues</w:t>
      </w:r>
      <w:r w:rsidRPr="00190F04">
        <w:rPr>
          <w:rFonts w:ascii="Times New Roman" w:eastAsia="Times New Roman" w:hAnsi="Times New Roman" w:cs="Times New Roman"/>
          <w:shd w:val="clear" w:color="auto" w:fill="FFFFFF"/>
        </w:rPr>
        <w:t xml:space="preserve"> tended to analyze populations by urban locality; only in Tehran and Yazd did they follow Bowman’s protocol of sorting samples by religious communities (separating out Jews and Armenians in Tehran, Zoroastrians in Yazd).</w:t>
      </w:r>
      <w:r w:rsidRPr="00D941C7">
        <w:rPr>
          <w:rStyle w:val="FootnoteReference"/>
        </w:rPr>
        <w:footnoteReference w:id="71"/>
      </w:r>
      <w:r w:rsidRPr="00190F04">
        <w:rPr>
          <w:rFonts w:ascii="Times New Roman" w:eastAsia="Times New Roman" w:hAnsi="Times New Roman" w:cs="Times New Roman"/>
          <w:shd w:val="clear" w:color="auto" w:fill="FFFFFF"/>
        </w:rPr>
        <w:t xml:space="preserve"> </w:t>
      </w:r>
    </w:p>
    <w:p w14:paraId="025538E2" w14:textId="7549AB9F" w:rsidR="008F344F" w:rsidRDefault="008F344F" w:rsidP="00132CED">
      <w:pPr>
        <w:rPr>
          <w:rFonts w:ascii="Times New Roman" w:hAnsi="Times New Roman" w:cs="Times New Roman"/>
        </w:rPr>
      </w:pPr>
      <w:r w:rsidRPr="00190F04">
        <w:rPr>
          <w:rFonts w:ascii="Times New Roman" w:eastAsia="Times New Roman" w:hAnsi="Times New Roman" w:cs="Times New Roman"/>
          <w:shd w:val="clear" w:color="auto" w:fill="FFFFFF"/>
        </w:rPr>
        <w:tab/>
        <w:t>Mourant and Lehmann—like Bowman—were decidedly more interested in the anthropological interpretation of variable favism incidence and the possibility of aligning genetic data with historical narratives. Unlike Bowman, their primary research target was not the Zoroastrians but Iran’s Kurdish population</w:t>
      </w:r>
      <w:r w:rsidRPr="00190F04">
        <w:rPr>
          <w:rFonts w:ascii="Times New Roman" w:hAnsi="Times New Roman" w:cs="Times New Roman"/>
        </w:rPr>
        <w:t>, a direct development of the Israeli discovery of the remarkably high frequency of G6PD deficiency in Jewish Kurds. In 1969, Lehmann traveled to Iran with a team of British physicians; like Beaconsfield before them, their main base of operations was the Institute for Public Health Research. Lehmann enjoyed the personal hospitality of the director, Chamseddine Mofidi, who was also then-vice chancellor of the University of Tehran. Lehmann relied on Mofidi’s network of Iranian public health officials and clinicians to facilitate his fieldwork in Kurdistan province among Kurdish villagers who were “believed to be almost completely unmixed genetically with other populations.”</w:t>
      </w:r>
      <w:r w:rsidRPr="00D941C7">
        <w:rPr>
          <w:rStyle w:val="FootnoteReference"/>
        </w:rPr>
        <w:footnoteReference w:id="72"/>
      </w:r>
      <w:r w:rsidRPr="00190F04">
        <w:rPr>
          <w:rFonts w:ascii="Times New Roman" w:hAnsi="Times New Roman" w:cs="Times New Roman"/>
        </w:rPr>
        <w:t xml:space="preserve"> The correspondence between Mourant and Lehmann while the latter was in Tehran further reveals not only the research priorities of the British geneticists in Iran, but also the </w:t>
      </w:r>
      <w:r w:rsidR="005A3595">
        <w:rPr>
          <w:rFonts w:ascii="Times New Roman" w:hAnsi="Times New Roman" w:cs="Times New Roman"/>
        </w:rPr>
        <w:t>nature of the collaborative hierarchy expected</w:t>
      </w:r>
      <w:r w:rsidRPr="00190F04">
        <w:rPr>
          <w:rFonts w:ascii="Times New Roman" w:hAnsi="Times New Roman" w:cs="Times New Roman"/>
        </w:rPr>
        <w:t xml:space="preserve"> by Western scientists </w:t>
      </w:r>
      <w:r w:rsidR="005A3595">
        <w:rPr>
          <w:rFonts w:ascii="Times New Roman" w:hAnsi="Times New Roman" w:cs="Times New Roman"/>
        </w:rPr>
        <w:t>working in developing</w:t>
      </w:r>
      <w:r w:rsidRPr="00190F04">
        <w:rPr>
          <w:rFonts w:ascii="Times New Roman" w:hAnsi="Times New Roman" w:cs="Times New Roman"/>
        </w:rPr>
        <w:t xml:space="preserve"> countries. Mourant expressed his interest in Lehmann’s discovery of “Romany speaking people” in Iran and mused </w:t>
      </w:r>
      <w:r w:rsidRPr="00190F04">
        <w:rPr>
          <w:rFonts w:ascii="Times New Roman" w:hAnsi="Times New Roman" w:cs="Times New Roman"/>
        </w:rPr>
        <w:lastRenderedPageBreak/>
        <w:t>how to broach the topic with “essential collaborators” who should be involved in future research on the population:</w:t>
      </w:r>
    </w:p>
    <w:p w14:paraId="15FC1156" w14:textId="77777777" w:rsidR="003A631C" w:rsidRPr="00190F04" w:rsidRDefault="003A631C" w:rsidP="00132CED">
      <w:pPr>
        <w:rPr>
          <w:rFonts w:ascii="Times New Roman" w:hAnsi="Times New Roman" w:cs="Times New Roman"/>
        </w:rPr>
      </w:pPr>
    </w:p>
    <w:p w14:paraId="6AFA2E44" w14:textId="0BAEB7FC" w:rsidR="008F344F" w:rsidRDefault="008F344F" w:rsidP="00132CED">
      <w:pPr>
        <w:ind w:left="1440"/>
        <w:rPr>
          <w:rFonts w:ascii="Times New Roman" w:hAnsi="Times New Roman" w:cs="Times New Roman"/>
        </w:rPr>
      </w:pPr>
      <w:r w:rsidRPr="00190F04">
        <w:rPr>
          <w:rFonts w:ascii="Times New Roman" w:hAnsi="Times New Roman" w:cs="Times New Roman"/>
        </w:rPr>
        <w:t xml:space="preserve">Perhaps </w:t>
      </w:r>
      <w:r w:rsidR="00B86ADD">
        <w:rPr>
          <w:rFonts w:ascii="Times New Roman" w:hAnsi="Times New Roman" w:cs="Times New Roman"/>
        </w:rPr>
        <w:t xml:space="preserve">[Eric] </w:t>
      </w:r>
      <w:r w:rsidRPr="00190F04">
        <w:rPr>
          <w:rFonts w:ascii="Times New Roman" w:hAnsi="Times New Roman" w:cs="Times New Roman"/>
        </w:rPr>
        <w:t xml:space="preserve">Sunderland can be brought into this—in fact we can hardly do anything about Romanys at the moment without discussing it with him. Also he has already worked in Iran. […] As regards other people involved in Iran, I am not deeply concerned about Beaconsfield and his colleague [Rebecca Rainsbury], especially as it appears that they are not regarded as </w:t>
      </w:r>
      <w:r w:rsidRPr="005A3595">
        <w:rPr>
          <w:rFonts w:ascii="Times New Roman" w:hAnsi="Times New Roman" w:cs="Times New Roman"/>
          <w:i/>
        </w:rPr>
        <w:t>essential collaborators</w:t>
      </w:r>
      <w:r w:rsidRPr="00190F04">
        <w:rPr>
          <w:rFonts w:ascii="Times New Roman" w:hAnsi="Times New Roman" w:cs="Times New Roman"/>
        </w:rPr>
        <w:t xml:space="preserve"> by Prof. Mofidi. Bowman however I do not want to upset in any way, I think we perhaps ought to discuss further plans with him, and I should be glad to know how Mofidi regards him. He has of course been involved in Iran for some 10 years.</w:t>
      </w:r>
      <w:r w:rsidR="00F54D06" w:rsidRPr="00190F04">
        <w:rPr>
          <w:rFonts w:ascii="Times New Roman" w:hAnsi="Times New Roman" w:cs="Times New Roman"/>
        </w:rPr>
        <w:t xml:space="preserve"> […] Please give my very kind regards to Prof. Mofidi who I have not had the pleasure of meeting, Dr. Karimi Nejad, Professor Azhir and Dr. Amini if he has returned to Iran.</w:t>
      </w:r>
      <w:r w:rsidRPr="00D941C7">
        <w:rPr>
          <w:rStyle w:val="FootnoteReference"/>
        </w:rPr>
        <w:footnoteReference w:id="73"/>
      </w:r>
    </w:p>
    <w:p w14:paraId="2A120AB8" w14:textId="77777777" w:rsidR="00EF0C35" w:rsidRPr="00190F04" w:rsidRDefault="00EF0C35" w:rsidP="00132CED">
      <w:pPr>
        <w:ind w:left="1440"/>
        <w:rPr>
          <w:rFonts w:ascii="Times New Roman" w:hAnsi="Times New Roman" w:cs="Times New Roman"/>
        </w:rPr>
      </w:pPr>
    </w:p>
    <w:p w14:paraId="1ACDDD64" w14:textId="5E28F7F9" w:rsidR="008F344F" w:rsidRPr="00190F04" w:rsidRDefault="008F344F" w:rsidP="00132CED">
      <w:pPr>
        <w:rPr>
          <w:rFonts w:ascii="Times New Roman" w:hAnsi="Times New Roman" w:cs="Times New Roman"/>
        </w:rPr>
      </w:pPr>
      <w:r w:rsidRPr="00190F04">
        <w:rPr>
          <w:rFonts w:ascii="Times New Roman" w:hAnsi="Times New Roman" w:cs="Times New Roman"/>
        </w:rPr>
        <w:t xml:space="preserve">Mourant’s letter </w:t>
      </w:r>
      <w:r w:rsidR="00CB45D7">
        <w:rPr>
          <w:rFonts w:ascii="Times New Roman" w:hAnsi="Times New Roman" w:cs="Times New Roman"/>
        </w:rPr>
        <w:t xml:space="preserve">designates only fellow British and American researchers as possibly “essential collaborators,” and expresses his concern </w:t>
      </w:r>
      <w:r w:rsidRPr="00190F04">
        <w:rPr>
          <w:rFonts w:ascii="Times New Roman" w:hAnsi="Times New Roman" w:cs="Times New Roman"/>
        </w:rPr>
        <w:t xml:space="preserve">to avoid “upsetting” </w:t>
      </w:r>
      <w:r w:rsidR="00CB45D7">
        <w:rPr>
          <w:rFonts w:ascii="Times New Roman" w:hAnsi="Times New Roman" w:cs="Times New Roman"/>
        </w:rPr>
        <w:t>them</w:t>
      </w:r>
      <w:r w:rsidRPr="00190F04">
        <w:rPr>
          <w:rFonts w:ascii="Times New Roman" w:hAnsi="Times New Roman" w:cs="Times New Roman"/>
        </w:rPr>
        <w:t xml:space="preserve"> by seeking their permission before </w:t>
      </w:r>
      <w:r w:rsidR="00CB45D7">
        <w:rPr>
          <w:rFonts w:ascii="Times New Roman" w:hAnsi="Times New Roman" w:cs="Times New Roman"/>
        </w:rPr>
        <w:t>treading on their research turf.</w:t>
      </w:r>
      <w:r w:rsidRPr="00190F04">
        <w:rPr>
          <w:rFonts w:ascii="Times New Roman" w:hAnsi="Times New Roman" w:cs="Times New Roman"/>
        </w:rPr>
        <w:t xml:space="preserve"> </w:t>
      </w:r>
      <w:r w:rsidR="00CB45D7">
        <w:rPr>
          <w:rFonts w:ascii="Times New Roman" w:hAnsi="Times New Roman" w:cs="Times New Roman"/>
        </w:rPr>
        <w:t>Mean</w:t>
      </w:r>
      <w:r w:rsidRPr="00190F04">
        <w:rPr>
          <w:rFonts w:ascii="Times New Roman" w:hAnsi="Times New Roman" w:cs="Times New Roman"/>
        </w:rPr>
        <w:t>while</w:t>
      </w:r>
      <w:r w:rsidR="00CB45D7">
        <w:rPr>
          <w:rFonts w:ascii="Times New Roman" w:hAnsi="Times New Roman" w:cs="Times New Roman"/>
        </w:rPr>
        <w:t>,</w:t>
      </w:r>
      <w:r w:rsidRPr="00190F04">
        <w:rPr>
          <w:rFonts w:ascii="Times New Roman" w:hAnsi="Times New Roman" w:cs="Times New Roman"/>
        </w:rPr>
        <w:t xml:space="preserve"> </w:t>
      </w:r>
      <w:r w:rsidR="00CB45D7">
        <w:rPr>
          <w:rFonts w:ascii="Times New Roman" w:hAnsi="Times New Roman" w:cs="Times New Roman"/>
        </w:rPr>
        <w:t>despite the fact that he and Lehmann absolutely depended on the</w:t>
      </w:r>
      <w:r w:rsidRPr="00190F04">
        <w:rPr>
          <w:rFonts w:ascii="Times New Roman" w:hAnsi="Times New Roman" w:cs="Times New Roman"/>
        </w:rPr>
        <w:t xml:space="preserve"> cooperation of Iranian hematologists (to say nothing of the prospective “Romany” subject population)</w:t>
      </w:r>
      <w:r w:rsidR="00CB45D7">
        <w:rPr>
          <w:rFonts w:ascii="Times New Roman" w:hAnsi="Times New Roman" w:cs="Times New Roman"/>
        </w:rPr>
        <w:t>, their assistance is taken</w:t>
      </w:r>
      <w:r w:rsidRPr="00190F04">
        <w:rPr>
          <w:rFonts w:ascii="Times New Roman" w:hAnsi="Times New Roman" w:cs="Times New Roman"/>
        </w:rPr>
        <w:t xml:space="preserve"> completely for granted. </w:t>
      </w:r>
      <w:r w:rsidR="00495149">
        <w:rPr>
          <w:rFonts w:ascii="Times New Roman" w:hAnsi="Times New Roman" w:cs="Times New Roman"/>
        </w:rPr>
        <w:t>The agency of Chamseddine Mofidi (arguably the one truly “essential collaborator”) is limited here to his evaluations of Western scientists.</w:t>
      </w:r>
      <w:r w:rsidR="00495149" w:rsidRPr="00190F04">
        <w:rPr>
          <w:rFonts w:ascii="Times New Roman" w:hAnsi="Times New Roman" w:cs="Times New Roman"/>
        </w:rPr>
        <w:t xml:space="preserve"> </w:t>
      </w:r>
      <w:r w:rsidR="00495149">
        <w:rPr>
          <w:rFonts w:ascii="Times New Roman" w:hAnsi="Times New Roman" w:cs="Times New Roman"/>
        </w:rPr>
        <w:t>This reflects the dominant authority Mourant</w:t>
      </w:r>
      <w:r w:rsidRPr="00190F04">
        <w:rPr>
          <w:rFonts w:ascii="Times New Roman" w:hAnsi="Times New Roman" w:cs="Times New Roman"/>
        </w:rPr>
        <w:t xml:space="preserve"> expected to exercise over Middle Eastern and other “developing national” researchers and subjects within the international scientific community—rather ironically, given</w:t>
      </w:r>
      <w:r w:rsidR="00AA2219" w:rsidRPr="00190F04">
        <w:rPr>
          <w:rFonts w:ascii="Times New Roman" w:hAnsi="Times New Roman" w:cs="Times New Roman"/>
        </w:rPr>
        <w:t xml:space="preserve"> his simultaneous troubles with </w:t>
      </w:r>
      <w:r w:rsidRPr="00190F04">
        <w:rPr>
          <w:rFonts w:ascii="Times New Roman" w:hAnsi="Times New Roman" w:cs="Times New Roman"/>
        </w:rPr>
        <w:t xml:space="preserve">Batsheva Bonné (for which, in this very same letter, he requested Lehmann’s mediation). Namely, Mourant envisioned </w:t>
      </w:r>
      <w:r w:rsidR="00567380">
        <w:rPr>
          <w:rFonts w:ascii="Times New Roman" w:hAnsi="Times New Roman" w:cs="Times New Roman"/>
        </w:rPr>
        <w:t>his collaborations</w:t>
      </w:r>
      <w:r w:rsidRPr="00190F04">
        <w:rPr>
          <w:rFonts w:ascii="Times New Roman" w:hAnsi="Times New Roman" w:cs="Times New Roman"/>
        </w:rPr>
        <w:t xml:space="preserve"> operating in a </w:t>
      </w:r>
      <w:r w:rsidR="00CB45D7">
        <w:rPr>
          <w:rFonts w:ascii="Times New Roman" w:hAnsi="Times New Roman" w:cs="Times New Roman"/>
        </w:rPr>
        <w:t>mostly</w:t>
      </w:r>
      <w:r w:rsidRPr="00190F04">
        <w:rPr>
          <w:rFonts w:ascii="Times New Roman" w:hAnsi="Times New Roman" w:cs="Times New Roman"/>
        </w:rPr>
        <w:t xml:space="preserve"> extractive fashion in such regions, fostering relationships with local researchers for instrumental purposes rather than treating them as reciprocal partners in a sci</w:t>
      </w:r>
      <w:r w:rsidR="00C6587A">
        <w:rPr>
          <w:rFonts w:ascii="Times New Roman" w:hAnsi="Times New Roman" w:cs="Times New Roman"/>
        </w:rPr>
        <w:t>entific enterprise. O</w:t>
      </w:r>
      <w:r w:rsidRPr="00190F04">
        <w:rPr>
          <w:rFonts w:ascii="Times New Roman" w:hAnsi="Times New Roman" w:cs="Times New Roman"/>
        </w:rPr>
        <w:t>nce the fieldwork was over, everything—the blood samples, the equipment, the funding, the British scientists themselves—returned to the United Kingdom</w:t>
      </w:r>
      <w:r w:rsidR="000C3860" w:rsidRPr="00190F04">
        <w:rPr>
          <w:rFonts w:ascii="Times New Roman" w:hAnsi="Times New Roman" w:cs="Times New Roman"/>
        </w:rPr>
        <w:t>.</w:t>
      </w:r>
      <w:r w:rsidRPr="00190F04">
        <w:rPr>
          <w:rFonts w:ascii="Times New Roman" w:hAnsi="Times New Roman" w:cs="Times New Roman"/>
        </w:rPr>
        <w:t xml:space="preserve"> </w:t>
      </w:r>
      <w:r w:rsidR="000C3860" w:rsidRPr="00190F04">
        <w:rPr>
          <w:rFonts w:ascii="Times New Roman" w:hAnsi="Times New Roman" w:cs="Times New Roman"/>
        </w:rPr>
        <w:t>In publications,</w:t>
      </w:r>
      <w:r w:rsidRPr="00190F04">
        <w:rPr>
          <w:rFonts w:ascii="Times New Roman" w:hAnsi="Times New Roman" w:cs="Times New Roman"/>
        </w:rPr>
        <w:t xml:space="preserve"> local researchers were </w:t>
      </w:r>
      <w:r w:rsidR="006D3729" w:rsidRPr="00190F04">
        <w:rPr>
          <w:rFonts w:ascii="Times New Roman" w:hAnsi="Times New Roman" w:cs="Times New Roman"/>
        </w:rPr>
        <w:t>lucky</w:t>
      </w:r>
      <w:r w:rsidRPr="00190F04">
        <w:rPr>
          <w:rFonts w:ascii="Times New Roman" w:hAnsi="Times New Roman" w:cs="Times New Roman"/>
        </w:rPr>
        <w:t xml:space="preserve"> to be listed as co-authors or in the acknowledgments section, and rarely did Mourant mention, in publication or private correspondence, the fate of any of the individuals whose blood had been sampled.</w:t>
      </w:r>
    </w:p>
    <w:p w14:paraId="66B31460" w14:textId="4EEC26AE" w:rsidR="008F344F" w:rsidRDefault="008F344F" w:rsidP="00132CED">
      <w:pPr>
        <w:ind w:firstLine="720"/>
        <w:rPr>
          <w:rFonts w:ascii="Times New Roman" w:hAnsi="Times New Roman" w:cs="Times New Roman"/>
        </w:rPr>
      </w:pPr>
      <w:r w:rsidRPr="00190F04">
        <w:rPr>
          <w:rFonts w:ascii="Times New Roman" w:hAnsi="Times New Roman" w:cs="Times New Roman"/>
        </w:rPr>
        <w:t xml:space="preserve">Not all of the foreign researchers shared Mourant’s apparent lack of self-awareness vis-à-vis their positionality within Iran. The sympathy of Bowman for his Iranian colleagues is clearly discernible in his spring 1969 letter to the editor of the </w:t>
      </w:r>
      <w:r w:rsidRPr="00190F04">
        <w:rPr>
          <w:rFonts w:ascii="Times New Roman" w:hAnsi="Times New Roman" w:cs="Times New Roman"/>
          <w:i/>
        </w:rPr>
        <w:t>Middle East Journal</w:t>
      </w:r>
      <w:r w:rsidRPr="00190F04">
        <w:rPr>
          <w:rFonts w:ascii="Times New Roman" w:hAnsi="Times New Roman" w:cs="Times New Roman"/>
        </w:rPr>
        <w:t xml:space="preserve">, in which he scathingly </w:t>
      </w:r>
      <w:r w:rsidR="00222575">
        <w:rPr>
          <w:rFonts w:ascii="Times New Roman" w:hAnsi="Times New Roman" w:cs="Times New Roman"/>
        </w:rPr>
        <w:t>chastised the condescending neo</w:t>
      </w:r>
      <w:r w:rsidRPr="00190F04">
        <w:rPr>
          <w:rFonts w:ascii="Times New Roman" w:hAnsi="Times New Roman" w:cs="Times New Roman"/>
        </w:rPr>
        <w:t>colonial attitudes of an American educational consultant toward the Iranians of Pahlavi University:</w:t>
      </w:r>
    </w:p>
    <w:p w14:paraId="6E037713" w14:textId="77777777" w:rsidR="003A631C" w:rsidRPr="00190F04" w:rsidRDefault="003A631C" w:rsidP="00132CED">
      <w:pPr>
        <w:ind w:firstLine="720"/>
        <w:rPr>
          <w:rFonts w:ascii="Times New Roman" w:hAnsi="Times New Roman" w:cs="Times New Roman"/>
        </w:rPr>
      </w:pPr>
    </w:p>
    <w:p w14:paraId="218A5252" w14:textId="48D4ED9A" w:rsidR="008F344F" w:rsidRDefault="008F344F" w:rsidP="00132CED">
      <w:pPr>
        <w:pStyle w:val="Default"/>
        <w:ind w:left="1440"/>
        <w:rPr>
          <w:bCs/>
        </w:rPr>
      </w:pPr>
      <w:r w:rsidRPr="00190F04">
        <w:t xml:space="preserve">The greatest shortcoming…is an attitude that is reminiscent of colonialists who created universities in the Middle East, the </w:t>
      </w:r>
      <w:r w:rsidRPr="00190F04">
        <w:rPr>
          <w:bCs/>
        </w:rPr>
        <w:t xml:space="preserve">Far East and Africa many years ago. That day is past. The derogatory generalization “…The students…bring backgrounds of intellectual achievement, personal discipline and cultural mores which are inimical to creative thinking…” not only ignores the intellectual and cultural background of a people who for over 2500 years have made scholarly contributions in science and in the humanities, but also presumes a superiority </w:t>
      </w:r>
      <w:r w:rsidRPr="00190F04">
        <w:rPr>
          <w:bCs/>
        </w:rPr>
        <w:lastRenderedPageBreak/>
        <w:t>that is unacceptable.</w:t>
      </w:r>
      <w:r w:rsidRPr="00D941C7">
        <w:rPr>
          <w:rStyle w:val="FootnoteReference"/>
        </w:rPr>
        <w:footnoteReference w:id="74"/>
      </w:r>
    </w:p>
    <w:p w14:paraId="0556297C" w14:textId="77777777" w:rsidR="00EF0C35" w:rsidRPr="00EF0C35" w:rsidRDefault="00EF0C35" w:rsidP="00132CED">
      <w:pPr>
        <w:pStyle w:val="Default"/>
        <w:ind w:left="1440"/>
        <w:rPr>
          <w:bCs/>
        </w:rPr>
      </w:pPr>
    </w:p>
    <w:p w14:paraId="6E01A456" w14:textId="3C82B5D7" w:rsidR="008F344F" w:rsidRDefault="008F344F" w:rsidP="00132CED">
      <w:pPr>
        <w:rPr>
          <w:rFonts w:ascii="Times New Roman" w:hAnsi="Times New Roman" w:cs="Times New Roman"/>
        </w:rPr>
      </w:pPr>
      <w:r w:rsidRPr="00190F04">
        <w:rPr>
          <w:rFonts w:ascii="Times New Roman" w:hAnsi="Times New Roman" w:cs="Times New Roman"/>
        </w:rPr>
        <w:t>Bowman held similar misgivings about the discriminatory nature of Israeli society, namely the second-class status of Palestinian residents of Israel, which reminded him of the worst features of the United States. Upon the invitation of Sheba, Szeinberg, and Ramot, he an</w:t>
      </w:r>
      <w:r w:rsidR="000C3860" w:rsidRPr="00190F04">
        <w:rPr>
          <w:rFonts w:ascii="Times New Roman" w:hAnsi="Times New Roman" w:cs="Times New Roman"/>
        </w:rPr>
        <w:t xml:space="preserve">d his family visited Tel Aviv </w:t>
      </w:r>
      <w:r w:rsidRPr="00190F04">
        <w:rPr>
          <w:rFonts w:ascii="Times New Roman" w:hAnsi="Times New Roman" w:cs="Times New Roman"/>
        </w:rPr>
        <w:t>and t</w:t>
      </w:r>
      <w:r w:rsidR="000C3860" w:rsidRPr="00190F04">
        <w:rPr>
          <w:rFonts w:ascii="Times New Roman" w:hAnsi="Times New Roman" w:cs="Times New Roman"/>
        </w:rPr>
        <w:t>he nearby Tel-Hashomer Hospital</w:t>
      </w:r>
      <w:r w:rsidRPr="00190F04">
        <w:rPr>
          <w:rFonts w:ascii="Times New Roman" w:hAnsi="Times New Roman" w:cs="Times New Roman"/>
        </w:rPr>
        <w:t xml:space="preserve"> for two weeks in 1961, during which he witnessed the stark inequities between Jewish and Palestinian residential areas. At a large dinner party in his honor, his Israeli hosts asked him to describe his experiences living as an African-American in the United States; much to their consternation, he compared Black-white segregation in his own country to the inability of a Palestinian Arab to purchase a house in Tel Aviv. According to Bowman, this sent the party into an uproar, with the Israelis accusing him of having spent too much time living in “an Arab country,” to which he pithily responded, “You better know your history. Iran is not an Arab country.”</w:t>
      </w:r>
      <w:r w:rsidRPr="00D941C7">
        <w:rPr>
          <w:rStyle w:val="FootnoteReference"/>
        </w:rPr>
        <w:footnoteReference w:id="75"/>
      </w:r>
      <w:r w:rsidRPr="00190F04">
        <w:rPr>
          <w:rFonts w:ascii="Times New Roman" w:hAnsi="Times New Roman" w:cs="Times New Roman"/>
        </w:rPr>
        <w:t xml:space="preserve"> Despite these political differences, he maintained his Israeli professional connections, which in turn facilitated ties </w:t>
      </w:r>
      <w:r w:rsidR="000C3860" w:rsidRPr="00190F04">
        <w:rPr>
          <w:rFonts w:ascii="Times New Roman" w:hAnsi="Times New Roman" w:cs="Times New Roman"/>
        </w:rPr>
        <w:t>between his Iranian</w:t>
      </w:r>
      <w:r w:rsidRPr="00190F04">
        <w:rPr>
          <w:rFonts w:ascii="Times New Roman" w:hAnsi="Times New Roman" w:cs="Times New Roman"/>
        </w:rPr>
        <w:t xml:space="preserve"> colleagues </w:t>
      </w:r>
      <w:r w:rsidR="00762223" w:rsidRPr="00190F04">
        <w:rPr>
          <w:rFonts w:ascii="Times New Roman" w:hAnsi="Times New Roman" w:cs="Times New Roman"/>
        </w:rPr>
        <w:t xml:space="preserve">in Shiraz </w:t>
      </w:r>
      <w:r w:rsidR="006B6847" w:rsidRPr="00190F04">
        <w:rPr>
          <w:rFonts w:ascii="Times New Roman" w:hAnsi="Times New Roman" w:cs="Times New Roman"/>
        </w:rPr>
        <w:t>and</w:t>
      </w:r>
      <w:r w:rsidRPr="00190F04">
        <w:rPr>
          <w:rFonts w:ascii="Times New Roman" w:hAnsi="Times New Roman" w:cs="Times New Roman"/>
        </w:rPr>
        <w:t xml:space="preserve"> Israeli </w:t>
      </w:r>
      <w:r w:rsidR="006B6847" w:rsidRPr="00190F04">
        <w:rPr>
          <w:rFonts w:ascii="Times New Roman" w:hAnsi="Times New Roman" w:cs="Times New Roman"/>
        </w:rPr>
        <w:t>medical geneticists</w:t>
      </w:r>
      <w:r w:rsidRPr="00190F04">
        <w:rPr>
          <w:rFonts w:ascii="Times New Roman" w:hAnsi="Times New Roman" w:cs="Times New Roman"/>
        </w:rPr>
        <w:t>.</w:t>
      </w:r>
      <w:r w:rsidRPr="00D941C7">
        <w:rPr>
          <w:rStyle w:val="FootnoteReference"/>
        </w:rPr>
        <w:footnoteReference w:id="76"/>
      </w:r>
    </w:p>
    <w:p w14:paraId="0231C66B" w14:textId="77777777" w:rsidR="003A631C" w:rsidRPr="00190F04" w:rsidRDefault="003A631C" w:rsidP="00132CED">
      <w:pPr>
        <w:rPr>
          <w:rFonts w:ascii="Times New Roman" w:hAnsi="Times New Roman" w:cs="Times New Roman"/>
        </w:rPr>
      </w:pPr>
    </w:p>
    <w:p w14:paraId="42347761" w14:textId="7C58D386" w:rsidR="00434456" w:rsidRDefault="002E5C35" w:rsidP="00132CED">
      <w:pPr>
        <w:jc w:val="center"/>
        <w:rPr>
          <w:rFonts w:ascii="Times New Roman" w:hAnsi="Times New Roman" w:cs="Times New Roman"/>
          <w:i/>
        </w:rPr>
      </w:pPr>
      <w:r w:rsidRPr="00190F04">
        <w:rPr>
          <w:rFonts w:ascii="Times New Roman" w:hAnsi="Times New Roman" w:cs="Times New Roman"/>
          <w:i/>
        </w:rPr>
        <w:t>Studying Armenians in Jerusalem and Tehran</w:t>
      </w:r>
    </w:p>
    <w:p w14:paraId="4A95B6DC" w14:textId="77777777" w:rsidR="003A631C" w:rsidRPr="00EF0C35" w:rsidRDefault="003A631C" w:rsidP="00132CED">
      <w:pPr>
        <w:jc w:val="center"/>
        <w:rPr>
          <w:rFonts w:ascii="Times New Roman" w:hAnsi="Times New Roman" w:cs="Times New Roman"/>
          <w:i/>
        </w:rPr>
      </w:pPr>
    </w:p>
    <w:p w14:paraId="1A445203" w14:textId="685F938C" w:rsidR="004511B7" w:rsidRPr="00190F04" w:rsidRDefault="004511B7" w:rsidP="00132CED">
      <w:pPr>
        <w:ind w:firstLine="720"/>
        <w:rPr>
          <w:rFonts w:ascii="Times New Roman" w:eastAsia="Times New Roman" w:hAnsi="Times New Roman" w:cs="Times New Roman"/>
          <w:color w:val="000000"/>
          <w:shd w:val="clear" w:color="auto" w:fill="FFFFFF"/>
        </w:rPr>
      </w:pPr>
      <w:r w:rsidRPr="00190F04">
        <w:rPr>
          <w:rFonts w:ascii="Times New Roman" w:eastAsia="Times New Roman" w:hAnsi="Times New Roman" w:cs="Times New Roman"/>
          <w:color w:val="000000"/>
          <w:shd w:val="clear" w:color="auto" w:fill="FFFFFF"/>
        </w:rPr>
        <w:t xml:space="preserve">While working on the same diseases forged an internal regional network for medical genetics, the field of genetic anthropology consistently drew both Israeli and Iranian researchers Westward. Due to the field’s reliance on computational equipment to reconstruct the historical and biological relationships between human groups, Israeli and Iranian genetic anthropologists formed much stronger networks of collaboration with European and American scientists than with each other. On the other hand, the Middle Eastern scientists </w:t>
      </w:r>
      <w:r w:rsidR="000C3860" w:rsidRPr="00190F04">
        <w:rPr>
          <w:rFonts w:ascii="Times New Roman" w:eastAsia="Times New Roman" w:hAnsi="Times New Roman" w:cs="Times New Roman"/>
          <w:color w:val="000000"/>
          <w:shd w:val="clear" w:color="auto" w:fill="FFFFFF"/>
        </w:rPr>
        <w:t>all worked in</w:t>
      </w:r>
      <w:r w:rsidRPr="00190F04">
        <w:rPr>
          <w:rFonts w:ascii="Times New Roman" w:eastAsia="Times New Roman" w:hAnsi="Times New Roman" w:cs="Times New Roman"/>
          <w:color w:val="000000"/>
          <w:shd w:val="clear" w:color="auto" w:fill="FFFFFF"/>
        </w:rPr>
        <w:t xml:space="preserve"> an intellectual atmosphere more strongly informed by ethnic nationalism than their Western counterparts. </w:t>
      </w:r>
      <w:r w:rsidR="00F87121" w:rsidRPr="00190F04">
        <w:rPr>
          <w:rFonts w:ascii="Times New Roman" w:eastAsia="Times New Roman" w:hAnsi="Times New Roman" w:cs="Times New Roman"/>
          <w:color w:val="000000"/>
          <w:shd w:val="clear" w:color="auto" w:fill="FFFFFF"/>
        </w:rPr>
        <w:t>These localized frames of reference for understanding the history of socially defined human groups profoundly influenced how scientists interpreted genetic data. As an example, here</w:t>
      </w:r>
      <w:r w:rsidRPr="00190F04">
        <w:rPr>
          <w:rFonts w:ascii="Times New Roman" w:eastAsia="Times New Roman" w:hAnsi="Times New Roman" w:cs="Times New Roman"/>
          <w:color w:val="000000"/>
          <w:shd w:val="clear" w:color="auto" w:fill="FFFFFF"/>
        </w:rPr>
        <w:t xml:space="preserve"> I </w:t>
      </w:r>
      <w:r w:rsidR="00F87121" w:rsidRPr="00190F04">
        <w:rPr>
          <w:rFonts w:ascii="Times New Roman" w:eastAsia="Times New Roman" w:hAnsi="Times New Roman" w:cs="Times New Roman"/>
          <w:color w:val="000000"/>
          <w:shd w:val="clear" w:color="auto" w:fill="FFFFFF"/>
        </w:rPr>
        <w:t>compare</w:t>
      </w:r>
      <w:r w:rsidRPr="00190F04">
        <w:rPr>
          <w:rFonts w:ascii="Times New Roman" w:eastAsia="Times New Roman" w:hAnsi="Times New Roman" w:cs="Times New Roman"/>
          <w:color w:val="000000"/>
          <w:shd w:val="clear" w:color="auto" w:fill="FFFFFF"/>
        </w:rPr>
        <w:t xml:space="preserve"> two studies, independently pursued by Israeli-British and Iranian-American research collaborations, on the frequencies of </w:t>
      </w:r>
      <w:r w:rsidRPr="00190F04">
        <w:rPr>
          <w:rFonts w:ascii="Times New Roman" w:hAnsi="Times New Roman" w:cs="Times New Roman"/>
        </w:rPr>
        <w:t xml:space="preserve">human leukocyte antigen (HLA) types among Armenian communities, </w:t>
      </w:r>
      <w:r w:rsidRPr="00190F04">
        <w:rPr>
          <w:rFonts w:ascii="Times New Roman" w:eastAsia="Times New Roman" w:hAnsi="Times New Roman" w:cs="Times New Roman"/>
          <w:color w:val="000000"/>
          <w:shd w:val="clear" w:color="auto" w:fill="FFFFFF"/>
        </w:rPr>
        <w:t>published just six months apart in consecutive volumes of the same European journal (</w:t>
      </w:r>
      <w:r w:rsidRPr="00190F04">
        <w:rPr>
          <w:rFonts w:ascii="Times New Roman" w:eastAsia="Times New Roman" w:hAnsi="Times New Roman" w:cs="Times New Roman"/>
          <w:i/>
          <w:color w:val="000000"/>
          <w:shd w:val="clear" w:color="auto" w:fill="FFFFFF"/>
        </w:rPr>
        <w:t>Tissue Antigens</w:t>
      </w:r>
      <w:r w:rsidRPr="00190F04">
        <w:rPr>
          <w:rFonts w:ascii="Times New Roman" w:eastAsia="Times New Roman" w:hAnsi="Times New Roman" w:cs="Times New Roman"/>
          <w:color w:val="000000"/>
          <w:shd w:val="clear" w:color="auto" w:fill="FFFFFF"/>
        </w:rPr>
        <w:t>) in 1978.</w:t>
      </w:r>
      <w:r w:rsidRPr="00D941C7">
        <w:rPr>
          <w:rStyle w:val="FootnoteReference"/>
        </w:rPr>
        <w:footnoteReference w:id="77"/>
      </w:r>
    </w:p>
    <w:p w14:paraId="4A0AF237" w14:textId="38E7AD4A" w:rsidR="004511B7" w:rsidRPr="00190F04" w:rsidRDefault="004511B7" w:rsidP="00132CED">
      <w:pPr>
        <w:ind w:firstLine="720"/>
        <w:rPr>
          <w:rFonts w:ascii="Times New Roman" w:eastAsia="Times New Roman" w:hAnsi="Times New Roman" w:cs="Times New Roman"/>
          <w:color w:val="000000"/>
          <w:shd w:val="clear" w:color="auto" w:fill="FFFFFF"/>
        </w:rPr>
      </w:pPr>
      <w:r w:rsidRPr="00190F04">
        <w:rPr>
          <w:rFonts w:ascii="Times New Roman" w:eastAsia="Times New Roman" w:hAnsi="Times New Roman" w:cs="Times New Roman"/>
          <w:color w:val="000000"/>
          <w:shd w:val="clear" w:color="auto" w:fill="FFFFFF"/>
        </w:rPr>
        <w:t xml:space="preserve">Until his death in 1971, Chaim Sheba remained undaunted in his grand efforts to explain the genetic differences between Jewish communities according to Biblical lore, insisting that all variations had been present in a common Israelite gene pool, but that due to the </w:t>
      </w:r>
      <w:r w:rsidR="0043405C" w:rsidRPr="00190F04">
        <w:rPr>
          <w:rFonts w:ascii="Times New Roman" w:eastAsia="Times New Roman" w:hAnsi="Times New Roman" w:cs="Times New Roman"/>
          <w:color w:val="000000"/>
          <w:shd w:val="clear" w:color="auto" w:fill="FFFFFF"/>
        </w:rPr>
        <w:t>cycles</w:t>
      </w:r>
      <w:r w:rsidRPr="00190F04">
        <w:rPr>
          <w:rFonts w:ascii="Times New Roman" w:eastAsia="Times New Roman" w:hAnsi="Times New Roman" w:cs="Times New Roman"/>
          <w:color w:val="000000"/>
          <w:shd w:val="clear" w:color="auto" w:fill="FFFFFF"/>
        </w:rPr>
        <w:t xml:space="preserve"> of ancient conquest and dispersal “parts of the body of the people broke off, taking some mutations with them.”</w:t>
      </w:r>
      <w:r w:rsidRPr="00D941C7">
        <w:rPr>
          <w:rStyle w:val="FootnoteReference"/>
        </w:rPr>
        <w:footnoteReference w:id="78"/>
      </w:r>
      <w:r w:rsidRPr="00190F04">
        <w:rPr>
          <w:rFonts w:ascii="Times New Roman" w:eastAsia="Times New Roman" w:hAnsi="Times New Roman" w:cs="Times New Roman"/>
          <w:color w:val="000000"/>
          <w:shd w:val="clear" w:color="auto" w:fill="FFFFFF"/>
        </w:rPr>
        <w:t xml:space="preserve"> For example, the high frequency of the hereditary </w:t>
      </w:r>
      <w:r w:rsidR="00F96E1E">
        <w:rPr>
          <w:rFonts w:ascii="Times New Roman" w:eastAsia="Times New Roman" w:hAnsi="Times New Roman" w:cs="Times New Roman"/>
          <w:color w:val="000000"/>
          <w:shd w:val="clear" w:color="auto" w:fill="FFFFFF"/>
        </w:rPr>
        <w:t>condition,</w:t>
      </w:r>
      <w:r w:rsidRPr="00190F04">
        <w:rPr>
          <w:rFonts w:ascii="Times New Roman" w:eastAsia="Times New Roman" w:hAnsi="Times New Roman" w:cs="Times New Roman"/>
          <w:color w:val="000000"/>
          <w:shd w:val="clear" w:color="auto" w:fill="FFFFFF"/>
        </w:rPr>
        <w:t xml:space="preserve"> familial Mediterranean </w:t>
      </w:r>
      <w:r w:rsidRPr="00190F04">
        <w:rPr>
          <w:rFonts w:ascii="Times New Roman" w:eastAsia="Times New Roman" w:hAnsi="Times New Roman" w:cs="Times New Roman"/>
          <w:color w:val="000000"/>
          <w:shd w:val="clear" w:color="auto" w:fill="FFFFFF"/>
        </w:rPr>
        <w:lastRenderedPageBreak/>
        <w:t>fever (FMF)</w:t>
      </w:r>
      <w:r w:rsidR="00F96E1E">
        <w:rPr>
          <w:rFonts w:ascii="Times New Roman" w:eastAsia="Times New Roman" w:hAnsi="Times New Roman" w:cs="Times New Roman"/>
          <w:color w:val="000000"/>
          <w:shd w:val="clear" w:color="auto" w:fill="FFFFFF"/>
        </w:rPr>
        <w:t>,</w:t>
      </w:r>
      <w:r w:rsidRPr="00190F04">
        <w:rPr>
          <w:rFonts w:ascii="Times New Roman" w:eastAsia="Times New Roman" w:hAnsi="Times New Roman" w:cs="Times New Roman"/>
          <w:color w:val="000000"/>
          <w:shd w:val="clear" w:color="auto" w:fill="FFFFFF"/>
        </w:rPr>
        <w:t xml:space="preserve"> among Libyan Jews was unparalleled in </w:t>
      </w:r>
      <w:r w:rsidR="00326E6D" w:rsidRPr="00190F04">
        <w:rPr>
          <w:rFonts w:ascii="Times New Roman" w:eastAsia="Times New Roman" w:hAnsi="Times New Roman" w:cs="Times New Roman"/>
          <w:color w:val="000000"/>
          <w:shd w:val="clear" w:color="auto" w:fill="FFFFFF"/>
        </w:rPr>
        <w:t>many</w:t>
      </w:r>
      <w:r w:rsidRPr="00190F04">
        <w:rPr>
          <w:rFonts w:ascii="Times New Roman" w:eastAsia="Times New Roman" w:hAnsi="Times New Roman" w:cs="Times New Roman"/>
          <w:color w:val="000000"/>
          <w:shd w:val="clear" w:color="auto" w:fill="FFFFFF"/>
        </w:rPr>
        <w:t xml:space="preserve"> ot</w:t>
      </w:r>
      <w:r w:rsidR="00326E6D" w:rsidRPr="00190F04">
        <w:rPr>
          <w:rFonts w:ascii="Times New Roman" w:eastAsia="Times New Roman" w:hAnsi="Times New Roman" w:cs="Times New Roman"/>
          <w:color w:val="000000"/>
          <w:shd w:val="clear" w:color="auto" w:fill="FFFFFF"/>
        </w:rPr>
        <w:t>her Jewish communities, whereas it closely matched the</w:t>
      </w:r>
      <w:r w:rsidRPr="00190F04">
        <w:rPr>
          <w:rFonts w:ascii="Times New Roman" w:eastAsia="Times New Roman" w:hAnsi="Times New Roman" w:cs="Times New Roman"/>
          <w:color w:val="000000"/>
          <w:shd w:val="clear" w:color="auto" w:fill="FFFFFF"/>
        </w:rPr>
        <w:t xml:space="preserve"> frequency among Armenians. Out of many possible explanations for this similarity, Sheba decided that Armenians as well as the Libyan Jews must be descendants of the ten lost tribes of Israel exiled by the Assyrians in the 8</w:t>
      </w:r>
      <w:r w:rsidRPr="00190F04">
        <w:rPr>
          <w:rFonts w:ascii="Times New Roman" w:eastAsia="Times New Roman" w:hAnsi="Times New Roman" w:cs="Times New Roman"/>
          <w:color w:val="000000"/>
          <w:shd w:val="clear" w:color="auto" w:fill="FFFFFF"/>
          <w:vertAlign w:val="superscript"/>
        </w:rPr>
        <w:t>th</w:t>
      </w:r>
      <w:r w:rsidRPr="00190F04">
        <w:rPr>
          <w:rFonts w:ascii="Times New Roman" w:eastAsia="Times New Roman" w:hAnsi="Times New Roman" w:cs="Times New Roman"/>
          <w:color w:val="000000"/>
          <w:shd w:val="clear" w:color="auto" w:fill="FFFFFF"/>
        </w:rPr>
        <w:t xml:space="preserve"> century BCE; while some of the Isr</w:t>
      </w:r>
      <w:r w:rsidR="00170F63">
        <w:rPr>
          <w:rFonts w:ascii="Times New Roman" w:eastAsia="Times New Roman" w:hAnsi="Times New Roman" w:cs="Times New Roman"/>
          <w:color w:val="000000"/>
          <w:shd w:val="clear" w:color="auto" w:fill="FFFFFF"/>
        </w:rPr>
        <w:t>aelites carrying the FMF mutation</w:t>
      </w:r>
      <w:r w:rsidRPr="00190F04">
        <w:rPr>
          <w:rFonts w:ascii="Times New Roman" w:eastAsia="Times New Roman" w:hAnsi="Times New Roman" w:cs="Times New Roman"/>
          <w:color w:val="000000"/>
          <w:shd w:val="clear" w:color="auto" w:fill="FFFFFF"/>
        </w:rPr>
        <w:t xml:space="preserve"> fled to Libya, others must have settled in northwestern Mesopotamia and the Caucasus, and in time changed their religion and language to become Armenians.</w:t>
      </w:r>
      <w:r w:rsidRPr="00D941C7">
        <w:rPr>
          <w:rStyle w:val="FootnoteReference"/>
        </w:rPr>
        <w:footnoteReference w:id="79"/>
      </w:r>
      <w:r w:rsidRPr="00190F04">
        <w:rPr>
          <w:rFonts w:ascii="Times New Roman" w:eastAsia="Times New Roman" w:hAnsi="Times New Roman" w:cs="Times New Roman"/>
          <w:color w:val="000000"/>
          <w:shd w:val="clear" w:color="auto" w:fill="FFFFFF"/>
        </w:rPr>
        <w:t xml:space="preserve"> Sheba’s embrace of Armenians as fellow descendants of “the common Semitic gene pool”</w:t>
      </w:r>
      <w:r w:rsidRPr="00D941C7">
        <w:rPr>
          <w:rStyle w:val="FootnoteReference"/>
        </w:rPr>
        <w:footnoteReference w:id="80"/>
      </w:r>
      <w:r w:rsidRPr="00190F04">
        <w:rPr>
          <w:rFonts w:ascii="Times New Roman" w:eastAsia="Times New Roman" w:hAnsi="Times New Roman" w:cs="Times New Roman"/>
          <w:color w:val="000000"/>
          <w:shd w:val="clear" w:color="auto" w:fill="FFFFFF"/>
        </w:rPr>
        <w:t xml:space="preserve"> is all the more remarkable given the ambivalent status of the Armenian community in Palestine vis-à-vis the Zionist national project. At the time of Sheba’s speculations, he and his colleagues had never personally worked with the Armenian community, but rather based their observations on medical literature produced by others. Armenians were culturally and economically integrated with Arab Palestinians under British</w:t>
      </w:r>
      <w:r w:rsidR="00B16CC7">
        <w:rPr>
          <w:rFonts w:ascii="Times New Roman" w:eastAsia="Times New Roman" w:hAnsi="Times New Roman" w:cs="Times New Roman"/>
          <w:color w:val="000000"/>
          <w:shd w:val="clear" w:color="auto" w:fill="FFFFFF"/>
        </w:rPr>
        <w:t xml:space="preserve"> Mandate and Jordanian rule, and furthermore </w:t>
      </w:r>
      <w:r w:rsidRPr="00190F04">
        <w:rPr>
          <w:rFonts w:ascii="Times New Roman" w:eastAsia="Times New Roman" w:hAnsi="Times New Roman" w:cs="Times New Roman"/>
          <w:color w:val="000000"/>
          <w:shd w:val="clear" w:color="auto" w:fill="FFFFFF"/>
        </w:rPr>
        <w:t xml:space="preserve">shared </w:t>
      </w:r>
      <w:r w:rsidR="00B16CC7">
        <w:rPr>
          <w:rFonts w:ascii="Times New Roman" w:eastAsia="Times New Roman" w:hAnsi="Times New Roman" w:cs="Times New Roman"/>
          <w:color w:val="000000"/>
          <w:shd w:val="clear" w:color="auto" w:fill="FFFFFF"/>
        </w:rPr>
        <w:t xml:space="preserve">the </w:t>
      </w:r>
      <w:r w:rsidRPr="00190F04">
        <w:rPr>
          <w:rFonts w:ascii="Times New Roman" w:eastAsia="Times New Roman" w:hAnsi="Times New Roman" w:cs="Times New Roman"/>
          <w:color w:val="000000"/>
          <w:shd w:val="clear" w:color="auto" w:fill="FFFFFF"/>
        </w:rPr>
        <w:t>experience of expulsion by Zionist forces during the 1948 war, which had driven thriving communities of Armenians in Haifa and Jaffa across the borders to Lebanon and the Jordanian-held Old City of Jerusalem.</w:t>
      </w:r>
      <w:r w:rsidRPr="00D941C7">
        <w:rPr>
          <w:rStyle w:val="FootnoteReference"/>
        </w:rPr>
        <w:footnoteReference w:id="81"/>
      </w:r>
      <w:r w:rsidRPr="00190F04">
        <w:rPr>
          <w:rFonts w:ascii="Times New Roman" w:eastAsia="Times New Roman" w:hAnsi="Times New Roman" w:cs="Times New Roman"/>
          <w:color w:val="000000"/>
          <w:shd w:val="clear" w:color="auto" w:fill="FFFFFF"/>
        </w:rPr>
        <w:t xml:space="preserve"> After 1967, the few thousand Armenians who remained in Jerusalem and the West Bank under Israeli occupation mostly retained their Jordanian citizenship, as well as “close contact with Armenians in Lebanon </w:t>
      </w:r>
      <w:r w:rsidR="00192883" w:rsidRPr="00190F04">
        <w:rPr>
          <w:rFonts w:ascii="Times New Roman" w:eastAsia="Times New Roman" w:hAnsi="Times New Roman" w:cs="Times New Roman"/>
          <w:color w:val="000000"/>
          <w:shd w:val="clear" w:color="auto" w:fill="FFFFFF"/>
        </w:rPr>
        <w:t>and</w:t>
      </w:r>
      <w:r w:rsidRPr="00190F04">
        <w:rPr>
          <w:rFonts w:ascii="Times New Roman" w:eastAsia="Times New Roman" w:hAnsi="Times New Roman" w:cs="Times New Roman"/>
          <w:color w:val="000000"/>
          <w:shd w:val="clear" w:color="auto" w:fill="FFFFFF"/>
        </w:rPr>
        <w:t xml:space="preserve"> Jordan.”</w:t>
      </w:r>
      <w:r w:rsidRPr="00D941C7">
        <w:rPr>
          <w:rStyle w:val="FootnoteReference"/>
        </w:rPr>
        <w:footnoteReference w:id="82"/>
      </w:r>
    </w:p>
    <w:p w14:paraId="20FAF981" w14:textId="629A3C77" w:rsidR="004511B7" w:rsidRPr="00190F04" w:rsidRDefault="004511B7" w:rsidP="00132CED">
      <w:pPr>
        <w:ind w:firstLine="720"/>
        <w:rPr>
          <w:rFonts w:ascii="Times New Roman" w:eastAsia="Times New Roman" w:hAnsi="Times New Roman" w:cs="Times New Roman"/>
          <w:color w:val="000000"/>
          <w:shd w:val="clear" w:color="auto" w:fill="FFFFFF"/>
        </w:rPr>
      </w:pPr>
      <w:r w:rsidRPr="00190F04">
        <w:rPr>
          <w:rFonts w:ascii="Times New Roman" w:eastAsia="Times New Roman" w:hAnsi="Times New Roman" w:cs="Times New Roman"/>
          <w:color w:val="000000"/>
          <w:shd w:val="clear" w:color="auto" w:fill="FFFFFF"/>
        </w:rPr>
        <w:t>In 1972, as part of a major Israeli-British project on HLA polymorphisms in Israeli ethnic groups, Batsheva Bonné finally initiated a study of the Armenians of Jerusalem due to their status as “one of the ancient communities of the area” and “the resemblance between them and the ancestors of Sephardi Jews.”</w:t>
      </w:r>
      <w:r w:rsidRPr="00D941C7">
        <w:rPr>
          <w:rStyle w:val="FootnoteReference"/>
        </w:rPr>
        <w:footnoteReference w:id="83"/>
      </w:r>
      <w:r w:rsidRPr="00190F04">
        <w:rPr>
          <w:rFonts w:ascii="Times New Roman" w:eastAsia="Times New Roman" w:hAnsi="Times New Roman" w:cs="Times New Roman"/>
          <w:color w:val="000000"/>
          <w:shd w:val="clear" w:color="auto" w:fill="FFFFFF"/>
        </w:rPr>
        <w:t xml:space="preserve"> After securing the cooperation of teachers at the Armenian Theological Seminary and St. Tarkmanchatz School, Bonné led weekly trips with Tel Aviv medical students to the Armenian quarter, collecting blood from 20 seminary students and 140 high school students.</w:t>
      </w:r>
      <w:r w:rsidRPr="00D941C7">
        <w:rPr>
          <w:rStyle w:val="FootnoteReference"/>
        </w:rPr>
        <w:footnoteReference w:id="84"/>
      </w:r>
      <w:r w:rsidRPr="00190F04">
        <w:rPr>
          <w:rFonts w:ascii="Times New Roman" w:eastAsia="Times New Roman" w:hAnsi="Times New Roman" w:cs="Times New Roman"/>
          <w:color w:val="000000"/>
          <w:shd w:val="clear" w:color="auto" w:fill="FFFFFF"/>
        </w:rPr>
        <w:t xml:space="preserve"> </w:t>
      </w:r>
      <w:r w:rsidR="008F04EB" w:rsidRPr="00190F04">
        <w:rPr>
          <w:rFonts w:ascii="Times New Roman" w:eastAsia="Times New Roman" w:hAnsi="Times New Roman" w:cs="Times New Roman"/>
          <w:color w:val="000000"/>
          <w:shd w:val="clear" w:color="auto" w:fill="FFFFFF"/>
        </w:rPr>
        <w:t>Bonné treated the Old City Armenian Quarter as an isolated community somehow immune to the effects of Israeli-Palestinian violence, mentioning only that “about half of them are descendents</w:t>
      </w:r>
      <w:r w:rsidR="008F04EB">
        <w:rPr>
          <w:rFonts w:ascii="Times New Roman" w:eastAsia="Times New Roman" w:hAnsi="Times New Roman" w:cs="Times New Roman"/>
          <w:color w:val="000000"/>
          <w:shd w:val="clear" w:color="auto" w:fill="FFFFFF"/>
        </w:rPr>
        <w:t xml:space="preserve"> [</w:t>
      </w:r>
      <w:r w:rsidR="008F04EB" w:rsidRPr="003E384D">
        <w:rPr>
          <w:rFonts w:ascii="Times New Roman" w:eastAsia="Times New Roman" w:hAnsi="Times New Roman" w:cs="Times New Roman"/>
          <w:i/>
          <w:color w:val="000000"/>
          <w:shd w:val="clear" w:color="auto" w:fill="FFFFFF"/>
        </w:rPr>
        <w:t>sic</w:t>
      </w:r>
      <w:r w:rsidR="008F04EB">
        <w:rPr>
          <w:rFonts w:ascii="Times New Roman" w:eastAsia="Times New Roman" w:hAnsi="Times New Roman" w:cs="Times New Roman"/>
          <w:color w:val="000000"/>
          <w:shd w:val="clear" w:color="auto" w:fill="FFFFFF"/>
        </w:rPr>
        <w:t>]</w:t>
      </w:r>
      <w:r w:rsidR="008F04EB" w:rsidRPr="00190F04">
        <w:rPr>
          <w:rFonts w:ascii="Times New Roman" w:eastAsia="Times New Roman" w:hAnsi="Times New Roman" w:cs="Times New Roman"/>
          <w:color w:val="000000"/>
          <w:shd w:val="clear" w:color="auto" w:fill="FFFFFF"/>
        </w:rPr>
        <w:t xml:space="preserve"> of the original Armenians and the rest are later ‘joiners’” [i.e., refugees from 1948], with no further elaboration or analytical acknowledgment of either this original-latecomer distinction, or the recent historical events, including Israeli state policies, that had produced this population structure.</w:t>
      </w:r>
      <w:r w:rsidR="008F04EB" w:rsidRPr="00D941C7">
        <w:rPr>
          <w:rStyle w:val="FootnoteReference"/>
        </w:rPr>
        <w:footnoteReference w:id="85"/>
      </w:r>
      <w:r w:rsidR="008F04EB" w:rsidRPr="00190F04">
        <w:rPr>
          <w:rFonts w:ascii="Times New Roman" w:eastAsia="Times New Roman" w:hAnsi="Times New Roman" w:cs="Times New Roman"/>
          <w:color w:val="000000"/>
          <w:shd w:val="clear" w:color="auto" w:fill="FFFFFF"/>
        </w:rPr>
        <w:t xml:space="preserve"> </w:t>
      </w:r>
      <w:r w:rsidRPr="00190F04">
        <w:rPr>
          <w:rFonts w:ascii="Times New Roman" w:eastAsia="Times New Roman" w:hAnsi="Times New Roman" w:cs="Times New Roman"/>
          <w:color w:val="000000"/>
          <w:shd w:val="clear" w:color="auto" w:fill="FFFFFF"/>
        </w:rPr>
        <w:t>Rather, Bonné and her coworkers chose to flatten the Armenians’ complex demographic hi</w:t>
      </w:r>
      <w:r w:rsidR="00720C71" w:rsidRPr="00190F04">
        <w:rPr>
          <w:rFonts w:ascii="Times New Roman" w:eastAsia="Times New Roman" w:hAnsi="Times New Roman" w:cs="Times New Roman"/>
          <w:color w:val="000000"/>
          <w:shd w:val="clear" w:color="auto" w:fill="FFFFFF"/>
        </w:rPr>
        <w:t>story by treating them</w:t>
      </w:r>
      <w:r w:rsidRPr="00190F04">
        <w:rPr>
          <w:rFonts w:ascii="Times New Roman" w:eastAsia="Times New Roman" w:hAnsi="Times New Roman" w:cs="Times New Roman"/>
          <w:color w:val="000000"/>
          <w:shd w:val="clear" w:color="auto" w:fill="FFFFFF"/>
        </w:rPr>
        <w:t xml:space="preserve"> as a single undifferentiated “Middle Eastern population” against which the various Jewish categories were measured. </w:t>
      </w:r>
      <w:r w:rsidRPr="00190F04">
        <w:rPr>
          <w:rFonts w:ascii="Times New Roman" w:hAnsi="Times New Roman" w:cs="Times New Roman"/>
        </w:rPr>
        <w:t xml:space="preserve">More </w:t>
      </w:r>
      <w:r w:rsidR="00D662E6" w:rsidRPr="00190F04">
        <w:rPr>
          <w:rFonts w:ascii="Times New Roman" w:hAnsi="Times New Roman" w:cs="Times New Roman"/>
        </w:rPr>
        <w:t>oddly</w:t>
      </w:r>
      <w:r w:rsidRPr="00190F04">
        <w:rPr>
          <w:rFonts w:ascii="Times New Roman" w:hAnsi="Times New Roman" w:cs="Times New Roman"/>
        </w:rPr>
        <w:t>, although Bonné had earlier written in Sheba’s obituary that his tales about FMF “were perhaps more speculation than documented facts,”</w:t>
      </w:r>
      <w:r w:rsidRPr="00D941C7">
        <w:rPr>
          <w:rStyle w:val="FootnoteReference"/>
        </w:rPr>
        <w:footnoteReference w:id="86"/>
      </w:r>
      <w:r w:rsidRPr="00190F04">
        <w:rPr>
          <w:rFonts w:ascii="Times New Roman" w:hAnsi="Times New Roman" w:cs="Times New Roman"/>
        </w:rPr>
        <w:t xml:space="preserve"> a few years later her comparative discussion of the HLA results noted that a</w:t>
      </w:r>
      <w:r w:rsidRPr="00190F04">
        <w:rPr>
          <w:rFonts w:ascii="Times New Roman" w:eastAsia="Times New Roman" w:hAnsi="Times New Roman" w:cs="Times New Roman"/>
          <w:color w:val="000000"/>
          <w:shd w:val="clear" w:color="auto" w:fill="FFFFFF"/>
        </w:rPr>
        <w:t xml:space="preserve"> </w:t>
      </w:r>
      <w:r w:rsidRPr="00190F04">
        <w:rPr>
          <w:rFonts w:ascii="Times New Roman" w:hAnsi="Times New Roman" w:cs="Times New Roman"/>
        </w:rPr>
        <w:t xml:space="preserve">“particular point of interest […] is the similarity between the Jews from Libya and the Armenians. This observation would have delighted the late Dr. Sheba, who suggested many years ago, on the basis of FMF frequency and distribution, a close relationship </w:t>
      </w:r>
      <w:r w:rsidRPr="00190F04">
        <w:rPr>
          <w:rFonts w:ascii="Times New Roman" w:hAnsi="Times New Roman" w:cs="Times New Roman"/>
        </w:rPr>
        <w:lastRenderedPageBreak/>
        <w:t>between these two communities</w:t>
      </w:r>
      <w:r w:rsidRPr="00190F04">
        <w:rPr>
          <w:rFonts w:ascii="Times New Roman" w:hAnsi="Times New Roman" w:cs="Times New Roman"/>
          <w:bCs/>
        </w:rPr>
        <w:t>.”</w:t>
      </w:r>
      <w:r w:rsidRPr="00D941C7">
        <w:rPr>
          <w:rStyle w:val="FootnoteReference"/>
        </w:rPr>
        <w:footnoteReference w:id="87"/>
      </w:r>
      <w:r w:rsidRPr="00190F04">
        <w:rPr>
          <w:rFonts w:ascii="Times New Roman" w:hAnsi="Times New Roman" w:cs="Times New Roman"/>
          <w:bCs/>
        </w:rPr>
        <w:t xml:space="preserve"> This statement appears to be a simple </w:t>
      </w:r>
      <w:r w:rsidR="00720C71" w:rsidRPr="00190F04">
        <w:rPr>
          <w:rFonts w:ascii="Times New Roman" w:hAnsi="Times New Roman" w:cs="Times New Roman"/>
          <w:bCs/>
        </w:rPr>
        <w:t>tribute</w:t>
      </w:r>
      <w:r w:rsidRPr="00190F04">
        <w:rPr>
          <w:rFonts w:ascii="Times New Roman" w:hAnsi="Times New Roman" w:cs="Times New Roman"/>
          <w:bCs/>
        </w:rPr>
        <w:t xml:space="preserve"> to Sheba (whom Bonné</w:t>
      </w:r>
      <w:r w:rsidR="007479A6" w:rsidRPr="00190F04">
        <w:rPr>
          <w:rFonts w:ascii="Times New Roman" w:hAnsi="Times New Roman" w:cs="Times New Roman"/>
          <w:bCs/>
        </w:rPr>
        <w:t>-Tamir</w:t>
      </w:r>
      <w:r w:rsidRPr="00190F04">
        <w:rPr>
          <w:rFonts w:ascii="Times New Roman" w:hAnsi="Times New Roman" w:cs="Times New Roman"/>
          <w:bCs/>
        </w:rPr>
        <w:t xml:space="preserve"> held in great esteem), without any real scientific purpose, as she did not elaborate any further biological or historical analysis on this point.</w:t>
      </w:r>
      <w:r w:rsidR="00D662E6" w:rsidRPr="00190F04">
        <w:rPr>
          <w:rFonts w:ascii="Times New Roman" w:hAnsi="Times New Roman" w:cs="Times New Roman"/>
          <w:bCs/>
        </w:rPr>
        <w:t xml:space="preserve"> </w:t>
      </w:r>
      <w:r w:rsidR="001E0810" w:rsidRPr="00190F04">
        <w:rPr>
          <w:rFonts w:ascii="Times New Roman" w:hAnsi="Times New Roman" w:cs="Times New Roman"/>
          <w:bCs/>
        </w:rPr>
        <w:t>The reference may also reflect a</w:t>
      </w:r>
      <w:r w:rsidR="00285CB6" w:rsidRPr="00190F04">
        <w:rPr>
          <w:rFonts w:ascii="Times New Roman" w:hAnsi="Times New Roman" w:cs="Times New Roman"/>
          <w:bCs/>
        </w:rPr>
        <w:t>n implicit</w:t>
      </w:r>
      <w:r w:rsidR="001E0810" w:rsidRPr="00190F04">
        <w:rPr>
          <w:rFonts w:ascii="Times New Roman" w:hAnsi="Times New Roman" w:cs="Times New Roman"/>
          <w:bCs/>
        </w:rPr>
        <w:t xml:space="preserve"> wish to </w:t>
      </w:r>
      <w:r w:rsidR="00CE43CB" w:rsidRPr="00190F04">
        <w:rPr>
          <w:rFonts w:ascii="Times New Roman" w:hAnsi="Times New Roman" w:cs="Times New Roman"/>
          <w:bCs/>
        </w:rPr>
        <w:t>designate</w:t>
      </w:r>
      <w:r w:rsidR="001E0810" w:rsidRPr="00190F04">
        <w:rPr>
          <w:rFonts w:ascii="Times New Roman" w:hAnsi="Times New Roman" w:cs="Times New Roman"/>
          <w:bCs/>
        </w:rPr>
        <w:t xml:space="preserve"> the Armenians, and their quarter within the Old City, as rightfully belonging to the</w:t>
      </w:r>
      <w:r w:rsidR="00285CB6" w:rsidRPr="00190F04">
        <w:rPr>
          <w:rFonts w:ascii="Times New Roman" w:hAnsi="Times New Roman" w:cs="Times New Roman"/>
          <w:bCs/>
        </w:rPr>
        <w:t xml:space="preserve"> domain of Jewish history </w:t>
      </w:r>
      <w:r w:rsidR="00720C71" w:rsidRPr="00190F04">
        <w:rPr>
          <w:rFonts w:ascii="Times New Roman" w:hAnsi="Times New Roman" w:cs="Times New Roman"/>
          <w:bCs/>
        </w:rPr>
        <w:t>that</w:t>
      </w:r>
      <w:r w:rsidR="00285CB6" w:rsidRPr="00190F04">
        <w:rPr>
          <w:rFonts w:ascii="Times New Roman" w:hAnsi="Times New Roman" w:cs="Times New Roman"/>
          <w:bCs/>
        </w:rPr>
        <w:t xml:space="preserve"> the</w:t>
      </w:r>
      <w:r w:rsidR="001E0810" w:rsidRPr="00190F04">
        <w:rPr>
          <w:rFonts w:ascii="Times New Roman" w:hAnsi="Times New Roman" w:cs="Times New Roman"/>
          <w:bCs/>
        </w:rPr>
        <w:t xml:space="preserve"> Zionist enterprise</w:t>
      </w:r>
      <w:r w:rsidR="00285CB6" w:rsidRPr="00190F04">
        <w:rPr>
          <w:rFonts w:ascii="Times New Roman" w:hAnsi="Times New Roman" w:cs="Times New Roman"/>
          <w:bCs/>
        </w:rPr>
        <w:t xml:space="preserve"> aimed to territorially recover</w:t>
      </w:r>
      <w:r w:rsidR="001E0810" w:rsidRPr="00190F04">
        <w:rPr>
          <w:rFonts w:ascii="Times New Roman" w:hAnsi="Times New Roman" w:cs="Times New Roman"/>
          <w:bCs/>
        </w:rPr>
        <w:t>.</w:t>
      </w:r>
      <w:r w:rsidR="00D662E6" w:rsidRPr="00190F04">
        <w:rPr>
          <w:rFonts w:ascii="Times New Roman" w:hAnsi="Times New Roman" w:cs="Times New Roman"/>
          <w:bCs/>
        </w:rPr>
        <w:t xml:space="preserve"> </w:t>
      </w:r>
    </w:p>
    <w:p w14:paraId="6B8356E2" w14:textId="594786A8" w:rsidR="007B50BF" w:rsidRPr="00190F04" w:rsidRDefault="004511B7" w:rsidP="00132CED">
      <w:pPr>
        <w:widowControl w:val="0"/>
        <w:autoSpaceDE w:val="0"/>
        <w:autoSpaceDN w:val="0"/>
        <w:adjustRightInd w:val="0"/>
        <w:ind w:firstLine="720"/>
        <w:rPr>
          <w:rFonts w:ascii="Times New Roman" w:hAnsi="Times New Roman" w:cs="Times New Roman"/>
        </w:rPr>
      </w:pPr>
      <w:r w:rsidRPr="00190F04">
        <w:rPr>
          <w:rFonts w:ascii="Times New Roman" w:hAnsi="Times New Roman" w:cs="Times New Roman"/>
        </w:rPr>
        <w:t xml:space="preserve">Meanwhile, at the School of Public Health at the University of Tehran, Nahid Mohagheghpour and her student Hamideh Tabatabai took a special interest in Tehrani religious minorities as windows into Iran’s “ethnic history.” In 1977, Tabatabai completed a master’s thesis comparing HLA types in Iranian Armenians and Jews. Unlike Bonné, she did not collect the blood samples herself through direct acquaintance with these communities, but rather received samples gathered by Tehran hospital and clinic employees, then sent her numerical data to be </w:t>
      </w:r>
      <w:r w:rsidR="006215F0" w:rsidRPr="00190F04">
        <w:rPr>
          <w:rFonts w:ascii="Times New Roman" w:hAnsi="Times New Roman" w:cs="Times New Roman"/>
        </w:rPr>
        <w:t>analyzed</w:t>
      </w:r>
      <w:r w:rsidRPr="00190F04">
        <w:rPr>
          <w:rFonts w:ascii="Times New Roman" w:hAnsi="Times New Roman" w:cs="Times New Roman"/>
        </w:rPr>
        <w:t xml:space="preserve"> by the UCLA Health Sciences Computing Facility.</w:t>
      </w:r>
      <w:r w:rsidRPr="00190F04">
        <w:rPr>
          <w:rFonts w:ascii="Times New Roman" w:eastAsia="Times New Roman" w:hAnsi="Times New Roman" w:cs="Times New Roman"/>
          <w:shd w:val="clear" w:color="auto" w:fill="FFFFFF"/>
        </w:rPr>
        <w:t xml:space="preserve"> </w:t>
      </w:r>
      <w:r w:rsidRPr="00190F04">
        <w:rPr>
          <w:rFonts w:ascii="Times New Roman" w:hAnsi="Times New Roman" w:cs="Times New Roman"/>
        </w:rPr>
        <w:t>Her description of these two minorities, which occupied a marginal and unstable position in relation to the Aryanist national narrative, unveils further layers of ethno-national negotiation. While most Iranian Jews spoke Persian, they were understood to be Semitic migrants to Iran who retained their ethno-religious distinctiveness through endogamy. Likewise, Armenians, though perceived to fall racially within the Indo-European fold, self-segregated according to their linguistic and religious differences. Tabatabai and her colleagues identified Aryans as the “original inhabitants” of Iran whereas all subsequent peoples had later “invaded” the territory. Jews and Armenians, who had been brought to settle in Iran in 538 BCE and 1605 CE respectively, “because of religious restriction […] have remained relatively isolated from the surrounding populations.”</w:t>
      </w:r>
      <w:r w:rsidRPr="00D941C7">
        <w:rPr>
          <w:rStyle w:val="FootnoteReference"/>
        </w:rPr>
        <w:footnoteReference w:id="88"/>
      </w:r>
      <w:r w:rsidRPr="00190F04">
        <w:rPr>
          <w:rFonts w:ascii="Times New Roman" w:hAnsi="Times New Roman" w:cs="Times New Roman"/>
        </w:rPr>
        <w:t xml:space="preserve"> However, in contrast to Bowman’s </w:t>
      </w:r>
      <w:r w:rsidR="00A675BC" w:rsidRPr="00190F04">
        <w:rPr>
          <w:rFonts w:ascii="Times New Roman" w:hAnsi="Times New Roman" w:cs="Times New Roman"/>
        </w:rPr>
        <w:t>emphasis</w:t>
      </w:r>
      <w:r w:rsidRPr="00190F04">
        <w:rPr>
          <w:rFonts w:ascii="Times New Roman" w:hAnsi="Times New Roman" w:cs="Times New Roman"/>
        </w:rPr>
        <w:t xml:space="preserve"> (via an Armenian informant) that </w:t>
      </w:r>
      <w:r w:rsidR="000E0C6F" w:rsidRPr="00190F04">
        <w:rPr>
          <w:rFonts w:ascii="Times New Roman" w:hAnsi="Times New Roman" w:cs="Times New Roman"/>
        </w:rPr>
        <w:t xml:space="preserve">the Isfahani </w:t>
      </w:r>
      <w:r w:rsidRPr="00190F04">
        <w:rPr>
          <w:rFonts w:ascii="Times New Roman" w:hAnsi="Times New Roman" w:cs="Times New Roman"/>
        </w:rPr>
        <w:t>Armenians were a</w:t>
      </w:r>
      <w:r w:rsidR="00A675BC" w:rsidRPr="00190F04">
        <w:rPr>
          <w:rFonts w:ascii="Times New Roman" w:hAnsi="Times New Roman" w:cs="Times New Roman"/>
        </w:rPr>
        <w:t xml:space="preserve"> textbook</w:t>
      </w:r>
      <w:r w:rsidRPr="00190F04">
        <w:rPr>
          <w:rFonts w:ascii="Times New Roman" w:hAnsi="Times New Roman" w:cs="Times New Roman"/>
        </w:rPr>
        <w:t xml:space="preserve"> “religious isolate,” Tabatabai suggested that admixture with other </w:t>
      </w:r>
      <w:r w:rsidR="00A675BC" w:rsidRPr="00190F04">
        <w:rPr>
          <w:rFonts w:ascii="Times New Roman" w:hAnsi="Times New Roman" w:cs="Times New Roman"/>
        </w:rPr>
        <w:t>Iranian groups</w:t>
      </w:r>
      <w:r w:rsidRPr="00190F04">
        <w:rPr>
          <w:rFonts w:ascii="Times New Roman" w:hAnsi="Times New Roman" w:cs="Times New Roman"/>
        </w:rPr>
        <w:t xml:space="preserve"> “must be presumed” for </w:t>
      </w:r>
      <w:r w:rsidR="000E0C6F" w:rsidRPr="00190F04">
        <w:rPr>
          <w:rFonts w:ascii="Times New Roman" w:hAnsi="Times New Roman" w:cs="Times New Roman"/>
        </w:rPr>
        <w:t xml:space="preserve">Tehrani </w:t>
      </w:r>
      <w:r w:rsidR="00731F65" w:rsidRPr="00190F04">
        <w:rPr>
          <w:rFonts w:ascii="Times New Roman" w:hAnsi="Times New Roman" w:cs="Times New Roman"/>
        </w:rPr>
        <w:t>Armenians, while for Jews, admixture</w:t>
      </w:r>
      <w:r w:rsidRPr="00190F04">
        <w:rPr>
          <w:rFonts w:ascii="Times New Roman" w:hAnsi="Times New Roman" w:cs="Times New Roman"/>
        </w:rPr>
        <w:t xml:space="preserve"> “cannot be ruled out.”</w:t>
      </w:r>
      <w:r w:rsidRPr="00D941C7">
        <w:rPr>
          <w:rStyle w:val="FootnoteReference"/>
        </w:rPr>
        <w:footnoteReference w:id="89"/>
      </w:r>
      <w:r w:rsidRPr="00190F04">
        <w:rPr>
          <w:rFonts w:ascii="Times New Roman" w:hAnsi="Times New Roman" w:cs="Times New Roman"/>
        </w:rPr>
        <w:t xml:space="preserve"> </w:t>
      </w:r>
    </w:p>
    <w:p w14:paraId="30671AE5" w14:textId="521F7E53" w:rsidR="004511B7" w:rsidRPr="00190F04" w:rsidRDefault="004511B7" w:rsidP="00132CED">
      <w:pPr>
        <w:widowControl w:val="0"/>
        <w:autoSpaceDE w:val="0"/>
        <w:autoSpaceDN w:val="0"/>
        <w:adjustRightInd w:val="0"/>
        <w:ind w:firstLine="720"/>
        <w:rPr>
          <w:rFonts w:ascii="Times New Roman" w:hAnsi="Times New Roman" w:cs="Times New Roman"/>
        </w:rPr>
      </w:pPr>
      <w:r w:rsidRPr="00190F04">
        <w:rPr>
          <w:rFonts w:ascii="Times New Roman" w:hAnsi="Times New Roman" w:cs="Times New Roman"/>
        </w:rPr>
        <w:t xml:space="preserve">Indeed, after comparing their HLA results to those of Jews from Yemen and India, she argued that Iranian Jews had a closer genetic relationship to the Iranian Armenians and the “control group” of Mazandaranis (“descendants of ancient Medes … and speakers of Persian dialect”) than other Jewish groups. </w:t>
      </w:r>
      <w:r w:rsidR="007B50BF" w:rsidRPr="00190F04">
        <w:rPr>
          <w:rFonts w:ascii="Times New Roman" w:hAnsi="Times New Roman" w:cs="Times New Roman"/>
        </w:rPr>
        <w:t>She</w:t>
      </w:r>
      <w:r w:rsidRPr="00190F04">
        <w:rPr>
          <w:rFonts w:ascii="Times New Roman" w:hAnsi="Times New Roman" w:cs="Times New Roman"/>
        </w:rPr>
        <w:t xml:space="preserve"> attributed this result to “a certain degree of admixture” between the three Iranian populations, implying that Iranian Jews and Armenians have not necessarily been as exclusively endogamous historically as they might presently appear. </w:t>
      </w:r>
      <w:r w:rsidR="007B50BF" w:rsidRPr="00190F04">
        <w:rPr>
          <w:rFonts w:ascii="Times New Roman" w:hAnsi="Times New Roman" w:cs="Times New Roman"/>
        </w:rPr>
        <w:t xml:space="preserve"> </w:t>
      </w:r>
      <w:r w:rsidRPr="00190F04">
        <w:rPr>
          <w:rFonts w:ascii="Times New Roman" w:hAnsi="Times New Roman" w:cs="Times New Roman"/>
        </w:rPr>
        <w:t>Curiously, however,</w:t>
      </w:r>
      <w:r w:rsidR="007B50BF" w:rsidRPr="00190F04">
        <w:rPr>
          <w:rFonts w:ascii="Times New Roman" w:hAnsi="Times New Roman" w:cs="Times New Roman"/>
        </w:rPr>
        <w:t xml:space="preserve"> she</w:t>
      </w:r>
      <w:r w:rsidRPr="00190F04">
        <w:rPr>
          <w:rFonts w:ascii="Times New Roman" w:hAnsi="Times New Roman" w:cs="Times New Roman"/>
        </w:rPr>
        <w:t xml:space="preserve"> also cited the work of Chaim Sheba to argue that “the close relationship between the Armenians and the Iranian Jews agrees generally with the historical background of these populations,”</w:t>
      </w:r>
      <w:r w:rsidRPr="00D941C7">
        <w:rPr>
          <w:rStyle w:val="FootnoteReference"/>
        </w:rPr>
        <w:footnoteReference w:id="90"/>
      </w:r>
      <w:r w:rsidRPr="00190F04">
        <w:rPr>
          <w:rFonts w:ascii="Times New Roman" w:hAnsi="Times New Roman" w:cs="Times New Roman"/>
        </w:rPr>
        <w:t xml:space="preserve"> although Sheba had specifically posited a close relationship between Armenians and Libyan Jews, not Iranian Jews (because the latter had no reported cases of FMF).</w:t>
      </w:r>
      <w:r w:rsidRPr="00D941C7">
        <w:rPr>
          <w:rStyle w:val="FootnoteReference"/>
        </w:rPr>
        <w:footnoteReference w:id="91"/>
      </w:r>
      <w:r w:rsidRPr="00190F04">
        <w:rPr>
          <w:rFonts w:ascii="Times New Roman" w:hAnsi="Times New Roman" w:cs="Times New Roman"/>
        </w:rPr>
        <w:t xml:space="preserve"> Furthermore, Sheba’s account of this relationship certainly does not represent an accurate “historical background” but rather an idealistic speculation in service to Sheba’s </w:t>
      </w:r>
      <w:r w:rsidR="00653259" w:rsidRPr="00190F04">
        <w:rPr>
          <w:rFonts w:ascii="Times New Roman" w:hAnsi="Times New Roman" w:cs="Times New Roman"/>
        </w:rPr>
        <w:t>own devotion to constructing an</w:t>
      </w:r>
      <w:r w:rsidRPr="00190F04">
        <w:rPr>
          <w:rFonts w:ascii="Times New Roman" w:hAnsi="Times New Roman" w:cs="Times New Roman"/>
        </w:rPr>
        <w:t xml:space="preserve"> unbroken family tree of Jewish tribes, a goal which sharply contrasts with the Iranian geneticists’ explanatory emphasis on admixture. The reference to Sheba may have been a direct suggestion by Batsheva Bonné-Tamir. Seeki</w:t>
      </w:r>
      <w:r w:rsidR="00653259" w:rsidRPr="00190F04">
        <w:rPr>
          <w:rFonts w:ascii="Times New Roman" w:hAnsi="Times New Roman" w:cs="Times New Roman"/>
        </w:rPr>
        <w:t>ng comparative data about</w:t>
      </w:r>
      <w:r w:rsidRPr="00190F04">
        <w:rPr>
          <w:rFonts w:ascii="Times New Roman" w:hAnsi="Times New Roman" w:cs="Times New Roman"/>
        </w:rPr>
        <w:t xml:space="preserve"> the </w:t>
      </w:r>
      <w:r w:rsidRPr="00190F04">
        <w:rPr>
          <w:rFonts w:ascii="Times New Roman" w:hAnsi="Times New Roman" w:cs="Times New Roman"/>
        </w:rPr>
        <w:lastRenderedPageBreak/>
        <w:t xml:space="preserve">Jerusalem Armenians, </w:t>
      </w:r>
      <w:r w:rsidR="007B50BF" w:rsidRPr="00190F04">
        <w:rPr>
          <w:rFonts w:ascii="Times New Roman" w:hAnsi="Times New Roman" w:cs="Times New Roman"/>
        </w:rPr>
        <w:t xml:space="preserve">Tabatabai’s advisor </w:t>
      </w:r>
      <w:r w:rsidRPr="00190F04">
        <w:rPr>
          <w:rFonts w:ascii="Times New Roman" w:hAnsi="Times New Roman" w:cs="Times New Roman"/>
        </w:rPr>
        <w:t>Mohagheghpour had written to British geneticist Walter Bodmer—who in turn referred her to Bonné-Tamir—before the Iranians’ article was submitted for review.</w:t>
      </w:r>
      <w:r w:rsidR="00DD60CE" w:rsidRPr="00190F04">
        <w:rPr>
          <w:rFonts w:ascii="Times New Roman" w:hAnsi="Times New Roman" w:cs="Times New Roman"/>
        </w:rPr>
        <w:t xml:space="preserve"> Having just invoked Sheba in her own work, Bonné-Tamir would likely have mentioned the reference to Mohagheghpour upon hearing of further research confirming a genetic similarity between Jews and Armenians.</w:t>
      </w:r>
      <w:r w:rsidRPr="00D941C7">
        <w:rPr>
          <w:rStyle w:val="FootnoteReference"/>
        </w:rPr>
        <w:footnoteReference w:id="92"/>
      </w:r>
    </w:p>
    <w:p w14:paraId="19333036" w14:textId="12AC7E88" w:rsidR="00A67FE4" w:rsidRDefault="00CD4033" w:rsidP="00132CED">
      <w:pPr>
        <w:widowControl w:val="0"/>
        <w:autoSpaceDE w:val="0"/>
        <w:autoSpaceDN w:val="0"/>
        <w:adjustRightInd w:val="0"/>
        <w:ind w:firstLine="720"/>
        <w:rPr>
          <w:rFonts w:ascii="Times New Roman" w:hAnsi="Times New Roman" w:cs="Times New Roman"/>
        </w:rPr>
      </w:pPr>
      <w:r w:rsidRPr="00190F04">
        <w:rPr>
          <w:rFonts w:ascii="Times New Roman" w:hAnsi="Times New Roman" w:cs="Times New Roman"/>
        </w:rPr>
        <w:t>In any case</w:t>
      </w:r>
      <w:r w:rsidR="004511B7" w:rsidRPr="00190F04">
        <w:rPr>
          <w:rFonts w:ascii="Times New Roman" w:hAnsi="Times New Roman" w:cs="Times New Roman"/>
        </w:rPr>
        <w:t xml:space="preserve">, the Iranian researchers did not take Sheba’s hypotheses about the biblical ten lost tribes much to heart, looking instead to </w:t>
      </w:r>
      <w:r w:rsidRPr="00190F04">
        <w:rPr>
          <w:rFonts w:ascii="Times New Roman" w:hAnsi="Times New Roman" w:cs="Times New Roman"/>
        </w:rPr>
        <w:t>articulate</w:t>
      </w:r>
      <w:r w:rsidR="004511B7" w:rsidRPr="00190F04">
        <w:rPr>
          <w:rFonts w:ascii="Times New Roman" w:hAnsi="Times New Roman" w:cs="Times New Roman"/>
        </w:rPr>
        <w:t xml:space="preserve"> the role of Jews and Armenians in Iranian national history. The terminology Tabatabai employed in her Persian-language thesis</w:t>
      </w:r>
      <w:r w:rsidRPr="00190F04">
        <w:rPr>
          <w:rFonts w:ascii="Times New Roman" w:hAnsi="Times New Roman" w:cs="Times New Roman"/>
        </w:rPr>
        <w:t xml:space="preserve">, </w:t>
      </w:r>
      <w:r w:rsidR="004511B7" w:rsidRPr="00190F04">
        <w:rPr>
          <w:rFonts w:ascii="Times New Roman" w:hAnsi="Times New Roman" w:cs="Times New Roman"/>
          <w:i/>
        </w:rPr>
        <w:t xml:space="preserve">īrāniyān-i yahūdī </w:t>
      </w:r>
      <w:r w:rsidR="004511B7" w:rsidRPr="00190F04">
        <w:rPr>
          <w:rFonts w:ascii="Times New Roman" w:hAnsi="Times New Roman" w:cs="Times New Roman"/>
        </w:rPr>
        <w:t>and</w:t>
      </w:r>
      <w:r w:rsidR="004511B7" w:rsidRPr="00190F04">
        <w:rPr>
          <w:rFonts w:ascii="Times New Roman" w:hAnsi="Times New Roman" w:cs="Times New Roman"/>
          <w:i/>
        </w:rPr>
        <w:t xml:space="preserve"> īrāniyān-i armanī</w:t>
      </w:r>
      <w:r w:rsidR="004511B7" w:rsidRPr="00190F04">
        <w:rPr>
          <w:rFonts w:ascii="Times New Roman" w:hAnsi="Times New Roman" w:cs="Times New Roman"/>
        </w:rPr>
        <w:t xml:space="preserve"> (that is, “Jewish Iranians” and “Armenian Iranians” rather than </w:t>
      </w:r>
      <w:r w:rsidRPr="00190F04">
        <w:rPr>
          <w:rFonts w:ascii="Times New Roman" w:hAnsi="Times New Roman" w:cs="Times New Roman"/>
        </w:rPr>
        <w:t xml:space="preserve">the </w:t>
      </w:r>
      <w:r w:rsidR="004511B7" w:rsidRPr="00190F04">
        <w:rPr>
          <w:rFonts w:ascii="Times New Roman" w:hAnsi="Times New Roman" w:cs="Times New Roman"/>
        </w:rPr>
        <w:t>“Iranian Jews” or “Iranian Armenians”</w:t>
      </w:r>
      <w:r w:rsidRPr="00190F04">
        <w:rPr>
          <w:rFonts w:ascii="Times New Roman" w:hAnsi="Times New Roman" w:cs="Times New Roman"/>
        </w:rPr>
        <w:t xml:space="preserve"> used in the English-language article</w:t>
      </w:r>
      <w:r w:rsidR="004511B7" w:rsidRPr="00190F04">
        <w:rPr>
          <w:rFonts w:ascii="Times New Roman" w:hAnsi="Times New Roman" w:cs="Times New Roman"/>
        </w:rPr>
        <w:t>)</w:t>
      </w:r>
      <w:r w:rsidRPr="00190F04">
        <w:rPr>
          <w:rFonts w:ascii="Times New Roman" w:hAnsi="Times New Roman" w:cs="Times New Roman"/>
        </w:rPr>
        <w:t>,</w:t>
      </w:r>
      <w:r w:rsidR="004511B7" w:rsidRPr="00190F04">
        <w:rPr>
          <w:rFonts w:ascii="Times New Roman" w:hAnsi="Times New Roman" w:cs="Times New Roman"/>
        </w:rPr>
        <w:t xml:space="preserve"> testifies to such an underlying conceptualization of minority identities as a superstrate over Iranian subjecthood, rather than the other way around.</w:t>
      </w:r>
      <w:r w:rsidR="004511B7" w:rsidRPr="00D941C7">
        <w:rPr>
          <w:rStyle w:val="FootnoteReference"/>
        </w:rPr>
        <w:footnoteReference w:id="93"/>
      </w:r>
      <w:r w:rsidR="004511B7" w:rsidRPr="00190F04">
        <w:rPr>
          <w:rFonts w:ascii="Times New Roman" w:hAnsi="Times New Roman" w:cs="Times New Roman"/>
        </w:rPr>
        <w:t xml:space="preserve"> In fact, Tabatabai and Mohagheghpour effectively </w:t>
      </w:r>
      <w:r w:rsidR="00D777C6" w:rsidRPr="00190F04">
        <w:rPr>
          <w:rFonts w:ascii="Times New Roman" w:hAnsi="Times New Roman" w:cs="Times New Roman"/>
        </w:rPr>
        <w:t xml:space="preserve">modeled </w:t>
      </w:r>
      <w:r w:rsidR="004511B7" w:rsidRPr="00190F04">
        <w:rPr>
          <w:rFonts w:ascii="Times New Roman" w:hAnsi="Times New Roman" w:cs="Times New Roman"/>
        </w:rPr>
        <w:t>the protocol for how other Iranian researchers would begin to frame their genetic studies of minorities</w:t>
      </w:r>
      <w:r w:rsidRPr="00190F04">
        <w:rPr>
          <w:rFonts w:ascii="Times New Roman" w:hAnsi="Times New Roman" w:cs="Times New Roman"/>
        </w:rPr>
        <w:t xml:space="preserve"> from the late 1970s onward</w:t>
      </w:r>
      <w:r w:rsidR="004511B7" w:rsidRPr="00190F04">
        <w:rPr>
          <w:rFonts w:ascii="Times New Roman" w:hAnsi="Times New Roman" w:cs="Times New Roman"/>
        </w:rPr>
        <w:t xml:space="preserve">. All categories of difference (religion, language, geography, etc.) came to be subsumed by “ethnicity,” and furthermore, they all became “Iranian populations,” “Iranian groups,” “Iranian ethnicities:” </w:t>
      </w:r>
      <w:r w:rsidR="00A90CC9" w:rsidRPr="00190F04">
        <w:rPr>
          <w:rFonts w:ascii="Times New Roman" w:hAnsi="Times New Roman" w:cs="Times New Roman"/>
        </w:rPr>
        <w:t xml:space="preserve">in other words, mere </w:t>
      </w:r>
      <w:r w:rsidR="004511B7" w:rsidRPr="00190F04">
        <w:rPr>
          <w:rFonts w:ascii="Times New Roman" w:hAnsi="Times New Roman" w:cs="Times New Roman"/>
        </w:rPr>
        <w:t>variations on an essential Iranianness defined by nation-state boundaries.</w:t>
      </w:r>
    </w:p>
    <w:p w14:paraId="5BCD59F6" w14:textId="77777777" w:rsidR="00A67FE4" w:rsidRPr="00190F04" w:rsidRDefault="00A67FE4" w:rsidP="00132CED">
      <w:pPr>
        <w:ind w:firstLine="720"/>
        <w:rPr>
          <w:rFonts w:ascii="Times New Roman" w:hAnsi="Times New Roman" w:cs="Times New Roman"/>
        </w:rPr>
      </w:pPr>
    </w:p>
    <w:p w14:paraId="61241DA8" w14:textId="0039EFAA" w:rsidR="00FE1901" w:rsidRDefault="000047BC" w:rsidP="00132CED">
      <w:pPr>
        <w:ind w:firstLine="720"/>
        <w:jc w:val="center"/>
        <w:rPr>
          <w:rFonts w:ascii="Times New Roman" w:hAnsi="Times New Roman" w:cs="Times New Roman"/>
          <w:i/>
        </w:rPr>
      </w:pPr>
      <w:r w:rsidRPr="00190F04">
        <w:rPr>
          <w:rFonts w:ascii="Times New Roman" w:hAnsi="Times New Roman" w:cs="Times New Roman"/>
          <w:i/>
        </w:rPr>
        <w:t>Conclusion</w:t>
      </w:r>
    </w:p>
    <w:p w14:paraId="6C94F468" w14:textId="77777777" w:rsidR="003A631C" w:rsidRPr="00EF0C35" w:rsidRDefault="003A631C" w:rsidP="00132CED">
      <w:pPr>
        <w:ind w:firstLine="720"/>
        <w:jc w:val="center"/>
        <w:rPr>
          <w:rFonts w:ascii="Times New Roman" w:hAnsi="Times New Roman" w:cs="Times New Roman"/>
          <w:b/>
        </w:rPr>
      </w:pPr>
    </w:p>
    <w:p w14:paraId="764313E4" w14:textId="2E70B497" w:rsidR="00E6672A" w:rsidRPr="00190F04" w:rsidRDefault="007F3616" w:rsidP="00132CED">
      <w:pPr>
        <w:shd w:val="clear" w:color="auto" w:fill="FFFFFF"/>
        <w:ind w:firstLine="720"/>
        <w:outlineLvl w:val="3"/>
        <w:rPr>
          <w:rFonts w:ascii="Times New Roman" w:hAnsi="Times New Roman" w:cs="Times New Roman"/>
        </w:rPr>
      </w:pPr>
      <w:r w:rsidRPr="00190F04">
        <w:rPr>
          <w:rFonts w:ascii="Times New Roman" w:eastAsia="Times New Roman" w:hAnsi="Times New Roman" w:cs="Times New Roman"/>
        </w:rPr>
        <w:t xml:space="preserve">Mourant, as a prominent figure working in collaboration with the WHO and the IBP, sat at the center of an enormous web of scientific correspondents who provided his laboratory with thousands of blood samples from peoples he had never heard of living in countries he had never visited. With the many political, economic, and social assets at his disposal, Mourant—along with similarly situated Western scientists like </w:t>
      </w:r>
      <w:r w:rsidR="003D70D5" w:rsidRPr="00190F04">
        <w:rPr>
          <w:rFonts w:ascii="Times New Roman" w:eastAsia="Times New Roman" w:hAnsi="Times New Roman" w:cs="Times New Roman"/>
        </w:rPr>
        <w:t xml:space="preserve">Hermann Lehmann, </w:t>
      </w:r>
      <w:r w:rsidRPr="00190F04">
        <w:rPr>
          <w:rFonts w:ascii="Times New Roman" w:eastAsia="Times New Roman" w:hAnsi="Times New Roman" w:cs="Times New Roman"/>
        </w:rPr>
        <w:t>William B</w:t>
      </w:r>
      <w:r w:rsidR="00514021" w:rsidRPr="00190F04">
        <w:rPr>
          <w:rFonts w:ascii="Times New Roman" w:eastAsia="Times New Roman" w:hAnsi="Times New Roman" w:cs="Times New Roman"/>
        </w:rPr>
        <w:t>oyd</w:t>
      </w:r>
      <w:r w:rsidR="003D70D5" w:rsidRPr="00190F04">
        <w:rPr>
          <w:rFonts w:ascii="Times New Roman" w:eastAsia="Times New Roman" w:hAnsi="Times New Roman" w:cs="Times New Roman"/>
        </w:rPr>
        <w:t>, and James Neel</w:t>
      </w:r>
      <w:r w:rsidRPr="00190F04">
        <w:rPr>
          <w:rFonts w:ascii="Times New Roman" w:eastAsia="Times New Roman" w:hAnsi="Times New Roman" w:cs="Times New Roman"/>
        </w:rPr>
        <w:t xml:space="preserve">—ultimately controlled the interpretation and representation of the biological material and historical-cultural information conveyed to him by “third-world” geneticists and fieldworkers for the Anglophone sphere of scientific discourse. </w:t>
      </w:r>
      <w:r w:rsidR="0081452A" w:rsidRPr="00190F04">
        <w:rPr>
          <w:rFonts w:ascii="Times New Roman" w:hAnsi="Times New Roman" w:cs="Times New Roman"/>
        </w:rPr>
        <w:t>Bowman’s success in Iran also highlights the colonial aspects of the international biomedical infrastructure. In a 2002 oral history interview, Bowman mentioned that going to Iran was one of the best decisions he had made in his life, and that working at Nemazee H</w:t>
      </w:r>
      <w:r w:rsidR="00C37D6A">
        <w:rPr>
          <w:rFonts w:ascii="Times New Roman" w:hAnsi="Times New Roman" w:cs="Times New Roman"/>
        </w:rPr>
        <w:t>ospital was the first time he</w:t>
      </w:r>
      <w:r w:rsidR="0081452A" w:rsidRPr="00190F04">
        <w:rPr>
          <w:rFonts w:ascii="Times New Roman" w:hAnsi="Times New Roman" w:cs="Times New Roman"/>
        </w:rPr>
        <w:t xml:space="preserve"> </w:t>
      </w:r>
      <w:r w:rsidR="00C37D6A">
        <w:rPr>
          <w:rFonts w:ascii="Times New Roman" w:hAnsi="Times New Roman" w:cs="Times New Roman"/>
        </w:rPr>
        <w:t>“</w:t>
      </w:r>
      <w:r w:rsidR="0081452A" w:rsidRPr="00190F04">
        <w:rPr>
          <w:rFonts w:ascii="Times New Roman" w:hAnsi="Times New Roman" w:cs="Times New Roman"/>
        </w:rPr>
        <w:t>felt like an American” rather than an African-American marginalized by segregation in his own country.</w:t>
      </w:r>
      <w:r w:rsidR="0081452A" w:rsidRPr="00D941C7">
        <w:rPr>
          <w:rStyle w:val="FootnoteReference"/>
        </w:rPr>
        <w:footnoteReference w:id="94"/>
      </w:r>
      <w:r w:rsidR="0081452A" w:rsidRPr="00190F04">
        <w:rPr>
          <w:rFonts w:ascii="Times New Roman" w:hAnsi="Times New Roman" w:cs="Times New Roman"/>
        </w:rPr>
        <w:t xml:space="preserve"> Indeed, the privileges available to Bowman as an American physician in Iran not only made possible his career as a medical researcher, but also the reputation and status in the international scientific community to ultimately secure prominent positions in the United States, notably becoming the first tenured African-American professor at the University of Chicago’s Pritzker School of Medicine. </w:t>
      </w:r>
      <w:r w:rsidR="00A7002E" w:rsidRPr="00190F04">
        <w:rPr>
          <w:rFonts w:ascii="Times New Roman" w:eastAsia="Times New Roman" w:hAnsi="Times New Roman" w:cs="Times New Roman"/>
        </w:rPr>
        <w:t>Yet the professional opportunities for “empire building”</w:t>
      </w:r>
      <w:r w:rsidRPr="00190F04">
        <w:rPr>
          <w:rFonts w:ascii="Times New Roman" w:hAnsi="Times New Roman" w:cs="Times New Roman"/>
        </w:rPr>
        <w:t xml:space="preserve"> </w:t>
      </w:r>
      <w:r w:rsidR="00CB5247" w:rsidRPr="00190F04">
        <w:rPr>
          <w:rFonts w:ascii="Times New Roman" w:hAnsi="Times New Roman" w:cs="Times New Roman"/>
        </w:rPr>
        <w:t xml:space="preserve">afforded to Western researchers </w:t>
      </w:r>
      <w:r w:rsidRPr="00190F04">
        <w:rPr>
          <w:rFonts w:ascii="Times New Roman" w:hAnsi="Times New Roman" w:cs="Times New Roman"/>
        </w:rPr>
        <w:t>did not go uncontested by Middle Eastern scientists, who challenged various aspects of Mourant’s research practices, assumptions, and interpretations either directly through their personal corres</w:t>
      </w:r>
      <w:r w:rsidR="0017064B" w:rsidRPr="00190F04">
        <w:rPr>
          <w:rFonts w:ascii="Times New Roman" w:hAnsi="Times New Roman" w:cs="Times New Roman"/>
        </w:rPr>
        <w:t>pondence (as did</w:t>
      </w:r>
      <w:r w:rsidRPr="00190F04">
        <w:rPr>
          <w:rFonts w:ascii="Times New Roman" w:hAnsi="Times New Roman" w:cs="Times New Roman"/>
        </w:rPr>
        <w:t xml:space="preserve"> Bonné) or indirectly through their </w:t>
      </w:r>
      <w:r w:rsidR="0017064B" w:rsidRPr="00190F04">
        <w:rPr>
          <w:rFonts w:ascii="Times New Roman" w:hAnsi="Times New Roman" w:cs="Times New Roman"/>
        </w:rPr>
        <w:t xml:space="preserve">influence over sympathetic Western visitors </w:t>
      </w:r>
      <w:r w:rsidR="00A95FFF" w:rsidRPr="00190F04">
        <w:rPr>
          <w:rFonts w:ascii="Times New Roman" w:hAnsi="Times New Roman" w:cs="Times New Roman"/>
        </w:rPr>
        <w:t>(</w:t>
      </w:r>
      <w:r w:rsidR="001D63F6" w:rsidRPr="00190F04">
        <w:rPr>
          <w:rFonts w:ascii="Times New Roman" w:hAnsi="Times New Roman" w:cs="Times New Roman"/>
        </w:rPr>
        <w:t xml:space="preserve">such as </w:t>
      </w:r>
      <w:r w:rsidR="001D63F6" w:rsidRPr="00190F04">
        <w:rPr>
          <w:rFonts w:ascii="Times New Roman" w:hAnsi="Times New Roman" w:cs="Times New Roman"/>
        </w:rPr>
        <w:lastRenderedPageBreak/>
        <w:t>Bowman’s</w:t>
      </w:r>
      <w:r w:rsidRPr="00190F04">
        <w:rPr>
          <w:rFonts w:ascii="Times New Roman" w:hAnsi="Times New Roman" w:cs="Times New Roman"/>
        </w:rPr>
        <w:t xml:space="preserve"> Iranian colleagues). </w:t>
      </w:r>
      <w:r w:rsidR="00CB5247" w:rsidRPr="00190F04">
        <w:rPr>
          <w:rFonts w:ascii="Times New Roman" w:hAnsi="Times New Roman" w:cs="Times New Roman"/>
        </w:rPr>
        <w:t>Bowman himself explicitly sought to enhance Iran’s local research capacity and took a strong stance against the “colonialist” attitudes embodied by Mourant, while also accepting and exporting certain narratives of Iranian nationalism into the Anglophone human genetics literature.</w:t>
      </w:r>
    </w:p>
    <w:p w14:paraId="176A752B" w14:textId="1A03BDEE" w:rsidR="004377D6" w:rsidRPr="00190F04" w:rsidRDefault="00415365" w:rsidP="00132CED">
      <w:pPr>
        <w:shd w:val="clear" w:color="auto" w:fill="FFFFFF"/>
        <w:ind w:firstLine="720"/>
        <w:outlineLvl w:val="3"/>
        <w:rPr>
          <w:rFonts w:ascii="Times New Roman" w:hAnsi="Times New Roman" w:cs="Times New Roman"/>
          <w:color w:val="231F20"/>
        </w:rPr>
      </w:pPr>
      <w:r w:rsidRPr="00190F04">
        <w:rPr>
          <w:rFonts w:ascii="Times New Roman" w:hAnsi="Times New Roman" w:cs="Times New Roman"/>
          <w:color w:val="231F20"/>
        </w:rPr>
        <w:t xml:space="preserve">Middle Eastern scientific workers were always “essential collaborators,” whether or not Mourant and other Western geneticists acknowledged them as such. Only through their labor could genetic data on Middle Eastern populations be made available to develop and test large-scale hypotheses about human evolution and historical migrations. </w:t>
      </w:r>
      <w:r w:rsidR="006440A4" w:rsidRPr="00190F04">
        <w:rPr>
          <w:rFonts w:ascii="Times New Roman" w:hAnsi="Times New Roman" w:cs="Times New Roman"/>
          <w:color w:val="231F20"/>
        </w:rPr>
        <w:t xml:space="preserve">Furthermore, as </w:t>
      </w:r>
      <w:r w:rsidR="00B5665A" w:rsidRPr="00190F04">
        <w:rPr>
          <w:rFonts w:ascii="Times New Roman" w:hAnsi="Times New Roman" w:cs="Times New Roman"/>
          <w:color w:val="231F20"/>
        </w:rPr>
        <w:t xml:space="preserve">Batsheva </w:t>
      </w:r>
      <w:r w:rsidR="006440A4" w:rsidRPr="00190F04">
        <w:rPr>
          <w:rFonts w:ascii="Times New Roman" w:hAnsi="Times New Roman" w:cs="Times New Roman"/>
          <w:color w:val="231F20"/>
        </w:rPr>
        <w:t>Bonné</w:t>
      </w:r>
      <w:r w:rsidR="00B5665A" w:rsidRPr="00190F04">
        <w:rPr>
          <w:rFonts w:ascii="Times New Roman" w:hAnsi="Times New Roman" w:cs="Times New Roman"/>
          <w:color w:val="231F20"/>
        </w:rPr>
        <w:t>-Tamir</w:t>
      </w:r>
      <w:r w:rsidR="006440A4" w:rsidRPr="00190F04">
        <w:rPr>
          <w:rFonts w:ascii="Times New Roman" w:hAnsi="Times New Roman" w:cs="Times New Roman"/>
          <w:color w:val="231F20"/>
        </w:rPr>
        <w:t xml:space="preserve"> herself </w:t>
      </w:r>
      <w:r w:rsidR="002A4864">
        <w:rPr>
          <w:rFonts w:ascii="Times New Roman" w:hAnsi="Times New Roman" w:cs="Times New Roman"/>
          <w:color w:val="231F20"/>
        </w:rPr>
        <w:t>argued</w:t>
      </w:r>
      <w:r w:rsidR="006440A4" w:rsidRPr="00190F04">
        <w:rPr>
          <w:rFonts w:ascii="Times New Roman" w:hAnsi="Times New Roman" w:cs="Times New Roman"/>
          <w:color w:val="231F20"/>
        </w:rPr>
        <w:t>, they were not merely “agents for collecting blood”</w:t>
      </w:r>
      <w:r w:rsidR="0018614B" w:rsidRPr="00190F04">
        <w:rPr>
          <w:rFonts w:ascii="Times New Roman" w:hAnsi="Times New Roman" w:cs="Times New Roman"/>
          <w:color w:val="231F20"/>
        </w:rPr>
        <w:t xml:space="preserve"> to be sent abroad. T</w:t>
      </w:r>
      <w:r w:rsidR="006440A4" w:rsidRPr="00190F04">
        <w:rPr>
          <w:rFonts w:ascii="Times New Roman" w:hAnsi="Times New Roman" w:cs="Times New Roman"/>
          <w:color w:val="231F20"/>
        </w:rPr>
        <w:t xml:space="preserve">hey contributed substantially </w:t>
      </w:r>
      <w:r w:rsidR="005361E0" w:rsidRPr="00190F04">
        <w:rPr>
          <w:rFonts w:ascii="Times New Roman" w:hAnsi="Times New Roman" w:cs="Times New Roman"/>
          <w:color w:val="231F20"/>
        </w:rPr>
        <w:t>to Western genetic</w:t>
      </w:r>
      <w:r w:rsidR="00B5665A" w:rsidRPr="00190F04">
        <w:rPr>
          <w:rFonts w:ascii="Times New Roman" w:hAnsi="Times New Roman" w:cs="Times New Roman"/>
          <w:color w:val="231F20"/>
        </w:rPr>
        <w:t>ists’</w:t>
      </w:r>
      <w:r w:rsidR="000C17C8" w:rsidRPr="00190F04">
        <w:rPr>
          <w:rFonts w:ascii="Times New Roman" w:hAnsi="Times New Roman" w:cs="Times New Roman"/>
          <w:color w:val="231F20"/>
        </w:rPr>
        <w:t xml:space="preserve"> </w:t>
      </w:r>
      <w:r w:rsidR="005361E0" w:rsidRPr="00190F04">
        <w:rPr>
          <w:rFonts w:ascii="Times New Roman" w:hAnsi="Times New Roman" w:cs="Times New Roman"/>
          <w:color w:val="231F20"/>
        </w:rPr>
        <w:t xml:space="preserve">historical </w:t>
      </w:r>
      <w:r w:rsidR="000C17C8" w:rsidRPr="00190F04">
        <w:rPr>
          <w:rFonts w:ascii="Times New Roman" w:hAnsi="Times New Roman" w:cs="Times New Roman"/>
          <w:color w:val="231F20"/>
        </w:rPr>
        <w:t>knowledge about the region, prom</w:t>
      </w:r>
      <w:r w:rsidR="0018614B" w:rsidRPr="00190F04">
        <w:rPr>
          <w:rFonts w:ascii="Times New Roman" w:hAnsi="Times New Roman" w:cs="Times New Roman"/>
          <w:color w:val="231F20"/>
        </w:rPr>
        <w:t>oted specific ethnoreligious</w:t>
      </w:r>
      <w:r w:rsidR="000C17C8" w:rsidRPr="00190F04">
        <w:rPr>
          <w:rFonts w:ascii="Times New Roman" w:hAnsi="Times New Roman" w:cs="Times New Roman"/>
          <w:color w:val="231F20"/>
        </w:rPr>
        <w:t xml:space="preserve"> groups as ideal models to address fundamental questions about human evolution and biological processes of heredity</w:t>
      </w:r>
      <w:r w:rsidR="0018614B" w:rsidRPr="00190F04">
        <w:rPr>
          <w:rFonts w:ascii="Times New Roman" w:hAnsi="Times New Roman" w:cs="Times New Roman"/>
          <w:color w:val="231F20"/>
        </w:rPr>
        <w:t>,</w:t>
      </w:r>
      <w:r w:rsidR="000C17C8" w:rsidRPr="00190F04">
        <w:rPr>
          <w:rFonts w:ascii="Times New Roman" w:hAnsi="Times New Roman" w:cs="Times New Roman"/>
          <w:color w:val="231F20"/>
        </w:rPr>
        <w:t xml:space="preserve"> and </w:t>
      </w:r>
      <w:r w:rsidR="0018614B" w:rsidRPr="00190F04">
        <w:rPr>
          <w:rFonts w:ascii="Times New Roman" w:hAnsi="Times New Roman" w:cs="Times New Roman"/>
          <w:color w:val="231F20"/>
        </w:rPr>
        <w:t xml:space="preserve">shaped the interpretation of genetic data by participating in international conferences and publishing in international venues. </w:t>
      </w:r>
      <w:r w:rsidR="00672BD9" w:rsidRPr="00190F04">
        <w:rPr>
          <w:rFonts w:ascii="Times New Roman" w:hAnsi="Times New Roman" w:cs="Times New Roman"/>
          <w:color w:val="231F20"/>
        </w:rPr>
        <w:t xml:space="preserve">As the case of the Armenians shows, Israeli and Iranian geneticists readily framed their research on minority communities with reference to established nationalist </w:t>
      </w:r>
      <w:r w:rsidR="001E32C0" w:rsidRPr="00190F04">
        <w:rPr>
          <w:rFonts w:ascii="Times New Roman" w:hAnsi="Times New Roman" w:cs="Times New Roman"/>
          <w:color w:val="231F20"/>
        </w:rPr>
        <w:t xml:space="preserve">historical </w:t>
      </w:r>
      <w:r w:rsidR="00672BD9" w:rsidRPr="00190F04">
        <w:rPr>
          <w:rFonts w:ascii="Times New Roman" w:hAnsi="Times New Roman" w:cs="Times New Roman"/>
          <w:color w:val="231F20"/>
        </w:rPr>
        <w:t>narratives. This does not reflect flawed or fringe science; on the contrary, it reflects their thorough integration into the international scientific community and informed adherence to its standardized norms for genetic research. As Jenny Bangham points out, “to make genetic data say anything meaningful about human groups, they had to be aligned with contemporary racial, historical, and geographical knowledge.”</w:t>
      </w:r>
      <w:r w:rsidR="00672BD9" w:rsidRPr="00D941C7">
        <w:rPr>
          <w:rStyle w:val="FootnoteReference"/>
        </w:rPr>
        <w:footnoteReference w:id="95"/>
      </w:r>
      <w:r w:rsidR="00672BD9" w:rsidRPr="00190F04">
        <w:rPr>
          <w:rFonts w:ascii="Times New Roman" w:hAnsi="Times New Roman" w:cs="Times New Roman"/>
          <w:color w:val="231F20"/>
        </w:rPr>
        <w:t xml:space="preserve"> </w:t>
      </w:r>
      <w:r w:rsidR="00CD16E9" w:rsidRPr="00190F04">
        <w:rPr>
          <w:rFonts w:ascii="Times New Roman" w:hAnsi="Times New Roman" w:cs="Times New Roman"/>
          <w:color w:val="231F20"/>
        </w:rPr>
        <w:t xml:space="preserve">The need to ascribe geographical and genealogical boundaries to research populations made all geneticists dependent on the accounts of historians, ethnographers, and linguists. </w:t>
      </w:r>
      <w:r w:rsidR="00672BD9" w:rsidRPr="00190F04">
        <w:rPr>
          <w:rFonts w:ascii="Times New Roman" w:hAnsi="Times New Roman" w:cs="Times New Roman"/>
          <w:color w:val="231F20"/>
        </w:rPr>
        <w:t>Not only in the Middle East</w:t>
      </w:r>
      <w:r w:rsidR="001E32C0" w:rsidRPr="00190F04">
        <w:rPr>
          <w:rFonts w:ascii="Times New Roman" w:hAnsi="Times New Roman" w:cs="Times New Roman"/>
          <w:color w:val="231F20"/>
        </w:rPr>
        <w:t xml:space="preserve"> or other postcolonial contexts</w:t>
      </w:r>
      <w:r w:rsidR="00672BD9" w:rsidRPr="00190F04">
        <w:rPr>
          <w:rFonts w:ascii="Times New Roman" w:hAnsi="Times New Roman" w:cs="Times New Roman"/>
          <w:color w:val="231F20"/>
        </w:rPr>
        <w:t xml:space="preserve">, but </w:t>
      </w:r>
      <w:r w:rsidR="001E32C0" w:rsidRPr="00190F04">
        <w:rPr>
          <w:rFonts w:ascii="Times New Roman" w:hAnsi="Times New Roman" w:cs="Times New Roman"/>
          <w:color w:val="231F20"/>
        </w:rPr>
        <w:t>also even in much of Europe</w:t>
      </w:r>
      <w:r w:rsidR="001D4E24" w:rsidRPr="00190F04">
        <w:rPr>
          <w:rFonts w:ascii="Times New Roman" w:hAnsi="Times New Roman" w:cs="Times New Roman"/>
          <w:color w:val="231F20"/>
        </w:rPr>
        <w:t>, such</w:t>
      </w:r>
      <w:r w:rsidR="00672BD9" w:rsidRPr="00190F04">
        <w:rPr>
          <w:rFonts w:ascii="Times New Roman" w:hAnsi="Times New Roman" w:cs="Times New Roman"/>
          <w:color w:val="231F20"/>
        </w:rPr>
        <w:t xml:space="preserve"> contemporary knowledge </w:t>
      </w:r>
      <w:r w:rsidR="001E32C0" w:rsidRPr="00190F04">
        <w:rPr>
          <w:rFonts w:ascii="Times New Roman" w:hAnsi="Times New Roman" w:cs="Times New Roman"/>
          <w:color w:val="231F20"/>
        </w:rPr>
        <w:t>had long been</w:t>
      </w:r>
      <w:r w:rsidR="00672BD9" w:rsidRPr="00190F04">
        <w:rPr>
          <w:rFonts w:ascii="Times New Roman" w:hAnsi="Times New Roman" w:cs="Times New Roman"/>
          <w:color w:val="231F20"/>
        </w:rPr>
        <w:t xml:space="preserve"> configured for the purpose </w:t>
      </w:r>
      <w:r w:rsidR="009D1460" w:rsidRPr="00190F04">
        <w:rPr>
          <w:rFonts w:ascii="Times New Roman" w:hAnsi="Times New Roman" w:cs="Times New Roman"/>
          <w:color w:val="231F20"/>
        </w:rPr>
        <w:t>of consolidating the nation-state.</w:t>
      </w:r>
      <w:r w:rsidR="001E32C0" w:rsidRPr="00D941C7">
        <w:rPr>
          <w:rStyle w:val="FootnoteReference"/>
        </w:rPr>
        <w:footnoteReference w:id="96"/>
      </w:r>
    </w:p>
    <w:p w14:paraId="2581C8EF" w14:textId="4926E24C" w:rsidR="009C123A" w:rsidRPr="00190F04" w:rsidRDefault="004377D6" w:rsidP="00132CED">
      <w:pPr>
        <w:shd w:val="clear" w:color="auto" w:fill="FFFFFF"/>
        <w:ind w:firstLine="720"/>
        <w:outlineLvl w:val="3"/>
        <w:rPr>
          <w:rFonts w:ascii="Times New Roman" w:hAnsi="Times New Roman" w:cs="Times New Roman"/>
          <w:color w:val="231F20"/>
        </w:rPr>
      </w:pPr>
      <w:r w:rsidRPr="00190F04">
        <w:rPr>
          <w:rFonts w:ascii="Times New Roman" w:hAnsi="Times New Roman" w:cs="Times New Roman"/>
        </w:rPr>
        <w:t xml:space="preserve">From the beginning of the Cold War to the late 1970s, both Israelis and Iranians branded themselves as culturally Western nation-states, and their efforts to develop national scientific communities focused more on building professional </w:t>
      </w:r>
      <w:r w:rsidR="00C22BA6">
        <w:rPr>
          <w:rFonts w:ascii="Times New Roman" w:hAnsi="Times New Roman" w:cs="Times New Roman"/>
        </w:rPr>
        <w:t>collaborations with researchers in</w:t>
      </w:r>
      <w:r w:rsidRPr="00190F04">
        <w:rPr>
          <w:rFonts w:ascii="Times New Roman" w:hAnsi="Times New Roman" w:cs="Times New Roman"/>
        </w:rPr>
        <w:t xml:space="preserve"> Europe and North America than </w:t>
      </w:r>
      <w:r w:rsidR="00495A2F" w:rsidRPr="00190F04">
        <w:rPr>
          <w:rFonts w:ascii="Times New Roman" w:hAnsi="Times New Roman" w:cs="Times New Roman"/>
        </w:rPr>
        <w:t>on forging ties to one another</w:t>
      </w:r>
      <w:r w:rsidR="007F3616" w:rsidRPr="00190F04">
        <w:rPr>
          <w:rFonts w:ascii="Times New Roman" w:hAnsi="Times New Roman" w:cs="Times New Roman"/>
        </w:rPr>
        <w:t>.</w:t>
      </w:r>
      <w:r w:rsidR="00495A2F" w:rsidRPr="00190F04">
        <w:rPr>
          <w:rFonts w:ascii="Times New Roman" w:hAnsi="Times New Roman" w:cs="Times New Roman"/>
        </w:rPr>
        <w:t xml:space="preserve"> Regardless, Israeli and Iranian scientists had much in common and must </w:t>
      </w:r>
      <w:r w:rsidR="00E32D9B" w:rsidRPr="00190F04">
        <w:rPr>
          <w:rFonts w:ascii="Times New Roman" w:hAnsi="Times New Roman" w:cs="Times New Roman"/>
        </w:rPr>
        <w:t xml:space="preserve">be </w:t>
      </w:r>
      <w:r w:rsidR="00495A2F" w:rsidRPr="00190F04">
        <w:rPr>
          <w:rFonts w:ascii="Times New Roman" w:hAnsi="Times New Roman" w:cs="Times New Roman"/>
        </w:rPr>
        <w:t>understood not only in terms of their aspirations to Western modernity but also in terms of their Middle Eastern working conditions. Geneticists</w:t>
      </w:r>
      <w:r w:rsidR="001E3E54" w:rsidRPr="00190F04">
        <w:rPr>
          <w:rFonts w:ascii="Times New Roman" w:hAnsi="Times New Roman" w:cs="Times New Roman"/>
        </w:rPr>
        <w:t xml:space="preserve"> of both countries worked on the same hereditary </w:t>
      </w:r>
      <w:r w:rsidR="00495A2F" w:rsidRPr="00190F04">
        <w:rPr>
          <w:rFonts w:ascii="Times New Roman" w:hAnsi="Times New Roman" w:cs="Times New Roman"/>
        </w:rPr>
        <w:t>disorders</w:t>
      </w:r>
      <w:r w:rsidR="00913DEC" w:rsidRPr="00190F04">
        <w:rPr>
          <w:rFonts w:ascii="Times New Roman" w:hAnsi="Times New Roman" w:cs="Times New Roman"/>
        </w:rPr>
        <w:t xml:space="preserve"> (like</w:t>
      </w:r>
      <w:r w:rsidR="001E3E54" w:rsidRPr="00190F04">
        <w:rPr>
          <w:rFonts w:ascii="Times New Roman" w:hAnsi="Times New Roman" w:cs="Times New Roman"/>
        </w:rPr>
        <w:t xml:space="preserve"> G6PD deficiency) and overlapping pop</w:t>
      </w:r>
      <w:r w:rsidR="00913DEC" w:rsidRPr="00190F04">
        <w:rPr>
          <w:rFonts w:ascii="Times New Roman" w:hAnsi="Times New Roman" w:cs="Times New Roman"/>
        </w:rPr>
        <w:t>ulation groups (like Jews</w:t>
      </w:r>
      <w:r w:rsidR="001E3E54" w:rsidRPr="00190F04">
        <w:rPr>
          <w:rFonts w:ascii="Times New Roman" w:hAnsi="Times New Roman" w:cs="Times New Roman"/>
        </w:rPr>
        <w:t xml:space="preserve"> and Armenians), which formed the logical basis of a regional network. Furthermore, m</w:t>
      </w:r>
      <w:r w:rsidR="007F3616" w:rsidRPr="00190F04">
        <w:rPr>
          <w:rFonts w:ascii="Times New Roman" w:eastAsia="Times New Roman" w:hAnsi="Times New Roman" w:cs="Times New Roman"/>
        </w:rPr>
        <w:t xml:space="preserve">ost </w:t>
      </w:r>
      <w:r w:rsidR="00FB1FA9" w:rsidRPr="00190F04">
        <w:rPr>
          <w:rFonts w:ascii="Times New Roman" w:hAnsi="Times New Roman" w:cs="Times New Roman"/>
        </w:rPr>
        <w:t>Israeli</w:t>
      </w:r>
      <w:r w:rsidR="007F3616" w:rsidRPr="00190F04">
        <w:rPr>
          <w:rFonts w:ascii="Times New Roman" w:hAnsi="Times New Roman" w:cs="Times New Roman"/>
        </w:rPr>
        <w:t xml:space="preserve"> and Iranian geneticists did not belong to the</w:t>
      </w:r>
      <w:r w:rsidR="00DF5E5C" w:rsidRPr="00190F04">
        <w:rPr>
          <w:rFonts w:ascii="Times New Roman" w:hAnsi="Times New Roman" w:cs="Times New Roman"/>
        </w:rPr>
        <w:t xml:space="preserve"> small minority communities of isolates</w:t>
      </w:r>
      <w:r w:rsidR="007F3616" w:rsidRPr="00190F04">
        <w:rPr>
          <w:rFonts w:ascii="Times New Roman" w:hAnsi="Times New Roman" w:cs="Times New Roman"/>
        </w:rPr>
        <w:t xml:space="preserve"> that were the preferred research subjects of human population genetics. Rather, they represented the dominant forces of homogenizing national cultures within their own societies, just as they </w:t>
      </w:r>
      <w:r w:rsidR="00B555C1" w:rsidRPr="00190F04">
        <w:rPr>
          <w:rFonts w:ascii="Times New Roman" w:hAnsi="Times New Roman" w:cs="Times New Roman"/>
        </w:rPr>
        <w:t>served as “native informants” representing distinct</w:t>
      </w:r>
      <w:r w:rsidR="007F3616" w:rsidRPr="00190F04">
        <w:rPr>
          <w:rFonts w:ascii="Times New Roman" w:hAnsi="Times New Roman" w:cs="Times New Roman"/>
        </w:rPr>
        <w:t xml:space="preserve"> national identities on the g</w:t>
      </w:r>
      <w:r w:rsidR="00C22BA6">
        <w:rPr>
          <w:rFonts w:ascii="Times New Roman" w:hAnsi="Times New Roman" w:cs="Times New Roman"/>
        </w:rPr>
        <w:t>lobal stage of their profession</w:t>
      </w:r>
      <w:r w:rsidR="00A27367" w:rsidRPr="00190F04">
        <w:rPr>
          <w:rFonts w:ascii="Times New Roman" w:hAnsi="Times New Roman" w:cs="Times New Roman"/>
        </w:rPr>
        <w:t>.</w:t>
      </w:r>
      <w:r w:rsidR="00B555C1" w:rsidRPr="00190F04">
        <w:rPr>
          <w:rFonts w:ascii="Times New Roman" w:hAnsi="Times New Roman" w:cs="Times New Roman"/>
        </w:rPr>
        <w:t xml:space="preserve"> </w:t>
      </w:r>
      <w:r w:rsidR="00777D09" w:rsidRPr="00190F04">
        <w:rPr>
          <w:rFonts w:ascii="Times New Roman" w:hAnsi="Times New Roman" w:cs="Times New Roman"/>
        </w:rPr>
        <w:t>In this light, both their individual careers and the biological narratives they produced about their research subjects emblem</w:t>
      </w:r>
      <w:r w:rsidR="00EB2745" w:rsidRPr="00190F04">
        <w:rPr>
          <w:rFonts w:ascii="Times New Roman" w:hAnsi="Times New Roman" w:cs="Times New Roman"/>
        </w:rPr>
        <w:t>at</w:t>
      </w:r>
      <w:r w:rsidR="00777D09" w:rsidRPr="00190F04">
        <w:rPr>
          <w:rFonts w:ascii="Times New Roman" w:hAnsi="Times New Roman" w:cs="Times New Roman"/>
        </w:rPr>
        <w:t>ize “</w:t>
      </w:r>
      <w:r w:rsidR="00777D09" w:rsidRPr="00190F04">
        <w:rPr>
          <w:rFonts w:ascii="Times New Roman" w:hAnsi="Times New Roman" w:cs="Times New Roman"/>
          <w:color w:val="231F20"/>
        </w:rPr>
        <w:t>the multiply contingent and hybrid character of science, nationalism, and modernity.”</w:t>
      </w:r>
      <w:r w:rsidR="00777D09" w:rsidRPr="00D941C7">
        <w:rPr>
          <w:rStyle w:val="FootnoteReference"/>
        </w:rPr>
        <w:footnoteReference w:id="97"/>
      </w:r>
      <w:r w:rsidR="00B5665A" w:rsidRPr="00190F04">
        <w:rPr>
          <w:rFonts w:ascii="Times New Roman" w:hAnsi="Times New Roman" w:cs="Times New Roman"/>
          <w:color w:val="231F20"/>
        </w:rPr>
        <w:t xml:space="preserve"> </w:t>
      </w:r>
      <w:r w:rsidR="00664188" w:rsidRPr="00190F04">
        <w:rPr>
          <w:rFonts w:ascii="Times New Roman" w:hAnsi="Times New Roman" w:cs="Times New Roman"/>
          <w:color w:val="231F20"/>
        </w:rPr>
        <w:t xml:space="preserve">Ultimately, </w:t>
      </w:r>
      <w:r w:rsidR="00664188" w:rsidRPr="00190F04">
        <w:rPr>
          <w:rFonts w:ascii="Times New Roman" w:hAnsi="Times New Roman" w:cs="Times New Roman"/>
        </w:rPr>
        <w:t>i</w:t>
      </w:r>
      <w:r w:rsidR="00A5443F" w:rsidRPr="00190F04">
        <w:rPr>
          <w:rFonts w:ascii="Times New Roman" w:hAnsi="Times New Roman" w:cs="Times New Roman"/>
        </w:rPr>
        <w:t xml:space="preserve">t is the </w:t>
      </w:r>
      <w:r w:rsidR="00B307DA" w:rsidRPr="00190F04">
        <w:rPr>
          <w:rFonts w:ascii="Times New Roman" w:hAnsi="Times New Roman" w:cs="Times New Roman"/>
        </w:rPr>
        <w:t>supposed</w:t>
      </w:r>
      <w:r w:rsidR="00A5443F" w:rsidRPr="00190F04">
        <w:rPr>
          <w:rFonts w:ascii="Times New Roman" w:hAnsi="Times New Roman" w:cs="Times New Roman"/>
        </w:rPr>
        <w:t xml:space="preserve"> </w:t>
      </w:r>
      <w:r w:rsidR="00B307DA" w:rsidRPr="00190F04">
        <w:rPr>
          <w:rFonts w:ascii="Times New Roman" w:hAnsi="Times New Roman" w:cs="Times New Roman"/>
        </w:rPr>
        <w:t>unive</w:t>
      </w:r>
      <w:r w:rsidR="00CC1059" w:rsidRPr="00190F04">
        <w:rPr>
          <w:rFonts w:ascii="Times New Roman" w:hAnsi="Times New Roman" w:cs="Times New Roman"/>
        </w:rPr>
        <w:t>rsalism of scientific knowledge</w:t>
      </w:r>
      <w:r w:rsidR="00B307DA" w:rsidRPr="00190F04">
        <w:rPr>
          <w:rFonts w:ascii="Times New Roman" w:hAnsi="Times New Roman" w:cs="Times New Roman"/>
        </w:rPr>
        <w:t xml:space="preserve"> and </w:t>
      </w:r>
      <w:r w:rsidR="00A5443F" w:rsidRPr="00190F04">
        <w:rPr>
          <w:rFonts w:ascii="Times New Roman" w:hAnsi="Times New Roman" w:cs="Times New Roman"/>
        </w:rPr>
        <w:t>internationalism</w:t>
      </w:r>
      <w:r w:rsidR="00A5443F" w:rsidRPr="00190F04">
        <w:rPr>
          <w:rFonts w:ascii="Times New Roman" w:hAnsi="Times New Roman" w:cs="Times New Roman"/>
          <w:i/>
        </w:rPr>
        <w:t xml:space="preserve"> </w:t>
      </w:r>
      <w:r w:rsidR="00A5443F" w:rsidRPr="00190F04">
        <w:rPr>
          <w:rFonts w:ascii="Times New Roman" w:hAnsi="Times New Roman" w:cs="Times New Roman"/>
        </w:rPr>
        <w:t>of professional scientific c</w:t>
      </w:r>
      <w:r w:rsidR="00CC1059" w:rsidRPr="00190F04">
        <w:rPr>
          <w:rFonts w:ascii="Times New Roman" w:hAnsi="Times New Roman" w:cs="Times New Roman"/>
        </w:rPr>
        <w:t>ommunities</w:t>
      </w:r>
      <w:r w:rsidR="00B307DA" w:rsidRPr="00190F04">
        <w:rPr>
          <w:rFonts w:ascii="Times New Roman" w:hAnsi="Times New Roman" w:cs="Times New Roman"/>
        </w:rPr>
        <w:t xml:space="preserve"> that has reinforced a sense</w:t>
      </w:r>
      <w:r w:rsidR="00A5443F" w:rsidRPr="00190F04">
        <w:rPr>
          <w:rFonts w:ascii="Times New Roman" w:hAnsi="Times New Roman" w:cs="Times New Roman"/>
        </w:rPr>
        <w:t xml:space="preserve"> of </w:t>
      </w:r>
      <w:r w:rsidR="00B307DA" w:rsidRPr="00190F04">
        <w:rPr>
          <w:rFonts w:ascii="Times New Roman" w:hAnsi="Times New Roman" w:cs="Times New Roman"/>
        </w:rPr>
        <w:t>national identity</w:t>
      </w:r>
      <w:r w:rsidR="00B86ADD">
        <w:rPr>
          <w:rFonts w:ascii="Times New Roman" w:hAnsi="Times New Roman" w:cs="Times New Roman"/>
        </w:rPr>
        <w:t xml:space="preserve"> </w:t>
      </w:r>
      <w:r w:rsidR="00CC1059" w:rsidRPr="00190F04">
        <w:rPr>
          <w:rFonts w:ascii="Times New Roman" w:hAnsi="Times New Roman" w:cs="Times New Roman"/>
        </w:rPr>
        <w:t xml:space="preserve">within </w:t>
      </w:r>
      <w:r w:rsidR="00345616" w:rsidRPr="00190F04">
        <w:rPr>
          <w:rFonts w:ascii="Times New Roman" w:hAnsi="Times New Roman" w:cs="Times New Roman"/>
        </w:rPr>
        <w:t xml:space="preserve">the global ecosystem of </w:t>
      </w:r>
      <w:r w:rsidR="008E56AE" w:rsidRPr="00190F04">
        <w:rPr>
          <w:rFonts w:ascii="Times New Roman" w:hAnsi="Times New Roman" w:cs="Times New Roman"/>
        </w:rPr>
        <w:t xml:space="preserve">healthcare, scholarship, and </w:t>
      </w:r>
      <w:r w:rsidR="00AB62B2" w:rsidRPr="00190F04">
        <w:rPr>
          <w:rFonts w:ascii="Times New Roman" w:hAnsi="Times New Roman" w:cs="Times New Roman"/>
        </w:rPr>
        <w:t>governance.</w:t>
      </w:r>
    </w:p>
    <w:sectPr w:rsidR="009C123A" w:rsidRPr="00190F04" w:rsidSect="001B4712">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4827C" w14:textId="77777777" w:rsidR="009749CE" w:rsidRDefault="009749CE" w:rsidP="00F917E7">
      <w:r>
        <w:separator/>
      </w:r>
    </w:p>
  </w:endnote>
  <w:endnote w:type="continuationSeparator" w:id="0">
    <w:p w14:paraId="0001B8C8" w14:textId="77777777" w:rsidR="009749CE" w:rsidRDefault="009749CE" w:rsidP="00F9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920B" w14:textId="77777777" w:rsidR="009749CE" w:rsidRDefault="009749CE" w:rsidP="00525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91A66" w14:textId="77777777" w:rsidR="009749CE" w:rsidRDefault="009749CE" w:rsidP="005C33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B164" w14:textId="77777777" w:rsidR="009749CE" w:rsidRPr="009F02DE" w:rsidRDefault="009749CE" w:rsidP="00130DEB">
    <w:pPr>
      <w:pStyle w:val="Header"/>
      <w:framePr w:wrap="around" w:vAnchor="text" w:hAnchor="margin" w:xAlign="right" w:y="1"/>
      <w:rPr>
        <w:rStyle w:val="PageNumber"/>
        <w:rFonts w:ascii="Times New Roman" w:hAnsi="Times New Roman" w:cs="Times New Roman"/>
      </w:rPr>
    </w:pPr>
    <w:r w:rsidRPr="009F02DE">
      <w:rPr>
        <w:rStyle w:val="PageNumber"/>
        <w:rFonts w:ascii="Times New Roman" w:hAnsi="Times New Roman" w:cs="Times New Roman"/>
      </w:rPr>
      <w:fldChar w:fldCharType="begin"/>
    </w:r>
    <w:r w:rsidRPr="009F02DE">
      <w:rPr>
        <w:rStyle w:val="PageNumber"/>
        <w:rFonts w:ascii="Times New Roman" w:hAnsi="Times New Roman" w:cs="Times New Roman"/>
      </w:rPr>
      <w:instrText xml:space="preserve">PAGE  </w:instrText>
    </w:r>
    <w:r w:rsidRPr="009F02DE">
      <w:rPr>
        <w:rStyle w:val="PageNumber"/>
        <w:rFonts w:ascii="Times New Roman" w:hAnsi="Times New Roman" w:cs="Times New Roman"/>
      </w:rPr>
      <w:fldChar w:fldCharType="separate"/>
    </w:r>
    <w:r w:rsidR="004F4E11">
      <w:rPr>
        <w:rStyle w:val="PageNumber"/>
        <w:rFonts w:ascii="Times New Roman" w:hAnsi="Times New Roman" w:cs="Times New Roman"/>
        <w:noProof/>
      </w:rPr>
      <w:t>6</w:t>
    </w:r>
    <w:r w:rsidRPr="009F02DE">
      <w:rPr>
        <w:rStyle w:val="PageNumber"/>
        <w:rFonts w:ascii="Times New Roman" w:hAnsi="Times New Roman" w:cs="Times New Roman"/>
      </w:rPr>
      <w:fldChar w:fldCharType="end"/>
    </w:r>
  </w:p>
  <w:p w14:paraId="3E65909B" w14:textId="11CE7EA0" w:rsidR="009749CE" w:rsidRPr="005C33AA" w:rsidRDefault="009749CE" w:rsidP="009F02DE">
    <w:pPr>
      <w:pStyle w:val="Footer"/>
      <w:ind w:right="450"/>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C5DFC" w14:textId="77777777" w:rsidR="009749CE" w:rsidRDefault="009749CE" w:rsidP="00F917E7">
      <w:r>
        <w:separator/>
      </w:r>
    </w:p>
  </w:footnote>
  <w:footnote w:type="continuationSeparator" w:id="0">
    <w:p w14:paraId="3F962AB8" w14:textId="77777777" w:rsidR="009749CE" w:rsidRDefault="009749CE" w:rsidP="00F917E7">
      <w:r>
        <w:continuationSeparator/>
      </w:r>
    </w:p>
  </w:footnote>
  <w:footnote w:id="1">
    <w:p w14:paraId="4ACD95CD" w14:textId="73138226"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{"citationID":"IUTsrdoC","properties":{"formattedCitation":"{\\rtf Leland C. Wyman and William C. Boyd, \\uc0\\u8220{}Human Blood Groups and Anthropology,\\uc0\\u8221{} {\\i{}American Anthropologist} 37, no. 2 (1935): 198.}","plainCitation":"Leland C. Wyman and William C. Boyd, “Human Blood Groups and Anthropology,” American Anthropologist 37, no. 2 (1935): 198."},"citationItems":[{"id":603,"uris":["http://zotero.org/users/1208826/items/368KJNFC"],"uri":["http://zotero.org/users/1208826/items/368KJNFC"],"itemData":{"id":603,"type":"article-journal","title":"Human blood groups and anthropology","container-title":"American Anthropologist","page":"181-200","volume":"37","issue":"2","author":[{"family":"Wyman","given":"Leland C."},{"family":"Boyd","given":"William C."}],"issued":{"date-parts":[["1935"]]}},"locator":"198"}],"schema":"https://github.com/citation-style-language/schema/raw/master/csl-citation.json"} </w:instrText>
      </w:r>
      <w:r w:rsidRPr="00132CED">
        <w:rPr>
          <w:rFonts w:cs="Times New Roman"/>
          <w:szCs w:val="20"/>
        </w:rPr>
        <w:fldChar w:fldCharType="separate"/>
      </w:r>
      <w:r w:rsidRPr="00132CED">
        <w:rPr>
          <w:rFonts w:cs="Times New Roman"/>
          <w:szCs w:val="20"/>
        </w:rPr>
        <w:t xml:space="preserve">Leland C. Wyman and William C. Boyd, “Human Blood Groups and Anthropology,” </w:t>
      </w:r>
      <w:r w:rsidRPr="00132CED">
        <w:rPr>
          <w:rFonts w:cs="Times New Roman"/>
          <w:i/>
          <w:iCs/>
          <w:szCs w:val="20"/>
        </w:rPr>
        <w:t>American Anthropologist</w:t>
      </w:r>
      <w:r w:rsidRPr="00132CED">
        <w:rPr>
          <w:rFonts w:cs="Times New Roman"/>
          <w:szCs w:val="20"/>
        </w:rPr>
        <w:t xml:space="preserve"> 37, no. 2 (1935), 181-200: 198.</w:t>
      </w:r>
      <w:r w:rsidRPr="00132CED">
        <w:rPr>
          <w:rFonts w:cs="Times New Roman"/>
          <w:szCs w:val="20"/>
        </w:rPr>
        <w:fldChar w:fldCharType="end"/>
      </w:r>
      <w:r w:rsidRPr="00132CED">
        <w:rPr>
          <w:rFonts w:cs="Times New Roman"/>
          <w:szCs w:val="20"/>
        </w:rPr>
        <w:t xml:space="preserve"> During this period, human genetics was not a well-defined field of inquiry and most of its practitioners initially rose to prominence within more established scientific disciplines. Accordingly, throughout this paper, I use “geneticists” as a shorthand for the scientists and physicians trained in physical anthropology, evolutionary biology, biochemistry and medical pathology (especially hematology and serology, the study of blood and serum, respectively) whose careers converged around various questions of human heredity.</w:t>
      </w:r>
    </w:p>
  </w:footnote>
  <w:footnote w:id="2">
    <w:p w14:paraId="3F09BF65" w14:textId="4E74DE5F"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{"citationID":"zJr20eSS","properties":{"formattedCitation":"{\\rtf Michael A. Little, \\uc0\\u8220{}Human Population Biology in the Second Half of the Twentieth Century,\\uc0\\u8221{} {\\i{}Current Anthropology} 53, no. S5 (2012): S132, doi:10.1086/662440.}","plainCitation":"Michael A. Little, “Human Population Biology in the Second Half of the Twentieth Century,” Current Anthropology 53, no. S5 (2012): S132, doi:10.1086/662440."},"citationItems":[{"id":686,"uris":["http://zotero.org/users/1208826/items/9DWUC3XM"],"uri":["http://zotero.org/users/1208826/items/9DWUC3XM"],"itemData":{"id":686,"type":"article-journal","title":"Human Population Biology in the Second Half of the Twentieth Century","container-title":"Current Anthropology","page":"S126-S138","volume":"53","issue":"S5","source":"CrossRef","DOI":"10.1086/662440","ISSN":"00113204, 15375382","language":"en","author":[{"family":"Little","given":"Michael A."}],"issued":{"date-parts":[["2012"]]}},"locator":"S132"}],"schema":"https://github.com/citation-style-language/schema/raw/master/csl-citation.json"} </w:instrText>
      </w:r>
      <w:r w:rsidRPr="00132CED">
        <w:rPr>
          <w:rFonts w:cs="Times New Roman"/>
          <w:szCs w:val="20"/>
        </w:rPr>
        <w:fldChar w:fldCharType="separate"/>
      </w:r>
      <w:r w:rsidRPr="00132CED">
        <w:rPr>
          <w:rFonts w:cs="Times New Roman"/>
          <w:szCs w:val="20"/>
        </w:rPr>
        <w:t xml:space="preserve">Michael A. Little, “Human Population Biology in the Second Half of the Twentieth Century,” </w:t>
      </w:r>
      <w:r w:rsidRPr="00132CED">
        <w:rPr>
          <w:rFonts w:cs="Times New Roman"/>
          <w:i/>
          <w:iCs/>
          <w:szCs w:val="20"/>
        </w:rPr>
        <w:t>Current Anthropology</w:t>
      </w:r>
      <w:r w:rsidRPr="00132CED">
        <w:rPr>
          <w:rFonts w:cs="Times New Roman"/>
          <w:szCs w:val="20"/>
        </w:rPr>
        <w:t xml:space="preserve"> 53, no. S5 (2012), S126-S138: S132.</w:t>
      </w:r>
      <w:r w:rsidRPr="00132CED">
        <w:rPr>
          <w:rFonts w:cs="Times New Roman"/>
          <w:szCs w:val="20"/>
        </w:rPr>
        <w:fldChar w:fldCharType="end"/>
      </w:r>
    </w:p>
  </w:footnote>
  <w:footnote w:id="3">
    <w:p w14:paraId="74005E8E" w14:textId="7B50EC36"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{"citationID":"9r9TL0Or","properties":{"formattedCitation":"{\\rtf Soraya de Chadarevian, \\uc0\\u8220{}Following Molecules: Hemoglobin between the Clinic and the Laboratory,\\uc0\\u8221{} in {\\i{}Molecularizing Biology and Medicine: New Practices and Alliances, 1910s-1970s}, ed. Soraya de Chadarevian and Harmke Kamminga (Amsterdam: Harwood Academic Publishers, 1998), 179; John Dacie, \\uc0\\u8220{}Hermann Lehmann, 8 July 1910-13 July 1985,\\uc0\\u8221{} {\\i{}Biographical Memoirs of the Fellows of the Royal Society} 34 (1988): 412\\uc0\\u8211{}14.}","plainCitation":"Soraya de Chadarevian, “Following Molecules: Hemoglobin between the Clinic and the Laboratory,” in Molecularizing Biology and Medicine: New Practices and Alliances, 1910s-1970s, ed. Soraya de Chadarevian and Harmke Kamminga (Amsterdam: Harwood Academic Publishers, 1998), 179; John Dacie, “Hermann Lehmann, 8 July 1910-13 July 1985,” Biographical Memoirs of the Fellows of the Royal Society 34 (1988): 412–14."},"citationItems":[{"id":640,"uris":["http://zotero.org/users/1208826/items/279E8B7A"],"uri":["http://zotero.org/users/1208826/items/279E8B7A"],"itemData":{"id":640,"type":"chapter","title":"Following molecules: Hemoglobin between the clinic and the laboratory","container-title":"Molecularizing biology and medicine: new practices and alliances, 1910s-1970s","publisher":"Harwood Academic Publishers","publisher-place":"Amsterdam","page":"171-201","source":"Library of Congress ISBN","event-place":"Amsterdam","ISBN":"978-90-5702-293-7","call-number":"QH506 .M6646 1998","shortTitle":"Following molecules","editor":[{"family":"Chadarevian","given":"Soraya","dropping-particle":"de"},{"family":"Kamminga","given":"Harmke"}],"author":[{"family":"Chadarevian","given":"Soraya","dropping-particle":"de"}],"issued":{"date-parts":[["1998"]]}},"locator":"179"},{"id":691,"uris":["http://zotero.org/users/1208826/items/ZGQI2VEA"],"uri":["http://zotero.org/users/1208826/items/ZGQI2VEA"],"itemData":{"id":691,"type":"article-journal","title":"Hermann Lehmann, 8 July 1910-13 July 1985","container-title":"Biographical Memoirs of the Fellows of the Royal Society","page":"406-449","volume":"34","shortTitle":"Hermann Lehmann","author":[{"family":"Dacie","given":"John"}],"issued":{"date-parts":[["1988"]]}},"locator":"412-14"}],"schema":"https://github.com/citation-style-language/schema/raw/master/csl-citation.json"} </w:instrText>
      </w:r>
      <w:r w:rsidRPr="00132CED">
        <w:rPr>
          <w:rFonts w:cs="Times New Roman"/>
          <w:szCs w:val="20"/>
        </w:rPr>
        <w:fldChar w:fldCharType="separate"/>
      </w:r>
      <w:r w:rsidRPr="00132CED">
        <w:rPr>
          <w:rFonts w:cs="Times New Roman"/>
          <w:szCs w:val="20"/>
        </w:rPr>
        <w:t xml:space="preserve">Soraya de Chadarevian, “Following Molecules: Hemoglobin between the Clinic and the Laboratory,” in </w:t>
      </w:r>
      <w:r w:rsidRPr="00132CED">
        <w:rPr>
          <w:rFonts w:cs="Times New Roman"/>
          <w:i/>
          <w:iCs/>
          <w:szCs w:val="20"/>
        </w:rPr>
        <w:t>Molecularizing Biology and Medicine: New Practices and Alliances, 1910s-1970s</w:t>
      </w:r>
      <w:r w:rsidRPr="00132CED">
        <w:rPr>
          <w:rFonts w:cs="Times New Roman"/>
          <w:szCs w:val="20"/>
        </w:rPr>
        <w:t xml:space="preserve">, ed. Soraya de Chadarevian and Harmke Kamminga (Amsterdam: Harwood Academic Publishers, 1998), 171-201: 179; John Dacie, “Hermann Lehmann, 8 July 1910-13 July 1985,” </w:t>
      </w:r>
      <w:r w:rsidRPr="00132CED">
        <w:rPr>
          <w:rFonts w:cs="Times New Roman"/>
          <w:i/>
          <w:iCs/>
          <w:szCs w:val="20"/>
        </w:rPr>
        <w:t>Biographical Memoirs of the Fellows of the Royal Society</w:t>
      </w:r>
      <w:r w:rsidRPr="00132CED">
        <w:rPr>
          <w:rFonts w:cs="Times New Roman"/>
          <w:szCs w:val="20"/>
        </w:rPr>
        <w:t xml:space="preserve"> 34 (1988), 406-449: 412–14.</w:t>
      </w:r>
      <w:r w:rsidRPr="00132CED">
        <w:rPr>
          <w:rFonts w:cs="Times New Roman"/>
          <w:szCs w:val="20"/>
        </w:rPr>
        <w:fldChar w:fldCharType="end"/>
      </w:r>
    </w:p>
  </w:footnote>
  <w:footnote w:id="4">
    <w:p w14:paraId="570C267D" w14:textId="74ACFF1D"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{"citationID":"m3uaU5dP","properties":{"formattedCitation":"{\\rtf Joanna Radin, \\uc0\\u8220{}Unfolding Epidemiological Stories: How the WHO Made Frozen Blood into a Flexible Resource for the Future,\\uc0\\u8221{} {\\i{}Studies in History and Philosophy of Science Part C: Studies in History and Philosophy of Biological and Biomedical Sciences} 47 (2014): 68, doi:10.1016/j.shpsc.2014.05.007; Joanna Radin, \\uc0\\u8220{}Latent Life: Concepts and Practices of Human Tissue Preservation in the International Biological Program,\\uc0\\u8221{} {\\i{}Social Studies of Science} 43, no. 4 (August 1, 2013): 16, doi:10.1177/0306312713476131.}","plainCitation":"Joanna Radin, “Unfolding Epidemiological Stories: How the WHO Made Frozen Blood into a Flexible Resource for the Future,” Studies in History and Philosophy of Science Part C: Studies in History and Philosophy of Biological and Biomedical Sciences 47 (2014): 68, doi:10.1016/j.shpsc.2014.05.007; Joanna Radin, “Latent Life: Concepts and Practices of Human Tissue Preservation in the International Biological Program,” Social Studies of Science 43, no. 4 (August 1, 2013): 16, doi:10.1177/0306312713476131."},"citationItems":[{"id":671,"uris":["http://zotero.org/users/1208826/items/6HCZMSGJ"],"uri":["http://zotero.org/users/1208826/items/6HCZMSGJ"],"itemData":{"id":671,"type":"article-journal","title":"Unfolding epidemiological stories: How the WHO made frozen blood into a flexible resource for the future","container-title":"Studies in History and Philosophy of Science Part C: Studies in History and Philosophy of Biological and Biomedical Sciences","page":"62-73","volume":"47","source":"CrossRef","DOI":"10.1016/j.shpsc.2014.05.007","ISSN":"13698486","shortTitle":"Unfolding epidemiological stories","language":"en","author":[{"family":"Radin","given":"Joanna"}],"issued":{"date-parts":[["2014"]]}},"locator":"68"},{"id":672,"uris":["http://zotero.org/users/1208826/items/3VWI8HUT"],"uri":["http://zotero.org/users/1208826/items/3VWI8HUT"],"itemData":{"id":672,"type":"article-journal","title":"Latent life: Concepts and practices of human tissue preservation in the International Biological Program","container-title":"Social Studies of Science","page":"484-508","volume":"43","issue":"4","source":"CrossRef","DOI":"10.1177/0306312713476131","ISSN":"0306-3127, 1460-3659","shortTitle":"Latent life","language":"en","author":[{"family":"Radin","given":"Joanna"}],"issued":{"date-parts":[["2013",8,1]]}},"locator":"16"}],"schema":"https://github.com/citation-style-language/schema/raw/master/csl-citation.json"} </w:instrText>
      </w:r>
      <w:r w:rsidRPr="00132CED">
        <w:rPr>
          <w:rFonts w:cs="Times New Roman"/>
          <w:szCs w:val="20"/>
        </w:rPr>
        <w:fldChar w:fldCharType="separate"/>
      </w:r>
      <w:r w:rsidRPr="00132CED">
        <w:rPr>
          <w:rFonts w:cs="Times New Roman"/>
          <w:szCs w:val="20"/>
        </w:rPr>
        <w:t xml:space="preserve">Joanna Radin, “Unfolding Epidemiological Stories: How the WHO Made Frozen Blood into a Flexible Resource for the Future,” </w:t>
      </w:r>
      <w:r w:rsidRPr="00132CED">
        <w:rPr>
          <w:rFonts w:cs="Times New Roman"/>
          <w:i/>
          <w:iCs/>
          <w:szCs w:val="20"/>
        </w:rPr>
        <w:t>Studies in History and Philosophy of Science Part C: Studies in History and Philosophy of Biological and Biomedical Sciences</w:t>
      </w:r>
      <w:r w:rsidRPr="00132CED">
        <w:rPr>
          <w:rFonts w:cs="Times New Roman"/>
          <w:szCs w:val="20"/>
        </w:rPr>
        <w:t xml:space="preserve"> 47 (2014), 62-73: 68; Joanna Radin, “Latent Life: Concepts and Practices of Human Tissue Preservation in the International Biological Program,” </w:t>
      </w:r>
      <w:r w:rsidRPr="00132CED">
        <w:rPr>
          <w:rFonts w:cs="Times New Roman"/>
          <w:i/>
          <w:iCs/>
          <w:szCs w:val="20"/>
        </w:rPr>
        <w:t>Social Studies of Science</w:t>
      </w:r>
      <w:r w:rsidRPr="00132CED">
        <w:rPr>
          <w:rFonts w:cs="Times New Roman"/>
          <w:szCs w:val="20"/>
        </w:rPr>
        <w:t xml:space="preserve"> 43, no. 4 (2013), 484-508: 499.</w:t>
      </w:r>
      <w:r w:rsidRPr="00132CED">
        <w:rPr>
          <w:rFonts w:cs="Times New Roman"/>
          <w:szCs w:val="20"/>
        </w:rPr>
        <w:fldChar w:fldCharType="end"/>
      </w:r>
    </w:p>
  </w:footnote>
  <w:footnote w:id="5">
    <w:p w14:paraId="082D7ED4" w14:textId="2A297109"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{"citationID":"QjG3xpNM","properties":{"formattedCitation":"{\\rtf Arthur E. Mourant, {\\i{}Blood and Stones: An Autobiography} (La Haule, Jersey: La Haule Books, 1995), 60\\uc0\\u8211{}62; Chadarevian, \\uc0\\u8220{}Following Molecules,\\uc0\\u8221{} 185; World Health Organization and Marcolino Gomes Candau, \\uc0\\u8220{}The Work of WHO, 1965: Annual Report of the Director-General to the World Health Assembly and to the United Nations,\\uc0\\u8221{} Official Records (Geneva: World Health Organization, March 1966), 53\\uc0\\u8211{}54, The work of WHO, 1965.}","plainCitation":"Arthur E. Mourant, Blood and Stones: An Autobiography (La Haule, Jersey: La Haule Books, 1995), 60–62; Chadarevian, “Following Molecules,” 185; World Health Organization and Marcolino Gomes Candau, “The Work of WHO, 1965: Annual Report of the Director-General to the World Health Assembly and to the United Nations,” Official Records (Geneva: World Health Organization, March 1966), 53–54, The work of WHO, 1965."},"citationItems":[{"id":664,"uris":["http://zotero.org/users/1208826/items/7QMXXUU7"],"uri":["http://zotero.org/users/1208826/items/7QMXXUU7"],"itemData":{"id":664,"type":"book","title":"Blood and stones: an autobiography","publisher":"La Haule Books","publisher-place":"La Haule, Jersey","source":"Open WorldCat","event-place":"La Haule, Jersey","ISBN":"978-0-86120-053-5","shortTitle":"Blood and stones","language":"English","author":[{"family":"Mourant","given":"Arthur E."}],"issued":{"date-parts":[["1995"]]}},"locator":"60-62"},{"id":640,"uris":["http://zotero.org/users/1208826/items/279E8B7A"],"uri":["http://zotero.org/users/1208826/items/279E8B7A"],"itemData":{"id":640,"type":"chapter","title":"Following molecules: Hemoglobin between the clinic and the laboratory","container-title":"Molecularizing biology and medicine: new practices and alliances, 1910s-1970s","publisher":"Harwood Academic Publishers","publisher-place":"Amsterdam","page":"171-201","source":"Library of Congress ISBN","event-place":"Amsterdam","ISBN":"978-90-5702-293-7","call-number":"QH506 .M6646 1998","shortTitle":"Following molecules","editor":[{"family":"Chadarevian","given":"Soraya","dropping-particle":"de"},{"family":"Kamminga","given":"Harmke"}],"author":[{"family":"Chadarevian","given":"Soraya","dropping-particle":"de"}],"issued":{"date-parts":[["1998"]]}},"locator":"185"},{"id":689,"uris":["http://zotero.org/users/1208826/items/G66DDJQV"],"uri":["http://zotero.org/users/1208826/items/G66DDJQV"],"itemData":{"id":689,"type":"report","title":"The work of WHO, 1965: annual report of the Director-General to the World Health Assembly and to the United Nations","publisher":"World Health Organization","publisher-place":"Geneva","genre":"Official Records","event-place":"Geneva","URL":"The work of WHO, 1965","number":"147","author":[{"family":"World Health Organization","given":""},{"family":"Candau","given":"Marcolino Gomes"}],"issued":{"date-parts":[["1966",3]]}},"locator":"53-4"}],"schema":"https://github.com/citation-style-language/schema/raw/master/csl-citation.json"} </w:instrText>
      </w:r>
      <w:r w:rsidRPr="00132CED">
        <w:rPr>
          <w:rFonts w:cs="Times New Roman"/>
          <w:szCs w:val="20"/>
        </w:rPr>
        <w:fldChar w:fldCharType="separate"/>
      </w:r>
      <w:r w:rsidRPr="00132CED">
        <w:rPr>
          <w:rFonts w:cs="Times New Roman"/>
          <w:szCs w:val="20"/>
        </w:rPr>
        <w:t xml:space="preserve">Arthur E. Mourant, </w:t>
      </w:r>
      <w:r w:rsidRPr="00132CED">
        <w:rPr>
          <w:rFonts w:cs="Times New Roman"/>
          <w:i/>
          <w:iCs/>
          <w:szCs w:val="20"/>
        </w:rPr>
        <w:t>Blood and Stones: An Autobiography</w:t>
      </w:r>
      <w:r w:rsidRPr="00132CED">
        <w:rPr>
          <w:rFonts w:cs="Times New Roman"/>
          <w:szCs w:val="20"/>
        </w:rPr>
        <w:t xml:space="preserve"> (La Haule, Jersey: La Haule Books, 1995), 60–62; Chadarevian, “Following Molecules,” 185; Marcolino Gomes Candau, “The Work of WHO, 1965: Annual Report of the Director-General to the World Health Assembly and to the United Nations,” Official Records (Geneva: World Health Organization, March 1966), 53–54.</w:t>
      </w:r>
      <w:r w:rsidRPr="00132CED">
        <w:rPr>
          <w:rFonts w:cs="Times New Roman"/>
          <w:szCs w:val="20"/>
        </w:rPr>
        <w:fldChar w:fldCharType="end"/>
      </w:r>
    </w:p>
  </w:footnote>
  <w:footnote w:id="6">
    <w:p w14:paraId="54673054" w14:textId="135E7169"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{"citationID":"on24qFfK","properties":{"formattedCitation":"{\\rtf Little, \\uc0\\u8220{}Human Population Biology in the Second Half of the Twentieth Century,\\uc0\\u8221{} S132.}","plainCitation":"Little, “Human Population Biology in the Second Half of the Twentieth Century,” S132."},"citationItems":[{"id":686,"uris":["http://zotero.org/users/1208826/items/9DWUC3XM"],"uri":["http://zotero.org/users/1208826/items/9DWUC3XM"],"itemData":{"id":686,"type":"article-journal","title":"Human Population Biology in the Second Half of the Twentieth Century","container-title":"Current Anthropology","page":"S126-S138","volume":"53","issue":"S5","source":"CrossRef","DOI":"10.1086/662440","ISSN":"00113204, 15375382","language":"en","author":[{"family":"Little","given":"Michael A."}],"issued":{"date-parts":[["2012"]]}},"locator":"S132"}],"schema":"https://github.com/citation-style-language/schema/raw/master/csl-citation.json"} </w:instrText>
      </w:r>
      <w:r w:rsidRPr="00132CED">
        <w:rPr>
          <w:rFonts w:cs="Times New Roman"/>
          <w:szCs w:val="20"/>
        </w:rPr>
        <w:fldChar w:fldCharType="separate"/>
      </w:r>
      <w:r w:rsidRPr="00132CED">
        <w:rPr>
          <w:rFonts w:cs="Times New Roman"/>
          <w:szCs w:val="20"/>
        </w:rPr>
        <w:t>Little, “Human Population Biology in the Second Half of the Twentieth Century,” S132.</w:t>
      </w:r>
      <w:r w:rsidRPr="00132CED">
        <w:rPr>
          <w:rFonts w:cs="Times New Roman"/>
          <w:szCs w:val="20"/>
        </w:rPr>
        <w:fldChar w:fldCharType="end"/>
      </w:r>
      <w:r w:rsidRPr="00132CED">
        <w:rPr>
          <w:rFonts w:cs="Times New Roman"/>
          <w:szCs w:val="20"/>
        </w:rPr>
        <w:t xml:space="preserve"> </w:t>
      </w:r>
    </w:p>
  </w:footnote>
  <w:footnote w:id="7">
    <w:p w14:paraId="000D7679" w14:textId="576E3630"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{"citationID":"MLKhmiFK","properties":{"formattedCitation":"{\\rtf Radin, \\uc0\\u8220{}Unfolding Epidemiological Stories,\\uc0\\u8221{} 63.}","plainCitation":"Radin, “Unfolding Epidemiological Stories,” 63."},"citationItems":[{"id":671,"uris":["http://zotero.org/users/1208826/items/6HCZMSGJ"],"uri":["http://zotero.org/users/1208826/items/6HCZMSGJ"],"itemData":{"id":671,"type":"article-journal","title":"Unfolding epidemiological stories: How the WHO made frozen blood into a flexible resource for the future","container-title":"Studies in History and Philosophy of Science Part C: Studies in History and Philosophy of Biological and Biomedical Sciences","page":"62-73","volume":"47","source":"CrossRef","DOI":"10.1016/j.shpsc.2014.05.007","ISSN":"13698486","shortTitle":"Unfolding epidemiological stories","language":"en","author":[{"family":"Radin","given":"Joanna"}],"issued":{"date-parts":[["2014"]]}},"locator":"63"}],"schema":"https://github.com/citation-style-language/schema/raw/master/csl-citation.json"} </w:instrText>
      </w:r>
      <w:r w:rsidRPr="00132CED">
        <w:rPr>
          <w:rFonts w:cs="Times New Roman"/>
          <w:szCs w:val="20"/>
        </w:rPr>
        <w:fldChar w:fldCharType="separate"/>
      </w:r>
      <w:r w:rsidRPr="00132CED">
        <w:rPr>
          <w:rFonts w:cs="Times New Roman"/>
          <w:szCs w:val="20"/>
        </w:rPr>
        <w:t>Radin, “Unfolding Epidemiological Stories,” 63.</w:t>
      </w:r>
      <w:r w:rsidRPr="00132CED">
        <w:rPr>
          <w:rFonts w:cs="Times New Roman"/>
          <w:szCs w:val="20"/>
        </w:rPr>
        <w:fldChar w:fldCharType="end"/>
      </w:r>
      <w:r w:rsidRPr="00132CED">
        <w:rPr>
          <w:rFonts w:cs="Times New Roman"/>
          <w:szCs w:val="20"/>
        </w:rPr>
        <w:t xml:space="preserve"> See also </w:t>
      </w:r>
      <w:r w:rsidRPr="00132CED">
        <w:rPr>
          <w:rFonts w:cs="Times New Roman"/>
          <w:szCs w:val="20"/>
        </w:rPr>
        <w:fldChar w:fldCharType="begin"/>
      </w:r>
      <w:r w:rsidRPr="00132CED">
        <w:rPr>
          <w:rFonts w:cs="Times New Roman"/>
          <w:szCs w:val="20"/>
        </w:rPr>
        <w:instrText xml:space="preserve"> ADDIN ZOTERO_ITEM CSL_CITATION {"citationID":"JLQlMOJF","properties":{"formattedCitation":"{\\rtf Sabine Clarke, \\uc0\\u8220{}A Technocratic Imperial State? The Colonial Office and Scientific Research, 1940-1960,\\uc0\\u8221{} {\\i{}Twentieth Century British History} 18, no. 4 (July 20, 2007): 453\\uc0\\u8211{}80, doi:10.1093/tcbh/hwm017.}","plainCitation":"Sabine Clarke, “A Technocratic Imperial State? The Colonial Office and Scientific Research, 1940-1960,” Twentieth Century British History 18, no. 4 (July 20, 2007): 453–80, doi:10.1093/tcbh/hwm017."},"citationItems":[{"id":776,"uris":["http://zotero.org/users/1208826/items/E8PDAEQH"],"uri":["http://zotero.org/users/1208826/items/E8PDAEQH"],"itemData":{"id":776,"type":"article-journal","title":"A Technocratic Imperial State? The Colonial Office and Scientific Research, 1940-1960","container-title":"Twentieth Century British History","page":"453-480","volume":"18","issue":"4","source":"CrossRef","DOI":"10.1093/tcbh/hwm017","ISSN":"0955-2359, 1477-4674","shortTitle":"A Technocratic Imperial State?","language":"en","author":[{"family":"Clarke","given":"Sabine"}],"issued":{"date-parts":[["2007",7,20]]}}}],"schema":"https://github.com/citation-style-language/schema/raw/master/csl-citation.json"} </w:instrText>
      </w:r>
      <w:r w:rsidRPr="00132CED">
        <w:rPr>
          <w:rFonts w:cs="Times New Roman"/>
          <w:szCs w:val="20"/>
        </w:rPr>
        <w:fldChar w:fldCharType="separate"/>
      </w:r>
      <w:r w:rsidRPr="00132CED">
        <w:rPr>
          <w:rFonts w:cs="Times New Roman"/>
          <w:szCs w:val="20"/>
        </w:rPr>
        <w:t xml:space="preserve">Sabine Clarke, “A Technocratic Imperial State? The Colonial Office and Scientific Research, 1940-1960,” </w:t>
      </w:r>
      <w:r w:rsidRPr="00132CED">
        <w:rPr>
          <w:rFonts w:cs="Times New Roman"/>
          <w:i/>
          <w:iCs/>
          <w:szCs w:val="20"/>
        </w:rPr>
        <w:t>Twentieth Century British History</w:t>
      </w:r>
      <w:r w:rsidRPr="00132CED">
        <w:rPr>
          <w:rFonts w:cs="Times New Roman"/>
          <w:szCs w:val="20"/>
        </w:rPr>
        <w:t xml:space="preserve"> 18, no. 4 (2007): 453–80.</w:t>
      </w:r>
      <w:r w:rsidRPr="00132CED">
        <w:rPr>
          <w:rFonts w:cs="Times New Roman"/>
          <w:szCs w:val="20"/>
        </w:rPr>
        <w:fldChar w:fldCharType="end"/>
      </w:r>
    </w:p>
  </w:footnote>
  <w:footnote w:id="8">
    <w:p w14:paraId="1EF2C57B" w14:textId="2FCE65F4"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The notable absence of the USSR from the early stages of this unofficial competition can be attributed to the iron grip of Lysenkoism on Soviet genetics research until 1965. Soviet scientists would eventually join in the International Biological Program in the early 1970s. See </w:t>
      </w:r>
      <w:r w:rsidRPr="00132CED">
        <w:rPr>
          <w:rFonts w:cs="Times New Roman"/>
          <w:szCs w:val="20"/>
        </w:rPr>
        <w:fldChar w:fldCharType="begin"/>
      </w:r>
      <w:r w:rsidRPr="00132CED">
        <w:rPr>
          <w:rFonts w:cs="Times New Roman"/>
          <w:szCs w:val="20"/>
        </w:rPr>
        <w:instrText xml:space="preserve"> ADDIN ZOTERO_ITEM CSL_CITATION {"citationID":"dorMylVM","properties":{"formattedCitation":"{\\rtf Susanne Bauer, \\uc0\\u8220{}Mutations in Soviet Public Health Science: Post-Lysenko Medical Genetics, 1969\\uc0\\u8211{}1991,\\uc0\\u8221{} {\\i{}Studies in History and Philosophy of Science Part C: Studies in History and Philosophy of Biological and Biomedical Sciences} 47 (September 2014): 163\\uc0\\u8211{}72, doi:10.1016/j.shpsc.2014.05.016.}","plainCitation":"Susanne Bauer, “Mutations in Soviet Public Health Science: Post-Lysenko Medical Genetics, 1969–1991,” Studies in History and Philosophy of Science Part C: Studies in History and Philosophy of Biological and Biomedical Sciences 47 (September 2014): 163–72, doi:10.1016/j.shpsc.2014.05.016."},"citationItems":[{"id":1225,"uris":["http://zotero.org/users/1208826/items/9Q5FBTFF"],"uri":["http://zotero.org/users/1208826/items/9Q5FBTFF"],"itemData":{"id":1225,"type":"article-journal","title":"Mutations in Soviet public health science: Post-Lysenko medical genetics, 1969–1991","container-title":"Studies in History and Philosophy of Science Part C: Studies in History and Philosophy of Biological and Biomedical Sciences","page":"163-172","volume":"47","source":"CrossRef","DOI":"10.1016/j.shpsc.2014.05.016","ISSN":"13698486","shortTitle":"Mutations in Soviet public health science","language":"en","author":[{"family":"Bauer","given":"Susanne"}],"issued":{"date-parts":[["2014",9]]}}}],"schema":"https://github.com/citation-style-language/schema/raw/master/csl-citation.json"} </w:instrText>
      </w:r>
      <w:r w:rsidRPr="00132CED">
        <w:rPr>
          <w:rFonts w:cs="Times New Roman"/>
          <w:szCs w:val="20"/>
        </w:rPr>
        <w:fldChar w:fldCharType="separate"/>
      </w:r>
      <w:r w:rsidRPr="00132CED">
        <w:rPr>
          <w:rFonts w:cs="Times New Roman"/>
          <w:szCs w:val="20"/>
        </w:rPr>
        <w:t xml:space="preserve">Susanne Bauer, “Mutations in Soviet Public Health Science: Post-Lysenko Medical Genetics, 1969–1991,” </w:t>
      </w:r>
      <w:r w:rsidRPr="00132CED">
        <w:rPr>
          <w:rFonts w:cs="Times New Roman"/>
          <w:i/>
          <w:iCs/>
          <w:szCs w:val="20"/>
        </w:rPr>
        <w:t>Studies in History and Philosophy of Science Part C: Studies in History and Philosophy of Biological and Biomedical Sciences</w:t>
      </w:r>
      <w:r w:rsidRPr="00132CED">
        <w:rPr>
          <w:rFonts w:cs="Times New Roman"/>
          <w:szCs w:val="20"/>
        </w:rPr>
        <w:t xml:space="preserve"> 47 (September 2014): 163–72.</w:t>
      </w:r>
      <w:r w:rsidRPr="00132CED">
        <w:rPr>
          <w:rFonts w:cs="Times New Roman"/>
          <w:szCs w:val="20"/>
        </w:rPr>
        <w:fldChar w:fldCharType="end"/>
      </w:r>
    </w:p>
  </w:footnote>
  <w:footnote w:id="9">
    <w:p w14:paraId="1F86ADBE" w14:textId="5E0716FA"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Letter from Mourant to Boyd, June 11, 1965, PP/AEM/K.13, Box 28, A. E. Mourant Papers, Wellcome Library, London (hereafter cited as Mourant Papers).</w:t>
      </w:r>
      <w:proofErr w:type="gramEnd"/>
    </w:p>
  </w:footnote>
  <w:footnote w:id="10">
    <w:p w14:paraId="0CC404D4" w14:textId="6FB09D52"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Ibid. Harry Smith did not last much longer in Beirut</w:t>
      </w:r>
      <w:proofErr w:type="gramStart"/>
      <w:r w:rsidRPr="00132CED">
        <w:rPr>
          <w:rFonts w:cs="Times New Roman"/>
          <w:szCs w:val="20"/>
        </w:rPr>
        <w:t>;</w:t>
      </w:r>
      <w:proofErr w:type="gramEnd"/>
      <w:r w:rsidRPr="00132CED">
        <w:rPr>
          <w:rFonts w:cs="Times New Roman"/>
          <w:szCs w:val="20"/>
        </w:rPr>
        <w:t xml:space="preserve"> less than 14 months after Mourant composed this letter, Smith shuttered the laboratory in August 1966. </w:t>
      </w:r>
      <w:proofErr w:type="gramStart"/>
      <w:r w:rsidRPr="00132CED">
        <w:rPr>
          <w:rFonts w:cs="Times New Roman"/>
          <w:szCs w:val="20"/>
        </w:rPr>
        <w:t>Letter from Paul Congdon to Victor Alan Clarke, August 9, 1966, PP/AEM/K.157, Box 34, Mourant Papers.</w:t>
      </w:r>
      <w:proofErr w:type="gramEnd"/>
    </w:p>
  </w:footnote>
  <w:footnote w:id="11">
    <w:p w14:paraId="0A795551" w14:textId="7CD6A15C"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See, for example, </w:t>
      </w:r>
      <w:r w:rsidRPr="00132CED">
        <w:rPr>
          <w:rFonts w:cs="Times New Roman"/>
          <w:szCs w:val="20"/>
        </w:rPr>
        <w:fldChar w:fldCharType="begin"/>
      </w:r>
      <w:r w:rsidRPr="00132CED">
        <w:rPr>
          <w:rFonts w:cs="Times New Roman"/>
          <w:szCs w:val="20"/>
        </w:rPr>
        <w:instrText xml:space="preserve"> ADDIN ZOTERO_ITEM CSL_CITATION {"citationID":"H01FXizU","properties":{"formattedCitation":"{\\rtf Robert Borofsky and Bruce Albert, {\\i{}Yanomami: The Fierce Controversy and What We Might Learn from It} (Berkeley: University of California Press, 2005), 64; W. Anderson, \\uc0\\u8220{}Objectivity and Its Discontents,\\uc0\\u8221{} {\\i{}Social Studies of Science} 43, no. 4 (August 1, 2013): 557\\uc0\\u8211{}76, doi:10.1177/0306312712455732; Alexandra Widmer, \\uc0\\u8220{}Making Blood \\uc0\\u8216{}Melanesian\\uc0\\u8217{}: Fieldwork and Isolating Techniques in Genetic Epidemiology (1963\\uc0\\u8211{}1976),\\uc0\\u8221{} {\\i{}Studies in History and Philosophy of Science Part C: Studies in History and Philosophy of Biological and Biomedical Sciences} 47 (2014): 118\\uc0\\u8211{}29, doi:10.1016/j.shpsc.2014.05.012.}","plainCitation":"Robert Borofsky and Bruce Albert, Yanomami: The Fierce Controversy and What We Might Learn from It (Berkeley: University of California Press, 2005), 64; W. Anderson, “Objectivity and Its Discontents,” Social Studies of Science 43, no. 4 (August 1, 2013): 557–76, doi:10.1177/0306312712455732; Alexandra Widmer, “Making Blood ‘Melanesian’: Fieldwork and Isolating Techniques in Genetic Epidemiology (1963–1976),” Studies in History and Philosophy of Science Part C: Studies in History and Philosophy of Biological and Biomedical Sciences 47 (2014): 118–29, doi:10.1016/j.shpsc.2014.05.012."},"citationItems":[{"id":1223,"uris":["http://zotero.org/users/1208826/items/7PS8VRZX"],"uri":["http://zotero.org/users/1208826/items/7PS8VRZX"],"itemData":{"id":1223,"type":"book","title":"Yanomami: the fierce controversy and what we might learn from it","publisher":"University of California Press","publisher-place":"Berkeley","source":"Open WorldCat","event-place":"Berkeley","abstract":"Yanomami raises questions central to the field of anthropology - questions concerning the practice of fieldwork, the production of knowledge, and anthropology's intellectual and ethical vision of itself. Using the Yanomami controversy - one of anthropology's most famous and explosive imbroglios - as its starting point, this books considers how fieldwork is done, how professional credibility and integrity are maintained, and how the discipline might change to address central theoretical and methodological problems. Both the most up-to-date and thorough public discussion of the Yanomami controve.","ISBN":"978-0-520-24403-0","note":"OCLC: 70741862","shortTitle":"Yanomami","language":"English","author":[{"family":"Borofsky","given":"Robert"},{"family":"Albert","given":"Bruce"}],"issued":{"date-parts":[["2005"]]},"accessed":{"date-parts":[["2016",12,12]]}},"locator":"64"},{"id":1224,"uris":["http://zotero.org/users/1208826/items/VGNM4SVG"],"uri":["http://zotero.org/users/1208826/items/VGNM4SVG"],"itemData":{"id":1224,"type":"article-journal","title":"Objectivity and its discontents","container-title":"Social Studies of Science","page":"557-576","volume":"43","issue":"4","source":"CrossRef","DOI":"10.1177/0306312712455732","ISSN":"0306-3127, 1460-3659","language":"en","author":[{"family":"Anderson","given":"W."}],"issued":{"date-parts":[["2013",8,1]]}}},{"id":687,"uris":["http://zotero.org/users/1208826/items/CMBTAN2K"],"uri":["http://zotero.org/users/1208826/items/CMBTAN2K"],"itemData":{"id":687,"type":"article-journal","title":"Making blood ‘Melanesian’: Fieldwork and isolating techniques in genetic epidemiology (1963–1976)","container-title":"Studies in History and Philosophy of Science Part C: Studies in History and Philosophy of Biological and Biomedical Sciences","page":"118-129","volume":"47","source":"CrossRef","DOI":"10.1016/j.shpsc.2014.05.012","ISSN":"13698486","shortTitle":"Making blood ‘Melanesian’","language":"en","author":[{"family":"Widmer","given":"Alexandra"}],"issued":{"date-parts":[["2014"]]}}}],"schema":"https://github.com/citation-style-language/schema/raw/master/csl-citation.json"} </w:instrText>
      </w:r>
      <w:r w:rsidRPr="00132CED">
        <w:rPr>
          <w:rFonts w:cs="Times New Roman"/>
          <w:szCs w:val="20"/>
        </w:rPr>
        <w:fldChar w:fldCharType="separate"/>
      </w:r>
      <w:r w:rsidRPr="00132CED">
        <w:rPr>
          <w:rFonts w:cs="Times New Roman"/>
          <w:szCs w:val="20"/>
        </w:rPr>
        <w:t xml:space="preserve">Robert Borofsky and Bruce Albert, </w:t>
      </w:r>
      <w:r w:rsidRPr="00132CED">
        <w:rPr>
          <w:rFonts w:cs="Times New Roman"/>
          <w:i/>
          <w:iCs/>
          <w:szCs w:val="20"/>
        </w:rPr>
        <w:t>Yanomami: The Fierce Controversy and What We Might Learn from It</w:t>
      </w:r>
      <w:r w:rsidRPr="00132CED">
        <w:rPr>
          <w:rFonts w:cs="Times New Roman"/>
          <w:szCs w:val="20"/>
        </w:rPr>
        <w:t xml:space="preserve"> (Berkeley: University of California Press, 2005), 64; Warwick Anderson, “Objectivity and Its Discontents,” </w:t>
      </w:r>
      <w:r w:rsidRPr="00132CED">
        <w:rPr>
          <w:rFonts w:cs="Times New Roman"/>
          <w:i/>
          <w:iCs/>
          <w:szCs w:val="20"/>
        </w:rPr>
        <w:t>Social Studies of Science</w:t>
      </w:r>
      <w:r w:rsidRPr="00132CED">
        <w:rPr>
          <w:rFonts w:cs="Times New Roman"/>
          <w:szCs w:val="20"/>
        </w:rPr>
        <w:t xml:space="preserve"> 43, no. 4 (2013): 557–76; Alexandra Widmer, “Making Blood ‘Melanesian’: Fieldwork and Isolating Techniques in Genetic Epidemiology (1963–1976),” </w:t>
      </w:r>
      <w:r w:rsidRPr="00132CED">
        <w:rPr>
          <w:rFonts w:cs="Times New Roman"/>
          <w:i/>
          <w:iCs/>
          <w:szCs w:val="20"/>
        </w:rPr>
        <w:t>Studies in History and Philosophy of Science Part C: Studies in History and Philosophy of Biological and Biomedical Sciences</w:t>
      </w:r>
      <w:r w:rsidRPr="00132CED">
        <w:rPr>
          <w:rFonts w:cs="Times New Roman"/>
          <w:szCs w:val="20"/>
        </w:rPr>
        <w:t xml:space="preserve"> 47 (2014): 118–29.</w:t>
      </w:r>
      <w:r w:rsidRPr="00132CED">
        <w:rPr>
          <w:rFonts w:cs="Times New Roman"/>
          <w:szCs w:val="20"/>
        </w:rPr>
        <w:fldChar w:fldCharType="end"/>
      </w:r>
    </w:p>
  </w:footnote>
  <w:footnote w:id="12">
    <w:p w14:paraId="56F9FFF9" w14:textId="78E73220"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Susan </w:t>
      </w:r>
      <w:r w:rsidRPr="00132CED">
        <w:rPr>
          <w:rFonts w:cs="Times New Roman"/>
          <w:szCs w:val="20"/>
        </w:rPr>
        <w:fldChar w:fldCharType="begin"/>
      </w:r>
      <w:r w:rsidRPr="00132CED">
        <w:rPr>
          <w:rFonts w:cs="Times New Roman"/>
          <w:szCs w:val="20"/>
        </w:rPr>
        <w:instrText xml:space="preserve"> ADDIN ZOTERO_ITEM CSL_CITATION {"citationID":"FTeuWg3T","properties":{"formattedCitation":"{\\rtf Lindee, \\uc0\\u8220{}Scaling up,\\uc0\\u8221{} 189.}","plainCitation":"Lindee, “Scaling up,” 189.","dontUpdate":true},"citationItems":[{"id":668,"uris":["http://zotero.org/users/1208826/items/EGBKFNIE"],"uri":["http://zotero.org/users/1208826/items/EGBKFNIE"],"itemData":{"id":668,"type":"article-journal","title":"Scaling up: Human genetics as a Cold War network","container-title":"Studies in History and Philosophy of Science Part C: Studies in History and Philosophy of Biological and Biomedical Sciences","page":"185-190","volume":"47","source":"CrossRef","DOI":"10.1016/j.shpsc.2014.05.018","ISSN":"13698486","shortTitle":"Scaling up","language":"en","author":[{"family":"Lindee","given":"Susan"}],"issued":{"date-parts":[["2014"]]}},"locator":"189"}],"schema":"https://github.com/citation-style-language/schema/raw/master/csl-citation.json"} </w:instrText>
      </w:r>
      <w:r w:rsidRPr="00132CED">
        <w:rPr>
          <w:rFonts w:cs="Times New Roman"/>
          <w:szCs w:val="20"/>
        </w:rPr>
        <w:fldChar w:fldCharType="separate"/>
      </w:r>
      <w:r w:rsidRPr="00132CED">
        <w:rPr>
          <w:rFonts w:cs="Times New Roman"/>
          <w:szCs w:val="20"/>
        </w:rPr>
        <w:t>Lindee, “Scaling up</w:t>
      </w:r>
      <w:r w:rsidR="00855B2D" w:rsidRPr="00132CED">
        <w:rPr>
          <w:rFonts w:cs="Times New Roman"/>
          <w:szCs w:val="20"/>
        </w:rPr>
        <w:t xml:space="preserve">: Human genetics as a Cold War network,” </w:t>
      </w:r>
      <w:r w:rsidR="00855B2D" w:rsidRPr="00132CED">
        <w:rPr>
          <w:rFonts w:cs="Times New Roman"/>
          <w:i/>
          <w:iCs/>
          <w:szCs w:val="20"/>
        </w:rPr>
        <w:t>Studies in History and Philosophy of Science Part C: Studies in History and Philosophy of Biological and Biomedical Sciences</w:t>
      </w:r>
      <w:r w:rsidR="00855B2D" w:rsidRPr="00132CED">
        <w:rPr>
          <w:rFonts w:cs="Times New Roman"/>
          <w:szCs w:val="20"/>
        </w:rPr>
        <w:t xml:space="preserve"> 47 (2014), 185-190: </w:t>
      </w:r>
      <w:r w:rsidRPr="00132CED">
        <w:rPr>
          <w:rFonts w:cs="Times New Roman"/>
          <w:szCs w:val="20"/>
        </w:rPr>
        <w:t>189,</w:t>
      </w:r>
      <w:r w:rsidRPr="00132CED">
        <w:rPr>
          <w:rFonts w:cs="Times New Roman"/>
          <w:szCs w:val="20"/>
        </w:rPr>
        <w:fldChar w:fldCharType="end"/>
      </w:r>
      <w:r w:rsidRPr="00132CED">
        <w:rPr>
          <w:rFonts w:cs="Times New Roman"/>
          <w:szCs w:val="20"/>
        </w:rPr>
        <w:t xml:space="preserve"> referring to </w:t>
      </w:r>
      <w:r w:rsidRPr="00132CED">
        <w:rPr>
          <w:rFonts w:cs="Times New Roman"/>
          <w:szCs w:val="20"/>
        </w:rPr>
        <w:fldChar w:fldCharType="begin"/>
      </w:r>
      <w:r w:rsidRPr="00132CED">
        <w:rPr>
          <w:rFonts w:cs="Times New Roman"/>
          <w:szCs w:val="20"/>
        </w:rPr>
        <w:instrText xml:space="preserve"> ADDIN ZOTERO_ITEM CSL_CITATION {"citationID":"xih4wLvK","properties":{"formattedCitation":"{\\rtf Radin, \\uc0\\u8220{}Unfolding Epidemiological Stories,\\uc0\\u8221{} 63.}","plainCitation":"Radin, “Unfolding Epidemiological Stories,” 63."},"citationItems":[{"id":671,"uris":["http://zotero.org/users/1208826/items/6HCZMSGJ"],"uri":["http://zotero.org/users/1208826/items/6HCZMSGJ"],"itemData":{"id":671,"type":"article-journal","title":"Unfolding epidemiological stories: How the WHO made frozen blood into a flexible resource for the future","container-title":"Studies in History and Philosophy of Science Part C: Studies in History and Philosophy of Biological and Biomedical Sciences","page":"62-73","volume":"47","source":"CrossRef","DOI":"10.1016/j.shpsc.2014.05.007","ISSN":"13698486","shortTitle":"Unfolding epidemiological stories","language":"en","author":[{"family":"Radin","given":"Joanna"}],"issued":{"date-parts":[["2014"]]}},"locator":"63"}],"schema":"https://github.com/citation-style-language/schema/raw/master/csl-citation.json"} </w:instrText>
      </w:r>
      <w:r w:rsidRPr="00132CED">
        <w:rPr>
          <w:rFonts w:cs="Times New Roman"/>
          <w:szCs w:val="20"/>
        </w:rPr>
        <w:fldChar w:fldCharType="separate"/>
      </w:r>
      <w:r w:rsidRPr="00132CED">
        <w:rPr>
          <w:rFonts w:cs="Times New Roman"/>
          <w:szCs w:val="20"/>
        </w:rPr>
        <w:t>Radin, “Unfolding Epidemiological Stories,” 63.</w:t>
      </w:r>
      <w:r w:rsidRPr="00132CED">
        <w:rPr>
          <w:rFonts w:cs="Times New Roman"/>
          <w:szCs w:val="20"/>
        </w:rPr>
        <w:fldChar w:fldCharType="end"/>
      </w:r>
      <w:r w:rsidRPr="00132CED">
        <w:rPr>
          <w:rFonts w:cs="Times New Roman"/>
          <w:szCs w:val="20"/>
        </w:rPr>
        <w:t xml:space="preserve"> See also </w:t>
      </w:r>
      <w:r w:rsidRPr="00132CED">
        <w:rPr>
          <w:rFonts w:cs="Times New Roman"/>
          <w:szCs w:val="20"/>
        </w:rPr>
        <w:fldChar w:fldCharType="begin"/>
      </w:r>
      <w:r w:rsidRPr="00132CED">
        <w:rPr>
          <w:rFonts w:cs="Times New Roman"/>
          <w:szCs w:val="20"/>
        </w:rPr>
        <w:instrText xml:space="preserve"> ADDIN ZOTERO_ITEM CSL_CITATION {"citationID":"zuXzfHax","properties":{"formattedCitation":"{\\rtf Jenny Bangham, \\uc0\\u8220{}Blood Groups and Human Groups: Collecting and Calibrating Genetic Data after World War Two,\\uc0\\u8221{} {\\i{}Studies in History and Philosophy of Science Part C: Studies in History and Philosophy of Biological and Biomedical Sciences} 47 (2014): 10.}","plainCitation":"Jenny Bangham, “Blood Groups and Human Groups: Collecting and Calibrating Genetic Data after World War Two,” Studies in History and Philosophy of Science Part C: Studies in History and Philosophy of Biological and Biomedical Sciences 47 (2014): 10."},"citationItems":[{"id":666,"uris":["http://zotero.org/users/1208826/items/52P9UC4G"],"uri":["http://zotero.org/users/1208826/items/52P9UC4G"],"itemData":{"id":666,"type":"article-journal","title":"Blood groups and human groups: Collecting and calibrating genetic data after World War Two","container-title":"Studies in History and Philosophy of Science Part C: Studies in History and Philosophy of Biological and Biomedical Sciences","page":"74-86","volume":"47","source":"CrossRef","ISSN":"13698486","shortTitle":"Blood groups and human groups","language":"en","author":[{"family":"Bangham","given":"Jenny"}],"issued":{"date-parts":[["2014"]]}},"locator":"10"}],"schema":"https://github.com/citation-style-language/schema/raw/master/csl-citation.json"} </w:instrText>
      </w:r>
      <w:r w:rsidRPr="00132CED">
        <w:rPr>
          <w:rFonts w:cs="Times New Roman"/>
          <w:szCs w:val="20"/>
        </w:rPr>
        <w:fldChar w:fldCharType="separate"/>
      </w:r>
      <w:r w:rsidRPr="00132CED">
        <w:rPr>
          <w:rFonts w:cs="Times New Roman"/>
          <w:szCs w:val="20"/>
        </w:rPr>
        <w:t xml:space="preserve">Jenny Bangham, “Blood Groups and Human Groups: Collecting and Calibrating Genetic Data after World War Two,” </w:t>
      </w:r>
      <w:r w:rsidRPr="00132CED">
        <w:rPr>
          <w:rFonts w:cs="Times New Roman"/>
          <w:i/>
          <w:iCs/>
          <w:szCs w:val="20"/>
        </w:rPr>
        <w:t>Studies in History and Philosophy of Science Part C: Studies in History and Philosophy of Biological and Biomedical Sciences</w:t>
      </w:r>
      <w:r w:rsidRPr="00132CED">
        <w:rPr>
          <w:rFonts w:cs="Times New Roman"/>
          <w:szCs w:val="20"/>
        </w:rPr>
        <w:t xml:space="preserve"> 47 (2014), 74-86.</w:t>
      </w:r>
      <w:r w:rsidRPr="00132CED">
        <w:rPr>
          <w:rFonts w:cs="Times New Roman"/>
          <w:szCs w:val="20"/>
        </w:rPr>
        <w:fldChar w:fldCharType="end"/>
      </w:r>
    </w:p>
  </w:footnote>
  <w:footnote w:id="13">
    <w:p w14:paraId="28357338" w14:textId="2BC3E0B1"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{"citationID":"4Id7oVqn","properties":{"formattedCitation":"{\\rtf Warwick Anderson and Hans Pols, \\uc0\\u8220{}Scientific Patriotism: Medical Science and National Self-Fashioning in Southeast Asia,\\uc0\\u8221{} {\\i{}Comparative Studies in Society and History} 54, no. 1 (January 2012): 113, doi:10.1017/S0010417511000600.}","plainCitation":"Warwick Anderson and Hans Pols, “Scientific Patriotism: Medical Science and National Self-Fashioning in Southeast Asia,” Comparative Studies in Society and History 54, no. 1 (January 2012): 113, doi:10.1017/S0010417511000600."},"citationItems":[{"id":910,"uris":["http://zotero.org/users/1208826/items/GQBMBD7F"],"uri":["http://zotero.org/users/1208826/items/GQBMBD7F"],"itemData":{"id":910,"type":"article-journal","title":"Scientific Patriotism: Medical Science and National Self-Fashioning in Southeast Asia","container-title":"Comparative Studies in Society and History","page":"93-113","volume":"54","issue":"01","source":"CrossRef","DOI":"10.1017/S0010417511000600","ISSN":"0010-4175, 1475-2999","shortTitle":"Scientific Patriotism","language":"en","author":[{"family":"Anderson","given":"Warwick"},{"family":"Pols","given":"Hans"}],"issued":{"date-parts":[["2012",1]]}},"locator":"113"}],"schema":"https://github.com/citation-style-language/schema/raw/master/csl-citation.json"} </w:instrText>
      </w:r>
      <w:r w:rsidRPr="00132CED">
        <w:rPr>
          <w:rFonts w:cs="Times New Roman"/>
          <w:szCs w:val="20"/>
        </w:rPr>
        <w:fldChar w:fldCharType="separate"/>
      </w:r>
      <w:r w:rsidRPr="00132CED">
        <w:rPr>
          <w:rFonts w:cs="Times New Roman"/>
          <w:szCs w:val="20"/>
        </w:rPr>
        <w:t xml:space="preserve">Warwick Anderson and Hans Pols, “Scientific Patriotism: Medical Science and National Self-Fashioning in Southeast Asia,” </w:t>
      </w:r>
      <w:r w:rsidRPr="00132CED">
        <w:rPr>
          <w:rFonts w:cs="Times New Roman"/>
          <w:i/>
          <w:iCs/>
          <w:szCs w:val="20"/>
        </w:rPr>
        <w:t>Comparative Studies in Society and History</w:t>
      </w:r>
      <w:r w:rsidRPr="00132CED">
        <w:rPr>
          <w:rFonts w:cs="Times New Roman"/>
          <w:szCs w:val="20"/>
        </w:rPr>
        <w:t xml:space="preserve"> 54, no. 1 (2012), 93-113: 113.</w:t>
      </w:r>
      <w:r w:rsidRPr="00132CED">
        <w:rPr>
          <w:rFonts w:cs="Times New Roman"/>
          <w:szCs w:val="20"/>
        </w:rPr>
        <w:fldChar w:fldCharType="end"/>
      </w:r>
    </w:p>
  </w:footnote>
  <w:footnote w:id="14">
    <w:p w14:paraId="5F9EC616" w14:textId="62D2C141"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See, for example, </w:t>
      </w:r>
      <w:r w:rsidRPr="00132CED">
        <w:rPr>
          <w:rFonts w:cs="Times New Roman"/>
          <w:szCs w:val="20"/>
        </w:rPr>
        <w:fldChar w:fldCharType="begin"/>
      </w:r>
      <w:r w:rsidRPr="00132CED">
        <w:rPr>
          <w:rFonts w:cs="Times New Roman"/>
          <w:szCs w:val="20"/>
        </w:rPr>
        <w:instrText xml:space="preserve"> ADDIN ZOTERO_ITEM CSL_CITATION {"citationID":"Gkmj8d4E","properties":{"formattedCitation":"{\\rtf Joyce A Donegani et al., \\uc0\\u8220{}The Blood Groups of the People of Egypt,\\uc0\\u8221{} {\\i{}Heredity} 4, no. 3 (December 1950): 377\\uc0\\u8211{}82, doi:10.1038/hdy.1950.30; Elizabeth W. Ikin, \\uc0\\u8220{}Blood Group Distribution in the Near East,\\uc0\\u8221{} in {\\i{}Proceedings of the Seventh Congress of the International Society of Blood Transfusion, Rome, September 3-6, 1958}, ed. L. Holl\\uc0\\u228{}nder (Basel: S. Karger, 1959), 262\\uc0\\u8211{}65; Elizabeth W. Ikin, A. E. Mourant, and H. Lehmann, \\uc0\\u8220{}The Blood Groups and Haemoglobin of the Assyrians of Iraq,\\uc0\\u8221{} {\\i{}Man} 65 (July 1965): 110, doi:10.2307/2797446.}","plainCitation":"Joyce A Donegani et al., “The Blood Groups of the People of Egypt,” Heredity 4, no. 3 (December 1950): 377–82, doi:10.1038/hdy.1950.30; Elizabeth W. Ikin, “Blood Group Distribution in the Near East,” in Proceedings of the Seventh Congress of the International Society of Blood Transfusion, Rome, September 3-6, 1958, ed. L. Holländer (Basel: S. Karger, 1959), 262–65; Elizabeth W. Ikin, A. E. Mourant, and H. Lehmann, “The Blood Groups and Haemoglobin of the Assyrians of Iraq,” Man 65 (July 1965): 110, doi:10.2307/2797446."},"citationItems":[{"id":1220,"uris":["http://zotero.org/users/1208826/items/XR8XBZUZ"],"uri":["http://zotero.org/users/1208826/items/XR8XBZUZ"],"itemData":{"id":1220,"type":"article-journal","title":"The blood groups of the people of Egypt","container-title":"Heredity","page":"377-382","volume":"4","issue":"3","source":"CrossRef","DOI":"10.1038/hdy.1950.30","ISSN":"0018-067X, 1365-2540","author":[{"family":"Donegani","given":"Joyce A"},{"family":"Ibrahim","given":"Karima A"},{"family":"Ikin","given":"Elizabeth W"},{"family":"Mourant","given":"A E"}],"issued":{"date-parts":[["1950",12]]}}},{"id":643,"uris":["http://zotero.org/users/1208826/items/VIQXIQIA"],"uri":["http://zotero.org/users/1208826/items/VIQXIQIA"],"itemData":{"id":643,"type":"chapter","title":"Blood group distribution in the Near East","container-title":"Proceedings of the Seventh Congress of the International Society of Blood Transfusion, Rome, September 3-6, 1958","publisher":"S. Karger","publisher-place":"Basel","page":"262-265","event-place":"Basel","author":[{"family":"Ikin","given":"Elizabeth W."}],"editor":[{"family":"Holländer","given":"L."}],"issued":{"date-parts":[["1959"]]}}},{"id":1219,"uris":["http://zotero.org/users/1208826/items/QR7GF9X9"],"uri":["http://zotero.org/users/1208826/items/QR7GF9X9"],"itemData":{"id":1219,"type":"article-journal","title":"The Blood Groups and Haemoglobin of the Assyrians of Iraq","container-title":"Man","page":"110","volume":"65","source":"CrossRef","DOI":"10.2307/2797446","ISSN":"00251496","author":[{"family":"Ikin","given":"Elizabeth W."},{"family":"Mourant","given":"A. E."},{"family":"Lehmann","given":"H."}],"issued":{"date-parts":[["1965",7]]}}}],"schema":"https://github.com/citation-style-language/schema/raw/master/csl-citation.json"} </w:instrText>
      </w:r>
      <w:r w:rsidRPr="00132CED">
        <w:rPr>
          <w:rFonts w:cs="Times New Roman"/>
          <w:szCs w:val="20"/>
        </w:rPr>
        <w:fldChar w:fldCharType="separate"/>
      </w:r>
      <w:r w:rsidRPr="00132CED">
        <w:rPr>
          <w:rFonts w:cs="Times New Roman"/>
          <w:szCs w:val="20"/>
        </w:rPr>
        <w:t xml:space="preserve">Joyce A. Donegani et al., “The Blood Groups of the People of Egypt,” </w:t>
      </w:r>
      <w:r w:rsidRPr="00132CED">
        <w:rPr>
          <w:rFonts w:cs="Times New Roman"/>
          <w:i/>
          <w:iCs/>
          <w:szCs w:val="20"/>
        </w:rPr>
        <w:t>Heredity</w:t>
      </w:r>
      <w:r w:rsidRPr="00132CED">
        <w:rPr>
          <w:rFonts w:cs="Times New Roman"/>
          <w:szCs w:val="20"/>
        </w:rPr>
        <w:t xml:space="preserve"> 4, no. 3 (1950): 377–82; Elizabeth W. Ikin, “Blood Group Distribution in the Near East,” in </w:t>
      </w:r>
      <w:r w:rsidRPr="00132CED">
        <w:rPr>
          <w:rFonts w:cs="Times New Roman"/>
          <w:i/>
          <w:iCs/>
          <w:szCs w:val="20"/>
        </w:rPr>
        <w:t>Proceedings of the Seventh Congress of the International Society of Blood Transfusion, Rome, September 3-6, 1958</w:t>
      </w:r>
      <w:r w:rsidRPr="00132CED">
        <w:rPr>
          <w:rFonts w:cs="Times New Roman"/>
          <w:szCs w:val="20"/>
        </w:rPr>
        <w:t xml:space="preserve">, ed. L. Holländer (Basel: S. Karger, 1959), 262–65; Elizabeth W. Ikin, A. E. Mourant, and H. Lehmann, “The Blood Groups and Haemoglobin of the Assyrians of Iraq,” </w:t>
      </w:r>
      <w:r w:rsidRPr="00132CED">
        <w:rPr>
          <w:rFonts w:cs="Times New Roman"/>
          <w:i/>
          <w:iCs/>
          <w:szCs w:val="20"/>
        </w:rPr>
        <w:t>Man</w:t>
      </w:r>
      <w:r w:rsidRPr="00132CED">
        <w:rPr>
          <w:rFonts w:cs="Times New Roman"/>
          <w:szCs w:val="20"/>
        </w:rPr>
        <w:t xml:space="preserve"> 65 (July 1965): 110.</w:t>
      </w:r>
      <w:r w:rsidRPr="00132CED">
        <w:rPr>
          <w:rFonts w:cs="Times New Roman"/>
          <w:szCs w:val="20"/>
        </w:rPr>
        <w:fldChar w:fldCharType="end"/>
      </w:r>
    </w:p>
  </w:footnote>
  <w:footnote w:id="15">
    <w:p w14:paraId="73026EBA" w14:textId="4EE9596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{"citationID":"fsPid5pM","properties":{"formattedCitation":"{\\rtf Christopher Houston, \\uc0\\u8220{}An Anti-History of a Non-People: Kurds, Colonialism, and Nationalism in the History of Anthropology,\\uc0\\u8221{} {\\i{}Journal of the Royal Anthropological Institute} 15 (2009): 19\\uc0\\u8211{}35.}","plainCitation":"Christopher Houston, “An Anti-History of a Non-People: Kurds, Colonialism, and Nationalism in the History of Anthropology,” Journal of the Royal Anthropological Institute 15 (2009): 19–35."},"citationItems":[{"id":544,"uris":["http://zotero.org/users/1208826/items/2M2J8AMI"],"uri":["http://zotero.org/users/1208826/items/2M2J8AMI"],"itemData":{"id":544,"type":"article-journal","title":"An anti-history of a non-people: Kurds, colonialism, and nationalism in the history of anthropology","container-title":"Journal of the Royal Anthropological Institute","page":"19-35","volume":"15","shortTitle":"An anti-history of a non-people","author":[{"family":"Houston","given":"Christopher"}],"issued":{"date-parts":[["2009"]]}}}],"schema":"https://github.com/citation-style-language/schema/raw/master/csl-citation.json"} </w:instrText>
      </w:r>
      <w:r w:rsidRPr="00132CED">
        <w:rPr>
          <w:rFonts w:cs="Times New Roman"/>
          <w:szCs w:val="20"/>
        </w:rPr>
        <w:fldChar w:fldCharType="separate"/>
      </w:r>
      <w:r w:rsidRPr="00132CED">
        <w:rPr>
          <w:rFonts w:cs="Times New Roman"/>
          <w:szCs w:val="20"/>
        </w:rPr>
        <w:t xml:space="preserve">Christopher Houston, “An Anti-History of a Non-People: Kurds, Colonialism, and Nationalism in the History of Anthropology,” </w:t>
      </w:r>
      <w:r w:rsidRPr="00132CED">
        <w:rPr>
          <w:rFonts w:cs="Times New Roman"/>
          <w:i/>
          <w:iCs/>
          <w:szCs w:val="20"/>
        </w:rPr>
        <w:t>Journal of the Royal Anthropological Institute</w:t>
      </w:r>
      <w:r w:rsidRPr="00132CED">
        <w:rPr>
          <w:rFonts w:cs="Times New Roman"/>
          <w:szCs w:val="20"/>
        </w:rPr>
        <w:t xml:space="preserve"> 15 (2009): 19–35.</w:t>
      </w:r>
      <w:r w:rsidRPr="00132CED">
        <w:rPr>
          <w:rFonts w:cs="Times New Roman"/>
          <w:szCs w:val="20"/>
        </w:rPr>
        <w:fldChar w:fldCharType="end"/>
      </w:r>
    </w:p>
  </w:footnote>
  <w:footnote w:id="16">
    <w:p w14:paraId="0D6DBF5C" w14:textId="032E3D56"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{"citationID":"NoyVMS3t","properties":{"formattedCitation":"{\\rtf Cyrus Schayegh, \\uc0\\u8220{}Three Questions for Historians of Science in the Modern Middle East and North Africa,\\uc0\\u8221{} {\\i{}International Journal of Middle East Studies} 47, no. 3 (August 2015): 588\\uc0\\u8211{}91, doi:10.1017/S0020743815000628.}","plainCitation":"Cyrus Schayegh, “Three Questions for Historians of Science in the Modern Middle East and North Africa,” International Journal of Middle East Studies 47, no. 3 (August 2015): 588–91, doi:10.1017/S0020743815000628."},"citationItems":[{"id":1104,"uris":["http://zotero.org/users/1208826/items/UEZI4NZM"],"uri":["http://zotero.org/users/1208826/items/UEZI4NZM"],"itemData":{"id":1104,"type":"article-journal","title":"Three Questions for Historians of Science in the Modern Middle East and North Africa","container-title":"International Journal of Middle East Studies","page":"588-591","volume":"47","issue":"03","source":"CrossRef","DOI":"10.1017/S0020743815000628","ISSN":"0020-7438, 1471-6380","language":"en","author":[{"family":"Schayegh","given":"Cyrus"}],"issued":{"date-parts":[["2015",8]]}}}],"schema":"https://github.com/citation-style-language/schema/raw/master/csl-citation.json"} </w:instrText>
      </w:r>
      <w:r w:rsidRPr="00132CED">
        <w:rPr>
          <w:rFonts w:cs="Times New Roman"/>
          <w:szCs w:val="20"/>
        </w:rPr>
        <w:fldChar w:fldCharType="separate"/>
      </w:r>
      <w:r w:rsidRPr="00132CED">
        <w:rPr>
          <w:rFonts w:cs="Times New Roman"/>
          <w:szCs w:val="20"/>
        </w:rPr>
        <w:t xml:space="preserve">Cyrus Schayegh, “Three Questions for Historians of Science in the Modern Middle East and North Africa,” </w:t>
      </w:r>
      <w:r w:rsidRPr="00132CED">
        <w:rPr>
          <w:rFonts w:cs="Times New Roman"/>
          <w:i/>
          <w:iCs/>
          <w:szCs w:val="20"/>
        </w:rPr>
        <w:t>International Journal of Middle East Studies</w:t>
      </w:r>
      <w:r w:rsidRPr="00132CED">
        <w:rPr>
          <w:rFonts w:cs="Times New Roman"/>
          <w:szCs w:val="20"/>
        </w:rPr>
        <w:t xml:space="preserve"> 47, no. 3 (2015): 588–91.</w:t>
      </w:r>
      <w:r w:rsidRPr="00132CED">
        <w:rPr>
          <w:rFonts w:cs="Times New Roman"/>
          <w:szCs w:val="20"/>
        </w:rPr>
        <w:fldChar w:fldCharType="end"/>
      </w:r>
    </w:p>
  </w:footnote>
  <w:footnote w:id="17">
    <w:p w14:paraId="3805CEED" w14:textId="323C64B3" w:rsidR="009749CE" w:rsidRPr="00132CED" w:rsidRDefault="009749CE" w:rsidP="00132CED">
      <w:pPr>
        <w:rPr>
          <w:rFonts w:ascii="Times New Roman" w:eastAsia="Times New Roman" w:hAnsi="Times New Roman" w:cs="Times New Roman"/>
          <w:sz w:val="20"/>
          <w:szCs w:val="20"/>
        </w:rPr>
      </w:pPr>
      <w:r w:rsidRPr="00132CED">
        <w:rPr>
          <w:rStyle w:val="FootnoteReference"/>
          <w:rFonts w:cs="Times New Roman"/>
        </w:rPr>
        <w:footnoteRef/>
      </w:r>
      <w:r w:rsidRPr="00132CED">
        <w:rPr>
          <w:rFonts w:ascii="Times New Roman" w:hAnsi="Times New Roman" w:cs="Times New Roman"/>
          <w:sz w:val="20"/>
          <w:szCs w:val="20"/>
        </w:rPr>
        <w:t xml:space="preserve"> </w:t>
      </w:r>
      <w:r w:rsidRPr="00132CED">
        <w:rPr>
          <w:rFonts w:ascii="Times New Roman" w:hAnsi="Times New Roman" w:cs="Times New Roman"/>
          <w:sz w:val="20"/>
          <w:szCs w:val="20"/>
          <w:lang w:val="tr-TR"/>
        </w:rPr>
        <w:t>My assessment of these circumstances is based on a diverse body of material, including oral history reports, published observations of Western visitors, and archived correspondence from Israeli and Iranian scientists to colleagues and funding agencies abroad. In addition to the archival sources cited below, interested readers may peruse Chaim Sheba’s correspondence and reports on Tel-Hashomer Hospital to the American Jewish Joint Distribution Committee (</w:t>
      </w:r>
      <w:r w:rsidRPr="00132CED">
        <w:rPr>
          <w:rFonts w:ascii="Times New Roman" w:eastAsia="Times New Roman" w:hAnsi="Times New Roman" w:cs="Times New Roman"/>
          <w:sz w:val="20"/>
          <w:szCs w:val="20"/>
          <w:shd w:val="clear" w:color="auto" w:fill="FFFFFF"/>
        </w:rPr>
        <w:t xml:space="preserve">NY AR195564/4/33/17/385, JDC Archives) and </w:t>
      </w:r>
      <w:r w:rsidRPr="00132CED">
        <w:rPr>
          <w:rFonts w:ascii="Times New Roman" w:eastAsia="Times New Roman" w:hAnsi="Times New Roman" w:cs="Times New Roman"/>
          <w:sz w:val="20"/>
          <w:szCs w:val="20"/>
          <w:shd w:val="clear" w:color="auto" w:fill="FFFFFF"/>
        </w:rPr>
        <w:fldChar w:fldCharType="begin"/>
      </w:r>
      <w:r w:rsidRPr="00132CED">
        <w:rPr>
          <w:rFonts w:ascii="Times New Roman" w:eastAsia="Times New Roman" w:hAnsi="Times New Roman" w:cs="Times New Roman"/>
          <w:sz w:val="20"/>
          <w:szCs w:val="20"/>
          <w:shd w:val="clear" w:color="auto" w:fill="FFFFFF"/>
        </w:rPr>
        <w:instrText xml:space="preserve"> ADDIN ZOTERO_ITEM CSL_CITATION {"citationID":"q2DoPDCK","properties":{"formattedCitation":"{\\rtf Daniel Carleton Gajdusek, {\\i{}A Year in the Middle East: Expeditions in Iran and Afghanistan with Travels in Europe and North Africa, February 4, 1954 to December 22, 1954} (Bethesda, MD: U.S. Department of Health and Human Services, Public Health Service, National Institutes of Health, 1991).}","plainCitation":"Daniel Carleton Gajdusek, A Year in the Middle East: Expeditions in Iran and Afghanistan with Travels in Europe and North Africa, February 4, 1954 to December 22, 1954 (Bethesda, MD: U.S. Department of Health and Human Services, Public Health Service, National Institutes of Health, 1991)."},"citationItems":[{"id":632,"uris":["http://zotero.org/users/1208826/items/TIWBV5CR"],"uri":["http://zotero.org/users/1208826/items/TIWBV5CR"],"itemData":{"id":632,"type":"book","title":"A year in the Middle East: expeditions in Iran and Afghanistan with travels in Europe and North Africa, February 4, 1954 to December 22, 1954","publisher":"U.S. Department of Health and Human Services, Public Health Service, National Institutes of Health","publisher-place":"Bethesda, MD","event-place":"Bethesda, MD","shortTitle":"A year in the Middle East","author":[{"family":"Gajdusek","given":"Daniel Carleton"}],"issued":{"date-parts":[["1991"]]}}}],"schema":"https://github.com/citation-style-language/schema/raw/master/csl-citation.json"} </w:instrText>
      </w:r>
      <w:r w:rsidRPr="00132CED">
        <w:rPr>
          <w:rFonts w:ascii="Times New Roman" w:eastAsia="Times New Roman" w:hAnsi="Times New Roman" w:cs="Times New Roman"/>
          <w:sz w:val="20"/>
          <w:szCs w:val="20"/>
          <w:shd w:val="clear" w:color="auto" w:fill="FFFFFF"/>
        </w:rPr>
        <w:fldChar w:fldCharType="separate"/>
      </w:r>
      <w:r w:rsidRPr="00132CED">
        <w:rPr>
          <w:rFonts w:ascii="Times New Roman" w:hAnsi="Times New Roman" w:cs="Times New Roman"/>
          <w:sz w:val="20"/>
          <w:szCs w:val="20"/>
        </w:rPr>
        <w:t xml:space="preserve">Daniel Carleton Gajdusek, </w:t>
      </w:r>
      <w:r w:rsidRPr="00132CED">
        <w:rPr>
          <w:rFonts w:ascii="Times New Roman" w:hAnsi="Times New Roman" w:cs="Times New Roman"/>
          <w:i/>
          <w:iCs/>
          <w:sz w:val="20"/>
          <w:szCs w:val="20"/>
        </w:rPr>
        <w:t>A Year in the Middle East: Expeditions in Iran and Afghanistan with Travels in Europe and North Africa, February 4, 1954 to December 22, 1954</w:t>
      </w:r>
      <w:r w:rsidRPr="00132CED">
        <w:rPr>
          <w:rFonts w:ascii="Times New Roman" w:hAnsi="Times New Roman" w:cs="Times New Roman"/>
          <w:sz w:val="20"/>
          <w:szCs w:val="20"/>
        </w:rPr>
        <w:t xml:space="preserve"> (Bethesda, MD: U.S. Department of Health and Human Services, National Institutes of Health, 1991).</w:t>
      </w:r>
      <w:r w:rsidRPr="00132CED">
        <w:rPr>
          <w:rFonts w:ascii="Times New Roman" w:eastAsia="Times New Roman" w:hAnsi="Times New Roman" w:cs="Times New Roman"/>
          <w:sz w:val="20"/>
          <w:szCs w:val="20"/>
          <w:shd w:val="clear" w:color="auto" w:fill="FFFFFF"/>
        </w:rPr>
        <w:fldChar w:fldCharType="end"/>
      </w:r>
    </w:p>
  </w:footnote>
  <w:footnote w:id="18">
    <w:p w14:paraId="205682DE" w14:textId="01E1F22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To understand the interest of Western geneticists in “population isolates,” see e.g. </w:t>
      </w:r>
      <w:r w:rsidRPr="00132CED">
        <w:rPr>
          <w:rFonts w:cs="Times New Roman"/>
          <w:szCs w:val="20"/>
        </w:rPr>
        <w:fldChar w:fldCharType="begin"/>
      </w:r>
      <w:r w:rsidRPr="00132CED">
        <w:rPr>
          <w:rFonts w:cs="Times New Roman"/>
          <w:szCs w:val="20"/>
        </w:rPr>
        <w:instrText xml:space="preserve"> ADDIN ZOTERO_ITEM CSL_CITATION {"citationID":"UDIo8YZR","properties":{"formattedCitation":"{\\rtf Veronika Lipphardt, \\uc0\\u8220{}The Jewish Community of Rome: An Isolated Population? Sampling Procedures and Bio-Historical Narratives in Genetic Analysis in the 1950s,\\uc0\\u8221{} {\\i{}BioSocieties} 5, no. 3 (2010): 306\\uc0\\u8211{}29.}","plainCitation":"Veronika Lipphardt, “The Jewish Community of Rome: An Isolated Population? Sampling Procedures and Bio-Historical Narratives in Genetic Analysis in the 1950s,” BioSocieties 5, no. 3 (2010): 306–29."},"citationItems":[{"id":651,"uris":["http://zotero.org/users/1208826/items/RH6DJBAA"],"uri":["http://zotero.org/users/1208826/items/RH6DJBAA"],"itemData":{"id":651,"type":"article-journal","title":"The Jewish community of Rome: An isolated population? Sampling procedures and bio-historical narratives in genetic analysis in the 1950s","container-title":"BioSocieties","page":"306-329","volume":"5","issue":"3","shortTitle":"The Jewish community of Rome","author":[{"family":"Lipphardt","given":"Veronika"}],"issued":{"date-parts":[["2010"]]}}}],"schema":"https://github.com/citation-style-language/schema/raw/master/csl-citation.json"} </w:instrText>
      </w:r>
      <w:r w:rsidRPr="00132CED">
        <w:rPr>
          <w:rFonts w:cs="Times New Roman"/>
          <w:szCs w:val="20"/>
        </w:rPr>
        <w:fldChar w:fldCharType="separate"/>
      </w:r>
      <w:r w:rsidRPr="00132CED">
        <w:rPr>
          <w:rFonts w:cs="Times New Roman"/>
          <w:szCs w:val="20"/>
        </w:rPr>
        <w:t xml:space="preserve">Veronika Lipphardt, “The Jewish Community of Rome: An Isolated Population? Sampling Procedures and Bio-Historical Narratives in Genetic Analysis in the 1950s,” </w:t>
      </w:r>
      <w:r w:rsidRPr="00132CED">
        <w:rPr>
          <w:rFonts w:cs="Times New Roman"/>
          <w:i/>
          <w:iCs/>
          <w:szCs w:val="20"/>
        </w:rPr>
        <w:t>BioSocieties</w:t>
      </w:r>
      <w:r w:rsidRPr="00132CED">
        <w:rPr>
          <w:rFonts w:cs="Times New Roman"/>
          <w:szCs w:val="20"/>
        </w:rPr>
        <w:t xml:space="preserve"> 5, no. 3 (2010): 306–29.</w:t>
      </w:r>
      <w:r w:rsidRPr="00132CED">
        <w:rPr>
          <w:rFonts w:cs="Times New Roman"/>
          <w:szCs w:val="20"/>
        </w:rPr>
        <w:fldChar w:fldCharType="end"/>
      </w:r>
    </w:p>
  </w:footnote>
  <w:footnote w:id="19">
    <w:p w14:paraId="197796B9" w14:textId="33DF1F6F"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eastAsia="Times New Roman" w:cs="Times New Roman"/>
          <w:szCs w:val="20"/>
        </w:rPr>
        <w:t xml:space="preserve">In this paper, I use the term </w:t>
      </w:r>
      <w:r w:rsidRPr="00132CED">
        <w:rPr>
          <w:rFonts w:cs="Times New Roman"/>
          <w:szCs w:val="20"/>
        </w:rPr>
        <w:t xml:space="preserve">“native informant” not in a conventional anthropological sense but in reference to Gayatri Chakravorty Spivak’s critique of postcolonial nationalist intellectuals, aiming to apply this critique to the biomedical sciences. </w:t>
      </w:r>
      <w:r w:rsidRPr="00132CED">
        <w:rPr>
          <w:rFonts w:cs="Times New Roman"/>
          <w:szCs w:val="20"/>
        </w:rPr>
        <w:fldChar w:fldCharType="begin"/>
      </w:r>
      <w:r w:rsidRPr="00132CED">
        <w:rPr>
          <w:rFonts w:cs="Times New Roman"/>
          <w:szCs w:val="20"/>
        </w:rPr>
        <w:instrText xml:space="preserve"> ADDIN ZOTERO_ITEM CSL_CITATION {"citationID":"ZNos8dxm","properties":{"formattedCitation":"{\\rtf Gayatri Chakravorty Spivak, {\\i{}A Critique of Postcolonial Reason: Toward a History of the Vanishing Present} (Cambridge, MA: Harvard University Press, 1999).}","plainCitation":"Gayatri Chakravorty Spivak, A Critique of Postcolonial Reason: Toward a History of the Vanishing Present (Cambridge, MA: Harvard University Press, 1999)."},"citationItems":[{"id":775,"uris":["http://zotero.org/users/1208826/items/T6X9TNJG"],"uri":["http://zotero.org/users/1208826/items/T6X9TNJG"],"itemData":{"id":775,"type":"book","title":"A critique of postcolonial reason: toward a history of the vanishing present","publisher":"Harvard University Press","publisher-place":"Cambridge, MA","number-of-pages":"449","source":"Library of Congress ISBN","event-place":"Cambridge, MA","ISBN":"978-0-674-17763-5","call-number":"JV51 .S58 1999","shortTitle":"A critique of postcolonial reason","author":[{"family":"Spivak","given":"Gayatri Chakravorty"}],"issued":{"date-parts":[["1999"]]}}}],"schema":"https://github.com/citation-style-language/schema/raw/master/csl-citation.json"} </w:instrText>
      </w:r>
      <w:r w:rsidRPr="00132CED">
        <w:rPr>
          <w:rFonts w:cs="Times New Roman"/>
          <w:szCs w:val="20"/>
        </w:rPr>
        <w:fldChar w:fldCharType="separate"/>
      </w:r>
      <w:r w:rsidRPr="00132CED">
        <w:rPr>
          <w:rFonts w:cs="Times New Roman"/>
          <w:szCs w:val="20"/>
        </w:rPr>
        <w:t xml:space="preserve">Gayatri Chakravorty Spivak, </w:t>
      </w:r>
      <w:r w:rsidRPr="00132CED">
        <w:rPr>
          <w:rFonts w:cs="Times New Roman"/>
          <w:i/>
          <w:iCs/>
          <w:szCs w:val="20"/>
        </w:rPr>
        <w:t>A Critique of Postcolonial Reason: Toward a History of the Vanishing Present</w:t>
      </w:r>
      <w:r w:rsidRPr="00132CED">
        <w:rPr>
          <w:rFonts w:cs="Times New Roman"/>
          <w:szCs w:val="20"/>
        </w:rPr>
        <w:t xml:space="preserve"> (Cambridge, MA: Harvard University Press, 1999).</w:t>
      </w:r>
      <w:r w:rsidRPr="00132CED">
        <w:rPr>
          <w:rFonts w:cs="Times New Roman"/>
          <w:szCs w:val="20"/>
        </w:rPr>
        <w:fldChar w:fldCharType="end"/>
      </w:r>
    </w:p>
  </w:footnote>
  <w:footnote w:id="20">
    <w:p w14:paraId="4AD261B3" w14:textId="4205B0A9"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{"citationID":"IxlUAlgY","properties":{"formattedCitation":"{\\rtf Simon Schaffer et al., eds., {\\i{}The Brokered World: Go-Betweens and Global Intelligence, 1770-1820} (Sagamore Beach, MA: Science History Publications, 2009), xxi\\uc0\\u8211{}xxx.}","plainCitation":"Simon Schaffer et al., eds., The Brokered World: Go-Betweens and Global Intelligence, 1770-1820 (Sagamore Beach, MA: Science History Publications, 2009), xxi–xxx."},"citationItems":[{"id":771,"uris":["http://zotero.org/users/1208826/items/CKUDE2MF"],"uri":["http://zotero.org/users/1208826/items/CKUDE2MF"],"itemData":{"id":771,"type":"book","title":"The brokered world: go-betweens and global intelligence, 1770-1820","publisher":"Science History Publications","publisher-place":"Sagamore Beach, MA","number-of-pages":"522","source":"Library of Congress ISBN","event-place":"Sagamore Beach, MA","ISBN":"978-0-88135-374-7","call-number":"HM1211 .B76 2009","shortTitle":"The brokered world","editor":[{"family":"Schaffer","given":"Simon"},{"family":"Roberts","given":"Lissa"},{"family":"Raj","given":"Kapil"},{"family":"Delbourgo","given":"James"}],"issued":{"date-parts":[["2009"]]}},"locator":"xxi-xxx"}],"schema":"https://github.com/citation-style-language/schema/raw/master/csl-citation.json"} </w:instrText>
      </w:r>
      <w:r w:rsidRPr="00132CED">
        <w:rPr>
          <w:rFonts w:cs="Times New Roman"/>
          <w:szCs w:val="20"/>
        </w:rPr>
        <w:fldChar w:fldCharType="separate"/>
      </w:r>
      <w:r w:rsidRPr="00132CED">
        <w:rPr>
          <w:rFonts w:cs="Times New Roman"/>
          <w:szCs w:val="20"/>
        </w:rPr>
        <w:t xml:space="preserve">Simon Schaffer et al., eds., </w:t>
      </w:r>
      <w:r w:rsidRPr="00132CED">
        <w:rPr>
          <w:rFonts w:cs="Times New Roman"/>
          <w:i/>
          <w:iCs/>
          <w:szCs w:val="20"/>
        </w:rPr>
        <w:t>The Brokered World: Go-Betweens and Global Intelligence, 1770-1820</w:t>
      </w:r>
      <w:r w:rsidRPr="00132CED">
        <w:rPr>
          <w:rFonts w:cs="Times New Roman"/>
          <w:szCs w:val="20"/>
        </w:rPr>
        <w:t xml:space="preserve"> (Sagamore Beach, MA: Science History Publications, 2009), xxi–xxx.</w:t>
      </w:r>
      <w:r w:rsidRPr="00132CED">
        <w:rPr>
          <w:rFonts w:cs="Times New Roman"/>
          <w:szCs w:val="20"/>
        </w:rPr>
        <w:fldChar w:fldCharType="end"/>
      </w:r>
    </w:p>
  </w:footnote>
  <w:footnote w:id="21">
    <w:p w14:paraId="3CEA8031" w14:textId="5C46E7E5"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See Chapter 2 in </w:t>
      </w:r>
      <w:r w:rsidRPr="00132CED">
        <w:rPr>
          <w:rFonts w:cs="Times New Roman"/>
          <w:szCs w:val="20"/>
        </w:rPr>
        <w:fldChar w:fldCharType="begin"/>
      </w:r>
      <w:r w:rsidRPr="00132CED">
        <w:rPr>
          <w:rFonts w:cs="Times New Roman"/>
          <w:szCs w:val="20"/>
        </w:rPr>
        <w:instrText xml:space="preserve"> ADDIN ZOTERO_ITEM CSL_CITATION {"citationID":"4oLHM2uR","properties":{"formattedCitation":"{\\rtf Londa L. Schiebinger, {\\i{}Plants and Empire: Colonial Bioprospecting in the Atlantic World} (Cambridge, MA: Harvard University Press, 2004).}","plainCitation":"Londa L. Schiebinger, Plants and Empire: Colonial Bioprospecting in the Atlantic World (Cambridge, MA: Harvard University Press, 2004)."},"citationItems":[{"id":772,"uris":["http://zotero.org/users/1208826/items/BRNHTGVN"],"uri":["http://zotero.org/users/1208826/items/BRNHTGVN"],"itemData":{"id":772,"type":"book","title":"Plants and empire: colonial bioprospecting in the Atlantic world","publisher":"Harvard University Press","publisher-place":"Cambridge, MA","number-of-pages":"306","source":"Gemeinsamer Bibliotheksverbund ISBN","event-place":"Cambridge, MA","ISBN":"978-0-674-02568-4","shortTitle":"Plants and empire","language":"eng","author":[{"family":"Schiebinger","given":"Londa L."}],"issued":{"date-parts":[["2004"]]}}}],"schema":"https://github.com/citation-style-language/schema/raw/master/csl-citation.json"} </w:instrText>
      </w:r>
      <w:r w:rsidRPr="00132CED">
        <w:rPr>
          <w:rFonts w:cs="Times New Roman"/>
          <w:szCs w:val="20"/>
        </w:rPr>
        <w:fldChar w:fldCharType="separate"/>
      </w:r>
      <w:r w:rsidRPr="00132CED">
        <w:rPr>
          <w:rFonts w:cs="Times New Roman"/>
          <w:szCs w:val="20"/>
        </w:rPr>
        <w:t xml:space="preserve">Londa L. Schiebinger, </w:t>
      </w:r>
      <w:r w:rsidRPr="00132CED">
        <w:rPr>
          <w:rFonts w:cs="Times New Roman"/>
          <w:i/>
          <w:iCs/>
          <w:szCs w:val="20"/>
        </w:rPr>
        <w:t>Plants and Empire: Colonial Bioprospecting in the Atlantic World</w:t>
      </w:r>
      <w:r w:rsidRPr="00132CED">
        <w:rPr>
          <w:rFonts w:cs="Times New Roman"/>
          <w:szCs w:val="20"/>
        </w:rPr>
        <w:t xml:space="preserve"> (Cambridge, MA: Harvard University Press, 2004).</w:t>
      </w:r>
      <w:r w:rsidRPr="00132CED">
        <w:rPr>
          <w:rFonts w:cs="Times New Roman"/>
          <w:szCs w:val="20"/>
        </w:rPr>
        <w:fldChar w:fldCharType="end"/>
      </w:r>
    </w:p>
  </w:footnote>
  <w:footnote w:id="22">
    <w:p w14:paraId="5136B71A" w14:textId="15C6ED79"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{"citationID":"ATsZLOZ4","properties":{"formattedCitation":"{\\rtf Bangham, \\uc0\\u8220{}Blood Groups and Human Groups\\uc0\\u8221{}; Susan Lindee and Ricardo Ventura Santos, \\uc0\\u8220{}The Biological Anthropology of Living Human Populations: World Histories, National Styles, and International Networks: An Introduction to Supplement 5,\\uc0\\u8221{} {\\i{}Current Anthropology} 53, no. S5 (April 2012): S7, doi:10.1086/663335.}","plainCitation":"Bangham, “Blood Groups and Human Groups”; Susan Lindee and Ricardo Ventura Santos, “The Biological Anthropology of Living Human Populations: World Histories, National Styles, and International Networks: An Introduction to Supplement 5,” Current Anthropology 53, no. S5 (April 2012): S7, doi:10.1086/663335."},"citationItems":[{"id":666,"uris":["http://zotero.org/users/1208826/items/52P9UC4G"],"uri":["http://zotero.org/users/1208826/items/52P9UC4G"],"itemData":{"id":666,"type":"article-journal","title":"Blood groups and human groups: Collecting and calibrating genetic data after World War Two","container-title":"Studies in History and Philosophy of Science Part C: Studies in History and Philosophy of Biological and Biomedical Sciences","page":"74-86","volume":"47","source":"CrossRef","ISSN":"13698486","shortTitle":"Blood groups and human groups","language":"en","author":[{"family":"Bangham","given":"Jenny"}],"issued":{"date-parts":[["2014"]]}}},{"id":667,"uris":["http://zotero.org/users/1208826/items/MQQHFJ4R"],"uri":["http://zotero.org/users/1208826/items/MQQHFJ4R"],"itemData":{"id":667,"type":"article-journal","title":"The Biological Anthropology of Living Human Populations: World Histories, National Styles, and International Networks: An Introduction to Supplement 5","container-title":"Current Anthropology","page":"S3-S16","volume":"53","issue":"S5","source":"CrossRef","DOI":"10.1086/663335","ISSN":"00113204, 15375382","shortTitle":"The Biological Anthropology of Living Human Populations","language":"en","author":[{"family":"Lindee","given":"Susan"},{"family":"Santos","given":"Ricardo Ventura"}],"issued":{"date-parts":[["2012",4]]}},"locator":"S7"}],"schema":"https://github.com/citation-style-language/schema/raw/master/csl-citation.json"}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Bangham, “Blood Groups and Human Groups”; Susan Lindee and Ricardo Ventura Santos, “The Biological Anthropology of Living Human Populations: World Histories, National Styles, and International Networks: An Introduction to Supplement 5,” </w:t>
      </w:r>
      <w:r w:rsidRPr="00132CED">
        <w:rPr>
          <w:rFonts w:cs="Times New Roman"/>
          <w:i/>
          <w:iCs/>
          <w:szCs w:val="20"/>
        </w:rPr>
        <w:t>Current Anthropology</w:t>
      </w:r>
      <w:r w:rsidRPr="00132CED">
        <w:rPr>
          <w:rFonts w:cs="Times New Roman"/>
          <w:szCs w:val="20"/>
        </w:rPr>
        <w:t xml:space="preserve"> 53, no. S5 (2012)</w:t>
      </w:r>
      <w:r w:rsidR="00824C0B" w:rsidRPr="00132CED">
        <w:rPr>
          <w:rFonts w:cs="Times New Roman"/>
          <w:szCs w:val="20"/>
        </w:rPr>
        <w:t>, S3-S16</w:t>
      </w:r>
      <w:r w:rsidRPr="00132CED">
        <w:rPr>
          <w:rFonts w:cs="Times New Roman"/>
          <w:szCs w:val="20"/>
        </w:rPr>
        <w:t>: S7.</w:t>
      </w:r>
      <w:r w:rsidRPr="00132CED">
        <w:rPr>
          <w:rFonts w:cs="Times New Roman"/>
          <w:szCs w:val="20"/>
        </w:rPr>
        <w:fldChar w:fldCharType="end"/>
      </w:r>
    </w:p>
  </w:footnote>
  <w:footnote w:id="23">
    <w:p w14:paraId="2D168081" w14:textId="303D606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My concept of “interstitial” is borrowed from </w:t>
      </w:r>
      <w:r w:rsidRPr="00132CED">
        <w:rPr>
          <w:rFonts w:cs="Times New Roman"/>
          <w:szCs w:val="20"/>
        </w:rPr>
        <w:fldChar w:fldCharType="begin"/>
      </w:r>
      <w:r w:rsidRPr="00132CED">
        <w:rPr>
          <w:rFonts w:cs="Times New Roman"/>
          <w:szCs w:val="20"/>
        </w:rPr>
        <w:instrText xml:space="preserve"> ADDIN ZOTERO_ITEM CSL_CITATION {"citationID":"JDNr4bnb","properties":{"formattedCitation":"{\\rtf Cyrus Schayegh, \\uc0\\u8220{}The Social Relevance of Knowledge: Science and the Formation of Modern Iran, 1910s\\uc0\\u8211{}40s,\\uc0\\u8221{} {\\i{}Middle Eastern Studies} 43, no. 6 (2007): 941\\uc0\\u8211{}60, doi:10.1080/00263200701568329; Cyrus Schayegh, {\\i{}Who Is Knowledgeable, Is Strong: Science, Class, and the Formation of Modern Iranian Society, 1900-1950} (Berkeley: Univerity of California Press, 2009).}","plainCitation":"Cyrus Schayegh, “The Social Relevance of Knowledge: Science and the Formation of Modern Iran, 1910s–40s,” Middle Eastern Studies 43, no. 6 (2007): 941–60, doi:10.1080/00263200701568329; Cyrus Schayegh, Who Is Knowledgeable, Is Strong: Science, Class, and the Formation of Modern Iranian Society, 1900-1950 (Berkeley: Univerity of California Press, 2009).","dontUpdate":true},"citationItems":[{"id":152,"uris":["http://zotero.org/users/1208826/items/J8S4JESN"],"uri":["http://zotero.org/users/1208826/items/J8S4JESN"],"itemData":{"id":152,"type":"article-journal","title":"The social relevance of knowledge: Science and the formation of modern Iran, 1910s–40s","container-title":"Middle Eastern Studies","page":"941-960","volume":"43","issue":"6","source":"CrossRef","DOI":"10.1080/00263200701568329","ISSN":"0026-3206, 1743-7881","shortTitle":"The social relevance of knowledge","author":[{"family":"Schayegh","given":"Cyrus"}],"issued":{"date-parts":[["2007"]]}}},{"id":15,"uris":["http://zotero.org/users/1208826/items/48UHATU5"],"uri":["http://zotero.org/users/1208826/items/48UHATU5"],"itemData":{"id":15,"type":"book","title":"Who is knowledgeable, is strong: science, class, and the formation of modern Iranian society, 1900-1950","publisher":"University of California Press","publisher-place":"Berkeley","number-of-pages":"340","source":"Library of Congress ISBN","event-place":"Berkeley","ISBN":"978-0-520-25447-3","call-number":"DS266 .S375 2009","shortTitle":"Who is knowledgeable, is strong","author":[{"family":"Schayegh","given":"Cyrus"}],"issued":{"date-parts":[["2009"]]}}}],"schema":"https://github.com/citation-style-language/schema/raw/master/csl-citation.json"} </w:instrText>
      </w:r>
      <w:r w:rsidRPr="00132CED">
        <w:rPr>
          <w:rFonts w:cs="Times New Roman"/>
          <w:szCs w:val="20"/>
        </w:rPr>
        <w:fldChar w:fldCharType="separate"/>
      </w:r>
      <w:r w:rsidRPr="00132CED">
        <w:rPr>
          <w:rFonts w:cs="Times New Roman"/>
          <w:szCs w:val="20"/>
        </w:rPr>
        <w:t xml:space="preserve">Cyrus Schayegh, “The Social Relevance of Knowledge: Science and the Formation of Modern Iran, 1910s–40s,” </w:t>
      </w:r>
      <w:r w:rsidRPr="00132CED">
        <w:rPr>
          <w:rFonts w:cs="Times New Roman"/>
          <w:i/>
          <w:iCs/>
          <w:szCs w:val="20"/>
        </w:rPr>
        <w:t>Middle Eastern Studies</w:t>
      </w:r>
      <w:r w:rsidRPr="00132CED">
        <w:rPr>
          <w:rFonts w:cs="Times New Roman"/>
          <w:szCs w:val="20"/>
        </w:rPr>
        <w:t xml:space="preserve"> 43, no. 6 (2007): 941–60; Schayegh, </w:t>
      </w:r>
      <w:r w:rsidRPr="00132CED">
        <w:rPr>
          <w:rFonts w:cs="Times New Roman"/>
          <w:i/>
          <w:iCs/>
          <w:szCs w:val="20"/>
        </w:rPr>
        <w:t>Who Is Knowledgeable, Is Strong: Science, Class, and the Formation of Modern Iranian Society, 1900-1950</w:t>
      </w:r>
      <w:r w:rsidRPr="00132CED">
        <w:rPr>
          <w:rFonts w:cs="Times New Roman"/>
          <w:szCs w:val="20"/>
        </w:rPr>
        <w:t xml:space="preserve"> (Berkeley: University of California Press, 2009).</w:t>
      </w:r>
      <w:r w:rsidRPr="00132CED">
        <w:rPr>
          <w:rFonts w:cs="Times New Roman"/>
          <w:szCs w:val="20"/>
        </w:rPr>
        <w:fldChar w:fldCharType="end"/>
      </w:r>
    </w:p>
  </w:footnote>
  <w:footnote w:id="24">
    <w:p w14:paraId="4BD975A7" w14:textId="5293846F"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{"citationID":"fCyuXgwS","properties":{"formattedCitation":"{\\rtf Greggor Mattson, \\uc0\\u8220{}Nation-State Science: Lappology and Sweden\\uc0\\u8217{}s Ethnoracial Purity,\\uc0\\u8221{} {\\i{}Comparative Studies in Society and History} 56, no. 2 (2014): 324.}","plainCitation":"Greggor Mattson, “Nation-State Science: Lappology and Sweden’s Ethnoracial Purity,” Comparative Studies in Society and History 56, no. 2 (2014): 324."},"citationItems":[{"id":556,"uris":["http://zotero.org/users/1208826/items/7U4KVI7B"],"uri":["http://zotero.org/users/1208826/items/7U4KVI7B"],"itemData":{"id":556,"type":"article-journal","title":"Nation-State Science: Lappology and Sweden's Ethnoracial Purity","container-title":"Comparative Studies in Society and History","page":"320-350","volume":"56","issue":"02","source":"CrossRef","ISSN":"0010-4175, 1475-2999","shortTitle":"Nation-State Science","language":"en","author":[{"family":"Mattson","given":"Greggor"}],"issued":{"date-parts":[["2014"]]}},"locator":"324"}],"schema":"https://github.com/citation-style-language/schema/raw/master/csl-citation.json"} </w:instrText>
      </w:r>
      <w:r w:rsidRPr="00132CED">
        <w:rPr>
          <w:rFonts w:cs="Times New Roman"/>
          <w:szCs w:val="20"/>
        </w:rPr>
        <w:fldChar w:fldCharType="separate"/>
      </w:r>
      <w:r w:rsidRPr="00132CED">
        <w:rPr>
          <w:rFonts w:cs="Times New Roman"/>
          <w:szCs w:val="20"/>
        </w:rPr>
        <w:t xml:space="preserve">Greggor Mattson, “Nation-State Science: Lappology and Sweden’s Ethnoracial Purity,” </w:t>
      </w:r>
      <w:r w:rsidRPr="00132CED">
        <w:rPr>
          <w:rFonts w:cs="Times New Roman"/>
          <w:i/>
          <w:iCs/>
          <w:szCs w:val="20"/>
        </w:rPr>
        <w:t>Comparative Studies in Society and History</w:t>
      </w:r>
      <w:r w:rsidRPr="00132CED">
        <w:rPr>
          <w:rFonts w:cs="Times New Roman"/>
          <w:szCs w:val="20"/>
        </w:rPr>
        <w:t xml:space="preserve"> 56, no. 2 (2014)</w:t>
      </w:r>
      <w:r w:rsidR="00824C0B" w:rsidRPr="00132CED">
        <w:rPr>
          <w:rFonts w:cs="Times New Roman"/>
          <w:szCs w:val="20"/>
        </w:rPr>
        <w:t>, 320-350</w:t>
      </w:r>
      <w:r w:rsidRPr="00132CED">
        <w:rPr>
          <w:rFonts w:cs="Times New Roman"/>
          <w:szCs w:val="20"/>
        </w:rPr>
        <w:t>: 324.</w:t>
      </w:r>
      <w:r w:rsidRPr="00132CED">
        <w:rPr>
          <w:rFonts w:cs="Times New Roman"/>
          <w:szCs w:val="20"/>
        </w:rPr>
        <w:fldChar w:fldCharType="end"/>
      </w:r>
    </w:p>
  </w:footnote>
  <w:footnote w:id="25">
    <w:p w14:paraId="6E4834AD" w14:textId="52DC0E21"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{"citationID":"sgOKDgCM","properties":{"formattedCitation":"{\\rtf Jennifer Robertson, \\uc0\\u8220{}Blood Talks: Eugenic Modernity and the Creation of New Japanese,\\uc0\\u8221{} {\\i{}History and Anthropology} 13, no. 3 (January 2002): 191\\uc0\\u8211{}216, doi:10.1080/0275720022000025547; Projit B. Mukharji, \\uc0\\u8220{}From Serosocial to Sanguinary Identities: Caste, Transnational Race Science and the Shifting Metonymies of Blood Group B, India C. 1918-1960,\\uc0\\u8221{} {\\i{}Indian Economic &amp; Social History Review} 51, no. 2 (2014): 143\\uc0\\u8211{}76, doi:10.1177/0019464614525711; M. Kent et al., \\uc0\\u8220{}Building the Genomic Nation: \\uc0\\u8217{}Homo Brasilis and the \\uc0\\u8217{}Genoma Mexicano in Comparative Cultural Perspective,\\uc0\\u8221{} {\\i{}Social Studies of Science} 45, no. 6 (December 1, 2015): 839\\uc0\\u8211{}61, doi:10.1177/0306312715611262.}","plainCitation":"Jennifer Robertson, “Blood Talks: Eugenic Modernity and the Creation of New Japanese,” History and Anthropology 13, no. 3 (January 2002): 191–216, doi:10.1080/0275720022000025547; Projit B. Mukharji, “From Serosocial to Sanguinary Identities: Caste, Transnational Race Science and the Shifting Metonymies of Blood Group B, India C. 1918-1960,” Indian Economic &amp; Social History Review 51, no. 2 (2014): 143–76, doi:10.1177/0019464614525711; M. Kent et al., “Building the Genomic Nation: ’Homo Brasilis and the ’Genoma Mexicano in Comparative Cultural Perspective,” Social Studies of Science 45, no. 6 (December 1, 2015): 839–61, doi:10.1177/0306312715611262."},"citationItems":[{"id":1222,"uris":["http://zotero.org/users/1208826/items/9RKFAMT8"],"uri":["http://zotero.org/users/1208826/items/9RKFAMT8"],"itemData":{"id":1222,"type":"article-journal","title":"Blood talks: Eugenic modernity and the creation of new Japanese","container-title":"History and Anthropology","page":"191-216","volume":"13","issue":"3","source":"CrossRef","DOI":"10.1080/0275720022000025547","ISSN":"0275-7206, 1477-2612","shortTitle":"Blood talks","language":"en","author":[{"family":"Robertson","given":"Jennifer"}],"issued":{"date-parts":[["2002",1]]}}},{"id":502,"uris":["http://zotero.org/users/1208826/items/TUADNQXN"],"uri":["http://zotero.org/users/1208826/items/TUADNQXN"],"itemData":{"id":502,"type":"article-journal","title":"From serosocial to sanguinary identities: Caste, transnational race science and the shifting metonymies of blood group B, India c. 1918-1960","container-title":"Indian Economic &amp; Social History Review","page":"143-176","volume":"51","issue":"2","source":"CrossRef","DOI":"10.1177/0019464614525711","ISSN":"0019-4646, 0973-0893","shortTitle":"From serosocial to sanguinary identities","language":"en","author":[{"family":"Mukharji","given":"Projit B."}],"issued":{"date-parts":[["2014"]]}}},{"id":1221,"uris":["http://zotero.org/users/1208826/items/EHB9KMIB"],"uri":["http://zotero.org/users/1208826/items/EHB9KMIB"],"itemData":{"id":1221,"type":"article-journal","title":"Building the genomic nation: 'Homo Brasilis and the 'Genoma Mexicano in comparative cultural perspective","container-title":"Social Studies of Science","page":"839-861","volume":"45","issue":"6","source":"CrossRef","DOI":"10.1177/0306312715611262","ISSN":"0306-3127, 1460-3659","shortTitle":"Building the genomic nation","language":"en","author":[{"family":"Kent","given":"M."},{"family":"Garcia-Deister","given":"V."},{"family":"Lopez-Beltran","given":"C."},{"family":"Santos","given":"R. V."},{"family":"Schwartz-Marin","given":"E."},{"family":"Wade","given":"P."}],"issued":{"date-parts":[["2015",12,1]]}}}],"schema":"https://github.com/citation-style-language/schema/raw/master/csl-citation.json"} </w:instrText>
      </w:r>
      <w:r w:rsidRPr="00132CED">
        <w:rPr>
          <w:rFonts w:cs="Times New Roman"/>
          <w:szCs w:val="20"/>
        </w:rPr>
        <w:fldChar w:fldCharType="separate"/>
      </w:r>
      <w:r w:rsidRPr="00132CED">
        <w:rPr>
          <w:rFonts w:cs="Times New Roman"/>
          <w:szCs w:val="20"/>
        </w:rPr>
        <w:t xml:space="preserve">Jennifer Robertson, “Blood Talks: Eugenic Modernity and the Creation of New Japanese,” </w:t>
      </w:r>
      <w:r w:rsidRPr="00132CED">
        <w:rPr>
          <w:rFonts w:cs="Times New Roman"/>
          <w:i/>
          <w:iCs/>
          <w:szCs w:val="20"/>
        </w:rPr>
        <w:t>History and Anthropology</w:t>
      </w:r>
      <w:r w:rsidRPr="00132CED">
        <w:rPr>
          <w:rFonts w:cs="Times New Roman"/>
          <w:szCs w:val="20"/>
        </w:rPr>
        <w:t xml:space="preserve"> 13, no. 3 (2002): 191–216; Projit B. Mukharji, “From Serosocial to Sanguinary Identities: Caste, Transnational Race Science and the Shifting Metonymies of Blood Group B, India c. 1918-1960,” </w:t>
      </w:r>
      <w:r w:rsidRPr="00132CED">
        <w:rPr>
          <w:rFonts w:cs="Times New Roman"/>
          <w:i/>
          <w:iCs/>
          <w:szCs w:val="20"/>
        </w:rPr>
        <w:t>Indian Economic &amp; Social History Review</w:t>
      </w:r>
      <w:r w:rsidRPr="00132CED">
        <w:rPr>
          <w:rFonts w:cs="Times New Roman"/>
          <w:szCs w:val="20"/>
        </w:rPr>
        <w:t xml:space="preserve"> 51, no. 2 (2014): 143–76; M. Kent et al., “Building the Genomic Nation: ’Homo Brasilis and the ’Genoma Mexicano in Comparative Cultural Perspective,” </w:t>
      </w:r>
      <w:r w:rsidRPr="00132CED">
        <w:rPr>
          <w:rFonts w:cs="Times New Roman"/>
          <w:i/>
          <w:iCs/>
          <w:szCs w:val="20"/>
        </w:rPr>
        <w:t>Social Studies of Science</w:t>
      </w:r>
      <w:r w:rsidRPr="00132CED">
        <w:rPr>
          <w:rFonts w:cs="Times New Roman"/>
          <w:szCs w:val="20"/>
        </w:rPr>
        <w:t xml:space="preserve"> 45, no. 6 (2015): 839–61.</w:t>
      </w:r>
      <w:r w:rsidRPr="00132CED">
        <w:rPr>
          <w:rFonts w:cs="Times New Roman"/>
          <w:szCs w:val="20"/>
        </w:rPr>
        <w:fldChar w:fldCharType="end"/>
      </w:r>
    </w:p>
  </w:footnote>
  <w:footnote w:id="26">
    <w:p w14:paraId="210E3105" w14:textId="37D50AF6"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lang w:val="tr-TR"/>
        </w:rPr>
        <w:t>I thank the anonymous reviewer who highlighted this issue.</w:t>
      </w:r>
    </w:p>
  </w:footnote>
  <w:footnote w:id="27">
    <w:p w14:paraId="721FC323" w14:textId="4F391EDF"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The deficiency of the enzyme glucose-6-phosphate-dehydrogenase (G6PD), a condition often known as “favism,” causes red blood cells (erythrocytes) to break down in the response to specific triggers, notably fava beans, certain anti-malarial drugs, and aspirin. </w:t>
      </w:r>
      <w:r w:rsidRPr="00132CED">
        <w:rPr>
          <w:rFonts w:cs="Times New Roman"/>
          <w:szCs w:val="20"/>
        </w:rPr>
        <w:fldChar w:fldCharType="begin"/>
      </w:r>
      <w:r w:rsidRPr="00132CED">
        <w:rPr>
          <w:rFonts w:cs="Times New Roman"/>
          <w:szCs w:val="20"/>
        </w:rPr>
        <w:instrText xml:space="preserve"> ADDIN ZOTERO_ITEM CSL_CITATION {"citationID":"td6MjZke","properties":{"formattedCitation":"{\\rtf Nurit Kirsh, \\uc0\\u8220{}Population Genetics in Israel in the 1950s: The Unconscious Internalization of Ideology,\\uc0\\u8221{} {\\i{}Isis} 94, no. 4 (2003): 631\\uc0\\u8211{}55; Nadia Abu El-Haj, {\\i{}The Genealogical Science: The Search for Jewish Origins and the Politics of Epistemology} (Chicago; London: The University of Chicago Press, 2012), 103\\uc0\\u8211{}7.}","plainCitation":"Nurit Kirsh, “Population Genetics in Israel in the 1950s: The Unconscious Internalization of Ideology,” Isis 94, no. 4 (2003): 631–55; Nadia Abu El-Haj, The Genealogical Science: The Search for Jewish Origins and the Politics of Epistemology (Chicago; London: The University of Chicago Press, 2012), 103–7."},"citationItems":[{"id":126,"uris":["http://zotero.org/users/1208826/items/H9RTRT4P"],"uri":["http://zotero.org/users/1208826/items/H9RTRT4P"],"itemData":{"id":126,"type":"article-journal","title":"Population genetics in Israel in the 1950s: the unconscious internalization of ideology","container-title":"Isis","page":"631-655","volume":"94","issue":"4","shortTitle":"Population genetics in Israel in the 1950s","author":[{"family":"Kirsh","given":"Nurit"}],"issued":{"date-parts":[["2003"]]}}},{"id":74,"uris":["http://zotero.org/users/1208826/items/BIMCKQZK"],"uri":["http://zotero.org/users/1208826/items/BIMCKQZK"],"itemData":{"id":74,"type":"book","title":"The genealogical science: the search for Jewish origins and the politics of epistemology","publisher":"The University of Chicago Press","publisher-place":"Chicago; London","source":"Open WorldCat","event-place":"Chicago; London","ISBN":"978-0-226-20140-5","shortTitle":"The genealogical science","language":"English","author":[{"family":"Abu El-Haj","given":"Nadia"}],"issued":{"date-parts":[["2012"]]}},"locator":"103-7"}],"schema":"https://github.com/citation-style-language/schema/raw/master/csl-citation.json"} </w:instrText>
      </w:r>
      <w:r w:rsidRPr="00132CED">
        <w:rPr>
          <w:rFonts w:cs="Times New Roman"/>
          <w:szCs w:val="20"/>
        </w:rPr>
        <w:fldChar w:fldCharType="separate"/>
      </w:r>
      <w:r w:rsidRPr="00132CED">
        <w:rPr>
          <w:rFonts w:cs="Times New Roman"/>
          <w:szCs w:val="20"/>
        </w:rPr>
        <w:t xml:space="preserve">Nurit Kirsh, “Population Genetics in Israel in the 1950s: The Unconscious Internalization of Ideology,” </w:t>
      </w:r>
      <w:r w:rsidRPr="00132CED">
        <w:rPr>
          <w:rFonts w:cs="Times New Roman"/>
          <w:i/>
          <w:iCs/>
          <w:szCs w:val="20"/>
        </w:rPr>
        <w:t>Isis</w:t>
      </w:r>
      <w:r w:rsidRPr="00132CED">
        <w:rPr>
          <w:rFonts w:cs="Times New Roman"/>
          <w:szCs w:val="20"/>
        </w:rPr>
        <w:t xml:space="preserve"> 94, no. 4 (2003): 631–55; Nadia Abu El-Haj, </w:t>
      </w:r>
      <w:r w:rsidRPr="00132CED">
        <w:rPr>
          <w:rFonts w:cs="Times New Roman"/>
          <w:i/>
          <w:iCs/>
          <w:szCs w:val="20"/>
        </w:rPr>
        <w:t>The Genealogical Science: The Search for Jewish Origins and the Politics of Epistemology</w:t>
      </w:r>
      <w:r w:rsidRPr="00132CED">
        <w:rPr>
          <w:rFonts w:cs="Times New Roman"/>
          <w:szCs w:val="20"/>
        </w:rPr>
        <w:t xml:space="preserve"> (Chicago: University of Chicago Press, 2012), 103–7.</w:t>
      </w:r>
      <w:r w:rsidRPr="00132CED">
        <w:rPr>
          <w:rFonts w:cs="Times New Roman"/>
          <w:szCs w:val="20"/>
        </w:rPr>
        <w:fldChar w:fldCharType="end"/>
      </w:r>
    </w:p>
  </w:footnote>
  <w:footnote w:id="28">
    <w:p w14:paraId="73AD78B7" w14:textId="004C7E54"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{"citationID":"mEcoOopP","properties":{"formattedCitation":"{\\rtf Nurit Kirsh, \\uc0\\u8220{}Genetic Studies of Ethnic Communities in Israel: A Case of Values-Motivated Research Work,\\uc0\\u8221{} {\\i{}Leo Baeck Institute Yearbook} 72 (2007): 192.}","plainCitation":"Nurit Kirsh, “Genetic Studies of Ethnic Communities in Israel: A Case of Values-Motivated Research Work,” Leo Baeck Institute Yearbook 72 (2007): 192."},"citationItems":[{"id":690,"uris":["http://zotero.org/users/1208826/items/KM4ISTDH"],"uri":["http://zotero.org/users/1208826/items/KM4ISTDH"],"itemData":{"id":690,"type":"article-journal","title":"Genetic studies of ethnic communities in Israel: a case of values-motivated research work","container-title":"Leo Baeck Institute Yearbook","page":"181-194","volume":"72","shortTitle":"Genetic studies of ethnic communities in Israel","author":[{"family":"Kirsh","given":"Nurit"}],"issued":{"date-parts":[["2007"]]}},"locator":"192"}],"schema":"https://github.com/citation-style-language/schema/raw/master/csl-citation.json"} </w:instrText>
      </w:r>
      <w:r w:rsidRPr="00132CED">
        <w:rPr>
          <w:rFonts w:cs="Times New Roman"/>
          <w:szCs w:val="20"/>
        </w:rPr>
        <w:fldChar w:fldCharType="separate"/>
      </w:r>
      <w:r w:rsidRPr="00132CED">
        <w:rPr>
          <w:rFonts w:cs="Times New Roman"/>
          <w:szCs w:val="20"/>
        </w:rPr>
        <w:t xml:space="preserve">Nurit Kirsh, “Genetic Studies of Ethnic Communities in Israel: A Case of Values-Motivated Research Work,” </w:t>
      </w:r>
      <w:r w:rsidRPr="00132CED">
        <w:rPr>
          <w:rFonts w:cs="Times New Roman"/>
          <w:i/>
          <w:iCs/>
          <w:szCs w:val="20"/>
        </w:rPr>
        <w:t>Leo Baeck Institute Yearbook</w:t>
      </w:r>
      <w:r w:rsidRPr="00132CED">
        <w:rPr>
          <w:rFonts w:cs="Times New Roman"/>
          <w:szCs w:val="20"/>
        </w:rPr>
        <w:t xml:space="preserve"> 72 (2007)</w:t>
      </w:r>
      <w:r w:rsidR="00824C0B" w:rsidRPr="00132CED">
        <w:rPr>
          <w:rFonts w:cs="Times New Roman"/>
          <w:szCs w:val="20"/>
        </w:rPr>
        <w:t>, 181-194</w:t>
      </w:r>
      <w:r w:rsidRPr="00132CED">
        <w:rPr>
          <w:rFonts w:cs="Times New Roman"/>
          <w:szCs w:val="20"/>
        </w:rPr>
        <w:t>: 192.</w:t>
      </w:r>
      <w:r w:rsidRPr="00132CED">
        <w:rPr>
          <w:rFonts w:cs="Times New Roman"/>
          <w:szCs w:val="20"/>
        </w:rPr>
        <w:fldChar w:fldCharType="end"/>
      </w:r>
    </w:p>
  </w:footnote>
  <w:footnote w:id="29">
    <w:p w14:paraId="65B4FECD" w14:textId="4A4E1648"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{"citationID":"0G7aaqpu","properties":{"formattedCitation":"{\\rtf Dacie, \\uc0\\u8220{}Hermann Lehmann,\\uc0\\u8221{} 407.}","plainCitation":"Dacie, “Hermann Lehmann,” 407."},"citationItems":[{"id":691,"uris":["http://zotero.org/users/1208826/items/ZGQI2VEA"],"uri":["http://zotero.org/users/1208826/items/ZGQI2VEA"],"itemData":{"id":691,"type":"article-journal","title":"Hermann Lehmann, 8 July 1910-13 July 1985","container-title":"Biographical Memoirs of the Fellows of the Royal Society","page":"406-449","volume":"34","shortTitle":"Hermann Lehmann","author":[{"family":"Dacie","given":"John"}],"issued":{"date-parts":[["1988"]]}},"locator":"407"}],"schema":"https://github.com/citation-style-language/schema/raw/master/csl-citation.json"} </w:instrText>
      </w:r>
      <w:r w:rsidRPr="00132CED">
        <w:rPr>
          <w:rFonts w:cs="Times New Roman"/>
          <w:szCs w:val="20"/>
        </w:rPr>
        <w:fldChar w:fldCharType="separate"/>
      </w:r>
      <w:r w:rsidRPr="00132CED">
        <w:rPr>
          <w:rFonts w:cs="Times New Roman"/>
          <w:szCs w:val="20"/>
        </w:rPr>
        <w:t>Dacie, “Hermann Lehmann,” 407.</w:t>
      </w:r>
      <w:r w:rsidRPr="00132CED">
        <w:rPr>
          <w:rFonts w:cs="Times New Roman"/>
          <w:szCs w:val="20"/>
        </w:rPr>
        <w:fldChar w:fldCharType="end"/>
      </w:r>
    </w:p>
  </w:footnote>
  <w:footnote w:id="30">
    <w:p w14:paraId="727BB5B8" w14:textId="7C5FF9BD"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{"citationID":"FYAzkx95","properties":{"formattedCitation":"{\\rtf Fritz Dreyfuss and M. Benyesch, \\uc0\\u8220{}Sickle-Cell Trait in Yemenite Jews,\\uc0\\u8221{} {\\i{}Nature} 167 (1951): 950.}","plainCitation":"Fritz Dreyfuss and M. Benyesch, “Sickle-Cell Trait in Yemenite Jews,” Nature 167 (1951): 950."},"citationItems":[{"id":723,"uris":["http://zotero.org/users/1208826/items/WTUCBMBP"],"uri":["http://zotero.org/users/1208826/items/WTUCBMBP"],"itemData":{"id":723,"type":"article-journal","title":"Sickle-cell trait in Yemenite Jews","container-title":"Nature","page":"950","volume":"167","author":[{"family":"Dreyfuss","given":"Fritz"},{"family":"Benyesch","given":"M."}],"issued":{"date-parts":[["1951"]]}}}],"schema":"https://github.com/citation-style-language/schema/raw/master/csl-citation.json"} </w:instrText>
      </w:r>
      <w:r w:rsidRPr="00132CED">
        <w:rPr>
          <w:rFonts w:cs="Times New Roman"/>
          <w:szCs w:val="20"/>
        </w:rPr>
        <w:fldChar w:fldCharType="separate"/>
      </w:r>
      <w:r w:rsidRPr="00132CED">
        <w:rPr>
          <w:rFonts w:cs="Times New Roman"/>
          <w:szCs w:val="20"/>
        </w:rPr>
        <w:t xml:space="preserve">Fritz Dreyfuss and M. Benyesch, “Sickle-Cell Trait in Yemenite Jews,” </w:t>
      </w:r>
      <w:r w:rsidRPr="00132CED">
        <w:rPr>
          <w:rFonts w:cs="Times New Roman"/>
          <w:i/>
          <w:iCs/>
          <w:szCs w:val="20"/>
        </w:rPr>
        <w:t>Nature</w:t>
      </w:r>
      <w:r w:rsidRPr="00132CED">
        <w:rPr>
          <w:rFonts w:cs="Times New Roman"/>
          <w:szCs w:val="20"/>
        </w:rPr>
        <w:t xml:space="preserve"> 167 (1951): 950.</w:t>
      </w:r>
      <w:r w:rsidRPr="00132CED">
        <w:rPr>
          <w:rFonts w:cs="Times New Roman"/>
          <w:szCs w:val="20"/>
        </w:rPr>
        <w:fldChar w:fldCharType="end"/>
      </w:r>
    </w:p>
  </w:footnote>
  <w:footnote w:id="31">
    <w:p w14:paraId="3D3891F5" w14:textId="08FCB8CE"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See </w:t>
      </w:r>
      <w:r w:rsidRPr="00132CED">
        <w:rPr>
          <w:rFonts w:cs="Times New Roman"/>
          <w:szCs w:val="20"/>
        </w:rPr>
        <w:fldChar w:fldCharType="begin"/>
      </w:r>
      <w:r w:rsidRPr="00132CED">
        <w:rPr>
          <w:rFonts w:cs="Times New Roman"/>
          <w:szCs w:val="20"/>
        </w:rPr>
        <w:instrText xml:space="preserve"> ADDIN ZOTERO_ITEM CSL_CITATION {"citationID":"jl2dwhGz","properties":{"formattedCitation":"{\\rtf Fritz Dreyfuss et al., \\uc0\\u8220{}An Investigation of Blood-Groups and a Search for Sickle-Cell Trait in Yemenite Jews,\\uc0\\u8221{} {\\i{}The Lancet} 260, no. 6743 (1952): 1010\\uc0\\u8211{}12.}","plainCitation":"Fritz Dreyfuss et al., “An Investigation of Blood-Groups and a Search for Sickle-Cell Trait in Yemenite Jews,” The Lancet 260, no. 6743 (1952): 1010–12."},"citationItems":[{"id":715,"uris":["http://zotero.org/users/1208826/items/STWVCCCU"],"uri":["http://zotero.org/users/1208826/items/STWVCCCU"],"itemData":{"id":715,"type":"article-journal","title":"An investigation of blood-groups and a search for sickle-cell trait in Yemenite Jews","container-title":"The Lancet","page":"1010-12","volume":"260","issue":"6743","author":[{"family":"Dreyfuss","given":"Fritz"},{"family":"Ikin","given":"Elizabeth W."},{"family":"Lehmann","given":"Hermann"},{"family":"Mourant","given":"Arthur E."}],"issued":{"date-parts":[["1952"]]}}}],"schema":"https://github.com/citation-style-language/schema/raw/master/csl-citation.json"} </w:instrText>
      </w:r>
      <w:r w:rsidRPr="00132CED">
        <w:rPr>
          <w:rFonts w:cs="Times New Roman"/>
          <w:szCs w:val="20"/>
        </w:rPr>
        <w:fldChar w:fldCharType="separate"/>
      </w:r>
      <w:r w:rsidRPr="00132CED">
        <w:rPr>
          <w:rFonts w:cs="Times New Roman"/>
          <w:szCs w:val="20"/>
        </w:rPr>
        <w:t xml:space="preserve">Fritz Dreyfuss et al., “An Investigation of Blood-Groups and a Search for Sickle-Cell Trait in Yemenite Jews,” </w:t>
      </w:r>
      <w:r w:rsidRPr="00132CED">
        <w:rPr>
          <w:rFonts w:cs="Times New Roman"/>
          <w:i/>
          <w:iCs/>
          <w:szCs w:val="20"/>
        </w:rPr>
        <w:t>The Lancet</w:t>
      </w:r>
      <w:r w:rsidRPr="00132CED">
        <w:rPr>
          <w:rFonts w:cs="Times New Roman"/>
          <w:szCs w:val="20"/>
        </w:rPr>
        <w:t xml:space="preserve"> 260, no. 6743 (1952): 1010–12.</w:t>
      </w:r>
      <w:r w:rsidRPr="00132CED">
        <w:rPr>
          <w:rFonts w:cs="Times New Roman"/>
          <w:szCs w:val="20"/>
        </w:rPr>
        <w:fldChar w:fldCharType="end"/>
      </w:r>
    </w:p>
  </w:footnote>
  <w:footnote w:id="32">
    <w:p w14:paraId="6F905D19" w14:textId="48DECCFB"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{"citationID":"IgpdWTSe","properties":{"formattedCitation":"{\\rtf Batsheva Bonn\\uc0\\u233{}-Tamir, {\\i{}\\uc0\\u7716{}ayim \\uc0\\u699{}im ha-genim: \\uc0\\u7717{}amishim shenot me\\uc0\\u7717{}\\uc0\\u7731{}ar ba-gene\\uc0\\u7789{}i\\uc0\\u7731{}ah shel \\uc0\\u699{}edot Yi\\uc0\\u347{}ra\\uc0\\u700{}el} (Yerushalayim: Karmel, 2010), 22\\uc0\\u8211{}24.}","plainCitation":"Batsheva Bonné-Tamir, Ḥayim ʻim ha-genim: ḥamishim shenot meḥḳar ba-geneṭiḳah shel ʻedot Yiśraʼel (Yerushalayim: Karmel, 2010), 22–24."},"citationItems":[{"id":673,"uris":["http://zotero.org/users/1208826/items/X62GSH2B"],"uri":["http://zotero.org/users/1208826/items/X62GSH2B"],"itemData":{"id":673,"type":"book","title":"Ḥayim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ha-genim","language":"Hebrew","author":[{"family":"Bonné-Tamir","given":"Batsheva"}],"issued":{"date-parts":[["2010"]]}},"locator":"22-24"}],"schema":"https://github.com/citation-style-language/schema/raw/master/csl-citation.json"}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Bonné-Tamir, </w:t>
      </w:r>
      <w:r w:rsidRPr="00132CED">
        <w:rPr>
          <w:rFonts w:cs="Times New Roman"/>
          <w:i/>
          <w:iCs/>
          <w:szCs w:val="20"/>
        </w:rPr>
        <w:t>Ḥayim ʻim ha-genim: ḥamishim shenot meḥḳar ba-geneṭiḳah shel ʻedot Yiśraʼel</w:t>
      </w:r>
      <w:r w:rsidRPr="00132CED">
        <w:rPr>
          <w:rFonts w:cs="Times New Roman"/>
          <w:szCs w:val="20"/>
        </w:rPr>
        <w:t xml:space="preserve"> (Jerusalem: Karmel, 2010), 22–24.</w:t>
      </w:r>
      <w:r w:rsidRPr="00132CED">
        <w:rPr>
          <w:rFonts w:cs="Times New Roman"/>
          <w:szCs w:val="20"/>
        </w:rPr>
        <w:fldChar w:fldCharType="end"/>
      </w:r>
    </w:p>
  </w:footnote>
  <w:footnote w:id="33">
    <w:p w14:paraId="10508D88"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{"citationID":"AFIU3KMk","properties":{"formattedCitation":"{\\rtf Batsheva Bonn\\uc0\\u233{}, \\uc0\\u8220{}The Samaritans: A Demographic Study,\\uc0\\u8221{} {\\i{}Human Biology} 35, no. 1 (1963): 61\\uc0\\u8211{}89.}","plainCitation":"Batsheva Bonné, “The Samaritans: A Demographic Study,” Human Biology 35, no. 1 (1963): 61–89."},"citationItems":[{"id":746,"uris":["http://zotero.org/users/1208826/items/VE4W5U2K"],"uri":["http://zotero.org/users/1208826/items/VE4W5U2K"],"itemData":{"id":746,"type":"article-journal","title":"The Samaritans: a demographic study","container-title":"Human Biology","page":"61-89","volume":"35","issue":"1","author":[{"family":"Bonné","given":"Batsheva"}],"issued":{"date-parts":[["1963"]]}}}],"schema":"https://github.com/citation-style-language/schema/raw/master/csl-citation.json"}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 “The Samaritans: A Demographic Study,” </w:t>
      </w:r>
      <w:r w:rsidRPr="00132CED">
        <w:rPr>
          <w:rFonts w:cs="Times New Roman"/>
          <w:i/>
          <w:iCs/>
          <w:szCs w:val="20"/>
        </w:rPr>
        <w:t>Human Biology</w:t>
      </w:r>
      <w:r w:rsidRPr="00132CED">
        <w:rPr>
          <w:rFonts w:cs="Times New Roman"/>
          <w:szCs w:val="20"/>
        </w:rPr>
        <w:t xml:space="preserve"> 35, no. 1 (1963): 61–89.</w:t>
      </w:r>
      <w:r w:rsidRPr="00132CED">
        <w:rPr>
          <w:rFonts w:cs="Times New Roman"/>
          <w:szCs w:val="20"/>
        </w:rPr>
        <w:fldChar w:fldCharType="end"/>
      </w:r>
    </w:p>
  </w:footnote>
  <w:footnote w:id="34">
    <w:p w14:paraId="7D526136" w14:textId="77777777" w:rsidR="009749CE" w:rsidRPr="00132CED" w:rsidRDefault="009749CE" w:rsidP="00132CED">
      <w:pPr>
        <w:pStyle w:val="FootnoteText"/>
        <w:rPr>
          <w:rFonts w:cs="Times New Roman"/>
          <w:szCs w:val="20"/>
          <w:lang w:val="fr-FR"/>
        </w:rPr>
      </w:pPr>
      <w:r w:rsidRPr="00132CED">
        <w:rPr>
          <w:rStyle w:val="FootnoteReference"/>
          <w:rFonts w:cs="Times New Roman"/>
        </w:rPr>
        <w:footnoteRef/>
      </w:r>
      <w:r w:rsidRPr="00132CED">
        <w:rPr>
          <w:rFonts w:cs="Times New Roman"/>
          <w:szCs w:val="20"/>
          <w:lang w:val="fr-FR"/>
        </w:rPr>
        <w:t xml:space="preserve"> </w:t>
      </w:r>
      <w:r w:rsidRPr="00132CED">
        <w:rPr>
          <w:rFonts w:cs="Times New Roman"/>
          <w:szCs w:val="20"/>
        </w:rPr>
        <w:fldChar w:fldCharType="begin"/>
      </w:r>
      <w:r w:rsidRPr="00132CED">
        <w:rPr>
          <w:rFonts w:cs="Times New Roman"/>
          <w:szCs w:val="20"/>
          <w:lang w:val="fr-FR"/>
        </w:rPr>
        <w:instrText xml:space="preserve"> ADDIN ZOTERO_ITEM CSL_CITATION {"citationID":"GUv2ZM7z","properties":{"formattedCitation":"{\\rtf Bonn\\uc0\\u233{}-Tamir, {\\i{}\\uc0\\u7716{}ayim \\uc0\\u699{}im ha-genim}, 43\\uc0\\u8211{}50.}","plainCitation":"Bonné-Tamir, Ḥayim ʻim ha-genim, 43–50."},"citationItems":[{"id":673,"uris":["http://zotero.org/users/1208826/items/X62GSH2B"],"uri":["http://zotero.org/users/1208826/items/X62GSH2B"],"itemData":{"id":673,"type":"book","title":"Ḥayim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ha-genim","language":"Hebrew","author":[{"family":"Bonné-Tamir","given":"Batsheva"}],"issued":{"date-parts":[["2010"]]}},"locator":"43-50"}],"schema":"https://github.com/citation-style-language/schema/raw/master/csl-citation.json"} </w:instrText>
      </w:r>
      <w:r w:rsidRPr="00132CED">
        <w:rPr>
          <w:rFonts w:cs="Times New Roman"/>
          <w:szCs w:val="20"/>
        </w:rPr>
        <w:fldChar w:fldCharType="separate"/>
      </w:r>
      <w:r w:rsidRPr="00132CED">
        <w:rPr>
          <w:rFonts w:cs="Times New Roman"/>
          <w:szCs w:val="20"/>
          <w:lang w:val="fr-FR"/>
        </w:rPr>
        <w:t xml:space="preserve">Bonné-Tamir, </w:t>
      </w:r>
      <w:r w:rsidRPr="00132CED">
        <w:rPr>
          <w:rFonts w:cs="Times New Roman"/>
          <w:i/>
          <w:iCs/>
          <w:szCs w:val="20"/>
          <w:lang w:val="fr-FR"/>
        </w:rPr>
        <w:t>Ḥayim ʻim ha-genim</w:t>
      </w:r>
      <w:r w:rsidRPr="00132CED">
        <w:rPr>
          <w:rFonts w:cs="Times New Roman"/>
          <w:szCs w:val="20"/>
          <w:lang w:val="fr-FR"/>
        </w:rPr>
        <w:t>, 43–50.</w:t>
      </w:r>
      <w:r w:rsidRPr="00132CED">
        <w:rPr>
          <w:rFonts w:cs="Times New Roman"/>
          <w:szCs w:val="20"/>
        </w:rPr>
        <w:fldChar w:fldCharType="end"/>
      </w:r>
    </w:p>
  </w:footnote>
  <w:footnote w:id="35">
    <w:p w14:paraId="5C684768" w14:textId="68AADB9C"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Mourant to Boyd, November 22, 1962, PP/AEM/K.13, Box 28, Mourant Papers.</w:t>
      </w:r>
      <w:proofErr w:type="gramEnd"/>
    </w:p>
  </w:footnote>
  <w:footnote w:id="36">
    <w:p w14:paraId="2788451D" w14:textId="77777777" w:rsidR="009749CE" w:rsidRPr="00132CED" w:rsidRDefault="009749CE" w:rsidP="00132CED">
      <w:pPr>
        <w:pStyle w:val="FootnoteText"/>
        <w:rPr>
          <w:rFonts w:cs="Times New Roman"/>
          <w:szCs w:val="20"/>
          <w:lang w:val="fr-FR"/>
        </w:rPr>
      </w:pPr>
      <w:r w:rsidRPr="00132CED">
        <w:rPr>
          <w:rStyle w:val="FootnoteReference"/>
          <w:rFonts w:cs="Times New Roman"/>
        </w:rPr>
        <w:footnoteRef/>
      </w:r>
      <w:r w:rsidRPr="00132CED">
        <w:rPr>
          <w:rFonts w:cs="Times New Roman"/>
          <w:szCs w:val="20"/>
          <w:lang w:val="fr-FR"/>
        </w:rPr>
        <w:t xml:space="preserve"> </w:t>
      </w:r>
      <w:r w:rsidRPr="00132CED">
        <w:rPr>
          <w:rFonts w:cs="Times New Roman"/>
          <w:szCs w:val="20"/>
        </w:rPr>
        <w:fldChar w:fldCharType="begin"/>
      </w:r>
      <w:r w:rsidRPr="00132CED">
        <w:rPr>
          <w:rFonts w:cs="Times New Roman"/>
          <w:szCs w:val="20"/>
          <w:lang w:val="fr-FR"/>
        </w:rPr>
        <w:instrText xml:space="preserve"> ADDIN ZOTERO_ITEM CSL_CITATION {"citationID":"ap0YKDPk","properties":{"formattedCitation":"{\\rtf Bonn\\uc0\\u233{}-Tamir, {\\i{}\\uc0\\u7716{}ayim \\uc0\\u699{}im ha-genim}, 50.}","plainCitation":"Bonné-Tamir, Ḥayim ʻim ha-genim, 50."},"citationItems":[{"id":673,"uris":["http://zotero.org/users/1208826/items/X62GSH2B"],"uri":["http://zotero.org/users/1208826/items/X62GSH2B"],"itemData":{"id":673,"type":"book","title":"Ḥayim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ha-genim","language":"Hebrew","author":[{"family":"Bonné-Tamir","given":"Batsheva"}],"issued":{"date-parts":[["2010"]]}},"locator":"50"}],"schema":"https://github.com/citation-style-language/schema/raw/master/csl-citation.json"} </w:instrText>
      </w:r>
      <w:r w:rsidRPr="00132CED">
        <w:rPr>
          <w:rFonts w:cs="Times New Roman"/>
          <w:szCs w:val="20"/>
        </w:rPr>
        <w:fldChar w:fldCharType="separate"/>
      </w:r>
      <w:r w:rsidRPr="00132CED">
        <w:rPr>
          <w:rFonts w:cs="Times New Roman"/>
          <w:szCs w:val="20"/>
          <w:lang w:val="fr-FR"/>
        </w:rPr>
        <w:t xml:space="preserve">Bonné-Tamir, </w:t>
      </w:r>
      <w:r w:rsidRPr="00132CED">
        <w:rPr>
          <w:rFonts w:cs="Times New Roman"/>
          <w:i/>
          <w:iCs/>
          <w:szCs w:val="20"/>
          <w:lang w:val="fr-FR"/>
        </w:rPr>
        <w:t>Ḥayim ʻim ha-genim</w:t>
      </w:r>
      <w:r w:rsidRPr="00132CED">
        <w:rPr>
          <w:rFonts w:cs="Times New Roman"/>
          <w:szCs w:val="20"/>
          <w:lang w:val="fr-FR"/>
        </w:rPr>
        <w:t>, 50.</w:t>
      </w:r>
      <w:r w:rsidRPr="00132CED">
        <w:rPr>
          <w:rFonts w:cs="Times New Roman"/>
          <w:szCs w:val="20"/>
        </w:rPr>
        <w:fldChar w:fldCharType="end"/>
      </w:r>
    </w:p>
  </w:footnote>
  <w:footnote w:id="37">
    <w:p w14:paraId="31D02554" w14:textId="3DA29A3B"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February 19, 1963, PP/AEM/K.8, Box 28, Mourant Papers.</w:t>
      </w:r>
      <w:proofErr w:type="gramEnd"/>
      <w:r w:rsidRPr="00132CED">
        <w:rPr>
          <w:rFonts w:cs="Times New Roman"/>
          <w:szCs w:val="20"/>
        </w:rPr>
        <w:t xml:space="preserve"> Mourant, for his part, was nonplussed by the Samaritans’ behavior, writing to Leslie Dunn of the incident, “Unfortunately we came up against social and psychological factors which we did not understand, and work came to a full stop” (September 27, 1963, PP/AEM/K.21, Box 29).</w:t>
      </w:r>
    </w:p>
  </w:footnote>
  <w:footnote w:id="38">
    <w:p w14:paraId="1934DF69"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{"citationID":"3Nx1Ok3g","properties":{"formattedCitation":"{\\rtf Bonn\\uc0\\u233{}-Tamir, {\\i{}\\uc0\\u7716{}ayim \\uc0\\u699{}im ha-genim}, 55.}","plainCitation":"Bonné-Tamir, Ḥayim ʻim ha-genim, 55."},"citationItems":[{"id":673,"uris":["http://zotero.org/users/1208826/items/X62GSH2B"],"uri":["http://zotero.org/users/1208826/items/X62GSH2B"],"itemData":{"id":673,"type":"book","title":"Ḥayim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ha-genim","language":"Hebrew","author":[{"family":"Bonné-Tamir","given":"Batsheva"}],"issued":{"date-parts":[["2010"]]}},"locator":"55"}],"schema":"https://github.com/citation-style-language/schema/raw/master/csl-citation.json"} </w:instrText>
      </w:r>
      <w:r w:rsidRPr="00132CED">
        <w:rPr>
          <w:rFonts w:cs="Times New Roman"/>
          <w:szCs w:val="20"/>
        </w:rPr>
        <w:fldChar w:fldCharType="separate"/>
      </w:r>
      <w:r w:rsidRPr="00132CED">
        <w:rPr>
          <w:rFonts w:cs="Times New Roman"/>
          <w:szCs w:val="20"/>
        </w:rPr>
        <w:t xml:space="preserve">Bonné-Tamir, </w:t>
      </w:r>
      <w:r w:rsidRPr="00132CED">
        <w:rPr>
          <w:rFonts w:cs="Times New Roman"/>
          <w:i/>
          <w:iCs/>
          <w:szCs w:val="20"/>
        </w:rPr>
        <w:t>Ḥayim ʻim ha-genim</w:t>
      </w:r>
      <w:r w:rsidRPr="00132CED">
        <w:rPr>
          <w:rFonts w:cs="Times New Roman"/>
          <w:szCs w:val="20"/>
        </w:rPr>
        <w:t>, 55.</w:t>
      </w:r>
      <w:r w:rsidRPr="00132CED">
        <w:rPr>
          <w:rFonts w:cs="Times New Roman"/>
          <w:szCs w:val="20"/>
        </w:rPr>
        <w:fldChar w:fldCharType="end"/>
      </w:r>
    </w:p>
  </w:footnote>
  <w:footnote w:id="39">
    <w:p w14:paraId="1C6B7518" w14:textId="12C269D6"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December 3, 1963, PP/AEM/K.8, Box 28, Mourant Papers.</w:t>
      </w:r>
      <w:proofErr w:type="gramEnd"/>
    </w:p>
  </w:footnote>
  <w:footnote w:id="40">
    <w:p w14:paraId="6177EB2A" w14:textId="3B32DBD3"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October 10, 1963, PP/AEM/K.8, Box 28, Mourant Papers.</w:t>
      </w:r>
      <w:proofErr w:type="gramEnd"/>
    </w:p>
  </w:footnote>
  <w:footnote w:id="41">
    <w:p w14:paraId="5085951B" w14:textId="1197147D"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{"citationID":"LXQZc6XS","properties":{"formattedCitation":"{\\rtf Batsheva Bonn\\uc0\\u233{}, \\uc0\\u8220{}Genes and Phenotypes in the Samaritan Isolate,\\uc0\\u8221{} {\\i{}American Journal of Physical Anthropology} 24, no. 1 (1966): 17.}","plainCitation":"Batsheva Bonné, “Genes and Phenotypes in the Samaritan Isolate,” American Journal of Physical Anthropology 24, no. 1 (1966): 17."},"citationItems":[{"id":747,"uris":["http://zotero.org/users/1208826/items/WHT884HT"],"uri":["http://zotero.org/users/1208826/items/WHT884HT"],"itemData":{"id":747,"type":"article-journal","title":"Genes and phenotypes in the Samaritan isolate","container-title":"American Journal of Physical Anthropology","page":"1-19","volume":"24","issue":"1","author":[{"family":"Bonné","given":"Batsheva"}],"issued":{"date-parts":[["1966"]]}},"locator":"17"}],"schema":"https://github.com/citation-style-language/schema/raw/master/csl-citation.json"}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 “Genes and Phenotypes in the Samaritan Isolate,” </w:t>
      </w:r>
      <w:r w:rsidRPr="00132CED">
        <w:rPr>
          <w:rFonts w:cs="Times New Roman"/>
          <w:i/>
          <w:iCs/>
          <w:szCs w:val="20"/>
        </w:rPr>
        <w:t>American Journal of Physical Anthropology</w:t>
      </w:r>
      <w:r w:rsidRPr="00132CED">
        <w:rPr>
          <w:rFonts w:cs="Times New Roman"/>
          <w:szCs w:val="20"/>
        </w:rPr>
        <w:t xml:space="preserve"> 24, no. 1 (1966)</w:t>
      </w:r>
      <w:r w:rsidR="00824C0B" w:rsidRPr="00132CED">
        <w:rPr>
          <w:rFonts w:cs="Times New Roman"/>
          <w:szCs w:val="20"/>
        </w:rPr>
        <w:t>, 1-19</w:t>
      </w:r>
      <w:r w:rsidRPr="00132CED">
        <w:rPr>
          <w:rFonts w:cs="Times New Roman"/>
          <w:szCs w:val="20"/>
        </w:rPr>
        <w:t>: 17.</w:t>
      </w:r>
      <w:r w:rsidRPr="00132CED">
        <w:rPr>
          <w:rFonts w:cs="Times New Roman"/>
          <w:szCs w:val="20"/>
        </w:rPr>
        <w:fldChar w:fldCharType="end"/>
      </w:r>
    </w:p>
  </w:footnote>
  <w:footnote w:id="42">
    <w:p w14:paraId="2FB60766" w14:textId="77777777" w:rsidR="009749CE" w:rsidRPr="00132CED" w:rsidRDefault="009749CE" w:rsidP="00132CED">
      <w:pPr>
        <w:pStyle w:val="FootnoteText"/>
        <w:rPr>
          <w:rFonts w:cs="Times New Roman"/>
          <w:szCs w:val="20"/>
          <w:lang w:val="fr-FR"/>
        </w:rPr>
      </w:pPr>
      <w:r w:rsidRPr="00132CED">
        <w:rPr>
          <w:rStyle w:val="FootnoteReference"/>
          <w:rFonts w:cs="Times New Roman"/>
        </w:rPr>
        <w:footnoteRef/>
      </w:r>
      <w:r w:rsidRPr="00132CED">
        <w:rPr>
          <w:rFonts w:cs="Times New Roman"/>
          <w:szCs w:val="20"/>
          <w:lang w:val="fr-FR"/>
        </w:rPr>
        <w:t xml:space="preserve"> </w:t>
      </w:r>
      <w:r w:rsidRPr="00132CED">
        <w:rPr>
          <w:rFonts w:cs="Times New Roman"/>
          <w:szCs w:val="20"/>
        </w:rPr>
        <w:fldChar w:fldCharType="begin"/>
      </w:r>
      <w:r w:rsidRPr="00132CED">
        <w:rPr>
          <w:rFonts w:cs="Times New Roman"/>
          <w:szCs w:val="20"/>
          <w:lang w:val="fr-FR"/>
        </w:rPr>
        <w:instrText xml:space="preserve"> ADDIN ZOTERO_ITEM CSL_CITATION {"citationID":"rYoLbrQm","properties":{"formattedCitation":"{\\rtf Bonn\\uc0\\u233{}-Tamir, {\\i{}\\uc0\\u7716{}ayim \\uc0\\u699{}im ha-genim}, 56.}","plainCitation":"Bonné-Tamir, Ḥayim ʻim ha-genim, 56."},"citationItems":[{"id":673,"uris":["http://zotero.org/users/1208826/items/X62GSH2B"],"uri":["http://zotero.org/users/1208826/items/X62GSH2B"],"itemData":{"id":673,"type":"book","title":"Ḥayim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ha-genim","language":"Hebrew","author":[{"family":"Bonné-Tamir","given":"Batsheva"}],"issued":{"date-parts":[["2010"]]}},"locator":"56"}],"schema":"https://github.com/citation-style-language/schema/raw/master/csl-citation.json"} </w:instrText>
      </w:r>
      <w:r w:rsidRPr="00132CED">
        <w:rPr>
          <w:rFonts w:cs="Times New Roman"/>
          <w:szCs w:val="20"/>
        </w:rPr>
        <w:fldChar w:fldCharType="separate"/>
      </w:r>
      <w:r w:rsidRPr="00132CED">
        <w:rPr>
          <w:rFonts w:cs="Times New Roman"/>
          <w:szCs w:val="20"/>
          <w:lang w:val="fr-FR"/>
        </w:rPr>
        <w:t xml:space="preserve">Bonné-Tamir, </w:t>
      </w:r>
      <w:r w:rsidRPr="00132CED">
        <w:rPr>
          <w:rFonts w:cs="Times New Roman"/>
          <w:i/>
          <w:iCs/>
          <w:szCs w:val="20"/>
          <w:lang w:val="fr-FR"/>
        </w:rPr>
        <w:t>Ḥayim ʻim ha-genim</w:t>
      </w:r>
      <w:r w:rsidRPr="00132CED">
        <w:rPr>
          <w:rFonts w:cs="Times New Roman"/>
          <w:szCs w:val="20"/>
          <w:lang w:val="fr-FR"/>
        </w:rPr>
        <w:t>, 56.</w:t>
      </w:r>
      <w:r w:rsidRPr="00132CED">
        <w:rPr>
          <w:rFonts w:cs="Times New Roman"/>
          <w:szCs w:val="20"/>
        </w:rPr>
        <w:fldChar w:fldCharType="end"/>
      </w:r>
    </w:p>
  </w:footnote>
  <w:footnote w:id="43">
    <w:p w14:paraId="75469EAE" w14:textId="7C9E17AB"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December 3, 1963, PP/AEM/K.8, Box 28, Mourant Papers.</w:t>
      </w:r>
      <w:proofErr w:type="gramEnd"/>
    </w:p>
  </w:footnote>
  <w:footnote w:id="44">
    <w:p w14:paraId="3142761E" w14:textId="77777777" w:rsidR="009749CE" w:rsidRPr="00132CED" w:rsidRDefault="009749CE" w:rsidP="00132CED">
      <w:pPr>
        <w:pStyle w:val="FootnoteText"/>
        <w:rPr>
          <w:rFonts w:cs="Times New Roman"/>
          <w:szCs w:val="20"/>
          <w:lang w:val="fr-FR"/>
        </w:rPr>
      </w:pPr>
      <w:r w:rsidRPr="00132CED">
        <w:rPr>
          <w:rStyle w:val="FootnoteReference"/>
          <w:rFonts w:cs="Times New Roman"/>
        </w:rPr>
        <w:footnoteRef/>
      </w:r>
      <w:r w:rsidRPr="00132CED">
        <w:rPr>
          <w:rFonts w:cs="Times New Roman"/>
          <w:szCs w:val="20"/>
          <w:lang w:val="fr-FR"/>
        </w:rPr>
        <w:t xml:space="preserve"> </w:t>
      </w:r>
      <w:r w:rsidRPr="00132CED">
        <w:rPr>
          <w:rFonts w:cs="Times New Roman"/>
          <w:szCs w:val="20"/>
        </w:rPr>
        <w:fldChar w:fldCharType="begin"/>
      </w:r>
      <w:r w:rsidRPr="00132CED">
        <w:rPr>
          <w:rFonts w:cs="Times New Roman"/>
          <w:szCs w:val="20"/>
          <w:lang w:val="fr-FR"/>
        </w:rPr>
        <w:instrText xml:space="preserve"> ADDIN ZOTERO_ITEM CSL_CITATION {"citationID":"D8SFYZoG","properties":{"formattedCitation":"{\\rtf Bonn\\uc0\\u233{}-Tamir, {\\i{}\\uc0\\u7716{}ayim \\uc0\\u699{}im ha-genim}, 64.}","plainCitation":"Bonné-Tamir, Ḥayim ʻim ha-genim, 64."},"citationItems":[{"id":673,"uris":["http://zotero.org/users/1208826/items/X62GSH2B"],"uri":["http://zotero.org/users/1208826/items/X62GSH2B"],"itemData":{"id":673,"type":"book","title":"Ḥayim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ha-genim","language":"Hebrew","author":[{"family":"Bonné-Tamir","given":"Batsheva"}],"issued":{"date-parts":[["2010"]]}},"locator":"64"}],"schema":"https://github.com/citation-style-language/schema/raw/master/csl-citation.json"} </w:instrText>
      </w:r>
      <w:r w:rsidRPr="00132CED">
        <w:rPr>
          <w:rFonts w:cs="Times New Roman"/>
          <w:szCs w:val="20"/>
        </w:rPr>
        <w:fldChar w:fldCharType="separate"/>
      </w:r>
      <w:r w:rsidRPr="00132CED">
        <w:rPr>
          <w:rFonts w:cs="Times New Roman"/>
          <w:szCs w:val="20"/>
          <w:lang w:val="fr-FR"/>
        </w:rPr>
        <w:t xml:space="preserve">Bonné-Tamir, </w:t>
      </w:r>
      <w:r w:rsidRPr="00132CED">
        <w:rPr>
          <w:rFonts w:cs="Times New Roman"/>
          <w:i/>
          <w:iCs/>
          <w:szCs w:val="20"/>
          <w:lang w:val="fr-FR"/>
        </w:rPr>
        <w:t>Ḥayim ʻim ha-genim</w:t>
      </w:r>
      <w:r w:rsidRPr="00132CED">
        <w:rPr>
          <w:rFonts w:cs="Times New Roman"/>
          <w:szCs w:val="20"/>
          <w:lang w:val="fr-FR"/>
        </w:rPr>
        <w:t>, 64.</w:t>
      </w:r>
      <w:r w:rsidRPr="00132CED">
        <w:rPr>
          <w:rFonts w:cs="Times New Roman"/>
          <w:szCs w:val="20"/>
        </w:rPr>
        <w:fldChar w:fldCharType="end"/>
      </w:r>
    </w:p>
  </w:footnote>
  <w:footnote w:id="45">
    <w:p w14:paraId="5DBA2EF2" w14:textId="68FA138E"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Mourant to Bonné, June 26, 1967, PP/AEM/K.10, Box 28, Mourant Papers.</w:t>
      </w:r>
      <w:proofErr w:type="gramEnd"/>
    </w:p>
  </w:footnote>
  <w:footnote w:id="46">
    <w:p w14:paraId="4AA7CFC8" w14:textId="464C6FC5"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Mourant to Bonné, August 11, 1967, PP/AEM/K.10, Box 28, Mourant Papers.</w:t>
      </w:r>
      <w:proofErr w:type="gramEnd"/>
    </w:p>
  </w:footnote>
  <w:footnote w:id="47">
    <w:p w14:paraId="22DB0BA4" w14:textId="3F1C571C"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February 15, 1966, PP/AEM/K.9, Box 28, Mourant Papers.</w:t>
      </w:r>
      <w:proofErr w:type="gramEnd"/>
    </w:p>
  </w:footnote>
  <w:footnote w:id="48">
    <w:p w14:paraId="485A6034" w14:textId="655F0678"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April 17, 1969, PP/AEM/K.11, Box 28, Mourant Papers.</w:t>
      </w:r>
      <w:proofErr w:type="gramEnd"/>
      <w:r w:rsidRPr="00132CED">
        <w:rPr>
          <w:rFonts w:cs="Times New Roman"/>
          <w:szCs w:val="20"/>
        </w:rPr>
        <w:t xml:space="preserve"> Emphasis original.</w:t>
      </w:r>
    </w:p>
  </w:footnote>
  <w:footnote w:id="49">
    <w:p w14:paraId="48E81842" w14:textId="77777777"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{"citationID":"9cc0OzZM","properties":{"formattedCitation":"{\\rtf Mukharji, \\uc0\\u8220{}From Serosocial to Sanguinary Identities.\\uc0\\u8221{}}","plainCitation":"Mukharji, “From Serosocial to Sanguinary Identities.”"},"citationItems":[{"id":502,"uris":["http://zotero.org/users/1208826/items/TUADNQXN"],"uri":["http://zotero.org/users/1208826/items/TUADNQXN"],"itemData":{"id":502,"type":"article-journal","title":"From serosocial to sanguinary identities: Caste, transnational race science and the shifting metonymies of blood group B, India c. 1918-1960","container-title":"Indian Economic &amp; Social History Review","page":"143-176","volume":"51","issue":"2","source":"CrossRef","DOI":"10.1177/0019464614525711","ISSN":"0019-4646, 0973-0893","shortTitle":"From serosocial to sanguinary identities","language":"en","author":[{"family":"Mukharji","given":"Projit B."}],"issued":{"date-parts":[["2014"]]}}}],"schema":"https://github.com/citation-style-language/schema/raw/master/csl-citation.json"} </w:instrText>
      </w:r>
      <w:r w:rsidRPr="00132CED">
        <w:rPr>
          <w:rFonts w:cs="Times New Roman"/>
          <w:szCs w:val="20"/>
        </w:rPr>
        <w:fldChar w:fldCharType="separate"/>
      </w:r>
      <w:r w:rsidRPr="00132CED">
        <w:rPr>
          <w:rFonts w:cs="Times New Roman"/>
          <w:szCs w:val="20"/>
        </w:rPr>
        <w:t>Mukharji, “From Serosocial to Sanguinary Identities.”</w:t>
      </w:r>
      <w:r w:rsidRPr="00132CED">
        <w:rPr>
          <w:rFonts w:cs="Times New Roman"/>
          <w:szCs w:val="20"/>
        </w:rPr>
        <w:fldChar w:fldCharType="end"/>
      </w:r>
    </w:p>
  </w:footnote>
  <w:footnote w:id="50">
    <w:p w14:paraId="2BD00CC8" w14:textId="56B651D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“I should be extremely grateful if you would have a word, even if only on the phone, with Sheba, to try to break the deadlock about collaboration with Bonné. We have some extremely important results which we cannot publish until things are cleared up.” </w:t>
      </w:r>
      <w:proofErr w:type="gramStart"/>
      <w:r w:rsidRPr="00132CED">
        <w:rPr>
          <w:rFonts w:cs="Times New Roman"/>
          <w:szCs w:val="20"/>
        </w:rPr>
        <w:t>Mourant to Lehmann, August 3, 1969, PP/AEM/K.336, Box 41, Mourant Papers.</w:t>
      </w:r>
      <w:proofErr w:type="gramEnd"/>
      <w:r w:rsidRPr="00132CED">
        <w:rPr>
          <w:rFonts w:cs="Times New Roman"/>
          <w:szCs w:val="20"/>
        </w:rPr>
        <w:t xml:space="preserve"> He clarified in a further letter to Lehmann (August 4, 1969), “I am particularly anxious to maintain good relations with Sheba himself and all those colleagues such as Adam, Szeinberg etc with whom we have worked in harmony before. I also want to be on good terms with Batsheva but she is, as you know, a very difficult personality although a brilliant and charming woman.”</w:t>
      </w:r>
    </w:p>
  </w:footnote>
  <w:footnote w:id="51">
    <w:p w14:paraId="4E298B9F" w14:textId="29254AE0"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 Hauge, April 28, 1970, PP/AEM/K.12, Box 28, Mourant Papers.</w:t>
      </w:r>
      <w:proofErr w:type="gramEnd"/>
    </w:p>
  </w:footnote>
  <w:footnote w:id="52">
    <w:p w14:paraId="26CDE4CD" w14:textId="3BF39AAD"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April 29, 1970, PP/AEM/K.12, Box 28, Mourant Papers.</w:t>
      </w:r>
      <w:proofErr w:type="gramEnd"/>
    </w:p>
  </w:footnote>
  <w:footnote w:id="53">
    <w:p w14:paraId="4348841B" w14:textId="0846E7A6"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lang w:val="tr-TR"/>
        </w:rPr>
        <w:t xml:space="preserve">Tills to Bonné, May 5, 1970, </w:t>
      </w:r>
      <w:r w:rsidRPr="00132CED">
        <w:rPr>
          <w:rFonts w:cs="Times New Roman"/>
          <w:szCs w:val="20"/>
        </w:rPr>
        <w:t>PP/AEM/K.12, Box 28, Mourant Papers. Emphasis mine.</w:t>
      </w:r>
    </w:p>
  </w:footnote>
  <w:footnote w:id="54">
    <w:p w14:paraId="053F5546" w14:textId="7A8E608B"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lang w:val="tr-TR"/>
        </w:rPr>
        <w:t>Ibid.</w:t>
      </w:r>
    </w:p>
  </w:footnote>
  <w:footnote w:id="55">
    <w:p w14:paraId="2ADE3FB6"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See </w:t>
      </w:r>
      <w:r w:rsidRPr="00132CED">
        <w:rPr>
          <w:rFonts w:cs="Times New Roman"/>
          <w:szCs w:val="20"/>
        </w:rPr>
        <w:fldChar w:fldCharType="begin"/>
      </w:r>
      <w:r w:rsidRPr="00132CED">
        <w:rPr>
          <w:rFonts w:cs="Times New Roman"/>
          <w:szCs w:val="20"/>
        </w:rPr>
        <w:instrText xml:space="preserve"> ADDIN ZOTERO_ITEM CSL_CITATION {"citationID":"WWz7c3LN","properties":{"formattedCitation":"{\\rtf Batsheva Bonn\\uc0\\u233{} et al., \\uc0\\u8220{}The Habbanite Isolate I. Genetic Markers in the Blood,\\uc0\\u8221{} {\\i{}Human Heredity} 20, no. 6 (1970): 609\\uc0\\u8211{}22; Batsheva Bonn\\uc0\\u233{} et al., \\uc0\\u8220{}South-Sinai Beduin: A Preliminary Report on Their Inherited Blood Factors,\\uc0\\u8221{} {\\i{}American Journal of Physical Anthropology} 34, no. 3 (1971): 397\\uc0\\u8211{}408.}","plainCitation":"Batsheva Bonné et al., “The Habbanite Isolate I. Genetic Markers in the Blood,” Human Heredity 20, no. 6 (1970): 609–22; Batsheva Bonné et al., “South-Sinai Beduin: A Preliminary Report on Their Inherited Blood Factors,” American Journal of Physical Anthropology 34, no. 3 (1971): 397–408."},"citationItems":[{"id":750,"uris":["http://zotero.org/users/1208826/items/XDFJMDJA"],"uri":["http://zotero.org/users/1208826/items/XDFJMDJA"],"itemData":{"id":750,"type":"article-journal","title":"The Habbanite isolate I. Genetic markers in the blood","container-title":"Human Heredity","page":"609-22","volume":"20","issue":"6","author":[{"family":"Bonné","given":"Batsheva"},{"family":"Ashbel","given":"Sara"},{"family":"Modai","given":"M."},{"family":"Godber","given":"M. J."},{"family":"Mourant","given":"Arthur E."},{"family":"Tills","given":"D."},{"family":"Woodhead","given":"B. G."}],"issued":{"date-parts":[["1970"]]}}},{"id":770,"uris":["http://zotero.org/users/1208826/items/GA8KTRWD"],"uri":["http://zotero.org/users/1208826/items/GA8KTRWD"],"itemData":{"id":770,"type":"article-journal","title":"South-Sinai Beduin: a preliminary report on their inherited blood factors","container-title":"American Journal of Physical Anthropology","page":"397-408","volume":"34","issue":"3","author":[{"family":"Bonné","given":"Batsheva"},{"family":"Godber","given":"Marilyn"},{"family":"Ashbel","given":"Sarah"},{"family":"Mourant","given":"Arthur E."},{"family":"Tills","given":"Donald"}],"issued":{"date-parts":[["1971"]]}}}],"schema":"https://github.com/citation-style-language/schema/raw/master/csl-citation.json"}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 et al., “The Habbanite Isolate I. Genetic Markers in the Blood,” </w:t>
      </w:r>
      <w:r w:rsidRPr="00132CED">
        <w:rPr>
          <w:rFonts w:cs="Times New Roman"/>
          <w:i/>
          <w:iCs/>
          <w:szCs w:val="20"/>
        </w:rPr>
        <w:t>Human Heredity</w:t>
      </w:r>
      <w:r w:rsidRPr="00132CED">
        <w:rPr>
          <w:rFonts w:cs="Times New Roman"/>
          <w:szCs w:val="20"/>
        </w:rPr>
        <w:t xml:space="preserve"> 20, no. 6 (1970): 609–22; Batsheva Bonné et al., “South-Sinai Beduin: A Preliminary Report on Their Inherited Blood Factors,” </w:t>
      </w:r>
      <w:r w:rsidRPr="00132CED">
        <w:rPr>
          <w:rFonts w:cs="Times New Roman"/>
          <w:i/>
          <w:iCs/>
          <w:szCs w:val="20"/>
        </w:rPr>
        <w:t>American Journal of Physical Anthropology</w:t>
      </w:r>
      <w:r w:rsidRPr="00132CED">
        <w:rPr>
          <w:rFonts w:cs="Times New Roman"/>
          <w:szCs w:val="20"/>
        </w:rPr>
        <w:t xml:space="preserve"> 34, no. 3 (1971): 397–408.</w:t>
      </w:r>
      <w:r w:rsidRPr="00132CED">
        <w:rPr>
          <w:rFonts w:cs="Times New Roman"/>
          <w:szCs w:val="20"/>
        </w:rPr>
        <w:fldChar w:fldCharType="end"/>
      </w:r>
    </w:p>
  </w:footnote>
  <w:footnote w:id="56">
    <w:p w14:paraId="2B3EE0A4" w14:textId="43E6F4C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Bonné to Mourant, May 26, 1970, PP/AEM/K.12, Box 28, Mourant Papers.</w:t>
      </w:r>
      <w:proofErr w:type="gramEnd"/>
      <w:r w:rsidRPr="00132CED">
        <w:rPr>
          <w:rFonts w:cs="Times New Roman"/>
          <w:szCs w:val="20"/>
        </w:rPr>
        <w:t xml:space="preserve"> Emphasis original.</w:t>
      </w:r>
    </w:p>
  </w:footnote>
  <w:footnote w:id="57">
    <w:p w14:paraId="7804A478" w14:textId="1A16DD6C" w:rsidR="009749CE" w:rsidRPr="00132CED" w:rsidRDefault="009749CE" w:rsidP="00132CED">
      <w:pPr>
        <w:pStyle w:val="FootnoteText"/>
        <w:rPr>
          <w:rFonts w:cs="Times New Roman"/>
          <w:szCs w:val="20"/>
          <w:lang w:val="tr-TR"/>
        </w:rPr>
      </w:pPr>
      <w:r w:rsidRPr="00132CED">
        <w:rPr>
          <w:rStyle w:val="FootnoteReference"/>
          <w:rFonts w:cs="Times New Roman"/>
        </w:rPr>
        <w:footnoteRef/>
      </w:r>
      <w:r w:rsidRPr="00132CED">
        <w:rPr>
          <w:rFonts w:cs="Times New Roman"/>
          <w:szCs w:val="20"/>
        </w:rPr>
        <w:t xml:space="preserve"> </w:t>
      </w:r>
      <w:r w:rsidRPr="00132CED">
        <w:rPr>
          <w:rFonts w:cs="Times New Roman"/>
          <w:szCs w:val="20"/>
          <w:lang w:val="tr-TR"/>
        </w:rPr>
        <w:t xml:space="preserve">Tills to Bonné, May 5, 1970, </w:t>
      </w:r>
      <w:r w:rsidRPr="00132CED">
        <w:rPr>
          <w:rFonts w:cs="Times New Roman"/>
          <w:szCs w:val="20"/>
        </w:rPr>
        <w:t>PP/AEM/K.12, Box 28, Mourant Papers.</w:t>
      </w:r>
    </w:p>
  </w:footnote>
  <w:footnote w:id="58">
    <w:p w14:paraId="4B0E2B2D"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Oral History Interview with James Bowman, 26th-28th of </w:t>
      </w:r>
      <w:proofErr w:type="gramStart"/>
      <w:r w:rsidRPr="00132CED">
        <w:rPr>
          <w:rFonts w:cs="Times New Roman"/>
          <w:szCs w:val="20"/>
        </w:rPr>
        <w:t>June,</w:t>
      </w:r>
      <w:proofErr w:type="gramEnd"/>
      <w:r w:rsidRPr="00132CED">
        <w:rPr>
          <w:rFonts w:cs="Times New Roman"/>
          <w:szCs w:val="20"/>
        </w:rPr>
        <w:t xml:space="preserve"> 2006, Oral History of Human Genetics Collection (Ms. Coll. no. 316), History &amp; Special Collections Division, Louise M. Darling Biomedical Library, UCLA. Hereafter “Bowman oral </w:t>
      </w:r>
      <w:proofErr w:type="gramStart"/>
      <w:r w:rsidRPr="00132CED">
        <w:rPr>
          <w:rFonts w:cs="Times New Roman"/>
          <w:szCs w:val="20"/>
        </w:rPr>
        <w:t>history interview</w:t>
      </w:r>
      <w:proofErr w:type="gramEnd"/>
      <w:r w:rsidRPr="00132CED">
        <w:rPr>
          <w:rFonts w:cs="Times New Roman"/>
          <w:szCs w:val="20"/>
        </w:rPr>
        <w:t>, 2006.”</w:t>
      </w:r>
    </w:p>
  </w:footnote>
  <w:footnote w:id="59">
    <w:p w14:paraId="799B3D67" w14:textId="4F3901D5"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{"citationID":"lIaJ9un2","properties":{"formattedCitation":"{\\rtf Deryck G. Walker and James E. Bowman, \\uc0\\u8220{}Glutathione Stability of the Erythrocytes of Iranians,\\uc0\\u8221{} {\\i{}Nature} 184, no. 4695 (1959): 1325.}","plainCitation":"Deryck G. Walker and James E. Bowman, “Glutathione Stability of the Erythrocytes of Iranians,” Nature 184, no. 4695 (1959): 1325."},"citationItems":[{"id":646,"uris":["http://zotero.org/users/1208826/items/PEN7G78G"],"uri":["http://zotero.org/users/1208826/items/PEN7G78G"],"itemData":{"id":646,"type":"article-journal","title":"Glutathione stability of the erythrocytes of Iranians","container-title":"Nature","page":"1325","volume":"184","issue":"4695","author":[{"family":"Walker","given":"Deryck G."},{"family":"Bowman","given":"James E."}],"issued":{"date-parts":[["1959"]]}},"locator":"1325"}],"schema":"https://github.com/citation-style-language/schema/raw/master/csl-citation.json"} </w:instrText>
      </w:r>
      <w:r w:rsidRPr="00132CED">
        <w:rPr>
          <w:rFonts w:cs="Times New Roman"/>
          <w:szCs w:val="20"/>
        </w:rPr>
        <w:fldChar w:fldCharType="separate"/>
      </w:r>
      <w:r w:rsidRPr="00132CED">
        <w:rPr>
          <w:rFonts w:cs="Times New Roman"/>
          <w:szCs w:val="20"/>
        </w:rPr>
        <w:t xml:space="preserve">Deryck G. Walker and James E. Bowman, “Glutathione Stability of the Erythrocytes of Iranians,” </w:t>
      </w:r>
      <w:r w:rsidRPr="00132CED">
        <w:rPr>
          <w:rFonts w:cs="Times New Roman"/>
          <w:i/>
          <w:iCs/>
          <w:szCs w:val="20"/>
        </w:rPr>
        <w:t>Nature</w:t>
      </w:r>
      <w:r w:rsidRPr="00132CED">
        <w:rPr>
          <w:rFonts w:cs="Times New Roman"/>
          <w:szCs w:val="20"/>
        </w:rPr>
        <w:t xml:space="preserve"> 184, no. 4695 (1959): 1325.</w:t>
      </w:r>
      <w:r w:rsidRPr="00132CED">
        <w:rPr>
          <w:rFonts w:cs="Times New Roman"/>
          <w:szCs w:val="20"/>
        </w:rPr>
        <w:fldChar w:fldCharType="end"/>
      </w:r>
    </w:p>
  </w:footnote>
  <w:footnote w:id="60">
    <w:p w14:paraId="538F9360"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Bowman oral history interview, 2006.</w:t>
      </w:r>
      <w:proofErr w:type="gramEnd"/>
    </w:p>
  </w:footnote>
  <w:footnote w:id="61">
    <w:p w14:paraId="4615A690" w14:textId="5E8AA6E4"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{"citationID":"OjXdVSmZ","properties":{"formattedCitation":"{\\rtf James E. Bowman and Deryck G. Walker, \\uc0\\u8220{}Virtual Absence of Glutathione Instability of the Erythrocytes among Armenians in Iran,\\uc0\\u8221{} {\\i{}Nature} 191, no. 4785 (1961): 222.}","plainCitation":"James E. Bowman and Deryck G. Walker, “Virtual Absence of Glutathione Instability of the Erythrocytes among Armenians in Iran,” Nature 191, no. 4785 (1961): 222."},"citationItems":[{"id":647,"uris":["http://zotero.org/users/1208826/items/M6BDIC5J"],"uri":["http://zotero.org/users/1208826/items/M6BDIC5J"],"itemData":{"id":647,"type":"article-journal","title":"Virtual absence of glutathione instability of the erythrocytes among Armenians in Iran","container-title":"Nature","page":"221-2","volume":"191","issue":"4785","author":[{"family":"Bowman","given":"James E."},{"family":"Walker","given":"Deryck G."}],"issued":{"date-parts":[["1961"]]}},"locator":"222"}],"schema":"https://github.com/citation-style-language/schema/raw/master/csl-citation.json"} </w:instrText>
      </w:r>
      <w:r w:rsidRPr="00132CED">
        <w:rPr>
          <w:rFonts w:cs="Times New Roman"/>
          <w:szCs w:val="20"/>
        </w:rPr>
        <w:fldChar w:fldCharType="separate"/>
      </w:r>
      <w:r w:rsidRPr="00132CED">
        <w:rPr>
          <w:rFonts w:cs="Times New Roman"/>
          <w:szCs w:val="20"/>
        </w:rPr>
        <w:t xml:space="preserve">James E. Bowman and Deryck G. Walker, “Virtual Absence of Glutathione Instability of the Erythrocytes among Armenians in Iran,” </w:t>
      </w:r>
      <w:r w:rsidRPr="00132CED">
        <w:rPr>
          <w:rFonts w:cs="Times New Roman"/>
          <w:i/>
          <w:iCs/>
          <w:szCs w:val="20"/>
        </w:rPr>
        <w:t>Nature</w:t>
      </w:r>
      <w:r w:rsidRPr="00132CED">
        <w:rPr>
          <w:rFonts w:cs="Times New Roman"/>
          <w:szCs w:val="20"/>
        </w:rPr>
        <w:t xml:space="preserve"> 191, no. 4785 (1961)</w:t>
      </w:r>
      <w:r w:rsidR="000239C8" w:rsidRPr="00132CED">
        <w:rPr>
          <w:rFonts w:cs="Times New Roman"/>
          <w:szCs w:val="20"/>
        </w:rPr>
        <w:t>, 221-222</w:t>
      </w:r>
      <w:r w:rsidRPr="00132CED">
        <w:rPr>
          <w:rFonts w:cs="Times New Roman"/>
          <w:szCs w:val="20"/>
        </w:rPr>
        <w:t>: 222.</w:t>
      </w:r>
      <w:r w:rsidRPr="00132CED">
        <w:rPr>
          <w:rFonts w:cs="Times New Roman"/>
          <w:szCs w:val="20"/>
        </w:rPr>
        <w:fldChar w:fldCharType="end"/>
      </w:r>
    </w:p>
  </w:footnote>
  <w:footnote w:id="62">
    <w:p w14:paraId="47A3B03D" w14:textId="7DE73FF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u5lcdX2p","properties":{"formattedCitation":"Ibid.","plainCitation":"Ibid."},"citationItems":[{"id":647,"uris":["http://zotero.org/users/1208826/items/M6BDIC5J"],"uri":["http://zotero.org/users/1208826/items/M6BDIC5J"],"itemData":{"id":647,"type":"article-journal","title":"Virtual absence of glutathione instability of the erythrocytes among Armenians in Iran","container-title":"Nature","page":"221-2","volume":"191","issue":"4785","author":[{"family":"Bowman","given":"James E."},{"family":"Walker","given":"Deryck G."}],"issued":{"date-parts":[["1961"]]}},"locator":"222"}],"schema":"https://github.com/citation-style-language/schema/raw/master/csl-citation.json"} </w:instrText>
      </w:r>
      <w:r w:rsidRPr="00132CED">
        <w:rPr>
          <w:rFonts w:cs="Times New Roman"/>
          <w:szCs w:val="20"/>
        </w:rPr>
        <w:fldChar w:fldCharType="separate"/>
      </w:r>
      <w:r w:rsidRPr="00132CED">
        <w:rPr>
          <w:rFonts w:cs="Times New Roman"/>
          <w:szCs w:val="20"/>
        </w:rPr>
        <w:t>Ibid.</w:t>
      </w:r>
      <w:r w:rsidRPr="00132CED">
        <w:rPr>
          <w:rFonts w:cs="Times New Roman"/>
          <w:szCs w:val="20"/>
        </w:rPr>
        <w:fldChar w:fldCharType="end"/>
      </w:r>
      <w:r w:rsidRPr="00132CED">
        <w:rPr>
          <w:rFonts w:cs="Times New Roman"/>
          <w:szCs w:val="20"/>
        </w:rPr>
        <w:t xml:space="preserve"> The article cites the 1960 edition of Montagu’s </w:t>
      </w:r>
      <w:r w:rsidRPr="00132CED">
        <w:rPr>
          <w:rFonts w:cs="Times New Roman"/>
          <w:i/>
          <w:szCs w:val="20"/>
        </w:rPr>
        <w:t>Introduction to Physical Anthropology</w:t>
      </w:r>
      <w:r w:rsidRPr="00132CED">
        <w:rPr>
          <w:rFonts w:cs="Times New Roman"/>
          <w:szCs w:val="20"/>
        </w:rPr>
        <w:t xml:space="preserve"> (New York: Charles C. Thomas).</w:t>
      </w:r>
    </w:p>
  </w:footnote>
  <w:footnote w:id="63">
    <w:p w14:paraId="1D7EF629" w14:textId="7E63A405"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{"citationID":"8vCMY5Yu","properties":{"formattedCitation":"{\\rtf Eliz Sanasarian, {\\i{}Religious Minorities in Iran} (Cambridge, UK: Cambridge University Press, 2000), 35\\uc0\\u8211{}40.}","plainCitation":"Eliz Sanasarian, Religious Minorities in Iran (Cambridge, UK: Cambridge University Press, 2000), 35–40."},"citationItems":[{"id":1105,"uris":["http://zotero.org/users/1208826/items/5344Z6XH"],"uri":["http://zotero.org/users/1208826/items/5344Z6XH"],"itemData":{"id":1105,"type":"book","title":"Religious minorities in Iran","publisher":"Cambridge University Press","publisher-place":"Cambridge, UK","number-of-pages":"228","source":"Library of Congress ISBN","event-place":"Cambridge, UK","ISBN":"978-0-521-77073-6","call-number":"BL2270 .S26 2000","author":[{"family":"Sanasarian","given":"Eliz"}],"issued":{"date-parts":[["2000"]]}},"locator":"35-40"}],"schema":"https://github.com/citation-style-language/schema/raw/master/csl-citation.json"} </w:instrText>
      </w:r>
      <w:r w:rsidRPr="00132CED">
        <w:rPr>
          <w:rFonts w:cs="Times New Roman"/>
          <w:szCs w:val="20"/>
        </w:rPr>
        <w:fldChar w:fldCharType="separate"/>
      </w:r>
      <w:r w:rsidRPr="00132CED">
        <w:rPr>
          <w:rFonts w:cs="Times New Roman"/>
          <w:szCs w:val="20"/>
        </w:rPr>
        <w:t xml:space="preserve">Eliz Sanasarian, </w:t>
      </w:r>
      <w:r w:rsidRPr="00132CED">
        <w:rPr>
          <w:rFonts w:cs="Times New Roman"/>
          <w:i/>
          <w:iCs/>
          <w:szCs w:val="20"/>
        </w:rPr>
        <w:t>Religious Minorities in Iran</w:t>
      </w:r>
      <w:r w:rsidRPr="00132CED">
        <w:rPr>
          <w:rFonts w:cs="Times New Roman"/>
          <w:szCs w:val="20"/>
        </w:rPr>
        <w:t xml:space="preserve"> (Cambridge, UK: Cambridge University Press, 2000), 35–40.</w:t>
      </w:r>
      <w:r w:rsidRPr="00132CED">
        <w:rPr>
          <w:rFonts w:cs="Times New Roman"/>
          <w:szCs w:val="20"/>
        </w:rPr>
        <w:fldChar w:fldCharType="end"/>
      </w:r>
    </w:p>
  </w:footnote>
  <w:footnote w:id="64">
    <w:p w14:paraId="6DACEA66"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{"citationID":"3GKsHlHS","properties":{"formattedCitation":"{\\rtf James E. Bowman, \\uc0\\u8220{}Haptoglobin and Transferrin Differences in Some Iranian Populations,\\uc0\\u8221{} {\\i{}Nature} 201 (1964): 88.}","plainCitation":"James E. Bowman, “Haptoglobin and Transferrin Differences in Some Iranian Populations,” Nature 201 (1964): 88."},"citationItems":[{"id":224,"uris":["http://zotero.org/users/1208826/items/TJT35UTR"],"uri":["http://zotero.org/users/1208826/items/TJT35UTR"],"itemData":{"id":224,"type":"article-journal","title":"Haptoglobin and transferrin differences in some Iranian populations","container-title":"Nature","page":"88","volume":"201","author":[{"family":"Bowman","given":"James E."}],"issued":{"date-parts":[["1964"]]}}}],"schema":"https://github.com/citation-style-language/schema/raw/master/csl-citation.json"} </w:instrText>
      </w:r>
      <w:r w:rsidRPr="00132CED">
        <w:rPr>
          <w:rFonts w:cs="Times New Roman"/>
          <w:szCs w:val="20"/>
        </w:rPr>
        <w:fldChar w:fldCharType="separate"/>
      </w:r>
      <w:r w:rsidRPr="00132CED">
        <w:rPr>
          <w:rFonts w:cs="Times New Roman"/>
          <w:szCs w:val="20"/>
        </w:rPr>
        <w:t xml:space="preserve">James E. Bowman, “Haptoglobin and Transferrin Differences in Some Iranian Populations,” </w:t>
      </w:r>
      <w:r w:rsidRPr="00132CED">
        <w:rPr>
          <w:rFonts w:cs="Times New Roman"/>
          <w:i/>
          <w:iCs/>
          <w:szCs w:val="20"/>
        </w:rPr>
        <w:t>Nature</w:t>
      </w:r>
      <w:r w:rsidRPr="00132CED">
        <w:rPr>
          <w:rFonts w:cs="Times New Roman"/>
          <w:szCs w:val="20"/>
        </w:rPr>
        <w:t xml:space="preserve"> 201 (1964): 88.</w:t>
      </w:r>
      <w:r w:rsidRPr="00132CED">
        <w:rPr>
          <w:rFonts w:cs="Times New Roman"/>
          <w:szCs w:val="20"/>
        </w:rPr>
        <w:fldChar w:fldCharType="end"/>
      </w:r>
    </w:p>
  </w:footnote>
  <w:footnote w:id="65">
    <w:p w14:paraId="1DA94DE2"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Bowman oral history interview, 2006.</w:t>
      </w:r>
      <w:proofErr w:type="gramEnd"/>
    </w:p>
  </w:footnote>
  <w:footnote w:id="66">
    <w:p w14:paraId="031D9047" w14:textId="0831666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{"citationID":"30iaVQoG","properties":{"formattedCitation":"{\\rtf James E. Bowman and Deryck G. Walker, \\uc0\\u8220{}The Origin of Glucose-6-Phosphate Dehydrogenase Deficiency in Iran: Theoretical Considerations,\\uc0\\u8221{} in {\\i{}Proceedings of the Second International Congress of Human Genetics (Rome, September 6-12, 1961)}, ed. Luigi Gedda, vol. 1 (Rome: Instituto G. Mendel, 1963), 584.}","plainCitation":"James E. Bowman and Deryck G. Walker, “The Origin of Glucose-6-Phosphate Dehydrogenase Deficiency in Iran: Theoretical Considerations,” in Proceedings of the Second International Congress of Human Genetics (Rome, September 6-12, 1961), ed. Luigi Gedda, vol. 1 (Rome: Instituto G. Mendel, 1963), 584."},"citationItems":[{"id":648,"uris":["http://zotero.org/users/1208826/items/8SQS3AGF"],"uri":["http://zotero.org/users/1208826/items/8SQS3AGF"],"itemData":{"id":648,"type":"chapter","title":"The origin of glucose-6-phosphate dehydrogenase deficiency in Iran: theoretical considerations","container-title":"Proceedings of the Second International Congress of Human Genetics (Rome, September 6-12, 1961)","publisher":"Instituto G. Mendel","publisher-place":"Rome","page":"583-6","volume":"1","event-place":"Rome","shortTitle":"The origin of glucose-6-phosphate dehydrogenase deficiency in Iran","author":[{"family":"Bowman","given":"James E."},{"family":"Walker","given":"Deryck G."}],"editor":[{"family":"Gedda","given":"Luigi"}],"issued":{"date-parts":[["1963"]]}},"locator":"584"}],"schema":"https://github.com/citation-style-language/schema/raw/master/csl-citation.json"} </w:instrText>
      </w:r>
      <w:r w:rsidRPr="00132CED">
        <w:rPr>
          <w:rFonts w:cs="Times New Roman"/>
          <w:szCs w:val="20"/>
        </w:rPr>
        <w:fldChar w:fldCharType="separate"/>
      </w:r>
      <w:r w:rsidRPr="00132CED">
        <w:rPr>
          <w:rFonts w:cs="Times New Roman"/>
          <w:szCs w:val="20"/>
        </w:rPr>
        <w:t xml:space="preserve">James E. Bowman and Deryck G. Walker, “The Origin of Glucose-6-Phosphate Dehydrogenase Deficiency in Iran: Theoretical Considerations,” in </w:t>
      </w:r>
      <w:r w:rsidRPr="00132CED">
        <w:rPr>
          <w:rFonts w:cs="Times New Roman"/>
          <w:i/>
          <w:iCs/>
          <w:szCs w:val="20"/>
        </w:rPr>
        <w:t>Proceedings of the Second International Congress of Human Genetics (Rome, September 6-12, 1961)</w:t>
      </w:r>
      <w:r w:rsidRPr="00132CED">
        <w:rPr>
          <w:rFonts w:cs="Times New Roman"/>
          <w:szCs w:val="20"/>
        </w:rPr>
        <w:t>, ed. Luigi Gedda, vol. 1 (Rome: Instituto G. Mendel, 1963),</w:t>
      </w:r>
      <w:r w:rsidR="000239C8" w:rsidRPr="00132CED">
        <w:rPr>
          <w:rFonts w:cs="Times New Roman"/>
          <w:szCs w:val="20"/>
        </w:rPr>
        <w:t xml:space="preserve"> 583-586:</w:t>
      </w:r>
      <w:r w:rsidRPr="00132CED">
        <w:rPr>
          <w:rFonts w:cs="Times New Roman"/>
          <w:szCs w:val="20"/>
        </w:rPr>
        <w:t xml:space="preserve"> 584.</w:t>
      </w:r>
      <w:r w:rsidRPr="00132CED">
        <w:rPr>
          <w:rFonts w:cs="Times New Roman"/>
          <w:szCs w:val="20"/>
        </w:rPr>
        <w:fldChar w:fldCharType="end"/>
      </w:r>
    </w:p>
  </w:footnote>
  <w:footnote w:id="67">
    <w:p w14:paraId="2034979C"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14WYtuB7","properties":{"formattedCitation":"Ibid.","plainCitation":"Ibid."},"citationItems":[{"id":648,"uris":["http://zotero.org/users/1208826/items/8SQS3AGF"],"uri":["http://zotero.org/users/1208826/items/8SQS3AGF"],"itemData":{"id":648,"type":"chapter","title":"The origin of glucose-6-phosphate dehydrogenase deficiency in Iran: theoretical considerations","container-title":"Proceedings of the Second International Congress of Human Genetics (Rome, September 6-12, 1961)","publisher":"Instituto G. Mendel","publisher-place":"Rome","page":"583-6","volume":"1","event-place":"Rome","shortTitle":"The origin of glucose-6-phosphate dehydrogenase deficiency in Iran","author":[{"family":"Bowman","given":"James E."},{"family":"Walker","given":"Deryck G."}],"editor":[{"family":"Gedda","given":"Luigi"}],"issued":{"date-parts":[["1963"]]}},"locator":"584"}],"schema":"https://github.com/citation-style-language/schema/raw/master/csl-citation.json"} </w:instrText>
      </w:r>
      <w:r w:rsidRPr="00132CED">
        <w:rPr>
          <w:rFonts w:cs="Times New Roman"/>
          <w:szCs w:val="20"/>
        </w:rPr>
        <w:fldChar w:fldCharType="separate"/>
      </w:r>
      <w:r w:rsidRPr="00132CED">
        <w:rPr>
          <w:rFonts w:cs="Times New Roman"/>
          <w:szCs w:val="20"/>
        </w:rPr>
        <w:t>Ibid.</w:t>
      </w:r>
      <w:r w:rsidRPr="00132CED">
        <w:rPr>
          <w:rFonts w:cs="Times New Roman"/>
          <w:szCs w:val="20"/>
        </w:rPr>
        <w:fldChar w:fldCharType="end"/>
      </w:r>
    </w:p>
  </w:footnote>
  <w:footnote w:id="68">
    <w:p w14:paraId="1CA90EC6" w14:textId="663C0C1D"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{"citationID":"TZS42mMx","properties":{"formattedCitation":"{\\rtf Ibid., 585\\uc0\\u8211{}86.}","plainCitation":"Ibid., 585–86."},"citationItems":[{"id":648,"uris":["http://zotero.org/users/1208826/items/8SQS3AGF"],"uri":["http://zotero.org/users/1208826/items/8SQS3AGF"],"itemData":{"id":648,"type":"chapter","title":"The origin of glucose-6-phosphate dehydrogenase deficiency in Iran: theoretical considerations","container-title":"Proceedings of the Second International Congress of Human Genetics (Rome, September 6-12, 1961)","publisher":"Instituto G. Mendel","publisher-place":"Rome","page":"583-6","volume":"1","event-place":"Rome","shortTitle":"The origin of glucose-6-phosphate dehydrogenase deficiency in Iran","author":[{"family":"Bowman","given":"James E."},{"family":"Walker","given":"Deryck G."}],"editor":[{"family":"Gedda","given":"Luigi"}],"issued":{"date-parts":[["1963"]]}},"locator":"585-6"}],"schema":"https://github.com/citation-style-language/schema/raw/master/csl-citation.json"} </w:instrText>
      </w:r>
      <w:r w:rsidRPr="00132CED">
        <w:rPr>
          <w:rFonts w:cs="Times New Roman"/>
          <w:szCs w:val="20"/>
        </w:rPr>
        <w:fldChar w:fldCharType="separate"/>
      </w:r>
      <w:r w:rsidRPr="00132CED">
        <w:rPr>
          <w:rFonts w:cs="Times New Roman"/>
          <w:szCs w:val="20"/>
        </w:rPr>
        <w:t>Ibid., 585–86.</w:t>
      </w:r>
      <w:r w:rsidRPr="00132CED">
        <w:rPr>
          <w:rFonts w:cs="Times New Roman"/>
          <w:szCs w:val="20"/>
        </w:rPr>
        <w:fldChar w:fldCharType="end"/>
      </w:r>
      <w:r w:rsidRPr="00132CED">
        <w:rPr>
          <w:rFonts w:cs="Times New Roman"/>
          <w:szCs w:val="20"/>
        </w:rPr>
        <w:t xml:space="preserve"> Note that the conclusion of Bowman and his colleagues that Zoroastrians, by extension Aryans, were “reservoirs” of the B blood type differs markedly from contemporary genetic discourses emerging from India, where type B was associated with non-Aryan autochthonous populations. See </w:t>
      </w:r>
      <w:r w:rsidRPr="00132CED">
        <w:rPr>
          <w:rFonts w:cs="Times New Roman"/>
          <w:szCs w:val="20"/>
        </w:rPr>
        <w:fldChar w:fldCharType="begin"/>
      </w:r>
      <w:r w:rsidRPr="00132CED">
        <w:rPr>
          <w:rFonts w:cs="Times New Roman"/>
          <w:szCs w:val="20"/>
        </w:rPr>
        <w:instrText xml:space="preserve"> ADDIN ZOTERO_ITEM CSL_CITATION {"citationID":"8hZrCUdb","properties":{"formattedCitation":"{\\rtf Mukharji, \\uc0\\u8220{}From Serosocial to Sanguinary Identities.\\uc0\\u8221{}}","plainCitation":"Mukharji, “From Serosocial to Sanguinary Identities.”"},"citationItems":[{"id":502,"uris":["http://zotero.org/users/1208826/items/TUADNQXN"],"uri":["http://zotero.org/users/1208826/items/TUADNQXN"],"itemData":{"id":502,"type":"article-journal","title":"From serosocial to sanguinary identities: Caste, transnational race science and the shifting metonymies of blood group B, India c. 1918-1960","container-title":"Indian Economic &amp; Social History Review","page":"143-176","volume":"51","issue":"2","source":"CrossRef","DOI":"10.1177/0019464614525711","ISSN":"0019-4646, 0973-0893","shortTitle":"From serosocial to sanguinary identities","language":"en","author":[{"family":"Mukharji","given":"Projit B."}],"issued":{"date-parts":[["2014"]]}}}],"schema":"https://github.com/citation-style-language/schema/raw/master/csl-citation.json"} </w:instrText>
      </w:r>
      <w:r w:rsidRPr="00132CED">
        <w:rPr>
          <w:rFonts w:cs="Times New Roman"/>
          <w:szCs w:val="20"/>
        </w:rPr>
        <w:fldChar w:fldCharType="separate"/>
      </w:r>
      <w:r w:rsidRPr="00132CED">
        <w:rPr>
          <w:rFonts w:cs="Times New Roman"/>
          <w:szCs w:val="20"/>
        </w:rPr>
        <w:t>Mukharji, “From Serosocial to Sanguinary Identities.”</w:t>
      </w:r>
      <w:r w:rsidRPr="00132CED">
        <w:rPr>
          <w:rFonts w:cs="Times New Roman"/>
          <w:szCs w:val="20"/>
        </w:rPr>
        <w:fldChar w:fldCharType="end"/>
      </w:r>
    </w:p>
  </w:footnote>
  <w:footnote w:id="69">
    <w:p w14:paraId="1CA876E8"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{"citationID":"UDW1qkes","properties":{"formattedCitation":"{\\rtf Bowman, \\uc0\\u8220{}Haptoglobin and Transferrin Differences in Some Iranian Populations,\\uc0\\u8221{} 88.}","plainCitation":"Bowman, “Haptoglobin and Transferrin Differences in Some Iranian Populations,” 88."},"citationItems":[{"id":224,"uris":["http://zotero.org/users/1208826/items/TJT35UTR"],"uri":["http://zotero.org/users/1208826/items/TJT35UTR"],"itemData":{"id":224,"type":"article-journal","title":"Haptoglobin and transferrin differences in some Iranian populations","container-title":"Nature","page":"88","volume":"201","author":[{"family":"Bowman","given":"James E."}],"issued":{"date-parts":[["1964"]]}},"locator":"88"}],"schema":"https://github.com/citation-style-language/schema/raw/master/csl-citation.json"} </w:instrText>
      </w:r>
      <w:r w:rsidRPr="00132CED">
        <w:rPr>
          <w:rFonts w:cs="Times New Roman"/>
          <w:szCs w:val="20"/>
        </w:rPr>
        <w:fldChar w:fldCharType="separate"/>
      </w:r>
      <w:r w:rsidRPr="00132CED">
        <w:rPr>
          <w:rFonts w:cs="Times New Roman"/>
          <w:szCs w:val="20"/>
        </w:rPr>
        <w:t>Bowman, “Haptoglobin and Transferrin Differences in Some Iranian Populations,” 88.</w:t>
      </w:r>
      <w:r w:rsidRPr="00132CED">
        <w:rPr>
          <w:rFonts w:cs="Times New Roman"/>
          <w:szCs w:val="20"/>
        </w:rPr>
        <w:fldChar w:fldCharType="end"/>
      </w:r>
    </w:p>
  </w:footnote>
  <w:footnote w:id="70">
    <w:p w14:paraId="05E665DF"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Bowman oral history interview, 2006.</w:t>
      </w:r>
      <w:proofErr w:type="gramEnd"/>
    </w:p>
  </w:footnote>
  <w:footnote w:id="71">
    <w:p w14:paraId="72A9D3FB" w14:textId="3D67E06A"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{"citationID":"T13OIcxP","properties":{"formattedCitation":"{\\rtf Peter Beaconsfield et al., \\uc0\\u8220{}Glucose 6 Phosphate Dehydrogenase Deficiency in Iran and Its Relation to Physiopathological Processes,\\uc0\\u8221{} {\\i{}Acta Medica Iranica} 9, no. 1\\uc0\\u8211{}2 (1966): 35\\uc0\\u8211{}42.}","plainCitation":"Peter Beaconsfield et al., “Glucose 6 Phosphate Dehydrogenase Deficiency in Iran and Its Relation to Physiopathological Processes,” Acta Medica Iranica 9, no. 1–2 (1966): 35–42."},"citationItems":[{"id":657,"uris":["http://zotero.org/users/1208826/items/6MV4PR9B"],"uri":["http://zotero.org/users/1208826/items/6MV4PR9B"],"itemData":{"id":657,"type":"article-journal","title":"Glucose 6 phosphate dehydrogenase deficiency in Iran and its relation to physiopathological processes","container-title":"Acta Medica Iranica","page":"35-42","volume":"9","issue":"1-2","author":[{"family":"Beaconsfield","given":"Peter"},{"family":"Mahboubi","given":"Ezzatollah"},{"family":"Khademi","given":"Badri"},{"family":"Rainsbury","given":"Rebecca"},{"family":"Aghai","given":"Esther"},{"family":"Mofidi","given":"Chamseddine"}],"issued":{"date-parts":[["1966"]]}}}],"schema":"https://github.com/citation-style-language/schema/raw/master/csl-citation.json"} </w:instrText>
      </w:r>
      <w:r w:rsidRPr="00132CED">
        <w:rPr>
          <w:rFonts w:cs="Times New Roman"/>
          <w:szCs w:val="20"/>
        </w:rPr>
        <w:fldChar w:fldCharType="separate"/>
      </w:r>
      <w:r w:rsidRPr="00132CED">
        <w:rPr>
          <w:rFonts w:cs="Times New Roman"/>
          <w:szCs w:val="20"/>
        </w:rPr>
        <w:t xml:space="preserve">Peter Beaconsfield et al., “Glucose 6 Phosphate Dehydrogenase Deficiency in Iran and Its Relation to Physiopathological Processes,” </w:t>
      </w:r>
      <w:r w:rsidRPr="00132CED">
        <w:rPr>
          <w:rFonts w:cs="Times New Roman"/>
          <w:i/>
          <w:iCs/>
          <w:szCs w:val="20"/>
        </w:rPr>
        <w:t>Acta Medica Iranica</w:t>
      </w:r>
      <w:r w:rsidRPr="00132CED">
        <w:rPr>
          <w:rFonts w:cs="Times New Roman"/>
          <w:szCs w:val="20"/>
        </w:rPr>
        <w:t xml:space="preserve"> 9, no. 1–2 (1966): 35–42.</w:t>
      </w:r>
      <w:r w:rsidRPr="00132CED">
        <w:rPr>
          <w:rFonts w:cs="Times New Roman"/>
          <w:szCs w:val="20"/>
        </w:rPr>
        <w:fldChar w:fldCharType="end"/>
      </w:r>
      <w:r w:rsidRPr="00132CED">
        <w:rPr>
          <w:rFonts w:cs="Times New Roman"/>
          <w:szCs w:val="20"/>
        </w:rPr>
        <w:t xml:space="preserve"> The survey was carried out in response to the WHO-sponsored malaria eradication program for Iran, which relied heavily on the use of primaquine—a medication that can cause a dangerous hemolytic reaction when taken in multiple doses by individuals with G6PD deficiency.</w:t>
      </w:r>
    </w:p>
  </w:footnote>
  <w:footnote w:id="72">
    <w:p w14:paraId="78364069" w14:textId="7D827D60"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{"citationID":"Vrb8mt25","properties":{"formattedCitation":"{\\rtf Hermann Lehmann et al., \\uc0\\u8220{}The Hereditary Blood Factors of the Kurds of Iran,\\uc0\\u8221{} {\\i{}Philosophical Transactions of the Royal Society of London} 266 (1973): 196.}","plainCitation":"Hermann Lehmann et al., “The Hereditary Blood Factors of the Kurds of Iran,” Philosophical Transactions of the Royal Society of London 266 (1973): 196."},"citationItems":[{"id":66,"uris":["http://zotero.org/users/1208826/items/ASAK9RG2"],"uri":["http://zotero.org/users/1208826/items/ASAK9RG2"],"itemData":{"id":66,"type":"article-journal","title":"The hereditary blood factors of the Kurds of Iran","container-title":"Philosophical Transactions of the Royal Society of London","page":"195-205","volume":"266","author":[{"family":"Lehmann","given":"Hermann"},{"family":"Ala","given":"F."},{"family":"Hedeyat","given":"S."},{"family":"Montazemi","given":"K."},{"family":"Karini Nejad","given":"H."},{"family":"Lightman","given":"S."},{"family":"Kopec","given":"A. C."},{"family":"Mourant","given":"A. E."},{"family":"Teesdale","given":"P."},{"family":"Tills","given":"D."}],"issued":{"date-parts":[["1973"]]}},"locator":"196"}],"schema":"https://github.com/citation-style-language/schema/raw/master/csl-citation.json"} </w:instrText>
      </w:r>
      <w:r w:rsidRPr="00132CED">
        <w:rPr>
          <w:rFonts w:cs="Times New Roman"/>
          <w:szCs w:val="20"/>
        </w:rPr>
        <w:fldChar w:fldCharType="separate"/>
      </w:r>
      <w:r w:rsidRPr="00132CED">
        <w:rPr>
          <w:rFonts w:cs="Times New Roman"/>
          <w:szCs w:val="20"/>
        </w:rPr>
        <w:t xml:space="preserve">Hermann Lehmann et al., “The Hereditary Blood Factors of the Kurds of Iran,” </w:t>
      </w:r>
      <w:r w:rsidRPr="00132CED">
        <w:rPr>
          <w:rFonts w:cs="Times New Roman"/>
          <w:i/>
          <w:iCs/>
          <w:szCs w:val="20"/>
        </w:rPr>
        <w:t>Philosophical Transactions of the Royal Society of London</w:t>
      </w:r>
      <w:r w:rsidRPr="00132CED">
        <w:rPr>
          <w:rFonts w:cs="Times New Roman"/>
          <w:szCs w:val="20"/>
        </w:rPr>
        <w:t xml:space="preserve"> 266 (1973)</w:t>
      </w:r>
      <w:r w:rsidR="000239C8" w:rsidRPr="00132CED">
        <w:rPr>
          <w:rFonts w:cs="Times New Roman"/>
          <w:szCs w:val="20"/>
        </w:rPr>
        <w:t>, 195-205</w:t>
      </w:r>
      <w:r w:rsidRPr="00132CED">
        <w:rPr>
          <w:rFonts w:cs="Times New Roman"/>
          <w:szCs w:val="20"/>
        </w:rPr>
        <w:t>: 196.</w:t>
      </w:r>
      <w:r w:rsidRPr="00132CED">
        <w:rPr>
          <w:rFonts w:cs="Times New Roman"/>
          <w:szCs w:val="20"/>
        </w:rPr>
        <w:fldChar w:fldCharType="end"/>
      </w:r>
    </w:p>
  </w:footnote>
  <w:footnote w:id="73">
    <w:p w14:paraId="35986C43" w14:textId="01A47062"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Mourant to Lehmann, August 3, 1969. PP/AEM/K/336, Box 41, Mourant Papers. Emphasis mine.</w:t>
      </w:r>
    </w:p>
  </w:footnote>
  <w:footnote w:id="74">
    <w:p w14:paraId="337E1D8F" w14:textId="6A3139C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{"citationID":"dyzfAwEI","properties":{"formattedCitation":"{\\rtf James E. Bowman, {\\i{}Middle East Journal} 23, no. 2 (1969): 289.}","plainCitation":"James E. Bowman, Middle East Journal 23, no. 2 (1969): 289."},"citationItems":[{"id":617,"uris":["http://zotero.org/users/1208826/items/5UD9CGXW"],"uri":["http://zotero.org/users/1208826/items/5UD9CGXW"],"itemData":{"id":617,"type":"article-journal","container-title":"Middle East Journal","page":"288-289","volume":"23","issue":"2","author":[{"family":"Bowman","given":"James E."}],"issued":{"date-parts":[["1969"]]}},"locator":"289"}],"schema":"https://github.com/citation-style-language/schema/raw/master/csl-citation.json"} </w:instrText>
      </w:r>
      <w:r w:rsidRPr="00132CED">
        <w:rPr>
          <w:rFonts w:cs="Times New Roman"/>
          <w:szCs w:val="20"/>
        </w:rPr>
        <w:fldChar w:fldCharType="separate"/>
      </w:r>
      <w:r w:rsidRPr="00132CED">
        <w:rPr>
          <w:rFonts w:cs="Times New Roman"/>
          <w:szCs w:val="20"/>
        </w:rPr>
        <w:t xml:space="preserve">James E. Bowman, </w:t>
      </w:r>
      <w:r w:rsidRPr="00132CED">
        <w:rPr>
          <w:rFonts w:cs="Times New Roman"/>
          <w:i/>
          <w:iCs/>
          <w:szCs w:val="20"/>
        </w:rPr>
        <w:t>Middle East Journal</w:t>
      </w:r>
      <w:r w:rsidRPr="00132CED">
        <w:rPr>
          <w:rFonts w:cs="Times New Roman"/>
          <w:szCs w:val="20"/>
        </w:rPr>
        <w:t xml:space="preserve"> 23, no. 2 (1969)</w:t>
      </w:r>
      <w:r w:rsidR="000239C8" w:rsidRPr="00132CED">
        <w:rPr>
          <w:rFonts w:cs="Times New Roman"/>
          <w:szCs w:val="20"/>
        </w:rPr>
        <w:t>, 288-289</w:t>
      </w:r>
      <w:r w:rsidRPr="00132CED">
        <w:rPr>
          <w:rFonts w:cs="Times New Roman"/>
          <w:szCs w:val="20"/>
        </w:rPr>
        <w:t>: 289.</w:t>
      </w:r>
      <w:r w:rsidRPr="00132CED">
        <w:rPr>
          <w:rFonts w:cs="Times New Roman"/>
          <w:szCs w:val="20"/>
        </w:rPr>
        <w:fldChar w:fldCharType="end"/>
      </w:r>
    </w:p>
  </w:footnote>
  <w:footnote w:id="75">
    <w:p w14:paraId="0840BAEA"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Bowman oral history interview, 2006.</w:t>
      </w:r>
      <w:proofErr w:type="gramEnd"/>
    </w:p>
  </w:footnote>
  <w:footnote w:id="76">
    <w:p w14:paraId="364F4CD2"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For example, his Iranian students, carrying on his genetic research program, chose to publish in Israeli journals; see </w:t>
      </w:r>
      <w:r w:rsidRPr="00132CED">
        <w:rPr>
          <w:rFonts w:cs="Times New Roman"/>
          <w:szCs w:val="20"/>
        </w:rPr>
        <w:fldChar w:fldCharType="begin"/>
      </w:r>
      <w:r w:rsidRPr="00132CED">
        <w:rPr>
          <w:rFonts w:cs="Times New Roman"/>
          <w:szCs w:val="20"/>
        </w:rPr>
        <w:instrText xml:space="preserve"> ADDIN ZOTERO_ITEM CSL_CITATION {"citationID":"64qX67Rp","properties":{"formattedCitation":"{\\rtf Ekmal A. Mohallatee and Mansoor Haghshenas, \\uc0\\u8220{}Frequency and Distribution of ABO and Rh(D) Blood Groups in Shiraz,\\uc0\\u8221{} {\\i{}Israel Journal of Medical Sciences} 5, no. 5 (1969): 1081\\uc0\\u8211{}82.}","plainCitation":"Ekmal A. Mohallatee and Mansoor Haghshenas, “Frequency and Distribution of ABO and Rh(D) Blood Groups in Shiraz,” Israel Journal of Medical Sciences 5, no. 5 (1969): 1081–82."},"citationItems":[{"id":650,"uris":["http://zotero.org/users/1208826/items/68C73KQS"],"uri":["http://zotero.org/users/1208826/items/68C73KQS"],"itemData":{"id":650,"type":"article-journal","title":"Frequency and distribution of ABO and Rh(D) blood groups in Shiraz","container-title":"Israel Journal of Medical Sciences","page":"1081-2","volume":"5","issue":"5","author":[{"family":"Mohallatee","given":"Ekmal A."},{"family":"Haghshenas","given":"Mansoor"}],"issued":{"date-parts":[["1969"]]}}}],"schema":"https://github.com/citation-style-language/schema/raw/master/csl-citation.json"} </w:instrText>
      </w:r>
      <w:r w:rsidRPr="00132CED">
        <w:rPr>
          <w:rFonts w:cs="Times New Roman"/>
          <w:szCs w:val="20"/>
        </w:rPr>
        <w:fldChar w:fldCharType="separate"/>
      </w:r>
      <w:r w:rsidRPr="00132CED">
        <w:rPr>
          <w:rFonts w:cs="Times New Roman"/>
          <w:szCs w:val="20"/>
        </w:rPr>
        <w:t xml:space="preserve">Ekmal A. Mohallatee and Mansoor Haghshenas, “Frequency and Distribution of ABO and Rh(D) Blood Groups in Shiraz,” </w:t>
      </w:r>
      <w:r w:rsidRPr="00132CED">
        <w:rPr>
          <w:rFonts w:cs="Times New Roman"/>
          <w:i/>
          <w:iCs/>
          <w:szCs w:val="20"/>
        </w:rPr>
        <w:t>Israel Journal of Medical Sciences</w:t>
      </w:r>
      <w:r w:rsidRPr="00132CED">
        <w:rPr>
          <w:rFonts w:cs="Times New Roman"/>
          <w:szCs w:val="20"/>
        </w:rPr>
        <w:t xml:space="preserve"> 5, no. 5 (1969): 1081–82.</w:t>
      </w:r>
      <w:r w:rsidRPr="00132CED">
        <w:rPr>
          <w:rFonts w:cs="Times New Roman"/>
          <w:szCs w:val="20"/>
        </w:rPr>
        <w:fldChar w:fldCharType="end"/>
      </w:r>
      <w:r w:rsidRPr="00132CED">
        <w:rPr>
          <w:rFonts w:cs="Times New Roman"/>
          <w:szCs w:val="20"/>
        </w:rPr>
        <w:t xml:space="preserve"> </w:t>
      </w:r>
    </w:p>
  </w:footnote>
  <w:footnote w:id="77">
    <w:p w14:paraId="6577D9CD" w14:textId="5CBAC064"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The human leukocyte antigen (HLA) system is a highly diverse series of cell-surface proteins that allows the immune system to distinguish between the body’s own cells and foreign matter. By the early 1970s, the seemingly unlimited variability of the HLA proteins, and the genes that encode them, drew the attention of genetic anthropologists who hoped to use them to study human evolutionary history at a finer scale than previously possible.</w:t>
      </w:r>
    </w:p>
  </w:footnote>
  <w:footnote w:id="78">
    <w:p w14:paraId="41EB84AF" w14:textId="1765B16A"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{"citationID":"SmyN9I5C","properties":{"formattedCitation":"{\\rtf Chaim Sheba, \\uc0\\u8220{}Jewish Migration in Its Historical Perspective,\\uc0\\u8221{} {\\i{}Israel Journal of Medical Sciences} 7, no. 12 (1971): 1339\\uc0\\u8211{}40.}","plainCitation":"Chaim Sheba, “Jewish Migration in Its Historical Perspective,” Israel Journal of Medical Sciences 7, no. 12 (1971): 1339–40."},"citationItems":[{"id":741,"uris":["http://zotero.org/users/1208826/items/PZVQASQK"],"uri":["http://zotero.org/users/1208826/items/PZVQASQK"],"itemData":{"id":741,"type":"article-journal","title":"Jewish migration in its historical perspective","container-title":"Israel Journal of Medical Sciences","page":"1333-41","volume":"7","issue":"12","author":[{"family":"Sheba","given":"Chaim"}],"issued":{"date-parts":[["1971"]]}},"locator":"1339-40"}],"schema":"https://github.com/citation-style-language/schema/raw/master/csl-citation.json"} </w:instrText>
      </w:r>
      <w:r w:rsidRPr="00132CED">
        <w:rPr>
          <w:rFonts w:cs="Times New Roman"/>
          <w:szCs w:val="20"/>
        </w:rPr>
        <w:fldChar w:fldCharType="separate"/>
      </w:r>
      <w:r w:rsidRPr="00132CED">
        <w:rPr>
          <w:rFonts w:cs="Times New Roman"/>
          <w:szCs w:val="20"/>
        </w:rPr>
        <w:t xml:space="preserve">Chaim Sheba, “Jewish Migration in Its Historical Perspective,” </w:t>
      </w:r>
      <w:r w:rsidRPr="00132CED">
        <w:rPr>
          <w:rFonts w:cs="Times New Roman"/>
          <w:i/>
          <w:iCs/>
          <w:szCs w:val="20"/>
        </w:rPr>
        <w:t>Israel Journal of Medical Sciences</w:t>
      </w:r>
      <w:r w:rsidRPr="00132CED">
        <w:rPr>
          <w:rFonts w:cs="Times New Roman"/>
          <w:szCs w:val="20"/>
        </w:rPr>
        <w:t xml:space="preserve"> 7, no. 12 (1971)</w:t>
      </w:r>
      <w:r w:rsidR="0006233D" w:rsidRPr="00132CED">
        <w:rPr>
          <w:rFonts w:cs="Times New Roman"/>
          <w:szCs w:val="20"/>
        </w:rPr>
        <w:t>, 1333-1341</w:t>
      </w:r>
      <w:r w:rsidRPr="00132CED">
        <w:rPr>
          <w:rFonts w:cs="Times New Roman"/>
          <w:szCs w:val="20"/>
        </w:rPr>
        <w:t>: 1339–40.</w:t>
      </w:r>
      <w:r w:rsidRPr="00132CED">
        <w:rPr>
          <w:rFonts w:cs="Times New Roman"/>
          <w:szCs w:val="20"/>
        </w:rPr>
        <w:fldChar w:fldCharType="end"/>
      </w:r>
    </w:p>
  </w:footnote>
  <w:footnote w:id="79">
    <w:p w14:paraId="034E070B"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{"citationID":"veNzJhdl","properties":{"formattedCitation":"{\\rtf Ibid., 1336\\uc0\\u8211{}37.}","plainCitation":"Ibid., 1336–37."},"citationItems":[{"id":741,"uris":["http://zotero.org/users/1208826/items/PZVQASQK"],"uri":["http://zotero.org/users/1208826/items/PZVQASQK"],"itemData":{"id":741,"type":"article-journal","title":"Jewish migration in its historical perspective","container-title":"Israel Journal of Medical Sciences","page":"1333-41","volume":"7","issue":"12","author":[{"family":"Sheba","given":"Chaim"}],"issued":{"date-parts":[["1971"]]}},"locator":"1336-7"}],"schema":"https://github.com/citation-style-language/schema/raw/master/csl-citation.json"} </w:instrText>
      </w:r>
      <w:r w:rsidRPr="00132CED">
        <w:rPr>
          <w:rFonts w:cs="Times New Roman"/>
          <w:szCs w:val="20"/>
        </w:rPr>
        <w:fldChar w:fldCharType="separate"/>
      </w:r>
      <w:r w:rsidRPr="00132CED">
        <w:rPr>
          <w:rFonts w:cs="Times New Roman"/>
          <w:szCs w:val="20"/>
        </w:rPr>
        <w:t>Ibid., 1336–37.</w:t>
      </w:r>
      <w:r w:rsidRPr="00132CED">
        <w:rPr>
          <w:rFonts w:cs="Times New Roman"/>
          <w:szCs w:val="20"/>
        </w:rPr>
        <w:fldChar w:fldCharType="end"/>
      </w:r>
    </w:p>
  </w:footnote>
  <w:footnote w:id="80">
    <w:p w14:paraId="6370DFD3"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{"citationID":"6dsRMmIx","properties":{"formattedCitation":"Ibid., 1336.","plainCitation":"Ibid., 1336."},"citationItems":[{"id":741,"uris":["http://zotero.org/users/1208826/items/PZVQASQK"],"uri":["http://zotero.org/users/1208826/items/PZVQASQK"],"itemData":{"id":741,"type":"article-journal","title":"Jewish migration in its historical perspective","container-title":"Israel Journal of Medical Sciences","page":"1333-41","volume":"7","issue":"12","author":[{"family":"Sheba","given":"Chaim"}],"issued":{"date-parts":[["1971"]]}},"locator":"1336"}],"schema":"https://github.com/citation-style-language/schema/raw/master/csl-citation.json"} </w:instrText>
      </w:r>
      <w:r w:rsidRPr="00132CED">
        <w:rPr>
          <w:rFonts w:cs="Times New Roman"/>
          <w:szCs w:val="20"/>
        </w:rPr>
        <w:fldChar w:fldCharType="separate"/>
      </w:r>
      <w:r w:rsidRPr="00132CED">
        <w:rPr>
          <w:rFonts w:cs="Times New Roman"/>
          <w:noProof/>
          <w:szCs w:val="20"/>
        </w:rPr>
        <w:t>Ibid., 1336.</w:t>
      </w:r>
      <w:r w:rsidRPr="00132CED">
        <w:rPr>
          <w:rFonts w:cs="Times New Roman"/>
          <w:szCs w:val="20"/>
        </w:rPr>
        <w:fldChar w:fldCharType="end"/>
      </w:r>
    </w:p>
  </w:footnote>
  <w:footnote w:id="81">
    <w:p w14:paraId="7C478FA5"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See </w:t>
      </w:r>
      <w:r w:rsidRPr="00132CED">
        <w:rPr>
          <w:rFonts w:cs="Times New Roman"/>
          <w:szCs w:val="20"/>
        </w:rPr>
        <w:fldChar w:fldCharType="begin"/>
      </w:r>
      <w:r w:rsidRPr="00132CED">
        <w:rPr>
          <w:rFonts w:cs="Times New Roman"/>
          <w:szCs w:val="20"/>
        </w:rPr>
        <w:instrText xml:space="preserve"> ADDIN ZOTERO_ITEM CSL_CITATION {"citationID":"ubLlHaS3","properties":{"formattedCitation":"{\\rtf Bedross Der Matossian, \\uc0\\u8220{}The Armenians of Palestine 1918-48,\\uc0\\u8221{} {\\i{}Journal of Palestine Studies} 41, no. 1 (2011): 24\\uc0\\u8211{}44.}","plainCitation":"Bedross Der Matossian, “The Armenians of Palestine 1918-48,” Journal of Palestine Studies 41, no. 1 (2011): 24–44."},"citationItems":[{"id":1029,"uris":["http://zotero.org/users/1208826/items/NSVDEFX3"],"uri":["http://zotero.org/users/1208826/items/NSVDEFX3"],"itemData":{"id":1029,"type":"article-journal","title":"The Armenians of Palestine 1918-48","container-title":"Journal of Palestine Studies","page":"24-44","volume":"41","issue":"1","author":[{"family":"Der Matossian","given":"Bedross"}],"issued":{"date-parts":[["2011"]]}}}],"schema":"https://github.com/citation-style-language/schema/raw/master/csl-citation.json"} </w:instrText>
      </w:r>
      <w:r w:rsidRPr="00132CED">
        <w:rPr>
          <w:rFonts w:cs="Times New Roman"/>
          <w:szCs w:val="20"/>
        </w:rPr>
        <w:fldChar w:fldCharType="separate"/>
      </w:r>
      <w:r w:rsidRPr="00132CED">
        <w:rPr>
          <w:rFonts w:cs="Times New Roman"/>
          <w:szCs w:val="20"/>
        </w:rPr>
        <w:t xml:space="preserve">Bedross Der Matossian, “The Armenians of Palestine 1918-48,” </w:t>
      </w:r>
      <w:r w:rsidRPr="00132CED">
        <w:rPr>
          <w:rFonts w:cs="Times New Roman"/>
          <w:i/>
          <w:iCs/>
          <w:szCs w:val="20"/>
        </w:rPr>
        <w:t>Journal of Palestine Studies</w:t>
      </w:r>
      <w:r w:rsidRPr="00132CED">
        <w:rPr>
          <w:rFonts w:cs="Times New Roman"/>
          <w:szCs w:val="20"/>
        </w:rPr>
        <w:t xml:space="preserve"> 41, no. 1 (2011): 24–44.</w:t>
      </w:r>
      <w:r w:rsidRPr="00132CED">
        <w:rPr>
          <w:rFonts w:cs="Times New Roman"/>
          <w:szCs w:val="20"/>
        </w:rPr>
        <w:fldChar w:fldCharType="end"/>
      </w:r>
    </w:p>
  </w:footnote>
  <w:footnote w:id="82">
    <w:p w14:paraId="605EB6A8" w14:textId="5C8A7C64"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{"citationID":"UGHaJ19m","properties":{"formattedCitation":"{\\rtf Batsheva Bonn\\uc0\\u233{}-Tamir et al., \\uc0\\u8220{}HLA Polymorphism in Israel 8. The Armenian Community in Jerusalem,\\uc0\\u8221{} {\\i{}Tissue Antigens} 11, no. 3 (March 1978): 231, doi:10.1111/j.1399-0039.1978.tb01254.x.}","plainCitation":"Batsheva Bonné-Tamir et al., “HLA Polymorphism in Israel 8. The Armenian Community in Jerusalem,” Tissue Antigens 11, no. 3 (March 1978): 231, doi:10.1111/j.1399-0039.1978.tb01254.x."},"citationItems":[{"id":993,"uris":["http://zotero.org/users/1208826/items/BCXS5HST"],"uri":["http://zotero.org/users/1208826/items/BCXS5HST"],"itemData":{"id":993,"type":"article-journal","title":"HLA Polymorphism in Israel 8. The Armenian Community in Jerusalem","container-title":"Tissue Antigens","page":"230-234","volume":"11","issue":"3","source":"CrossRef","DOI":"10.1111/j.1399-0039.1978.tb01254.x","ISSN":"00012815, 13990039","language":"en","author":[{"family":"Bonné-Tamir","given":"Batsheva"},{"family":"Bodmer","given":"Julia G."},{"family":"Young","given":"D."},{"family":"Ashbel","given":"Sara"}],"issued":{"date-parts":[["1978",3]]}},"locator":"231"}],"schema":"https://github.com/citation-style-language/schema/raw/master/csl-citation.json"}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Bonné-Tamir et al., “HLA Polymorphism in Israel 8. The Armenian Community in Jerusalem,” </w:t>
      </w:r>
      <w:r w:rsidRPr="00132CED">
        <w:rPr>
          <w:rFonts w:cs="Times New Roman"/>
          <w:i/>
          <w:iCs/>
          <w:szCs w:val="20"/>
        </w:rPr>
        <w:t>Tissue Antigens</w:t>
      </w:r>
      <w:r w:rsidR="0006233D" w:rsidRPr="00132CED">
        <w:rPr>
          <w:rFonts w:cs="Times New Roman"/>
          <w:szCs w:val="20"/>
        </w:rPr>
        <w:t xml:space="preserve"> 11, no. 3 (</w:t>
      </w:r>
      <w:r w:rsidRPr="00132CED">
        <w:rPr>
          <w:rFonts w:cs="Times New Roman"/>
          <w:szCs w:val="20"/>
        </w:rPr>
        <w:t>1978)</w:t>
      </w:r>
      <w:r w:rsidR="007A2640" w:rsidRPr="00132CED">
        <w:rPr>
          <w:rFonts w:cs="Times New Roman"/>
          <w:szCs w:val="20"/>
        </w:rPr>
        <w:t>, 230-234</w:t>
      </w:r>
      <w:r w:rsidRPr="00132CED">
        <w:rPr>
          <w:rFonts w:cs="Times New Roman"/>
          <w:szCs w:val="20"/>
        </w:rPr>
        <w:t>: 231.</w:t>
      </w:r>
      <w:r w:rsidRPr="00132CED">
        <w:rPr>
          <w:rFonts w:cs="Times New Roman"/>
          <w:szCs w:val="20"/>
        </w:rPr>
        <w:fldChar w:fldCharType="end"/>
      </w:r>
    </w:p>
  </w:footnote>
  <w:footnote w:id="83">
    <w:p w14:paraId="2C9245D7" w14:textId="26E14A5B" w:rsidR="009749CE" w:rsidRPr="00132CED" w:rsidRDefault="009749CE" w:rsidP="00132CED">
      <w:pPr>
        <w:pStyle w:val="FootnoteText"/>
        <w:rPr>
          <w:rFonts w:cs="Times New Roman"/>
          <w:szCs w:val="20"/>
          <w:lang w:val="fr-FR"/>
        </w:rPr>
      </w:pPr>
      <w:r w:rsidRPr="00132CED">
        <w:rPr>
          <w:rStyle w:val="FootnoteReference"/>
          <w:rFonts w:cs="Times New Roman"/>
        </w:rPr>
        <w:footnoteRef/>
      </w:r>
      <w:r w:rsidRPr="00132CED">
        <w:rPr>
          <w:rFonts w:cs="Times New Roman"/>
          <w:szCs w:val="20"/>
          <w:lang w:val="fr-FR"/>
        </w:rPr>
        <w:t xml:space="preserve"> </w:t>
      </w:r>
      <w:r w:rsidRPr="00132CED">
        <w:rPr>
          <w:rFonts w:cs="Times New Roman"/>
          <w:szCs w:val="20"/>
        </w:rPr>
        <w:fldChar w:fldCharType="begin"/>
      </w:r>
      <w:r w:rsidRPr="00132CED">
        <w:rPr>
          <w:rFonts w:cs="Times New Roman"/>
          <w:szCs w:val="20"/>
          <w:lang w:val="fr-FR"/>
        </w:rPr>
        <w:instrText xml:space="preserve"> ADDIN ZOTERO_ITEM CSL_CITATION {"citationID":"HBjQ8X99","properties":{"formattedCitation":"{\\rtf Bonn\\uc0\\u233{}-Tamir, {\\i{}\\uc0\\u7716{}ayim \\uc0\\u699{}im ha-genim}, 110.}","plainCitation":"Bonné-Tamir, Ḥayim ʻim ha-genim, 110."},"citationItems":[{"id":673,"uris":["http://zotero.org/users/1208826/items/X62GSH2B"],"uri":["http://zotero.org/users/1208826/items/X62GSH2B"],"itemData":{"id":673,"type":"book","title":"Ḥayim ʻim ha-genim: ḥamishim shenot meḥḳar ba-geneṭiḳah shel ʻedot Yiśraʼel","publisher":"Karmel","publisher-place":"Yerushalayim","number-of-pages":"181","source":"Library of Congress ISBN","event-place":"Yerushalayim","ISBN":"978-965-540-118-9","call-number":"QH428.2.I75 B65 2010","shortTitle":"Ḥayim ʻim ha-genim","language":"Hebrew","author":[{"family":"Bonné-Tamir","given":"Batsheva"}],"issued":{"date-parts":[["2010"]]}},"locator":"110"}],"schema":"https://github.com/citation-style-language/schema/raw/master/csl-citation.json"} </w:instrText>
      </w:r>
      <w:r w:rsidRPr="00132CED">
        <w:rPr>
          <w:rFonts w:cs="Times New Roman"/>
          <w:szCs w:val="20"/>
        </w:rPr>
        <w:fldChar w:fldCharType="separate"/>
      </w:r>
      <w:r w:rsidRPr="00132CED">
        <w:rPr>
          <w:rFonts w:cs="Times New Roman"/>
          <w:szCs w:val="20"/>
          <w:lang w:val="fr-FR"/>
        </w:rPr>
        <w:t xml:space="preserve">Bonné-Tamir, </w:t>
      </w:r>
      <w:r w:rsidRPr="00132CED">
        <w:rPr>
          <w:rFonts w:cs="Times New Roman"/>
          <w:i/>
          <w:iCs/>
          <w:szCs w:val="20"/>
          <w:lang w:val="fr-FR"/>
        </w:rPr>
        <w:t>Ḥayim ʻim ha-genim</w:t>
      </w:r>
      <w:r w:rsidRPr="00132CED">
        <w:rPr>
          <w:rFonts w:cs="Times New Roman"/>
          <w:szCs w:val="20"/>
          <w:lang w:val="fr-FR"/>
        </w:rPr>
        <w:t>, 110.</w:t>
      </w:r>
      <w:r w:rsidRPr="00132CED">
        <w:rPr>
          <w:rFonts w:cs="Times New Roman"/>
          <w:szCs w:val="20"/>
        </w:rPr>
        <w:fldChar w:fldCharType="end"/>
      </w:r>
    </w:p>
  </w:footnote>
  <w:footnote w:id="84">
    <w:p w14:paraId="028E17C9" w14:textId="06C9709D"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{"citationID":"qreuGhkA","properties":{"formattedCitation":"{\\rtf Bonn\\uc0\\u233{}-Tamir et al., \\uc0\\u8220{}HLA Polymorphism in Israel 8. The Armenian Community in Jerusalem.\\uc0\\u8221{}}","plainCitation":"Bonné-Tamir et al., “HLA Polymorphism in Israel 8. The Armenian Community in Jerusalem.”"},"citationItems":[{"id":993,"uris":["http://zotero.org/users/1208826/items/BCXS5HST"],"uri":["http://zotero.org/users/1208826/items/BCXS5HST"],"itemData":{"id":993,"type":"article-journal","title":"HLA Polymorphism in Israel 8. The Armenian Community in Jerusalem","container-title":"Tissue Antigens","page":"230-234","volume":"11","issue":"3","source":"CrossRef","DOI":"10.1111/j.1399-0039.1978.tb01254.x","ISSN":"00012815, 13990039","language":"en","author":[{"family":"Bonné-Tamir","given":"Batsheva"},{"family":"Bodmer","given":"Julia G."},{"family":"Young","given":"D."},{"family":"Ashbel","given":"Sara"}],"issued":{"date-parts":[["1978",3]]}}}],"schema":"https://github.com/citation-style-language/schema/raw/master/csl-citation.json"} </w:instrText>
      </w:r>
      <w:r w:rsidRPr="00132CED">
        <w:rPr>
          <w:rFonts w:cs="Times New Roman"/>
          <w:szCs w:val="20"/>
        </w:rPr>
        <w:fldChar w:fldCharType="separate"/>
      </w:r>
      <w:r w:rsidRPr="00132CED">
        <w:rPr>
          <w:rFonts w:cs="Times New Roman"/>
          <w:szCs w:val="20"/>
        </w:rPr>
        <w:t>Bonné-Tamir et al., “HLA Polymorphism in Israel 8. The Armenian Community in Jerusalem.”</w:t>
      </w:r>
      <w:r w:rsidRPr="00132CED">
        <w:rPr>
          <w:rFonts w:cs="Times New Roman"/>
          <w:szCs w:val="20"/>
        </w:rPr>
        <w:fldChar w:fldCharType="end"/>
      </w:r>
    </w:p>
  </w:footnote>
  <w:footnote w:id="85">
    <w:p w14:paraId="520E936C"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{"citationID":"9vOaqonC","properties":{"formattedCitation":"{\\rtf Ibid., 230\\uc0\\u8211{}31.}","plainCitation":"Ibid., 230–31."},"citationItems":[{"id":993,"uris":["http://zotero.org/users/1208826/items/BCXS5HST"],"uri":["http://zotero.org/users/1208826/items/BCXS5HST"],"itemData":{"id":993,"type":"article-journal","title":"HLA Polymorphism in Israel 8. The Armenian Community in Jerusalem","container-title":"Tissue Antigens","page":"230-234","volume":"11","issue":"3","source":"CrossRef","DOI":"10.1111/j.1399-0039.1978.tb01254.x","ISSN":"00012815, 13990039","language":"en","author":[{"family":"Bonné-Tamir","given":"Batsheva"},{"family":"Bodmer","given":"Julia G."},{"family":"Young","given":"D."},{"family":"Ashbel","given":"Sara"}],"issued":{"date-parts":[["1978",3]]}},"locator":"230-1"}],"schema":"https://github.com/citation-style-language/schema/raw/master/csl-citation.json"} </w:instrText>
      </w:r>
      <w:r w:rsidRPr="00132CED">
        <w:rPr>
          <w:rFonts w:cs="Times New Roman"/>
          <w:szCs w:val="20"/>
        </w:rPr>
        <w:fldChar w:fldCharType="separate"/>
      </w:r>
      <w:r w:rsidRPr="00132CED">
        <w:rPr>
          <w:rFonts w:cs="Times New Roman"/>
          <w:szCs w:val="20"/>
        </w:rPr>
        <w:t>Ibid., 230–31.</w:t>
      </w:r>
      <w:r w:rsidRPr="00132CED">
        <w:rPr>
          <w:rFonts w:cs="Times New Roman"/>
          <w:szCs w:val="20"/>
        </w:rPr>
        <w:fldChar w:fldCharType="end"/>
      </w:r>
    </w:p>
  </w:footnote>
  <w:footnote w:id="86">
    <w:p w14:paraId="64CD052C" w14:textId="291D1A66"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{"citationID":"fcZTqjwg","properties":{"formattedCitation":"{\\rtf Batsheva Bonn\\uc0\\u233{}, \\uc0\\u8220{}Chaim Sheba (1908-1971),\\uc0\\u8221{} {\\i{}American Journal of Physical Anthropology} 36, no. 3 (1972): 312.}","plainCitation":"Batsheva Bonné, “Chaim Sheba (1908-1971),” American Journal of Physical Anthropology 36, no. 3 (1972): 312."},"citationItems":[{"id":693,"uris":["http://zotero.org/users/1208826/items/DT3IUXFA"],"uri":["http://zotero.org/users/1208826/items/DT3IUXFA"],"itemData":{"id":693,"type":"article-journal","title":"Chaim Sheba (1908-1971)","container-title":"American Journal of Physical Anthropology","page":"308-313","volume":"36","issue":"3","author":[{"family":"Bonné","given":"Batsheva"}],"issued":{"date-parts":[["1972"]]}},"locator":"312"}],"schema":"https://github.com/citation-style-language/schema/raw/master/csl-citation.json"}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 “Chaim Sheba (1908-1971),” </w:t>
      </w:r>
      <w:r w:rsidRPr="00132CED">
        <w:rPr>
          <w:rFonts w:cs="Times New Roman"/>
          <w:i/>
          <w:iCs/>
          <w:szCs w:val="20"/>
        </w:rPr>
        <w:t>American Journal of Physical Anthropology</w:t>
      </w:r>
      <w:r w:rsidRPr="00132CED">
        <w:rPr>
          <w:rFonts w:cs="Times New Roman"/>
          <w:szCs w:val="20"/>
        </w:rPr>
        <w:t xml:space="preserve"> 36, no. 3 (1972)</w:t>
      </w:r>
      <w:r w:rsidR="007A2640" w:rsidRPr="00132CED">
        <w:rPr>
          <w:rFonts w:cs="Times New Roman"/>
          <w:szCs w:val="20"/>
        </w:rPr>
        <w:t>, 308-313</w:t>
      </w:r>
      <w:r w:rsidRPr="00132CED">
        <w:rPr>
          <w:rFonts w:cs="Times New Roman"/>
          <w:szCs w:val="20"/>
        </w:rPr>
        <w:t>: 312.</w:t>
      </w:r>
      <w:r w:rsidRPr="00132CED">
        <w:rPr>
          <w:rFonts w:cs="Times New Roman"/>
          <w:szCs w:val="20"/>
        </w:rPr>
        <w:fldChar w:fldCharType="end"/>
      </w:r>
    </w:p>
  </w:footnote>
  <w:footnote w:id="87">
    <w:p w14:paraId="284C631F" w14:textId="277999C5"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{"citationID":"vBviOdKG","properties":{"formattedCitation":"{\\rtf Batsheva Bonn\\uc0\\u233{}-Tamir et al., \\uc0\\u8220{}HLA Polymorphism in Israel: 9. An Overall Comparative Analysis,\\uc0\\u8221{} {\\i{}Tissue Antigens} 11, no. 3 (March 1978): 248, doi:10.1111/j.1399-0039.1978.tb01255.x.}","plainCitation":"Batsheva Bonné-Tamir et al., “HLA Polymorphism in Israel: 9. An Overall Comparative Analysis,” Tissue Antigens 11, no. 3 (March 1978): 248, doi:10.1111/j.1399-0039.1978.tb01255.x."},"citationItems":[{"id":994,"uris":["http://zotero.org/users/1208826/items/QIS9IJFP"],"uri":["http://zotero.org/users/1208826/items/QIS9IJFP"],"itemData":{"id":994,"type":"article-journal","title":"HLA Polymorphism in Israel: 9. An Overall Comparative Analysis","container-title":"Tissue Antigens","page":"235-250","volume":"11","issue":"3","source":"CrossRef","DOI":"10.1111/j.1399-0039.1978.tb01255.x","ISSN":"00012815, 13990039","shortTitle":"HLA Polymorphism in Israel","language":"en","author":[{"family":"Bonné-Tamir","given":"Batsheva"},{"family":"Bodmer","given":"Julia G."},{"family":"Bodmer","given":"Walter F."},{"family":"Pickbourne","given":"P."},{"family":"Brautbar","given":"Chaim"},{"family":"Gazit","given":"Ephraim"},{"family":"Nevo","given":"Sarah"},{"family":"Zamir","given":"Rina"}],"issued":{"date-parts":[["1978",3]]}},"locator":"248"}],"schema":"https://github.com/citation-style-language/schema/raw/master/csl-citation.json"} </w:instrText>
      </w:r>
      <w:r w:rsidRPr="00132CED">
        <w:rPr>
          <w:rFonts w:cs="Times New Roman"/>
          <w:szCs w:val="20"/>
        </w:rPr>
        <w:fldChar w:fldCharType="separate"/>
      </w:r>
      <w:r w:rsidRPr="00132CED">
        <w:rPr>
          <w:rFonts w:cs="Times New Roman"/>
          <w:szCs w:val="20"/>
        </w:rPr>
        <w:t xml:space="preserve">Batsheva Bonné-Tamir et al., “HLA Polymorphism in Israel: 9. An Overall Comparative Analysis,” </w:t>
      </w:r>
      <w:r w:rsidRPr="00132CED">
        <w:rPr>
          <w:rFonts w:cs="Times New Roman"/>
          <w:i/>
          <w:iCs/>
          <w:szCs w:val="20"/>
        </w:rPr>
        <w:t>Tissue Antigens</w:t>
      </w:r>
      <w:r w:rsidR="007A2640" w:rsidRPr="00132CED">
        <w:rPr>
          <w:rFonts w:cs="Times New Roman"/>
          <w:szCs w:val="20"/>
        </w:rPr>
        <w:t xml:space="preserve"> 11, no. 3 (</w:t>
      </w:r>
      <w:r w:rsidRPr="00132CED">
        <w:rPr>
          <w:rFonts w:cs="Times New Roman"/>
          <w:szCs w:val="20"/>
        </w:rPr>
        <w:t>1978)</w:t>
      </w:r>
      <w:r w:rsidR="007A2640" w:rsidRPr="00132CED">
        <w:rPr>
          <w:rFonts w:cs="Times New Roman"/>
          <w:szCs w:val="20"/>
        </w:rPr>
        <w:t>, 235-250</w:t>
      </w:r>
      <w:r w:rsidRPr="00132CED">
        <w:rPr>
          <w:rFonts w:cs="Times New Roman"/>
          <w:szCs w:val="20"/>
        </w:rPr>
        <w:t>: 248.</w:t>
      </w:r>
      <w:r w:rsidRPr="00132CED">
        <w:rPr>
          <w:rFonts w:cs="Times New Roman"/>
          <w:szCs w:val="20"/>
        </w:rPr>
        <w:fldChar w:fldCharType="end"/>
      </w:r>
    </w:p>
  </w:footnote>
  <w:footnote w:id="88">
    <w:p w14:paraId="15835296" w14:textId="7F0CE6FE"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{"citationID":"HKOGfSKl","properties":{"formattedCitation":"{\\rtf Hamideh Tabatabai, K. Mohammad, and Nahid Mohagheghpour, \\uc0\\u8220{}HLA Antigens in Two Iranian Populations: The Armenians and The Jews,\\uc0\\u8221{} {\\i{}Tissue Antigens} 12, no. 5 (1978): 309, doi:10.1111/j.1399-0039.1978.tb01338.x.}","plainCitation":"Hamideh Tabatabai, K. Mohammad, and Nahid Mohagheghpour, “HLA Antigens in Two Iranian Populations: The Armenians and The Jews,” Tissue Antigens 12, no. 5 (1978): 309, doi:10.1111/j.1399-0039.1978.tb01338.x."},"citationItems":[{"id":28,"uris":["http://zotero.org/users/1208826/items/66B2H8DF"],"uri":["http://zotero.org/users/1208826/items/66B2H8DF"],"itemData":{"id":28,"type":"article-journal","title":"HLA Antigens in Two Iranian Populations: The Armenians and The Jews","container-title":"Tissue Antigens","page":"309-314","volume":"12","issue":"5","source":"CrossRef","DOI":"10.1111/j.1399-0039.1978.tb01338.x","ISSN":"00012815, 13990039","shortTitle":"HLA Antigens in Two Iranian Populations","author":[{"family":"Tabatabai","given":"Hamideh"},{"family":"Mohammad","given":"K."},{"family":"Mohagheghpour","given":"Nahid"}],"issued":{"date-parts":[["1978"]]}},"locator":"309"}],"schema":"https://github.com/citation-style-language/schema/raw/master/csl-citation.json"} </w:instrText>
      </w:r>
      <w:r w:rsidRPr="00132CED">
        <w:rPr>
          <w:rFonts w:cs="Times New Roman"/>
          <w:szCs w:val="20"/>
        </w:rPr>
        <w:fldChar w:fldCharType="separate"/>
      </w:r>
      <w:r w:rsidRPr="00132CED">
        <w:rPr>
          <w:rFonts w:cs="Times New Roman"/>
          <w:szCs w:val="20"/>
        </w:rPr>
        <w:t xml:space="preserve">Hamideh Tabatabai, K. Mohammad, and Nahid Mohagheghpour, “HLA Antigens in Two Iranian Populations: The Armenians and The Jews,” </w:t>
      </w:r>
      <w:r w:rsidRPr="00132CED">
        <w:rPr>
          <w:rFonts w:cs="Times New Roman"/>
          <w:i/>
          <w:iCs/>
          <w:szCs w:val="20"/>
        </w:rPr>
        <w:t>Tissue Antigens</w:t>
      </w:r>
      <w:r w:rsidRPr="00132CED">
        <w:rPr>
          <w:rFonts w:cs="Times New Roman"/>
          <w:szCs w:val="20"/>
        </w:rPr>
        <w:t xml:space="preserve"> 12, no. 5 (1978)</w:t>
      </w:r>
      <w:r w:rsidR="007A2640" w:rsidRPr="00132CED">
        <w:rPr>
          <w:rFonts w:cs="Times New Roman"/>
          <w:szCs w:val="20"/>
        </w:rPr>
        <w:t>, 309-314</w:t>
      </w:r>
      <w:r w:rsidRPr="00132CED">
        <w:rPr>
          <w:rFonts w:cs="Times New Roman"/>
          <w:szCs w:val="20"/>
        </w:rPr>
        <w:t>: 309.</w:t>
      </w:r>
      <w:r w:rsidRPr="00132CED">
        <w:rPr>
          <w:rFonts w:cs="Times New Roman"/>
          <w:szCs w:val="20"/>
        </w:rPr>
        <w:fldChar w:fldCharType="end"/>
      </w:r>
    </w:p>
  </w:footnote>
  <w:footnote w:id="89">
    <w:p w14:paraId="6A04126A"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The authors further identified Armenians as racially “Mongolo-Aryan.” </w:t>
      </w:r>
      <w:r w:rsidRPr="00132CED">
        <w:rPr>
          <w:rFonts w:cs="Times New Roman"/>
          <w:szCs w:val="20"/>
        </w:rPr>
        <w:fldChar w:fldCharType="begin"/>
      </w:r>
      <w:r w:rsidRPr="00132CED">
        <w:rPr>
          <w:rFonts w:cs="Times New Roman"/>
          <w:szCs w:val="20"/>
        </w:rPr>
        <w:instrText xml:space="preserve"> ADDIN ZOTERO_ITEM CSL_CITATION {"citationID":"S2Nui4LR","properties":{"formattedCitation":"Ibid., 310.","plainCitation":"Ibid., 310."},"citationItems":[{"id":28,"uris":["http://zotero.org/users/1208826/items/66B2H8DF"],"uri":["http://zotero.org/users/1208826/items/66B2H8DF"],"itemData":{"id":28,"type":"article-journal","title":"HLA Antigens in Two Iranian Populations: The Armenians and The Jews","container-title":"Tissue Antigens","page":"309-314","volume":"12","issue":"5","source":"CrossRef","DOI":"10.1111/j.1399-0039.1978.tb01338.x","ISSN":"00012815, 13990039","shortTitle":"HLA Antigens in Two Iranian Populations","author":[{"family":"Tabatabai","given":"Hamideh"},{"family":"Mohammad","given":"K."},{"family":"Mohagheghpour","given":"Nahid"}],"issued":{"date-parts":[["1978"]]}},"locator":"310"}],"schema":"https://github.com/citation-style-language/schema/raw/master/csl-citation.json"} </w:instrText>
      </w:r>
      <w:r w:rsidRPr="00132CED">
        <w:rPr>
          <w:rFonts w:cs="Times New Roman"/>
          <w:szCs w:val="20"/>
        </w:rPr>
        <w:fldChar w:fldCharType="separate"/>
      </w:r>
      <w:r w:rsidRPr="00132CED">
        <w:rPr>
          <w:rFonts w:cs="Times New Roman"/>
          <w:noProof/>
          <w:szCs w:val="20"/>
        </w:rPr>
        <w:t>Ibid., 310.</w:t>
      </w:r>
      <w:r w:rsidRPr="00132CED">
        <w:rPr>
          <w:rFonts w:cs="Times New Roman"/>
          <w:szCs w:val="20"/>
        </w:rPr>
        <w:fldChar w:fldCharType="end"/>
      </w:r>
    </w:p>
  </w:footnote>
  <w:footnote w:id="90">
    <w:p w14:paraId="3943691D"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{"citationID":"4Feb7sYv","properties":{"formattedCitation":"Ibid., 314.","plainCitation":"Ibid., 314."},"citationItems":[{"id":28,"uris":["http://zotero.org/users/1208826/items/66B2H8DF"],"uri":["http://zotero.org/users/1208826/items/66B2H8DF"],"itemData":{"id":28,"type":"article-journal","title":"HLA Antigens in Two Iranian Populations: The Armenians and The Jews","container-title":"Tissue Antigens","page":"309-314","volume":"12","issue":"5","source":"CrossRef","DOI":"10.1111/j.1399-0039.1978.tb01338.x","ISSN":"00012815, 13990039","shortTitle":"HLA Antigens in Two Iranian Populations","author":[{"family":"Tabatabai","given":"Hamideh"},{"family":"Mohammad","given":"K."},{"family":"Mohagheghpour","given":"Nahid"}],"issued":{"date-parts":[["1978"]]}},"locator":"314"}],"schema":"https://github.com/citation-style-language/schema/raw/master/csl-citation.json"} </w:instrText>
      </w:r>
      <w:r w:rsidRPr="00132CED">
        <w:rPr>
          <w:rFonts w:cs="Times New Roman"/>
          <w:szCs w:val="20"/>
        </w:rPr>
        <w:fldChar w:fldCharType="separate"/>
      </w:r>
      <w:r w:rsidRPr="00132CED">
        <w:rPr>
          <w:rFonts w:cs="Times New Roman"/>
          <w:noProof/>
          <w:szCs w:val="20"/>
        </w:rPr>
        <w:t>Ibid., 314.</w:t>
      </w:r>
      <w:r w:rsidRPr="00132CED">
        <w:rPr>
          <w:rFonts w:cs="Times New Roman"/>
          <w:szCs w:val="20"/>
        </w:rPr>
        <w:fldChar w:fldCharType="end"/>
      </w:r>
    </w:p>
  </w:footnote>
  <w:footnote w:id="91">
    <w:p w14:paraId="6A2459FF"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{"citationID":"Xg6zOFn8","properties":{"formattedCitation":"{\\rtf Sheba, \\uc0\\u8220{}Jewish Migration in Its Historical Perspective.\\uc0\\u8221{}}","plainCitation":"Sheba, “Jewish Migration in Its Historical Perspective.”"},"citationItems":[{"id":741,"uris":["http://zotero.org/users/1208826/items/PZVQASQK"],"uri":["http://zotero.org/users/1208826/items/PZVQASQK"],"itemData":{"id":741,"type":"article-journal","title":"Jewish migration in its historical perspective","container-title":"Israel Journal of Medical Sciences","page":"1333-41","volume":"7","issue":"12","author":[{"family":"Sheba","given":"Chaim"}],"issued":{"date-parts":[["1971"]]}}}],"schema":"https://github.com/citation-style-language/schema/raw/master/csl-citation.json"} </w:instrText>
      </w:r>
      <w:r w:rsidRPr="00132CED">
        <w:rPr>
          <w:rFonts w:cs="Times New Roman"/>
          <w:szCs w:val="20"/>
        </w:rPr>
        <w:fldChar w:fldCharType="separate"/>
      </w:r>
      <w:r w:rsidRPr="00132CED">
        <w:rPr>
          <w:rFonts w:cs="Times New Roman"/>
          <w:szCs w:val="20"/>
        </w:rPr>
        <w:t>Sheba, “Jewish Migration in Its Historical Perspective.”</w:t>
      </w:r>
      <w:r w:rsidRPr="00132CED">
        <w:rPr>
          <w:rFonts w:cs="Times New Roman"/>
          <w:szCs w:val="20"/>
        </w:rPr>
        <w:fldChar w:fldCharType="end"/>
      </w:r>
    </w:p>
  </w:footnote>
  <w:footnote w:id="92">
    <w:p w14:paraId="0F9D6B06" w14:textId="6BAFF2AC"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Mohagheghpour to Bodmer, December 8, 1976, and Bodmer to Mohagheghpour, January 24, 1977. </w:t>
      </w:r>
      <w:proofErr w:type="gramStart"/>
      <w:r w:rsidRPr="00132CED">
        <w:rPr>
          <w:rFonts w:cs="Times New Roman"/>
          <w:szCs w:val="20"/>
        </w:rPr>
        <w:t>MS Bodmer 94, fol. 1, Bodleian Library.</w:t>
      </w:r>
      <w:proofErr w:type="gramEnd"/>
      <w:r w:rsidRPr="00132CED">
        <w:rPr>
          <w:rFonts w:cs="Times New Roman"/>
          <w:szCs w:val="20"/>
        </w:rPr>
        <w:t xml:space="preserve"> As further evidence of Bonné’s recommendation of Sheba’s work, Tabatabai’s 1977 thesis, completed before the corresponding article went to press, does not include the reference to Sheba.</w:t>
      </w:r>
    </w:p>
  </w:footnote>
  <w:footnote w:id="93">
    <w:p w14:paraId="251F816D"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{"citationID":"mzdSvAuT","properties":{"formattedCitation":"{\\rtf Hamideh Tabatabai, \\uc0\\u8220{}Barras\\uc0\\u299{}-yi muq\\uc0\\u257{}yisah-\\uc0\\u299{} zhinit\\uc0\\u299{}k-i \\uc0\\u299{}r\\uc0\\u257{}niy\\uc0\\u257{}n-i arman\\uc0\\u299{} va yah\\uc0\\u363{}d\\uc0\\u299{}\\uc0\\u8221{} (M. Sc. thesis, University of Tehran, 1977).}","plainCitation":"Hamideh Tabatabai, “Barrasī-yi muqāyisah-ī zhinitīk-i īrāniyān-i armanī va yahūdī” (M. Sc. thesis, University of Tehran, 1977)."},"citationItems":[{"id":29,"uris":["http://zotero.org/users/1208826/items/3H33MCPV"],"uri":["http://zotero.org/users/1208826/items/3H33MCPV"],"itemData":{"id":29,"type":"thesis","title":"Barrasī-yi muqāyisah-ī zhinitīk-i īrāniyān-i armanī va yahūdī","publisher":"University of Tehran","publisher-place":"Tehran","genre":"M. Sc. thesis","event-place":"Tehran","language":"Persian","author":[{"family":"Tabatabai","given":"Hamideh"}],"issued":{"date-parts":[["1977"]]}}}],"schema":"https://github.com/citation-style-language/schema/raw/master/csl-citation.json"} </w:instrText>
      </w:r>
      <w:r w:rsidRPr="00132CED">
        <w:rPr>
          <w:rFonts w:cs="Times New Roman"/>
          <w:szCs w:val="20"/>
        </w:rPr>
        <w:fldChar w:fldCharType="separate"/>
      </w:r>
      <w:r w:rsidRPr="00132CED">
        <w:rPr>
          <w:rFonts w:cs="Times New Roman"/>
          <w:szCs w:val="20"/>
        </w:rPr>
        <w:t>Hamideh Tabatabai, “Barrasī-yi muqāyisah-ī zhinitīk-i īrāniyān-i armanī va yahūdī” (M. Sc. thesis, University of Tehran, 1977).</w:t>
      </w:r>
      <w:r w:rsidRPr="00132CED">
        <w:rPr>
          <w:rFonts w:cs="Times New Roman"/>
          <w:szCs w:val="20"/>
        </w:rPr>
        <w:fldChar w:fldCharType="end"/>
      </w:r>
    </w:p>
  </w:footnote>
  <w:footnote w:id="94">
    <w:p w14:paraId="42336492"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proofErr w:type="gramStart"/>
      <w:r w:rsidRPr="00132CED">
        <w:rPr>
          <w:rFonts w:cs="Times New Roman"/>
          <w:szCs w:val="20"/>
        </w:rPr>
        <w:t>Oral history interview with James E. Bowman, September 27, 2002.</w:t>
      </w:r>
      <w:proofErr w:type="gramEnd"/>
      <w:r w:rsidRPr="00132CED">
        <w:rPr>
          <w:rFonts w:cs="Times New Roman"/>
          <w:szCs w:val="20"/>
        </w:rPr>
        <w:t xml:space="preserve"> </w:t>
      </w:r>
      <w:r w:rsidRPr="00132CED">
        <w:rPr>
          <w:rFonts w:cs="Times New Roman"/>
          <w:i/>
          <w:szCs w:val="20"/>
        </w:rPr>
        <w:t>The HistoryMakers</w:t>
      </w:r>
      <w:r w:rsidRPr="00132CED">
        <w:rPr>
          <w:rFonts w:cs="Times New Roman"/>
          <w:szCs w:val="20"/>
        </w:rPr>
        <w:t xml:space="preserve"> Digital Archive, accessed March 2016.</w:t>
      </w:r>
    </w:p>
  </w:footnote>
  <w:footnote w:id="95">
    <w:p w14:paraId="283A862D" w14:textId="77777777"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{"citationID":"EKKx0Hy2","properties":{"formattedCitation":"{\\rtf Bangham, \\uc0\\u8220{}Blood Groups and Human Groups,\\uc0\\u8221{} 11.}","plainCitation":"Bangham, “Blood Groups and Human Groups,” 11."},"citationItems":[{"id":666,"uris":["http://zotero.org/users/1208826/items/52P9UC4G"],"uri":["http://zotero.org/users/1208826/items/52P9UC4G"],"itemData":{"id":666,"type":"article-journal","title":"Blood groups and human groups: Collecting and calibrating genetic data after World War Two","container-title":"Studies in History and Philosophy of Science Part C: Studies in History and Philosophy of Biological and Biomedical Sciences","page":"74-86","volume":"47","source":"CrossRef","ISSN":"13698486","shortTitle":"Blood groups and human groups","language":"en","author":[{"family":"Bangham","given":"Jenny"}],"issued":{"date-parts":[["2014"]]}},"locator":"11"}],"schema":"https://github.com/citation-style-language/schema/raw/master/csl-citation.json"} </w:instrText>
      </w:r>
      <w:r w:rsidRPr="00132CED">
        <w:rPr>
          <w:rFonts w:cs="Times New Roman"/>
          <w:szCs w:val="20"/>
        </w:rPr>
        <w:fldChar w:fldCharType="separate"/>
      </w:r>
      <w:r w:rsidRPr="00132CED">
        <w:rPr>
          <w:rFonts w:cs="Times New Roman"/>
          <w:szCs w:val="20"/>
        </w:rPr>
        <w:t>Bangham, “Blood Groups and Human Groups,” 11.</w:t>
      </w:r>
      <w:r w:rsidRPr="00132CED">
        <w:rPr>
          <w:rFonts w:cs="Times New Roman"/>
          <w:szCs w:val="20"/>
        </w:rPr>
        <w:fldChar w:fldCharType="end"/>
      </w:r>
    </w:p>
  </w:footnote>
  <w:footnote w:id="96">
    <w:p w14:paraId="1C7022B5" w14:textId="685F19A4"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See </w:t>
      </w:r>
      <w:r w:rsidRPr="00132CED">
        <w:rPr>
          <w:rFonts w:cs="Times New Roman"/>
          <w:szCs w:val="20"/>
        </w:rPr>
        <w:fldChar w:fldCharType="begin"/>
      </w:r>
      <w:r w:rsidRPr="00132CED">
        <w:rPr>
          <w:rFonts w:cs="Times New Roman"/>
          <w:szCs w:val="20"/>
        </w:rPr>
        <w:instrText xml:space="preserve"> ADDIN ZOTERO_ITEM CSL_CITATION {"citationID":"6r355Kzi","properties":{"formattedCitation":"{\\rtf Mattson, \\uc0\\u8220{}Nation-State Science.\\uc0\\u8221{}}","plainCitation":"Mattson, “Nation-State Science.”"},"citationItems":[{"id":556,"uris":["http://zotero.org/users/1208826/items/7U4KVI7B"],"uri":["http://zotero.org/users/1208826/items/7U4KVI7B"],"itemData":{"id":556,"type":"article-journal","title":"Nation-State Science: Lappology and Sweden's Ethnoracial Purity","container-title":"Comparative Studies in Society and History","page":"320-350","volume":"56","issue":"02","source":"CrossRef","ISSN":"0010-4175, 1475-2999","shortTitle":"Nation-State Science","language":"en","author":[{"family":"Mattson","given":"Greggor"}],"issued":{"date-parts":[["2014"]]}}}],"schema":"https://github.com/citation-style-language/schema/raw/master/csl-citation.json"} </w:instrText>
      </w:r>
      <w:r w:rsidRPr="00132CED">
        <w:rPr>
          <w:rFonts w:cs="Times New Roman"/>
          <w:szCs w:val="20"/>
        </w:rPr>
        <w:fldChar w:fldCharType="separate"/>
      </w:r>
      <w:r w:rsidRPr="00132CED">
        <w:rPr>
          <w:rFonts w:cs="Times New Roman"/>
          <w:szCs w:val="20"/>
        </w:rPr>
        <w:t>Mattson, “Nation-State Science.”</w:t>
      </w:r>
      <w:r w:rsidRPr="00132CED">
        <w:rPr>
          <w:rFonts w:cs="Times New Roman"/>
          <w:szCs w:val="20"/>
        </w:rPr>
        <w:fldChar w:fldCharType="end"/>
      </w:r>
    </w:p>
  </w:footnote>
  <w:footnote w:id="97">
    <w:p w14:paraId="65A85EA1" w14:textId="4B20A0C1" w:rsidR="009749CE" w:rsidRPr="00132CED" w:rsidRDefault="009749CE" w:rsidP="00132CED">
      <w:pPr>
        <w:pStyle w:val="FootnoteText"/>
        <w:rPr>
          <w:rFonts w:cs="Times New Roman"/>
          <w:szCs w:val="20"/>
        </w:rPr>
      </w:pPr>
      <w:r w:rsidRPr="00132CED">
        <w:rPr>
          <w:rStyle w:val="FootnoteReference"/>
          <w:rFonts w:cs="Times New Roman"/>
        </w:rPr>
        <w:footnoteRef/>
      </w:r>
      <w:r w:rsidRPr="00132CED">
        <w:rPr>
          <w:rFonts w:cs="Times New Roman"/>
          <w:szCs w:val="20"/>
        </w:rPr>
        <w:t xml:space="preserve"> </w:t>
      </w:r>
      <w:r w:rsidRPr="00132CED">
        <w:rPr>
          <w:rFonts w:cs="Times New Roman"/>
          <w:szCs w:val="20"/>
        </w:rPr>
        <w:fldChar w:fldCharType="begin"/>
      </w:r>
      <w:r w:rsidRPr="00132CED">
        <w:rPr>
          <w:rFonts w:cs="Times New Roman"/>
          <w:szCs w:val="20"/>
        </w:rPr>
        <w:instrText xml:space="preserve"> ADDIN ZOTERO_ITEM CSL_CITATION {"citationID":"AbN8U0nx","properties":{"formattedCitation":"{\\rtf Anderson and Pols, \\uc0\\u8220{}Scientific Patriotism,\\uc0\\u8221{} 97.}","plainCitation":"Anderson and Pols, “Scientific Patriotism,” 97."},"citationItems":[{"id":910,"uris":["http://zotero.org/users/1208826/items/GQBMBD7F"],"uri":["http://zotero.org/users/1208826/items/GQBMBD7F"],"itemData":{"id":910,"type":"article-journal","title":"Scientific Patriotism: Medical Science and National Self-Fashioning in Southeast Asia","container-title":"Comparative Studies in Society and History","page":"93-113","volume":"54","issue":"01","source":"CrossRef","DOI":"10.1017/S0010417511000600","ISSN":"0010-4175, 1475-2999","shortTitle":"Scientific Patriotism","language":"en","author":[{"family":"Anderson","given":"Warwick"},{"family":"Pols","given":"Hans"}],"issued":{"date-parts":[["2012",1]]}},"locator":"97"}],"schema":"https://github.com/citation-style-language/schema/raw/master/csl-citation.json"} </w:instrText>
      </w:r>
      <w:r w:rsidRPr="00132CED">
        <w:rPr>
          <w:rFonts w:cs="Times New Roman"/>
          <w:szCs w:val="20"/>
        </w:rPr>
        <w:fldChar w:fldCharType="separate"/>
      </w:r>
      <w:r w:rsidRPr="00132CED">
        <w:rPr>
          <w:rFonts w:cs="Times New Roman"/>
          <w:szCs w:val="20"/>
        </w:rPr>
        <w:t>Anderson and Pols, “Scientific Patriotism,” 97.</w:t>
      </w:r>
      <w:r w:rsidRPr="00132CED">
        <w:rPr>
          <w:rFonts w:cs="Times New Roman"/>
          <w:szCs w:val="20"/>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85E7" w14:textId="77777777" w:rsidR="009749CE" w:rsidRDefault="009749CE" w:rsidP="00A257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97EBF" w14:textId="77777777" w:rsidR="009749CE" w:rsidRDefault="009749CE" w:rsidP="009F02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3B35" w14:textId="75BBF20C" w:rsidR="009749CE" w:rsidRPr="009F02DE" w:rsidRDefault="009749CE" w:rsidP="009F02DE">
    <w:pPr>
      <w:pStyle w:val="Footer"/>
      <w:ind w:right="450"/>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62F"/>
    <w:multiLevelType w:val="hybridMultilevel"/>
    <w:tmpl w:val="65364020"/>
    <w:lvl w:ilvl="0" w:tplc="84ECEA18">
      <w:start w:val="1"/>
      <w:numFmt w:val="upperRoman"/>
      <w:lvlText w:val="%1."/>
      <w:lvlJc w:val="left"/>
      <w:pPr>
        <w:ind w:left="1080" w:hanging="720"/>
      </w:pPr>
      <w:rPr>
        <w:rFonts w:hint="default"/>
      </w:rPr>
    </w:lvl>
    <w:lvl w:ilvl="1" w:tplc="7F16DAC4">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E7"/>
    <w:rsid w:val="000000F2"/>
    <w:rsid w:val="0000043C"/>
    <w:rsid w:val="00000B65"/>
    <w:rsid w:val="000014EC"/>
    <w:rsid w:val="00001A88"/>
    <w:rsid w:val="000021CE"/>
    <w:rsid w:val="00002570"/>
    <w:rsid w:val="00002FC1"/>
    <w:rsid w:val="000031A2"/>
    <w:rsid w:val="00003563"/>
    <w:rsid w:val="000047BC"/>
    <w:rsid w:val="00004BD6"/>
    <w:rsid w:val="00005027"/>
    <w:rsid w:val="00005A9B"/>
    <w:rsid w:val="00007483"/>
    <w:rsid w:val="00007A9B"/>
    <w:rsid w:val="00007AA0"/>
    <w:rsid w:val="00010B53"/>
    <w:rsid w:val="00011080"/>
    <w:rsid w:val="00012514"/>
    <w:rsid w:val="00012916"/>
    <w:rsid w:val="00013BD3"/>
    <w:rsid w:val="00013CCC"/>
    <w:rsid w:val="00013DBF"/>
    <w:rsid w:val="000147EF"/>
    <w:rsid w:val="00015187"/>
    <w:rsid w:val="00016598"/>
    <w:rsid w:val="00017275"/>
    <w:rsid w:val="0001728E"/>
    <w:rsid w:val="00017AEE"/>
    <w:rsid w:val="00021477"/>
    <w:rsid w:val="0002175D"/>
    <w:rsid w:val="00021B63"/>
    <w:rsid w:val="000236FC"/>
    <w:rsid w:val="000239C8"/>
    <w:rsid w:val="00023BD4"/>
    <w:rsid w:val="00024039"/>
    <w:rsid w:val="00024F7D"/>
    <w:rsid w:val="000265E8"/>
    <w:rsid w:val="00027C0F"/>
    <w:rsid w:val="00027C70"/>
    <w:rsid w:val="00030376"/>
    <w:rsid w:val="0003098B"/>
    <w:rsid w:val="000319B6"/>
    <w:rsid w:val="00032DEF"/>
    <w:rsid w:val="000338B2"/>
    <w:rsid w:val="0003447A"/>
    <w:rsid w:val="000352BE"/>
    <w:rsid w:val="00035E3D"/>
    <w:rsid w:val="000363A4"/>
    <w:rsid w:val="00036F72"/>
    <w:rsid w:val="00037852"/>
    <w:rsid w:val="00040F67"/>
    <w:rsid w:val="00041F90"/>
    <w:rsid w:val="0004229B"/>
    <w:rsid w:val="0004279F"/>
    <w:rsid w:val="00043F66"/>
    <w:rsid w:val="00044020"/>
    <w:rsid w:val="000451BB"/>
    <w:rsid w:val="0004528E"/>
    <w:rsid w:val="000458EE"/>
    <w:rsid w:val="00045CC5"/>
    <w:rsid w:val="000474F9"/>
    <w:rsid w:val="00047998"/>
    <w:rsid w:val="00051DFE"/>
    <w:rsid w:val="000522B8"/>
    <w:rsid w:val="0005253C"/>
    <w:rsid w:val="000525A6"/>
    <w:rsid w:val="00052CA5"/>
    <w:rsid w:val="00053D25"/>
    <w:rsid w:val="000547E9"/>
    <w:rsid w:val="00054ABA"/>
    <w:rsid w:val="00055A35"/>
    <w:rsid w:val="00056370"/>
    <w:rsid w:val="00056AB0"/>
    <w:rsid w:val="00056B52"/>
    <w:rsid w:val="00056E3B"/>
    <w:rsid w:val="00056FB7"/>
    <w:rsid w:val="00060EBB"/>
    <w:rsid w:val="00061894"/>
    <w:rsid w:val="00061D72"/>
    <w:rsid w:val="0006214E"/>
    <w:rsid w:val="0006233D"/>
    <w:rsid w:val="00062D63"/>
    <w:rsid w:val="00062F3F"/>
    <w:rsid w:val="00064329"/>
    <w:rsid w:val="000649F3"/>
    <w:rsid w:val="000651E5"/>
    <w:rsid w:val="00066203"/>
    <w:rsid w:val="000664C9"/>
    <w:rsid w:val="00067B87"/>
    <w:rsid w:val="00070CD3"/>
    <w:rsid w:val="00070D89"/>
    <w:rsid w:val="0007136D"/>
    <w:rsid w:val="00071B22"/>
    <w:rsid w:val="00071FEE"/>
    <w:rsid w:val="0007360B"/>
    <w:rsid w:val="0007497F"/>
    <w:rsid w:val="00075486"/>
    <w:rsid w:val="000758D4"/>
    <w:rsid w:val="00075934"/>
    <w:rsid w:val="0007594D"/>
    <w:rsid w:val="00075B5F"/>
    <w:rsid w:val="000769A3"/>
    <w:rsid w:val="00077EE9"/>
    <w:rsid w:val="00080C83"/>
    <w:rsid w:val="0008237D"/>
    <w:rsid w:val="0008311F"/>
    <w:rsid w:val="00084561"/>
    <w:rsid w:val="0008473A"/>
    <w:rsid w:val="00084F19"/>
    <w:rsid w:val="00086971"/>
    <w:rsid w:val="00086DD6"/>
    <w:rsid w:val="000906D7"/>
    <w:rsid w:val="0009252F"/>
    <w:rsid w:val="00092564"/>
    <w:rsid w:val="00092901"/>
    <w:rsid w:val="00093A72"/>
    <w:rsid w:val="00093C49"/>
    <w:rsid w:val="000943B2"/>
    <w:rsid w:val="00094E14"/>
    <w:rsid w:val="0009511C"/>
    <w:rsid w:val="0009583F"/>
    <w:rsid w:val="0009595E"/>
    <w:rsid w:val="00096625"/>
    <w:rsid w:val="00097FA8"/>
    <w:rsid w:val="000A1411"/>
    <w:rsid w:val="000A197E"/>
    <w:rsid w:val="000A1F06"/>
    <w:rsid w:val="000A258A"/>
    <w:rsid w:val="000A2862"/>
    <w:rsid w:val="000A4295"/>
    <w:rsid w:val="000A464F"/>
    <w:rsid w:val="000A514D"/>
    <w:rsid w:val="000A5150"/>
    <w:rsid w:val="000A597B"/>
    <w:rsid w:val="000A5B72"/>
    <w:rsid w:val="000A5DD8"/>
    <w:rsid w:val="000A5E86"/>
    <w:rsid w:val="000A5EFB"/>
    <w:rsid w:val="000A6052"/>
    <w:rsid w:val="000A62B0"/>
    <w:rsid w:val="000B1E61"/>
    <w:rsid w:val="000B2EE6"/>
    <w:rsid w:val="000B2FE4"/>
    <w:rsid w:val="000B3D91"/>
    <w:rsid w:val="000B4463"/>
    <w:rsid w:val="000B46C6"/>
    <w:rsid w:val="000B4B3B"/>
    <w:rsid w:val="000B4BAF"/>
    <w:rsid w:val="000B4E31"/>
    <w:rsid w:val="000B54F5"/>
    <w:rsid w:val="000B5B18"/>
    <w:rsid w:val="000B606F"/>
    <w:rsid w:val="000B6E7C"/>
    <w:rsid w:val="000B784C"/>
    <w:rsid w:val="000B7930"/>
    <w:rsid w:val="000B7FB7"/>
    <w:rsid w:val="000C0517"/>
    <w:rsid w:val="000C079B"/>
    <w:rsid w:val="000C0AB6"/>
    <w:rsid w:val="000C0FC8"/>
    <w:rsid w:val="000C1657"/>
    <w:rsid w:val="000C17C8"/>
    <w:rsid w:val="000C31C2"/>
    <w:rsid w:val="000C348E"/>
    <w:rsid w:val="000C3601"/>
    <w:rsid w:val="000C3645"/>
    <w:rsid w:val="000C3860"/>
    <w:rsid w:val="000C38E0"/>
    <w:rsid w:val="000C4822"/>
    <w:rsid w:val="000C5AF8"/>
    <w:rsid w:val="000C5C61"/>
    <w:rsid w:val="000C6A83"/>
    <w:rsid w:val="000C7468"/>
    <w:rsid w:val="000C76FC"/>
    <w:rsid w:val="000C7EA7"/>
    <w:rsid w:val="000D0887"/>
    <w:rsid w:val="000D11D9"/>
    <w:rsid w:val="000D192E"/>
    <w:rsid w:val="000D19D2"/>
    <w:rsid w:val="000D1B57"/>
    <w:rsid w:val="000D1B67"/>
    <w:rsid w:val="000D2E42"/>
    <w:rsid w:val="000D2F33"/>
    <w:rsid w:val="000D302F"/>
    <w:rsid w:val="000D30E2"/>
    <w:rsid w:val="000D380C"/>
    <w:rsid w:val="000D46AD"/>
    <w:rsid w:val="000D56A2"/>
    <w:rsid w:val="000D60AF"/>
    <w:rsid w:val="000D6856"/>
    <w:rsid w:val="000D6EF0"/>
    <w:rsid w:val="000E0C6F"/>
    <w:rsid w:val="000E1058"/>
    <w:rsid w:val="000E12FC"/>
    <w:rsid w:val="000E165F"/>
    <w:rsid w:val="000E174D"/>
    <w:rsid w:val="000E1A64"/>
    <w:rsid w:val="000E1A7A"/>
    <w:rsid w:val="000E1CEF"/>
    <w:rsid w:val="000E246C"/>
    <w:rsid w:val="000E2BB6"/>
    <w:rsid w:val="000E335C"/>
    <w:rsid w:val="000E33D5"/>
    <w:rsid w:val="000E3AE7"/>
    <w:rsid w:val="000E3B7B"/>
    <w:rsid w:val="000E4213"/>
    <w:rsid w:val="000E46E2"/>
    <w:rsid w:val="000E4C1F"/>
    <w:rsid w:val="000E5C1F"/>
    <w:rsid w:val="000E6B39"/>
    <w:rsid w:val="000E6ED8"/>
    <w:rsid w:val="000F02E9"/>
    <w:rsid w:val="000F11CC"/>
    <w:rsid w:val="000F1893"/>
    <w:rsid w:val="000F1A31"/>
    <w:rsid w:val="000F3AEA"/>
    <w:rsid w:val="000F44AB"/>
    <w:rsid w:val="000F54E7"/>
    <w:rsid w:val="000F5AD7"/>
    <w:rsid w:val="000F6071"/>
    <w:rsid w:val="000F6312"/>
    <w:rsid w:val="000F64A5"/>
    <w:rsid w:val="000F6A8E"/>
    <w:rsid w:val="000F71F3"/>
    <w:rsid w:val="000F7330"/>
    <w:rsid w:val="000F7477"/>
    <w:rsid w:val="000F76C4"/>
    <w:rsid w:val="000F7F7B"/>
    <w:rsid w:val="001001EC"/>
    <w:rsid w:val="00100A73"/>
    <w:rsid w:val="001013A1"/>
    <w:rsid w:val="001019B4"/>
    <w:rsid w:val="001043A6"/>
    <w:rsid w:val="00104BED"/>
    <w:rsid w:val="00105119"/>
    <w:rsid w:val="00105AE4"/>
    <w:rsid w:val="00111739"/>
    <w:rsid w:val="001124E2"/>
    <w:rsid w:val="0011369F"/>
    <w:rsid w:val="00113CEB"/>
    <w:rsid w:val="00113F6A"/>
    <w:rsid w:val="0011408F"/>
    <w:rsid w:val="00114DEE"/>
    <w:rsid w:val="00114EC0"/>
    <w:rsid w:val="00115093"/>
    <w:rsid w:val="001163A2"/>
    <w:rsid w:val="00116964"/>
    <w:rsid w:val="00117690"/>
    <w:rsid w:val="001176FD"/>
    <w:rsid w:val="00117BC6"/>
    <w:rsid w:val="00120133"/>
    <w:rsid w:val="0012016E"/>
    <w:rsid w:val="00120431"/>
    <w:rsid w:val="00120843"/>
    <w:rsid w:val="001210DC"/>
    <w:rsid w:val="0012192C"/>
    <w:rsid w:val="0012288B"/>
    <w:rsid w:val="00122C9B"/>
    <w:rsid w:val="001277F7"/>
    <w:rsid w:val="00127A83"/>
    <w:rsid w:val="00130DEB"/>
    <w:rsid w:val="0013171E"/>
    <w:rsid w:val="001317C8"/>
    <w:rsid w:val="00131B99"/>
    <w:rsid w:val="00131DCB"/>
    <w:rsid w:val="001327BD"/>
    <w:rsid w:val="0013294E"/>
    <w:rsid w:val="00132CED"/>
    <w:rsid w:val="0013392D"/>
    <w:rsid w:val="00134616"/>
    <w:rsid w:val="00134D5C"/>
    <w:rsid w:val="001356E0"/>
    <w:rsid w:val="001359AF"/>
    <w:rsid w:val="0013682D"/>
    <w:rsid w:val="0013772C"/>
    <w:rsid w:val="00137ED9"/>
    <w:rsid w:val="00141488"/>
    <w:rsid w:val="00141E52"/>
    <w:rsid w:val="0014223E"/>
    <w:rsid w:val="001435FA"/>
    <w:rsid w:val="001457AE"/>
    <w:rsid w:val="00146236"/>
    <w:rsid w:val="001466C3"/>
    <w:rsid w:val="001468B8"/>
    <w:rsid w:val="0014712E"/>
    <w:rsid w:val="00150B2B"/>
    <w:rsid w:val="001510E1"/>
    <w:rsid w:val="0015213C"/>
    <w:rsid w:val="00152D90"/>
    <w:rsid w:val="001535EB"/>
    <w:rsid w:val="0015394E"/>
    <w:rsid w:val="00153CAF"/>
    <w:rsid w:val="00154158"/>
    <w:rsid w:val="00154249"/>
    <w:rsid w:val="00157119"/>
    <w:rsid w:val="00157CDE"/>
    <w:rsid w:val="00161624"/>
    <w:rsid w:val="00161639"/>
    <w:rsid w:val="0016272B"/>
    <w:rsid w:val="00162C1C"/>
    <w:rsid w:val="00163C95"/>
    <w:rsid w:val="00163D93"/>
    <w:rsid w:val="001647F3"/>
    <w:rsid w:val="00164F00"/>
    <w:rsid w:val="001657C1"/>
    <w:rsid w:val="00165E87"/>
    <w:rsid w:val="00166044"/>
    <w:rsid w:val="001661A9"/>
    <w:rsid w:val="00166BA9"/>
    <w:rsid w:val="001670B4"/>
    <w:rsid w:val="001676C1"/>
    <w:rsid w:val="00167FD9"/>
    <w:rsid w:val="0017064B"/>
    <w:rsid w:val="00170F63"/>
    <w:rsid w:val="0017161D"/>
    <w:rsid w:val="00171F35"/>
    <w:rsid w:val="00176943"/>
    <w:rsid w:val="00177865"/>
    <w:rsid w:val="00177E82"/>
    <w:rsid w:val="0018072B"/>
    <w:rsid w:val="00180D93"/>
    <w:rsid w:val="00181DF5"/>
    <w:rsid w:val="0018216E"/>
    <w:rsid w:val="00182216"/>
    <w:rsid w:val="00182B1D"/>
    <w:rsid w:val="00182FE7"/>
    <w:rsid w:val="00183F1E"/>
    <w:rsid w:val="00184AC5"/>
    <w:rsid w:val="00184BB3"/>
    <w:rsid w:val="00184E86"/>
    <w:rsid w:val="0018505C"/>
    <w:rsid w:val="0018614B"/>
    <w:rsid w:val="001864D4"/>
    <w:rsid w:val="00186620"/>
    <w:rsid w:val="001869EB"/>
    <w:rsid w:val="00190F04"/>
    <w:rsid w:val="00191328"/>
    <w:rsid w:val="00191D23"/>
    <w:rsid w:val="0019251D"/>
    <w:rsid w:val="00192883"/>
    <w:rsid w:val="00194173"/>
    <w:rsid w:val="0019427B"/>
    <w:rsid w:val="00194CBC"/>
    <w:rsid w:val="0019550D"/>
    <w:rsid w:val="00195A74"/>
    <w:rsid w:val="00195F64"/>
    <w:rsid w:val="00197632"/>
    <w:rsid w:val="001A0AF4"/>
    <w:rsid w:val="001A12CC"/>
    <w:rsid w:val="001A1713"/>
    <w:rsid w:val="001A1D9A"/>
    <w:rsid w:val="001A228A"/>
    <w:rsid w:val="001A5334"/>
    <w:rsid w:val="001A6FB5"/>
    <w:rsid w:val="001A6FCC"/>
    <w:rsid w:val="001B02A5"/>
    <w:rsid w:val="001B352D"/>
    <w:rsid w:val="001B37BA"/>
    <w:rsid w:val="001B3F6E"/>
    <w:rsid w:val="001B4712"/>
    <w:rsid w:val="001B50F4"/>
    <w:rsid w:val="001B5777"/>
    <w:rsid w:val="001B610C"/>
    <w:rsid w:val="001B6DC0"/>
    <w:rsid w:val="001B7A5D"/>
    <w:rsid w:val="001C0144"/>
    <w:rsid w:val="001C2268"/>
    <w:rsid w:val="001C23F7"/>
    <w:rsid w:val="001C30A5"/>
    <w:rsid w:val="001C4D50"/>
    <w:rsid w:val="001C5342"/>
    <w:rsid w:val="001C60C3"/>
    <w:rsid w:val="001C6872"/>
    <w:rsid w:val="001C70F6"/>
    <w:rsid w:val="001C7DA0"/>
    <w:rsid w:val="001C7DC2"/>
    <w:rsid w:val="001C7E66"/>
    <w:rsid w:val="001D05F6"/>
    <w:rsid w:val="001D0943"/>
    <w:rsid w:val="001D0A7A"/>
    <w:rsid w:val="001D12F1"/>
    <w:rsid w:val="001D13D6"/>
    <w:rsid w:val="001D1555"/>
    <w:rsid w:val="001D1EC6"/>
    <w:rsid w:val="001D33AA"/>
    <w:rsid w:val="001D3DDD"/>
    <w:rsid w:val="001D4E24"/>
    <w:rsid w:val="001D5628"/>
    <w:rsid w:val="001D5756"/>
    <w:rsid w:val="001D638C"/>
    <w:rsid w:val="001D63F6"/>
    <w:rsid w:val="001D768B"/>
    <w:rsid w:val="001D7D25"/>
    <w:rsid w:val="001E0810"/>
    <w:rsid w:val="001E0CBC"/>
    <w:rsid w:val="001E2A80"/>
    <w:rsid w:val="001E2EB6"/>
    <w:rsid w:val="001E32C0"/>
    <w:rsid w:val="001E3E54"/>
    <w:rsid w:val="001E4103"/>
    <w:rsid w:val="001E4C2C"/>
    <w:rsid w:val="001E4CE9"/>
    <w:rsid w:val="001E5322"/>
    <w:rsid w:val="001E6B60"/>
    <w:rsid w:val="001E705A"/>
    <w:rsid w:val="001E769B"/>
    <w:rsid w:val="001E7893"/>
    <w:rsid w:val="001F0749"/>
    <w:rsid w:val="001F1CF6"/>
    <w:rsid w:val="001F2082"/>
    <w:rsid w:val="001F24B6"/>
    <w:rsid w:val="001F3205"/>
    <w:rsid w:val="001F470C"/>
    <w:rsid w:val="001F53AE"/>
    <w:rsid w:val="001F61F5"/>
    <w:rsid w:val="00200379"/>
    <w:rsid w:val="0020066E"/>
    <w:rsid w:val="00201137"/>
    <w:rsid w:val="0020178D"/>
    <w:rsid w:val="00201A44"/>
    <w:rsid w:val="002028F6"/>
    <w:rsid w:val="00203615"/>
    <w:rsid w:val="002045D3"/>
    <w:rsid w:val="00204D2B"/>
    <w:rsid w:val="00205343"/>
    <w:rsid w:val="002054C6"/>
    <w:rsid w:val="002056A4"/>
    <w:rsid w:val="002056C2"/>
    <w:rsid w:val="0020688A"/>
    <w:rsid w:val="002073B9"/>
    <w:rsid w:val="00207506"/>
    <w:rsid w:val="002100E7"/>
    <w:rsid w:val="00210BB9"/>
    <w:rsid w:val="00212622"/>
    <w:rsid w:val="00212C94"/>
    <w:rsid w:val="002133D9"/>
    <w:rsid w:val="00213444"/>
    <w:rsid w:val="0021359F"/>
    <w:rsid w:val="002146D6"/>
    <w:rsid w:val="00216258"/>
    <w:rsid w:val="00216D87"/>
    <w:rsid w:val="00220C73"/>
    <w:rsid w:val="0022119B"/>
    <w:rsid w:val="00221C6A"/>
    <w:rsid w:val="00221CD5"/>
    <w:rsid w:val="00221FD3"/>
    <w:rsid w:val="00222575"/>
    <w:rsid w:val="00222B0F"/>
    <w:rsid w:val="00222C23"/>
    <w:rsid w:val="00223C09"/>
    <w:rsid w:val="00224548"/>
    <w:rsid w:val="002246F1"/>
    <w:rsid w:val="00224BE5"/>
    <w:rsid w:val="00224D88"/>
    <w:rsid w:val="00226338"/>
    <w:rsid w:val="00226B2B"/>
    <w:rsid w:val="00226D11"/>
    <w:rsid w:val="00226FF9"/>
    <w:rsid w:val="002309A1"/>
    <w:rsid w:val="00232631"/>
    <w:rsid w:val="00232755"/>
    <w:rsid w:val="00232981"/>
    <w:rsid w:val="002330C7"/>
    <w:rsid w:val="00233221"/>
    <w:rsid w:val="0023517A"/>
    <w:rsid w:val="00235557"/>
    <w:rsid w:val="00237E17"/>
    <w:rsid w:val="00241A3B"/>
    <w:rsid w:val="002425DA"/>
    <w:rsid w:val="00242926"/>
    <w:rsid w:val="00242997"/>
    <w:rsid w:val="00242AD5"/>
    <w:rsid w:val="00242D09"/>
    <w:rsid w:val="0024435F"/>
    <w:rsid w:val="002443F6"/>
    <w:rsid w:val="0024592F"/>
    <w:rsid w:val="00246F4C"/>
    <w:rsid w:val="00250980"/>
    <w:rsid w:val="002509F3"/>
    <w:rsid w:val="00250E82"/>
    <w:rsid w:val="00250F54"/>
    <w:rsid w:val="00251218"/>
    <w:rsid w:val="00251928"/>
    <w:rsid w:val="00251F45"/>
    <w:rsid w:val="002526C2"/>
    <w:rsid w:val="00253316"/>
    <w:rsid w:val="0025363B"/>
    <w:rsid w:val="00253741"/>
    <w:rsid w:val="00253C0B"/>
    <w:rsid w:val="00255505"/>
    <w:rsid w:val="002557C2"/>
    <w:rsid w:val="00255BB7"/>
    <w:rsid w:val="00256327"/>
    <w:rsid w:val="00257C45"/>
    <w:rsid w:val="0026043E"/>
    <w:rsid w:val="00260EB7"/>
    <w:rsid w:val="00261050"/>
    <w:rsid w:val="00261357"/>
    <w:rsid w:val="00261C46"/>
    <w:rsid w:val="0026301B"/>
    <w:rsid w:val="00263222"/>
    <w:rsid w:val="0026344F"/>
    <w:rsid w:val="00263DC5"/>
    <w:rsid w:val="00264C11"/>
    <w:rsid w:val="002656E7"/>
    <w:rsid w:val="00265F96"/>
    <w:rsid w:val="002663EC"/>
    <w:rsid w:val="00266A0C"/>
    <w:rsid w:val="002672D2"/>
    <w:rsid w:val="00267305"/>
    <w:rsid w:val="002718A1"/>
    <w:rsid w:val="0027198D"/>
    <w:rsid w:val="00272946"/>
    <w:rsid w:val="002757A3"/>
    <w:rsid w:val="00275D68"/>
    <w:rsid w:val="0027612C"/>
    <w:rsid w:val="00276447"/>
    <w:rsid w:val="002767D1"/>
    <w:rsid w:val="00277648"/>
    <w:rsid w:val="002804D7"/>
    <w:rsid w:val="0028067C"/>
    <w:rsid w:val="00281ABC"/>
    <w:rsid w:val="00282F22"/>
    <w:rsid w:val="00283566"/>
    <w:rsid w:val="00284273"/>
    <w:rsid w:val="00284580"/>
    <w:rsid w:val="00284BA5"/>
    <w:rsid w:val="00285061"/>
    <w:rsid w:val="0028509D"/>
    <w:rsid w:val="00285171"/>
    <w:rsid w:val="00285955"/>
    <w:rsid w:val="002859E9"/>
    <w:rsid w:val="00285B05"/>
    <w:rsid w:val="00285CB6"/>
    <w:rsid w:val="00286F80"/>
    <w:rsid w:val="002871B8"/>
    <w:rsid w:val="00287DD5"/>
    <w:rsid w:val="00290EA9"/>
    <w:rsid w:val="00291731"/>
    <w:rsid w:val="0029173C"/>
    <w:rsid w:val="0029206D"/>
    <w:rsid w:val="002929F8"/>
    <w:rsid w:val="00292C1F"/>
    <w:rsid w:val="0029383C"/>
    <w:rsid w:val="0029621C"/>
    <w:rsid w:val="002968E6"/>
    <w:rsid w:val="0029770E"/>
    <w:rsid w:val="00297E08"/>
    <w:rsid w:val="00297FB9"/>
    <w:rsid w:val="002A0556"/>
    <w:rsid w:val="002A0869"/>
    <w:rsid w:val="002A0AFE"/>
    <w:rsid w:val="002A0E32"/>
    <w:rsid w:val="002A1485"/>
    <w:rsid w:val="002A4864"/>
    <w:rsid w:val="002A5446"/>
    <w:rsid w:val="002A5719"/>
    <w:rsid w:val="002A605A"/>
    <w:rsid w:val="002A66DB"/>
    <w:rsid w:val="002A7795"/>
    <w:rsid w:val="002A7ACD"/>
    <w:rsid w:val="002A7BA2"/>
    <w:rsid w:val="002B0D39"/>
    <w:rsid w:val="002B1C8C"/>
    <w:rsid w:val="002B329D"/>
    <w:rsid w:val="002B3C36"/>
    <w:rsid w:val="002B3EE1"/>
    <w:rsid w:val="002B60D9"/>
    <w:rsid w:val="002B646D"/>
    <w:rsid w:val="002B74B9"/>
    <w:rsid w:val="002C0B71"/>
    <w:rsid w:val="002C2216"/>
    <w:rsid w:val="002C3967"/>
    <w:rsid w:val="002C3F64"/>
    <w:rsid w:val="002C4330"/>
    <w:rsid w:val="002C4401"/>
    <w:rsid w:val="002C45A3"/>
    <w:rsid w:val="002C4688"/>
    <w:rsid w:val="002C5939"/>
    <w:rsid w:val="002C75F1"/>
    <w:rsid w:val="002D05DE"/>
    <w:rsid w:val="002D0686"/>
    <w:rsid w:val="002D113A"/>
    <w:rsid w:val="002D1B08"/>
    <w:rsid w:val="002D1EA2"/>
    <w:rsid w:val="002D2265"/>
    <w:rsid w:val="002D2888"/>
    <w:rsid w:val="002D297E"/>
    <w:rsid w:val="002D2C56"/>
    <w:rsid w:val="002D2C70"/>
    <w:rsid w:val="002D3679"/>
    <w:rsid w:val="002D412B"/>
    <w:rsid w:val="002D59F6"/>
    <w:rsid w:val="002D62A2"/>
    <w:rsid w:val="002D65AF"/>
    <w:rsid w:val="002D6930"/>
    <w:rsid w:val="002D7571"/>
    <w:rsid w:val="002E007C"/>
    <w:rsid w:val="002E0FB3"/>
    <w:rsid w:val="002E19AE"/>
    <w:rsid w:val="002E275D"/>
    <w:rsid w:val="002E2878"/>
    <w:rsid w:val="002E2A5F"/>
    <w:rsid w:val="002E2AEA"/>
    <w:rsid w:val="002E307B"/>
    <w:rsid w:val="002E36E2"/>
    <w:rsid w:val="002E373A"/>
    <w:rsid w:val="002E47CD"/>
    <w:rsid w:val="002E4FC7"/>
    <w:rsid w:val="002E5C35"/>
    <w:rsid w:val="002E5D7D"/>
    <w:rsid w:val="002E675D"/>
    <w:rsid w:val="002F0607"/>
    <w:rsid w:val="002F0F9A"/>
    <w:rsid w:val="002F1479"/>
    <w:rsid w:val="002F24AD"/>
    <w:rsid w:val="002F2AC1"/>
    <w:rsid w:val="002F3450"/>
    <w:rsid w:val="002F37E7"/>
    <w:rsid w:val="002F3BE9"/>
    <w:rsid w:val="002F4A53"/>
    <w:rsid w:val="002F69D6"/>
    <w:rsid w:val="002F730C"/>
    <w:rsid w:val="002F77F7"/>
    <w:rsid w:val="0030010A"/>
    <w:rsid w:val="00300CC2"/>
    <w:rsid w:val="0030150F"/>
    <w:rsid w:val="003017EC"/>
    <w:rsid w:val="0030333D"/>
    <w:rsid w:val="00303DAF"/>
    <w:rsid w:val="003057E5"/>
    <w:rsid w:val="003059A1"/>
    <w:rsid w:val="003059C9"/>
    <w:rsid w:val="00305DC9"/>
    <w:rsid w:val="0030646F"/>
    <w:rsid w:val="0030655E"/>
    <w:rsid w:val="00306821"/>
    <w:rsid w:val="0030712B"/>
    <w:rsid w:val="00307463"/>
    <w:rsid w:val="00307EFE"/>
    <w:rsid w:val="00310AC9"/>
    <w:rsid w:val="003112B9"/>
    <w:rsid w:val="00312FFA"/>
    <w:rsid w:val="003135AD"/>
    <w:rsid w:val="003136E6"/>
    <w:rsid w:val="00313769"/>
    <w:rsid w:val="00313BB0"/>
    <w:rsid w:val="003146FF"/>
    <w:rsid w:val="0031551E"/>
    <w:rsid w:val="00315864"/>
    <w:rsid w:val="00315E79"/>
    <w:rsid w:val="00317A75"/>
    <w:rsid w:val="00317F26"/>
    <w:rsid w:val="00320E86"/>
    <w:rsid w:val="00321A84"/>
    <w:rsid w:val="00321A94"/>
    <w:rsid w:val="00321EC0"/>
    <w:rsid w:val="003222D9"/>
    <w:rsid w:val="0032356D"/>
    <w:rsid w:val="0032357C"/>
    <w:rsid w:val="00324AAC"/>
    <w:rsid w:val="003253D8"/>
    <w:rsid w:val="00325700"/>
    <w:rsid w:val="00325F9D"/>
    <w:rsid w:val="00326AB0"/>
    <w:rsid w:val="00326E6D"/>
    <w:rsid w:val="00331D4C"/>
    <w:rsid w:val="00331DBD"/>
    <w:rsid w:val="0033203A"/>
    <w:rsid w:val="00332546"/>
    <w:rsid w:val="00335975"/>
    <w:rsid w:val="00336873"/>
    <w:rsid w:val="00336F4E"/>
    <w:rsid w:val="003374A4"/>
    <w:rsid w:val="00337C4E"/>
    <w:rsid w:val="003403AB"/>
    <w:rsid w:val="00340D93"/>
    <w:rsid w:val="00342022"/>
    <w:rsid w:val="003423E9"/>
    <w:rsid w:val="003430AD"/>
    <w:rsid w:val="003438F9"/>
    <w:rsid w:val="00343CEE"/>
    <w:rsid w:val="00343E9E"/>
    <w:rsid w:val="00344D3B"/>
    <w:rsid w:val="00344EB8"/>
    <w:rsid w:val="00345616"/>
    <w:rsid w:val="003457E5"/>
    <w:rsid w:val="00345BA9"/>
    <w:rsid w:val="00345BAB"/>
    <w:rsid w:val="00345EF3"/>
    <w:rsid w:val="00346024"/>
    <w:rsid w:val="00347D3D"/>
    <w:rsid w:val="00347DD1"/>
    <w:rsid w:val="003503D5"/>
    <w:rsid w:val="00351ACF"/>
    <w:rsid w:val="003527BF"/>
    <w:rsid w:val="00353316"/>
    <w:rsid w:val="00353FBF"/>
    <w:rsid w:val="00354879"/>
    <w:rsid w:val="003555F8"/>
    <w:rsid w:val="0035683C"/>
    <w:rsid w:val="00356929"/>
    <w:rsid w:val="003574C9"/>
    <w:rsid w:val="00357FF6"/>
    <w:rsid w:val="003603D0"/>
    <w:rsid w:val="0036096C"/>
    <w:rsid w:val="00360A2B"/>
    <w:rsid w:val="00361140"/>
    <w:rsid w:val="00362119"/>
    <w:rsid w:val="003623B9"/>
    <w:rsid w:val="003625E0"/>
    <w:rsid w:val="00362657"/>
    <w:rsid w:val="00362D39"/>
    <w:rsid w:val="00363DF6"/>
    <w:rsid w:val="00364320"/>
    <w:rsid w:val="003648AF"/>
    <w:rsid w:val="00366577"/>
    <w:rsid w:val="00366FBF"/>
    <w:rsid w:val="00370E39"/>
    <w:rsid w:val="003715D3"/>
    <w:rsid w:val="00372555"/>
    <w:rsid w:val="00373366"/>
    <w:rsid w:val="00373FF5"/>
    <w:rsid w:val="003742BA"/>
    <w:rsid w:val="00374C77"/>
    <w:rsid w:val="0037507C"/>
    <w:rsid w:val="003758A9"/>
    <w:rsid w:val="00376B2E"/>
    <w:rsid w:val="00376B7A"/>
    <w:rsid w:val="00376B9B"/>
    <w:rsid w:val="003773CF"/>
    <w:rsid w:val="0037785D"/>
    <w:rsid w:val="0038009C"/>
    <w:rsid w:val="00380186"/>
    <w:rsid w:val="00381650"/>
    <w:rsid w:val="00382950"/>
    <w:rsid w:val="003844B7"/>
    <w:rsid w:val="00384E1B"/>
    <w:rsid w:val="00385DC9"/>
    <w:rsid w:val="00386577"/>
    <w:rsid w:val="00387FF9"/>
    <w:rsid w:val="003900C8"/>
    <w:rsid w:val="00390B76"/>
    <w:rsid w:val="0039180A"/>
    <w:rsid w:val="003925FA"/>
    <w:rsid w:val="0039269B"/>
    <w:rsid w:val="003935C5"/>
    <w:rsid w:val="0039449F"/>
    <w:rsid w:val="003949FB"/>
    <w:rsid w:val="003963B8"/>
    <w:rsid w:val="00396C31"/>
    <w:rsid w:val="00396C34"/>
    <w:rsid w:val="00396DD0"/>
    <w:rsid w:val="003A0671"/>
    <w:rsid w:val="003A0AF5"/>
    <w:rsid w:val="003A1249"/>
    <w:rsid w:val="003A1B9B"/>
    <w:rsid w:val="003A1E20"/>
    <w:rsid w:val="003A2709"/>
    <w:rsid w:val="003A2A4F"/>
    <w:rsid w:val="003A354D"/>
    <w:rsid w:val="003A3B58"/>
    <w:rsid w:val="003A57C5"/>
    <w:rsid w:val="003A610D"/>
    <w:rsid w:val="003A631C"/>
    <w:rsid w:val="003A69E2"/>
    <w:rsid w:val="003A77B7"/>
    <w:rsid w:val="003B02B8"/>
    <w:rsid w:val="003B02D0"/>
    <w:rsid w:val="003B037D"/>
    <w:rsid w:val="003B0728"/>
    <w:rsid w:val="003B14C8"/>
    <w:rsid w:val="003B2EB1"/>
    <w:rsid w:val="003B431A"/>
    <w:rsid w:val="003B49BC"/>
    <w:rsid w:val="003B4C5C"/>
    <w:rsid w:val="003B4DDB"/>
    <w:rsid w:val="003B63CA"/>
    <w:rsid w:val="003B6968"/>
    <w:rsid w:val="003B6995"/>
    <w:rsid w:val="003B7238"/>
    <w:rsid w:val="003B7D95"/>
    <w:rsid w:val="003C0144"/>
    <w:rsid w:val="003C03E2"/>
    <w:rsid w:val="003C0EC5"/>
    <w:rsid w:val="003C0F92"/>
    <w:rsid w:val="003C2222"/>
    <w:rsid w:val="003C30A7"/>
    <w:rsid w:val="003C317C"/>
    <w:rsid w:val="003C5182"/>
    <w:rsid w:val="003C5426"/>
    <w:rsid w:val="003C5787"/>
    <w:rsid w:val="003C5A66"/>
    <w:rsid w:val="003C5F04"/>
    <w:rsid w:val="003C67C3"/>
    <w:rsid w:val="003C79AF"/>
    <w:rsid w:val="003D19A5"/>
    <w:rsid w:val="003D2457"/>
    <w:rsid w:val="003D2B5C"/>
    <w:rsid w:val="003D5023"/>
    <w:rsid w:val="003D68CD"/>
    <w:rsid w:val="003D697D"/>
    <w:rsid w:val="003D70D5"/>
    <w:rsid w:val="003D7250"/>
    <w:rsid w:val="003D77A2"/>
    <w:rsid w:val="003D7CCB"/>
    <w:rsid w:val="003D7D08"/>
    <w:rsid w:val="003E0A9D"/>
    <w:rsid w:val="003E1185"/>
    <w:rsid w:val="003E202E"/>
    <w:rsid w:val="003E2E0C"/>
    <w:rsid w:val="003E3C10"/>
    <w:rsid w:val="003E41AC"/>
    <w:rsid w:val="003E43A4"/>
    <w:rsid w:val="003E4A53"/>
    <w:rsid w:val="003E4C70"/>
    <w:rsid w:val="003E5DF8"/>
    <w:rsid w:val="003F01B7"/>
    <w:rsid w:val="003F16B0"/>
    <w:rsid w:val="003F2112"/>
    <w:rsid w:val="003F5715"/>
    <w:rsid w:val="003F626D"/>
    <w:rsid w:val="003F6BC9"/>
    <w:rsid w:val="003F78C4"/>
    <w:rsid w:val="003F7DC7"/>
    <w:rsid w:val="003F7F41"/>
    <w:rsid w:val="00400A90"/>
    <w:rsid w:val="00400BDC"/>
    <w:rsid w:val="00400EC6"/>
    <w:rsid w:val="00401397"/>
    <w:rsid w:val="00401557"/>
    <w:rsid w:val="0040209E"/>
    <w:rsid w:val="00402251"/>
    <w:rsid w:val="00404096"/>
    <w:rsid w:val="00404183"/>
    <w:rsid w:val="0040429B"/>
    <w:rsid w:val="00404DD2"/>
    <w:rsid w:val="00404E13"/>
    <w:rsid w:val="00405226"/>
    <w:rsid w:val="00405CCE"/>
    <w:rsid w:val="00406231"/>
    <w:rsid w:val="00406310"/>
    <w:rsid w:val="0040778C"/>
    <w:rsid w:val="00407E40"/>
    <w:rsid w:val="0041061D"/>
    <w:rsid w:val="00410874"/>
    <w:rsid w:val="00410932"/>
    <w:rsid w:val="0041117F"/>
    <w:rsid w:val="0041199C"/>
    <w:rsid w:val="00411EAA"/>
    <w:rsid w:val="00411FA6"/>
    <w:rsid w:val="00413988"/>
    <w:rsid w:val="00413F42"/>
    <w:rsid w:val="00415365"/>
    <w:rsid w:val="00415F34"/>
    <w:rsid w:val="004168C1"/>
    <w:rsid w:val="004202EF"/>
    <w:rsid w:val="004213BB"/>
    <w:rsid w:val="0042228D"/>
    <w:rsid w:val="00422881"/>
    <w:rsid w:val="004231F4"/>
    <w:rsid w:val="00425B8B"/>
    <w:rsid w:val="00427D2E"/>
    <w:rsid w:val="00432F0C"/>
    <w:rsid w:val="004333BF"/>
    <w:rsid w:val="004336A5"/>
    <w:rsid w:val="00433768"/>
    <w:rsid w:val="00433C08"/>
    <w:rsid w:val="0043405C"/>
    <w:rsid w:val="00434181"/>
    <w:rsid w:val="004341B9"/>
    <w:rsid w:val="00434456"/>
    <w:rsid w:val="00434533"/>
    <w:rsid w:val="004346FF"/>
    <w:rsid w:val="00436B0B"/>
    <w:rsid w:val="004377D6"/>
    <w:rsid w:val="004378A1"/>
    <w:rsid w:val="004404F3"/>
    <w:rsid w:val="004412C6"/>
    <w:rsid w:val="0044200F"/>
    <w:rsid w:val="004427CD"/>
    <w:rsid w:val="004432E2"/>
    <w:rsid w:val="00443420"/>
    <w:rsid w:val="00443AD4"/>
    <w:rsid w:val="0044453B"/>
    <w:rsid w:val="00445112"/>
    <w:rsid w:val="00445655"/>
    <w:rsid w:val="004457ED"/>
    <w:rsid w:val="0044583A"/>
    <w:rsid w:val="004465EE"/>
    <w:rsid w:val="0044671A"/>
    <w:rsid w:val="004511B7"/>
    <w:rsid w:val="004517AD"/>
    <w:rsid w:val="00452D25"/>
    <w:rsid w:val="004530A9"/>
    <w:rsid w:val="00453597"/>
    <w:rsid w:val="00453C65"/>
    <w:rsid w:val="004545BB"/>
    <w:rsid w:val="004557C5"/>
    <w:rsid w:val="00456722"/>
    <w:rsid w:val="004577F4"/>
    <w:rsid w:val="00460826"/>
    <w:rsid w:val="00461A53"/>
    <w:rsid w:val="0046238C"/>
    <w:rsid w:val="00463769"/>
    <w:rsid w:val="00465911"/>
    <w:rsid w:val="00466D25"/>
    <w:rsid w:val="00466F9E"/>
    <w:rsid w:val="0047235B"/>
    <w:rsid w:val="00474353"/>
    <w:rsid w:val="00474846"/>
    <w:rsid w:val="00475FE7"/>
    <w:rsid w:val="004762B1"/>
    <w:rsid w:val="00476819"/>
    <w:rsid w:val="00476CF0"/>
    <w:rsid w:val="004773F7"/>
    <w:rsid w:val="00477BEC"/>
    <w:rsid w:val="00477F73"/>
    <w:rsid w:val="00480248"/>
    <w:rsid w:val="00480681"/>
    <w:rsid w:val="00480BAB"/>
    <w:rsid w:val="00481540"/>
    <w:rsid w:val="00482815"/>
    <w:rsid w:val="00482914"/>
    <w:rsid w:val="0048443B"/>
    <w:rsid w:val="00484694"/>
    <w:rsid w:val="00484AE8"/>
    <w:rsid w:val="00484D41"/>
    <w:rsid w:val="00484E68"/>
    <w:rsid w:val="00485C1D"/>
    <w:rsid w:val="00486BEE"/>
    <w:rsid w:val="0049023E"/>
    <w:rsid w:val="004902D0"/>
    <w:rsid w:val="00490AB1"/>
    <w:rsid w:val="00490ACC"/>
    <w:rsid w:val="00490CEF"/>
    <w:rsid w:val="00492B77"/>
    <w:rsid w:val="00493B50"/>
    <w:rsid w:val="00494401"/>
    <w:rsid w:val="00494C15"/>
    <w:rsid w:val="00495149"/>
    <w:rsid w:val="004959BC"/>
    <w:rsid w:val="00495A2F"/>
    <w:rsid w:val="00495D29"/>
    <w:rsid w:val="00496E70"/>
    <w:rsid w:val="004A06C0"/>
    <w:rsid w:val="004A08A6"/>
    <w:rsid w:val="004A0B82"/>
    <w:rsid w:val="004A134C"/>
    <w:rsid w:val="004A17D7"/>
    <w:rsid w:val="004A197B"/>
    <w:rsid w:val="004A1C20"/>
    <w:rsid w:val="004A1D1B"/>
    <w:rsid w:val="004A22E7"/>
    <w:rsid w:val="004A2713"/>
    <w:rsid w:val="004A2A73"/>
    <w:rsid w:val="004A4145"/>
    <w:rsid w:val="004A4245"/>
    <w:rsid w:val="004A47D9"/>
    <w:rsid w:val="004A6B2F"/>
    <w:rsid w:val="004A7B56"/>
    <w:rsid w:val="004A7D3C"/>
    <w:rsid w:val="004A7FD1"/>
    <w:rsid w:val="004B0AC1"/>
    <w:rsid w:val="004B1B1F"/>
    <w:rsid w:val="004B2B88"/>
    <w:rsid w:val="004B4ADF"/>
    <w:rsid w:val="004B4DCD"/>
    <w:rsid w:val="004B5BA8"/>
    <w:rsid w:val="004B5BDD"/>
    <w:rsid w:val="004B5C28"/>
    <w:rsid w:val="004B5E36"/>
    <w:rsid w:val="004B721B"/>
    <w:rsid w:val="004B7DB0"/>
    <w:rsid w:val="004C1DB7"/>
    <w:rsid w:val="004C2870"/>
    <w:rsid w:val="004C29CE"/>
    <w:rsid w:val="004C2AD7"/>
    <w:rsid w:val="004C2F72"/>
    <w:rsid w:val="004C3222"/>
    <w:rsid w:val="004C3B6A"/>
    <w:rsid w:val="004C4C8A"/>
    <w:rsid w:val="004C4D17"/>
    <w:rsid w:val="004C5051"/>
    <w:rsid w:val="004C79E0"/>
    <w:rsid w:val="004C7F3B"/>
    <w:rsid w:val="004D02CD"/>
    <w:rsid w:val="004D1580"/>
    <w:rsid w:val="004D1F91"/>
    <w:rsid w:val="004D1FF3"/>
    <w:rsid w:val="004D22CD"/>
    <w:rsid w:val="004D2BD0"/>
    <w:rsid w:val="004D3D80"/>
    <w:rsid w:val="004D48D2"/>
    <w:rsid w:val="004D51E0"/>
    <w:rsid w:val="004D52E0"/>
    <w:rsid w:val="004D57B4"/>
    <w:rsid w:val="004D60A0"/>
    <w:rsid w:val="004D60ED"/>
    <w:rsid w:val="004D6366"/>
    <w:rsid w:val="004D6745"/>
    <w:rsid w:val="004D67D3"/>
    <w:rsid w:val="004D7A4E"/>
    <w:rsid w:val="004D7EE7"/>
    <w:rsid w:val="004E0210"/>
    <w:rsid w:val="004E0B4F"/>
    <w:rsid w:val="004E16A2"/>
    <w:rsid w:val="004E178B"/>
    <w:rsid w:val="004E2FD8"/>
    <w:rsid w:val="004E33FA"/>
    <w:rsid w:val="004E3594"/>
    <w:rsid w:val="004E48D3"/>
    <w:rsid w:val="004E4A18"/>
    <w:rsid w:val="004E536C"/>
    <w:rsid w:val="004E5656"/>
    <w:rsid w:val="004E5F65"/>
    <w:rsid w:val="004E75E7"/>
    <w:rsid w:val="004E7763"/>
    <w:rsid w:val="004E7D69"/>
    <w:rsid w:val="004F1D0B"/>
    <w:rsid w:val="004F214D"/>
    <w:rsid w:val="004F288F"/>
    <w:rsid w:val="004F31FD"/>
    <w:rsid w:val="004F436B"/>
    <w:rsid w:val="004F44FB"/>
    <w:rsid w:val="004F4A40"/>
    <w:rsid w:val="004F4E11"/>
    <w:rsid w:val="004F5628"/>
    <w:rsid w:val="004F590B"/>
    <w:rsid w:val="004F5FFF"/>
    <w:rsid w:val="004F6182"/>
    <w:rsid w:val="004F69B2"/>
    <w:rsid w:val="004F6FAF"/>
    <w:rsid w:val="004F7739"/>
    <w:rsid w:val="005002E8"/>
    <w:rsid w:val="00500310"/>
    <w:rsid w:val="00500F9F"/>
    <w:rsid w:val="00501149"/>
    <w:rsid w:val="00501418"/>
    <w:rsid w:val="00501C93"/>
    <w:rsid w:val="00501E49"/>
    <w:rsid w:val="00501F2F"/>
    <w:rsid w:val="0050325E"/>
    <w:rsid w:val="0050348C"/>
    <w:rsid w:val="00503E46"/>
    <w:rsid w:val="00503EBF"/>
    <w:rsid w:val="0050489E"/>
    <w:rsid w:val="00504CD4"/>
    <w:rsid w:val="00504FC7"/>
    <w:rsid w:val="005056B3"/>
    <w:rsid w:val="005063A3"/>
    <w:rsid w:val="005073FD"/>
    <w:rsid w:val="0051014C"/>
    <w:rsid w:val="00510B4B"/>
    <w:rsid w:val="00510E5F"/>
    <w:rsid w:val="00510FD8"/>
    <w:rsid w:val="005112E6"/>
    <w:rsid w:val="00511E48"/>
    <w:rsid w:val="00512208"/>
    <w:rsid w:val="00512692"/>
    <w:rsid w:val="00513BB9"/>
    <w:rsid w:val="00514021"/>
    <w:rsid w:val="00514E80"/>
    <w:rsid w:val="00515A5E"/>
    <w:rsid w:val="00515AFC"/>
    <w:rsid w:val="0051771B"/>
    <w:rsid w:val="00520DE7"/>
    <w:rsid w:val="00522442"/>
    <w:rsid w:val="005225EB"/>
    <w:rsid w:val="0052369F"/>
    <w:rsid w:val="005253D3"/>
    <w:rsid w:val="005263BC"/>
    <w:rsid w:val="00530685"/>
    <w:rsid w:val="00530C1D"/>
    <w:rsid w:val="00531B1A"/>
    <w:rsid w:val="00531C01"/>
    <w:rsid w:val="00532FF6"/>
    <w:rsid w:val="00533252"/>
    <w:rsid w:val="00533882"/>
    <w:rsid w:val="005344F1"/>
    <w:rsid w:val="00534DDA"/>
    <w:rsid w:val="005352BB"/>
    <w:rsid w:val="005354D7"/>
    <w:rsid w:val="005356FA"/>
    <w:rsid w:val="005360F0"/>
    <w:rsid w:val="005361E0"/>
    <w:rsid w:val="00536A15"/>
    <w:rsid w:val="005370BA"/>
    <w:rsid w:val="005374AC"/>
    <w:rsid w:val="005400D4"/>
    <w:rsid w:val="005406A5"/>
    <w:rsid w:val="00541EC1"/>
    <w:rsid w:val="00542BAB"/>
    <w:rsid w:val="00542C76"/>
    <w:rsid w:val="00542E27"/>
    <w:rsid w:val="005439C8"/>
    <w:rsid w:val="00543E30"/>
    <w:rsid w:val="005440CD"/>
    <w:rsid w:val="005450B9"/>
    <w:rsid w:val="00545654"/>
    <w:rsid w:val="00545769"/>
    <w:rsid w:val="00545E25"/>
    <w:rsid w:val="00547A26"/>
    <w:rsid w:val="00547C52"/>
    <w:rsid w:val="0055049F"/>
    <w:rsid w:val="005504D3"/>
    <w:rsid w:val="005511D0"/>
    <w:rsid w:val="00551E7D"/>
    <w:rsid w:val="00552118"/>
    <w:rsid w:val="005532A4"/>
    <w:rsid w:val="00554381"/>
    <w:rsid w:val="0055549E"/>
    <w:rsid w:val="00555692"/>
    <w:rsid w:val="00555C01"/>
    <w:rsid w:val="005560F6"/>
    <w:rsid w:val="00556345"/>
    <w:rsid w:val="005563CB"/>
    <w:rsid w:val="005568D5"/>
    <w:rsid w:val="00556D4A"/>
    <w:rsid w:val="005603CC"/>
    <w:rsid w:val="00560F35"/>
    <w:rsid w:val="0056115D"/>
    <w:rsid w:val="00561D35"/>
    <w:rsid w:val="0056305C"/>
    <w:rsid w:val="005635E5"/>
    <w:rsid w:val="00563BDE"/>
    <w:rsid w:val="00564238"/>
    <w:rsid w:val="00564871"/>
    <w:rsid w:val="005649DE"/>
    <w:rsid w:val="00564F73"/>
    <w:rsid w:val="00565C1C"/>
    <w:rsid w:val="005668CD"/>
    <w:rsid w:val="00566A1D"/>
    <w:rsid w:val="00567191"/>
    <w:rsid w:val="00567380"/>
    <w:rsid w:val="00570361"/>
    <w:rsid w:val="00570E19"/>
    <w:rsid w:val="00570EC2"/>
    <w:rsid w:val="0057142D"/>
    <w:rsid w:val="0057371F"/>
    <w:rsid w:val="0057381D"/>
    <w:rsid w:val="00573BD6"/>
    <w:rsid w:val="00574C85"/>
    <w:rsid w:val="00575426"/>
    <w:rsid w:val="0057607C"/>
    <w:rsid w:val="00576F85"/>
    <w:rsid w:val="0058021E"/>
    <w:rsid w:val="005802F2"/>
    <w:rsid w:val="005806E0"/>
    <w:rsid w:val="00581D41"/>
    <w:rsid w:val="005832C3"/>
    <w:rsid w:val="00583609"/>
    <w:rsid w:val="00584075"/>
    <w:rsid w:val="00584A99"/>
    <w:rsid w:val="00585ACC"/>
    <w:rsid w:val="00585B89"/>
    <w:rsid w:val="00586483"/>
    <w:rsid w:val="00586ADA"/>
    <w:rsid w:val="005914DC"/>
    <w:rsid w:val="00591D49"/>
    <w:rsid w:val="005920BE"/>
    <w:rsid w:val="005929AE"/>
    <w:rsid w:val="00594313"/>
    <w:rsid w:val="00594A2B"/>
    <w:rsid w:val="00595A47"/>
    <w:rsid w:val="00595FF8"/>
    <w:rsid w:val="0059686C"/>
    <w:rsid w:val="005971AA"/>
    <w:rsid w:val="00597421"/>
    <w:rsid w:val="005A0299"/>
    <w:rsid w:val="005A0427"/>
    <w:rsid w:val="005A08D5"/>
    <w:rsid w:val="005A098D"/>
    <w:rsid w:val="005A0BED"/>
    <w:rsid w:val="005A127D"/>
    <w:rsid w:val="005A1FAC"/>
    <w:rsid w:val="005A1FF2"/>
    <w:rsid w:val="005A245C"/>
    <w:rsid w:val="005A2E63"/>
    <w:rsid w:val="005A3595"/>
    <w:rsid w:val="005A62D3"/>
    <w:rsid w:val="005A6AA0"/>
    <w:rsid w:val="005A6B6B"/>
    <w:rsid w:val="005B05A3"/>
    <w:rsid w:val="005B1E5D"/>
    <w:rsid w:val="005B40E9"/>
    <w:rsid w:val="005B4D86"/>
    <w:rsid w:val="005B525C"/>
    <w:rsid w:val="005B5260"/>
    <w:rsid w:val="005B6B5B"/>
    <w:rsid w:val="005B7ED5"/>
    <w:rsid w:val="005C159C"/>
    <w:rsid w:val="005C1BEF"/>
    <w:rsid w:val="005C209B"/>
    <w:rsid w:val="005C2871"/>
    <w:rsid w:val="005C2963"/>
    <w:rsid w:val="005C33AA"/>
    <w:rsid w:val="005C4954"/>
    <w:rsid w:val="005C613D"/>
    <w:rsid w:val="005C67B3"/>
    <w:rsid w:val="005C7052"/>
    <w:rsid w:val="005C7F31"/>
    <w:rsid w:val="005D055F"/>
    <w:rsid w:val="005D1140"/>
    <w:rsid w:val="005D1942"/>
    <w:rsid w:val="005D2541"/>
    <w:rsid w:val="005D2FF3"/>
    <w:rsid w:val="005D34BF"/>
    <w:rsid w:val="005D37A2"/>
    <w:rsid w:val="005D4109"/>
    <w:rsid w:val="005D426E"/>
    <w:rsid w:val="005D44B6"/>
    <w:rsid w:val="005D479D"/>
    <w:rsid w:val="005D4BF1"/>
    <w:rsid w:val="005D5D26"/>
    <w:rsid w:val="005D67A9"/>
    <w:rsid w:val="005D70B4"/>
    <w:rsid w:val="005D712D"/>
    <w:rsid w:val="005E0F3C"/>
    <w:rsid w:val="005E15BC"/>
    <w:rsid w:val="005E1CDA"/>
    <w:rsid w:val="005E3525"/>
    <w:rsid w:val="005E3790"/>
    <w:rsid w:val="005E5807"/>
    <w:rsid w:val="005E64CD"/>
    <w:rsid w:val="005F07FD"/>
    <w:rsid w:val="005F0C77"/>
    <w:rsid w:val="005F0CA3"/>
    <w:rsid w:val="005F1439"/>
    <w:rsid w:val="005F1AED"/>
    <w:rsid w:val="005F3DD0"/>
    <w:rsid w:val="005F46C3"/>
    <w:rsid w:val="005F50CE"/>
    <w:rsid w:val="005F5281"/>
    <w:rsid w:val="005F5284"/>
    <w:rsid w:val="005F5858"/>
    <w:rsid w:val="005F6766"/>
    <w:rsid w:val="0060047F"/>
    <w:rsid w:val="00600702"/>
    <w:rsid w:val="00601297"/>
    <w:rsid w:val="00601858"/>
    <w:rsid w:val="00601956"/>
    <w:rsid w:val="00601B49"/>
    <w:rsid w:val="006029CA"/>
    <w:rsid w:val="00602DB3"/>
    <w:rsid w:val="0060310E"/>
    <w:rsid w:val="00603210"/>
    <w:rsid w:val="006034F3"/>
    <w:rsid w:val="00603BC4"/>
    <w:rsid w:val="006044EF"/>
    <w:rsid w:val="0060464E"/>
    <w:rsid w:val="006071D8"/>
    <w:rsid w:val="00607283"/>
    <w:rsid w:val="0060768B"/>
    <w:rsid w:val="00607CC6"/>
    <w:rsid w:val="00607E4C"/>
    <w:rsid w:val="00610BD2"/>
    <w:rsid w:val="00611FCC"/>
    <w:rsid w:val="006121A6"/>
    <w:rsid w:val="00612676"/>
    <w:rsid w:val="0061281E"/>
    <w:rsid w:val="00612BB8"/>
    <w:rsid w:val="00613AE1"/>
    <w:rsid w:val="00614EE5"/>
    <w:rsid w:val="006154BA"/>
    <w:rsid w:val="00616203"/>
    <w:rsid w:val="00617C71"/>
    <w:rsid w:val="0062042C"/>
    <w:rsid w:val="006205B9"/>
    <w:rsid w:val="0062088A"/>
    <w:rsid w:val="006213ED"/>
    <w:rsid w:val="006215F0"/>
    <w:rsid w:val="00621B09"/>
    <w:rsid w:val="00621DD0"/>
    <w:rsid w:val="0062227F"/>
    <w:rsid w:val="00622482"/>
    <w:rsid w:val="00624544"/>
    <w:rsid w:val="00624968"/>
    <w:rsid w:val="0062605A"/>
    <w:rsid w:val="00626537"/>
    <w:rsid w:val="006265EF"/>
    <w:rsid w:val="00626964"/>
    <w:rsid w:val="00631D40"/>
    <w:rsid w:val="00632C33"/>
    <w:rsid w:val="00632FF8"/>
    <w:rsid w:val="006334C7"/>
    <w:rsid w:val="0063470C"/>
    <w:rsid w:val="006348FC"/>
    <w:rsid w:val="00635460"/>
    <w:rsid w:val="00636464"/>
    <w:rsid w:val="00636682"/>
    <w:rsid w:val="0063692C"/>
    <w:rsid w:val="006369A6"/>
    <w:rsid w:val="00636E7B"/>
    <w:rsid w:val="00636FA6"/>
    <w:rsid w:val="006409DB"/>
    <w:rsid w:val="00641141"/>
    <w:rsid w:val="00641602"/>
    <w:rsid w:val="00642009"/>
    <w:rsid w:val="00642019"/>
    <w:rsid w:val="006427BD"/>
    <w:rsid w:val="00642B50"/>
    <w:rsid w:val="006434A3"/>
    <w:rsid w:val="0064377A"/>
    <w:rsid w:val="006440A4"/>
    <w:rsid w:val="00644A86"/>
    <w:rsid w:val="00647DDD"/>
    <w:rsid w:val="00651E32"/>
    <w:rsid w:val="00653259"/>
    <w:rsid w:val="00653F68"/>
    <w:rsid w:val="006544BB"/>
    <w:rsid w:val="006551B6"/>
    <w:rsid w:val="0065576C"/>
    <w:rsid w:val="00655FC5"/>
    <w:rsid w:val="006578BE"/>
    <w:rsid w:val="00657CC0"/>
    <w:rsid w:val="0066114C"/>
    <w:rsid w:val="00661AA6"/>
    <w:rsid w:val="00661FC6"/>
    <w:rsid w:val="0066238B"/>
    <w:rsid w:val="00663532"/>
    <w:rsid w:val="00663FC6"/>
    <w:rsid w:val="0066409D"/>
    <w:rsid w:val="00664188"/>
    <w:rsid w:val="006642AB"/>
    <w:rsid w:val="00664533"/>
    <w:rsid w:val="006652D3"/>
    <w:rsid w:val="00665B72"/>
    <w:rsid w:val="00665C28"/>
    <w:rsid w:val="00666274"/>
    <w:rsid w:val="00666425"/>
    <w:rsid w:val="00666841"/>
    <w:rsid w:val="0066689F"/>
    <w:rsid w:val="00666922"/>
    <w:rsid w:val="006707ED"/>
    <w:rsid w:val="006714B7"/>
    <w:rsid w:val="006714E7"/>
    <w:rsid w:val="00671C48"/>
    <w:rsid w:val="00672BD9"/>
    <w:rsid w:val="00672D7F"/>
    <w:rsid w:val="00673490"/>
    <w:rsid w:val="006750CF"/>
    <w:rsid w:val="00675C43"/>
    <w:rsid w:val="00676129"/>
    <w:rsid w:val="00677A1D"/>
    <w:rsid w:val="00677A63"/>
    <w:rsid w:val="0068022F"/>
    <w:rsid w:val="00681437"/>
    <w:rsid w:val="0068275E"/>
    <w:rsid w:val="00682D31"/>
    <w:rsid w:val="006843A1"/>
    <w:rsid w:val="00684B5F"/>
    <w:rsid w:val="00684DA7"/>
    <w:rsid w:val="006850E1"/>
    <w:rsid w:val="006855F0"/>
    <w:rsid w:val="00685674"/>
    <w:rsid w:val="00686E0E"/>
    <w:rsid w:val="006876F5"/>
    <w:rsid w:val="00687755"/>
    <w:rsid w:val="00690A02"/>
    <w:rsid w:val="00690A0E"/>
    <w:rsid w:val="006911E9"/>
    <w:rsid w:val="00691707"/>
    <w:rsid w:val="00691C45"/>
    <w:rsid w:val="0069346F"/>
    <w:rsid w:val="00693C72"/>
    <w:rsid w:val="00694AF0"/>
    <w:rsid w:val="00695038"/>
    <w:rsid w:val="00696589"/>
    <w:rsid w:val="006973F2"/>
    <w:rsid w:val="006974F8"/>
    <w:rsid w:val="006A3FDD"/>
    <w:rsid w:val="006A4B3B"/>
    <w:rsid w:val="006A4EC1"/>
    <w:rsid w:val="006A5611"/>
    <w:rsid w:val="006A5662"/>
    <w:rsid w:val="006A5CAB"/>
    <w:rsid w:val="006B0195"/>
    <w:rsid w:val="006B0FB9"/>
    <w:rsid w:val="006B196B"/>
    <w:rsid w:val="006B5790"/>
    <w:rsid w:val="006B5FAE"/>
    <w:rsid w:val="006B6847"/>
    <w:rsid w:val="006B6904"/>
    <w:rsid w:val="006B756A"/>
    <w:rsid w:val="006B7DBF"/>
    <w:rsid w:val="006C0030"/>
    <w:rsid w:val="006C0F4E"/>
    <w:rsid w:val="006C125D"/>
    <w:rsid w:val="006C240D"/>
    <w:rsid w:val="006C37AA"/>
    <w:rsid w:val="006C4E79"/>
    <w:rsid w:val="006C66E7"/>
    <w:rsid w:val="006C6AF4"/>
    <w:rsid w:val="006C715E"/>
    <w:rsid w:val="006C776E"/>
    <w:rsid w:val="006D047C"/>
    <w:rsid w:val="006D1B22"/>
    <w:rsid w:val="006D22BD"/>
    <w:rsid w:val="006D3261"/>
    <w:rsid w:val="006D3729"/>
    <w:rsid w:val="006D3B5E"/>
    <w:rsid w:val="006D5319"/>
    <w:rsid w:val="006D641E"/>
    <w:rsid w:val="006D6746"/>
    <w:rsid w:val="006D6763"/>
    <w:rsid w:val="006D6F0F"/>
    <w:rsid w:val="006E0E6F"/>
    <w:rsid w:val="006E2359"/>
    <w:rsid w:val="006E2619"/>
    <w:rsid w:val="006E354D"/>
    <w:rsid w:val="006E383C"/>
    <w:rsid w:val="006E38D6"/>
    <w:rsid w:val="006E4B35"/>
    <w:rsid w:val="006E53CD"/>
    <w:rsid w:val="006E63FC"/>
    <w:rsid w:val="006E6E83"/>
    <w:rsid w:val="006E798D"/>
    <w:rsid w:val="006E7BA4"/>
    <w:rsid w:val="006E7C0D"/>
    <w:rsid w:val="006F1027"/>
    <w:rsid w:val="006F12F8"/>
    <w:rsid w:val="006F2A8B"/>
    <w:rsid w:val="006F430E"/>
    <w:rsid w:val="006F45D7"/>
    <w:rsid w:val="006F4B8D"/>
    <w:rsid w:val="006F588B"/>
    <w:rsid w:val="006F58D0"/>
    <w:rsid w:val="006F5966"/>
    <w:rsid w:val="006F774F"/>
    <w:rsid w:val="006F7BA8"/>
    <w:rsid w:val="00700059"/>
    <w:rsid w:val="007006FB"/>
    <w:rsid w:val="00700E49"/>
    <w:rsid w:val="00701478"/>
    <w:rsid w:val="007014C8"/>
    <w:rsid w:val="007028EC"/>
    <w:rsid w:val="007029D9"/>
    <w:rsid w:val="00702A30"/>
    <w:rsid w:val="00704825"/>
    <w:rsid w:val="00704ECF"/>
    <w:rsid w:val="00705636"/>
    <w:rsid w:val="00705C0A"/>
    <w:rsid w:val="00705EA4"/>
    <w:rsid w:val="007060A5"/>
    <w:rsid w:val="007061C0"/>
    <w:rsid w:val="00706F33"/>
    <w:rsid w:val="00706FF2"/>
    <w:rsid w:val="007071E6"/>
    <w:rsid w:val="0071028C"/>
    <w:rsid w:val="0071056F"/>
    <w:rsid w:val="00710B95"/>
    <w:rsid w:val="00711178"/>
    <w:rsid w:val="0071393E"/>
    <w:rsid w:val="0071418A"/>
    <w:rsid w:val="007147D9"/>
    <w:rsid w:val="00714B33"/>
    <w:rsid w:val="00715547"/>
    <w:rsid w:val="007155E3"/>
    <w:rsid w:val="00715958"/>
    <w:rsid w:val="00716F29"/>
    <w:rsid w:val="007171A3"/>
    <w:rsid w:val="00720C71"/>
    <w:rsid w:val="00720EA4"/>
    <w:rsid w:val="00720FD6"/>
    <w:rsid w:val="0072126F"/>
    <w:rsid w:val="007241D3"/>
    <w:rsid w:val="007245EF"/>
    <w:rsid w:val="00724CB0"/>
    <w:rsid w:val="00725615"/>
    <w:rsid w:val="00725AD9"/>
    <w:rsid w:val="00726357"/>
    <w:rsid w:val="00726377"/>
    <w:rsid w:val="00727BAF"/>
    <w:rsid w:val="00727FDE"/>
    <w:rsid w:val="00730138"/>
    <w:rsid w:val="00730E44"/>
    <w:rsid w:val="0073105F"/>
    <w:rsid w:val="00731F65"/>
    <w:rsid w:val="00732625"/>
    <w:rsid w:val="007326C1"/>
    <w:rsid w:val="00732D9C"/>
    <w:rsid w:val="007334A1"/>
    <w:rsid w:val="007335F8"/>
    <w:rsid w:val="00733BF9"/>
    <w:rsid w:val="0073494C"/>
    <w:rsid w:val="00734C43"/>
    <w:rsid w:val="00735986"/>
    <w:rsid w:val="00736B1A"/>
    <w:rsid w:val="0073723F"/>
    <w:rsid w:val="0073779A"/>
    <w:rsid w:val="00740585"/>
    <w:rsid w:val="00741CB9"/>
    <w:rsid w:val="00742A54"/>
    <w:rsid w:val="0074341C"/>
    <w:rsid w:val="00744CC7"/>
    <w:rsid w:val="007451B1"/>
    <w:rsid w:val="00745A52"/>
    <w:rsid w:val="00745DFB"/>
    <w:rsid w:val="00745F7E"/>
    <w:rsid w:val="00746877"/>
    <w:rsid w:val="00746ED7"/>
    <w:rsid w:val="007470D4"/>
    <w:rsid w:val="007477CD"/>
    <w:rsid w:val="007479A6"/>
    <w:rsid w:val="00747CFF"/>
    <w:rsid w:val="007504E7"/>
    <w:rsid w:val="007508F9"/>
    <w:rsid w:val="007509DA"/>
    <w:rsid w:val="00751D41"/>
    <w:rsid w:val="00752103"/>
    <w:rsid w:val="0075229F"/>
    <w:rsid w:val="00752FE0"/>
    <w:rsid w:val="00754A44"/>
    <w:rsid w:val="00754C77"/>
    <w:rsid w:val="00755230"/>
    <w:rsid w:val="0075548A"/>
    <w:rsid w:val="0075577B"/>
    <w:rsid w:val="00756D45"/>
    <w:rsid w:val="007607C2"/>
    <w:rsid w:val="00761363"/>
    <w:rsid w:val="0076191B"/>
    <w:rsid w:val="00762223"/>
    <w:rsid w:val="0076305F"/>
    <w:rsid w:val="00763660"/>
    <w:rsid w:val="007636EB"/>
    <w:rsid w:val="007649C5"/>
    <w:rsid w:val="00767038"/>
    <w:rsid w:val="0076732D"/>
    <w:rsid w:val="00767B8A"/>
    <w:rsid w:val="00770EC9"/>
    <w:rsid w:val="007712B6"/>
    <w:rsid w:val="0077168C"/>
    <w:rsid w:val="00771A6A"/>
    <w:rsid w:val="00772964"/>
    <w:rsid w:val="007739A3"/>
    <w:rsid w:val="00773EBD"/>
    <w:rsid w:val="007752A2"/>
    <w:rsid w:val="00775839"/>
    <w:rsid w:val="00775C72"/>
    <w:rsid w:val="00775E52"/>
    <w:rsid w:val="00776F55"/>
    <w:rsid w:val="007779C8"/>
    <w:rsid w:val="00777D09"/>
    <w:rsid w:val="00777D1C"/>
    <w:rsid w:val="00780304"/>
    <w:rsid w:val="0078127C"/>
    <w:rsid w:val="00781C2D"/>
    <w:rsid w:val="00783292"/>
    <w:rsid w:val="007865AF"/>
    <w:rsid w:val="007871E5"/>
    <w:rsid w:val="007914E2"/>
    <w:rsid w:val="00792229"/>
    <w:rsid w:val="00792873"/>
    <w:rsid w:val="0079320F"/>
    <w:rsid w:val="00793F7C"/>
    <w:rsid w:val="007942DF"/>
    <w:rsid w:val="007947A2"/>
    <w:rsid w:val="00795438"/>
    <w:rsid w:val="00797FEF"/>
    <w:rsid w:val="007A0F3B"/>
    <w:rsid w:val="007A1AF1"/>
    <w:rsid w:val="007A1EC7"/>
    <w:rsid w:val="007A2071"/>
    <w:rsid w:val="007A2640"/>
    <w:rsid w:val="007A2C3A"/>
    <w:rsid w:val="007A3419"/>
    <w:rsid w:val="007A4E1F"/>
    <w:rsid w:val="007A5006"/>
    <w:rsid w:val="007A51F5"/>
    <w:rsid w:val="007A66BD"/>
    <w:rsid w:val="007A6769"/>
    <w:rsid w:val="007A79B9"/>
    <w:rsid w:val="007A7F59"/>
    <w:rsid w:val="007B06E7"/>
    <w:rsid w:val="007B0926"/>
    <w:rsid w:val="007B09D0"/>
    <w:rsid w:val="007B166D"/>
    <w:rsid w:val="007B1767"/>
    <w:rsid w:val="007B211B"/>
    <w:rsid w:val="007B2289"/>
    <w:rsid w:val="007B371A"/>
    <w:rsid w:val="007B3FE3"/>
    <w:rsid w:val="007B4514"/>
    <w:rsid w:val="007B46C0"/>
    <w:rsid w:val="007B50BF"/>
    <w:rsid w:val="007B52CC"/>
    <w:rsid w:val="007B5957"/>
    <w:rsid w:val="007B5E15"/>
    <w:rsid w:val="007B60EF"/>
    <w:rsid w:val="007B7C93"/>
    <w:rsid w:val="007B7CDC"/>
    <w:rsid w:val="007C11C0"/>
    <w:rsid w:val="007C1E7B"/>
    <w:rsid w:val="007C22B6"/>
    <w:rsid w:val="007C2D4D"/>
    <w:rsid w:val="007C3391"/>
    <w:rsid w:val="007C3C7B"/>
    <w:rsid w:val="007C419B"/>
    <w:rsid w:val="007C5D13"/>
    <w:rsid w:val="007C66BF"/>
    <w:rsid w:val="007C68C3"/>
    <w:rsid w:val="007C6EB9"/>
    <w:rsid w:val="007C7CBD"/>
    <w:rsid w:val="007D0951"/>
    <w:rsid w:val="007D0B4C"/>
    <w:rsid w:val="007D0E61"/>
    <w:rsid w:val="007D1201"/>
    <w:rsid w:val="007D2186"/>
    <w:rsid w:val="007D25EF"/>
    <w:rsid w:val="007D37CD"/>
    <w:rsid w:val="007D459B"/>
    <w:rsid w:val="007D4E63"/>
    <w:rsid w:val="007D5531"/>
    <w:rsid w:val="007D5891"/>
    <w:rsid w:val="007D5DFE"/>
    <w:rsid w:val="007D68E7"/>
    <w:rsid w:val="007D7100"/>
    <w:rsid w:val="007E00F5"/>
    <w:rsid w:val="007E0787"/>
    <w:rsid w:val="007E0A75"/>
    <w:rsid w:val="007E0D32"/>
    <w:rsid w:val="007E26F4"/>
    <w:rsid w:val="007E45A8"/>
    <w:rsid w:val="007E4C81"/>
    <w:rsid w:val="007E50A9"/>
    <w:rsid w:val="007E5BBF"/>
    <w:rsid w:val="007E6265"/>
    <w:rsid w:val="007E6B0B"/>
    <w:rsid w:val="007F05C1"/>
    <w:rsid w:val="007F1B34"/>
    <w:rsid w:val="007F1DE8"/>
    <w:rsid w:val="007F2801"/>
    <w:rsid w:val="007F3304"/>
    <w:rsid w:val="007F3616"/>
    <w:rsid w:val="007F3EC3"/>
    <w:rsid w:val="007F484F"/>
    <w:rsid w:val="007F49EA"/>
    <w:rsid w:val="007F4A88"/>
    <w:rsid w:val="007F5891"/>
    <w:rsid w:val="007F58D8"/>
    <w:rsid w:val="007F635A"/>
    <w:rsid w:val="0080031F"/>
    <w:rsid w:val="008003FD"/>
    <w:rsid w:val="00800D0F"/>
    <w:rsid w:val="0080114F"/>
    <w:rsid w:val="0080165E"/>
    <w:rsid w:val="00802E7B"/>
    <w:rsid w:val="00803605"/>
    <w:rsid w:val="00803746"/>
    <w:rsid w:val="00803C00"/>
    <w:rsid w:val="00804330"/>
    <w:rsid w:val="008055C6"/>
    <w:rsid w:val="00807AB8"/>
    <w:rsid w:val="00807E2C"/>
    <w:rsid w:val="008102C4"/>
    <w:rsid w:val="00810C87"/>
    <w:rsid w:val="008128EF"/>
    <w:rsid w:val="00813250"/>
    <w:rsid w:val="008142A3"/>
    <w:rsid w:val="0081452A"/>
    <w:rsid w:val="00814633"/>
    <w:rsid w:val="00815B37"/>
    <w:rsid w:val="00816120"/>
    <w:rsid w:val="00817615"/>
    <w:rsid w:val="00817ED7"/>
    <w:rsid w:val="00821276"/>
    <w:rsid w:val="0082207E"/>
    <w:rsid w:val="00822A0A"/>
    <w:rsid w:val="0082398D"/>
    <w:rsid w:val="00824A2E"/>
    <w:rsid w:val="00824C0B"/>
    <w:rsid w:val="008255DD"/>
    <w:rsid w:val="00825720"/>
    <w:rsid w:val="00825E47"/>
    <w:rsid w:val="008266C0"/>
    <w:rsid w:val="008267C5"/>
    <w:rsid w:val="00827BCF"/>
    <w:rsid w:val="008317DE"/>
    <w:rsid w:val="00831C39"/>
    <w:rsid w:val="008325E7"/>
    <w:rsid w:val="008333F3"/>
    <w:rsid w:val="008341A1"/>
    <w:rsid w:val="008369CB"/>
    <w:rsid w:val="00840168"/>
    <w:rsid w:val="0084051E"/>
    <w:rsid w:val="00840FF8"/>
    <w:rsid w:val="00841693"/>
    <w:rsid w:val="008423CB"/>
    <w:rsid w:val="00846AD9"/>
    <w:rsid w:val="00846FD3"/>
    <w:rsid w:val="00847226"/>
    <w:rsid w:val="00847CD2"/>
    <w:rsid w:val="00852127"/>
    <w:rsid w:val="00852202"/>
    <w:rsid w:val="008526A5"/>
    <w:rsid w:val="00853D1D"/>
    <w:rsid w:val="00853E47"/>
    <w:rsid w:val="00853F41"/>
    <w:rsid w:val="00855845"/>
    <w:rsid w:val="00855856"/>
    <w:rsid w:val="00855B2D"/>
    <w:rsid w:val="00855FC1"/>
    <w:rsid w:val="008609F9"/>
    <w:rsid w:val="0086217E"/>
    <w:rsid w:val="00862FC3"/>
    <w:rsid w:val="0086367C"/>
    <w:rsid w:val="00865CB7"/>
    <w:rsid w:val="008663B9"/>
    <w:rsid w:val="00866745"/>
    <w:rsid w:val="00866E55"/>
    <w:rsid w:val="008670D4"/>
    <w:rsid w:val="008706F0"/>
    <w:rsid w:val="00871148"/>
    <w:rsid w:val="00871823"/>
    <w:rsid w:val="00872B3B"/>
    <w:rsid w:val="0087322B"/>
    <w:rsid w:val="00873D36"/>
    <w:rsid w:val="00874821"/>
    <w:rsid w:val="00874833"/>
    <w:rsid w:val="00876101"/>
    <w:rsid w:val="008770D5"/>
    <w:rsid w:val="00877218"/>
    <w:rsid w:val="008776CE"/>
    <w:rsid w:val="00877DB6"/>
    <w:rsid w:val="00877E42"/>
    <w:rsid w:val="008804FA"/>
    <w:rsid w:val="00880C65"/>
    <w:rsid w:val="008826CE"/>
    <w:rsid w:val="00882B5A"/>
    <w:rsid w:val="008838BC"/>
    <w:rsid w:val="008846D0"/>
    <w:rsid w:val="00885AAD"/>
    <w:rsid w:val="008861CF"/>
    <w:rsid w:val="008907DA"/>
    <w:rsid w:val="00892182"/>
    <w:rsid w:val="00893BF9"/>
    <w:rsid w:val="00894D5A"/>
    <w:rsid w:val="008953D5"/>
    <w:rsid w:val="00895598"/>
    <w:rsid w:val="008957AB"/>
    <w:rsid w:val="00896212"/>
    <w:rsid w:val="00896632"/>
    <w:rsid w:val="00896FD5"/>
    <w:rsid w:val="00896FFA"/>
    <w:rsid w:val="008972BE"/>
    <w:rsid w:val="00897FE9"/>
    <w:rsid w:val="008A0BF3"/>
    <w:rsid w:val="008A11D6"/>
    <w:rsid w:val="008A164F"/>
    <w:rsid w:val="008A20A4"/>
    <w:rsid w:val="008A3057"/>
    <w:rsid w:val="008A41F7"/>
    <w:rsid w:val="008A4970"/>
    <w:rsid w:val="008A5093"/>
    <w:rsid w:val="008A57B4"/>
    <w:rsid w:val="008A57C8"/>
    <w:rsid w:val="008A5822"/>
    <w:rsid w:val="008A5E20"/>
    <w:rsid w:val="008A6210"/>
    <w:rsid w:val="008A7759"/>
    <w:rsid w:val="008B0856"/>
    <w:rsid w:val="008B0A8B"/>
    <w:rsid w:val="008B1116"/>
    <w:rsid w:val="008B1E69"/>
    <w:rsid w:val="008B2160"/>
    <w:rsid w:val="008B3A2B"/>
    <w:rsid w:val="008B3DD1"/>
    <w:rsid w:val="008B4400"/>
    <w:rsid w:val="008B4A57"/>
    <w:rsid w:val="008B5228"/>
    <w:rsid w:val="008B5F69"/>
    <w:rsid w:val="008B6749"/>
    <w:rsid w:val="008B679F"/>
    <w:rsid w:val="008B6DDC"/>
    <w:rsid w:val="008B6F20"/>
    <w:rsid w:val="008B7673"/>
    <w:rsid w:val="008C143C"/>
    <w:rsid w:val="008C1E4F"/>
    <w:rsid w:val="008C3A02"/>
    <w:rsid w:val="008C43ED"/>
    <w:rsid w:val="008C5B31"/>
    <w:rsid w:val="008C62A4"/>
    <w:rsid w:val="008C6325"/>
    <w:rsid w:val="008C64AE"/>
    <w:rsid w:val="008C675B"/>
    <w:rsid w:val="008C6B0A"/>
    <w:rsid w:val="008C6F4C"/>
    <w:rsid w:val="008C7204"/>
    <w:rsid w:val="008D07F9"/>
    <w:rsid w:val="008D1CE6"/>
    <w:rsid w:val="008D1F11"/>
    <w:rsid w:val="008D1F8B"/>
    <w:rsid w:val="008D39C8"/>
    <w:rsid w:val="008D3AA4"/>
    <w:rsid w:val="008D3C5D"/>
    <w:rsid w:val="008D586E"/>
    <w:rsid w:val="008D603D"/>
    <w:rsid w:val="008D7E74"/>
    <w:rsid w:val="008E1200"/>
    <w:rsid w:val="008E143D"/>
    <w:rsid w:val="008E1B47"/>
    <w:rsid w:val="008E2675"/>
    <w:rsid w:val="008E3149"/>
    <w:rsid w:val="008E36B9"/>
    <w:rsid w:val="008E3C8A"/>
    <w:rsid w:val="008E4590"/>
    <w:rsid w:val="008E50B8"/>
    <w:rsid w:val="008E56AE"/>
    <w:rsid w:val="008E6A28"/>
    <w:rsid w:val="008F04EB"/>
    <w:rsid w:val="008F1346"/>
    <w:rsid w:val="008F135B"/>
    <w:rsid w:val="008F178E"/>
    <w:rsid w:val="008F197D"/>
    <w:rsid w:val="008F1F37"/>
    <w:rsid w:val="008F344F"/>
    <w:rsid w:val="008F3A99"/>
    <w:rsid w:val="008F3B3A"/>
    <w:rsid w:val="008F5C0D"/>
    <w:rsid w:val="008F6133"/>
    <w:rsid w:val="008F618C"/>
    <w:rsid w:val="008F7007"/>
    <w:rsid w:val="008F7204"/>
    <w:rsid w:val="009008D2"/>
    <w:rsid w:val="00900B0D"/>
    <w:rsid w:val="00900FA7"/>
    <w:rsid w:val="00901441"/>
    <w:rsid w:val="0090165C"/>
    <w:rsid w:val="009017C0"/>
    <w:rsid w:val="00901FDF"/>
    <w:rsid w:val="00902CE0"/>
    <w:rsid w:val="00903015"/>
    <w:rsid w:val="00903476"/>
    <w:rsid w:val="009034E8"/>
    <w:rsid w:val="00903750"/>
    <w:rsid w:val="00903C64"/>
    <w:rsid w:val="00904639"/>
    <w:rsid w:val="00904D4D"/>
    <w:rsid w:val="00905B05"/>
    <w:rsid w:val="00906596"/>
    <w:rsid w:val="00906DB6"/>
    <w:rsid w:val="00907790"/>
    <w:rsid w:val="00910340"/>
    <w:rsid w:val="0091115B"/>
    <w:rsid w:val="009119AB"/>
    <w:rsid w:val="00911A92"/>
    <w:rsid w:val="00911C90"/>
    <w:rsid w:val="00911E0D"/>
    <w:rsid w:val="00911F43"/>
    <w:rsid w:val="009122EE"/>
    <w:rsid w:val="00912670"/>
    <w:rsid w:val="00912887"/>
    <w:rsid w:val="00912E4E"/>
    <w:rsid w:val="00913077"/>
    <w:rsid w:val="0091321F"/>
    <w:rsid w:val="00913DEC"/>
    <w:rsid w:val="00915E4B"/>
    <w:rsid w:val="00916292"/>
    <w:rsid w:val="00917212"/>
    <w:rsid w:val="00921BB7"/>
    <w:rsid w:val="00921EB4"/>
    <w:rsid w:val="00922262"/>
    <w:rsid w:val="0092262E"/>
    <w:rsid w:val="00922860"/>
    <w:rsid w:val="0092292D"/>
    <w:rsid w:val="009229B5"/>
    <w:rsid w:val="0092349E"/>
    <w:rsid w:val="00923632"/>
    <w:rsid w:val="0092382D"/>
    <w:rsid w:val="009243E4"/>
    <w:rsid w:val="00924629"/>
    <w:rsid w:val="00924C85"/>
    <w:rsid w:val="00924E25"/>
    <w:rsid w:val="009259E2"/>
    <w:rsid w:val="00925D67"/>
    <w:rsid w:val="0092614B"/>
    <w:rsid w:val="009267B7"/>
    <w:rsid w:val="0092689B"/>
    <w:rsid w:val="00927360"/>
    <w:rsid w:val="0092778D"/>
    <w:rsid w:val="00927CF8"/>
    <w:rsid w:val="009302B2"/>
    <w:rsid w:val="009304AB"/>
    <w:rsid w:val="00931BED"/>
    <w:rsid w:val="009323D2"/>
    <w:rsid w:val="00932C1F"/>
    <w:rsid w:val="00934798"/>
    <w:rsid w:val="00934EFF"/>
    <w:rsid w:val="009369F9"/>
    <w:rsid w:val="00936D7E"/>
    <w:rsid w:val="00936F43"/>
    <w:rsid w:val="00937831"/>
    <w:rsid w:val="00940E14"/>
    <w:rsid w:val="00940F35"/>
    <w:rsid w:val="00941F38"/>
    <w:rsid w:val="00942359"/>
    <w:rsid w:val="00942424"/>
    <w:rsid w:val="00942A05"/>
    <w:rsid w:val="00942DAB"/>
    <w:rsid w:val="00942F80"/>
    <w:rsid w:val="00943D1F"/>
    <w:rsid w:val="0094507B"/>
    <w:rsid w:val="00945209"/>
    <w:rsid w:val="00945346"/>
    <w:rsid w:val="009459FB"/>
    <w:rsid w:val="00945C9E"/>
    <w:rsid w:val="00946AAD"/>
    <w:rsid w:val="0094724C"/>
    <w:rsid w:val="009478D8"/>
    <w:rsid w:val="00947A75"/>
    <w:rsid w:val="00952873"/>
    <w:rsid w:val="0095361D"/>
    <w:rsid w:val="00954127"/>
    <w:rsid w:val="00955FF9"/>
    <w:rsid w:val="00956CB7"/>
    <w:rsid w:val="0095704E"/>
    <w:rsid w:val="0096013E"/>
    <w:rsid w:val="00961269"/>
    <w:rsid w:val="00961307"/>
    <w:rsid w:val="00961584"/>
    <w:rsid w:val="00961FCE"/>
    <w:rsid w:val="00962483"/>
    <w:rsid w:val="009633C6"/>
    <w:rsid w:val="00964034"/>
    <w:rsid w:val="00965554"/>
    <w:rsid w:val="009671C2"/>
    <w:rsid w:val="00967675"/>
    <w:rsid w:val="00967BFC"/>
    <w:rsid w:val="0097079D"/>
    <w:rsid w:val="00971214"/>
    <w:rsid w:val="009728CA"/>
    <w:rsid w:val="009731E4"/>
    <w:rsid w:val="00973436"/>
    <w:rsid w:val="00973527"/>
    <w:rsid w:val="00973780"/>
    <w:rsid w:val="009745FB"/>
    <w:rsid w:val="009749CE"/>
    <w:rsid w:val="00975BE7"/>
    <w:rsid w:val="0097619C"/>
    <w:rsid w:val="009762BA"/>
    <w:rsid w:val="00976AB2"/>
    <w:rsid w:val="00977697"/>
    <w:rsid w:val="00977CFF"/>
    <w:rsid w:val="00980926"/>
    <w:rsid w:val="009810F6"/>
    <w:rsid w:val="0098337A"/>
    <w:rsid w:val="00983F63"/>
    <w:rsid w:val="009856C2"/>
    <w:rsid w:val="00986629"/>
    <w:rsid w:val="009910F9"/>
    <w:rsid w:val="00991DD0"/>
    <w:rsid w:val="00992413"/>
    <w:rsid w:val="009924D8"/>
    <w:rsid w:val="00992F6F"/>
    <w:rsid w:val="00993920"/>
    <w:rsid w:val="00993AB8"/>
    <w:rsid w:val="00993CFE"/>
    <w:rsid w:val="009944C7"/>
    <w:rsid w:val="00994FEA"/>
    <w:rsid w:val="00995013"/>
    <w:rsid w:val="0099556B"/>
    <w:rsid w:val="009955B6"/>
    <w:rsid w:val="009965EA"/>
    <w:rsid w:val="00997A2C"/>
    <w:rsid w:val="00997BA2"/>
    <w:rsid w:val="00997F9D"/>
    <w:rsid w:val="009A00A5"/>
    <w:rsid w:val="009A0162"/>
    <w:rsid w:val="009A1075"/>
    <w:rsid w:val="009A3B19"/>
    <w:rsid w:val="009A4C05"/>
    <w:rsid w:val="009A544F"/>
    <w:rsid w:val="009A66E7"/>
    <w:rsid w:val="009B042D"/>
    <w:rsid w:val="009B04F1"/>
    <w:rsid w:val="009B130B"/>
    <w:rsid w:val="009B1860"/>
    <w:rsid w:val="009B1868"/>
    <w:rsid w:val="009B1DD7"/>
    <w:rsid w:val="009B2709"/>
    <w:rsid w:val="009B303A"/>
    <w:rsid w:val="009B44CC"/>
    <w:rsid w:val="009B467A"/>
    <w:rsid w:val="009B4701"/>
    <w:rsid w:val="009B490A"/>
    <w:rsid w:val="009B4D08"/>
    <w:rsid w:val="009B4EE2"/>
    <w:rsid w:val="009B6490"/>
    <w:rsid w:val="009B6AF0"/>
    <w:rsid w:val="009B7A0F"/>
    <w:rsid w:val="009C099C"/>
    <w:rsid w:val="009C0E6C"/>
    <w:rsid w:val="009C10F4"/>
    <w:rsid w:val="009C123A"/>
    <w:rsid w:val="009C16A5"/>
    <w:rsid w:val="009C325F"/>
    <w:rsid w:val="009C3E51"/>
    <w:rsid w:val="009C4197"/>
    <w:rsid w:val="009C57B4"/>
    <w:rsid w:val="009C7BD0"/>
    <w:rsid w:val="009D0D7D"/>
    <w:rsid w:val="009D1460"/>
    <w:rsid w:val="009D1D8A"/>
    <w:rsid w:val="009D2BDF"/>
    <w:rsid w:val="009D329D"/>
    <w:rsid w:val="009D372C"/>
    <w:rsid w:val="009D641F"/>
    <w:rsid w:val="009D669F"/>
    <w:rsid w:val="009D6C0D"/>
    <w:rsid w:val="009D7919"/>
    <w:rsid w:val="009D79DB"/>
    <w:rsid w:val="009D7E5E"/>
    <w:rsid w:val="009E0887"/>
    <w:rsid w:val="009E08BC"/>
    <w:rsid w:val="009E0926"/>
    <w:rsid w:val="009E1CE7"/>
    <w:rsid w:val="009E1DDD"/>
    <w:rsid w:val="009E2DDD"/>
    <w:rsid w:val="009E337E"/>
    <w:rsid w:val="009E5308"/>
    <w:rsid w:val="009E5D32"/>
    <w:rsid w:val="009E730F"/>
    <w:rsid w:val="009E7510"/>
    <w:rsid w:val="009E76A4"/>
    <w:rsid w:val="009F02DE"/>
    <w:rsid w:val="009F062E"/>
    <w:rsid w:val="009F1268"/>
    <w:rsid w:val="009F135B"/>
    <w:rsid w:val="009F16CC"/>
    <w:rsid w:val="009F3707"/>
    <w:rsid w:val="009F4420"/>
    <w:rsid w:val="009F4D58"/>
    <w:rsid w:val="009F5513"/>
    <w:rsid w:val="009F64E3"/>
    <w:rsid w:val="009F6C9A"/>
    <w:rsid w:val="00A00502"/>
    <w:rsid w:val="00A00BD1"/>
    <w:rsid w:val="00A0116C"/>
    <w:rsid w:val="00A01C03"/>
    <w:rsid w:val="00A02994"/>
    <w:rsid w:val="00A03A01"/>
    <w:rsid w:val="00A03C95"/>
    <w:rsid w:val="00A04745"/>
    <w:rsid w:val="00A04796"/>
    <w:rsid w:val="00A05197"/>
    <w:rsid w:val="00A0519F"/>
    <w:rsid w:val="00A059C1"/>
    <w:rsid w:val="00A06094"/>
    <w:rsid w:val="00A07082"/>
    <w:rsid w:val="00A07258"/>
    <w:rsid w:val="00A07CBD"/>
    <w:rsid w:val="00A10015"/>
    <w:rsid w:val="00A129CC"/>
    <w:rsid w:val="00A13EA0"/>
    <w:rsid w:val="00A15019"/>
    <w:rsid w:val="00A16640"/>
    <w:rsid w:val="00A16D32"/>
    <w:rsid w:val="00A171C1"/>
    <w:rsid w:val="00A172DB"/>
    <w:rsid w:val="00A17543"/>
    <w:rsid w:val="00A20B13"/>
    <w:rsid w:val="00A21960"/>
    <w:rsid w:val="00A220D6"/>
    <w:rsid w:val="00A22555"/>
    <w:rsid w:val="00A22E02"/>
    <w:rsid w:val="00A23389"/>
    <w:rsid w:val="00A2403E"/>
    <w:rsid w:val="00A24A7D"/>
    <w:rsid w:val="00A257E2"/>
    <w:rsid w:val="00A25A3F"/>
    <w:rsid w:val="00A26D5F"/>
    <w:rsid w:val="00A26FFE"/>
    <w:rsid w:val="00A27367"/>
    <w:rsid w:val="00A31A6D"/>
    <w:rsid w:val="00A323A6"/>
    <w:rsid w:val="00A32A48"/>
    <w:rsid w:val="00A33A93"/>
    <w:rsid w:val="00A33D3E"/>
    <w:rsid w:val="00A33E4A"/>
    <w:rsid w:val="00A34192"/>
    <w:rsid w:val="00A348AA"/>
    <w:rsid w:val="00A352E8"/>
    <w:rsid w:val="00A35EB7"/>
    <w:rsid w:val="00A363A3"/>
    <w:rsid w:val="00A373A1"/>
    <w:rsid w:val="00A40913"/>
    <w:rsid w:val="00A40AD9"/>
    <w:rsid w:val="00A40B5C"/>
    <w:rsid w:val="00A40BEA"/>
    <w:rsid w:val="00A40E15"/>
    <w:rsid w:val="00A42640"/>
    <w:rsid w:val="00A42A12"/>
    <w:rsid w:val="00A42CE9"/>
    <w:rsid w:val="00A42D2E"/>
    <w:rsid w:val="00A4348F"/>
    <w:rsid w:val="00A43531"/>
    <w:rsid w:val="00A43FE1"/>
    <w:rsid w:val="00A44344"/>
    <w:rsid w:val="00A46153"/>
    <w:rsid w:val="00A47B58"/>
    <w:rsid w:val="00A500B9"/>
    <w:rsid w:val="00A502C5"/>
    <w:rsid w:val="00A51DA9"/>
    <w:rsid w:val="00A534A3"/>
    <w:rsid w:val="00A5431F"/>
    <w:rsid w:val="00A5443F"/>
    <w:rsid w:val="00A544E2"/>
    <w:rsid w:val="00A54784"/>
    <w:rsid w:val="00A54E18"/>
    <w:rsid w:val="00A55975"/>
    <w:rsid w:val="00A56AE4"/>
    <w:rsid w:val="00A56CD7"/>
    <w:rsid w:val="00A57311"/>
    <w:rsid w:val="00A57A86"/>
    <w:rsid w:val="00A57C15"/>
    <w:rsid w:val="00A61762"/>
    <w:rsid w:val="00A619E1"/>
    <w:rsid w:val="00A6313F"/>
    <w:rsid w:val="00A66140"/>
    <w:rsid w:val="00A6706E"/>
    <w:rsid w:val="00A675BC"/>
    <w:rsid w:val="00A679B9"/>
    <w:rsid w:val="00A67FE4"/>
    <w:rsid w:val="00A7002E"/>
    <w:rsid w:val="00A70384"/>
    <w:rsid w:val="00A7122F"/>
    <w:rsid w:val="00A719FC"/>
    <w:rsid w:val="00A72401"/>
    <w:rsid w:val="00A736F1"/>
    <w:rsid w:val="00A746D7"/>
    <w:rsid w:val="00A750A5"/>
    <w:rsid w:val="00A755A4"/>
    <w:rsid w:val="00A758E4"/>
    <w:rsid w:val="00A82C7E"/>
    <w:rsid w:val="00A82FCC"/>
    <w:rsid w:val="00A8304D"/>
    <w:rsid w:val="00A8448B"/>
    <w:rsid w:val="00A8486A"/>
    <w:rsid w:val="00A8528E"/>
    <w:rsid w:val="00A87570"/>
    <w:rsid w:val="00A87C80"/>
    <w:rsid w:val="00A90390"/>
    <w:rsid w:val="00A90760"/>
    <w:rsid w:val="00A90CC9"/>
    <w:rsid w:val="00A90E6C"/>
    <w:rsid w:val="00A92020"/>
    <w:rsid w:val="00A92FE9"/>
    <w:rsid w:val="00A9349C"/>
    <w:rsid w:val="00A93B6E"/>
    <w:rsid w:val="00A94123"/>
    <w:rsid w:val="00A943C8"/>
    <w:rsid w:val="00A95B1A"/>
    <w:rsid w:val="00A95FFF"/>
    <w:rsid w:val="00A963DD"/>
    <w:rsid w:val="00A96613"/>
    <w:rsid w:val="00A97138"/>
    <w:rsid w:val="00A979AA"/>
    <w:rsid w:val="00AA04BA"/>
    <w:rsid w:val="00AA0638"/>
    <w:rsid w:val="00AA06EC"/>
    <w:rsid w:val="00AA0A7B"/>
    <w:rsid w:val="00AA0A8D"/>
    <w:rsid w:val="00AA13DF"/>
    <w:rsid w:val="00AA2219"/>
    <w:rsid w:val="00AA244F"/>
    <w:rsid w:val="00AA29AA"/>
    <w:rsid w:val="00AA2F7B"/>
    <w:rsid w:val="00AA3082"/>
    <w:rsid w:val="00AA4711"/>
    <w:rsid w:val="00AA474D"/>
    <w:rsid w:val="00AA54F4"/>
    <w:rsid w:val="00AA7874"/>
    <w:rsid w:val="00AA7D76"/>
    <w:rsid w:val="00AA7FA0"/>
    <w:rsid w:val="00AB0D8D"/>
    <w:rsid w:val="00AB1439"/>
    <w:rsid w:val="00AB171D"/>
    <w:rsid w:val="00AB3E44"/>
    <w:rsid w:val="00AB40DE"/>
    <w:rsid w:val="00AB612E"/>
    <w:rsid w:val="00AB62B2"/>
    <w:rsid w:val="00AB6360"/>
    <w:rsid w:val="00AB679D"/>
    <w:rsid w:val="00AB6EF0"/>
    <w:rsid w:val="00AB73C6"/>
    <w:rsid w:val="00AC0313"/>
    <w:rsid w:val="00AC097D"/>
    <w:rsid w:val="00AC213B"/>
    <w:rsid w:val="00AC42E4"/>
    <w:rsid w:val="00AC462D"/>
    <w:rsid w:val="00AC59D4"/>
    <w:rsid w:val="00AC6A1A"/>
    <w:rsid w:val="00AC6F87"/>
    <w:rsid w:val="00AC7379"/>
    <w:rsid w:val="00AC7AEF"/>
    <w:rsid w:val="00AD17B4"/>
    <w:rsid w:val="00AD2520"/>
    <w:rsid w:val="00AD2A8A"/>
    <w:rsid w:val="00AD2DEB"/>
    <w:rsid w:val="00AD3E21"/>
    <w:rsid w:val="00AD441B"/>
    <w:rsid w:val="00AD52DE"/>
    <w:rsid w:val="00AD5358"/>
    <w:rsid w:val="00AD5829"/>
    <w:rsid w:val="00AD5894"/>
    <w:rsid w:val="00AD6689"/>
    <w:rsid w:val="00AD684F"/>
    <w:rsid w:val="00AD694E"/>
    <w:rsid w:val="00AD6C15"/>
    <w:rsid w:val="00AD76B1"/>
    <w:rsid w:val="00AE07BB"/>
    <w:rsid w:val="00AE0DC3"/>
    <w:rsid w:val="00AE163A"/>
    <w:rsid w:val="00AE16EA"/>
    <w:rsid w:val="00AE1E42"/>
    <w:rsid w:val="00AE1F9F"/>
    <w:rsid w:val="00AE3016"/>
    <w:rsid w:val="00AE3657"/>
    <w:rsid w:val="00AE3FFC"/>
    <w:rsid w:val="00AE470F"/>
    <w:rsid w:val="00AE4FA9"/>
    <w:rsid w:val="00AE50EA"/>
    <w:rsid w:val="00AE518E"/>
    <w:rsid w:val="00AE6C27"/>
    <w:rsid w:val="00AE793F"/>
    <w:rsid w:val="00AE79FB"/>
    <w:rsid w:val="00AF0164"/>
    <w:rsid w:val="00AF0D8A"/>
    <w:rsid w:val="00AF0FAD"/>
    <w:rsid w:val="00AF155B"/>
    <w:rsid w:val="00AF25A4"/>
    <w:rsid w:val="00AF2D8D"/>
    <w:rsid w:val="00AF35A2"/>
    <w:rsid w:val="00AF372F"/>
    <w:rsid w:val="00AF37AA"/>
    <w:rsid w:val="00AF437B"/>
    <w:rsid w:val="00AF5C48"/>
    <w:rsid w:val="00AF60B8"/>
    <w:rsid w:val="00AF6A83"/>
    <w:rsid w:val="00AF7622"/>
    <w:rsid w:val="00AF7BE3"/>
    <w:rsid w:val="00B00BB1"/>
    <w:rsid w:val="00B00D1D"/>
    <w:rsid w:val="00B01449"/>
    <w:rsid w:val="00B020B4"/>
    <w:rsid w:val="00B02A13"/>
    <w:rsid w:val="00B02A63"/>
    <w:rsid w:val="00B03F28"/>
    <w:rsid w:val="00B0425D"/>
    <w:rsid w:val="00B04939"/>
    <w:rsid w:val="00B04EE9"/>
    <w:rsid w:val="00B05A34"/>
    <w:rsid w:val="00B07287"/>
    <w:rsid w:val="00B074C1"/>
    <w:rsid w:val="00B075B6"/>
    <w:rsid w:val="00B07F0D"/>
    <w:rsid w:val="00B10F02"/>
    <w:rsid w:val="00B112BF"/>
    <w:rsid w:val="00B113B5"/>
    <w:rsid w:val="00B11979"/>
    <w:rsid w:val="00B119F5"/>
    <w:rsid w:val="00B11BDB"/>
    <w:rsid w:val="00B12888"/>
    <w:rsid w:val="00B12F10"/>
    <w:rsid w:val="00B130ED"/>
    <w:rsid w:val="00B13185"/>
    <w:rsid w:val="00B139AF"/>
    <w:rsid w:val="00B13E94"/>
    <w:rsid w:val="00B141AD"/>
    <w:rsid w:val="00B14E0A"/>
    <w:rsid w:val="00B15888"/>
    <w:rsid w:val="00B15D7F"/>
    <w:rsid w:val="00B16CC7"/>
    <w:rsid w:val="00B170AB"/>
    <w:rsid w:val="00B17186"/>
    <w:rsid w:val="00B1722B"/>
    <w:rsid w:val="00B213DD"/>
    <w:rsid w:val="00B22069"/>
    <w:rsid w:val="00B220BD"/>
    <w:rsid w:val="00B237BC"/>
    <w:rsid w:val="00B23BC8"/>
    <w:rsid w:val="00B254B8"/>
    <w:rsid w:val="00B25EE1"/>
    <w:rsid w:val="00B264B0"/>
    <w:rsid w:val="00B307D1"/>
    <w:rsid w:val="00B307DA"/>
    <w:rsid w:val="00B30FB6"/>
    <w:rsid w:val="00B318E2"/>
    <w:rsid w:val="00B31A7C"/>
    <w:rsid w:val="00B31DD6"/>
    <w:rsid w:val="00B31F2A"/>
    <w:rsid w:val="00B3333E"/>
    <w:rsid w:val="00B33DF4"/>
    <w:rsid w:val="00B33F7B"/>
    <w:rsid w:val="00B3408D"/>
    <w:rsid w:val="00B346DA"/>
    <w:rsid w:val="00B35099"/>
    <w:rsid w:val="00B35833"/>
    <w:rsid w:val="00B35964"/>
    <w:rsid w:val="00B35B3B"/>
    <w:rsid w:val="00B35E1F"/>
    <w:rsid w:val="00B36646"/>
    <w:rsid w:val="00B36DA7"/>
    <w:rsid w:val="00B36F64"/>
    <w:rsid w:val="00B37EFB"/>
    <w:rsid w:val="00B42A0A"/>
    <w:rsid w:val="00B436E6"/>
    <w:rsid w:val="00B444CD"/>
    <w:rsid w:val="00B45658"/>
    <w:rsid w:val="00B47E05"/>
    <w:rsid w:val="00B50951"/>
    <w:rsid w:val="00B50F73"/>
    <w:rsid w:val="00B51A91"/>
    <w:rsid w:val="00B51BBA"/>
    <w:rsid w:val="00B52F02"/>
    <w:rsid w:val="00B54002"/>
    <w:rsid w:val="00B5468F"/>
    <w:rsid w:val="00B551A2"/>
    <w:rsid w:val="00B555C1"/>
    <w:rsid w:val="00B55840"/>
    <w:rsid w:val="00B55C90"/>
    <w:rsid w:val="00B55FD1"/>
    <w:rsid w:val="00B5665A"/>
    <w:rsid w:val="00B57570"/>
    <w:rsid w:val="00B57E52"/>
    <w:rsid w:val="00B60964"/>
    <w:rsid w:val="00B62212"/>
    <w:rsid w:val="00B62C46"/>
    <w:rsid w:val="00B62FBA"/>
    <w:rsid w:val="00B65B3A"/>
    <w:rsid w:val="00B667DC"/>
    <w:rsid w:val="00B67689"/>
    <w:rsid w:val="00B700DC"/>
    <w:rsid w:val="00B70E0D"/>
    <w:rsid w:val="00B71112"/>
    <w:rsid w:val="00B71487"/>
    <w:rsid w:val="00B718C6"/>
    <w:rsid w:val="00B72504"/>
    <w:rsid w:val="00B738D6"/>
    <w:rsid w:val="00B74DB5"/>
    <w:rsid w:val="00B75F4E"/>
    <w:rsid w:val="00B771A3"/>
    <w:rsid w:val="00B8073B"/>
    <w:rsid w:val="00B80A2B"/>
    <w:rsid w:val="00B811D7"/>
    <w:rsid w:val="00B819C4"/>
    <w:rsid w:val="00B823FE"/>
    <w:rsid w:val="00B826EE"/>
    <w:rsid w:val="00B83561"/>
    <w:rsid w:val="00B835C4"/>
    <w:rsid w:val="00B83892"/>
    <w:rsid w:val="00B842D5"/>
    <w:rsid w:val="00B84A7E"/>
    <w:rsid w:val="00B8561D"/>
    <w:rsid w:val="00B865E2"/>
    <w:rsid w:val="00B86ADD"/>
    <w:rsid w:val="00B86CC5"/>
    <w:rsid w:val="00B87977"/>
    <w:rsid w:val="00B87C64"/>
    <w:rsid w:val="00B91B72"/>
    <w:rsid w:val="00B91D9F"/>
    <w:rsid w:val="00B93241"/>
    <w:rsid w:val="00B935C2"/>
    <w:rsid w:val="00B937D0"/>
    <w:rsid w:val="00B9456D"/>
    <w:rsid w:val="00B94794"/>
    <w:rsid w:val="00B947E7"/>
    <w:rsid w:val="00B94ED3"/>
    <w:rsid w:val="00B95AF5"/>
    <w:rsid w:val="00B9634E"/>
    <w:rsid w:val="00B975E0"/>
    <w:rsid w:val="00B9790E"/>
    <w:rsid w:val="00BA0110"/>
    <w:rsid w:val="00BA0F18"/>
    <w:rsid w:val="00BA1AC5"/>
    <w:rsid w:val="00BA23BE"/>
    <w:rsid w:val="00BA24A1"/>
    <w:rsid w:val="00BA2801"/>
    <w:rsid w:val="00BA3E58"/>
    <w:rsid w:val="00BA42BE"/>
    <w:rsid w:val="00BA45C4"/>
    <w:rsid w:val="00BA5406"/>
    <w:rsid w:val="00BA6C17"/>
    <w:rsid w:val="00BA6D16"/>
    <w:rsid w:val="00BA7035"/>
    <w:rsid w:val="00BB00D1"/>
    <w:rsid w:val="00BB15CD"/>
    <w:rsid w:val="00BB178A"/>
    <w:rsid w:val="00BB1A4E"/>
    <w:rsid w:val="00BB1BCC"/>
    <w:rsid w:val="00BB21B6"/>
    <w:rsid w:val="00BB3CD0"/>
    <w:rsid w:val="00BB4340"/>
    <w:rsid w:val="00BB4F5C"/>
    <w:rsid w:val="00BB53D1"/>
    <w:rsid w:val="00BB5983"/>
    <w:rsid w:val="00BB79BA"/>
    <w:rsid w:val="00BB7EEC"/>
    <w:rsid w:val="00BB7F31"/>
    <w:rsid w:val="00BC021D"/>
    <w:rsid w:val="00BC1BC6"/>
    <w:rsid w:val="00BC1C90"/>
    <w:rsid w:val="00BC22CD"/>
    <w:rsid w:val="00BC2BF4"/>
    <w:rsid w:val="00BC3EA1"/>
    <w:rsid w:val="00BC3F91"/>
    <w:rsid w:val="00BC407C"/>
    <w:rsid w:val="00BC4520"/>
    <w:rsid w:val="00BC4DF9"/>
    <w:rsid w:val="00BC5E95"/>
    <w:rsid w:val="00BC5E97"/>
    <w:rsid w:val="00BC60EE"/>
    <w:rsid w:val="00BC72DF"/>
    <w:rsid w:val="00BD1580"/>
    <w:rsid w:val="00BD19F6"/>
    <w:rsid w:val="00BD427A"/>
    <w:rsid w:val="00BD43F7"/>
    <w:rsid w:val="00BD62EC"/>
    <w:rsid w:val="00BD6363"/>
    <w:rsid w:val="00BE0011"/>
    <w:rsid w:val="00BE01B2"/>
    <w:rsid w:val="00BE176B"/>
    <w:rsid w:val="00BE176D"/>
    <w:rsid w:val="00BE2367"/>
    <w:rsid w:val="00BE2D49"/>
    <w:rsid w:val="00BE3093"/>
    <w:rsid w:val="00BE347A"/>
    <w:rsid w:val="00BE3570"/>
    <w:rsid w:val="00BE3763"/>
    <w:rsid w:val="00BE39BC"/>
    <w:rsid w:val="00BE3F30"/>
    <w:rsid w:val="00BE4A6D"/>
    <w:rsid w:val="00BE57E9"/>
    <w:rsid w:val="00BE5CBA"/>
    <w:rsid w:val="00BE62E0"/>
    <w:rsid w:val="00BE646D"/>
    <w:rsid w:val="00BE6D93"/>
    <w:rsid w:val="00BE7AFB"/>
    <w:rsid w:val="00BE7D61"/>
    <w:rsid w:val="00BF0BC9"/>
    <w:rsid w:val="00BF0FF2"/>
    <w:rsid w:val="00BF28FE"/>
    <w:rsid w:val="00BF330E"/>
    <w:rsid w:val="00BF35FB"/>
    <w:rsid w:val="00BF3A22"/>
    <w:rsid w:val="00BF4C94"/>
    <w:rsid w:val="00BF4D9F"/>
    <w:rsid w:val="00BF4DAF"/>
    <w:rsid w:val="00BF50CB"/>
    <w:rsid w:val="00BF5C79"/>
    <w:rsid w:val="00BF5DE7"/>
    <w:rsid w:val="00BF63D3"/>
    <w:rsid w:val="00BF6571"/>
    <w:rsid w:val="00BF763A"/>
    <w:rsid w:val="00BF7D78"/>
    <w:rsid w:val="00C00871"/>
    <w:rsid w:val="00C013A6"/>
    <w:rsid w:val="00C01B0C"/>
    <w:rsid w:val="00C01B97"/>
    <w:rsid w:val="00C028B9"/>
    <w:rsid w:val="00C033E2"/>
    <w:rsid w:val="00C03416"/>
    <w:rsid w:val="00C056BC"/>
    <w:rsid w:val="00C061B6"/>
    <w:rsid w:val="00C0759C"/>
    <w:rsid w:val="00C075C9"/>
    <w:rsid w:val="00C07E46"/>
    <w:rsid w:val="00C106BB"/>
    <w:rsid w:val="00C10A0A"/>
    <w:rsid w:val="00C11412"/>
    <w:rsid w:val="00C1163C"/>
    <w:rsid w:val="00C118E7"/>
    <w:rsid w:val="00C11908"/>
    <w:rsid w:val="00C11D98"/>
    <w:rsid w:val="00C1280D"/>
    <w:rsid w:val="00C12EFB"/>
    <w:rsid w:val="00C13D6B"/>
    <w:rsid w:val="00C13ECA"/>
    <w:rsid w:val="00C15A29"/>
    <w:rsid w:val="00C1633C"/>
    <w:rsid w:val="00C1717A"/>
    <w:rsid w:val="00C176B6"/>
    <w:rsid w:val="00C17760"/>
    <w:rsid w:val="00C179D7"/>
    <w:rsid w:val="00C17A9F"/>
    <w:rsid w:val="00C17D16"/>
    <w:rsid w:val="00C2048B"/>
    <w:rsid w:val="00C20535"/>
    <w:rsid w:val="00C208BA"/>
    <w:rsid w:val="00C209A3"/>
    <w:rsid w:val="00C210C1"/>
    <w:rsid w:val="00C21107"/>
    <w:rsid w:val="00C21BEB"/>
    <w:rsid w:val="00C22BA6"/>
    <w:rsid w:val="00C22F31"/>
    <w:rsid w:val="00C23267"/>
    <w:rsid w:val="00C23EBE"/>
    <w:rsid w:val="00C25273"/>
    <w:rsid w:val="00C25573"/>
    <w:rsid w:val="00C273CC"/>
    <w:rsid w:val="00C27877"/>
    <w:rsid w:val="00C30E5B"/>
    <w:rsid w:val="00C318FD"/>
    <w:rsid w:val="00C319CA"/>
    <w:rsid w:val="00C325CF"/>
    <w:rsid w:val="00C33369"/>
    <w:rsid w:val="00C33980"/>
    <w:rsid w:val="00C33CA7"/>
    <w:rsid w:val="00C3563A"/>
    <w:rsid w:val="00C365A2"/>
    <w:rsid w:val="00C3703D"/>
    <w:rsid w:val="00C37573"/>
    <w:rsid w:val="00C3764D"/>
    <w:rsid w:val="00C379FF"/>
    <w:rsid w:val="00C37D6A"/>
    <w:rsid w:val="00C40450"/>
    <w:rsid w:val="00C40537"/>
    <w:rsid w:val="00C42115"/>
    <w:rsid w:val="00C4248F"/>
    <w:rsid w:val="00C43428"/>
    <w:rsid w:val="00C4424C"/>
    <w:rsid w:val="00C463C8"/>
    <w:rsid w:val="00C46780"/>
    <w:rsid w:val="00C46BDA"/>
    <w:rsid w:val="00C46FE2"/>
    <w:rsid w:val="00C50E42"/>
    <w:rsid w:val="00C50E4E"/>
    <w:rsid w:val="00C5103C"/>
    <w:rsid w:val="00C51295"/>
    <w:rsid w:val="00C51B0A"/>
    <w:rsid w:val="00C53EA7"/>
    <w:rsid w:val="00C54E43"/>
    <w:rsid w:val="00C562BF"/>
    <w:rsid w:val="00C56798"/>
    <w:rsid w:val="00C56891"/>
    <w:rsid w:val="00C56A74"/>
    <w:rsid w:val="00C57884"/>
    <w:rsid w:val="00C57F3E"/>
    <w:rsid w:val="00C60342"/>
    <w:rsid w:val="00C60F61"/>
    <w:rsid w:val="00C60FCB"/>
    <w:rsid w:val="00C61A22"/>
    <w:rsid w:val="00C61C66"/>
    <w:rsid w:val="00C6275B"/>
    <w:rsid w:val="00C62F31"/>
    <w:rsid w:val="00C63010"/>
    <w:rsid w:val="00C635A4"/>
    <w:rsid w:val="00C63D79"/>
    <w:rsid w:val="00C643F4"/>
    <w:rsid w:val="00C65155"/>
    <w:rsid w:val="00C6523C"/>
    <w:rsid w:val="00C6587A"/>
    <w:rsid w:val="00C6606A"/>
    <w:rsid w:val="00C66246"/>
    <w:rsid w:val="00C6679E"/>
    <w:rsid w:val="00C66D73"/>
    <w:rsid w:val="00C704FA"/>
    <w:rsid w:val="00C707F4"/>
    <w:rsid w:val="00C709FE"/>
    <w:rsid w:val="00C713F3"/>
    <w:rsid w:val="00C71AA8"/>
    <w:rsid w:val="00C71BFB"/>
    <w:rsid w:val="00C721E9"/>
    <w:rsid w:val="00C7258C"/>
    <w:rsid w:val="00C72A53"/>
    <w:rsid w:val="00C72ADD"/>
    <w:rsid w:val="00C74B64"/>
    <w:rsid w:val="00C751F2"/>
    <w:rsid w:val="00C771D9"/>
    <w:rsid w:val="00C8159B"/>
    <w:rsid w:val="00C82C9F"/>
    <w:rsid w:val="00C838AA"/>
    <w:rsid w:val="00C843CA"/>
    <w:rsid w:val="00C84B6D"/>
    <w:rsid w:val="00C86CBD"/>
    <w:rsid w:val="00C87614"/>
    <w:rsid w:val="00C87F22"/>
    <w:rsid w:val="00C87F81"/>
    <w:rsid w:val="00C91E31"/>
    <w:rsid w:val="00C92436"/>
    <w:rsid w:val="00C92601"/>
    <w:rsid w:val="00C92963"/>
    <w:rsid w:val="00C94152"/>
    <w:rsid w:val="00C9511D"/>
    <w:rsid w:val="00C95456"/>
    <w:rsid w:val="00C97752"/>
    <w:rsid w:val="00C978D8"/>
    <w:rsid w:val="00C97A3E"/>
    <w:rsid w:val="00CA0D38"/>
    <w:rsid w:val="00CA0FC4"/>
    <w:rsid w:val="00CA16C3"/>
    <w:rsid w:val="00CA1711"/>
    <w:rsid w:val="00CA1762"/>
    <w:rsid w:val="00CA17D2"/>
    <w:rsid w:val="00CA2908"/>
    <w:rsid w:val="00CA2CD0"/>
    <w:rsid w:val="00CA332F"/>
    <w:rsid w:val="00CA3B02"/>
    <w:rsid w:val="00CA3B54"/>
    <w:rsid w:val="00CA448B"/>
    <w:rsid w:val="00CA552E"/>
    <w:rsid w:val="00CA6372"/>
    <w:rsid w:val="00CA71ED"/>
    <w:rsid w:val="00CA777E"/>
    <w:rsid w:val="00CA7CE0"/>
    <w:rsid w:val="00CA7E29"/>
    <w:rsid w:val="00CB0A0A"/>
    <w:rsid w:val="00CB0D6D"/>
    <w:rsid w:val="00CB0E25"/>
    <w:rsid w:val="00CB0F7D"/>
    <w:rsid w:val="00CB11ED"/>
    <w:rsid w:val="00CB1D47"/>
    <w:rsid w:val="00CB22B7"/>
    <w:rsid w:val="00CB2A0B"/>
    <w:rsid w:val="00CB2F5E"/>
    <w:rsid w:val="00CB30F3"/>
    <w:rsid w:val="00CB3484"/>
    <w:rsid w:val="00CB3E0F"/>
    <w:rsid w:val="00CB3E1F"/>
    <w:rsid w:val="00CB443F"/>
    <w:rsid w:val="00CB45D7"/>
    <w:rsid w:val="00CB4756"/>
    <w:rsid w:val="00CB485B"/>
    <w:rsid w:val="00CB5247"/>
    <w:rsid w:val="00CB5763"/>
    <w:rsid w:val="00CB57EF"/>
    <w:rsid w:val="00CB590C"/>
    <w:rsid w:val="00CB5B94"/>
    <w:rsid w:val="00CB6494"/>
    <w:rsid w:val="00CB6808"/>
    <w:rsid w:val="00CC025D"/>
    <w:rsid w:val="00CC0507"/>
    <w:rsid w:val="00CC07CF"/>
    <w:rsid w:val="00CC1059"/>
    <w:rsid w:val="00CC1B94"/>
    <w:rsid w:val="00CC4D58"/>
    <w:rsid w:val="00CC4EA5"/>
    <w:rsid w:val="00CC500A"/>
    <w:rsid w:val="00CC5FEF"/>
    <w:rsid w:val="00CC687C"/>
    <w:rsid w:val="00CD11ED"/>
    <w:rsid w:val="00CD16E9"/>
    <w:rsid w:val="00CD2C43"/>
    <w:rsid w:val="00CD36B7"/>
    <w:rsid w:val="00CD3B09"/>
    <w:rsid w:val="00CD4033"/>
    <w:rsid w:val="00CD42EA"/>
    <w:rsid w:val="00CD4986"/>
    <w:rsid w:val="00CD4F03"/>
    <w:rsid w:val="00CD5851"/>
    <w:rsid w:val="00CD59D6"/>
    <w:rsid w:val="00CD5BD0"/>
    <w:rsid w:val="00CD692D"/>
    <w:rsid w:val="00CD6E5A"/>
    <w:rsid w:val="00CD7075"/>
    <w:rsid w:val="00CD712E"/>
    <w:rsid w:val="00CD7132"/>
    <w:rsid w:val="00CD7547"/>
    <w:rsid w:val="00CE0007"/>
    <w:rsid w:val="00CE0D98"/>
    <w:rsid w:val="00CE0DB6"/>
    <w:rsid w:val="00CE11C5"/>
    <w:rsid w:val="00CE12FF"/>
    <w:rsid w:val="00CE25B4"/>
    <w:rsid w:val="00CE3868"/>
    <w:rsid w:val="00CE3E64"/>
    <w:rsid w:val="00CE3F63"/>
    <w:rsid w:val="00CE4198"/>
    <w:rsid w:val="00CE43CB"/>
    <w:rsid w:val="00CE4B35"/>
    <w:rsid w:val="00CE50B3"/>
    <w:rsid w:val="00CE593D"/>
    <w:rsid w:val="00CE7719"/>
    <w:rsid w:val="00CE799A"/>
    <w:rsid w:val="00CE7C38"/>
    <w:rsid w:val="00CF0D7D"/>
    <w:rsid w:val="00CF0F08"/>
    <w:rsid w:val="00CF0FB0"/>
    <w:rsid w:val="00CF2C8A"/>
    <w:rsid w:val="00CF310C"/>
    <w:rsid w:val="00CF380A"/>
    <w:rsid w:val="00CF3DBF"/>
    <w:rsid w:val="00CF3EF3"/>
    <w:rsid w:val="00CF518E"/>
    <w:rsid w:val="00CF5CD4"/>
    <w:rsid w:val="00CF62B9"/>
    <w:rsid w:val="00CF6629"/>
    <w:rsid w:val="00CF6D58"/>
    <w:rsid w:val="00CF711C"/>
    <w:rsid w:val="00D0123C"/>
    <w:rsid w:val="00D013DE"/>
    <w:rsid w:val="00D01517"/>
    <w:rsid w:val="00D019E3"/>
    <w:rsid w:val="00D021F4"/>
    <w:rsid w:val="00D04448"/>
    <w:rsid w:val="00D0508F"/>
    <w:rsid w:val="00D054E7"/>
    <w:rsid w:val="00D07330"/>
    <w:rsid w:val="00D075A9"/>
    <w:rsid w:val="00D075B3"/>
    <w:rsid w:val="00D1027F"/>
    <w:rsid w:val="00D10E43"/>
    <w:rsid w:val="00D10F38"/>
    <w:rsid w:val="00D11625"/>
    <w:rsid w:val="00D122D1"/>
    <w:rsid w:val="00D15362"/>
    <w:rsid w:val="00D15EEB"/>
    <w:rsid w:val="00D167B7"/>
    <w:rsid w:val="00D16F28"/>
    <w:rsid w:val="00D17FDD"/>
    <w:rsid w:val="00D206EF"/>
    <w:rsid w:val="00D20887"/>
    <w:rsid w:val="00D2097C"/>
    <w:rsid w:val="00D22FAB"/>
    <w:rsid w:val="00D23DF6"/>
    <w:rsid w:val="00D24FC5"/>
    <w:rsid w:val="00D25323"/>
    <w:rsid w:val="00D2653E"/>
    <w:rsid w:val="00D27AD6"/>
    <w:rsid w:val="00D27BF3"/>
    <w:rsid w:val="00D30217"/>
    <w:rsid w:val="00D304D9"/>
    <w:rsid w:val="00D309DD"/>
    <w:rsid w:val="00D321C1"/>
    <w:rsid w:val="00D321F9"/>
    <w:rsid w:val="00D32492"/>
    <w:rsid w:val="00D33138"/>
    <w:rsid w:val="00D33636"/>
    <w:rsid w:val="00D33794"/>
    <w:rsid w:val="00D338C3"/>
    <w:rsid w:val="00D338CB"/>
    <w:rsid w:val="00D33912"/>
    <w:rsid w:val="00D33A63"/>
    <w:rsid w:val="00D34185"/>
    <w:rsid w:val="00D34F4A"/>
    <w:rsid w:val="00D354C4"/>
    <w:rsid w:val="00D35C72"/>
    <w:rsid w:val="00D36440"/>
    <w:rsid w:val="00D37565"/>
    <w:rsid w:val="00D377E6"/>
    <w:rsid w:val="00D4058C"/>
    <w:rsid w:val="00D40F8D"/>
    <w:rsid w:val="00D43FE9"/>
    <w:rsid w:val="00D4456E"/>
    <w:rsid w:val="00D45973"/>
    <w:rsid w:val="00D45E4C"/>
    <w:rsid w:val="00D45F2E"/>
    <w:rsid w:val="00D46178"/>
    <w:rsid w:val="00D470F0"/>
    <w:rsid w:val="00D50DC9"/>
    <w:rsid w:val="00D50DEC"/>
    <w:rsid w:val="00D5155F"/>
    <w:rsid w:val="00D51712"/>
    <w:rsid w:val="00D518CC"/>
    <w:rsid w:val="00D531DB"/>
    <w:rsid w:val="00D53863"/>
    <w:rsid w:val="00D53FC8"/>
    <w:rsid w:val="00D544D6"/>
    <w:rsid w:val="00D54B74"/>
    <w:rsid w:val="00D552C2"/>
    <w:rsid w:val="00D56283"/>
    <w:rsid w:val="00D566EC"/>
    <w:rsid w:val="00D578B2"/>
    <w:rsid w:val="00D57A6A"/>
    <w:rsid w:val="00D57CBF"/>
    <w:rsid w:val="00D57FC2"/>
    <w:rsid w:val="00D607EC"/>
    <w:rsid w:val="00D60DE7"/>
    <w:rsid w:val="00D60F14"/>
    <w:rsid w:val="00D60FF7"/>
    <w:rsid w:val="00D612FB"/>
    <w:rsid w:val="00D6252F"/>
    <w:rsid w:val="00D6260B"/>
    <w:rsid w:val="00D626E2"/>
    <w:rsid w:val="00D631E8"/>
    <w:rsid w:val="00D6598A"/>
    <w:rsid w:val="00D65CE4"/>
    <w:rsid w:val="00D65F16"/>
    <w:rsid w:val="00D662E6"/>
    <w:rsid w:val="00D665B5"/>
    <w:rsid w:val="00D6689F"/>
    <w:rsid w:val="00D66A62"/>
    <w:rsid w:val="00D702AA"/>
    <w:rsid w:val="00D70ECB"/>
    <w:rsid w:val="00D70F8D"/>
    <w:rsid w:val="00D716CF"/>
    <w:rsid w:val="00D71B12"/>
    <w:rsid w:val="00D71B43"/>
    <w:rsid w:val="00D71CE2"/>
    <w:rsid w:val="00D72E33"/>
    <w:rsid w:val="00D72E92"/>
    <w:rsid w:val="00D731AC"/>
    <w:rsid w:val="00D739C5"/>
    <w:rsid w:val="00D73F7D"/>
    <w:rsid w:val="00D74330"/>
    <w:rsid w:val="00D74C55"/>
    <w:rsid w:val="00D75FE7"/>
    <w:rsid w:val="00D777C6"/>
    <w:rsid w:val="00D80560"/>
    <w:rsid w:val="00D80BCC"/>
    <w:rsid w:val="00D80EEE"/>
    <w:rsid w:val="00D813C4"/>
    <w:rsid w:val="00D81499"/>
    <w:rsid w:val="00D81991"/>
    <w:rsid w:val="00D81FCB"/>
    <w:rsid w:val="00D82C0C"/>
    <w:rsid w:val="00D82F0C"/>
    <w:rsid w:val="00D83BF4"/>
    <w:rsid w:val="00D8487A"/>
    <w:rsid w:val="00D86389"/>
    <w:rsid w:val="00D86CE6"/>
    <w:rsid w:val="00D8767A"/>
    <w:rsid w:val="00D87BA4"/>
    <w:rsid w:val="00D900F7"/>
    <w:rsid w:val="00D92529"/>
    <w:rsid w:val="00D941C7"/>
    <w:rsid w:val="00D959BA"/>
    <w:rsid w:val="00D96567"/>
    <w:rsid w:val="00D96E24"/>
    <w:rsid w:val="00D97696"/>
    <w:rsid w:val="00D979F5"/>
    <w:rsid w:val="00D97F7F"/>
    <w:rsid w:val="00DA0F09"/>
    <w:rsid w:val="00DA1582"/>
    <w:rsid w:val="00DA1A06"/>
    <w:rsid w:val="00DA2557"/>
    <w:rsid w:val="00DA25B3"/>
    <w:rsid w:val="00DA28C3"/>
    <w:rsid w:val="00DA2C00"/>
    <w:rsid w:val="00DA359D"/>
    <w:rsid w:val="00DA3AB7"/>
    <w:rsid w:val="00DA46CD"/>
    <w:rsid w:val="00DA48CA"/>
    <w:rsid w:val="00DA568A"/>
    <w:rsid w:val="00DA57BD"/>
    <w:rsid w:val="00DA5F15"/>
    <w:rsid w:val="00DA5F7B"/>
    <w:rsid w:val="00DA66DA"/>
    <w:rsid w:val="00DA68B4"/>
    <w:rsid w:val="00DA6BFA"/>
    <w:rsid w:val="00DA6D4F"/>
    <w:rsid w:val="00DA7355"/>
    <w:rsid w:val="00DB013C"/>
    <w:rsid w:val="00DB02EF"/>
    <w:rsid w:val="00DB0697"/>
    <w:rsid w:val="00DB087D"/>
    <w:rsid w:val="00DB0F73"/>
    <w:rsid w:val="00DB2C49"/>
    <w:rsid w:val="00DB3131"/>
    <w:rsid w:val="00DB45D8"/>
    <w:rsid w:val="00DB55D1"/>
    <w:rsid w:val="00DB5EEA"/>
    <w:rsid w:val="00DB6207"/>
    <w:rsid w:val="00DB6A42"/>
    <w:rsid w:val="00DB6B16"/>
    <w:rsid w:val="00DB7941"/>
    <w:rsid w:val="00DB7D56"/>
    <w:rsid w:val="00DC0133"/>
    <w:rsid w:val="00DC0B1C"/>
    <w:rsid w:val="00DC0DF0"/>
    <w:rsid w:val="00DC1AAC"/>
    <w:rsid w:val="00DC238E"/>
    <w:rsid w:val="00DC2841"/>
    <w:rsid w:val="00DC2EB6"/>
    <w:rsid w:val="00DC39C6"/>
    <w:rsid w:val="00DC3AA3"/>
    <w:rsid w:val="00DC44F7"/>
    <w:rsid w:val="00DC49C6"/>
    <w:rsid w:val="00DC5A13"/>
    <w:rsid w:val="00DC5D8D"/>
    <w:rsid w:val="00DC61ED"/>
    <w:rsid w:val="00DC6319"/>
    <w:rsid w:val="00DC64F1"/>
    <w:rsid w:val="00DC6EF2"/>
    <w:rsid w:val="00DC76BD"/>
    <w:rsid w:val="00DC7DE6"/>
    <w:rsid w:val="00DD004C"/>
    <w:rsid w:val="00DD041D"/>
    <w:rsid w:val="00DD09D1"/>
    <w:rsid w:val="00DD0E68"/>
    <w:rsid w:val="00DD1278"/>
    <w:rsid w:val="00DD1C2E"/>
    <w:rsid w:val="00DD2245"/>
    <w:rsid w:val="00DD2674"/>
    <w:rsid w:val="00DD2F3D"/>
    <w:rsid w:val="00DD3829"/>
    <w:rsid w:val="00DD3C54"/>
    <w:rsid w:val="00DD3D79"/>
    <w:rsid w:val="00DD3E70"/>
    <w:rsid w:val="00DD4E04"/>
    <w:rsid w:val="00DD5442"/>
    <w:rsid w:val="00DD54DA"/>
    <w:rsid w:val="00DD5682"/>
    <w:rsid w:val="00DD60CE"/>
    <w:rsid w:val="00DD6AE8"/>
    <w:rsid w:val="00DD7435"/>
    <w:rsid w:val="00DD7E02"/>
    <w:rsid w:val="00DE0022"/>
    <w:rsid w:val="00DE115C"/>
    <w:rsid w:val="00DE2D79"/>
    <w:rsid w:val="00DE30F0"/>
    <w:rsid w:val="00DE3879"/>
    <w:rsid w:val="00DE4092"/>
    <w:rsid w:val="00DE62CA"/>
    <w:rsid w:val="00DE6503"/>
    <w:rsid w:val="00DE7163"/>
    <w:rsid w:val="00DE7D05"/>
    <w:rsid w:val="00DF1757"/>
    <w:rsid w:val="00DF17FC"/>
    <w:rsid w:val="00DF1885"/>
    <w:rsid w:val="00DF210B"/>
    <w:rsid w:val="00DF3F53"/>
    <w:rsid w:val="00DF427B"/>
    <w:rsid w:val="00DF432B"/>
    <w:rsid w:val="00DF4354"/>
    <w:rsid w:val="00DF5B4A"/>
    <w:rsid w:val="00DF5E5C"/>
    <w:rsid w:val="00DF6136"/>
    <w:rsid w:val="00DF7563"/>
    <w:rsid w:val="00DF7BF9"/>
    <w:rsid w:val="00DF7F3B"/>
    <w:rsid w:val="00E01F8F"/>
    <w:rsid w:val="00E0245E"/>
    <w:rsid w:val="00E030C7"/>
    <w:rsid w:val="00E03293"/>
    <w:rsid w:val="00E032E3"/>
    <w:rsid w:val="00E03C4E"/>
    <w:rsid w:val="00E048BE"/>
    <w:rsid w:val="00E04FF2"/>
    <w:rsid w:val="00E06286"/>
    <w:rsid w:val="00E10DE1"/>
    <w:rsid w:val="00E111B6"/>
    <w:rsid w:val="00E114C9"/>
    <w:rsid w:val="00E11C2F"/>
    <w:rsid w:val="00E11F37"/>
    <w:rsid w:val="00E12034"/>
    <w:rsid w:val="00E1258E"/>
    <w:rsid w:val="00E12717"/>
    <w:rsid w:val="00E128E0"/>
    <w:rsid w:val="00E14B00"/>
    <w:rsid w:val="00E15250"/>
    <w:rsid w:val="00E15F7B"/>
    <w:rsid w:val="00E160A7"/>
    <w:rsid w:val="00E1725B"/>
    <w:rsid w:val="00E178BF"/>
    <w:rsid w:val="00E2068F"/>
    <w:rsid w:val="00E2086D"/>
    <w:rsid w:val="00E22821"/>
    <w:rsid w:val="00E23E44"/>
    <w:rsid w:val="00E25267"/>
    <w:rsid w:val="00E25321"/>
    <w:rsid w:val="00E255EC"/>
    <w:rsid w:val="00E2564F"/>
    <w:rsid w:val="00E25DEF"/>
    <w:rsid w:val="00E26F34"/>
    <w:rsid w:val="00E27658"/>
    <w:rsid w:val="00E27CD4"/>
    <w:rsid w:val="00E30F48"/>
    <w:rsid w:val="00E3117C"/>
    <w:rsid w:val="00E31C75"/>
    <w:rsid w:val="00E32046"/>
    <w:rsid w:val="00E32154"/>
    <w:rsid w:val="00E32D9B"/>
    <w:rsid w:val="00E32E86"/>
    <w:rsid w:val="00E3312E"/>
    <w:rsid w:val="00E33355"/>
    <w:rsid w:val="00E334AC"/>
    <w:rsid w:val="00E33525"/>
    <w:rsid w:val="00E35684"/>
    <w:rsid w:val="00E36030"/>
    <w:rsid w:val="00E36376"/>
    <w:rsid w:val="00E37CA3"/>
    <w:rsid w:val="00E4054A"/>
    <w:rsid w:val="00E408BF"/>
    <w:rsid w:val="00E408C6"/>
    <w:rsid w:val="00E40A48"/>
    <w:rsid w:val="00E40F1A"/>
    <w:rsid w:val="00E41A52"/>
    <w:rsid w:val="00E41A6B"/>
    <w:rsid w:val="00E41C61"/>
    <w:rsid w:val="00E4201E"/>
    <w:rsid w:val="00E42FDB"/>
    <w:rsid w:val="00E44238"/>
    <w:rsid w:val="00E45342"/>
    <w:rsid w:val="00E45525"/>
    <w:rsid w:val="00E45F24"/>
    <w:rsid w:val="00E46929"/>
    <w:rsid w:val="00E47342"/>
    <w:rsid w:val="00E50AFC"/>
    <w:rsid w:val="00E50E23"/>
    <w:rsid w:val="00E50F55"/>
    <w:rsid w:val="00E51F33"/>
    <w:rsid w:val="00E52C0A"/>
    <w:rsid w:val="00E54317"/>
    <w:rsid w:val="00E54D4E"/>
    <w:rsid w:val="00E5502A"/>
    <w:rsid w:val="00E55406"/>
    <w:rsid w:val="00E55457"/>
    <w:rsid w:val="00E55844"/>
    <w:rsid w:val="00E56CB5"/>
    <w:rsid w:val="00E56DD1"/>
    <w:rsid w:val="00E57326"/>
    <w:rsid w:val="00E57BE3"/>
    <w:rsid w:val="00E60559"/>
    <w:rsid w:val="00E60B92"/>
    <w:rsid w:val="00E60BDC"/>
    <w:rsid w:val="00E60F61"/>
    <w:rsid w:val="00E6130B"/>
    <w:rsid w:val="00E616B0"/>
    <w:rsid w:val="00E61D3E"/>
    <w:rsid w:val="00E6295D"/>
    <w:rsid w:val="00E6333C"/>
    <w:rsid w:val="00E634AF"/>
    <w:rsid w:val="00E64D2E"/>
    <w:rsid w:val="00E65569"/>
    <w:rsid w:val="00E65BF1"/>
    <w:rsid w:val="00E65DBD"/>
    <w:rsid w:val="00E6672A"/>
    <w:rsid w:val="00E66CED"/>
    <w:rsid w:val="00E706D4"/>
    <w:rsid w:val="00E71BA5"/>
    <w:rsid w:val="00E71F52"/>
    <w:rsid w:val="00E72D8E"/>
    <w:rsid w:val="00E7324C"/>
    <w:rsid w:val="00E736E7"/>
    <w:rsid w:val="00E75047"/>
    <w:rsid w:val="00E766FA"/>
    <w:rsid w:val="00E80821"/>
    <w:rsid w:val="00E80A31"/>
    <w:rsid w:val="00E8127E"/>
    <w:rsid w:val="00E81AEF"/>
    <w:rsid w:val="00E8291B"/>
    <w:rsid w:val="00E82A3C"/>
    <w:rsid w:val="00E83348"/>
    <w:rsid w:val="00E834A7"/>
    <w:rsid w:val="00E83B00"/>
    <w:rsid w:val="00E84A4F"/>
    <w:rsid w:val="00E84D25"/>
    <w:rsid w:val="00E85F8A"/>
    <w:rsid w:val="00E85F99"/>
    <w:rsid w:val="00E87934"/>
    <w:rsid w:val="00E87A3B"/>
    <w:rsid w:val="00E90B77"/>
    <w:rsid w:val="00E934E1"/>
    <w:rsid w:val="00E936BA"/>
    <w:rsid w:val="00E939BF"/>
    <w:rsid w:val="00E948E0"/>
    <w:rsid w:val="00E952C0"/>
    <w:rsid w:val="00E95755"/>
    <w:rsid w:val="00E964D8"/>
    <w:rsid w:val="00E96BEE"/>
    <w:rsid w:val="00E97162"/>
    <w:rsid w:val="00E97182"/>
    <w:rsid w:val="00E9764F"/>
    <w:rsid w:val="00E97960"/>
    <w:rsid w:val="00E97DFC"/>
    <w:rsid w:val="00EA0310"/>
    <w:rsid w:val="00EA0316"/>
    <w:rsid w:val="00EA03DE"/>
    <w:rsid w:val="00EA0B18"/>
    <w:rsid w:val="00EA0B7D"/>
    <w:rsid w:val="00EA1158"/>
    <w:rsid w:val="00EA12E3"/>
    <w:rsid w:val="00EA2041"/>
    <w:rsid w:val="00EA222D"/>
    <w:rsid w:val="00EA2DEA"/>
    <w:rsid w:val="00EA319A"/>
    <w:rsid w:val="00EA367F"/>
    <w:rsid w:val="00EA3CB2"/>
    <w:rsid w:val="00EA4195"/>
    <w:rsid w:val="00EA4724"/>
    <w:rsid w:val="00EA47B0"/>
    <w:rsid w:val="00EA4E3C"/>
    <w:rsid w:val="00EA57DF"/>
    <w:rsid w:val="00EA5B42"/>
    <w:rsid w:val="00EA65B4"/>
    <w:rsid w:val="00EA7056"/>
    <w:rsid w:val="00EA76FD"/>
    <w:rsid w:val="00EB07D6"/>
    <w:rsid w:val="00EB0D16"/>
    <w:rsid w:val="00EB13A3"/>
    <w:rsid w:val="00EB1C61"/>
    <w:rsid w:val="00EB1D5D"/>
    <w:rsid w:val="00EB2745"/>
    <w:rsid w:val="00EB322D"/>
    <w:rsid w:val="00EB4289"/>
    <w:rsid w:val="00EB4A6D"/>
    <w:rsid w:val="00EB54E1"/>
    <w:rsid w:val="00EB5BF8"/>
    <w:rsid w:val="00EB6252"/>
    <w:rsid w:val="00EB67E7"/>
    <w:rsid w:val="00EB7669"/>
    <w:rsid w:val="00EC00FD"/>
    <w:rsid w:val="00EC0D53"/>
    <w:rsid w:val="00EC1F50"/>
    <w:rsid w:val="00EC3686"/>
    <w:rsid w:val="00EC3C03"/>
    <w:rsid w:val="00EC4110"/>
    <w:rsid w:val="00EC494D"/>
    <w:rsid w:val="00EC590A"/>
    <w:rsid w:val="00EC5D58"/>
    <w:rsid w:val="00EC6543"/>
    <w:rsid w:val="00EC66CB"/>
    <w:rsid w:val="00EC6DFC"/>
    <w:rsid w:val="00EC6FF3"/>
    <w:rsid w:val="00EC7C0D"/>
    <w:rsid w:val="00EC7E79"/>
    <w:rsid w:val="00ED05E0"/>
    <w:rsid w:val="00ED0921"/>
    <w:rsid w:val="00ED1A5E"/>
    <w:rsid w:val="00ED2726"/>
    <w:rsid w:val="00ED2CA7"/>
    <w:rsid w:val="00ED3177"/>
    <w:rsid w:val="00ED329A"/>
    <w:rsid w:val="00ED392C"/>
    <w:rsid w:val="00ED4771"/>
    <w:rsid w:val="00ED58DD"/>
    <w:rsid w:val="00ED5942"/>
    <w:rsid w:val="00ED5BB9"/>
    <w:rsid w:val="00ED5D86"/>
    <w:rsid w:val="00ED7034"/>
    <w:rsid w:val="00ED7AEB"/>
    <w:rsid w:val="00EE1759"/>
    <w:rsid w:val="00EE1ADB"/>
    <w:rsid w:val="00EE1F04"/>
    <w:rsid w:val="00EE2A75"/>
    <w:rsid w:val="00EE303D"/>
    <w:rsid w:val="00EE3085"/>
    <w:rsid w:val="00EE461A"/>
    <w:rsid w:val="00EE5DBD"/>
    <w:rsid w:val="00EF0C35"/>
    <w:rsid w:val="00EF0EE2"/>
    <w:rsid w:val="00EF1039"/>
    <w:rsid w:val="00EF106B"/>
    <w:rsid w:val="00EF296F"/>
    <w:rsid w:val="00EF3D24"/>
    <w:rsid w:val="00EF49B2"/>
    <w:rsid w:val="00EF5B45"/>
    <w:rsid w:val="00EF5EE6"/>
    <w:rsid w:val="00EF6183"/>
    <w:rsid w:val="00EF681E"/>
    <w:rsid w:val="00F0180C"/>
    <w:rsid w:val="00F021EC"/>
    <w:rsid w:val="00F0270E"/>
    <w:rsid w:val="00F029B1"/>
    <w:rsid w:val="00F02DF3"/>
    <w:rsid w:val="00F033E2"/>
    <w:rsid w:val="00F046AC"/>
    <w:rsid w:val="00F057CF"/>
    <w:rsid w:val="00F05D9D"/>
    <w:rsid w:val="00F05FF6"/>
    <w:rsid w:val="00F077DA"/>
    <w:rsid w:val="00F07818"/>
    <w:rsid w:val="00F1058B"/>
    <w:rsid w:val="00F10DC3"/>
    <w:rsid w:val="00F12A45"/>
    <w:rsid w:val="00F12AD7"/>
    <w:rsid w:val="00F12FE6"/>
    <w:rsid w:val="00F136AF"/>
    <w:rsid w:val="00F13999"/>
    <w:rsid w:val="00F13A98"/>
    <w:rsid w:val="00F149AA"/>
    <w:rsid w:val="00F1523C"/>
    <w:rsid w:val="00F153DD"/>
    <w:rsid w:val="00F15F17"/>
    <w:rsid w:val="00F168E5"/>
    <w:rsid w:val="00F173F1"/>
    <w:rsid w:val="00F20452"/>
    <w:rsid w:val="00F2051A"/>
    <w:rsid w:val="00F242F5"/>
    <w:rsid w:val="00F25183"/>
    <w:rsid w:val="00F267C8"/>
    <w:rsid w:val="00F278E8"/>
    <w:rsid w:val="00F27CAC"/>
    <w:rsid w:val="00F27D15"/>
    <w:rsid w:val="00F30572"/>
    <w:rsid w:val="00F3082C"/>
    <w:rsid w:val="00F314A1"/>
    <w:rsid w:val="00F320C2"/>
    <w:rsid w:val="00F33861"/>
    <w:rsid w:val="00F339B6"/>
    <w:rsid w:val="00F33B3E"/>
    <w:rsid w:val="00F34E88"/>
    <w:rsid w:val="00F36E97"/>
    <w:rsid w:val="00F40952"/>
    <w:rsid w:val="00F40F34"/>
    <w:rsid w:val="00F414AF"/>
    <w:rsid w:val="00F41671"/>
    <w:rsid w:val="00F43176"/>
    <w:rsid w:val="00F43E60"/>
    <w:rsid w:val="00F4401B"/>
    <w:rsid w:val="00F44117"/>
    <w:rsid w:val="00F453BF"/>
    <w:rsid w:val="00F4561B"/>
    <w:rsid w:val="00F456C2"/>
    <w:rsid w:val="00F458D6"/>
    <w:rsid w:val="00F470E4"/>
    <w:rsid w:val="00F47111"/>
    <w:rsid w:val="00F509CF"/>
    <w:rsid w:val="00F509FC"/>
    <w:rsid w:val="00F51169"/>
    <w:rsid w:val="00F512DD"/>
    <w:rsid w:val="00F513FF"/>
    <w:rsid w:val="00F516E4"/>
    <w:rsid w:val="00F52A30"/>
    <w:rsid w:val="00F53029"/>
    <w:rsid w:val="00F5335B"/>
    <w:rsid w:val="00F53727"/>
    <w:rsid w:val="00F53D93"/>
    <w:rsid w:val="00F54D06"/>
    <w:rsid w:val="00F54D11"/>
    <w:rsid w:val="00F57462"/>
    <w:rsid w:val="00F60161"/>
    <w:rsid w:val="00F60B2A"/>
    <w:rsid w:val="00F61FE5"/>
    <w:rsid w:val="00F62808"/>
    <w:rsid w:val="00F62FC2"/>
    <w:rsid w:val="00F631D6"/>
    <w:rsid w:val="00F65F5A"/>
    <w:rsid w:val="00F66E0E"/>
    <w:rsid w:val="00F66EB0"/>
    <w:rsid w:val="00F721AA"/>
    <w:rsid w:val="00F72C3C"/>
    <w:rsid w:val="00F73C9F"/>
    <w:rsid w:val="00F73DDE"/>
    <w:rsid w:val="00F74AF9"/>
    <w:rsid w:val="00F74C12"/>
    <w:rsid w:val="00F74E2A"/>
    <w:rsid w:val="00F75C5A"/>
    <w:rsid w:val="00F75C7E"/>
    <w:rsid w:val="00F76E54"/>
    <w:rsid w:val="00F76F19"/>
    <w:rsid w:val="00F7762A"/>
    <w:rsid w:val="00F778BF"/>
    <w:rsid w:val="00F77C09"/>
    <w:rsid w:val="00F77D03"/>
    <w:rsid w:val="00F80285"/>
    <w:rsid w:val="00F8078B"/>
    <w:rsid w:val="00F80BF1"/>
    <w:rsid w:val="00F82724"/>
    <w:rsid w:val="00F835F6"/>
    <w:rsid w:val="00F83985"/>
    <w:rsid w:val="00F83C26"/>
    <w:rsid w:val="00F8491D"/>
    <w:rsid w:val="00F8548B"/>
    <w:rsid w:val="00F87121"/>
    <w:rsid w:val="00F878D1"/>
    <w:rsid w:val="00F87EAD"/>
    <w:rsid w:val="00F90947"/>
    <w:rsid w:val="00F9106D"/>
    <w:rsid w:val="00F91142"/>
    <w:rsid w:val="00F91449"/>
    <w:rsid w:val="00F917E7"/>
    <w:rsid w:val="00F928E6"/>
    <w:rsid w:val="00F92C64"/>
    <w:rsid w:val="00F93786"/>
    <w:rsid w:val="00F950CB"/>
    <w:rsid w:val="00F96E1E"/>
    <w:rsid w:val="00F976B4"/>
    <w:rsid w:val="00F97AF0"/>
    <w:rsid w:val="00F97D26"/>
    <w:rsid w:val="00FA0414"/>
    <w:rsid w:val="00FA07A4"/>
    <w:rsid w:val="00FA09A5"/>
    <w:rsid w:val="00FA1686"/>
    <w:rsid w:val="00FA1E1A"/>
    <w:rsid w:val="00FA3660"/>
    <w:rsid w:val="00FA3D1A"/>
    <w:rsid w:val="00FA4813"/>
    <w:rsid w:val="00FA4CC9"/>
    <w:rsid w:val="00FA6839"/>
    <w:rsid w:val="00FA6B7A"/>
    <w:rsid w:val="00FA711E"/>
    <w:rsid w:val="00FA752C"/>
    <w:rsid w:val="00FA7FFC"/>
    <w:rsid w:val="00FB001F"/>
    <w:rsid w:val="00FB132D"/>
    <w:rsid w:val="00FB16CE"/>
    <w:rsid w:val="00FB1DF1"/>
    <w:rsid w:val="00FB1FA9"/>
    <w:rsid w:val="00FB23C1"/>
    <w:rsid w:val="00FB33EB"/>
    <w:rsid w:val="00FB37E0"/>
    <w:rsid w:val="00FB38E6"/>
    <w:rsid w:val="00FB47EE"/>
    <w:rsid w:val="00FB4C5D"/>
    <w:rsid w:val="00FB512E"/>
    <w:rsid w:val="00FB5742"/>
    <w:rsid w:val="00FB6051"/>
    <w:rsid w:val="00FB6425"/>
    <w:rsid w:val="00FB75C4"/>
    <w:rsid w:val="00FB7AA7"/>
    <w:rsid w:val="00FC0782"/>
    <w:rsid w:val="00FC093C"/>
    <w:rsid w:val="00FC2D1F"/>
    <w:rsid w:val="00FC35D8"/>
    <w:rsid w:val="00FC535C"/>
    <w:rsid w:val="00FC55B4"/>
    <w:rsid w:val="00FC5697"/>
    <w:rsid w:val="00FC59C1"/>
    <w:rsid w:val="00FC6FF7"/>
    <w:rsid w:val="00FC708E"/>
    <w:rsid w:val="00FC763B"/>
    <w:rsid w:val="00FD04A0"/>
    <w:rsid w:val="00FD0E10"/>
    <w:rsid w:val="00FD0F32"/>
    <w:rsid w:val="00FD14F2"/>
    <w:rsid w:val="00FD221E"/>
    <w:rsid w:val="00FD2BB9"/>
    <w:rsid w:val="00FD32AC"/>
    <w:rsid w:val="00FD3C7F"/>
    <w:rsid w:val="00FD42E5"/>
    <w:rsid w:val="00FD4FA0"/>
    <w:rsid w:val="00FD5A6B"/>
    <w:rsid w:val="00FD5F5F"/>
    <w:rsid w:val="00FD6DF1"/>
    <w:rsid w:val="00FE130F"/>
    <w:rsid w:val="00FE1901"/>
    <w:rsid w:val="00FE3272"/>
    <w:rsid w:val="00FE3334"/>
    <w:rsid w:val="00FE4412"/>
    <w:rsid w:val="00FE4883"/>
    <w:rsid w:val="00FE549D"/>
    <w:rsid w:val="00FE55A6"/>
    <w:rsid w:val="00FE55FD"/>
    <w:rsid w:val="00FE5AD4"/>
    <w:rsid w:val="00FE5C87"/>
    <w:rsid w:val="00FE6217"/>
    <w:rsid w:val="00FE69B6"/>
    <w:rsid w:val="00FF15CF"/>
    <w:rsid w:val="00FF1D99"/>
    <w:rsid w:val="00FF328C"/>
    <w:rsid w:val="00FF47C4"/>
    <w:rsid w:val="00FF47CB"/>
    <w:rsid w:val="00FF4A8A"/>
    <w:rsid w:val="00FF6160"/>
    <w:rsid w:val="00FF670E"/>
    <w:rsid w:val="00FF6DCB"/>
    <w:rsid w:val="00FF6F0E"/>
    <w:rsid w:val="00FF77CF"/>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0A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E7"/>
  </w:style>
  <w:style w:type="paragraph" w:styleId="Heading1">
    <w:name w:val="heading 1"/>
    <w:basedOn w:val="Normal"/>
    <w:link w:val="Heading1Char"/>
    <w:uiPriority w:val="9"/>
    <w:qFormat/>
    <w:rsid w:val="00F917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7E7"/>
    <w:rPr>
      <w:rFonts w:ascii="Times" w:hAnsi="Times"/>
      <w:b/>
      <w:bCs/>
      <w:kern w:val="36"/>
      <w:sz w:val="48"/>
      <w:szCs w:val="48"/>
    </w:rPr>
  </w:style>
  <w:style w:type="paragraph" w:styleId="FootnoteText">
    <w:name w:val="footnote text"/>
    <w:basedOn w:val="Normal"/>
    <w:link w:val="FootnoteTextChar"/>
    <w:autoRedefine/>
    <w:uiPriority w:val="99"/>
    <w:unhideWhenUsed/>
    <w:qFormat/>
    <w:rsid w:val="003A631C"/>
    <w:pPr>
      <w:contextualSpacing/>
    </w:pPr>
    <w:rPr>
      <w:rFonts w:ascii="Times New Roman" w:hAnsi="Times New Roman"/>
      <w:sz w:val="20"/>
    </w:rPr>
  </w:style>
  <w:style w:type="character" w:customStyle="1" w:styleId="FootnoteTextChar">
    <w:name w:val="Footnote Text Char"/>
    <w:basedOn w:val="DefaultParagraphFont"/>
    <w:link w:val="FootnoteText"/>
    <w:uiPriority w:val="99"/>
    <w:rsid w:val="003A631C"/>
    <w:rPr>
      <w:rFonts w:ascii="Times New Roman" w:hAnsi="Times New Roman"/>
      <w:sz w:val="20"/>
    </w:rPr>
  </w:style>
  <w:style w:type="character" w:styleId="FootnoteReference">
    <w:name w:val="footnote reference"/>
    <w:basedOn w:val="FootnoteTextChar"/>
    <w:uiPriority w:val="99"/>
    <w:unhideWhenUsed/>
    <w:qFormat/>
    <w:rsid w:val="00CF0D7D"/>
    <w:rPr>
      <w:rFonts w:ascii="Times New Roman" w:hAnsi="Times New Roman"/>
      <w:b w:val="0"/>
      <w:bCs w:val="0"/>
      <w:caps w:val="0"/>
      <w:smallCaps w:val="0"/>
      <w:strike w:val="0"/>
      <w:dstrike w:val="0"/>
      <w:vanish w:val="0"/>
      <w:sz w:val="20"/>
      <w:szCs w:val="20"/>
      <w:vertAlign w:val="superscript"/>
    </w:rPr>
  </w:style>
  <w:style w:type="paragraph" w:styleId="ListParagraph">
    <w:name w:val="List Paragraph"/>
    <w:basedOn w:val="Normal"/>
    <w:uiPriority w:val="34"/>
    <w:qFormat/>
    <w:rsid w:val="00F917E7"/>
    <w:pPr>
      <w:ind w:left="720"/>
      <w:contextualSpacing/>
    </w:pPr>
  </w:style>
  <w:style w:type="character" w:styleId="EndnoteReference">
    <w:name w:val="endnote reference"/>
    <w:basedOn w:val="DefaultParagraphFont"/>
    <w:uiPriority w:val="99"/>
    <w:semiHidden/>
    <w:unhideWhenUsed/>
    <w:rsid w:val="00545654"/>
    <w:rPr>
      <w:vertAlign w:val="superscript"/>
    </w:rPr>
  </w:style>
  <w:style w:type="paragraph" w:styleId="NormalWeb">
    <w:name w:val="Normal (Web)"/>
    <w:basedOn w:val="Normal"/>
    <w:uiPriority w:val="99"/>
    <w:semiHidden/>
    <w:unhideWhenUsed/>
    <w:rsid w:val="0060310E"/>
    <w:pPr>
      <w:spacing w:before="100" w:beforeAutospacing="1" w:after="100" w:afterAutospacing="1"/>
    </w:pPr>
    <w:rPr>
      <w:rFonts w:ascii="Times" w:hAnsi="Times" w:cs="Times New Roman"/>
      <w:sz w:val="20"/>
      <w:szCs w:val="20"/>
    </w:rPr>
  </w:style>
  <w:style w:type="paragraph" w:customStyle="1" w:styleId="Default">
    <w:name w:val="Default"/>
    <w:rsid w:val="00ED7034"/>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D7034"/>
    <w:pPr>
      <w:tabs>
        <w:tab w:val="center" w:pos="4320"/>
        <w:tab w:val="right" w:pos="8640"/>
      </w:tabs>
    </w:pPr>
  </w:style>
  <w:style w:type="character" w:customStyle="1" w:styleId="HeaderChar">
    <w:name w:val="Header Char"/>
    <w:basedOn w:val="DefaultParagraphFont"/>
    <w:link w:val="Header"/>
    <w:uiPriority w:val="99"/>
    <w:rsid w:val="00ED7034"/>
  </w:style>
  <w:style w:type="paragraph" w:styleId="Footer">
    <w:name w:val="footer"/>
    <w:basedOn w:val="Normal"/>
    <w:link w:val="FooterChar"/>
    <w:uiPriority w:val="99"/>
    <w:unhideWhenUsed/>
    <w:rsid w:val="00ED7034"/>
    <w:pPr>
      <w:tabs>
        <w:tab w:val="center" w:pos="4320"/>
        <w:tab w:val="right" w:pos="8640"/>
      </w:tabs>
    </w:pPr>
  </w:style>
  <w:style w:type="character" w:customStyle="1" w:styleId="FooterChar">
    <w:name w:val="Footer Char"/>
    <w:basedOn w:val="DefaultParagraphFont"/>
    <w:link w:val="Footer"/>
    <w:uiPriority w:val="99"/>
    <w:rsid w:val="00ED7034"/>
  </w:style>
  <w:style w:type="character" w:styleId="PageNumber">
    <w:name w:val="page number"/>
    <w:basedOn w:val="DefaultParagraphFont"/>
    <w:uiPriority w:val="99"/>
    <w:semiHidden/>
    <w:unhideWhenUsed/>
    <w:rsid w:val="005C33AA"/>
  </w:style>
  <w:style w:type="character" w:customStyle="1" w:styleId="exldetailsdisplayval">
    <w:name w:val="exldetailsdisplayval"/>
    <w:basedOn w:val="DefaultParagraphFont"/>
    <w:rsid w:val="000E5C1F"/>
  </w:style>
  <w:style w:type="character" w:customStyle="1" w:styleId="apple-converted-space">
    <w:name w:val="apple-converted-space"/>
    <w:basedOn w:val="DefaultParagraphFont"/>
    <w:rsid w:val="000E5C1F"/>
  </w:style>
  <w:style w:type="paragraph" w:styleId="EndnoteText">
    <w:name w:val="endnote text"/>
    <w:basedOn w:val="Normal"/>
    <w:link w:val="EndnoteTextChar"/>
    <w:uiPriority w:val="99"/>
    <w:semiHidden/>
    <w:unhideWhenUsed/>
    <w:rsid w:val="00672D7F"/>
  </w:style>
  <w:style w:type="character" w:customStyle="1" w:styleId="EndnoteTextChar">
    <w:name w:val="Endnote Text Char"/>
    <w:basedOn w:val="DefaultParagraphFont"/>
    <w:link w:val="EndnoteText"/>
    <w:uiPriority w:val="99"/>
    <w:semiHidden/>
    <w:rsid w:val="00672D7F"/>
  </w:style>
  <w:style w:type="paragraph" w:styleId="BalloonText">
    <w:name w:val="Balloon Text"/>
    <w:basedOn w:val="Normal"/>
    <w:link w:val="BalloonTextChar"/>
    <w:uiPriority w:val="99"/>
    <w:semiHidden/>
    <w:unhideWhenUsed/>
    <w:rsid w:val="00632C33"/>
    <w:rPr>
      <w:rFonts w:ascii="Tahoma" w:hAnsi="Tahoma" w:cs="Tahoma"/>
      <w:sz w:val="16"/>
      <w:szCs w:val="16"/>
    </w:rPr>
  </w:style>
  <w:style w:type="character" w:customStyle="1" w:styleId="BalloonTextChar">
    <w:name w:val="Balloon Text Char"/>
    <w:basedOn w:val="DefaultParagraphFont"/>
    <w:link w:val="BalloonText"/>
    <w:uiPriority w:val="99"/>
    <w:semiHidden/>
    <w:rsid w:val="00632C33"/>
    <w:rPr>
      <w:rFonts w:ascii="Tahoma" w:hAnsi="Tahoma" w:cs="Tahoma"/>
      <w:sz w:val="16"/>
      <w:szCs w:val="16"/>
    </w:rPr>
  </w:style>
  <w:style w:type="character" w:styleId="CommentReference">
    <w:name w:val="annotation reference"/>
    <w:basedOn w:val="DefaultParagraphFont"/>
    <w:uiPriority w:val="99"/>
    <w:semiHidden/>
    <w:unhideWhenUsed/>
    <w:rsid w:val="00632C33"/>
    <w:rPr>
      <w:sz w:val="16"/>
      <w:szCs w:val="16"/>
    </w:rPr>
  </w:style>
  <w:style w:type="paragraph" w:styleId="CommentText">
    <w:name w:val="annotation text"/>
    <w:basedOn w:val="Normal"/>
    <w:link w:val="CommentTextChar"/>
    <w:uiPriority w:val="99"/>
    <w:semiHidden/>
    <w:unhideWhenUsed/>
    <w:rsid w:val="00632C33"/>
    <w:rPr>
      <w:sz w:val="20"/>
      <w:szCs w:val="20"/>
    </w:rPr>
  </w:style>
  <w:style w:type="character" w:customStyle="1" w:styleId="CommentTextChar">
    <w:name w:val="Comment Text Char"/>
    <w:basedOn w:val="DefaultParagraphFont"/>
    <w:link w:val="CommentText"/>
    <w:uiPriority w:val="99"/>
    <w:semiHidden/>
    <w:rsid w:val="00632C33"/>
    <w:rPr>
      <w:sz w:val="20"/>
      <w:szCs w:val="20"/>
    </w:rPr>
  </w:style>
  <w:style w:type="paragraph" w:styleId="CommentSubject">
    <w:name w:val="annotation subject"/>
    <w:basedOn w:val="CommentText"/>
    <w:next w:val="CommentText"/>
    <w:link w:val="CommentSubjectChar"/>
    <w:uiPriority w:val="99"/>
    <w:semiHidden/>
    <w:unhideWhenUsed/>
    <w:rsid w:val="00632C33"/>
    <w:rPr>
      <w:b/>
      <w:bCs/>
    </w:rPr>
  </w:style>
  <w:style w:type="character" w:customStyle="1" w:styleId="CommentSubjectChar">
    <w:name w:val="Comment Subject Char"/>
    <w:basedOn w:val="CommentTextChar"/>
    <w:link w:val="CommentSubject"/>
    <w:uiPriority w:val="99"/>
    <w:semiHidden/>
    <w:rsid w:val="00632C33"/>
    <w:rPr>
      <w:b/>
      <w:bCs/>
      <w:sz w:val="20"/>
      <w:szCs w:val="20"/>
    </w:rPr>
  </w:style>
  <w:style w:type="paragraph" w:styleId="Revision">
    <w:name w:val="Revision"/>
    <w:hidden/>
    <w:uiPriority w:val="99"/>
    <w:semiHidden/>
    <w:rsid w:val="00D94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E7"/>
  </w:style>
  <w:style w:type="paragraph" w:styleId="Heading1">
    <w:name w:val="heading 1"/>
    <w:basedOn w:val="Normal"/>
    <w:link w:val="Heading1Char"/>
    <w:uiPriority w:val="9"/>
    <w:qFormat/>
    <w:rsid w:val="00F917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7E7"/>
    <w:rPr>
      <w:rFonts w:ascii="Times" w:hAnsi="Times"/>
      <w:b/>
      <w:bCs/>
      <w:kern w:val="36"/>
      <w:sz w:val="48"/>
      <w:szCs w:val="48"/>
    </w:rPr>
  </w:style>
  <w:style w:type="paragraph" w:styleId="FootnoteText">
    <w:name w:val="footnote text"/>
    <w:basedOn w:val="Normal"/>
    <w:link w:val="FootnoteTextChar"/>
    <w:autoRedefine/>
    <w:uiPriority w:val="99"/>
    <w:unhideWhenUsed/>
    <w:qFormat/>
    <w:rsid w:val="003A631C"/>
    <w:pPr>
      <w:contextualSpacing/>
    </w:pPr>
    <w:rPr>
      <w:rFonts w:ascii="Times New Roman" w:hAnsi="Times New Roman"/>
      <w:sz w:val="20"/>
    </w:rPr>
  </w:style>
  <w:style w:type="character" w:customStyle="1" w:styleId="FootnoteTextChar">
    <w:name w:val="Footnote Text Char"/>
    <w:basedOn w:val="DefaultParagraphFont"/>
    <w:link w:val="FootnoteText"/>
    <w:uiPriority w:val="99"/>
    <w:rsid w:val="003A631C"/>
    <w:rPr>
      <w:rFonts w:ascii="Times New Roman" w:hAnsi="Times New Roman"/>
      <w:sz w:val="20"/>
    </w:rPr>
  </w:style>
  <w:style w:type="character" w:styleId="FootnoteReference">
    <w:name w:val="footnote reference"/>
    <w:basedOn w:val="FootnoteTextChar"/>
    <w:uiPriority w:val="99"/>
    <w:unhideWhenUsed/>
    <w:qFormat/>
    <w:rsid w:val="00CF0D7D"/>
    <w:rPr>
      <w:rFonts w:ascii="Times New Roman" w:hAnsi="Times New Roman"/>
      <w:b w:val="0"/>
      <w:bCs w:val="0"/>
      <w:caps w:val="0"/>
      <w:smallCaps w:val="0"/>
      <w:strike w:val="0"/>
      <w:dstrike w:val="0"/>
      <w:vanish w:val="0"/>
      <w:sz w:val="20"/>
      <w:szCs w:val="20"/>
      <w:vertAlign w:val="superscript"/>
    </w:rPr>
  </w:style>
  <w:style w:type="paragraph" w:styleId="ListParagraph">
    <w:name w:val="List Paragraph"/>
    <w:basedOn w:val="Normal"/>
    <w:uiPriority w:val="34"/>
    <w:qFormat/>
    <w:rsid w:val="00F917E7"/>
    <w:pPr>
      <w:ind w:left="720"/>
      <w:contextualSpacing/>
    </w:pPr>
  </w:style>
  <w:style w:type="character" w:styleId="EndnoteReference">
    <w:name w:val="endnote reference"/>
    <w:basedOn w:val="DefaultParagraphFont"/>
    <w:uiPriority w:val="99"/>
    <w:semiHidden/>
    <w:unhideWhenUsed/>
    <w:rsid w:val="00545654"/>
    <w:rPr>
      <w:vertAlign w:val="superscript"/>
    </w:rPr>
  </w:style>
  <w:style w:type="paragraph" w:styleId="NormalWeb">
    <w:name w:val="Normal (Web)"/>
    <w:basedOn w:val="Normal"/>
    <w:uiPriority w:val="99"/>
    <w:semiHidden/>
    <w:unhideWhenUsed/>
    <w:rsid w:val="0060310E"/>
    <w:pPr>
      <w:spacing w:before="100" w:beforeAutospacing="1" w:after="100" w:afterAutospacing="1"/>
    </w:pPr>
    <w:rPr>
      <w:rFonts w:ascii="Times" w:hAnsi="Times" w:cs="Times New Roman"/>
      <w:sz w:val="20"/>
      <w:szCs w:val="20"/>
    </w:rPr>
  </w:style>
  <w:style w:type="paragraph" w:customStyle="1" w:styleId="Default">
    <w:name w:val="Default"/>
    <w:rsid w:val="00ED7034"/>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D7034"/>
    <w:pPr>
      <w:tabs>
        <w:tab w:val="center" w:pos="4320"/>
        <w:tab w:val="right" w:pos="8640"/>
      </w:tabs>
    </w:pPr>
  </w:style>
  <w:style w:type="character" w:customStyle="1" w:styleId="HeaderChar">
    <w:name w:val="Header Char"/>
    <w:basedOn w:val="DefaultParagraphFont"/>
    <w:link w:val="Header"/>
    <w:uiPriority w:val="99"/>
    <w:rsid w:val="00ED7034"/>
  </w:style>
  <w:style w:type="paragraph" w:styleId="Footer">
    <w:name w:val="footer"/>
    <w:basedOn w:val="Normal"/>
    <w:link w:val="FooterChar"/>
    <w:uiPriority w:val="99"/>
    <w:unhideWhenUsed/>
    <w:rsid w:val="00ED7034"/>
    <w:pPr>
      <w:tabs>
        <w:tab w:val="center" w:pos="4320"/>
        <w:tab w:val="right" w:pos="8640"/>
      </w:tabs>
    </w:pPr>
  </w:style>
  <w:style w:type="character" w:customStyle="1" w:styleId="FooterChar">
    <w:name w:val="Footer Char"/>
    <w:basedOn w:val="DefaultParagraphFont"/>
    <w:link w:val="Footer"/>
    <w:uiPriority w:val="99"/>
    <w:rsid w:val="00ED7034"/>
  </w:style>
  <w:style w:type="character" w:styleId="PageNumber">
    <w:name w:val="page number"/>
    <w:basedOn w:val="DefaultParagraphFont"/>
    <w:uiPriority w:val="99"/>
    <w:semiHidden/>
    <w:unhideWhenUsed/>
    <w:rsid w:val="005C33AA"/>
  </w:style>
  <w:style w:type="character" w:customStyle="1" w:styleId="exldetailsdisplayval">
    <w:name w:val="exldetailsdisplayval"/>
    <w:basedOn w:val="DefaultParagraphFont"/>
    <w:rsid w:val="000E5C1F"/>
  </w:style>
  <w:style w:type="character" w:customStyle="1" w:styleId="apple-converted-space">
    <w:name w:val="apple-converted-space"/>
    <w:basedOn w:val="DefaultParagraphFont"/>
    <w:rsid w:val="000E5C1F"/>
  </w:style>
  <w:style w:type="paragraph" w:styleId="EndnoteText">
    <w:name w:val="endnote text"/>
    <w:basedOn w:val="Normal"/>
    <w:link w:val="EndnoteTextChar"/>
    <w:uiPriority w:val="99"/>
    <w:semiHidden/>
    <w:unhideWhenUsed/>
    <w:rsid w:val="00672D7F"/>
  </w:style>
  <w:style w:type="character" w:customStyle="1" w:styleId="EndnoteTextChar">
    <w:name w:val="Endnote Text Char"/>
    <w:basedOn w:val="DefaultParagraphFont"/>
    <w:link w:val="EndnoteText"/>
    <w:uiPriority w:val="99"/>
    <w:semiHidden/>
    <w:rsid w:val="00672D7F"/>
  </w:style>
  <w:style w:type="paragraph" w:styleId="BalloonText">
    <w:name w:val="Balloon Text"/>
    <w:basedOn w:val="Normal"/>
    <w:link w:val="BalloonTextChar"/>
    <w:uiPriority w:val="99"/>
    <w:semiHidden/>
    <w:unhideWhenUsed/>
    <w:rsid w:val="00632C33"/>
    <w:rPr>
      <w:rFonts w:ascii="Tahoma" w:hAnsi="Tahoma" w:cs="Tahoma"/>
      <w:sz w:val="16"/>
      <w:szCs w:val="16"/>
    </w:rPr>
  </w:style>
  <w:style w:type="character" w:customStyle="1" w:styleId="BalloonTextChar">
    <w:name w:val="Balloon Text Char"/>
    <w:basedOn w:val="DefaultParagraphFont"/>
    <w:link w:val="BalloonText"/>
    <w:uiPriority w:val="99"/>
    <w:semiHidden/>
    <w:rsid w:val="00632C33"/>
    <w:rPr>
      <w:rFonts w:ascii="Tahoma" w:hAnsi="Tahoma" w:cs="Tahoma"/>
      <w:sz w:val="16"/>
      <w:szCs w:val="16"/>
    </w:rPr>
  </w:style>
  <w:style w:type="character" w:styleId="CommentReference">
    <w:name w:val="annotation reference"/>
    <w:basedOn w:val="DefaultParagraphFont"/>
    <w:uiPriority w:val="99"/>
    <w:semiHidden/>
    <w:unhideWhenUsed/>
    <w:rsid w:val="00632C33"/>
    <w:rPr>
      <w:sz w:val="16"/>
      <w:szCs w:val="16"/>
    </w:rPr>
  </w:style>
  <w:style w:type="paragraph" w:styleId="CommentText">
    <w:name w:val="annotation text"/>
    <w:basedOn w:val="Normal"/>
    <w:link w:val="CommentTextChar"/>
    <w:uiPriority w:val="99"/>
    <w:semiHidden/>
    <w:unhideWhenUsed/>
    <w:rsid w:val="00632C33"/>
    <w:rPr>
      <w:sz w:val="20"/>
      <w:szCs w:val="20"/>
    </w:rPr>
  </w:style>
  <w:style w:type="character" w:customStyle="1" w:styleId="CommentTextChar">
    <w:name w:val="Comment Text Char"/>
    <w:basedOn w:val="DefaultParagraphFont"/>
    <w:link w:val="CommentText"/>
    <w:uiPriority w:val="99"/>
    <w:semiHidden/>
    <w:rsid w:val="00632C33"/>
    <w:rPr>
      <w:sz w:val="20"/>
      <w:szCs w:val="20"/>
    </w:rPr>
  </w:style>
  <w:style w:type="paragraph" w:styleId="CommentSubject">
    <w:name w:val="annotation subject"/>
    <w:basedOn w:val="CommentText"/>
    <w:next w:val="CommentText"/>
    <w:link w:val="CommentSubjectChar"/>
    <w:uiPriority w:val="99"/>
    <w:semiHidden/>
    <w:unhideWhenUsed/>
    <w:rsid w:val="00632C33"/>
    <w:rPr>
      <w:b/>
      <w:bCs/>
    </w:rPr>
  </w:style>
  <w:style w:type="character" w:customStyle="1" w:styleId="CommentSubjectChar">
    <w:name w:val="Comment Subject Char"/>
    <w:basedOn w:val="CommentTextChar"/>
    <w:link w:val="CommentSubject"/>
    <w:uiPriority w:val="99"/>
    <w:semiHidden/>
    <w:rsid w:val="00632C33"/>
    <w:rPr>
      <w:b/>
      <w:bCs/>
      <w:sz w:val="20"/>
      <w:szCs w:val="20"/>
    </w:rPr>
  </w:style>
  <w:style w:type="paragraph" w:styleId="Revision">
    <w:name w:val="Revision"/>
    <w:hidden/>
    <w:uiPriority w:val="99"/>
    <w:semiHidden/>
    <w:rsid w:val="00D9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9364">
      <w:bodyDiv w:val="1"/>
      <w:marLeft w:val="0"/>
      <w:marRight w:val="0"/>
      <w:marTop w:val="0"/>
      <w:marBottom w:val="0"/>
      <w:divBdr>
        <w:top w:val="none" w:sz="0" w:space="0" w:color="auto"/>
        <w:left w:val="none" w:sz="0" w:space="0" w:color="auto"/>
        <w:bottom w:val="none" w:sz="0" w:space="0" w:color="auto"/>
        <w:right w:val="none" w:sz="0" w:space="0" w:color="auto"/>
      </w:divBdr>
    </w:div>
    <w:div w:id="296036930">
      <w:bodyDiv w:val="1"/>
      <w:marLeft w:val="0"/>
      <w:marRight w:val="0"/>
      <w:marTop w:val="0"/>
      <w:marBottom w:val="0"/>
      <w:divBdr>
        <w:top w:val="none" w:sz="0" w:space="0" w:color="auto"/>
        <w:left w:val="none" w:sz="0" w:space="0" w:color="auto"/>
        <w:bottom w:val="none" w:sz="0" w:space="0" w:color="auto"/>
        <w:right w:val="none" w:sz="0" w:space="0" w:color="auto"/>
      </w:divBdr>
    </w:div>
    <w:div w:id="445001529">
      <w:bodyDiv w:val="1"/>
      <w:marLeft w:val="0"/>
      <w:marRight w:val="0"/>
      <w:marTop w:val="0"/>
      <w:marBottom w:val="0"/>
      <w:divBdr>
        <w:top w:val="none" w:sz="0" w:space="0" w:color="auto"/>
        <w:left w:val="none" w:sz="0" w:space="0" w:color="auto"/>
        <w:bottom w:val="none" w:sz="0" w:space="0" w:color="auto"/>
        <w:right w:val="none" w:sz="0" w:space="0" w:color="auto"/>
      </w:divBdr>
    </w:div>
    <w:div w:id="462190714">
      <w:bodyDiv w:val="1"/>
      <w:marLeft w:val="0"/>
      <w:marRight w:val="0"/>
      <w:marTop w:val="0"/>
      <w:marBottom w:val="0"/>
      <w:divBdr>
        <w:top w:val="none" w:sz="0" w:space="0" w:color="auto"/>
        <w:left w:val="none" w:sz="0" w:space="0" w:color="auto"/>
        <w:bottom w:val="none" w:sz="0" w:space="0" w:color="auto"/>
        <w:right w:val="none" w:sz="0" w:space="0" w:color="auto"/>
      </w:divBdr>
    </w:div>
    <w:div w:id="591008230">
      <w:bodyDiv w:val="1"/>
      <w:marLeft w:val="0"/>
      <w:marRight w:val="0"/>
      <w:marTop w:val="0"/>
      <w:marBottom w:val="0"/>
      <w:divBdr>
        <w:top w:val="none" w:sz="0" w:space="0" w:color="auto"/>
        <w:left w:val="none" w:sz="0" w:space="0" w:color="auto"/>
        <w:bottom w:val="none" w:sz="0" w:space="0" w:color="auto"/>
        <w:right w:val="none" w:sz="0" w:space="0" w:color="auto"/>
      </w:divBdr>
    </w:div>
    <w:div w:id="691341144">
      <w:bodyDiv w:val="1"/>
      <w:marLeft w:val="0"/>
      <w:marRight w:val="0"/>
      <w:marTop w:val="0"/>
      <w:marBottom w:val="0"/>
      <w:divBdr>
        <w:top w:val="none" w:sz="0" w:space="0" w:color="auto"/>
        <w:left w:val="none" w:sz="0" w:space="0" w:color="auto"/>
        <w:bottom w:val="none" w:sz="0" w:space="0" w:color="auto"/>
        <w:right w:val="none" w:sz="0" w:space="0" w:color="auto"/>
      </w:divBdr>
    </w:div>
    <w:div w:id="744836017">
      <w:bodyDiv w:val="1"/>
      <w:marLeft w:val="0"/>
      <w:marRight w:val="0"/>
      <w:marTop w:val="0"/>
      <w:marBottom w:val="0"/>
      <w:divBdr>
        <w:top w:val="none" w:sz="0" w:space="0" w:color="auto"/>
        <w:left w:val="none" w:sz="0" w:space="0" w:color="auto"/>
        <w:bottom w:val="none" w:sz="0" w:space="0" w:color="auto"/>
        <w:right w:val="none" w:sz="0" w:space="0" w:color="auto"/>
      </w:divBdr>
    </w:div>
    <w:div w:id="808523184">
      <w:bodyDiv w:val="1"/>
      <w:marLeft w:val="0"/>
      <w:marRight w:val="0"/>
      <w:marTop w:val="0"/>
      <w:marBottom w:val="0"/>
      <w:divBdr>
        <w:top w:val="none" w:sz="0" w:space="0" w:color="auto"/>
        <w:left w:val="none" w:sz="0" w:space="0" w:color="auto"/>
        <w:bottom w:val="none" w:sz="0" w:space="0" w:color="auto"/>
        <w:right w:val="none" w:sz="0" w:space="0" w:color="auto"/>
      </w:divBdr>
    </w:div>
    <w:div w:id="989599205">
      <w:bodyDiv w:val="1"/>
      <w:marLeft w:val="0"/>
      <w:marRight w:val="0"/>
      <w:marTop w:val="0"/>
      <w:marBottom w:val="0"/>
      <w:divBdr>
        <w:top w:val="none" w:sz="0" w:space="0" w:color="auto"/>
        <w:left w:val="none" w:sz="0" w:space="0" w:color="auto"/>
        <w:bottom w:val="none" w:sz="0" w:space="0" w:color="auto"/>
        <w:right w:val="none" w:sz="0" w:space="0" w:color="auto"/>
      </w:divBdr>
    </w:div>
    <w:div w:id="991761100">
      <w:bodyDiv w:val="1"/>
      <w:marLeft w:val="0"/>
      <w:marRight w:val="0"/>
      <w:marTop w:val="0"/>
      <w:marBottom w:val="0"/>
      <w:divBdr>
        <w:top w:val="none" w:sz="0" w:space="0" w:color="auto"/>
        <w:left w:val="none" w:sz="0" w:space="0" w:color="auto"/>
        <w:bottom w:val="none" w:sz="0" w:space="0" w:color="auto"/>
        <w:right w:val="none" w:sz="0" w:space="0" w:color="auto"/>
      </w:divBdr>
    </w:div>
    <w:div w:id="994409536">
      <w:bodyDiv w:val="1"/>
      <w:marLeft w:val="0"/>
      <w:marRight w:val="0"/>
      <w:marTop w:val="0"/>
      <w:marBottom w:val="0"/>
      <w:divBdr>
        <w:top w:val="none" w:sz="0" w:space="0" w:color="auto"/>
        <w:left w:val="none" w:sz="0" w:space="0" w:color="auto"/>
        <w:bottom w:val="none" w:sz="0" w:space="0" w:color="auto"/>
        <w:right w:val="none" w:sz="0" w:space="0" w:color="auto"/>
      </w:divBdr>
    </w:div>
    <w:div w:id="1031496693">
      <w:bodyDiv w:val="1"/>
      <w:marLeft w:val="0"/>
      <w:marRight w:val="0"/>
      <w:marTop w:val="0"/>
      <w:marBottom w:val="0"/>
      <w:divBdr>
        <w:top w:val="none" w:sz="0" w:space="0" w:color="auto"/>
        <w:left w:val="none" w:sz="0" w:space="0" w:color="auto"/>
        <w:bottom w:val="none" w:sz="0" w:space="0" w:color="auto"/>
        <w:right w:val="none" w:sz="0" w:space="0" w:color="auto"/>
      </w:divBdr>
    </w:div>
    <w:div w:id="1062169711">
      <w:bodyDiv w:val="1"/>
      <w:marLeft w:val="0"/>
      <w:marRight w:val="0"/>
      <w:marTop w:val="0"/>
      <w:marBottom w:val="0"/>
      <w:divBdr>
        <w:top w:val="none" w:sz="0" w:space="0" w:color="auto"/>
        <w:left w:val="none" w:sz="0" w:space="0" w:color="auto"/>
        <w:bottom w:val="none" w:sz="0" w:space="0" w:color="auto"/>
        <w:right w:val="none" w:sz="0" w:space="0" w:color="auto"/>
      </w:divBdr>
    </w:div>
    <w:div w:id="1150516612">
      <w:bodyDiv w:val="1"/>
      <w:marLeft w:val="0"/>
      <w:marRight w:val="0"/>
      <w:marTop w:val="0"/>
      <w:marBottom w:val="0"/>
      <w:divBdr>
        <w:top w:val="none" w:sz="0" w:space="0" w:color="auto"/>
        <w:left w:val="none" w:sz="0" w:space="0" w:color="auto"/>
        <w:bottom w:val="none" w:sz="0" w:space="0" w:color="auto"/>
        <w:right w:val="none" w:sz="0" w:space="0" w:color="auto"/>
      </w:divBdr>
      <w:divsChild>
        <w:div w:id="1680155578">
          <w:marLeft w:val="0"/>
          <w:marRight w:val="0"/>
          <w:marTop w:val="0"/>
          <w:marBottom w:val="0"/>
          <w:divBdr>
            <w:top w:val="none" w:sz="0" w:space="0" w:color="auto"/>
            <w:left w:val="none" w:sz="0" w:space="0" w:color="auto"/>
            <w:bottom w:val="none" w:sz="0" w:space="0" w:color="auto"/>
            <w:right w:val="none" w:sz="0" w:space="0" w:color="auto"/>
          </w:divBdr>
        </w:div>
        <w:div w:id="618148402">
          <w:marLeft w:val="0"/>
          <w:marRight w:val="0"/>
          <w:marTop w:val="0"/>
          <w:marBottom w:val="0"/>
          <w:divBdr>
            <w:top w:val="none" w:sz="0" w:space="0" w:color="auto"/>
            <w:left w:val="none" w:sz="0" w:space="0" w:color="auto"/>
            <w:bottom w:val="none" w:sz="0" w:space="0" w:color="auto"/>
            <w:right w:val="none" w:sz="0" w:space="0" w:color="auto"/>
          </w:divBdr>
        </w:div>
        <w:div w:id="1252158353">
          <w:marLeft w:val="0"/>
          <w:marRight w:val="0"/>
          <w:marTop w:val="0"/>
          <w:marBottom w:val="0"/>
          <w:divBdr>
            <w:top w:val="none" w:sz="0" w:space="0" w:color="auto"/>
            <w:left w:val="none" w:sz="0" w:space="0" w:color="auto"/>
            <w:bottom w:val="none" w:sz="0" w:space="0" w:color="auto"/>
            <w:right w:val="none" w:sz="0" w:space="0" w:color="auto"/>
          </w:divBdr>
        </w:div>
      </w:divsChild>
    </w:div>
    <w:div w:id="1167087089">
      <w:bodyDiv w:val="1"/>
      <w:marLeft w:val="0"/>
      <w:marRight w:val="0"/>
      <w:marTop w:val="0"/>
      <w:marBottom w:val="0"/>
      <w:divBdr>
        <w:top w:val="none" w:sz="0" w:space="0" w:color="auto"/>
        <w:left w:val="none" w:sz="0" w:space="0" w:color="auto"/>
        <w:bottom w:val="none" w:sz="0" w:space="0" w:color="auto"/>
        <w:right w:val="none" w:sz="0" w:space="0" w:color="auto"/>
      </w:divBdr>
    </w:div>
    <w:div w:id="1241870708">
      <w:bodyDiv w:val="1"/>
      <w:marLeft w:val="0"/>
      <w:marRight w:val="0"/>
      <w:marTop w:val="0"/>
      <w:marBottom w:val="0"/>
      <w:divBdr>
        <w:top w:val="none" w:sz="0" w:space="0" w:color="auto"/>
        <w:left w:val="none" w:sz="0" w:space="0" w:color="auto"/>
        <w:bottom w:val="none" w:sz="0" w:space="0" w:color="auto"/>
        <w:right w:val="none" w:sz="0" w:space="0" w:color="auto"/>
      </w:divBdr>
    </w:div>
    <w:div w:id="1339162852">
      <w:bodyDiv w:val="1"/>
      <w:marLeft w:val="0"/>
      <w:marRight w:val="0"/>
      <w:marTop w:val="0"/>
      <w:marBottom w:val="0"/>
      <w:divBdr>
        <w:top w:val="none" w:sz="0" w:space="0" w:color="auto"/>
        <w:left w:val="none" w:sz="0" w:space="0" w:color="auto"/>
        <w:bottom w:val="none" w:sz="0" w:space="0" w:color="auto"/>
        <w:right w:val="none" w:sz="0" w:space="0" w:color="auto"/>
      </w:divBdr>
    </w:div>
    <w:div w:id="1369647366">
      <w:bodyDiv w:val="1"/>
      <w:marLeft w:val="0"/>
      <w:marRight w:val="0"/>
      <w:marTop w:val="0"/>
      <w:marBottom w:val="0"/>
      <w:divBdr>
        <w:top w:val="none" w:sz="0" w:space="0" w:color="auto"/>
        <w:left w:val="none" w:sz="0" w:space="0" w:color="auto"/>
        <w:bottom w:val="none" w:sz="0" w:space="0" w:color="auto"/>
        <w:right w:val="none" w:sz="0" w:space="0" w:color="auto"/>
      </w:divBdr>
    </w:div>
    <w:div w:id="1374425631">
      <w:bodyDiv w:val="1"/>
      <w:marLeft w:val="0"/>
      <w:marRight w:val="0"/>
      <w:marTop w:val="0"/>
      <w:marBottom w:val="0"/>
      <w:divBdr>
        <w:top w:val="none" w:sz="0" w:space="0" w:color="auto"/>
        <w:left w:val="none" w:sz="0" w:space="0" w:color="auto"/>
        <w:bottom w:val="none" w:sz="0" w:space="0" w:color="auto"/>
        <w:right w:val="none" w:sz="0" w:space="0" w:color="auto"/>
      </w:divBdr>
    </w:div>
    <w:div w:id="1459836319">
      <w:bodyDiv w:val="1"/>
      <w:marLeft w:val="0"/>
      <w:marRight w:val="0"/>
      <w:marTop w:val="0"/>
      <w:marBottom w:val="0"/>
      <w:divBdr>
        <w:top w:val="none" w:sz="0" w:space="0" w:color="auto"/>
        <w:left w:val="none" w:sz="0" w:space="0" w:color="auto"/>
        <w:bottom w:val="none" w:sz="0" w:space="0" w:color="auto"/>
        <w:right w:val="none" w:sz="0" w:space="0" w:color="auto"/>
      </w:divBdr>
    </w:div>
    <w:div w:id="1465388457">
      <w:bodyDiv w:val="1"/>
      <w:marLeft w:val="0"/>
      <w:marRight w:val="0"/>
      <w:marTop w:val="0"/>
      <w:marBottom w:val="0"/>
      <w:divBdr>
        <w:top w:val="none" w:sz="0" w:space="0" w:color="auto"/>
        <w:left w:val="none" w:sz="0" w:space="0" w:color="auto"/>
        <w:bottom w:val="none" w:sz="0" w:space="0" w:color="auto"/>
        <w:right w:val="none" w:sz="0" w:space="0" w:color="auto"/>
      </w:divBdr>
    </w:div>
    <w:div w:id="1556699593">
      <w:bodyDiv w:val="1"/>
      <w:marLeft w:val="0"/>
      <w:marRight w:val="0"/>
      <w:marTop w:val="0"/>
      <w:marBottom w:val="0"/>
      <w:divBdr>
        <w:top w:val="none" w:sz="0" w:space="0" w:color="auto"/>
        <w:left w:val="none" w:sz="0" w:space="0" w:color="auto"/>
        <w:bottom w:val="none" w:sz="0" w:space="0" w:color="auto"/>
        <w:right w:val="none" w:sz="0" w:space="0" w:color="auto"/>
      </w:divBdr>
    </w:div>
    <w:div w:id="1670599424">
      <w:bodyDiv w:val="1"/>
      <w:marLeft w:val="0"/>
      <w:marRight w:val="0"/>
      <w:marTop w:val="0"/>
      <w:marBottom w:val="0"/>
      <w:divBdr>
        <w:top w:val="none" w:sz="0" w:space="0" w:color="auto"/>
        <w:left w:val="none" w:sz="0" w:space="0" w:color="auto"/>
        <w:bottom w:val="none" w:sz="0" w:space="0" w:color="auto"/>
        <w:right w:val="none" w:sz="0" w:space="0" w:color="auto"/>
      </w:divBdr>
    </w:div>
    <w:div w:id="1686899017">
      <w:bodyDiv w:val="1"/>
      <w:marLeft w:val="0"/>
      <w:marRight w:val="0"/>
      <w:marTop w:val="0"/>
      <w:marBottom w:val="0"/>
      <w:divBdr>
        <w:top w:val="none" w:sz="0" w:space="0" w:color="auto"/>
        <w:left w:val="none" w:sz="0" w:space="0" w:color="auto"/>
        <w:bottom w:val="none" w:sz="0" w:space="0" w:color="auto"/>
        <w:right w:val="none" w:sz="0" w:space="0" w:color="auto"/>
      </w:divBdr>
    </w:div>
    <w:div w:id="1745907571">
      <w:bodyDiv w:val="1"/>
      <w:marLeft w:val="0"/>
      <w:marRight w:val="0"/>
      <w:marTop w:val="0"/>
      <w:marBottom w:val="0"/>
      <w:divBdr>
        <w:top w:val="none" w:sz="0" w:space="0" w:color="auto"/>
        <w:left w:val="none" w:sz="0" w:space="0" w:color="auto"/>
        <w:bottom w:val="none" w:sz="0" w:space="0" w:color="auto"/>
        <w:right w:val="none" w:sz="0" w:space="0" w:color="auto"/>
      </w:divBdr>
    </w:div>
    <w:div w:id="1768311837">
      <w:bodyDiv w:val="1"/>
      <w:marLeft w:val="0"/>
      <w:marRight w:val="0"/>
      <w:marTop w:val="0"/>
      <w:marBottom w:val="0"/>
      <w:divBdr>
        <w:top w:val="none" w:sz="0" w:space="0" w:color="auto"/>
        <w:left w:val="none" w:sz="0" w:space="0" w:color="auto"/>
        <w:bottom w:val="none" w:sz="0" w:space="0" w:color="auto"/>
        <w:right w:val="none" w:sz="0" w:space="0" w:color="auto"/>
      </w:divBdr>
    </w:div>
    <w:div w:id="1860385520">
      <w:bodyDiv w:val="1"/>
      <w:marLeft w:val="0"/>
      <w:marRight w:val="0"/>
      <w:marTop w:val="0"/>
      <w:marBottom w:val="0"/>
      <w:divBdr>
        <w:top w:val="none" w:sz="0" w:space="0" w:color="auto"/>
        <w:left w:val="none" w:sz="0" w:space="0" w:color="auto"/>
        <w:bottom w:val="none" w:sz="0" w:space="0" w:color="auto"/>
        <w:right w:val="none" w:sz="0" w:space="0" w:color="auto"/>
      </w:divBdr>
    </w:div>
    <w:div w:id="204324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00C9-663D-B340-B3BB-EFD54E86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11745</Words>
  <Characters>66361</Characters>
  <Application>Microsoft Macintosh Word</Application>
  <DocSecurity>0</DocSecurity>
  <Lines>934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Burton</dc:creator>
  <cp:lastModifiedBy>Elisabeth Burton</cp:lastModifiedBy>
  <cp:revision>4</cp:revision>
  <cp:lastPrinted>2016-12-11T21:25:00Z</cp:lastPrinted>
  <dcterms:created xsi:type="dcterms:W3CDTF">2017-04-30T01:25:00Z</dcterms:created>
  <dcterms:modified xsi:type="dcterms:W3CDTF">2017-09-02T21:43:00Z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id="RJcBTzZW"/&gt;&lt;style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