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71E1D2" w14:textId="77777777" w:rsidR="002A23D5" w:rsidRDefault="002A23D5" w:rsidP="004C531E">
      <w:pPr>
        <w:pStyle w:val="RSCM01ReceivedAccepted"/>
      </w:pPr>
    </w:p>
    <w:p w14:paraId="75F12741" w14:textId="77777777" w:rsidR="002A23D5" w:rsidRDefault="002A23D5" w:rsidP="004C531E">
      <w:pPr>
        <w:pStyle w:val="RSCM01ReceivedAccepted"/>
      </w:pPr>
    </w:p>
    <w:p w14:paraId="3F7BCD04" w14:textId="77777777" w:rsidR="002A23D5" w:rsidRDefault="002A23D5" w:rsidP="004C531E">
      <w:pPr>
        <w:pStyle w:val="RSCM01ReceivedAccepted"/>
      </w:pPr>
    </w:p>
    <w:p w14:paraId="0B74FB95" w14:textId="77777777" w:rsidR="002A23D5" w:rsidRDefault="002A23D5" w:rsidP="004C531E">
      <w:pPr>
        <w:pStyle w:val="RSCM01ReceivedAccepted"/>
      </w:pPr>
    </w:p>
    <w:p w14:paraId="21E4308A" w14:textId="77777777" w:rsidR="002A23D5" w:rsidRDefault="002A23D5" w:rsidP="004C531E">
      <w:pPr>
        <w:pStyle w:val="RSCM01ReceivedAccepted"/>
      </w:pPr>
    </w:p>
    <w:p w14:paraId="4A26D475" w14:textId="77777777" w:rsidR="002A23D5" w:rsidRDefault="002A23D5" w:rsidP="004C531E">
      <w:pPr>
        <w:pStyle w:val="RSCM01ReceivedAccepted"/>
      </w:pPr>
    </w:p>
    <w:p w14:paraId="4EB15A6E" w14:textId="77777777" w:rsidR="002A23D5" w:rsidRDefault="002A23D5" w:rsidP="004C531E">
      <w:pPr>
        <w:pStyle w:val="RSCM01ReceivedAccepted"/>
      </w:pPr>
    </w:p>
    <w:p w14:paraId="04E70435" w14:textId="77777777" w:rsidR="002A23D5" w:rsidRDefault="002A23D5" w:rsidP="004C531E">
      <w:pPr>
        <w:pStyle w:val="RSCM01ReceivedAccepted"/>
      </w:pPr>
    </w:p>
    <w:p w14:paraId="2D991B5B" w14:textId="77777777" w:rsidR="002A23D5" w:rsidRDefault="002A23D5" w:rsidP="004C531E">
      <w:pPr>
        <w:pStyle w:val="RSCM01ReceivedAccepted"/>
      </w:pPr>
    </w:p>
    <w:p w14:paraId="65BB2B14" w14:textId="77777777" w:rsidR="002A23D5" w:rsidRDefault="002A23D5" w:rsidP="004C531E">
      <w:pPr>
        <w:pStyle w:val="RSCM01ReceivedAccepted"/>
      </w:pPr>
    </w:p>
    <w:p w14:paraId="587080DF"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54656" behindDoc="1" locked="1" layoutInCell="0" allowOverlap="0" wp14:anchorId="1EA169DD" wp14:editId="0790C8C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6655BE17" w14:textId="0EE102A6" w:rsidR="00AD35CE" w:rsidRDefault="00AD35CE" w:rsidP="000978BF">
                            <w:pPr>
                              <w:pStyle w:val="ListParagraph"/>
                              <w:spacing w:after="0" w:line="240" w:lineRule="auto"/>
                              <w:ind w:left="0"/>
                              <w:rPr>
                                <w:i/>
                                <w:sz w:val="14"/>
                                <w:szCs w:val="14"/>
                              </w:rPr>
                            </w:pPr>
                            <w:r w:rsidRPr="000978BF">
                              <w:rPr>
                                <w:i/>
                                <w:sz w:val="14"/>
                                <w:szCs w:val="14"/>
                                <w:vertAlign w:val="superscript"/>
                              </w:rPr>
                              <w:t xml:space="preserve">a </w:t>
                            </w:r>
                            <w:r w:rsidRPr="000978BF">
                              <w:rPr>
                                <w:i/>
                                <w:sz w:val="14"/>
                                <w:szCs w:val="14"/>
                              </w:rPr>
                              <w:t>Biomineral Research Group, Department of Veterinary Medicine,</w:t>
                            </w:r>
                            <w:r>
                              <w:rPr>
                                <w:i/>
                                <w:sz w:val="14"/>
                                <w:szCs w:val="14"/>
                              </w:rPr>
                              <w:t xml:space="preserve"> </w:t>
                            </w:r>
                            <w:r w:rsidRPr="000978BF">
                              <w:rPr>
                                <w:i/>
                                <w:sz w:val="14"/>
                                <w:szCs w:val="14"/>
                              </w:rPr>
                              <w:t>University of Cambridge, Madingley Road, Cambridge, CB3 0ES, UK and MRC Elsie Widdowson Laboratory</w:t>
                            </w:r>
                            <w:r>
                              <w:rPr>
                                <w:i/>
                                <w:sz w:val="14"/>
                                <w:szCs w:val="14"/>
                              </w:rPr>
                              <w:t xml:space="preserve"> (MRC-EWL)</w:t>
                            </w:r>
                            <w:r w:rsidRPr="000978BF">
                              <w:rPr>
                                <w:i/>
                                <w:sz w:val="14"/>
                                <w:szCs w:val="14"/>
                              </w:rPr>
                              <w:t>, 120 Fulbourn Road, Cambridge, CB1 9NL, UK.</w:t>
                            </w:r>
                          </w:p>
                          <w:p w14:paraId="026A5499" w14:textId="52C48162" w:rsidR="00AD35CE" w:rsidRDefault="00AD35CE" w:rsidP="000978BF">
                            <w:pPr>
                              <w:pStyle w:val="ListParagraph"/>
                              <w:spacing w:after="0" w:line="240" w:lineRule="auto"/>
                              <w:ind w:left="0"/>
                              <w:rPr>
                                <w:i/>
                                <w:sz w:val="14"/>
                                <w:szCs w:val="14"/>
                              </w:rPr>
                            </w:pPr>
                            <w:r>
                              <w:rPr>
                                <w:i/>
                                <w:sz w:val="14"/>
                                <w:szCs w:val="14"/>
                              </w:rPr>
                              <w:t xml:space="preserve">Email: </w:t>
                            </w:r>
                            <w:hyperlink r:id="rId8" w:history="1">
                              <w:r w:rsidR="00CA342C">
                                <w:rPr>
                                  <w:rStyle w:val="Hyperlink"/>
                                  <w:i/>
                                  <w:sz w:val="14"/>
                                  <w:szCs w:val="14"/>
                                </w:rPr>
                                <w:t>dk440</w:t>
                              </w:r>
                              <w:r w:rsidR="00CA342C" w:rsidRPr="00BF0C8D">
                                <w:rPr>
                                  <w:rStyle w:val="Hyperlink"/>
                                  <w:i/>
                                  <w:sz w:val="14"/>
                                  <w:szCs w:val="14"/>
                                </w:rPr>
                                <w:t>@cam.ac.uk</w:t>
                              </w:r>
                            </w:hyperlink>
                          </w:p>
                          <w:p w14:paraId="443C15B3" w14:textId="77777777" w:rsidR="00AD35CE" w:rsidRPr="000978BF" w:rsidRDefault="00AD35CE" w:rsidP="000978BF">
                            <w:pPr>
                              <w:spacing w:after="0" w:line="240" w:lineRule="auto"/>
                              <w:rPr>
                                <w:i/>
                                <w:sz w:val="14"/>
                                <w:szCs w:val="14"/>
                              </w:rPr>
                            </w:pPr>
                            <w:r w:rsidRPr="000978BF">
                              <w:rPr>
                                <w:i/>
                                <w:sz w:val="14"/>
                                <w:szCs w:val="14"/>
                                <w:vertAlign w:val="superscript"/>
                              </w:rPr>
                              <w:t>b</w:t>
                            </w:r>
                            <w:r w:rsidRPr="000978BF">
                              <w:rPr>
                                <w:i/>
                                <w:sz w:val="14"/>
                                <w:szCs w:val="14"/>
                              </w:rPr>
                              <w:t xml:space="preserve"> University Hospital of Wales TRACE ELEMENT LABORATORY, Department of Medical Biochemistry and Immunology, Heath Park, Cardiff,CF14 4XW, UK.</w:t>
                            </w:r>
                          </w:p>
                          <w:p w14:paraId="50193CA2" w14:textId="77777777" w:rsidR="00AD35CE" w:rsidRPr="000978BF" w:rsidRDefault="00AD35CE" w:rsidP="000978BF">
                            <w:pPr>
                              <w:spacing w:after="0" w:line="240" w:lineRule="auto"/>
                              <w:rPr>
                                <w:i/>
                                <w:sz w:val="14"/>
                                <w:szCs w:val="14"/>
                              </w:rPr>
                            </w:pPr>
                            <w:r w:rsidRPr="000978BF">
                              <w:rPr>
                                <w:i/>
                                <w:sz w:val="14"/>
                                <w:szCs w:val="14"/>
                                <w:vertAlign w:val="superscript"/>
                              </w:rPr>
                              <w:t xml:space="preserve">c </w:t>
                            </w:r>
                            <w:r w:rsidRPr="000978BF">
                              <w:rPr>
                                <w:i/>
                                <w:sz w:val="14"/>
                                <w:szCs w:val="14"/>
                              </w:rPr>
                              <w:t>INRS, Unité de Génération d'atmosphères et de Chimie Analytique Toxicologique, Rue du Morvan CS60027, 54519 Vandooeuvre-lès-Nancy, France.</w:t>
                            </w:r>
                          </w:p>
                          <w:p w14:paraId="73380411" w14:textId="77777777" w:rsidR="00AD35CE" w:rsidRPr="000978BF" w:rsidRDefault="00AD35CE" w:rsidP="000978BF">
                            <w:pPr>
                              <w:spacing w:after="0" w:line="240" w:lineRule="auto"/>
                              <w:rPr>
                                <w:i/>
                                <w:sz w:val="14"/>
                                <w:szCs w:val="14"/>
                              </w:rPr>
                            </w:pPr>
                            <w:r w:rsidRPr="000978BF">
                              <w:rPr>
                                <w:i/>
                                <w:sz w:val="14"/>
                                <w:szCs w:val="14"/>
                                <w:vertAlign w:val="superscript"/>
                              </w:rPr>
                              <w:t xml:space="preserve">d </w:t>
                            </w:r>
                            <w:r w:rsidRPr="000978BF">
                              <w:rPr>
                                <w:i/>
                                <w:sz w:val="14"/>
                                <w:szCs w:val="14"/>
                              </w:rPr>
                              <w:t>LGC Limited, Inorganic Analysis, Queens Road Teddington, Middlesex, TW11 OLY, UK.</w:t>
                            </w:r>
                          </w:p>
                          <w:p w14:paraId="4700EB9F" w14:textId="77777777" w:rsidR="00AD35CE" w:rsidRPr="000978BF" w:rsidRDefault="00AD35CE" w:rsidP="000978BF">
                            <w:pPr>
                              <w:spacing w:after="0" w:line="240" w:lineRule="auto"/>
                              <w:rPr>
                                <w:i/>
                                <w:sz w:val="14"/>
                                <w:szCs w:val="14"/>
                              </w:rPr>
                            </w:pPr>
                            <w:r w:rsidRPr="000978BF">
                              <w:rPr>
                                <w:i/>
                                <w:sz w:val="14"/>
                                <w:szCs w:val="14"/>
                                <w:vertAlign w:val="superscript"/>
                              </w:rPr>
                              <w:t xml:space="preserve">e </w:t>
                            </w:r>
                            <w:r w:rsidRPr="000978BF">
                              <w:rPr>
                                <w:i/>
                                <w:sz w:val="14"/>
                                <w:szCs w:val="14"/>
                              </w:rPr>
                              <w:t xml:space="preserve">SAS Trace Element Centre,  Surrey Research Park, 15 Frederick Sanger Road, Guildford, Surrey, GU2 7YD, UK.  </w:t>
                            </w:r>
                          </w:p>
                          <w:p w14:paraId="095C1EE3" w14:textId="2D59965A" w:rsidR="00AD35CE" w:rsidRPr="000978BF" w:rsidRDefault="00AD35CE" w:rsidP="000978BF">
                            <w:pPr>
                              <w:spacing w:after="0" w:line="240" w:lineRule="auto"/>
                              <w:rPr>
                                <w:i/>
                                <w:sz w:val="14"/>
                                <w:szCs w:val="14"/>
                              </w:rPr>
                            </w:pPr>
                            <w:r w:rsidRPr="000978BF">
                              <w:rPr>
                                <w:i/>
                                <w:sz w:val="14"/>
                                <w:szCs w:val="14"/>
                                <w:vertAlign w:val="superscript"/>
                              </w:rPr>
                              <w:t>f</w:t>
                            </w:r>
                            <w:r w:rsidRPr="000978BF">
                              <w:rPr>
                                <w:i/>
                                <w:sz w:val="14"/>
                                <w:szCs w:val="14"/>
                              </w:rPr>
                              <w:t xml:space="preserve"> Health and Safety </w:t>
                            </w:r>
                            <w:r>
                              <w:rPr>
                                <w:i/>
                                <w:sz w:val="14"/>
                                <w:szCs w:val="14"/>
                              </w:rPr>
                              <w:t>Executive</w:t>
                            </w:r>
                            <w:r w:rsidRPr="000978BF">
                              <w:rPr>
                                <w:i/>
                                <w:sz w:val="14"/>
                                <w:szCs w:val="14"/>
                              </w:rPr>
                              <w:t>, Biological Monitoring, Harpur Hill, Buxton, SK17 9JN, UK.</w:t>
                            </w:r>
                          </w:p>
                          <w:p w14:paraId="2E19A210" w14:textId="77777777" w:rsidR="00AD35CE" w:rsidRDefault="00AD35CE" w:rsidP="000978BF">
                            <w:pPr>
                              <w:spacing w:after="0" w:line="240" w:lineRule="auto"/>
                              <w:rPr>
                                <w:i/>
                                <w:sz w:val="14"/>
                                <w:szCs w:val="14"/>
                              </w:rPr>
                            </w:pPr>
                            <w:r w:rsidRPr="000978BF">
                              <w:rPr>
                                <w:i/>
                                <w:sz w:val="14"/>
                                <w:szCs w:val="14"/>
                                <w:vertAlign w:val="superscript"/>
                              </w:rPr>
                              <w:t xml:space="preserve">g </w:t>
                            </w:r>
                            <w:r w:rsidRPr="000978BF">
                              <w:rPr>
                                <w:i/>
                                <w:sz w:val="14"/>
                                <w:szCs w:val="14"/>
                              </w:rPr>
                              <w:t>Charing Cross Hospital, SAS Trace Element Laboratory, Ground Floor Medical Oncology Block</w:t>
                            </w:r>
                            <w:r>
                              <w:rPr>
                                <w:i/>
                                <w:sz w:val="14"/>
                                <w:szCs w:val="14"/>
                              </w:rPr>
                              <w:t xml:space="preserve">, </w:t>
                            </w:r>
                            <w:r w:rsidRPr="000978BF">
                              <w:rPr>
                                <w:i/>
                                <w:sz w:val="14"/>
                                <w:szCs w:val="14"/>
                              </w:rPr>
                              <w:t>Fulham Palace Road, London, W6 8RF, UK</w:t>
                            </w:r>
                          </w:p>
                          <w:p w14:paraId="286B111D" w14:textId="77777777" w:rsidR="00AD35CE" w:rsidRPr="000978BF" w:rsidRDefault="00AD35CE" w:rsidP="000978BF">
                            <w:pPr>
                              <w:spacing w:after="0" w:line="240" w:lineRule="auto"/>
                              <w:rPr>
                                <w:i/>
                                <w:sz w:val="14"/>
                                <w:szCs w:val="14"/>
                              </w:rPr>
                            </w:pPr>
                            <w:r w:rsidRPr="000978BF">
                              <w:rPr>
                                <w:i/>
                                <w:sz w:val="14"/>
                                <w:szCs w:val="14"/>
                              </w:rPr>
                              <w:t xml:space="preserve">† Footnotes relating to the title and/or authors should appear here. </w:t>
                            </w:r>
                          </w:p>
                          <w:p w14:paraId="2E7C3C16" w14:textId="77777777" w:rsidR="00AD35CE" w:rsidRPr="000978BF" w:rsidRDefault="00AD35CE" w:rsidP="00241ACD">
                            <w:pPr>
                              <w:pStyle w:val="RSCF02FootnotestoTitleAuthors"/>
                              <w:rPr>
                                <w:i/>
                              </w:rPr>
                            </w:pPr>
                            <w:r w:rsidRPr="000978BF">
                              <w:rPr>
                                <w:i/>
                              </w:rPr>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EA169DD" id="_x0000_t202" coordsize="21600,21600" o:spt="202" path="m,l,21600r21600,l21600,xe">
                <v:stroke joinstyle="miter"/>
                <v:path gradientshapeok="t" o:connecttype="rect"/>
              </v:shapetype>
              <v:shape id="Text Box 2" o:spid="_x0000_s1026" type="#_x0000_t202" style="position:absolute;margin-left:0;margin-top:0;width:248.75pt;height:128.2pt;z-index:-25166182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6655BE17" w14:textId="0EE102A6" w:rsidR="00AD35CE" w:rsidRDefault="00AD35CE" w:rsidP="000978BF">
                      <w:pPr>
                        <w:pStyle w:val="ListParagraph"/>
                        <w:spacing w:after="0" w:line="240" w:lineRule="auto"/>
                        <w:ind w:left="0"/>
                        <w:rPr>
                          <w:i/>
                          <w:sz w:val="14"/>
                          <w:szCs w:val="14"/>
                        </w:rPr>
                      </w:pPr>
                      <w:r w:rsidRPr="000978BF">
                        <w:rPr>
                          <w:i/>
                          <w:sz w:val="14"/>
                          <w:szCs w:val="14"/>
                          <w:vertAlign w:val="superscript"/>
                        </w:rPr>
                        <w:t xml:space="preserve">a </w:t>
                      </w:r>
                      <w:proofErr w:type="spellStart"/>
                      <w:r w:rsidRPr="000978BF">
                        <w:rPr>
                          <w:i/>
                          <w:sz w:val="14"/>
                          <w:szCs w:val="14"/>
                        </w:rPr>
                        <w:t>Biomineral</w:t>
                      </w:r>
                      <w:proofErr w:type="spellEnd"/>
                      <w:r w:rsidRPr="000978BF">
                        <w:rPr>
                          <w:i/>
                          <w:sz w:val="14"/>
                          <w:szCs w:val="14"/>
                        </w:rPr>
                        <w:t xml:space="preserve"> Research Group, Department of Veterinary Medicine,</w:t>
                      </w:r>
                      <w:r>
                        <w:rPr>
                          <w:i/>
                          <w:sz w:val="14"/>
                          <w:szCs w:val="14"/>
                        </w:rPr>
                        <w:t xml:space="preserve"> </w:t>
                      </w:r>
                      <w:r w:rsidRPr="000978BF">
                        <w:rPr>
                          <w:i/>
                          <w:sz w:val="14"/>
                          <w:szCs w:val="14"/>
                        </w:rPr>
                        <w:t xml:space="preserve">University of Cambridge, </w:t>
                      </w:r>
                      <w:proofErr w:type="spellStart"/>
                      <w:r w:rsidRPr="000978BF">
                        <w:rPr>
                          <w:i/>
                          <w:sz w:val="14"/>
                          <w:szCs w:val="14"/>
                        </w:rPr>
                        <w:t>Madingley</w:t>
                      </w:r>
                      <w:proofErr w:type="spellEnd"/>
                      <w:r w:rsidRPr="000978BF">
                        <w:rPr>
                          <w:i/>
                          <w:sz w:val="14"/>
                          <w:szCs w:val="14"/>
                        </w:rPr>
                        <w:t xml:space="preserve"> Road, Cambridge, CB3 0ES, UK and MRC Elsie </w:t>
                      </w:r>
                      <w:proofErr w:type="spellStart"/>
                      <w:r w:rsidRPr="000978BF">
                        <w:rPr>
                          <w:i/>
                          <w:sz w:val="14"/>
                          <w:szCs w:val="14"/>
                        </w:rPr>
                        <w:t>Widdowson</w:t>
                      </w:r>
                      <w:proofErr w:type="spellEnd"/>
                      <w:r w:rsidRPr="000978BF">
                        <w:rPr>
                          <w:i/>
                          <w:sz w:val="14"/>
                          <w:szCs w:val="14"/>
                        </w:rPr>
                        <w:t xml:space="preserve"> Laboratory</w:t>
                      </w:r>
                      <w:r>
                        <w:rPr>
                          <w:i/>
                          <w:sz w:val="14"/>
                          <w:szCs w:val="14"/>
                        </w:rPr>
                        <w:t xml:space="preserve"> (MRC-EWL)</w:t>
                      </w:r>
                      <w:r w:rsidRPr="000978BF">
                        <w:rPr>
                          <w:i/>
                          <w:sz w:val="14"/>
                          <w:szCs w:val="14"/>
                        </w:rPr>
                        <w:t xml:space="preserve">, 120 </w:t>
                      </w:r>
                      <w:proofErr w:type="spellStart"/>
                      <w:r w:rsidRPr="000978BF">
                        <w:rPr>
                          <w:i/>
                          <w:sz w:val="14"/>
                          <w:szCs w:val="14"/>
                        </w:rPr>
                        <w:t>Fulbourn</w:t>
                      </w:r>
                      <w:proofErr w:type="spellEnd"/>
                      <w:r w:rsidRPr="000978BF">
                        <w:rPr>
                          <w:i/>
                          <w:sz w:val="14"/>
                          <w:szCs w:val="14"/>
                        </w:rPr>
                        <w:t xml:space="preserve"> Road, Cambridge, CB1 9NL, UK.</w:t>
                      </w:r>
                    </w:p>
                    <w:p w14:paraId="026A5499" w14:textId="52C48162" w:rsidR="00AD35CE" w:rsidRDefault="00AD35CE" w:rsidP="000978BF">
                      <w:pPr>
                        <w:pStyle w:val="ListParagraph"/>
                        <w:spacing w:after="0" w:line="240" w:lineRule="auto"/>
                        <w:ind w:left="0"/>
                        <w:rPr>
                          <w:i/>
                          <w:sz w:val="14"/>
                          <w:szCs w:val="14"/>
                        </w:rPr>
                      </w:pPr>
                      <w:r>
                        <w:rPr>
                          <w:i/>
                          <w:sz w:val="14"/>
                          <w:szCs w:val="14"/>
                        </w:rPr>
                        <w:t xml:space="preserve">Email: </w:t>
                      </w:r>
                      <w:bookmarkStart w:id="1" w:name="_GoBack"/>
                      <w:bookmarkEnd w:id="1"/>
                      <w:r w:rsidR="00CA342C">
                        <w:rPr>
                          <w:rStyle w:val="Hyperlink"/>
                          <w:i/>
                          <w:sz w:val="14"/>
                          <w:szCs w:val="14"/>
                        </w:rPr>
                        <w:fldChar w:fldCharType="begin"/>
                      </w:r>
                      <w:r w:rsidR="00CA342C">
                        <w:rPr>
                          <w:rStyle w:val="Hyperlink"/>
                          <w:i/>
                          <w:sz w:val="14"/>
                          <w:szCs w:val="14"/>
                        </w:rPr>
                        <w:instrText xml:space="preserve"> HYPERLINK "mailto:jjp37@cam.ac.uk" </w:instrText>
                      </w:r>
                      <w:r w:rsidR="00CA342C">
                        <w:rPr>
                          <w:rStyle w:val="Hyperlink"/>
                          <w:i/>
                          <w:sz w:val="14"/>
                          <w:szCs w:val="14"/>
                        </w:rPr>
                        <w:fldChar w:fldCharType="separate"/>
                      </w:r>
                      <w:r w:rsidR="00CA342C">
                        <w:rPr>
                          <w:rStyle w:val="Hyperlink"/>
                          <w:i/>
                          <w:sz w:val="14"/>
                          <w:szCs w:val="14"/>
                        </w:rPr>
                        <w:t>dk440</w:t>
                      </w:r>
                      <w:r w:rsidR="00CA342C" w:rsidRPr="00BF0C8D">
                        <w:rPr>
                          <w:rStyle w:val="Hyperlink"/>
                          <w:i/>
                          <w:sz w:val="14"/>
                          <w:szCs w:val="14"/>
                        </w:rPr>
                        <w:t>@cam.ac.uk</w:t>
                      </w:r>
                      <w:r w:rsidR="00CA342C">
                        <w:rPr>
                          <w:rStyle w:val="Hyperlink"/>
                          <w:i/>
                          <w:sz w:val="14"/>
                          <w:szCs w:val="14"/>
                        </w:rPr>
                        <w:fldChar w:fldCharType="end"/>
                      </w:r>
                    </w:p>
                    <w:p w14:paraId="443C15B3" w14:textId="77777777" w:rsidR="00AD35CE" w:rsidRPr="000978BF" w:rsidRDefault="00AD35CE" w:rsidP="000978BF">
                      <w:pPr>
                        <w:spacing w:after="0" w:line="240" w:lineRule="auto"/>
                        <w:rPr>
                          <w:i/>
                          <w:sz w:val="14"/>
                          <w:szCs w:val="14"/>
                        </w:rPr>
                      </w:pPr>
                      <w:r w:rsidRPr="000978BF">
                        <w:rPr>
                          <w:i/>
                          <w:sz w:val="14"/>
                          <w:szCs w:val="14"/>
                          <w:vertAlign w:val="superscript"/>
                        </w:rPr>
                        <w:t>b</w:t>
                      </w:r>
                      <w:r w:rsidRPr="000978BF">
                        <w:rPr>
                          <w:i/>
                          <w:sz w:val="14"/>
                          <w:szCs w:val="14"/>
                        </w:rPr>
                        <w:t xml:space="preserve"> University Hospital of Wales TRACE ELEMENT LABORATORY, Department of Medical Biochemistry and Immunology, Heath Park, Cardiff,CF14 4XW, UK.</w:t>
                      </w:r>
                    </w:p>
                    <w:p w14:paraId="50193CA2" w14:textId="77777777" w:rsidR="00AD35CE" w:rsidRPr="000978BF" w:rsidRDefault="00AD35CE" w:rsidP="000978BF">
                      <w:pPr>
                        <w:spacing w:after="0" w:line="240" w:lineRule="auto"/>
                        <w:rPr>
                          <w:i/>
                          <w:sz w:val="14"/>
                          <w:szCs w:val="14"/>
                        </w:rPr>
                      </w:pPr>
                      <w:proofErr w:type="gramStart"/>
                      <w:r w:rsidRPr="000978BF">
                        <w:rPr>
                          <w:i/>
                          <w:sz w:val="14"/>
                          <w:szCs w:val="14"/>
                          <w:vertAlign w:val="superscript"/>
                        </w:rPr>
                        <w:t>c</w:t>
                      </w:r>
                      <w:proofErr w:type="gramEnd"/>
                      <w:r w:rsidRPr="000978BF">
                        <w:rPr>
                          <w:i/>
                          <w:sz w:val="14"/>
                          <w:szCs w:val="14"/>
                          <w:vertAlign w:val="superscript"/>
                        </w:rPr>
                        <w:t xml:space="preserve"> </w:t>
                      </w:r>
                      <w:r w:rsidRPr="000978BF">
                        <w:rPr>
                          <w:i/>
                          <w:sz w:val="14"/>
                          <w:szCs w:val="14"/>
                        </w:rPr>
                        <w:t xml:space="preserve">INRS, </w:t>
                      </w:r>
                      <w:proofErr w:type="spellStart"/>
                      <w:r w:rsidRPr="000978BF">
                        <w:rPr>
                          <w:i/>
                          <w:sz w:val="14"/>
                          <w:szCs w:val="14"/>
                        </w:rPr>
                        <w:t>Unité</w:t>
                      </w:r>
                      <w:proofErr w:type="spellEnd"/>
                      <w:r w:rsidRPr="000978BF">
                        <w:rPr>
                          <w:i/>
                          <w:sz w:val="14"/>
                          <w:szCs w:val="14"/>
                        </w:rPr>
                        <w:t xml:space="preserve"> de </w:t>
                      </w:r>
                      <w:proofErr w:type="spellStart"/>
                      <w:r w:rsidRPr="000978BF">
                        <w:rPr>
                          <w:i/>
                          <w:sz w:val="14"/>
                          <w:szCs w:val="14"/>
                        </w:rPr>
                        <w:t>Génération</w:t>
                      </w:r>
                      <w:proofErr w:type="spellEnd"/>
                      <w:r w:rsidRPr="000978BF">
                        <w:rPr>
                          <w:i/>
                          <w:sz w:val="14"/>
                          <w:szCs w:val="14"/>
                        </w:rPr>
                        <w:t xml:space="preserve"> </w:t>
                      </w:r>
                      <w:proofErr w:type="spellStart"/>
                      <w:r w:rsidRPr="000978BF">
                        <w:rPr>
                          <w:i/>
                          <w:sz w:val="14"/>
                          <w:szCs w:val="14"/>
                        </w:rPr>
                        <w:t>d'atmosphères</w:t>
                      </w:r>
                      <w:proofErr w:type="spellEnd"/>
                      <w:r w:rsidRPr="000978BF">
                        <w:rPr>
                          <w:i/>
                          <w:sz w:val="14"/>
                          <w:szCs w:val="14"/>
                        </w:rPr>
                        <w:t xml:space="preserve"> et de </w:t>
                      </w:r>
                      <w:proofErr w:type="spellStart"/>
                      <w:r w:rsidRPr="000978BF">
                        <w:rPr>
                          <w:i/>
                          <w:sz w:val="14"/>
                          <w:szCs w:val="14"/>
                        </w:rPr>
                        <w:t>Chimie</w:t>
                      </w:r>
                      <w:proofErr w:type="spellEnd"/>
                      <w:r w:rsidRPr="000978BF">
                        <w:rPr>
                          <w:i/>
                          <w:sz w:val="14"/>
                          <w:szCs w:val="14"/>
                        </w:rPr>
                        <w:t xml:space="preserve"> </w:t>
                      </w:r>
                      <w:proofErr w:type="spellStart"/>
                      <w:r w:rsidRPr="000978BF">
                        <w:rPr>
                          <w:i/>
                          <w:sz w:val="14"/>
                          <w:szCs w:val="14"/>
                        </w:rPr>
                        <w:t>Analytique</w:t>
                      </w:r>
                      <w:proofErr w:type="spellEnd"/>
                      <w:r w:rsidRPr="000978BF">
                        <w:rPr>
                          <w:i/>
                          <w:sz w:val="14"/>
                          <w:szCs w:val="14"/>
                        </w:rPr>
                        <w:t xml:space="preserve"> </w:t>
                      </w:r>
                      <w:proofErr w:type="spellStart"/>
                      <w:r w:rsidRPr="000978BF">
                        <w:rPr>
                          <w:i/>
                          <w:sz w:val="14"/>
                          <w:szCs w:val="14"/>
                        </w:rPr>
                        <w:t>Toxicologique</w:t>
                      </w:r>
                      <w:proofErr w:type="spellEnd"/>
                      <w:r w:rsidRPr="000978BF">
                        <w:rPr>
                          <w:i/>
                          <w:sz w:val="14"/>
                          <w:szCs w:val="14"/>
                        </w:rPr>
                        <w:t xml:space="preserve">, Rue du </w:t>
                      </w:r>
                      <w:proofErr w:type="spellStart"/>
                      <w:r w:rsidRPr="000978BF">
                        <w:rPr>
                          <w:i/>
                          <w:sz w:val="14"/>
                          <w:szCs w:val="14"/>
                        </w:rPr>
                        <w:t>Morvan</w:t>
                      </w:r>
                      <w:proofErr w:type="spellEnd"/>
                      <w:r w:rsidRPr="000978BF">
                        <w:rPr>
                          <w:i/>
                          <w:sz w:val="14"/>
                          <w:szCs w:val="14"/>
                        </w:rPr>
                        <w:t xml:space="preserve"> CS60027, 54519 </w:t>
                      </w:r>
                      <w:proofErr w:type="spellStart"/>
                      <w:r w:rsidRPr="000978BF">
                        <w:rPr>
                          <w:i/>
                          <w:sz w:val="14"/>
                          <w:szCs w:val="14"/>
                        </w:rPr>
                        <w:t>Vandooeuvre</w:t>
                      </w:r>
                      <w:proofErr w:type="spellEnd"/>
                      <w:r w:rsidRPr="000978BF">
                        <w:rPr>
                          <w:i/>
                          <w:sz w:val="14"/>
                          <w:szCs w:val="14"/>
                        </w:rPr>
                        <w:t>-</w:t>
                      </w:r>
                      <w:proofErr w:type="spellStart"/>
                      <w:r w:rsidRPr="000978BF">
                        <w:rPr>
                          <w:i/>
                          <w:sz w:val="14"/>
                          <w:szCs w:val="14"/>
                        </w:rPr>
                        <w:t>lès</w:t>
                      </w:r>
                      <w:proofErr w:type="spellEnd"/>
                      <w:r w:rsidRPr="000978BF">
                        <w:rPr>
                          <w:i/>
                          <w:sz w:val="14"/>
                          <w:szCs w:val="14"/>
                        </w:rPr>
                        <w:t>-Nancy, France.</w:t>
                      </w:r>
                    </w:p>
                    <w:p w14:paraId="73380411" w14:textId="77777777" w:rsidR="00AD35CE" w:rsidRPr="000978BF" w:rsidRDefault="00AD35CE" w:rsidP="000978BF">
                      <w:pPr>
                        <w:spacing w:after="0" w:line="240" w:lineRule="auto"/>
                        <w:rPr>
                          <w:i/>
                          <w:sz w:val="14"/>
                          <w:szCs w:val="14"/>
                        </w:rPr>
                      </w:pPr>
                      <w:proofErr w:type="gramStart"/>
                      <w:r w:rsidRPr="000978BF">
                        <w:rPr>
                          <w:i/>
                          <w:sz w:val="14"/>
                          <w:szCs w:val="14"/>
                          <w:vertAlign w:val="superscript"/>
                        </w:rPr>
                        <w:t>d</w:t>
                      </w:r>
                      <w:proofErr w:type="gramEnd"/>
                      <w:r w:rsidRPr="000978BF">
                        <w:rPr>
                          <w:i/>
                          <w:sz w:val="14"/>
                          <w:szCs w:val="14"/>
                          <w:vertAlign w:val="superscript"/>
                        </w:rPr>
                        <w:t xml:space="preserve"> </w:t>
                      </w:r>
                      <w:r w:rsidRPr="000978BF">
                        <w:rPr>
                          <w:i/>
                          <w:sz w:val="14"/>
                          <w:szCs w:val="14"/>
                        </w:rPr>
                        <w:t>LGC Limited, Inorganic Analysis, Queens Road Teddington, Middlesex, TW11 OLY, UK.</w:t>
                      </w:r>
                    </w:p>
                    <w:p w14:paraId="4700EB9F" w14:textId="77777777" w:rsidR="00AD35CE" w:rsidRPr="000978BF" w:rsidRDefault="00AD35CE" w:rsidP="000978BF">
                      <w:pPr>
                        <w:spacing w:after="0" w:line="240" w:lineRule="auto"/>
                        <w:rPr>
                          <w:i/>
                          <w:sz w:val="14"/>
                          <w:szCs w:val="14"/>
                        </w:rPr>
                      </w:pPr>
                      <w:proofErr w:type="gramStart"/>
                      <w:r w:rsidRPr="000978BF">
                        <w:rPr>
                          <w:i/>
                          <w:sz w:val="14"/>
                          <w:szCs w:val="14"/>
                          <w:vertAlign w:val="superscript"/>
                        </w:rPr>
                        <w:t>e</w:t>
                      </w:r>
                      <w:proofErr w:type="gramEnd"/>
                      <w:r w:rsidRPr="000978BF">
                        <w:rPr>
                          <w:i/>
                          <w:sz w:val="14"/>
                          <w:szCs w:val="14"/>
                          <w:vertAlign w:val="superscript"/>
                        </w:rPr>
                        <w:t xml:space="preserve"> </w:t>
                      </w:r>
                      <w:r w:rsidRPr="000978BF">
                        <w:rPr>
                          <w:i/>
                          <w:sz w:val="14"/>
                          <w:szCs w:val="14"/>
                        </w:rPr>
                        <w:t xml:space="preserve">SAS Trace Element Centre,  Surrey Research Park, 15 Frederick Sanger Road, Guildford, Surrey, GU2 7YD, UK.  </w:t>
                      </w:r>
                    </w:p>
                    <w:p w14:paraId="095C1EE3" w14:textId="2D59965A" w:rsidR="00AD35CE" w:rsidRPr="000978BF" w:rsidRDefault="00AD35CE" w:rsidP="000978BF">
                      <w:pPr>
                        <w:spacing w:after="0" w:line="240" w:lineRule="auto"/>
                        <w:rPr>
                          <w:i/>
                          <w:sz w:val="14"/>
                          <w:szCs w:val="14"/>
                        </w:rPr>
                      </w:pPr>
                      <w:proofErr w:type="gramStart"/>
                      <w:r w:rsidRPr="000978BF">
                        <w:rPr>
                          <w:i/>
                          <w:sz w:val="14"/>
                          <w:szCs w:val="14"/>
                          <w:vertAlign w:val="superscript"/>
                        </w:rPr>
                        <w:t>f</w:t>
                      </w:r>
                      <w:proofErr w:type="gramEnd"/>
                      <w:r w:rsidRPr="000978BF">
                        <w:rPr>
                          <w:i/>
                          <w:sz w:val="14"/>
                          <w:szCs w:val="14"/>
                        </w:rPr>
                        <w:t xml:space="preserve"> Health and Safety </w:t>
                      </w:r>
                      <w:r>
                        <w:rPr>
                          <w:i/>
                          <w:sz w:val="14"/>
                          <w:szCs w:val="14"/>
                        </w:rPr>
                        <w:t>Executive</w:t>
                      </w:r>
                      <w:r w:rsidRPr="000978BF">
                        <w:rPr>
                          <w:i/>
                          <w:sz w:val="14"/>
                          <w:szCs w:val="14"/>
                        </w:rPr>
                        <w:t xml:space="preserve">, Biological Monitoring, </w:t>
                      </w:r>
                      <w:proofErr w:type="spellStart"/>
                      <w:r w:rsidRPr="000978BF">
                        <w:rPr>
                          <w:i/>
                          <w:sz w:val="14"/>
                          <w:szCs w:val="14"/>
                        </w:rPr>
                        <w:t>Harpur</w:t>
                      </w:r>
                      <w:proofErr w:type="spellEnd"/>
                      <w:r w:rsidRPr="000978BF">
                        <w:rPr>
                          <w:i/>
                          <w:sz w:val="14"/>
                          <w:szCs w:val="14"/>
                        </w:rPr>
                        <w:t xml:space="preserve"> Hill, Buxton, SK17 9JN, UK.</w:t>
                      </w:r>
                    </w:p>
                    <w:p w14:paraId="2E19A210" w14:textId="77777777" w:rsidR="00AD35CE" w:rsidRDefault="00AD35CE" w:rsidP="000978BF">
                      <w:pPr>
                        <w:spacing w:after="0" w:line="240" w:lineRule="auto"/>
                        <w:rPr>
                          <w:i/>
                          <w:sz w:val="14"/>
                          <w:szCs w:val="14"/>
                        </w:rPr>
                      </w:pPr>
                      <w:r w:rsidRPr="000978BF">
                        <w:rPr>
                          <w:i/>
                          <w:sz w:val="14"/>
                          <w:szCs w:val="14"/>
                          <w:vertAlign w:val="superscript"/>
                        </w:rPr>
                        <w:t xml:space="preserve">g </w:t>
                      </w:r>
                      <w:r w:rsidRPr="000978BF">
                        <w:rPr>
                          <w:i/>
                          <w:sz w:val="14"/>
                          <w:szCs w:val="14"/>
                        </w:rPr>
                        <w:t>Charing Cross Hospital, SAS Trace Element Laboratory, Ground Floor Medical Oncology Block</w:t>
                      </w:r>
                      <w:r>
                        <w:rPr>
                          <w:i/>
                          <w:sz w:val="14"/>
                          <w:szCs w:val="14"/>
                        </w:rPr>
                        <w:t xml:space="preserve">, </w:t>
                      </w:r>
                      <w:r w:rsidRPr="000978BF">
                        <w:rPr>
                          <w:i/>
                          <w:sz w:val="14"/>
                          <w:szCs w:val="14"/>
                        </w:rPr>
                        <w:t>Fulham Palace Road, London, W6 8RF, UK</w:t>
                      </w:r>
                    </w:p>
                    <w:p w14:paraId="286B111D" w14:textId="77777777" w:rsidR="00AD35CE" w:rsidRPr="000978BF" w:rsidRDefault="00AD35CE" w:rsidP="000978BF">
                      <w:pPr>
                        <w:spacing w:after="0" w:line="240" w:lineRule="auto"/>
                        <w:rPr>
                          <w:i/>
                          <w:sz w:val="14"/>
                          <w:szCs w:val="14"/>
                        </w:rPr>
                      </w:pPr>
                      <w:r w:rsidRPr="000978BF">
                        <w:rPr>
                          <w:i/>
                          <w:sz w:val="14"/>
                          <w:szCs w:val="14"/>
                        </w:rPr>
                        <w:t xml:space="preserve">† Footnotes relating to the title and/or authors should appear here. </w:t>
                      </w:r>
                    </w:p>
                    <w:p w14:paraId="2E7C3C16" w14:textId="77777777" w:rsidR="00AD35CE" w:rsidRPr="000978BF" w:rsidRDefault="00AD35CE" w:rsidP="00241ACD">
                      <w:pPr>
                        <w:pStyle w:val="RSCF02FootnotestoTitleAuthors"/>
                        <w:rPr>
                          <w:i/>
                        </w:rPr>
                      </w:pPr>
                      <w:r w:rsidRPr="000978BF">
                        <w:rPr>
                          <w:i/>
                        </w:rPr>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6F0CC659" w14:textId="77777777" w:rsidR="00F62C8B" w:rsidRPr="00270DD5" w:rsidRDefault="00F62C8B" w:rsidP="004C531E">
      <w:pPr>
        <w:pStyle w:val="RSCM01ReceivedAccepted"/>
      </w:pPr>
      <w:r w:rsidRPr="00270DD5">
        <w:t>Accepted 00th January 20</w:t>
      </w:r>
      <w:r w:rsidR="00F15F90" w:rsidRPr="00270DD5">
        <w:t>xx</w:t>
      </w:r>
    </w:p>
    <w:p w14:paraId="58222E48" w14:textId="77777777" w:rsidR="00F62C8B" w:rsidRPr="00794787" w:rsidRDefault="00F62C8B" w:rsidP="004C531E">
      <w:pPr>
        <w:pStyle w:val="RSCM02DOI"/>
      </w:pPr>
      <w:r w:rsidRPr="00794787">
        <w:t>DOI: 10.1039/x0xx00000x</w:t>
      </w:r>
    </w:p>
    <w:p w14:paraId="32565401" w14:textId="77777777" w:rsidR="00A9649E" w:rsidRPr="00794787" w:rsidRDefault="00A9649E" w:rsidP="004C531E">
      <w:pPr>
        <w:pStyle w:val="RSCM03Website"/>
      </w:pPr>
      <w:r w:rsidRPr="00794787">
        <w:t>www.rsc.org/</w:t>
      </w:r>
    </w:p>
    <w:p w14:paraId="34E167A8" w14:textId="34519B27" w:rsidR="004414A5" w:rsidRPr="002A23D5" w:rsidRDefault="00F62C8B" w:rsidP="00C32EDF">
      <w:pPr>
        <w:pStyle w:val="RSCH01PaperTitle"/>
        <w:rPr>
          <w:vertAlign w:val="superscript"/>
        </w:rPr>
      </w:pPr>
      <w:r w:rsidRPr="004414A5">
        <w:br w:type="column"/>
      </w:r>
      <w:r w:rsidR="00660793">
        <w:rPr>
          <w:sz w:val="28"/>
          <w:szCs w:val="28"/>
        </w:rPr>
        <w:t>A</w:t>
      </w:r>
      <w:r w:rsidR="00660793" w:rsidRPr="00B701E0">
        <w:rPr>
          <w:sz w:val="28"/>
          <w:szCs w:val="28"/>
        </w:rPr>
        <w:t xml:space="preserve">nalysis of </w:t>
      </w:r>
      <w:r w:rsidR="00FE256F">
        <w:rPr>
          <w:sz w:val="28"/>
          <w:szCs w:val="28"/>
        </w:rPr>
        <w:t>soluble or titanium dioxide derived</w:t>
      </w:r>
      <w:r w:rsidR="00011A26">
        <w:rPr>
          <w:sz w:val="28"/>
          <w:szCs w:val="28"/>
        </w:rPr>
        <w:t xml:space="preserve"> </w:t>
      </w:r>
      <w:r w:rsidR="00011A26" w:rsidRPr="00B701E0">
        <w:rPr>
          <w:sz w:val="28"/>
          <w:szCs w:val="28"/>
        </w:rPr>
        <w:t>titanium</w:t>
      </w:r>
      <w:r w:rsidR="00011A26" w:rsidDel="00011A26">
        <w:rPr>
          <w:sz w:val="28"/>
          <w:szCs w:val="28"/>
        </w:rPr>
        <w:t xml:space="preserve"> </w:t>
      </w:r>
      <w:r w:rsidR="00FE256F">
        <w:rPr>
          <w:sz w:val="28"/>
          <w:szCs w:val="28"/>
        </w:rPr>
        <w:t xml:space="preserve">levels </w:t>
      </w:r>
      <w:r w:rsidR="00011A26">
        <w:rPr>
          <w:sz w:val="28"/>
          <w:szCs w:val="28"/>
        </w:rPr>
        <w:t>in</w:t>
      </w:r>
      <w:r w:rsidR="00660793" w:rsidRPr="00B701E0">
        <w:rPr>
          <w:sz w:val="28"/>
          <w:szCs w:val="28"/>
        </w:rPr>
        <w:t xml:space="preserve"> </w:t>
      </w:r>
      <w:r w:rsidR="00660793">
        <w:rPr>
          <w:sz w:val="28"/>
          <w:szCs w:val="28"/>
        </w:rPr>
        <w:t>human whole blood:</w:t>
      </w:r>
      <w:r w:rsidR="00660793" w:rsidRPr="00B701E0">
        <w:rPr>
          <w:sz w:val="28"/>
          <w:szCs w:val="28"/>
        </w:rPr>
        <w:t xml:space="preserve"> </w:t>
      </w:r>
      <w:r w:rsidR="00FE256F">
        <w:rPr>
          <w:sz w:val="28"/>
          <w:szCs w:val="28"/>
        </w:rPr>
        <w:t>consensus</w:t>
      </w:r>
      <w:r w:rsidR="00011A26">
        <w:rPr>
          <w:sz w:val="28"/>
          <w:szCs w:val="28"/>
        </w:rPr>
        <w:t xml:space="preserve"> from </w:t>
      </w:r>
      <w:r w:rsidR="00660793" w:rsidRPr="00B701E0">
        <w:rPr>
          <w:sz w:val="28"/>
          <w:szCs w:val="28"/>
        </w:rPr>
        <w:t xml:space="preserve">an inter-laboratory </w:t>
      </w:r>
      <w:r w:rsidR="00131DDD">
        <w:rPr>
          <w:sz w:val="28"/>
          <w:szCs w:val="28"/>
        </w:rPr>
        <w:t>comparison</w:t>
      </w:r>
    </w:p>
    <w:p w14:paraId="465261D6" w14:textId="27420CAC" w:rsidR="002A23D5" w:rsidRDefault="002A23D5" w:rsidP="00F21465">
      <w:pPr>
        <w:pStyle w:val="RSCH02PaperAuthorsandByline"/>
      </w:pPr>
      <w:r>
        <w:t xml:space="preserve">D. Koller </w:t>
      </w:r>
      <w:r w:rsidRPr="002A23D5">
        <w:rPr>
          <w:vertAlign w:val="superscript"/>
        </w:rPr>
        <w:t>a</w:t>
      </w:r>
      <w:r w:rsidRPr="002A23D5">
        <w:t>, P</w:t>
      </w:r>
      <w:r>
        <w:t>.B</w:t>
      </w:r>
      <w:r w:rsidRPr="002A23D5">
        <w:t>ramhall</w:t>
      </w:r>
      <w:r>
        <w:t xml:space="preserve"> </w:t>
      </w:r>
      <w:r w:rsidRPr="002A23D5">
        <w:rPr>
          <w:vertAlign w:val="superscript"/>
        </w:rPr>
        <w:t>b</w:t>
      </w:r>
      <w:r w:rsidRPr="002A23D5">
        <w:t>, J</w:t>
      </w:r>
      <w:r>
        <w:t>.</w:t>
      </w:r>
      <w:r w:rsidRPr="002A23D5">
        <w:t xml:space="preserve"> Devoy</w:t>
      </w:r>
      <w:r>
        <w:t xml:space="preserve"> </w:t>
      </w:r>
      <w:r w:rsidRPr="002A23D5">
        <w:rPr>
          <w:vertAlign w:val="superscript"/>
        </w:rPr>
        <w:t>c</w:t>
      </w:r>
      <w:r>
        <w:t xml:space="preserve">, H. Goenaga-Infante </w:t>
      </w:r>
      <w:r>
        <w:rPr>
          <w:vertAlign w:val="superscript"/>
        </w:rPr>
        <w:t>d</w:t>
      </w:r>
      <w:r w:rsidRPr="002A23D5">
        <w:t>, C</w:t>
      </w:r>
      <w:r>
        <w:t>.</w:t>
      </w:r>
      <w:r w:rsidR="001E0410">
        <w:t xml:space="preserve"> F.</w:t>
      </w:r>
      <w:r w:rsidRPr="002A23D5">
        <w:t xml:space="preserve"> Harrington</w:t>
      </w:r>
      <w:r>
        <w:t xml:space="preserve"> </w:t>
      </w:r>
      <w:r>
        <w:rPr>
          <w:vertAlign w:val="superscript"/>
        </w:rPr>
        <w:t>e</w:t>
      </w:r>
      <w:r>
        <w:t>,</w:t>
      </w:r>
      <w:r w:rsidR="00D975AB">
        <w:t xml:space="preserve"> E.</w:t>
      </w:r>
      <w:r w:rsidR="00D975AB" w:rsidRPr="002A23D5">
        <w:t xml:space="preserve"> Leese</w:t>
      </w:r>
      <w:r w:rsidR="00D975AB">
        <w:t xml:space="preserve"> </w:t>
      </w:r>
      <w:r w:rsidR="00D975AB">
        <w:rPr>
          <w:vertAlign w:val="superscript"/>
        </w:rPr>
        <w:t>f</w:t>
      </w:r>
      <w:r w:rsidRPr="002A23D5">
        <w:t>, J</w:t>
      </w:r>
      <w:r>
        <w:t>.</w:t>
      </w:r>
      <w:r w:rsidRPr="002A23D5">
        <w:t xml:space="preserve"> Morton</w:t>
      </w:r>
      <w:r>
        <w:t xml:space="preserve"> </w:t>
      </w:r>
      <w:r>
        <w:rPr>
          <w:vertAlign w:val="superscript"/>
        </w:rPr>
        <w:t>f</w:t>
      </w:r>
      <w:r>
        <w:t>,</w:t>
      </w:r>
      <w:r w:rsidRPr="002A23D5">
        <w:t xml:space="preserve"> </w:t>
      </w:r>
      <w:r w:rsidR="00D975AB" w:rsidRPr="002A23D5">
        <w:t>S</w:t>
      </w:r>
      <w:r w:rsidR="00D975AB">
        <w:t>.</w:t>
      </w:r>
      <w:r w:rsidR="001163B9">
        <w:t xml:space="preserve"> </w:t>
      </w:r>
      <w:r w:rsidR="001163B9" w:rsidRPr="002A23D5">
        <w:t>Nu</w:t>
      </w:r>
      <w:r w:rsidR="001163B9">
        <w:t>ñ</w:t>
      </w:r>
      <w:r w:rsidR="001163B9" w:rsidRPr="002A23D5">
        <w:t>ez</w:t>
      </w:r>
      <w:r w:rsidR="001163B9">
        <w:t xml:space="preserve"> </w:t>
      </w:r>
      <w:r w:rsidR="00D975AB">
        <w:rPr>
          <w:vertAlign w:val="superscript"/>
        </w:rPr>
        <w:t>d</w:t>
      </w:r>
      <w:r w:rsidR="00D975AB" w:rsidRPr="002A23D5" w:rsidDel="004C2FE5">
        <w:t xml:space="preserve"> </w:t>
      </w:r>
      <w:r w:rsidRPr="002A23D5">
        <w:t xml:space="preserve">, </w:t>
      </w:r>
      <w:r w:rsidR="009D21AD">
        <w:t>J. Rogers</w:t>
      </w:r>
      <w:r w:rsidR="009D21AD">
        <w:rPr>
          <w:vertAlign w:val="superscript"/>
        </w:rPr>
        <w:t>b</w:t>
      </w:r>
      <w:r w:rsidR="009D21AD">
        <w:t xml:space="preserve">, </w:t>
      </w:r>
      <w:r w:rsidRPr="002A23D5">
        <w:t>B</w:t>
      </w:r>
      <w:r>
        <w:t>.</w:t>
      </w:r>
      <w:r w:rsidRPr="002A23D5">
        <w:t xml:space="preserve"> Sampson</w:t>
      </w:r>
      <w:r>
        <w:t xml:space="preserve"> </w:t>
      </w:r>
      <w:r>
        <w:rPr>
          <w:vertAlign w:val="superscript"/>
        </w:rPr>
        <w:t>g</w:t>
      </w:r>
      <w:r>
        <w:t xml:space="preserve"> and </w:t>
      </w:r>
      <w:r w:rsidRPr="002A23D5">
        <w:t>J</w:t>
      </w:r>
      <w:r>
        <w:t>.</w:t>
      </w:r>
      <w:r w:rsidRPr="002A23D5">
        <w:t xml:space="preserve"> J</w:t>
      </w:r>
      <w:r w:rsidR="001E0410">
        <w:t>.</w:t>
      </w:r>
      <w:r w:rsidRPr="002A23D5">
        <w:t xml:space="preserve"> Powell </w:t>
      </w:r>
      <w:r>
        <w:rPr>
          <w:vertAlign w:val="superscript"/>
        </w:rPr>
        <w:t>a</w:t>
      </w:r>
    </w:p>
    <w:p w14:paraId="6180255C" w14:textId="77777777" w:rsidR="002A23D5" w:rsidRDefault="002A23D5" w:rsidP="00FA2DA2">
      <w:pPr>
        <w:pStyle w:val="RSCB01ARTAbstract"/>
      </w:pPr>
    </w:p>
    <w:p w14:paraId="7FE7B5F7" w14:textId="338C1840" w:rsidR="002A23D5" w:rsidRDefault="007F1E24" w:rsidP="00FA2DA2">
      <w:pPr>
        <w:pStyle w:val="RSCB01ARTAbstract"/>
      </w:pPr>
      <w:r>
        <w:t>Exposure to titanium (Ti), via the ingestion of pigment grade Ti dioxide (TiO</w:t>
      </w:r>
      <w:r w:rsidRPr="007F1E24">
        <w:rPr>
          <w:vertAlign w:val="subscript"/>
        </w:rPr>
        <w:t>2</w:t>
      </w:r>
      <w:r>
        <w:t>)</w:t>
      </w:r>
      <w:r w:rsidR="00511D58">
        <w:t>,</w:t>
      </w:r>
      <w:r>
        <w:t xml:space="preserve"> is commonplace for </w:t>
      </w:r>
      <w:r w:rsidR="00011A26">
        <w:t xml:space="preserve">Westernised </w:t>
      </w:r>
      <w:r>
        <w:t>populations</w:t>
      </w:r>
      <w:r w:rsidR="00511D58">
        <w:t>. It may also occur as a consequence of metal ion leaching in subjects bearing Ti-containing implants</w:t>
      </w:r>
      <w:r w:rsidR="00B441CF" w:rsidRPr="00AD35CE">
        <w:t>.</w:t>
      </w:r>
      <w:r w:rsidR="005053A5" w:rsidRPr="00AD35CE">
        <w:t xml:space="preserve"> </w:t>
      </w:r>
      <w:r w:rsidR="00511D58" w:rsidRPr="00AD35CE">
        <w:t xml:space="preserve"> </w:t>
      </w:r>
      <w:r w:rsidR="00A40A76" w:rsidRPr="00AD35CE">
        <w:t xml:space="preserve">Accurate </w:t>
      </w:r>
      <w:r w:rsidR="00A40A76">
        <w:t>exposure analysis requires fit-for-purpose analytical methodology, especially for true measures of baseline levels. Inductively coupled plasma (ICP) techniques</w:t>
      </w:r>
      <w:r>
        <w:t xml:space="preserve"> </w:t>
      </w:r>
      <w:r w:rsidR="00A40A76">
        <w:t xml:space="preserve">are, mainly, now used for bio-analysis of Ti. </w:t>
      </w:r>
      <w:r w:rsidR="00A40A76" w:rsidRPr="00A40A76">
        <w:t>Since</w:t>
      </w:r>
      <w:r w:rsidR="0044062F">
        <w:t xml:space="preserve"> whole blood</w:t>
      </w:r>
      <w:r w:rsidR="00A40A76" w:rsidRPr="00A40A76">
        <w:t xml:space="preserve"> reference materials</w:t>
      </w:r>
      <w:r w:rsidR="00011A26">
        <w:t>,</w:t>
      </w:r>
      <w:r w:rsidR="0044062F">
        <w:t xml:space="preserve"> certified for </w:t>
      </w:r>
      <w:r w:rsidR="00A40A76" w:rsidRPr="00A40A76">
        <w:t xml:space="preserve"> natural low levels of Ti</w:t>
      </w:r>
      <w:r w:rsidR="00011A26">
        <w:t>,</w:t>
      </w:r>
      <w:r w:rsidR="0044062F">
        <w:t xml:space="preserve"> are not currently available</w:t>
      </w:r>
      <w:r w:rsidR="00A40A76" w:rsidRPr="00A40A76">
        <w:t xml:space="preserve">, we undertook an inter-laboratory comparison of pooled human </w:t>
      </w:r>
      <w:r w:rsidR="00A40A76">
        <w:t>blood</w:t>
      </w:r>
      <w:r w:rsidR="00A40A76" w:rsidRPr="00A40A76">
        <w:t xml:space="preserve"> from fasted volunteers +/- </w:t>
      </w:r>
      <w:r w:rsidR="00235F97">
        <w:t>low</w:t>
      </w:r>
      <w:r w:rsidR="00A40A76" w:rsidRPr="00A40A76">
        <w:t xml:space="preserve"> </w:t>
      </w:r>
      <w:r w:rsidR="00445E8C" w:rsidRPr="00A40A76">
        <w:t xml:space="preserve">level </w:t>
      </w:r>
      <w:r w:rsidR="009D2036">
        <w:t xml:space="preserve">(+ ~ 2.5 </w:t>
      </w:r>
      <w:r w:rsidR="00511C8D">
        <w:t>µg/L</w:t>
      </w:r>
      <w:r w:rsidR="009D2036">
        <w:t xml:space="preserve">) </w:t>
      </w:r>
      <w:r w:rsidR="001D36A0">
        <w:t>or</w:t>
      </w:r>
      <w:r w:rsidR="001D36A0" w:rsidRPr="00A40A76">
        <w:t xml:space="preserve"> </w:t>
      </w:r>
      <w:r w:rsidR="00A40A76" w:rsidRPr="00A40A76">
        <w:t xml:space="preserve">high </w:t>
      </w:r>
      <w:r w:rsidR="00445E8C">
        <w:t xml:space="preserve">level </w:t>
      </w:r>
      <w:r w:rsidR="009D2036">
        <w:t xml:space="preserve">(+ 10-20 </w:t>
      </w:r>
      <w:r w:rsidR="00511C8D">
        <w:t>µg/L</w:t>
      </w:r>
      <w:r w:rsidR="009D2036">
        <w:t xml:space="preserve">) </w:t>
      </w:r>
      <w:r w:rsidR="00A40A76" w:rsidRPr="00A40A76">
        <w:t xml:space="preserve">spikes of </w:t>
      </w:r>
      <w:r w:rsidR="00565454">
        <w:t>soluble</w:t>
      </w:r>
      <w:r w:rsidR="00A40A76" w:rsidRPr="00A40A76">
        <w:t xml:space="preserve"> Ti or TiO</w:t>
      </w:r>
      <w:r w:rsidR="00A40A76" w:rsidRPr="00A40A76">
        <w:rPr>
          <w:vertAlign w:val="subscript"/>
        </w:rPr>
        <w:t>2</w:t>
      </w:r>
      <w:r w:rsidR="00A40A76" w:rsidRPr="00A40A76">
        <w:t xml:space="preserve"> particles</w:t>
      </w:r>
      <w:r w:rsidR="00A40A76">
        <w:t xml:space="preserve">. Seven </w:t>
      </w:r>
      <w:r w:rsidR="003C758F">
        <w:t xml:space="preserve">established </w:t>
      </w:r>
      <w:r w:rsidR="00A40A76">
        <w:t>laboratories were enrol</w:t>
      </w:r>
      <w:r w:rsidR="00DE031E">
        <w:t>l</w:t>
      </w:r>
      <w:r w:rsidR="00A40A76">
        <w:t xml:space="preserve">ed </w:t>
      </w:r>
      <w:r w:rsidR="00DE031E">
        <w:t>to analyse the samples using ICP based techniques</w:t>
      </w:r>
      <w:r w:rsidR="00B441CF" w:rsidRPr="001011C9">
        <w:rPr>
          <w:color w:val="000000" w:themeColor="text1"/>
        </w:rPr>
        <w:t>, which include</w:t>
      </w:r>
      <w:r w:rsidR="006A6E01" w:rsidRPr="001011C9">
        <w:rPr>
          <w:color w:val="000000" w:themeColor="text1"/>
        </w:rPr>
        <w:t>d</w:t>
      </w:r>
      <w:r w:rsidR="00DE031E" w:rsidRPr="001011C9">
        <w:rPr>
          <w:color w:val="000000" w:themeColor="text1"/>
        </w:rPr>
        <w:t xml:space="preserve"> </w:t>
      </w:r>
      <w:r w:rsidR="00445E8C">
        <w:t xml:space="preserve">at least </w:t>
      </w:r>
      <w:r w:rsidR="00A40A76">
        <w:t>one of ICP optical emisison spectrometry</w:t>
      </w:r>
      <w:r w:rsidR="000D79D8">
        <w:t xml:space="preserve"> (ICP-OES)</w:t>
      </w:r>
      <w:r w:rsidR="00A40A76">
        <w:t>, high resolution ICP mass spectrometry (</w:t>
      </w:r>
      <w:r w:rsidR="000D79D8">
        <w:t>HR-</w:t>
      </w:r>
      <w:r w:rsidR="00A40A76">
        <w:t>ICP-MS)</w:t>
      </w:r>
      <w:r w:rsidR="003C758F">
        <w:t>,</w:t>
      </w:r>
      <w:r w:rsidR="000D79D8">
        <w:t xml:space="preserve"> triple quadrupole ICP</w:t>
      </w:r>
      <w:r w:rsidR="00B441CF" w:rsidRPr="001011C9">
        <w:rPr>
          <w:color w:val="000000" w:themeColor="text1"/>
        </w:rPr>
        <w:t>-MS</w:t>
      </w:r>
      <w:r w:rsidR="001011C9">
        <w:rPr>
          <w:color w:val="000000" w:themeColor="text1"/>
        </w:rPr>
        <w:t xml:space="preserve"> </w:t>
      </w:r>
      <w:r w:rsidR="000D79D8">
        <w:t>(</w:t>
      </w:r>
      <w:r w:rsidR="003C758F">
        <w:t>ICP-MS</w:t>
      </w:r>
      <w:r w:rsidR="005053A5">
        <w:t>/</w:t>
      </w:r>
      <w:r w:rsidR="003C758F">
        <w:t>MS</w:t>
      </w:r>
      <w:r w:rsidR="000D79D8">
        <w:t xml:space="preserve">) </w:t>
      </w:r>
      <w:r w:rsidR="003C758F">
        <w:t xml:space="preserve">or </w:t>
      </w:r>
      <w:r w:rsidR="00AC147E">
        <w:t xml:space="preserve">single </w:t>
      </w:r>
      <w:r w:rsidR="00DE031E">
        <w:t xml:space="preserve">quadrupole </w:t>
      </w:r>
      <w:r w:rsidR="003C758F">
        <w:t>ICP-MS</w:t>
      </w:r>
      <w:r w:rsidR="00C44D86">
        <w:t xml:space="preserve"> (SQ-</w:t>
      </w:r>
      <w:r w:rsidR="000D79D8">
        <w:t>ICP-MS</w:t>
      </w:r>
      <w:r w:rsidR="00DE031E">
        <w:t>)</w:t>
      </w:r>
      <w:r w:rsidR="003C758F">
        <w:t xml:space="preserve">. Five laboratories diluted the blood for analysis whilst two performed </w:t>
      </w:r>
      <w:r w:rsidR="00A16ACA">
        <w:t xml:space="preserve">acid </w:t>
      </w:r>
      <w:r w:rsidR="003C758F">
        <w:t>digestion. Overall, we showed that the</w:t>
      </w:r>
      <w:r w:rsidR="003C758F" w:rsidRPr="005737FC">
        <w:t xml:space="preserve"> </w:t>
      </w:r>
      <w:r w:rsidR="003C758F">
        <w:t>laboratories could</w:t>
      </w:r>
      <w:r w:rsidR="00445E8C">
        <w:t>,</w:t>
      </w:r>
      <w:r w:rsidR="003C758F" w:rsidRPr="005737FC">
        <w:t xml:space="preserve"> </w:t>
      </w:r>
      <w:r w:rsidR="003C758F" w:rsidRPr="002258BA">
        <w:t>mostly</w:t>
      </w:r>
      <w:r w:rsidR="00445E8C">
        <w:t>,</w:t>
      </w:r>
      <w:r w:rsidR="003C758F" w:rsidRPr="002258BA">
        <w:rPr>
          <w:i/>
        </w:rPr>
        <w:t xml:space="preserve"> </w:t>
      </w:r>
      <w:r w:rsidR="00235F97" w:rsidRPr="005737FC">
        <w:t xml:space="preserve">quantitatively </w:t>
      </w:r>
      <w:r w:rsidR="003C758F" w:rsidRPr="005737FC">
        <w:t xml:space="preserve">detect </w:t>
      </w:r>
      <w:r w:rsidR="003C758F">
        <w:t xml:space="preserve">modest </w:t>
      </w:r>
      <w:r w:rsidR="003C758F" w:rsidRPr="005737FC">
        <w:t xml:space="preserve">levels of </w:t>
      </w:r>
      <w:r w:rsidR="003C758F">
        <w:t xml:space="preserve">spiked </w:t>
      </w:r>
      <w:r w:rsidR="003C758F" w:rsidRPr="005737FC">
        <w:t xml:space="preserve">Ti </w:t>
      </w:r>
      <w:r w:rsidR="003C758F">
        <w:t>in blood</w:t>
      </w:r>
      <w:r w:rsidR="00DE031E">
        <w:t>.</w:t>
      </w:r>
      <w:r w:rsidR="00445E8C">
        <w:t xml:space="preserve"> </w:t>
      </w:r>
      <w:r w:rsidR="003C758F">
        <w:t xml:space="preserve">Markedly varying levels of Ti, however, were reported for the same baseline pooled sample (0.4 – 24.6 </w:t>
      </w:r>
      <w:r w:rsidR="00511C8D">
        <w:t>µg/L</w:t>
      </w:r>
      <w:r w:rsidR="003C758F">
        <w:t xml:space="preserve">) </w:t>
      </w:r>
      <w:r w:rsidR="00565454">
        <w:t>and</w:t>
      </w:r>
      <w:r w:rsidR="00EF6588">
        <w:t>, in this study,</w:t>
      </w:r>
      <w:r w:rsidR="003C758F">
        <w:t>specificity was</w:t>
      </w:r>
      <w:r w:rsidR="003C758F" w:rsidRPr="005737FC">
        <w:t xml:space="preserve"> </w:t>
      </w:r>
      <w:r w:rsidR="003C758F">
        <w:t xml:space="preserve">poor for </w:t>
      </w:r>
      <w:r w:rsidR="005053A5">
        <w:t>SQ</w:t>
      </w:r>
      <w:r w:rsidR="00C44D86">
        <w:t>-</w:t>
      </w:r>
      <w:r w:rsidR="003C758F">
        <w:t xml:space="preserve">ICP-MS. </w:t>
      </w:r>
      <w:r w:rsidR="00FC6C7E">
        <w:t>Digestion of samples</w:t>
      </w:r>
      <w:r w:rsidR="003C758F">
        <w:t xml:space="preserve"> </w:t>
      </w:r>
      <w:r w:rsidR="00FC6C7E">
        <w:t>caused sample contamination compromising limits of detection and accuracy, whilst simple dilution had no such problem, and remained linear in response for spikes with</w:t>
      </w:r>
      <w:r w:rsidR="001011C9">
        <w:t xml:space="preserve"> ionic and </w:t>
      </w:r>
      <w:r w:rsidR="00FC6C7E">
        <w:t>TiO</w:t>
      </w:r>
      <w:r w:rsidR="00FC6C7E" w:rsidRPr="00FC6C7E">
        <w:rPr>
          <w:vertAlign w:val="subscript"/>
        </w:rPr>
        <w:t>2</w:t>
      </w:r>
      <w:r w:rsidR="00FC6C7E">
        <w:t xml:space="preserve"> particles. We conclude that </w:t>
      </w:r>
      <w:r w:rsidR="00FC6C7E" w:rsidRPr="00FC6C7E">
        <w:t xml:space="preserve">measuring baseline levels of Ti in whole blood is challenging but </w:t>
      </w:r>
      <w:r w:rsidR="00B402F1">
        <w:t>should be</w:t>
      </w:r>
      <w:r w:rsidR="00EF6588">
        <w:t xml:space="preserve"> readily</w:t>
      </w:r>
      <w:r w:rsidR="00B402F1">
        <w:t xml:space="preserve"> achievable</w:t>
      </w:r>
      <w:r w:rsidR="00D305EF">
        <w:t xml:space="preserve"> down to</w:t>
      </w:r>
      <w:r w:rsidR="00FC6C7E" w:rsidRPr="00FC6C7E">
        <w:t xml:space="preserve"> 0.5 – 1.5 </w:t>
      </w:r>
      <w:r w:rsidR="00511C8D">
        <w:t>µg/L</w:t>
      </w:r>
      <w:r w:rsidR="00B402F1">
        <w:t>, if sample preparation avoids contamination and instrument techniques are used</w:t>
      </w:r>
      <w:r w:rsidR="00EF6588">
        <w:t xml:space="preserve"> that negate</w:t>
      </w:r>
      <w:r w:rsidR="00B402F1">
        <w:t xml:space="preserve"> polyatomic or isobaric interefrences </w:t>
      </w:r>
      <w:r w:rsidR="00EF6588">
        <w:t xml:space="preserve">from the </w:t>
      </w:r>
      <w:r w:rsidR="00B402F1">
        <w:t>sample matrix</w:t>
      </w:r>
      <w:r w:rsidR="00FC6C7E" w:rsidRPr="00FC6C7E">
        <w:t xml:space="preserve">. </w:t>
      </w:r>
      <w:r w:rsidR="000539C6">
        <w:t xml:space="preserve">We also remind </w:t>
      </w:r>
      <w:r w:rsidR="007E549F">
        <w:t xml:space="preserve">those </w:t>
      </w:r>
      <w:r w:rsidR="000539C6">
        <w:t>rely</w:t>
      </w:r>
      <w:r w:rsidR="007E549F">
        <w:t>ing</w:t>
      </w:r>
      <w:r w:rsidR="000539C6">
        <w:t xml:space="preserve"> upon Ti bio-analytical data for their </w:t>
      </w:r>
      <w:r w:rsidR="001011C9">
        <w:t xml:space="preserve">experimental </w:t>
      </w:r>
      <w:r w:rsidR="000539C6">
        <w:t>outcomes that (a) s</w:t>
      </w:r>
      <w:r w:rsidR="00FC6C7E" w:rsidRPr="00FC6C7E">
        <w:t>piking and recovery experiments provide information only on linearity of detecti</w:t>
      </w:r>
      <w:r w:rsidR="00D305EF">
        <w:t xml:space="preserve">on but not at all on accuracy </w:t>
      </w:r>
      <w:r w:rsidR="00445E8C">
        <w:t>as this will not detect</w:t>
      </w:r>
      <w:r w:rsidR="00445E8C" w:rsidRPr="00FC6C7E">
        <w:t xml:space="preserve"> </w:t>
      </w:r>
      <w:r w:rsidR="00FC6C7E" w:rsidRPr="00FC6C7E">
        <w:t xml:space="preserve">constant positive errors </w:t>
      </w:r>
      <w:r w:rsidR="000539C6">
        <w:t>and that (b) b</w:t>
      </w:r>
      <w:r w:rsidR="00FC6C7E" w:rsidRPr="00FC6C7E">
        <w:t xml:space="preserve">iological standard materials for Ti generally contain high levels of the analyte </w:t>
      </w:r>
      <w:r w:rsidR="00D305EF">
        <w:t>and</w:t>
      </w:r>
      <w:r w:rsidR="000539C6">
        <w:t xml:space="preserve"> tend to </w:t>
      </w:r>
      <w:r w:rsidR="00FC6C7E" w:rsidRPr="00FC6C7E">
        <w:t>mask baseline analytical errors.</w:t>
      </w:r>
      <w:r w:rsidR="006531C8">
        <w:t xml:space="preserve"> Caution </w:t>
      </w:r>
      <w:r w:rsidR="00B441CF" w:rsidRPr="001011C9">
        <w:rPr>
          <w:color w:val="000000" w:themeColor="text1"/>
        </w:rPr>
        <w:t>may</w:t>
      </w:r>
      <w:r w:rsidR="001011C9">
        <w:rPr>
          <w:color w:val="000000" w:themeColor="text1"/>
        </w:rPr>
        <w:t xml:space="preserve"> </w:t>
      </w:r>
      <w:r w:rsidR="00B441CF" w:rsidRPr="001011C9">
        <w:rPr>
          <w:color w:val="000000" w:themeColor="text1"/>
        </w:rPr>
        <w:t xml:space="preserve">be </w:t>
      </w:r>
      <w:r w:rsidR="006531C8" w:rsidRPr="001011C9">
        <w:rPr>
          <w:color w:val="000000" w:themeColor="text1"/>
        </w:rPr>
        <w:t xml:space="preserve">required in interpreting the findings of </w:t>
      </w:r>
      <w:r w:rsidR="00B441CF" w:rsidRPr="001011C9">
        <w:rPr>
          <w:color w:val="000000" w:themeColor="text1"/>
        </w:rPr>
        <w:t xml:space="preserve">some </w:t>
      </w:r>
      <w:r w:rsidR="006531C8">
        <w:t>published Ti/TiO</w:t>
      </w:r>
      <w:r w:rsidR="006531C8" w:rsidRPr="006531C8">
        <w:rPr>
          <w:vertAlign w:val="subscript"/>
        </w:rPr>
        <w:t>2</w:t>
      </w:r>
      <w:r w:rsidR="006531C8">
        <w:t xml:space="preserve"> </w:t>
      </w:r>
      <w:r w:rsidR="00445E8C">
        <w:t>bio-</w:t>
      </w:r>
      <w:r w:rsidR="006531C8">
        <w:t>exposure s</w:t>
      </w:r>
      <w:r w:rsidR="00445E8C">
        <w:t>tudies</w:t>
      </w:r>
      <w:r w:rsidR="006531C8">
        <w:t xml:space="preserve">. </w:t>
      </w:r>
    </w:p>
    <w:p w14:paraId="773CC827" w14:textId="77777777" w:rsidR="002A23D5" w:rsidRPr="00FA2DA2" w:rsidRDefault="002A23D5" w:rsidP="00FA2DA2">
      <w:pPr>
        <w:pStyle w:val="RSCB01ARTAbstract"/>
        <w:sectPr w:rsidR="002A23D5" w:rsidRPr="00FA2DA2" w:rsidSect="00514CBA">
          <w:headerReference w:type="even" r:id="rId9"/>
          <w:headerReference w:type="default" r:id="rId10"/>
          <w:footerReference w:type="even" r:id="rId11"/>
          <w:footerReference w:type="default" r:id="rId12"/>
          <w:headerReference w:type="first" r:id="rId13"/>
          <w:pgSz w:w="11907" w:h="16840" w:code="9"/>
          <w:pgMar w:top="1009" w:right="851" w:bottom="1758" w:left="851" w:header="851" w:footer="1049" w:gutter="0"/>
          <w:cols w:num="2" w:space="227" w:equalWidth="0">
            <w:col w:w="1985" w:space="227"/>
            <w:col w:w="7993"/>
          </w:cols>
          <w:titlePg/>
          <w:docGrid w:linePitch="360"/>
        </w:sectPr>
      </w:pPr>
    </w:p>
    <w:p w14:paraId="71D78803" w14:textId="77777777" w:rsidR="000978BF" w:rsidRDefault="000978BF" w:rsidP="008D0CC2">
      <w:pPr>
        <w:pStyle w:val="RSCB04AHeadingSection"/>
      </w:pPr>
      <w:r w:rsidRPr="000978BF">
        <w:t>Introduction</w:t>
      </w:r>
    </w:p>
    <w:p w14:paraId="0B6E5C42" w14:textId="77777777" w:rsidR="008D0CC2" w:rsidRDefault="008D0CC2" w:rsidP="00815127">
      <w:pPr>
        <w:pStyle w:val="RSCB02ArticleText"/>
      </w:pPr>
    </w:p>
    <w:p w14:paraId="4F4C85EE" w14:textId="61132B73" w:rsidR="00815127" w:rsidRDefault="000978BF" w:rsidP="00815127">
      <w:pPr>
        <w:pStyle w:val="RSCB02ArticleText"/>
      </w:pPr>
      <w:r w:rsidRPr="000978BF">
        <w:t>The</w:t>
      </w:r>
      <w:r w:rsidRPr="008E7898">
        <w:t xml:space="preserve"> commonplace use of titanium (Ti), in the form of Ti dioxide (</w:t>
      </w:r>
      <w:r w:rsidR="00942C08" w:rsidRPr="008E7898">
        <w:t>TiO</w:t>
      </w:r>
      <w:r w:rsidR="00942C08" w:rsidRPr="008E7898">
        <w:rPr>
          <w:vertAlign w:val="subscript"/>
        </w:rPr>
        <w:t>2</w:t>
      </w:r>
      <w:r w:rsidRPr="008E7898">
        <w:t>) particles</w:t>
      </w:r>
      <w:r w:rsidR="00EF6588">
        <w:t>,</w:t>
      </w:r>
      <w:r w:rsidRPr="008E7898">
        <w:t xml:space="preserve"> in a range of consumer products, or </w:t>
      </w:r>
      <w:r w:rsidRPr="000978BF">
        <w:t xml:space="preserve">as a metal </w:t>
      </w:r>
      <w:r w:rsidRPr="000978BF">
        <w:t xml:space="preserve">in medical implant materials, makes accurate bio-analysis of this element important. </w:t>
      </w:r>
    </w:p>
    <w:p w14:paraId="63C08B41" w14:textId="3FBB7EB3" w:rsidR="000978BF" w:rsidRPr="000978BF" w:rsidRDefault="00EF53C0" w:rsidP="00370630">
      <w:pPr>
        <w:pStyle w:val="RSCB02ArticleText"/>
      </w:pPr>
      <w:r>
        <w:t>For</w:t>
      </w:r>
      <w:r w:rsidR="00815127" w:rsidRPr="00815127">
        <w:t xml:space="preserve"> </w:t>
      </w:r>
      <w:r w:rsidR="00815127">
        <w:t xml:space="preserve">Ti-containing </w:t>
      </w:r>
      <w:r w:rsidR="00815127" w:rsidRPr="00815127">
        <w:t xml:space="preserve">medical implants it has been suggested that minute changes to Ti blood levels (in the low </w:t>
      </w:r>
      <w:r w:rsidR="00511C8D">
        <w:t>µg/L</w:t>
      </w:r>
      <w:r w:rsidR="00815127" w:rsidRPr="00815127">
        <w:t xml:space="preserve"> range) may occur and act as an early biomarker for wear debris and potential downstream implant failure</w:t>
      </w:r>
      <w:r w:rsidR="00D96A2F">
        <w:rPr>
          <w:vertAlign w:val="superscript"/>
        </w:rPr>
        <w:t>1</w:t>
      </w:r>
      <w:r w:rsidR="00815127" w:rsidRPr="00815127">
        <w:t xml:space="preserve">. </w:t>
      </w:r>
      <w:r>
        <w:t xml:space="preserve">However, and more widely applicable to the general population, </w:t>
      </w:r>
      <w:r w:rsidR="00942C08" w:rsidRPr="00942C08">
        <w:t>TiO</w:t>
      </w:r>
      <w:r w:rsidR="00942C08" w:rsidRPr="00942C08">
        <w:rPr>
          <w:vertAlign w:val="subscript"/>
        </w:rPr>
        <w:t>2</w:t>
      </w:r>
      <w:r w:rsidR="000978BF" w:rsidRPr="000978BF">
        <w:t xml:space="preserve"> is a </w:t>
      </w:r>
      <w:r w:rsidR="00DD0C18">
        <w:t>frequent</w:t>
      </w:r>
      <w:r w:rsidR="00DD0C18" w:rsidRPr="000978BF">
        <w:t xml:space="preserve"> </w:t>
      </w:r>
      <w:r w:rsidR="000978BF" w:rsidRPr="000978BF">
        <w:t xml:space="preserve">additive </w:t>
      </w:r>
      <w:r w:rsidR="00DD0C18">
        <w:t>in</w:t>
      </w:r>
      <w:r w:rsidR="000978BF" w:rsidRPr="000978BF">
        <w:t xml:space="preserve"> processed foods, pharmaceuticals, nutraceuticals and some toothpastes. </w:t>
      </w:r>
      <w:r w:rsidR="00A24E40">
        <w:t>In the UK the m</w:t>
      </w:r>
      <w:r w:rsidR="000978BF" w:rsidRPr="000978BF">
        <w:t>edian daily intake for a</w:t>
      </w:r>
      <w:r w:rsidR="00044D26">
        <w:t>n a</w:t>
      </w:r>
      <w:r w:rsidR="000978BF" w:rsidRPr="000978BF">
        <w:t xml:space="preserve">dult </w:t>
      </w:r>
      <w:r w:rsidR="00A24E40">
        <w:t xml:space="preserve">was </w:t>
      </w:r>
      <w:r w:rsidR="00EF6588">
        <w:t xml:space="preserve">found </w:t>
      </w:r>
      <w:r w:rsidR="00A24E40">
        <w:t xml:space="preserve">to </w:t>
      </w:r>
      <w:r w:rsidR="008933A3">
        <w:t xml:space="preserve">be </w:t>
      </w:r>
      <w:r w:rsidR="008933A3" w:rsidRPr="000978BF">
        <w:t>2.5</w:t>
      </w:r>
      <w:r w:rsidR="000978BF" w:rsidRPr="000978BF">
        <w:t xml:space="preserve"> mg (circa 10</w:t>
      </w:r>
      <w:r w:rsidR="000978BF" w:rsidRPr="00942C08">
        <w:rPr>
          <w:vertAlign w:val="superscript"/>
        </w:rPr>
        <w:t>11</w:t>
      </w:r>
      <w:r w:rsidR="00EF6588">
        <w:t>-10</w:t>
      </w:r>
      <w:r w:rsidR="00EF6588" w:rsidRPr="008A0D14">
        <w:rPr>
          <w:vertAlign w:val="superscript"/>
        </w:rPr>
        <w:t>12</w:t>
      </w:r>
      <w:r w:rsidR="00BE6F96">
        <w:t xml:space="preserve"> particles</w:t>
      </w:r>
      <w:r w:rsidR="00412E58">
        <w:t>)</w:t>
      </w:r>
      <w:r w:rsidR="00412E58">
        <w:rPr>
          <w:rStyle w:val="RSCR02ReferencesChar"/>
          <w:vertAlign w:val="superscript"/>
        </w:rPr>
        <w:t>2</w:t>
      </w:r>
      <w:r w:rsidR="008933A3">
        <w:t xml:space="preserve"> whereas</w:t>
      </w:r>
      <w:r w:rsidR="00AD35CE">
        <w:t>,</w:t>
      </w:r>
      <w:r w:rsidR="008933A3">
        <w:t xml:space="preserve"> in the Netherlands</w:t>
      </w:r>
      <w:r w:rsidR="00AD35CE">
        <w:t>,</w:t>
      </w:r>
      <w:r w:rsidR="008933A3">
        <w:t xml:space="preserve"> </w:t>
      </w:r>
      <w:r w:rsidR="008933A3" w:rsidRPr="008933A3">
        <w:t>Rompelberg</w:t>
      </w:r>
      <w:r w:rsidR="008933A3">
        <w:t xml:space="preserve"> </w:t>
      </w:r>
      <w:r w:rsidR="008933A3" w:rsidRPr="008A0D14">
        <w:rPr>
          <w:i/>
        </w:rPr>
        <w:t>et al</w:t>
      </w:r>
      <w:r w:rsidR="0057241D">
        <w:rPr>
          <w:vertAlign w:val="superscript"/>
        </w:rPr>
        <w:t>3</w:t>
      </w:r>
      <w:r w:rsidR="008933A3">
        <w:t xml:space="preserve"> estimated </w:t>
      </w:r>
      <w:r w:rsidR="00370630">
        <w:t>the</w:t>
      </w:r>
      <w:r w:rsidR="0057241D">
        <w:t xml:space="preserve"> daily intake of TiO</w:t>
      </w:r>
      <w:r w:rsidR="0057241D" w:rsidRPr="00DE0492">
        <w:rPr>
          <w:vertAlign w:val="subscript"/>
        </w:rPr>
        <w:t>2</w:t>
      </w:r>
      <w:r w:rsidR="0057241D">
        <w:t xml:space="preserve"> for the Dutch population to be 0.19 m</w:t>
      </w:r>
      <w:r w:rsidR="0057241D" w:rsidRPr="0057241D">
        <w:t>g/kg b</w:t>
      </w:r>
      <w:r w:rsidR="00044D26">
        <w:t xml:space="preserve">ody </w:t>
      </w:r>
      <w:r w:rsidR="00412E58" w:rsidRPr="0057241D">
        <w:t>w</w:t>
      </w:r>
      <w:r w:rsidR="00412E58">
        <w:t>eight</w:t>
      </w:r>
      <w:r w:rsidR="00412E58" w:rsidRPr="0057241D">
        <w:t xml:space="preserve"> </w:t>
      </w:r>
      <w:r w:rsidR="00412E58">
        <w:t>(</w:t>
      </w:r>
      <w:r w:rsidR="0057241D">
        <w:t>13.3mg/70kg adult</w:t>
      </w:r>
      <w:r w:rsidR="00044D26">
        <w:t>/day</w:t>
      </w:r>
      <w:r w:rsidR="0057241D">
        <w:t xml:space="preserve">). </w:t>
      </w:r>
      <w:r w:rsidR="000978BF" w:rsidRPr="000978BF">
        <w:t xml:space="preserve">Almost certainly some must be absorbed but how much this is and whether there are any adverse consequences of such continual exposure and absorption is a matter of current </w:t>
      </w:r>
      <w:r w:rsidR="00D96A2F" w:rsidRPr="000978BF">
        <w:t>d</w:t>
      </w:r>
      <w:r w:rsidR="00D96A2F">
        <w:t>iscussion</w:t>
      </w:r>
      <w:r w:rsidR="001C3A82">
        <w:rPr>
          <w:vertAlign w:val="superscript"/>
        </w:rPr>
        <w:t>4</w:t>
      </w:r>
      <w:r w:rsidR="003C328B">
        <w:rPr>
          <w:vertAlign w:val="superscript"/>
        </w:rPr>
        <w:t>-1</w:t>
      </w:r>
      <w:r w:rsidR="001C3A82">
        <w:rPr>
          <w:vertAlign w:val="superscript"/>
        </w:rPr>
        <w:t>1</w:t>
      </w:r>
      <w:r w:rsidR="000978BF" w:rsidRPr="000978BF">
        <w:t xml:space="preserve">. </w:t>
      </w:r>
    </w:p>
    <w:p w14:paraId="6CAB33F9" w14:textId="5607D368" w:rsidR="000978BF" w:rsidRPr="000978BF" w:rsidRDefault="00942C08" w:rsidP="00BF5F35">
      <w:pPr>
        <w:pStyle w:val="RSCB02ArticleText"/>
      </w:pPr>
      <w:r w:rsidRPr="00942C08">
        <w:t>TiO</w:t>
      </w:r>
      <w:r w:rsidRPr="006C76FC">
        <w:rPr>
          <w:vertAlign w:val="subscript"/>
        </w:rPr>
        <w:t>2</w:t>
      </w:r>
      <w:r w:rsidR="000978BF" w:rsidRPr="000978BF">
        <w:t xml:space="preserve"> is so stable that complete dissolution requires either concentrated hot sulphuric acid or hydrofluoric </w:t>
      </w:r>
      <w:r w:rsidR="007B51E9" w:rsidRPr="000978BF">
        <w:t>acid</w:t>
      </w:r>
      <w:r w:rsidR="007B51E9">
        <w:rPr>
          <w:vertAlign w:val="superscript"/>
        </w:rPr>
        <w:t>1</w:t>
      </w:r>
      <w:r w:rsidR="001C3A82">
        <w:rPr>
          <w:vertAlign w:val="superscript"/>
        </w:rPr>
        <w:t>2</w:t>
      </w:r>
      <w:r w:rsidR="000978BF" w:rsidRPr="000978BF">
        <w:t xml:space="preserve">. During gastrointestinal digestion, whilst there may be some minor </w:t>
      </w:r>
      <w:r w:rsidR="000978BF" w:rsidRPr="000978BF">
        <w:lastRenderedPageBreak/>
        <w:t xml:space="preserve">leaching of the </w:t>
      </w:r>
      <w:r w:rsidRPr="00942C08">
        <w:t>TiO</w:t>
      </w:r>
      <w:r w:rsidRPr="006C76FC">
        <w:rPr>
          <w:vertAlign w:val="subscript"/>
        </w:rPr>
        <w:t>2</w:t>
      </w:r>
      <w:r w:rsidR="000978BF" w:rsidRPr="000978BF">
        <w:t xml:space="preserve"> particle surface, significant dissolution beyond that is not </w:t>
      </w:r>
      <w:r w:rsidR="00287577" w:rsidRPr="000978BF">
        <w:t>anticipated</w:t>
      </w:r>
      <w:r w:rsidR="00287577">
        <w:rPr>
          <w:vertAlign w:val="superscript"/>
        </w:rPr>
        <w:t>1</w:t>
      </w:r>
      <w:r w:rsidR="001C3A82">
        <w:rPr>
          <w:vertAlign w:val="superscript"/>
        </w:rPr>
        <w:t>3</w:t>
      </w:r>
      <w:r w:rsidR="000978BF" w:rsidRPr="000978BF">
        <w:t xml:space="preserve">. Consistent with this </w:t>
      </w:r>
      <w:r w:rsidR="00DE031E">
        <w:t xml:space="preserve">it has been shown </w:t>
      </w:r>
      <w:r w:rsidR="0030326F">
        <w:t xml:space="preserve">that </w:t>
      </w:r>
      <w:r w:rsidR="0030326F" w:rsidRPr="00942C08">
        <w:t>TiO</w:t>
      </w:r>
      <w:r w:rsidR="0030326F" w:rsidRPr="006C76FC">
        <w:rPr>
          <w:vertAlign w:val="subscript"/>
        </w:rPr>
        <w:t>2</w:t>
      </w:r>
      <w:r w:rsidR="001D36A0">
        <w:rPr>
          <w:vertAlign w:val="subscript"/>
        </w:rPr>
        <w:t xml:space="preserve"> </w:t>
      </w:r>
      <w:r w:rsidR="000978BF" w:rsidRPr="000978BF">
        <w:t xml:space="preserve">particles accumulate over time in immune cells of intestinal tissue, indicating that they do indeed survive gut </w:t>
      </w:r>
      <w:r w:rsidR="001C3A82" w:rsidRPr="000978BF">
        <w:t>digestion</w:t>
      </w:r>
      <w:r w:rsidR="001C3A82">
        <w:rPr>
          <w:vertAlign w:val="superscript"/>
        </w:rPr>
        <w:t>9</w:t>
      </w:r>
      <w:r w:rsidR="00CF0023">
        <w:rPr>
          <w:vertAlign w:val="superscript"/>
        </w:rPr>
        <w:t>,</w:t>
      </w:r>
      <w:r w:rsidR="003755E0">
        <w:rPr>
          <w:vertAlign w:val="superscript"/>
        </w:rPr>
        <w:t xml:space="preserve"> </w:t>
      </w:r>
      <w:r w:rsidR="001C3A82">
        <w:rPr>
          <w:vertAlign w:val="superscript"/>
        </w:rPr>
        <w:t>14, 15</w:t>
      </w:r>
      <w:r w:rsidR="000978BF" w:rsidRPr="000978BF">
        <w:t>. As well as understanding gut exposure there is considerable interest in describing systemic exposure</w:t>
      </w:r>
      <w:r w:rsidR="00DB588D">
        <w:rPr>
          <w:vertAlign w:val="superscript"/>
        </w:rPr>
        <w:t>1</w:t>
      </w:r>
      <w:r w:rsidR="001C3A82">
        <w:rPr>
          <w:vertAlign w:val="superscript"/>
        </w:rPr>
        <w:t>6</w:t>
      </w:r>
      <w:r w:rsidR="00412E58">
        <w:rPr>
          <w:vertAlign w:val="superscript"/>
        </w:rPr>
        <w:t>, 17</w:t>
      </w:r>
      <w:r w:rsidR="000978BF" w:rsidRPr="000978BF">
        <w:t xml:space="preserve"> and one major compartment in this respect is the circulation (i.e. blood stream) as this, except for the local (mesenteric) lymph nodes, connects gut absorption to tissue uptake.</w:t>
      </w:r>
    </w:p>
    <w:p w14:paraId="0948D421" w14:textId="77777777" w:rsidR="00A76003" w:rsidRDefault="00A76003" w:rsidP="00BF5F35">
      <w:pPr>
        <w:pStyle w:val="RSCB02ArticleText"/>
      </w:pPr>
    </w:p>
    <w:p w14:paraId="2E730627" w14:textId="77777777" w:rsidR="00F85161" w:rsidRDefault="000978BF" w:rsidP="00A57DA0">
      <w:pPr>
        <w:pStyle w:val="RSCB02ArticleText"/>
      </w:pPr>
      <w:r w:rsidRPr="000978BF">
        <w:t xml:space="preserve">To understand an increase in Ti exposure, using whole blood as a convenient sampling compartment, </w:t>
      </w:r>
      <w:r w:rsidR="00DD0C18">
        <w:t xml:space="preserve">very </w:t>
      </w:r>
      <w:r w:rsidR="00DD0C18" w:rsidRPr="000978BF">
        <w:t xml:space="preserve">accurate </w:t>
      </w:r>
      <w:r w:rsidRPr="000978BF">
        <w:t>baseline levels</w:t>
      </w:r>
      <w:r w:rsidR="00DE031E">
        <w:t xml:space="preserve"> need to be established</w:t>
      </w:r>
      <w:r w:rsidRPr="000978BF">
        <w:t>. This is exemplified by some simple calculations. If an adult ingest</w:t>
      </w:r>
      <w:r w:rsidR="00044D26">
        <w:t>ed</w:t>
      </w:r>
      <w:r w:rsidRPr="000978BF">
        <w:t xml:space="preserve"> 2.5</w:t>
      </w:r>
      <w:r w:rsidR="00235641">
        <w:t xml:space="preserve"> </w:t>
      </w:r>
      <w:r w:rsidRPr="000978BF">
        <w:t xml:space="preserve">mg </w:t>
      </w:r>
      <w:r w:rsidR="00942C08" w:rsidRPr="00942C08">
        <w:t>TiO</w:t>
      </w:r>
      <w:r w:rsidR="00942C08" w:rsidRPr="006C76FC">
        <w:rPr>
          <w:vertAlign w:val="subscript"/>
        </w:rPr>
        <w:t>2</w:t>
      </w:r>
      <w:r w:rsidRPr="000978BF">
        <w:t>/day</w:t>
      </w:r>
      <w:r w:rsidR="00445E8C">
        <w:t>,</w:t>
      </w:r>
      <w:r w:rsidRPr="000978BF">
        <w:t xml:space="preserve"> and 100% were </w:t>
      </w:r>
      <w:r w:rsidR="00DD0C18">
        <w:t xml:space="preserve">simultaneously </w:t>
      </w:r>
      <w:r w:rsidRPr="000978BF">
        <w:t>absorbed into 5</w:t>
      </w:r>
      <w:r w:rsidR="00ED5FCA">
        <w:t xml:space="preserve"> </w:t>
      </w:r>
      <w:r w:rsidRPr="000978BF">
        <w:t>L of blood</w:t>
      </w:r>
      <w:r w:rsidR="00445E8C">
        <w:t>,</w:t>
      </w:r>
      <w:r w:rsidRPr="000978BF">
        <w:t xml:space="preserve"> then maximum circulating levels would be 500 </w:t>
      </w:r>
      <w:r w:rsidR="00511C8D">
        <w:t>µg/L</w:t>
      </w:r>
      <w:r w:rsidRPr="000978BF">
        <w:t xml:space="preserve"> as </w:t>
      </w:r>
      <w:r w:rsidR="00942C08" w:rsidRPr="00942C08">
        <w:t>TiO</w:t>
      </w:r>
      <w:r w:rsidR="00942C08" w:rsidRPr="006C76FC">
        <w:rPr>
          <w:vertAlign w:val="subscript"/>
        </w:rPr>
        <w:t>2</w:t>
      </w:r>
      <w:r w:rsidRPr="000978BF">
        <w:t xml:space="preserve">. However it is likely that only up to 1% is </w:t>
      </w:r>
      <w:r w:rsidR="00FE5F65" w:rsidRPr="000978BF">
        <w:t>absorbed</w:t>
      </w:r>
      <w:r w:rsidR="001C3A82">
        <w:rPr>
          <w:vertAlign w:val="superscript"/>
        </w:rPr>
        <w:t>10</w:t>
      </w:r>
      <w:r w:rsidRPr="000978BF">
        <w:t xml:space="preserve">, so maximum circulatory levels would then be 5 </w:t>
      </w:r>
      <w:r w:rsidR="00511C8D">
        <w:t>µg/L</w:t>
      </w:r>
      <w:r w:rsidRPr="000978BF">
        <w:t xml:space="preserve"> as </w:t>
      </w:r>
      <w:r w:rsidR="00942C08" w:rsidRPr="00942C08">
        <w:t>TiO</w:t>
      </w:r>
      <w:r w:rsidR="00942C08" w:rsidRPr="006C76FC">
        <w:rPr>
          <w:vertAlign w:val="subscript"/>
        </w:rPr>
        <w:t>2</w:t>
      </w:r>
      <w:r w:rsidRPr="000978BF">
        <w:t xml:space="preserve"> (3</w:t>
      </w:r>
      <w:r w:rsidR="00235641">
        <w:t xml:space="preserve"> </w:t>
      </w:r>
      <w:r w:rsidR="00511C8D">
        <w:t>µg/L</w:t>
      </w:r>
      <w:r w:rsidRPr="000978BF">
        <w:t xml:space="preserve"> as Ti). In ingestion studies</w:t>
      </w:r>
      <w:r w:rsidR="002B6936">
        <w:t>,</w:t>
      </w:r>
      <w:r w:rsidRPr="000978BF">
        <w:t xml:space="preserve"> larger </w:t>
      </w:r>
      <w:r w:rsidR="00EF53C0">
        <w:t>exposures</w:t>
      </w:r>
      <w:r w:rsidR="00DD0C18">
        <w:t xml:space="preserve"> than the typical daily </w:t>
      </w:r>
      <w:r w:rsidR="00EF53C0">
        <w:t xml:space="preserve">dose </w:t>
      </w:r>
      <w:r w:rsidRPr="000978BF">
        <w:t xml:space="preserve">may be </w:t>
      </w:r>
      <w:r w:rsidR="00EF53C0">
        <w:t>employed</w:t>
      </w:r>
      <w:r w:rsidR="00EF53C0" w:rsidRPr="000978BF">
        <w:t xml:space="preserve"> </w:t>
      </w:r>
      <w:r w:rsidRPr="000978BF">
        <w:t xml:space="preserve">but </w:t>
      </w:r>
      <w:r w:rsidR="000E27DE">
        <w:t xml:space="preserve">firstly </w:t>
      </w:r>
      <w:r w:rsidR="00EF53C0">
        <w:t xml:space="preserve">the </w:t>
      </w:r>
      <w:r w:rsidRPr="000978BF">
        <w:t xml:space="preserve">1% absorption </w:t>
      </w:r>
      <w:r w:rsidR="00EF53C0">
        <w:t xml:space="preserve">figure </w:t>
      </w:r>
      <w:r w:rsidRPr="000978BF">
        <w:t xml:space="preserve">is likely to </w:t>
      </w:r>
      <w:r w:rsidR="00AC7980">
        <w:t xml:space="preserve">reduce </w:t>
      </w:r>
      <w:r w:rsidRPr="000978BF">
        <w:t>with increasing oral doses</w:t>
      </w:r>
      <w:r w:rsidR="00DD0C18">
        <w:t xml:space="preserve"> and </w:t>
      </w:r>
      <w:r w:rsidR="000E27DE">
        <w:t>secondly</w:t>
      </w:r>
      <w:r w:rsidR="00DD0C18">
        <w:t xml:space="preserve"> </w:t>
      </w:r>
      <w:r w:rsidR="00DD0C18" w:rsidRPr="008766A6">
        <w:rPr>
          <w:i/>
        </w:rPr>
        <w:t>all</w:t>
      </w:r>
      <w:r w:rsidR="00DD0C18">
        <w:t xml:space="preserve"> of the absorbed analyte </w:t>
      </w:r>
      <w:r w:rsidR="008041CE">
        <w:t>will never appear in the circulation simultaneously</w:t>
      </w:r>
      <w:r w:rsidRPr="000978BF">
        <w:t>. Indeed</w:t>
      </w:r>
      <w:r w:rsidR="008041CE">
        <w:t>,</w:t>
      </w:r>
      <w:r w:rsidRPr="000978BF">
        <w:t xml:space="preserve"> in one</w:t>
      </w:r>
      <w:r w:rsidR="00EF53C0">
        <w:t xml:space="preserve"> such</w:t>
      </w:r>
      <w:r w:rsidRPr="000978BF">
        <w:t xml:space="preserve"> study</w:t>
      </w:r>
      <w:r w:rsidR="008041CE">
        <w:t>,</w:t>
      </w:r>
      <w:r w:rsidRPr="000978BF">
        <w:t xml:space="preserve"> peak </w:t>
      </w:r>
      <w:r w:rsidR="008041CE">
        <w:t xml:space="preserve">Ti levels in blood were </w:t>
      </w:r>
      <w:r w:rsidRPr="000978BF">
        <w:t xml:space="preserve">only 10.7 </w:t>
      </w:r>
      <w:r w:rsidR="00511C8D">
        <w:t>µg/L</w:t>
      </w:r>
      <w:r w:rsidR="00A57DA0">
        <w:t xml:space="preserve">, </w:t>
      </w:r>
      <w:r w:rsidRPr="00A57DA0">
        <w:t>compared</w:t>
      </w:r>
      <w:r w:rsidRPr="000978BF">
        <w:t xml:space="preserve"> to </w:t>
      </w:r>
      <w:r w:rsidR="008041CE">
        <w:t>a</w:t>
      </w:r>
      <w:r w:rsidR="008041CE" w:rsidRPr="000978BF">
        <w:t xml:space="preserve"> </w:t>
      </w:r>
      <w:r w:rsidRPr="000978BF">
        <w:t xml:space="preserve">baseline of 1.25 </w:t>
      </w:r>
      <w:r w:rsidR="00511C8D">
        <w:t>µg/L</w:t>
      </w:r>
      <w:r w:rsidRPr="000978BF">
        <w:t xml:space="preserve">, </w:t>
      </w:r>
      <w:r w:rsidR="00445E8C">
        <w:t>despite</w:t>
      </w:r>
      <w:r w:rsidR="00445E8C" w:rsidRPr="000978BF">
        <w:t xml:space="preserve"> </w:t>
      </w:r>
      <w:r w:rsidRPr="000978BF">
        <w:t xml:space="preserve">the ingestion of 50 mg </w:t>
      </w:r>
      <w:r w:rsidR="00942C08" w:rsidRPr="00942C08">
        <w:t>TiO</w:t>
      </w:r>
      <w:r w:rsidR="00942C08" w:rsidRPr="006C76FC">
        <w:rPr>
          <w:vertAlign w:val="subscript"/>
        </w:rPr>
        <w:t>2</w:t>
      </w:r>
      <w:r w:rsidRPr="000978BF">
        <w:t xml:space="preserve"> (30 mg Ti)</w:t>
      </w:r>
      <w:r w:rsidR="008041CE" w:rsidRPr="008041CE">
        <w:t xml:space="preserve"> </w:t>
      </w:r>
      <w:r w:rsidR="008041CE">
        <w:t>by</w:t>
      </w:r>
      <w:r w:rsidR="008041CE" w:rsidRPr="000978BF">
        <w:t xml:space="preserve"> human volunteers</w:t>
      </w:r>
      <w:r w:rsidR="00445E8C">
        <w:t xml:space="preserve"> as a single bolus </w:t>
      </w:r>
      <w:r w:rsidR="008305DC">
        <w:t>dose</w:t>
      </w:r>
      <w:r w:rsidR="008305DC">
        <w:rPr>
          <w:vertAlign w:val="superscript"/>
        </w:rPr>
        <w:t>1</w:t>
      </w:r>
      <w:r w:rsidR="002649FF">
        <w:rPr>
          <w:vertAlign w:val="superscript"/>
        </w:rPr>
        <w:t>6</w:t>
      </w:r>
      <w:r w:rsidR="001011C9">
        <w:t xml:space="preserve">. </w:t>
      </w:r>
      <w:r w:rsidR="00445E8C">
        <w:t>Notwithstanding, i</w:t>
      </w:r>
      <w:r w:rsidR="0054565C" w:rsidRPr="000978BF">
        <w:t>t is important to note that</w:t>
      </w:r>
      <w:r w:rsidR="00C042EE" w:rsidRPr="001011C9">
        <w:rPr>
          <w:color w:val="000000" w:themeColor="text1"/>
        </w:rPr>
        <w:t xml:space="preserve">: (a) </w:t>
      </w:r>
      <w:r w:rsidR="0054565C" w:rsidRPr="000978BF">
        <w:t xml:space="preserve">5 </w:t>
      </w:r>
      <w:r w:rsidR="00511C8D">
        <w:t>µg/L</w:t>
      </w:r>
      <w:r w:rsidR="0054565C" w:rsidRPr="000978BF">
        <w:t xml:space="preserve"> of </w:t>
      </w:r>
      <w:r w:rsidR="0054565C" w:rsidRPr="00942C08">
        <w:t>TiO</w:t>
      </w:r>
      <w:r w:rsidR="0054565C" w:rsidRPr="006C76FC">
        <w:rPr>
          <w:vertAlign w:val="subscript"/>
        </w:rPr>
        <w:t>2</w:t>
      </w:r>
      <w:r w:rsidR="00445E8C">
        <w:t>, for example,</w:t>
      </w:r>
      <w:r w:rsidR="00445E8C" w:rsidRPr="000978BF">
        <w:t xml:space="preserve"> </w:t>
      </w:r>
      <w:r w:rsidR="0054565C" w:rsidRPr="000978BF">
        <w:t>in 5</w:t>
      </w:r>
      <w:r w:rsidR="00ED5FCA">
        <w:t xml:space="preserve"> </w:t>
      </w:r>
      <w:r w:rsidR="0054565C" w:rsidRPr="000978BF">
        <w:t>L of blood</w:t>
      </w:r>
      <w:r w:rsidR="0054565C">
        <w:t xml:space="preserve">, </w:t>
      </w:r>
      <w:r w:rsidR="0054565C" w:rsidRPr="000978BF">
        <w:t>still represents ~ 10</w:t>
      </w:r>
      <w:r w:rsidR="0054565C" w:rsidRPr="003D4A92">
        <w:rPr>
          <w:vertAlign w:val="superscript"/>
        </w:rPr>
        <w:t>8</w:t>
      </w:r>
      <w:r w:rsidR="0054565C" w:rsidRPr="000978BF">
        <w:t>- 10</w:t>
      </w:r>
      <w:r w:rsidR="0054565C" w:rsidRPr="003D4A92">
        <w:rPr>
          <w:vertAlign w:val="superscript"/>
        </w:rPr>
        <w:t>9</w:t>
      </w:r>
      <w:r w:rsidR="0054565C" w:rsidRPr="000978BF">
        <w:t xml:space="preserve"> particles</w:t>
      </w:r>
      <w:r w:rsidR="004E19D1">
        <w:t xml:space="preserve">, </w:t>
      </w:r>
      <w:r w:rsidR="00C042EE" w:rsidRPr="001011C9">
        <w:rPr>
          <w:color w:val="000000" w:themeColor="text1"/>
        </w:rPr>
        <w:t>and (b)</w:t>
      </w:r>
      <w:r w:rsidR="004E19D1" w:rsidRPr="001011C9">
        <w:rPr>
          <w:color w:val="000000" w:themeColor="text1"/>
        </w:rPr>
        <w:t xml:space="preserve"> </w:t>
      </w:r>
      <w:r w:rsidR="0054565C" w:rsidRPr="001011C9">
        <w:rPr>
          <w:color w:val="000000" w:themeColor="text1"/>
        </w:rPr>
        <w:t xml:space="preserve">exposure </w:t>
      </w:r>
      <w:r w:rsidR="0054565C" w:rsidRPr="000978BF">
        <w:t xml:space="preserve">is </w:t>
      </w:r>
      <w:r w:rsidR="0054565C">
        <w:t>daily</w:t>
      </w:r>
      <w:r w:rsidR="0054565C" w:rsidRPr="000978BF">
        <w:t xml:space="preserve"> for many people and that </w:t>
      </w:r>
      <w:r w:rsidR="0054565C" w:rsidRPr="00942C08">
        <w:t>TiO</w:t>
      </w:r>
      <w:r w:rsidR="0054565C" w:rsidRPr="006C76FC">
        <w:rPr>
          <w:vertAlign w:val="subscript"/>
        </w:rPr>
        <w:t>2</w:t>
      </w:r>
      <w:r w:rsidR="0054565C" w:rsidRPr="000978BF">
        <w:t xml:space="preserve"> may target specific cell types becoming locally concentrated</w:t>
      </w:r>
      <w:r w:rsidR="000D7000">
        <w:rPr>
          <w:vertAlign w:val="superscript"/>
        </w:rPr>
        <w:t>9</w:t>
      </w:r>
      <w:r w:rsidR="001C3A82">
        <w:rPr>
          <w:vertAlign w:val="superscript"/>
        </w:rPr>
        <w:t>,10</w:t>
      </w:r>
      <w:r w:rsidR="0054565C" w:rsidRPr="000978BF">
        <w:t xml:space="preserve">. In other words, assessing, accurately, even low </w:t>
      </w:r>
      <w:r w:rsidR="00511C8D">
        <w:t>µg/L</w:t>
      </w:r>
      <w:r w:rsidR="00445E8C">
        <w:t xml:space="preserve"> </w:t>
      </w:r>
      <w:r w:rsidR="0054565C" w:rsidRPr="000978BF">
        <w:t xml:space="preserve">levels </w:t>
      </w:r>
      <w:r w:rsidR="0054565C">
        <w:t xml:space="preserve">of Ti </w:t>
      </w:r>
      <w:r w:rsidR="0054565C" w:rsidRPr="000978BF">
        <w:t>in the circulation is worthy of caref</w:t>
      </w:r>
      <w:r w:rsidR="00445E8C">
        <w:t>ul consideration</w:t>
      </w:r>
      <w:r w:rsidR="006A26D1">
        <w:t xml:space="preserve">. </w:t>
      </w:r>
    </w:p>
    <w:p w14:paraId="55EE05B5" w14:textId="0DBFE435" w:rsidR="00A57DA0" w:rsidRDefault="006A26D1" w:rsidP="00A57DA0">
      <w:pPr>
        <w:pStyle w:val="RSCB02ArticleText"/>
      </w:pPr>
      <w:r>
        <w:t>However, there is</w:t>
      </w:r>
      <w:r w:rsidR="00445E8C">
        <w:t xml:space="preserve"> current</w:t>
      </w:r>
      <w:r>
        <w:t>ly no</w:t>
      </w:r>
      <w:r w:rsidR="00F61678">
        <w:t xml:space="preserve"> framework, or even </w:t>
      </w:r>
      <w:r w:rsidR="00FB3EA0">
        <w:t>consensus</w:t>
      </w:r>
      <w:r w:rsidR="00F61678">
        <w:t xml:space="preserve"> from different experiences, of what sort of analytical approaches should facilitate the most accurate analysis.</w:t>
      </w:r>
      <w:r w:rsidR="00445E8C">
        <w:t xml:space="preserve"> </w:t>
      </w:r>
      <w:r w:rsidR="00445E8C" w:rsidRPr="000978BF">
        <w:t>In</w:t>
      </w:r>
      <w:r w:rsidR="00445E8C">
        <w:t>deed, in</w:t>
      </w:r>
      <w:r w:rsidR="00445E8C" w:rsidRPr="000978BF">
        <w:t xml:space="preserve"> the literature</w:t>
      </w:r>
      <w:r w:rsidR="00445E8C">
        <w:t>,</w:t>
      </w:r>
      <w:r w:rsidR="00445E8C" w:rsidRPr="000978BF">
        <w:t xml:space="preserve"> baseline circulating levels of Ti in humans are reported from consistently &lt;2</w:t>
      </w:r>
      <w:r w:rsidR="00445E8C">
        <w:t xml:space="preserve"> </w:t>
      </w:r>
      <w:r w:rsidR="00511C8D">
        <w:t>µg/L</w:t>
      </w:r>
      <w:r w:rsidR="00497EC7" w:rsidRPr="003755E0">
        <w:rPr>
          <w:vertAlign w:val="superscript"/>
        </w:rPr>
        <w:t>1</w:t>
      </w:r>
      <w:r w:rsidR="001C3A82">
        <w:rPr>
          <w:vertAlign w:val="superscript"/>
        </w:rPr>
        <w:t>8</w:t>
      </w:r>
      <w:r w:rsidR="00445E8C" w:rsidRPr="000978BF">
        <w:t xml:space="preserve"> to </w:t>
      </w:r>
      <w:r w:rsidR="00F912F3">
        <w:t xml:space="preserve">&gt;45 </w:t>
      </w:r>
      <w:r w:rsidR="00511C8D">
        <w:t>µg/L</w:t>
      </w:r>
      <w:r w:rsidR="00497EC7">
        <w:rPr>
          <w:vertAlign w:val="superscript"/>
        </w:rPr>
        <w:t>1</w:t>
      </w:r>
      <w:r w:rsidR="001C3A82">
        <w:rPr>
          <w:vertAlign w:val="superscript"/>
        </w:rPr>
        <w:t>9</w:t>
      </w:r>
      <w:r w:rsidR="00445E8C" w:rsidRPr="000978BF">
        <w:t xml:space="preserve">. If the low figures (&lt; 2 </w:t>
      </w:r>
      <w:r w:rsidR="00511C8D">
        <w:t>µg/L</w:t>
      </w:r>
      <w:r w:rsidR="00445E8C" w:rsidRPr="000978BF">
        <w:t xml:space="preserve">) are true then </w:t>
      </w:r>
      <w:r>
        <w:t xml:space="preserve">common </w:t>
      </w:r>
      <w:r w:rsidR="00445E8C" w:rsidRPr="000978BF">
        <w:t xml:space="preserve">human exposure to </w:t>
      </w:r>
      <w:r w:rsidR="00445E8C">
        <w:t>Ti/</w:t>
      </w:r>
      <w:r w:rsidR="00445E8C" w:rsidRPr="00942C08">
        <w:t>TiO</w:t>
      </w:r>
      <w:r w:rsidR="00445E8C" w:rsidRPr="006C76FC">
        <w:rPr>
          <w:vertAlign w:val="subscript"/>
        </w:rPr>
        <w:t>2</w:t>
      </w:r>
      <w:r w:rsidR="00445E8C" w:rsidRPr="000978BF">
        <w:t xml:space="preserve"> in the circulation can be assessed. If the higher levels are true then </w:t>
      </w:r>
      <w:r w:rsidR="00445E8C">
        <w:t>such studies would</w:t>
      </w:r>
      <w:r w:rsidR="00445E8C" w:rsidRPr="000978BF">
        <w:t xml:space="preserve"> be very difficult and/or inaccurate.</w:t>
      </w:r>
      <w:r w:rsidR="00F912F3">
        <w:t xml:space="preserve"> </w:t>
      </w:r>
    </w:p>
    <w:p w14:paraId="273443F6" w14:textId="77777777" w:rsidR="00F152D8" w:rsidRDefault="00F152D8" w:rsidP="00A57DA0">
      <w:pPr>
        <w:pStyle w:val="RSCB02ArticleText"/>
      </w:pPr>
    </w:p>
    <w:p w14:paraId="724619B2" w14:textId="318A1AFF" w:rsidR="00A57DA0" w:rsidRPr="00BE01C1" w:rsidRDefault="00A57DA0" w:rsidP="00A57DA0">
      <w:pPr>
        <w:pStyle w:val="RSCB02ArticleText"/>
        <w:rPr>
          <w:vertAlign w:val="superscript"/>
        </w:rPr>
      </w:pPr>
      <w:r>
        <w:t xml:space="preserve">In short, it </w:t>
      </w:r>
      <w:r w:rsidR="00F61678">
        <w:t>is</w:t>
      </w:r>
      <w:r>
        <w:t xml:space="preserve"> advantageous to have fit-for-purpose, accurate </w:t>
      </w:r>
      <w:r w:rsidRPr="000978BF">
        <w:t>analytical techni</w:t>
      </w:r>
      <w:r>
        <w:t>ques for Ti in whole blood to allow monitoring of exposures</w:t>
      </w:r>
      <w:r w:rsidRPr="000978BF">
        <w:t xml:space="preserve">. </w:t>
      </w:r>
      <w:r w:rsidR="00F627A2">
        <w:t xml:space="preserve">As can be seen in Table </w:t>
      </w:r>
      <w:r w:rsidRPr="00F152D8">
        <w:rPr>
          <w:color w:val="000000" w:themeColor="text1"/>
        </w:rPr>
        <w:t>1</w:t>
      </w:r>
      <w:r>
        <w:t>, m</w:t>
      </w:r>
      <w:r w:rsidRPr="000978BF">
        <w:t>ost commonly</w:t>
      </w:r>
      <w:r>
        <w:t>,</w:t>
      </w:r>
      <w:r w:rsidRPr="000978BF">
        <w:t xml:space="preserve"> </w:t>
      </w:r>
      <w:r w:rsidR="00D355C0">
        <w:t xml:space="preserve">inductively coupled </w:t>
      </w:r>
      <w:r w:rsidR="00F85161">
        <w:t xml:space="preserve">plasma </w:t>
      </w:r>
      <w:r w:rsidR="00D355C0">
        <w:t>mass spectrometry (</w:t>
      </w:r>
      <w:r w:rsidRPr="000978BF">
        <w:t>ICP-MS</w:t>
      </w:r>
      <w:r w:rsidR="00D355C0">
        <w:t>)</w:t>
      </w:r>
      <w:r w:rsidRPr="000978BF">
        <w:t xml:space="preserve"> has been used </w:t>
      </w:r>
      <w:r>
        <w:t xml:space="preserve">for such </w:t>
      </w:r>
      <w:r w:rsidR="00977C5E">
        <w:t>measurements</w:t>
      </w:r>
      <w:r w:rsidR="009D015C" w:rsidRPr="003755E0">
        <w:rPr>
          <w:vertAlign w:val="superscript"/>
        </w:rPr>
        <w:t>1,</w:t>
      </w:r>
      <w:r w:rsidR="00000304">
        <w:rPr>
          <w:vertAlign w:val="superscript"/>
        </w:rPr>
        <w:t>14, 17 -64</w:t>
      </w:r>
      <w:r w:rsidR="00F81B77">
        <w:t xml:space="preserve"> </w:t>
      </w:r>
      <w:r w:rsidRPr="000978BF">
        <w:t xml:space="preserve">although </w:t>
      </w:r>
      <w:r w:rsidR="00F85161">
        <w:t>ICP</w:t>
      </w:r>
      <w:r w:rsidR="00D355C0">
        <w:t xml:space="preserve"> </w:t>
      </w:r>
      <w:r w:rsidRPr="000978BF">
        <w:t>optical emission spectrometry (</w:t>
      </w:r>
      <w:r w:rsidR="00D355C0">
        <w:t>ICP-</w:t>
      </w:r>
      <w:r w:rsidRPr="000978BF">
        <w:t>OES</w:t>
      </w:r>
      <w:r w:rsidR="00BE01C1" w:rsidRPr="000978BF">
        <w:t>)</w:t>
      </w:r>
      <w:r w:rsidR="00BE01C1">
        <w:rPr>
          <w:vertAlign w:val="superscript"/>
        </w:rPr>
        <w:t xml:space="preserve"> </w:t>
      </w:r>
      <w:r w:rsidR="00000304">
        <w:rPr>
          <w:vertAlign w:val="superscript"/>
        </w:rPr>
        <w:t>23, 26, 62, 63, 65-69</w:t>
      </w:r>
      <w:r w:rsidR="00A5069F" w:rsidRPr="000978BF">
        <w:t xml:space="preserve"> </w:t>
      </w:r>
      <w:r w:rsidRPr="000978BF">
        <w:t>and non-ICP techniques like graphite furnace atomic absorption spectrometry (GFAAS) have also been appli</w:t>
      </w:r>
      <w:r>
        <w:t>e</w:t>
      </w:r>
      <w:r w:rsidRPr="000978BF">
        <w:t>d</w:t>
      </w:r>
      <w:r w:rsidR="00BE01C1">
        <w:rPr>
          <w:vertAlign w:val="superscript"/>
        </w:rPr>
        <w:t>2</w:t>
      </w:r>
      <w:r w:rsidR="001C3A82">
        <w:rPr>
          <w:vertAlign w:val="superscript"/>
        </w:rPr>
        <w:t>4</w:t>
      </w:r>
      <w:r w:rsidR="00BE01C1">
        <w:rPr>
          <w:vertAlign w:val="superscript"/>
        </w:rPr>
        <w:t xml:space="preserve">, </w:t>
      </w:r>
      <w:r w:rsidR="00000304">
        <w:rPr>
          <w:vertAlign w:val="superscript"/>
        </w:rPr>
        <w:t xml:space="preserve">35, </w:t>
      </w:r>
      <w:r w:rsidR="00635DD7">
        <w:rPr>
          <w:vertAlign w:val="superscript"/>
        </w:rPr>
        <w:t>69 - 73</w:t>
      </w:r>
      <w:r w:rsidRPr="000978BF">
        <w:t xml:space="preserve">. </w:t>
      </w:r>
      <w:r>
        <w:t>In such analys</w:t>
      </w:r>
      <w:r w:rsidR="00F249E1">
        <w:t>e</w:t>
      </w:r>
      <w:r>
        <w:t>s w</w:t>
      </w:r>
      <w:r w:rsidRPr="000978BF">
        <w:t>hole blood may be diluted and analysed directly or digested before analysis al</w:t>
      </w:r>
      <w:r>
        <w:t>beit</w:t>
      </w:r>
      <w:r w:rsidRPr="000978BF">
        <w:t>, as noted above, only HF and hot sulphuric acid are likely to provide complete digestion</w:t>
      </w:r>
      <w:r>
        <w:rPr>
          <w:vertAlign w:val="superscript"/>
        </w:rPr>
        <w:t xml:space="preserve"> </w:t>
      </w:r>
      <w:r w:rsidRPr="000978BF">
        <w:t xml:space="preserve">of </w:t>
      </w:r>
      <w:r w:rsidR="00AA2CFB" w:rsidRPr="00942C08">
        <w:t>TiO</w:t>
      </w:r>
      <w:r w:rsidR="00AA2CFB" w:rsidRPr="00E43946">
        <w:rPr>
          <w:vertAlign w:val="subscript"/>
        </w:rPr>
        <w:t>2</w:t>
      </w:r>
      <w:r w:rsidR="00AA2CFB">
        <w:rPr>
          <w:vertAlign w:val="superscript"/>
        </w:rPr>
        <w:t>1</w:t>
      </w:r>
      <w:r w:rsidR="001C3A82">
        <w:rPr>
          <w:vertAlign w:val="superscript"/>
        </w:rPr>
        <w:t>2</w:t>
      </w:r>
      <w:r>
        <w:t>. But</w:t>
      </w:r>
      <w:r w:rsidR="00DA4C55">
        <w:t xml:space="preserve">, </w:t>
      </w:r>
      <w:r>
        <w:t>even after digestion</w:t>
      </w:r>
      <w:r w:rsidR="00DA4C55">
        <w:t>,</w:t>
      </w:r>
      <w:r>
        <w:t xml:space="preserve"> a variety of analytical challenges in </w:t>
      </w:r>
      <w:r w:rsidR="00DA4C55">
        <w:t xml:space="preserve">the </w:t>
      </w:r>
      <w:r>
        <w:t>form of interferences</w:t>
      </w:r>
      <w:r w:rsidR="00DA4C55">
        <w:t xml:space="preserve"> may</w:t>
      </w:r>
      <w:r>
        <w:t xml:space="preserve"> hamper accurate analysis and</w:t>
      </w:r>
      <w:r w:rsidR="00535A35">
        <w:t>,</w:t>
      </w:r>
      <w:r>
        <w:t xml:space="preserve"> due to low levels</w:t>
      </w:r>
      <w:r w:rsidR="00F249E1">
        <w:t xml:space="preserve"> of the analyte</w:t>
      </w:r>
      <w:r w:rsidR="00DA4C55">
        <w:t>,</w:t>
      </w:r>
      <w:r>
        <w:t xml:space="preserve"> a sensitive technique is still required. Whereby GFAAS and </w:t>
      </w:r>
      <w:r w:rsidR="00535A35">
        <w:t>ICP-</w:t>
      </w:r>
      <w:r>
        <w:t xml:space="preserve">OES may struggle </w:t>
      </w:r>
      <w:r w:rsidR="00535A35">
        <w:t>in</w:t>
      </w:r>
      <w:r>
        <w:t xml:space="preserve"> reaching the required sensitivity, the </w:t>
      </w:r>
      <w:r w:rsidRPr="000978BF">
        <w:t>three main current options</w:t>
      </w:r>
      <w:r>
        <w:t xml:space="preserve"> for ICP-MS analysis,</w:t>
      </w:r>
      <w:r w:rsidRPr="000978BF">
        <w:t xml:space="preserve"> in the form of</w:t>
      </w:r>
      <w:r w:rsidR="00D355C0">
        <w:t xml:space="preserve"> high resolution</w:t>
      </w:r>
      <w:r w:rsidR="00635DD7">
        <w:t xml:space="preserve"> </w:t>
      </w:r>
      <w:r w:rsidR="00D355C0">
        <w:t>(</w:t>
      </w:r>
      <w:r>
        <w:t>HR</w:t>
      </w:r>
      <w:r w:rsidR="00D355C0">
        <w:t>)</w:t>
      </w:r>
      <w:r>
        <w:t>-ICP-MS</w:t>
      </w:r>
      <w:r w:rsidRPr="000978BF">
        <w:t>,</w:t>
      </w:r>
      <w:r w:rsidR="000C1BF0">
        <w:t xml:space="preserve"> </w:t>
      </w:r>
      <w:r w:rsidR="00D355C0">
        <w:t xml:space="preserve">single </w:t>
      </w:r>
      <w:r w:rsidR="00D355C0">
        <w:t>quadrupole (</w:t>
      </w:r>
      <w:r>
        <w:t>SQ</w:t>
      </w:r>
      <w:r w:rsidR="00D355C0">
        <w:t>)</w:t>
      </w:r>
      <w:r>
        <w:t>-ICP-MS</w:t>
      </w:r>
      <w:r w:rsidRPr="000978BF">
        <w:t xml:space="preserve"> and </w:t>
      </w:r>
      <w:r w:rsidR="00D355C0">
        <w:t>triple quadrupole ICP-MS (</w:t>
      </w:r>
      <w:r>
        <w:t>ICP-MS/MS</w:t>
      </w:r>
      <w:r w:rsidR="00D355C0">
        <w:t>)</w:t>
      </w:r>
      <w:r>
        <w:t xml:space="preserve"> have to combat a large variety of polyatomic and isobaric </w:t>
      </w:r>
      <w:r w:rsidR="00AA2CFB">
        <w:t>interferences</w:t>
      </w:r>
      <w:r w:rsidR="001C3A82">
        <w:rPr>
          <w:vertAlign w:val="superscript"/>
        </w:rPr>
        <w:t>50</w:t>
      </w:r>
      <w:r w:rsidRPr="000978BF">
        <w:t xml:space="preserve">. </w:t>
      </w:r>
      <w:r>
        <w:t>For all mass spectrometry methods the ultimate goal is the analysis of the major isotope of titanium at mass 48 (abundance=73.98%</w:t>
      </w:r>
      <w:r w:rsidR="001C3A82">
        <w:rPr>
          <w:vertAlign w:val="superscript"/>
        </w:rPr>
        <w:t>50</w:t>
      </w:r>
      <w:r>
        <w:t xml:space="preserve">), which is hampered by both polyatomic and isobaric </w:t>
      </w:r>
      <w:r w:rsidR="00942D46">
        <w:t>interferences</w:t>
      </w:r>
      <w:r w:rsidR="00635DD7">
        <w:rPr>
          <w:vertAlign w:val="superscript"/>
        </w:rPr>
        <w:t>74</w:t>
      </w:r>
      <w:r>
        <w:t>.</w:t>
      </w:r>
      <w:r w:rsidR="00535A35">
        <w:t xml:space="preserve"> </w:t>
      </w:r>
      <w:r>
        <w:t xml:space="preserve">HR-ICP-MS, which uses its capability of mass resolution, can remove most polyatomic interferences but not isobaric interferences as they require m/Δm resolution of &gt; 10,000, which exceeds HR-ICP-MS </w:t>
      </w:r>
      <w:r w:rsidR="0084791F">
        <w:t>capabilities</w:t>
      </w:r>
      <w:r w:rsidR="0084791F">
        <w:rPr>
          <w:vertAlign w:val="superscript"/>
        </w:rPr>
        <w:t>32</w:t>
      </w:r>
      <w:r>
        <w:t xml:space="preserve">, thus only the minor isotopes </w:t>
      </w:r>
      <w:r>
        <w:rPr>
          <w:vertAlign w:val="superscript"/>
        </w:rPr>
        <w:t>47</w:t>
      </w:r>
      <w:r>
        <w:t xml:space="preserve">Ti and </w:t>
      </w:r>
      <w:r>
        <w:rPr>
          <w:vertAlign w:val="superscript"/>
        </w:rPr>
        <w:t>49</w:t>
      </w:r>
      <w:r>
        <w:t xml:space="preserve">Ti can be used for analysis.  SQ-ICP-MS and ICP-MS/MS apply some form of reaction cell to attempt interference free </w:t>
      </w:r>
      <w:r w:rsidR="0084791F">
        <w:t>analysis</w:t>
      </w:r>
      <w:r w:rsidR="0084791F">
        <w:rPr>
          <w:vertAlign w:val="superscript"/>
        </w:rPr>
        <w:t>21, 26, 28-30, 33 – 36, 64</w:t>
      </w:r>
      <w:r>
        <w:t xml:space="preserve">, </w:t>
      </w:r>
      <w:r w:rsidR="004931DB">
        <w:t>although</w:t>
      </w:r>
      <w:r>
        <w:t xml:space="preserve"> reaction chemistry </w:t>
      </w:r>
      <w:r w:rsidR="004931DB">
        <w:t xml:space="preserve">options </w:t>
      </w:r>
      <w:r>
        <w:t xml:space="preserve">depend </w:t>
      </w:r>
      <w:r w:rsidR="004931DB">
        <w:t>upon</w:t>
      </w:r>
      <w:r>
        <w:t xml:space="preserve"> instrument design an</w:t>
      </w:r>
      <w:r w:rsidR="004931DB">
        <w:t>d as such complete interference-</w:t>
      </w:r>
      <w:r>
        <w:t>free analysis cannot be a</w:t>
      </w:r>
      <w:r w:rsidR="00535A35">
        <w:t>ssure</w:t>
      </w:r>
      <w:r>
        <w:t>d</w:t>
      </w:r>
      <w:r w:rsidR="00F249E1">
        <w:t xml:space="preserve"> without careful characterisation,</w:t>
      </w:r>
      <w:r>
        <w:t xml:space="preserve"> in particular for </w:t>
      </w:r>
      <w:r>
        <w:rPr>
          <w:vertAlign w:val="superscript"/>
        </w:rPr>
        <w:t>48</w:t>
      </w:r>
      <w:r>
        <w:t>Ti.</w:t>
      </w:r>
    </w:p>
    <w:p w14:paraId="40DA23DB" w14:textId="77777777" w:rsidR="00A57DA0" w:rsidRDefault="00A57DA0" w:rsidP="00A57DA0">
      <w:pPr>
        <w:pStyle w:val="RSCB02ArticleText"/>
      </w:pPr>
    </w:p>
    <w:p w14:paraId="7F36B56F" w14:textId="2A15BC9D" w:rsidR="00A57DA0" w:rsidRDefault="00A57DA0" w:rsidP="00A57DA0">
      <w:pPr>
        <w:pStyle w:val="RSCB02ArticleText"/>
      </w:pPr>
      <w:r w:rsidRPr="000978BF">
        <w:t>In this work</w:t>
      </w:r>
      <w:r w:rsidR="005C554C">
        <w:t xml:space="preserve"> seven laboratories with established ICP bio-analytical expertise came together to compare their findings in blood Ti analyses of the same samples</w:t>
      </w:r>
      <w:r w:rsidRPr="000978BF">
        <w:t>. Since reference materials do</w:t>
      </w:r>
      <w:r w:rsidRPr="00A57DA0">
        <w:t xml:space="preserve"> </w:t>
      </w:r>
      <w:r w:rsidRPr="000978BF">
        <w:t xml:space="preserve">not exist with natural low levels of Ti in whole blood, we </w:t>
      </w:r>
      <w:r w:rsidR="004249C8">
        <w:t>used</w:t>
      </w:r>
      <w:r w:rsidRPr="000978BF">
        <w:t xml:space="preserve"> pooled human blood </w:t>
      </w:r>
      <w:r>
        <w:t>at natural low baseline levels (i.e. from fasted volunteers) +/- low</w:t>
      </w:r>
      <w:r w:rsidRPr="000978BF">
        <w:t xml:space="preserve"> </w:t>
      </w:r>
      <w:r>
        <w:t xml:space="preserve">and high </w:t>
      </w:r>
      <w:r w:rsidRPr="000978BF">
        <w:t xml:space="preserve">level spikes of ionic Ti or </w:t>
      </w:r>
      <w:r w:rsidRPr="00942C08">
        <w:t>Ti</w:t>
      </w:r>
      <w:r>
        <w:t>O</w:t>
      </w:r>
      <w:r w:rsidRPr="00A40A76">
        <w:rPr>
          <w:vertAlign w:val="subscript"/>
        </w:rPr>
        <w:t>2</w:t>
      </w:r>
      <w:r w:rsidRPr="000978BF">
        <w:t xml:space="preserve"> particles.</w:t>
      </w:r>
      <w:r w:rsidR="004249C8">
        <w:t xml:space="preserve"> Findings were then compared and a consensus reached </w:t>
      </w:r>
      <w:r w:rsidR="00F249E1">
        <w:t xml:space="preserve">by the authors </w:t>
      </w:r>
      <w:r w:rsidR="004249C8">
        <w:t>on potential pitfalls and successful approaches to facilitate accurate baseline blood Ti analysis.</w:t>
      </w:r>
    </w:p>
    <w:p w14:paraId="0C166F1C" w14:textId="77777777" w:rsidR="00387928" w:rsidRDefault="00387928" w:rsidP="00A57DA0">
      <w:pPr>
        <w:pStyle w:val="RSCB02ArticleText"/>
      </w:pPr>
    </w:p>
    <w:p w14:paraId="37876236" w14:textId="77777777" w:rsidR="00183120" w:rsidRDefault="00183120" w:rsidP="00A57DA0">
      <w:pPr>
        <w:pStyle w:val="RSCB02ArticleText"/>
      </w:pPr>
    </w:p>
    <w:p w14:paraId="0548734F" w14:textId="0097D1BE" w:rsidR="00535FF1" w:rsidRPr="008D0CC2" w:rsidRDefault="00535FF1" w:rsidP="008D0CC2">
      <w:pPr>
        <w:pStyle w:val="RSCB04AHeadingSection"/>
        <w:rPr>
          <w:rStyle w:val="RSCB04AHeadingSectionChar"/>
          <w:sz w:val="18"/>
        </w:rPr>
      </w:pPr>
      <w:r w:rsidRPr="001402A9">
        <w:t>Materials and methods</w:t>
      </w:r>
      <w:r w:rsidRPr="008D0CC2">
        <w:rPr>
          <w:rStyle w:val="RSCB04AHeadingSectionChar"/>
          <w:sz w:val="18"/>
        </w:rPr>
        <w:t xml:space="preserve"> </w:t>
      </w:r>
    </w:p>
    <w:p w14:paraId="477C4E7A" w14:textId="77777777" w:rsidR="00535FF1" w:rsidRPr="008D0CC2" w:rsidRDefault="00535FF1" w:rsidP="008D0CC2">
      <w:pPr>
        <w:pStyle w:val="RSCB05AHeadingSection-standalone"/>
      </w:pPr>
      <w:r w:rsidRPr="008D0CC2">
        <w:rPr>
          <w:rStyle w:val="RSCB04AHeadingSectionChar"/>
          <w:b w:val="0"/>
        </w:rPr>
        <w:t>Blood Collection</w:t>
      </w:r>
    </w:p>
    <w:p w14:paraId="06DB81AE" w14:textId="1EF1A3F6" w:rsidR="00535FF1" w:rsidRDefault="00535FF1" w:rsidP="00535FF1">
      <w:pPr>
        <w:pStyle w:val="RSCB02ArticleText"/>
      </w:pPr>
      <w:r w:rsidRPr="00D4358A">
        <w:t xml:space="preserve">Whole blood was collected from volunteers by staff </w:t>
      </w:r>
      <w:r>
        <w:t>of</w:t>
      </w:r>
      <w:r w:rsidRPr="00D4358A">
        <w:t xml:space="preserve"> the volunteer suite at MRC-EWL </w:t>
      </w:r>
      <w:r>
        <w:t>with appropriate</w:t>
      </w:r>
      <w:r w:rsidRPr="00D4358A">
        <w:t xml:space="preserve"> ethical approval (Reference 05/Q0108/30, Cambridge 2). Blood was collected by venepuncture, using Safety-Multifly®-needle 21G with a short tube and</w:t>
      </w:r>
      <w:r>
        <w:t xml:space="preserve"> assembled Multi-Adapter 14.120 (</w:t>
      </w:r>
      <w:r w:rsidRPr="00D4358A">
        <w:t>DEHP-free</w:t>
      </w:r>
      <w:r>
        <w:t>)</w:t>
      </w:r>
      <w:r w:rsidRPr="00D4358A">
        <w:t xml:space="preserve"> and </w:t>
      </w:r>
      <w:r>
        <w:t>9 mL</w:t>
      </w:r>
      <w:r w:rsidRPr="00D4358A">
        <w:t xml:space="preserve"> S-Monovettes®</w:t>
      </w:r>
      <w:r>
        <w:t xml:space="preserve"> </w:t>
      </w:r>
      <w:r w:rsidRPr="00D4358A">
        <w:t>K</w:t>
      </w:r>
      <w:r>
        <w:t>3E</w:t>
      </w:r>
      <w:r w:rsidRPr="00D4358A">
        <w:t xml:space="preserve"> vacutainers</w:t>
      </w:r>
      <w:r>
        <w:t xml:space="preserve"> (</w:t>
      </w:r>
      <w:r w:rsidRPr="00BF1B8E">
        <w:t>all Sarstedt,</w:t>
      </w:r>
      <w:r>
        <w:t xml:space="preserve"> Germany).</w:t>
      </w:r>
      <w:r w:rsidRPr="00D4358A">
        <w:t xml:space="preserve"> To help minimise contamination </w:t>
      </w:r>
      <w:r>
        <w:t xml:space="preserve">(e.g. </w:t>
      </w:r>
      <w:r w:rsidRPr="00D4358A">
        <w:t>from the metal needle</w:t>
      </w:r>
      <w:r>
        <w:t>)</w:t>
      </w:r>
      <w:r w:rsidRPr="00D4358A">
        <w:t xml:space="preserve"> the first blood sample </w:t>
      </w:r>
      <w:r>
        <w:t xml:space="preserve">of 1-2 mL </w:t>
      </w:r>
      <w:r w:rsidRPr="00D4358A">
        <w:t>was discarded</w:t>
      </w:r>
      <w:r>
        <w:t xml:space="preserve"> and only the subsequent blood draw was retained.</w:t>
      </w:r>
      <w:r w:rsidRPr="00966BCE">
        <w:t xml:space="preserve"> </w:t>
      </w:r>
      <w:r>
        <w:t xml:space="preserve">Blood </w:t>
      </w:r>
      <w:r w:rsidRPr="007F2E66">
        <w:t>samples were frozen</w:t>
      </w:r>
      <w:r>
        <w:t xml:space="preserve"> at -20</w:t>
      </w:r>
      <w:r w:rsidRPr="006052F1">
        <w:rPr>
          <w:rFonts w:ascii="Times New Roman" w:hAnsi="Times New Roman"/>
          <w:vertAlign w:val="superscript"/>
        </w:rPr>
        <w:t>o</w:t>
      </w:r>
      <w:r>
        <w:rPr>
          <w:rFonts w:ascii="Times New Roman" w:hAnsi="Times New Roman"/>
          <w:vertAlign w:val="superscript"/>
        </w:rPr>
        <w:t xml:space="preserve"> </w:t>
      </w:r>
      <w:r>
        <w:t>C.</w:t>
      </w:r>
    </w:p>
    <w:p w14:paraId="06FD6628" w14:textId="77777777" w:rsidR="00535FF1" w:rsidRPr="00D4358A" w:rsidRDefault="00535FF1" w:rsidP="00535FF1">
      <w:pPr>
        <w:pStyle w:val="RSCB02ArticleText"/>
      </w:pPr>
    </w:p>
    <w:p w14:paraId="6861B22D" w14:textId="77777777" w:rsidR="00535FF1" w:rsidRDefault="00535FF1" w:rsidP="00535FF1">
      <w:pPr>
        <w:pStyle w:val="RSCB02ArticleText"/>
      </w:pPr>
      <w:r>
        <w:t xml:space="preserve">In total, 324 mL of blood were collected from volunteers who had fasted overnight prior to the blood draw, and 90 mL were collected from volunteers who had not fasted (i.e. had eaten breakfast prior to the blood draw) (Table S1, supplementary information). Once all the blood was </w:t>
      </w:r>
      <w:r w:rsidRPr="007F2E66">
        <w:t>collected</w:t>
      </w:r>
      <w:r>
        <w:t>,</w:t>
      </w:r>
      <w:r w:rsidRPr="007F2E66">
        <w:t xml:space="preserve"> </w:t>
      </w:r>
      <w:r>
        <w:t>the samples were</w:t>
      </w:r>
      <w:r w:rsidRPr="007F2E66">
        <w:t xml:space="preserve"> thawed at room temperature with continuous gentle mixing using a rotary mixer</w:t>
      </w:r>
      <w:r>
        <w:t xml:space="preserve"> and were then pooled according to whether they were collected from fasted or non-fasted individuals</w:t>
      </w:r>
      <w:r w:rsidRPr="007F2E66">
        <w:t xml:space="preserve">. </w:t>
      </w:r>
    </w:p>
    <w:p w14:paraId="39E2F285" w14:textId="77777777" w:rsidR="009306A8" w:rsidRPr="00535FF1" w:rsidRDefault="009306A8" w:rsidP="00BF5F35">
      <w:pPr>
        <w:pStyle w:val="RSCB02ArticleText"/>
        <w:rPr>
          <w:b/>
        </w:rPr>
      </w:pPr>
    </w:p>
    <w:p w14:paraId="734BB9DD" w14:textId="77777777" w:rsidR="00535FF1" w:rsidRDefault="00535FF1" w:rsidP="00BF5F35">
      <w:pPr>
        <w:pStyle w:val="RSCB02ArticleText"/>
      </w:pPr>
    </w:p>
    <w:p w14:paraId="4447633B" w14:textId="77777777" w:rsidR="00535FF1" w:rsidRDefault="00535FF1" w:rsidP="00BF5F35">
      <w:pPr>
        <w:pStyle w:val="RSCB02ArticleText"/>
      </w:pPr>
    </w:p>
    <w:p w14:paraId="274EAAA0" w14:textId="77777777" w:rsidR="00535FF1" w:rsidRDefault="00535FF1" w:rsidP="00BF5F35">
      <w:pPr>
        <w:pStyle w:val="RSCB02ArticleText"/>
      </w:pPr>
    </w:p>
    <w:p w14:paraId="0FF4845C" w14:textId="77777777" w:rsidR="00535FF1" w:rsidRDefault="00535FF1" w:rsidP="00BF5F35">
      <w:pPr>
        <w:pStyle w:val="RSCB02ArticleText"/>
      </w:pPr>
    </w:p>
    <w:p w14:paraId="6FF1A387" w14:textId="77777777" w:rsidR="00535FF1" w:rsidRDefault="00535FF1" w:rsidP="00BF5F35">
      <w:pPr>
        <w:pStyle w:val="RSCB02ArticleText"/>
        <w:sectPr w:rsidR="00535FF1" w:rsidSect="00577995">
          <w:type w:val="continuous"/>
          <w:pgSz w:w="11907" w:h="16840" w:code="9"/>
          <w:pgMar w:top="1009" w:right="851" w:bottom="1758" w:left="851" w:header="851" w:footer="1049" w:gutter="0"/>
          <w:cols w:num="2" w:space="227"/>
          <w:titlePg/>
          <w:docGrid w:linePitch="360"/>
        </w:sectPr>
      </w:pPr>
    </w:p>
    <w:p w14:paraId="2AD3ABA5" w14:textId="1A3A71B2" w:rsidR="009306A8" w:rsidRPr="009306A8" w:rsidRDefault="009306A8" w:rsidP="009306A8">
      <w:pPr>
        <w:keepNext/>
        <w:keepLines/>
        <w:pBdr>
          <w:top w:val="single" w:sz="12" w:space="1" w:color="999999"/>
          <w:bottom w:val="single" w:sz="6" w:space="1" w:color="auto"/>
        </w:pBdr>
        <w:spacing w:before="120" w:after="120" w:line="200" w:lineRule="exact"/>
        <w:jc w:val="both"/>
        <w:rPr>
          <w:rFonts w:eastAsia="Times New Roman" w:cs="Times New Roman"/>
          <w:sz w:val="14"/>
          <w:szCs w:val="20"/>
          <w:lang w:eastAsia="en-GB"/>
        </w:rPr>
      </w:pPr>
      <w:r w:rsidRPr="009306A8">
        <w:rPr>
          <w:rFonts w:eastAsia="Times New Roman" w:cs="Times New Roman"/>
          <w:sz w:val="14"/>
          <w:szCs w:val="20"/>
          <w:lang w:eastAsia="en-GB"/>
        </w:rPr>
        <w:t xml:space="preserve">Table </w:t>
      </w:r>
      <w:r>
        <w:rPr>
          <w:rFonts w:eastAsia="Times New Roman" w:cs="Times New Roman"/>
          <w:sz w:val="14"/>
          <w:szCs w:val="20"/>
          <w:lang w:eastAsia="en-GB"/>
        </w:rPr>
        <w:t>1</w:t>
      </w:r>
      <w:r w:rsidRPr="009306A8">
        <w:rPr>
          <w:rFonts w:eastAsia="Times New Roman" w:cs="Times New Roman"/>
          <w:sz w:val="14"/>
          <w:szCs w:val="20"/>
          <w:lang w:eastAsia="en-GB"/>
        </w:rPr>
        <w:t xml:space="preserve">. </w:t>
      </w:r>
      <w:r w:rsidR="00F152D8">
        <w:rPr>
          <w:rFonts w:eastAsia="Times New Roman" w:cs="Times New Roman"/>
          <w:sz w:val="14"/>
          <w:szCs w:val="20"/>
          <w:lang w:eastAsia="en-GB"/>
        </w:rPr>
        <w:t>Reported</w:t>
      </w:r>
      <w:r w:rsidRPr="009306A8">
        <w:rPr>
          <w:rFonts w:eastAsia="Times New Roman" w:cs="Times New Roman"/>
          <w:sz w:val="14"/>
          <w:szCs w:val="20"/>
          <w:lang w:eastAsia="en-GB"/>
        </w:rPr>
        <w:t xml:space="preserve"> circulating Ti levels in </w:t>
      </w:r>
      <w:r w:rsidR="00A82E0B">
        <w:rPr>
          <w:rFonts w:eastAsia="Times New Roman" w:cs="Times New Roman"/>
          <w:sz w:val="14"/>
          <w:szCs w:val="20"/>
          <w:lang w:eastAsia="en-GB"/>
        </w:rPr>
        <w:t>mammals</w:t>
      </w:r>
      <w:r w:rsidRPr="00F85161">
        <w:rPr>
          <w:rFonts w:eastAsia="Times New Roman" w:cs="Times New Roman"/>
          <w:sz w:val="14"/>
          <w:szCs w:val="20"/>
          <w:lang w:eastAsia="en-GB"/>
        </w:rPr>
        <w:t>, relevant to implant or TiO</w:t>
      </w:r>
      <w:r w:rsidRPr="00F85161">
        <w:rPr>
          <w:rFonts w:eastAsia="Times New Roman" w:cs="Times New Roman"/>
          <w:sz w:val="14"/>
          <w:szCs w:val="20"/>
          <w:vertAlign w:val="subscript"/>
          <w:lang w:eastAsia="en-GB"/>
        </w:rPr>
        <w:t>2</w:t>
      </w:r>
      <w:r w:rsidRPr="00F85161">
        <w:rPr>
          <w:rFonts w:eastAsia="Times New Roman" w:cs="Times New Roman"/>
          <w:sz w:val="14"/>
          <w:szCs w:val="20"/>
          <w:lang w:eastAsia="en-GB"/>
        </w:rPr>
        <w:t xml:space="preserve"> exposure research, with analyses via single quadrupole ICP-MS (</w:t>
      </w:r>
      <w:r w:rsidR="00635903" w:rsidRPr="00F85161">
        <w:rPr>
          <w:rFonts w:eastAsia="Times New Roman" w:cs="Times New Roman"/>
          <w:sz w:val="14"/>
          <w:szCs w:val="20"/>
          <w:lang w:eastAsia="en-GB"/>
        </w:rPr>
        <w:t>S</w:t>
      </w:r>
      <w:r w:rsidRPr="00F85161">
        <w:rPr>
          <w:rFonts w:eastAsia="Times New Roman" w:cs="Times New Roman"/>
          <w:sz w:val="14"/>
          <w:szCs w:val="20"/>
          <w:lang w:eastAsia="en-GB"/>
        </w:rPr>
        <w:t>Q</w:t>
      </w:r>
      <w:r w:rsidR="00635903" w:rsidRPr="00F85161">
        <w:rPr>
          <w:rFonts w:eastAsia="Times New Roman" w:cs="Times New Roman"/>
          <w:sz w:val="14"/>
          <w:szCs w:val="20"/>
          <w:lang w:eastAsia="en-GB"/>
        </w:rPr>
        <w:t>-ICP-MS</w:t>
      </w:r>
      <w:r w:rsidRPr="00F85161">
        <w:rPr>
          <w:rFonts w:eastAsia="Times New Roman" w:cs="Times New Roman"/>
          <w:sz w:val="14"/>
          <w:szCs w:val="20"/>
          <w:lang w:eastAsia="en-GB"/>
        </w:rPr>
        <w:t>), high resolution ICP-MS (HR</w:t>
      </w:r>
      <w:r w:rsidR="00635903" w:rsidRPr="00F85161">
        <w:rPr>
          <w:rFonts w:eastAsia="Times New Roman" w:cs="Times New Roman"/>
          <w:sz w:val="14"/>
          <w:szCs w:val="20"/>
          <w:lang w:eastAsia="en-GB"/>
        </w:rPr>
        <w:t>-ICP-MS</w:t>
      </w:r>
      <w:r w:rsidRPr="00F85161">
        <w:rPr>
          <w:rFonts w:eastAsia="Times New Roman" w:cs="Times New Roman"/>
          <w:sz w:val="14"/>
          <w:szCs w:val="20"/>
          <w:lang w:eastAsia="en-GB"/>
        </w:rPr>
        <w:t>), triple quadrupole</w:t>
      </w:r>
      <w:r w:rsidR="003A149D" w:rsidRPr="00F85161">
        <w:rPr>
          <w:rFonts w:eastAsia="Times New Roman" w:cs="Times New Roman"/>
          <w:sz w:val="14"/>
          <w:szCs w:val="20"/>
          <w:lang w:eastAsia="en-GB"/>
        </w:rPr>
        <w:t xml:space="preserve"> ICP-MS</w:t>
      </w:r>
      <w:r w:rsidRPr="00F85161">
        <w:rPr>
          <w:rFonts w:eastAsia="Times New Roman" w:cs="Times New Roman"/>
          <w:sz w:val="14"/>
          <w:szCs w:val="20"/>
          <w:lang w:eastAsia="en-GB"/>
        </w:rPr>
        <w:t xml:space="preserve"> </w:t>
      </w:r>
      <w:r w:rsidR="00635903" w:rsidRPr="00F85161">
        <w:rPr>
          <w:rFonts w:eastAsia="Times New Roman" w:cs="Times New Roman"/>
          <w:sz w:val="14"/>
          <w:szCs w:val="20"/>
          <w:lang w:eastAsia="en-GB"/>
        </w:rPr>
        <w:t>(</w:t>
      </w:r>
      <w:r w:rsidRPr="00F85161">
        <w:rPr>
          <w:rFonts w:eastAsia="Times New Roman" w:cs="Times New Roman"/>
          <w:sz w:val="14"/>
          <w:szCs w:val="20"/>
          <w:lang w:eastAsia="en-GB"/>
        </w:rPr>
        <w:t>ICP-MS/MS</w:t>
      </w:r>
      <w:r w:rsidR="00635903" w:rsidRPr="00F85161">
        <w:rPr>
          <w:rFonts w:eastAsia="Times New Roman" w:cs="Times New Roman"/>
          <w:sz w:val="14"/>
          <w:szCs w:val="20"/>
          <w:lang w:eastAsia="en-GB"/>
        </w:rPr>
        <w:t>)</w:t>
      </w:r>
      <w:r w:rsidRPr="00F85161">
        <w:rPr>
          <w:rFonts w:eastAsia="Times New Roman" w:cs="Times New Roman"/>
          <w:sz w:val="14"/>
          <w:szCs w:val="20"/>
          <w:lang w:eastAsia="en-GB"/>
        </w:rPr>
        <w:t xml:space="preserve">, </w:t>
      </w:r>
      <w:r w:rsidR="003A149D">
        <w:rPr>
          <w:rFonts w:eastAsia="Times New Roman" w:cs="Times New Roman"/>
          <w:sz w:val="14"/>
          <w:szCs w:val="20"/>
          <w:lang w:eastAsia="en-GB"/>
        </w:rPr>
        <w:t xml:space="preserve">ICP </w:t>
      </w:r>
      <w:r w:rsidRPr="009306A8">
        <w:rPr>
          <w:rFonts w:eastAsia="Times New Roman" w:cs="Times New Roman"/>
          <w:sz w:val="14"/>
          <w:szCs w:val="20"/>
          <w:lang w:eastAsia="en-GB"/>
        </w:rPr>
        <w:t>optical emission spectrometry (</w:t>
      </w:r>
      <w:r w:rsidR="00635903">
        <w:rPr>
          <w:rFonts w:eastAsia="Times New Roman" w:cs="Times New Roman"/>
          <w:sz w:val="14"/>
          <w:szCs w:val="20"/>
          <w:lang w:eastAsia="en-GB"/>
        </w:rPr>
        <w:t>ICP-</w:t>
      </w:r>
      <w:r w:rsidRPr="009306A8">
        <w:rPr>
          <w:rFonts w:eastAsia="Times New Roman" w:cs="Times New Roman"/>
          <w:sz w:val="14"/>
          <w:szCs w:val="20"/>
          <w:lang w:eastAsia="en-GB"/>
        </w:rPr>
        <w:t>OES) or graphite furnace atomic absorption spectroscopy (GFAAS). Analytical ranges and average levels (in parenthesis) are given.</w:t>
      </w:r>
    </w:p>
    <w:tbl>
      <w:tblPr>
        <w:tblW w:w="8280" w:type="dxa"/>
        <w:tblLook w:val="04A0" w:firstRow="1" w:lastRow="0" w:firstColumn="1" w:lastColumn="0" w:noHBand="0" w:noVBand="1"/>
      </w:tblPr>
      <w:tblGrid>
        <w:gridCol w:w="894"/>
        <w:gridCol w:w="776"/>
        <w:gridCol w:w="1436"/>
        <w:gridCol w:w="957"/>
        <w:gridCol w:w="870"/>
        <w:gridCol w:w="1153"/>
        <w:gridCol w:w="957"/>
        <w:gridCol w:w="1237"/>
      </w:tblGrid>
      <w:tr w:rsidR="00950307" w:rsidRPr="00950307" w14:paraId="4893526C" w14:textId="77777777" w:rsidTr="00950307">
        <w:trPr>
          <w:trHeight w:val="525"/>
        </w:trPr>
        <w:tc>
          <w:tcPr>
            <w:tcW w:w="820" w:type="dxa"/>
            <w:tcBorders>
              <w:top w:val="single" w:sz="8" w:space="0" w:color="auto"/>
              <w:left w:val="nil"/>
              <w:bottom w:val="single" w:sz="8" w:space="0" w:color="auto"/>
              <w:right w:val="nil"/>
            </w:tcBorders>
            <w:shd w:val="clear" w:color="auto" w:fill="auto"/>
            <w:vAlign w:val="center"/>
            <w:hideMark/>
          </w:tcPr>
          <w:p w14:paraId="3EB9859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Technique</w:t>
            </w:r>
          </w:p>
        </w:tc>
        <w:tc>
          <w:tcPr>
            <w:tcW w:w="956" w:type="dxa"/>
            <w:tcBorders>
              <w:top w:val="single" w:sz="8" w:space="0" w:color="auto"/>
              <w:left w:val="nil"/>
              <w:bottom w:val="single" w:sz="8" w:space="0" w:color="auto"/>
              <w:right w:val="nil"/>
            </w:tcBorders>
            <w:shd w:val="clear" w:color="auto" w:fill="auto"/>
            <w:vAlign w:val="center"/>
            <w:hideMark/>
          </w:tcPr>
          <w:p w14:paraId="6E47FC5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species</w:t>
            </w:r>
          </w:p>
        </w:tc>
        <w:tc>
          <w:tcPr>
            <w:tcW w:w="1436" w:type="dxa"/>
            <w:tcBorders>
              <w:top w:val="single" w:sz="8" w:space="0" w:color="auto"/>
              <w:left w:val="nil"/>
              <w:bottom w:val="single" w:sz="8" w:space="0" w:color="auto"/>
              <w:right w:val="nil"/>
            </w:tcBorders>
            <w:shd w:val="clear" w:color="auto" w:fill="auto"/>
            <w:noWrap/>
            <w:vAlign w:val="center"/>
            <w:hideMark/>
          </w:tcPr>
          <w:p w14:paraId="5AA8EF7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References</w:t>
            </w:r>
          </w:p>
        </w:tc>
        <w:tc>
          <w:tcPr>
            <w:tcW w:w="957" w:type="dxa"/>
            <w:tcBorders>
              <w:top w:val="single" w:sz="8" w:space="0" w:color="auto"/>
              <w:left w:val="nil"/>
              <w:bottom w:val="single" w:sz="8" w:space="0" w:color="auto"/>
              <w:right w:val="nil"/>
            </w:tcBorders>
            <w:shd w:val="clear" w:color="auto" w:fill="auto"/>
            <w:vAlign w:val="center"/>
            <w:hideMark/>
          </w:tcPr>
          <w:p w14:paraId="1DF8BD12"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Number of papers</w:t>
            </w:r>
          </w:p>
        </w:tc>
        <w:tc>
          <w:tcPr>
            <w:tcW w:w="957" w:type="dxa"/>
            <w:tcBorders>
              <w:top w:val="single" w:sz="8" w:space="0" w:color="auto"/>
              <w:left w:val="nil"/>
              <w:bottom w:val="single" w:sz="8" w:space="0" w:color="auto"/>
              <w:right w:val="nil"/>
            </w:tcBorders>
            <w:shd w:val="clear" w:color="auto" w:fill="auto"/>
            <w:vAlign w:val="center"/>
            <w:hideMark/>
          </w:tcPr>
          <w:p w14:paraId="6A7A1E8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LOD range (average) µg/L</w:t>
            </w:r>
          </w:p>
        </w:tc>
        <w:tc>
          <w:tcPr>
            <w:tcW w:w="960" w:type="dxa"/>
            <w:tcBorders>
              <w:top w:val="single" w:sz="8" w:space="0" w:color="auto"/>
              <w:left w:val="nil"/>
              <w:bottom w:val="single" w:sz="8" w:space="0" w:color="auto"/>
              <w:right w:val="nil"/>
            </w:tcBorders>
            <w:shd w:val="clear" w:color="auto" w:fill="auto"/>
            <w:vAlign w:val="center"/>
            <w:hideMark/>
          </w:tcPr>
          <w:p w14:paraId="69F1E35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plasma/serum levels     range  (average) µg/L</w:t>
            </w:r>
          </w:p>
        </w:tc>
        <w:tc>
          <w:tcPr>
            <w:tcW w:w="957" w:type="dxa"/>
            <w:tcBorders>
              <w:top w:val="single" w:sz="8" w:space="0" w:color="auto"/>
              <w:left w:val="nil"/>
              <w:bottom w:val="single" w:sz="8" w:space="0" w:color="auto"/>
              <w:right w:val="nil"/>
            </w:tcBorders>
            <w:shd w:val="clear" w:color="auto" w:fill="auto"/>
            <w:vAlign w:val="center"/>
            <w:hideMark/>
          </w:tcPr>
          <w:p w14:paraId="7FABEA6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basal blood level                       range (average) µg/L)</w:t>
            </w:r>
          </w:p>
        </w:tc>
        <w:tc>
          <w:tcPr>
            <w:tcW w:w="1237" w:type="dxa"/>
            <w:tcBorders>
              <w:top w:val="single" w:sz="8" w:space="0" w:color="auto"/>
              <w:left w:val="nil"/>
              <w:bottom w:val="single" w:sz="8" w:space="0" w:color="auto"/>
              <w:right w:val="nil"/>
            </w:tcBorders>
            <w:shd w:val="clear" w:color="auto" w:fill="auto"/>
            <w:vAlign w:val="center"/>
            <w:hideMark/>
          </w:tcPr>
          <w:p w14:paraId="014B80A8"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with implant/after exposure           range (average) µg/L</w:t>
            </w:r>
          </w:p>
        </w:tc>
      </w:tr>
      <w:tr w:rsidR="00950307" w:rsidRPr="00950307" w14:paraId="1F6BD403" w14:textId="77777777" w:rsidTr="00950307">
        <w:trPr>
          <w:trHeight w:val="525"/>
        </w:trPr>
        <w:tc>
          <w:tcPr>
            <w:tcW w:w="820" w:type="dxa"/>
            <w:vMerge w:val="restart"/>
            <w:tcBorders>
              <w:top w:val="nil"/>
              <w:left w:val="nil"/>
              <w:bottom w:val="nil"/>
              <w:right w:val="nil"/>
            </w:tcBorders>
            <w:shd w:val="clear" w:color="auto" w:fill="auto"/>
            <w:vAlign w:val="center"/>
            <w:hideMark/>
          </w:tcPr>
          <w:p w14:paraId="56CDC53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SQ-ICP-MS</w:t>
            </w:r>
          </w:p>
        </w:tc>
        <w:tc>
          <w:tcPr>
            <w:tcW w:w="956" w:type="dxa"/>
            <w:tcBorders>
              <w:top w:val="nil"/>
              <w:left w:val="nil"/>
              <w:bottom w:val="nil"/>
              <w:right w:val="nil"/>
            </w:tcBorders>
            <w:shd w:val="clear" w:color="auto" w:fill="auto"/>
            <w:vAlign w:val="center"/>
            <w:hideMark/>
          </w:tcPr>
          <w:p w14:paraId="2F1394F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 + Human</w:t>
            </w:r>
          </w:p>
        </w:tc>
        <w:tc>
          <w:tcPr>
            <w:tcW w:w="1436" w:type="dxa"/>
            <w:tcBorders>
              <w:top w:val="nil"/>
              <w:left w:val="nil"/>
              <w:bottom w:val="nil"/>
              <w:right w:val="nil"/>
            </w:tcBorders>
            <w:shd w:val="clear" w:color="auto" w:fill="auto"/>
            <w:vAlign w:val="center"/>
            <w:hideMark/>
          </w:tcPr>
          <w:p w14:paraId="1D46943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14, 19, 21-43</w:t>
            </w:r>
          </w:p>
        </w:tc>
        <w:tc>
          <w:tcPr>
            <w:tcW w:w="957" w:type="dxa"/>
            <w:tcBorders>
              <w:top w:val="nil"/>
              <w:left w:val="nil"/>
              <w:bottom w:val="nil"/>
              <w:right w:val="nil"/>
            </w:tcBorders>
            <w:shd w:val="clear" w:color="auto" w:fill="auto"/>
            <w:vAlign w:val="center"/>
            <w:hideMark/>
          </w:tcPr>
          <w:p w14:paraId="37B186BB"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24</w:t>
            </w:r>
          </w:p>
        </w:tc>
        <w:tc>
          <w:tcPr>
            <w:tcW w:w="957" w:type="dxa"/>
            <w:tcBorders>
              <w:top w:val="nil"/>
              <w:left w:val="nil"/>
              <w:bottom w:val="nil"/>
              <w:right w:val="nil"/>
            </w:tcBorders>
            <w:shd w:val="clear" w:color="auto" w:fill="auto"/>
            <w:vAlign w:val="center"/>
            <w:hideMark/>
          </w:tcPr>
          <w:p w14:paraId="308A91F8"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0.02 - 4.00</w:t>
            </w:r>
            <w:r w:rsidRPr="00950307">
              <w:rPr>
                <w:rFonts w:ascii="Calibri" w:eastAsia="Times New Roman" w:hAnsi="Calibri" w:cs="Times New Roman"/>
                <w:color w:val="000000"/>
                <w:sz w:val="16"/>
                <w:szCs w:val="16"/>
                <w:lang w:eastAsia="en-GB"/>
              </w:rPr>
              <w:br/>
              <w:t>(0.95)</w:t>
            </w:r>
          </w:p>
        </w:tc>
        <w:tc>
          <w:tcPr>
            <w:tcW w:w="960" w:type="dxa"/>
            <w:tcBorders>
              <w:top w:val="nil"/>
              <w:left w:val="nil"/>
              <w:bottom w:val="nil"/>
              <w:right w:val="nil"/>
            </w:tcBorders>
            <w:shd w:val="clear" w:color="auto" w:fill="auto"/>
            <w:vAlign w:val="center"/>
            <w:hideMark/>
          </w:tcPr>
          <w:p w14:paraId="4F0EAF5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0.12 - 150 (30.60)</w:t>
            </w:r>
          </w:p>
        </w:tc>
        <w:tc>
          <w:tcPr>
            <w:tcW w:w="957" w:type="dxa"/>
            <w:tcBorders>
              <w:top w:val="nil"/>
              <w:left w:val="nil"/>
              <w:bottom w:val="nil"/>
              <w:right w:val="nil"/>
            </w:tcBorders>
            <w:shd w:val="clear" w:color="auto" w:fill="auto"/>
            <w:vAlign w:val="center"/>
            <w:hideMark/>
          </w:tcPr>
          <w:p w14:paraId="016A353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0.4 - 440.0 (63.7)</w:t>
            </w:r>
          </w:p>
        </w:tc>
        <w:tc>
          <w:tcPr>
            <w:tcW w:w="1237" w:type="dxa"/>
            <w:tcBorders>
              <w:top w:val="nil"/>
              <w:left w:val="nil"/>
              <w:bottom w:val="nil"/>
              <w:right w:val="nil"/>
            </w:tcBorders>
            <w:shd w:val="clear" w:color="auto" w:fill="auto"/>
            <w:vAlign w:val="center"/>
            <w:hideMark/>
          </w:tcPr>
          <w:p w14:paraId="62883BD2"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1.0 -- 770.0  (150.6)</w:t>
            </w:r>
          </w:p>
        </w:tc>
      </w:tr>
      <w:tr w:rsidR="00950307" w:rsidRPr="00950307" w14:paraId="4C0792E7" w14:textId="77777777" w:rsidTr="00950307">
        <w:trPr>
          <w:trHeight w:val="525"/>
        </w:trPr>
        <w:tc>
          <w:tcPr>
            <w:tcW w:w="820" w:type="dxa"/>
            <w:vMerge/>
            <w:tcBorders>
              <w:top w:val="nil"/>
              <w:left w:val="nil"/>
              <w:bottom w:val="nil"/>
              <w:right w:val="nil"/>
            </w:tcBorders>
            <w:vAlign w:val="center"/>
            <w:hideMark/>
          </w:tcPr>
          <w:p w14:paraId="06B14B8A"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nil"/>
              <w:right w:val="nil"/>
            </w:tcBorders>
            <w:shd w:val="clear" w:color="auto" w:fill="auto"/>
            <w:vAlign w:val="center"/>
            <w:hideMark/>
          </w:tcPr>
          <w:p w14:paraId="5AAB957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w:t>
            </w:r>
          </w:p>
        </w:tc>
        <w:tc>
          <w:tcPr>
            <w:tcW w:w="1436" w:type="dxa"/>
            <w:tcBorders>
              <w:top w:val="nil"/>
              <w:left w:val="nil"/>
              <w:bottom w:val="nil"/>
              <w:right w:val="nil"/>
            </w:tcBorders>
            <w:shd w:val="clear" w:color="auto" w:fill="auto"/>
            <w:vAlign w:val="center"/>
            <w:hideMark/>
          </w:tcPr>
          <w:p w14:paraId="0391059E"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14, 29, 34, 38</w:t>
            </w:r>
          </w:p>
        </w:tc>
        <w:tc>
          <w:tcPr>
            <w:tcW w:w="957" w:type="dxa"/>
            <w:tcBorders>
              <w:top w:val="nil"/>
              <w:left w:val="nil"/>
              <w:bottom w:val="nil"/>
              <w:right w:val="nil"/>
            </w:tcBorders>
            <w:shd w:val="clear" w:color="auto" w:fill="auto"/>
            <w:vAlign w:val="center"/>
            <w:hideMark/>
          </w:tcPr>
          <w:p w14:paraId="6D9131A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4</w:t>
            </w:r>
          </w:p>
        </w:tc>
        <w:tc>
          <w:tcPr>
            <w:tcW w:w="957" w:type="dxa"/>
            <w:tcBorders>
              <w:top w:val="nil"/>
              <w:left w:val="nil"/>
              <w:bottom w:val="nil"/>
              <w:right w:val="nil"/>
            </w:tcBorders>
            <w:shd w:val="clear" w:color="auto" w:fill="auto"/>
            <w:vAlign w:val="center"/>
            <w:hideMark/>
          </w:tcPr>
          <w:p w14:paraId="762A906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0.03 - 1.00</w:t>
            </w:r>
            <w:r w:rsidRPr="00950307">
              <w:rPr>
                <w:rFonts w:ascii="Calibri" w:eastAsia="Times New Roman" w:hAnsi="Calibri" w:cs="Times New Roman"/>
                <w:color w:val="000000"/>
                <w:sz w:val="16"/>
                <w:szCs w:val="16"/>
                <w:lang w:eastAsia="en-GB"/>
              </w:rPr>
              <w:br/>
              <w:t>(1.00)</w:t>
            </w:r>
          </w:p>
        </w:tc>
        <w:tc>
          <w:tcPr>
            <w:tcW w:w="960" w:type="dxa"/>
            <w:tcBorders>
              <w:top w:val="nil"/>
              <w:left w:val="nil"/>
              <w:bottom w:val="nil"/>
              <w:right w:val="nil"/>
            </w:tcBorders>
            <w:shd w:val="clear" w:color="auto" w:fill="auto"/>
            <w:noWrap/>
            <w:vAlign w:val="center"/>
            <w:hideMark/>
          </w:tcPr>
          <w:p w14:paraId="59F3D82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(25.0)</w:t>
            </w:r>
          </w:p>
        </w:tc>
        <w:tc>
          <w:tcPr>
            <w:tcW w:w="957" w:type="dxa"/>
            <w:tcBorders>
              <w:top w:val="nil"/>
              <w:left w:val="nil"/>
              <w:bottom w:val="nil"/>
              <w:right w:val="nil"/>
            </w:tcBorders>
            <w:shd w:val="clear" w:color="auto" w:fill="auto"/>
            <w:vAlign w:val="center"/>
            <w:hideMark/>
          </w:tcPr>
          <w:p w14:paraId="7AB8244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0.4 - 50.6 (17.3)</w:t>
            </w:r>
          </w:p>
        </w:tc>
        <w:tc>
          <w:tcPr>
            <w:tcW w:w="1237" w:type="dxa"/>
            <w:tcBorders>
              <w:top w:val="nil"/>
              <w:left w:val="nil"/>
              <w:bottom w:val="nil"/>
              <w:right w:val="nil"/>
            </w:tcBorders>
            <w:shd w:val="clear" w:color="auto" w:fill="auto"/>
            <w:vAlign w:val="center"/>
            <w:hideMark/>
          </w:tcPr>
          <w:p w14:paraId="0555EA3B"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0.4 --50.6</w:t>
            </w:r>
            <w:r w:rsidRPr="00950307">
              <w:rPr>
                <w:rFonts w:ascii="Calibri" w:eastAsia="Times New Roman" w:hAnsi="Calibri" w:cs="Times New Roman"/>
                <w:color w:val="000000"/>
                <w:sz w:val="16"/>
                <w:szCs w:val="16"/>
                <w:lang w:eastAsia="en-GB"/>
              </w:rPr>
              <w:br/>
              <w:t xml:space="preserve"> (17.3)</w:t>
            </w:r>
          </w:p>
        </w:tc>
      </w:tr>
      <w:tr w:rsidR="00950307" w:rsidRPr="00950307" w14:paraId="1BEB607B" w14:textId="77777777" w:rsidTr="0020020A">
        <w:trPr>
          <w:trHeight w:val="525"/>
        </w:trPr>
        <w:tc>
          <w:tcPr>
            <w:tcW w:w="820" w:type="dxa"/>
            <w:vMerge/>
            <w:tcBorders>
              <w:top w:val="nil"/>
              <w:left w:val="nil"/>
              <w:bottom w:val="single" w:sz="4" w:space="0" w:color="auto"/>
              <w:right w:val="nil"/>
            </w:tcBorders>
            <w:vAlign w:val="center"/>
            <w:hideMark/>
          </w:tcPr>
          <w:p w14:paraId="599B8DF8"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single" w:sz="4" w:space="0" w:color="auto"/>
              <w:right w:val="nil"/>
            </w:tcBorders>
            <w:shd w:val="clear" w:color="auto" w:fill="auto"/>
            <w:vAlign w:val="center"/>
            <w:hideMark/>
          </w:tcPr>
          <w:p w14:paraId="3FA24C12"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Human</w:t>
            </w:r>
          </w:p>
        </w:tc>
        <w:tc>
          <w:tcPr>
            <w:tcW w:w="1436" w:type="dxa"/>
            <w:tcBorders>
              <w:top w:val="nil"/>
              <w:left w:val="nil"/>
              <w:bottom w:val="single" w:sz="4" w:space="0" w:color="auto"/>
              <w:right w:val="nil"/>
            </w:tcBorders>
            <w:shd w:val="clear" w:color="auto" w:fill="auto"/>
            <w:vAlign w:val="center"/>
            <w:hideMark/>
          </w:tcPr>
          <w:p w14:paraId="504D145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19, 21-28, 30-33, 35-37, 39-43</w:t>
            </w:r>
          </w:p>
        </w:tc>
        <w:tc>
          <w:tcPr>
            <w:tcW w:w="957" w:type="dxa"/>
            <w:tcBorders>
              <w:top w:val="nil"/>
              <w:left w:val="nil"/>
              <w:bottom w:val="single" w:sz="4" w:space="0" w:color="auto"/>
              <w:right w:val="nil"/>
            </w:tcBorders>
            <w:shd w:val="clear" w:color="auto" w:fill="auto"/>
            <w:vAlign w:val="center"/>
            <w:hideMark/>
          </w:tcPr>
          <w:p w14:paraId="3813657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20</w:t>
            </w:r>
          </w:p>
        </w:tc>
        <w:tc>
          <w:tcPr>
            <w:tcW w:w="957" w:type="dxa"/>
            <w:tcBorders>
              <w:top w:val="nil"/>
              <w:left w:val="nil"/>
              <w:bottom w:val="single" w:sz="4" w:space="0" w:color="auto"/>
              <w:right w:val="nil"/>
            </w:tcBorders>
            <w:shd w:val="clear" w:color="auto" w:fill="auto"/>
            <w:vAlign w:val="center"/>
            <w:hideMark/>
          </w:tcPr>
          <w:p w14:paraId="5B276D3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0.02 - 4.00</w:t>
            </w:r>
            <w:r w:rsidRPr="00950307">
              <w:rPr>
                <w:rFonts w:ascii="Calibri" w:eastAsia="Times New Roman" w:hAnsi="Calibri" w:cs="Times New Roman"/>
                <w:color w:val="000000"/>
                <w:sz w:val="16"/>
                <w:szCs w:val="16"/>
                <w:lang w:eastAsia="en-GB"/>
              </w:rPr>
              <w:br/>
              <w:t>(1.03)</w:t>
            </w:r>
          </w:p>
        </w:tc>
        <w:tc>
          <w:tcPr>
            <w:tcW w:w="960" w:type="dxa"/>
            <w:tcBorders>
              <w:top w:val="nil"/>
              <w:left w:val="nil"/>
              <w:bottom w:val="single" w:sz="4" w:space="0" w:color="auto"/>
              <w:right w:val="nil"/>
            </w:tcBorders>
            <w:shd w:val="clear" w:color="auto" w:fill="auto"/>
            <w:vAlign w:val="center"/>
            <w:hideMark/>
          </w:tcPr>
          <w:p w14:paraId="1296275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0.12 - 150 (31.22)</w:t>
            </w:r>
          </w:p>
        </w:tc>
        <w:tc>
          <w:tcPr>
            <w:tcW w:w="957" w:type="dxa"/>
            <w:tcBorders>
              <w:top w:val="nil"/>
              <w:left w:val="nil"/>
              <w:bottom w:val="single" w:sz="4" w:space="0" w:color="auto"/>
              <w:right w:val="nil"/>
            </w:tcBorders>
            <w:shd w:val="clear" w:color="auto" w:fill="auto"/>
            <w:vAlign w:val="center"/>
            <w:hideMark/>
          </w:tcPr>
          <w:p w14:paraId="2570AD5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0.5 - 440.0 (70.7)</w:t>
            </w:r>
          </w:p>
        </w:tc>
        <w:tc>
          <w:tcPr>
            <w:tcW w:w="1237" w:type="dxa"/>
            <w:tcBorders>
              <w:top w:val="nil"/>
              <w:left w:val="nil"/>
              <w:bottom w:val="single" w:sz="4" w:space="0" w:color="auto"/>
              <w:right w:val="nil"/>
            </w:tcBorders>
            <w:shd w:val="clear" w:color="auto" w:fill="auto"/>
            <w:vAlign w:val="center"/>
            <w:hideMark/>
          </w:tcPr>
          <w:p w14:paraId="6EB7CAC9"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2.3 -- 770.0  (160.8)</w:t>
            </w:r>
          </w:p>
        </w:tc>
      </w:tr>
      <w:tr w:rsidR="00950307" w:rsidRPr="00950307" w14:paraId="3A21BF71" w14:textId="77777777" w:rsidTr="0020020A">
        <w:trPr>
          <w:trHeight w:val="525"/>
        </w:trPr>
        <w:tc>
          <w:tcPr>
            <w:tcW w:w="820" w:type="dxa"/>
            <w:vMerge w:val="restart"/>
            <w:tcBorders>
              <w:top w:val="single" w:sz="4" w:space="0" w:color="auto"/>
              <w:left w:val="nil"/>
              <w:bottom w:val="nil"/>
              <w:right w:val="nil"/>
            </w:tcBorders>
            <w:shd w:val="clear" w:color="auto" w:fill="auto"/>
            <w:noWrap/>
            <w:vAlign w:val="center"/>
            <w:hideMark/>
          </w:tcPr>
          <w:p w14:paraId="2FE1120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HR-ICP-MS</w:t>
            </w:r>
          </w:p>
        </w:tc>
        <w:tc>
          <w:tcPr>
            <w:tcW w:w="956" w:type="dxa"/>
            <w:tcBorders>
              <w:top w:val="single" w:sz="4" w:space="0" w:color="auto"/>
              <w:left w:val="nil"/>
              <w:bottom w:val="nil"/>
              <w:right w:val="nil"/>
            </w:tcBorders>
            <w:shd w:val="clear" w:color="auto" w:fill="auto"/>
            <w:vAlign w:val="center"/>
            <w:hideMark/>
          </w:tcPr>
          <w:p w14:paraId="687E152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 + Human</w:t>
            </w:r>
          </w:p>
        </w:tc>
        <w:tc>
          <w:tcPr>
            <w:tcW w:w="1436" w:type="dxa"/>
            <w:tcBorders>
              <w:top w:val="single" w:sz="4" w:space="0" w:color="auto"/>
              <w:left w:val="nil"/>
              <w:bottom w:val="nil"/>
              <w:right w:val="nil"/>
            </w:tcBorders>
            <w:shd w:val="clear" w:color="auto" w:fill="auto"/>
            <w:vAlign w:val="center"/>
            <w:hideMark/>
          </w:tcPr>
          <w:p w14:paraId="47FE34E3"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 17, 18, 20, 32, 33, 44 -64</w:t>
            </w:r>
          </w:p>
        </w:tc>
        <w:tc>
          <w:tcPr>
            <w:tcW w:w="957" w:type="dxa"/>
            <w:tcBorders>
              <w:top w:val="single" w:sz="4" w:space="0" w:color="auto"/>
              <w:left w:val="nil"/>
              <w:bottom w:val="nil"/>
              <w:right w:val="nil"/>
            </w:tcBorders>
            <w:shd w:val="clear" w:color="auto" w:fill="auto"/>
            <w:vAlign w:val="center"/>
            <w:hideMark/>
          </w:tcPr>
          <w:p w14:paraId="7E3FB962"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27</w:t>
            </w:r>
          </w:p>
        </w:tc>
        <w:tc>
          <w:tcPr>
            <w:tcW w:w="957" w:type="dxa"/>
            <w:tcBorders>
              <w:top w:val="single" w:sz="4" w:space="0" w:color="auto"/>
              <w:left w:val="nil"/>
              <w:bottom w:val="nil"/>
              <w:right w:val="nil"/>
            </w:tcBorders>
            <w:shd w:val="clear" w:color="auto" w:fill="auto"/>
            <w:vAlign w:val="center"/>
            <w:hideMark/>
          </w:tcPr>
          <w:p w14:paraId="6DB7EB65"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0.05 - 0.8 (0.2)</w:t>
            </w:r>
          </w:p>
        </w:tc>
        <w:tc>
          <w:tcPr>
            <w:tcW w:w="960" w:type="dxa"/>
            <w:tcBorders>
              <w:top w:val="single" w:sz="4" w:space="0" w:color="auto"/>
              <w:left w:val="nil"/>
              <w:bottom w:val="nil"/>
              <w:right w:val="nil"/>
            </w:tcBorders>
            <w:shd w:val="clear" w:color="auto" w:fill="auto"/>
            <w:vAlign w:val="center"/>
            <w:hideMark/>
          </w:tcPr>
          <w:p w14:paraId="43CE7934"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0.1 - 4.5 (0.73)</w:t>
            </w:r>
          </w:p>
        </w:tc>
        <w:tc>
          <w:tcPr>
            <w:tcW w:w="957" w:type="dxa"/>
            <w:tcBorders>
              <w:top w:val="single" w:sz="4" w:space="0" w:color="auto"/>
              <w:left w:val="nil"/>
              <w:bottom w:val="nil"/>
              <w:right w:val="nil"/>
            </w:tcBorders>
            <w:shd w:val="clear" w:color="auto" w:fill="auto"/>
            <w:vAlign w:val="center"/>
            <w:hideMark/>
          </w:tcPr>
          <w:p w14:paraId="630C8EF0"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0.5 - 21.0 (2.88)</w:t>
            </w:r>
          </w:p>
        </w:tc>
        <w:tc>
          <w:tcPr>
            <w:tcW w:w="1237" w:type="dxa"/>
            <w:tcBorders>
              <w:top w:val="single" w:sz="4" w:space="0" w:color="auto"/>
              <w:left w:val="nil"/>
              <w:bottom w:val="nil"/>
              <w:right w:val="nil"/>
            </w:tcBorders>
            <w:shd w:val="clear" w:color="auto" w:fill="auto"/>
            <w:vAlign w:val="center"/>
            <w:hideMark/>
          </w:tcPr>
          <w:p w14:paraId="73D47F3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0.1 - 300.0 (20.8)</w:t>
            </w:r>
          </w:p>
        </w:tc>
      </w:tr>
      <w:tr w:rsidR="00950307" w:rsidRPr="00950307" w14:paraId="6372326A" w14:textId="77777777" w:rsidTr="00950307">
        <w:trPr>
          <w:trHeight w:val="525"/>
        </w:trPr>
        <w:tc>
          <w:tcPr>
            <w:tcW w:w="820" w:type="dxa"/>
            <w:vMerge/>
            <w:tcBorders>
              <w:top w:val="nil"/>
              <w:left w:val="nil"/>
              <w:bottom w:val="nil"/>
              <w:right w:val="nil"/>
            </w:tcBorders>
            <w:vAlign w:val="center"/>
            <w:hideMark/>
          </w:tcPr>
          <w:p w14:paraId="3BBA3721"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nil"/>
              <w:right w:val="nil"/>
            </w:tcBorders>
            <w:shd w:val="clear" w:color="auto" w:fill="auto"/>
            <w:vAlign w:val="center"/>
            <w:hideMark/>
          </w:tcPr>
          <w:p w14:paraId="71E1C819"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w:t>
            </w:r>
          </w:p>
        </w:tc>
        <w:tc>
          <w:tcPr>
            <w:tcW w:w="1436" w:type="dxa"/>
            <w:tcBorders>
              <w:top w:val="nil"/>
              <w:left w:val="nil"/>
              <w:bottom w:val="nil"/>
              <w:right w:val="nil"/>
            </w:tcBorders>
            <w:shd w:val="clear" w:color="auto" w:fill="auto"/>
            <w:vAlign w:val="center"/>
            <w:hideMark/>
          </w:tcPr>
          <w:p w14:paraId="7DC6627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44, 52, 53</w:t>
            </w:r>
          </w:p>
        </w:tc>
        <w:tc>
          <w:tcPr>
            <w:tcW w:w="957" w:type="dxa"/>
            <w:tcBorders>
              <w:top w:val="nil"/>
              <w:left w:val="nil"/>
              <w:bottom w:val="nil"/>
              <w:right w:val="nil"/>
            </w:tcBorders>
            <w:shd w:val="clear" w:color="auto" w:fill="auto"/>
            <w:vAlign w:val="center"/>
            <w:hideMark/>
          </w:tcPr>
          <w:p w14:paraId="3EBD358B"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3</w:t>
            </w:r>
          </w:p>
        </w:tc>
        <w:tc>
          <w:tcPr>
            <w:tcW w:w="957" w:type="dxa"/>
            <w:tcBorders>
              <w:top w:val="nil"/>
              <w:left w:val="nil"/>
              <w:bottom w:val="nil"/>
              <w:right w:val="nil"/>
            </w:tcBorders>
            <w:shd w:val="clear" w:color="auto" w:fill="auto"/>
            <w:vAlign w:val="center"/>
            <w:hideMark/>
          </w:tcPr>
          <w:p w14:paraId="7BBBF12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0.5 - 0.8 (0.6)</w:t>
            </w:r>
          </w:p>
        </w:tc>
        <w:tc>
          <w:tcPr>
            <w:tcW w:w="960" w:type="dxa"/>
            <w:tcBorders>
              <w:top w:val="nil"/>
              <w:left w:val="nil"/>
              <w:bottom w:val="nil"/>
              <w:right w:val="nil"/>
            </w:tcBorders>
            <w:shd w:val="clear" w:color="auto" w:fill="auto"/>
            <w:vAlign w:val="center"/>
            <w:hideMark/>
          </w:tcPr>
          <w:p w14:paraId="741E84C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 xml:space="preserve">0.2 - 4.5 </w:t>
            </w:r>
            <w:r w:rsidRPr="00950307">
              <w:rPr>
                <w:rFonts w:ascii="Calibri" w:eastAsia="Times New Roman" w:hAnsi="Calibri" w:cs="Times New Roman"/>
                <w:color w:val="000000"/>
                <w:sz w:val="16"/>
                <w:szCs w:val="16"/>
                <w:lang w:eastAsia="en-GB"/>
              </w:rPr>
              <w:br/>
              <w:t>(2.4)</w:t>
            </w:r>
          </w:p>
        </w:tc>
        <w:tc>
          <w:tcPr>
            <w:tcW w:w="957" w:type="dxa"/>
            <w:tcBorders>
              <w:top w:val="nil"/>
              <w:left w:val="nil"/>
              <w:bottom w:val="nil"/>
              <w:right w:val="nil"/>
            </w:tcBorders>
            <w:shd w:val="clear" w:color="auto" w:fill="auto"/>
            <w:vAlign w:val="center"/>
            <w:hideMark/>
          </w:tcPr>
          <w:p w14:paraId="51D9E2E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2.0 - 4.0</w:t>
            </w:r>
            <w:r w:rsidRPr="00950307">
              <w:rPr>
                <w:rFonts w:ascii="Calibri" w:eastAsia="Times New Roman" w:hAnsi="Calibri" w:cs="Times New Roman"/>
                <w:color w:val="000000"/>
                <w:sz w:val="16"/>
                <w:szCs w:val="16"/>
                <w:lang w:eastAsia="en-GB"/>
              </w:rPr>
              <w:br/>
              <w:t>(2.93)</w:t>
            </w:r>
          </w:p>
        </w:tc>
        <w:tc>
          <w:tcPr>
            <w:tcW w:w="1237" w:type="dxa"/>
            <w:tcBorders>
              <w:top w:val="nil"/>
              <w:left w:val="nil"/>
              <w:bottom w:val="nil"/>
              <w:right w:val="nil"/>
            </w:tcBorders>
            <w:shd w:val="clear" w:color="auto" w:fill="auto"/>
            <w:vAlign w:val="center"/>
            <w:hideMark/>
          </w:tcPr>
          <w:p w14:paraId="2EE35CF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1.2 - 4.2</w:t>
            </w:r>
            <w:r w:rsidRPr="00950307">
              <w:rPr>
                <w:rFonts w:ascii="Calibri" w:eastAsia="Times New Roman" w:hAnsi="Calibri" w:cs="Times New Roman"/>
                <w:color w:val="000000"/>
                <w:sz w:val="16"/>
                <w:szCs w:val="16"/>
                <w:lang w:eastAsia="en-GB"/>
              </w:rPr>
              <w:br/>
              <w:t>(2.8)</w:t>
            </w:r>
          </w:p>
        </w:tc>
      </w:tr>
      <w:tr w:rsidR="00950307" w:rsidRPr="00950307" w14:paraId="7812055F" w14:textId="77777777" w:rsidTr="0020020A">
        <w:trPr>
          <w:trHeight w:val="525"/>
        </w:trPr>
        <w:tc>
          <w:tcPr>
            <w:tcW w:w="820" w:type="dxa"/>
            <w:vMerge/>
            <w:tcBorders>
              <w:top w:val="nil"/>
              <w:left w:val="nil"/>
              <w:bottom w:val="single" w:sz="4" w:space="0" w:color="auto"/>
              <w:right w:val="nil"/>
            </w:tcBorders>
            <w:vAlign w:val="center"/>
            <w:hideMark/>
          </w:tcPr>
          <w:p w14:paraId="2F04FFAD"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single" w:sz="4" w:space="0" w:color="auto"/>
              <w:right w:val="nil"/>
            </w:tcBorders>
            <w:shd w:val="clear" w:color="auto" w:fill="auto"/>
            <w:vAlign w:val="center"/>
            <w:hideMark/>
          </w:tcPr>
          <w:p w14:paraId="6DD14A4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Human</w:t>
            </w:r>
          </w:p>
        </w:tc>
        <w:tc>
          <w:tcPr>
            <w:tcW w:w="1436" w:type="dxa"/>
            <w:tcBorders>
              <w:top w:val="nil"/>
              <w:left w:val="nil"/>
              <w:bottom w:val="single" w:sz="4" w:space="0" w:color="auto"/>
              <w:right w:val="nil"/>
            </w:tcBorders>
            <w:shd w:val="clear" w:color="auto" w:fill="auto"/>
            <w:vAlign w:val="center"/>
            <w:hideMark/>
          </w:tcPr>
          <w:p w14:paraId="111BECCD"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 17, 18, 20, 32, 33, 45 -51, 54 -64</w:t>
            </w:r>
          </w:p>
        </w:tc>
        <w:tc>
          <w:tcPr>
            <w:tcW w:w="957" w:type="dxa"/>
            <w:tcBorders>
              <w:top w:val="nil"/>
              <w:left w:val="nil"/>
              <w:bottom w:val="single" w:sz="4" w:space="0" w:color="auto"/>
              <w:right w:val="nil"/>
            </w:tcBorders>
            <w:shd w:val="clear" w:color="auto" w:fill="auto"/>
            <w:vAlign w:val="center"/>
            <w:hideMark/>
          </w:tcPr>
          <w:p w14:paraId="775827F2"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24</w:t>
            </w:r>
          </w:p>
        </w:tc>
        <w:tc>
          <w:tcPr>
            <w:tcW w:w="957" w:type="dxa"/>
            <w:tcBorders>
              <w:top w:val="nil"/>
              <w:left w:val="nil"/>
              <w:bottom w:val="single" w:sz="4" w:space="0" w:color="auto"/>
              <w:right w:val="nil"/>
            </w:tcBorders>
            <w:shd w:val="clear" w:color="auto" w:fill="auto"/>
            <w:vAlign w:val="center"/>
            <w:hideMark/>
          </w:tcPr>
          <w:p w14:paraId="0C0166F4"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0.05 - 0.3 (0.13)</w:t>
            </w:r>
          </w:p>
        </w:tc>
        <w:tc>
          <w:tcPr>
            <w:tcW w:w="960" w:type="dxa"/>
            <w:tcBorders>
              <w:top w:val="nil"/>
              <w:left w:val="nil"/>
              <w:bottom w:val="single" w:sz="4" w:space="0" w:color="auto"/>
              <w:right w:val="nil"/>
            </w:tcBorders>
            <w:shd w:val="clear" w:color="auto" w:fill="auto"/>
            <w:vAlign w:val="center"/>
            <w:hideMark/>
          </w:tcPr>
          <w:p w14:paraId="2CD751D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0.1 - 1.5  (0.54)</w:t>
            </w:r>
          </w:p>
        </w:tc>
        <w:tc>
          <w:tcPr>
            <w:tcW w:w="957" w:type="dxa"/>
            <w:tcBorders>
              <w:top w:val="nil"/>
              <w:left w:val="nil"/>
              <w:bottom w:val="single" w:sz="4" w:space="0" w:color="auto"/>
              <w:right w:val="nil"/>
            </w:tcBorders>
            <w:shd w:val="clear" w:color="auto" w:fill="auto"/>
            <w:vAlign w:val="center"/>
            <w:hideMark/>
          </w:tcPr>
          <w:p w14:paraId="5B6A9B1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0.5 - 21.0 (2.87)</w:t>
            </w:r>
          </w:p>
        </w:tc>
        <w:tc>
          <w:tcPr>
            <w:tcW w:w="1237" w:type="dxa"/>
            <w:tcBorders>
              <w:top w:val="nil"/>
              <w:left w:val="nil"/>
              <w:bottom w:val="single" w:sz="4" w:space="0" w:color="auto"/>
              <w:right w:val="nil"/>
            </w:tcBorders>
            <w:shd w:val="clear" w:color="auto" w:fill="auto"/>
            <w:vAlign w:val="center"/>
            <w:hideMark/>
          </w:tcPr>
          <w:p w14:paraId="23CC84DE"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0.1 - 300.0 (23.08)</w:t>
            </w:r>
          </w:p>
        </w:tc>
      </w:tr>
      <w:tr w:rsidR="00950307" w:rsidRPr="00950307" w14:paraId="4FD97970" w14:textId="77777777" w:rsidTr="0020020A">
        <w:trPr>
          <w:trHeight w:val="525"/>
        </w:trPr>
        <w:tc>
          <w:tcPr>
            <w:tcW w:w="820" w:type="dxa"/>
            <w:tcBorders>
              <w:top w:val="single" w:sz="4" w:space="0" w:color="auto"/>
              <w:left w:val="nil"/>
              <w:bottom w:val="single" w:sz="4" w:space="0" w:color="auto"/>
              <w:right w:val="nil"/>
            </w:tcBorders>
            <w:shd w:val="clear" w:color="auto" w:fill="auto"/>
            <w:vAlign w:val="center"/>
            <w:hideMark/>
          </w:tcPr>
          <w:p w14:paraId="66650DB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ICP-MS/MS</w:t>
            </w:r>
          </w:p>
        </w:tc>
        <w:tc>
          <w:tcPr>
            <w:tcW w:w="956" w:type="dxa"/>
            <w:tcBorders>
              <w:top w:val="single" w:sz="4" w:space="0" w:color="auto"/>
              <w:left w:val="nil"/>
              <w:bottom w:val="single" w:sz="4" w:space="0" w:color="auto"/>
              <w:right w:val="nil"/>
            </w:tcBorders>
            <w:shd w:val="clear" w:color="auto" w:fill="auto"/>
            <w:vAlign w:val="center"/>
            <w:hideMark/>
          </w:tcPr>
          <w:p w14:paraId="4DCBF73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Human</w:t>
            </w:r>
          </w:p>
        </w:tc>
        <w:tc>
          <w:tcPr>
            <w:tcW w:w="1436" w:type="dxa"/>
            <w:tcBorders>
              <w:top w:val="single" w:sz="4" w:space="0" w:color="auto"/>
              <w:left w:val="nil"/>
              <w:bottom w:val="single" w:sz="4" w:space="0" w:color="auto"/>
              <w:right w:val="nil"/>
            </w:tcBorders>
            <w:shd w:val="clear" w:color="auto" w:fill="auto"/>
            <w:vAlign w:val="center"/>
            <w:hideMark/>
          </w:tcPr>
          <w:p w14:paraId="24D84C6E"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65</w:t>
            </w:r>
          </w:p>
        </w:tc>
        <w:tc>
          <w:tcPr>
            <w:tcW w:w="957" w:type="dxa"/>
            <w:tcBorders>
              <w:top w:val="single" w:sz="4" w:space="0" w:color="auto"/>
              <w:left w:val="nil"/>
              <w:bottom w:val="single" w:sz="4" w:space="0" w:color="auto"/>
              <w:right w:val="nil"/>
            </w:tcBorders>
            <w:shd w:val="clear" w:color="auto" w:fill="auto"/>
            <w:vAlign w:val="center"/>
            <w:hideMark/>
          </w:tcPr>
          <w:p w14:paraId="18F8E21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w:t>
            </w:r>
          </w:p>
        </w:tc>
        <w:tc>
          <w:tcPr>
            <w:tcW w:w="957" w:type="dxa"/>
            <w:tcBorders>
              <w:top w:val="single" w:sz="4" w:space="0" w:color="auto"/>
              <w:left w:val="nil"/>
              <w:bottom w:val="single" w:sz="4" w:space="0" w:color="auto"/>
              <w:right w:val="nil"/>
            </w:tcBorders>
            <w:shd w:val="clear" w:color="auto" w:fill="auto"/>
            <w:vAlign w:val="center"/>
            <w:hideMark/>
          </w:tcPr>
          <w:p w14:paraId="1F05724E"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p>
        </w:tc>
        <w:tc>
          <w:tcPr>
            <w:tcW w:w="960" w:type="dxa"/>
            <w:tcBorders>
              <w:top w:val="single" w:sz="4" w:space="0" w:color="auto"/>
              <w:left w:val="nil"/>
              <w:bottom w:val="single" w:sz="4" w:space="0" w:color="auto"/>
              <w:right w:val="nil"/>
            </w:tcBorders>
            <w:shd w:val="clear" w:color="auto" w:fill="auto"/>
            <w:vAlign w:val="center"/>
            <w:hideMark/>
          </w:tcPr>
          <w:p w14:paraId="2EFEE2CB"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 xml:space="preserve"> 0.3 - 0.8 (0.6)</w:t>
            </w:r>
          </w:p>
        </w:tc>
        <w:tc>
          <w:tcPr>
            <w:tcW w:w="957" w:type="dxa"/>
            <w:tcBorders>
              <w:top w:val="single" w:sz="4" w:space="0" w:color="auto"/>
              <w:left w:val="nil"/>
              <w:bottom w:val="single" w:sz="4" w:space="0" w:color="auto"/>
              <w:right w:val="nil"/>
            </w:tcBorders>
            <w:shd w:val="clear" w:color="auto" w:fill="auto"/>
            <w:vAlign w:val="center"/>
            <w:hideMark/>
          </w:tcPr>
          <w:p w14:paraId="034F520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w:t>
            </w:r>
          </w:p>
        </w:tc>
        <w:tc>
          <w:tcPr>
            <w:tcW w:w="1237" w:type="dxa"/>
            <w:tcBorders>
              <w:top w:val="single" w:sz="4" w:space="0" w:color="auto"/>
              <w:left w:val="nil"/>
              <w:bottom w:val="single" w:sz="4" w:space="0" w:color="auto"/>
              <w:right w:val="nil"/>
            </w:tcBorders>
            <w:shd w:val="clear" w:color="auto" w:fill="auto"/>
            <w:vAlign w:val="center"/>
            <w:hideMark/>
          </w:tcPr>
          <w:p w14:paraId="150A8693"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2.0 -6.0  (4.0)</w:t>
            </w:r>
          </w:p>
        </w:tc>
      </w:tr>
      <w:tr w:rsidR="00950307" w:rsidRPr="00950307" w14:paraId="311E3B8A" w14:textId="77777777" w:rsidTr="0020020A">
        <w:trPr>
          <w:trHeight w:val="525"/>
        </w:trPr>
        <w:tc>
          <w:tcPr>
            <w:tcW w:w="820" w:type="dxa"/>
            <w:vMerge w:val="restart"/>
            <w:tcBorders>
              <w:top w:val="single" w:sz="4" w:space="0" w:color="auto"/>
              <w:left w:val="nil"/>
              <w:bottom w:val="nil"/>
              <w:right w:val="nil"/>
            </w:tcBorders>
            <w:shd w:val="clear" w:color="auto" w:fill="auto"/>
            <w:vAlign w:val="center"/>
            <w:hideMark/>
          </w:tcPr>
          <w:p w14:paraId="6514ABD5"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ICP-OES</w:t>
            </w:r>
          </w:p>
        </w:tc>
        <w:tc>
          <w:tcPr>
            <w:tcW w:w="956" w:type="dxa"/>
            <w:tcBorders>
              <w:top w:val="single" w:sz="4" w:space="0" w:color="auto"/>
              <w:left w:val="nil"/>
              <w:bottom w:val="nil"/>
              <w:right w:val="nil"/>
            </w:tcBorders>
            <w:shd w:val="clear" w:color="auto" w:fill="auto"/>
            <w:vAlign w:val="center"/>
            <w:hideMark/>
          </w:tcPr>
          <w:p w14:paraId="6510E4A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 + Human</w:t>
            </w:r>
          </w:p>
        </w:tc>
        <w:tc>
          <w:tcPr>
            <w:tcW w:w="1436" w:type="dxa"/>
            <w:tcBorders>
              <w:top w:val="single" w:sz="4" w:space="0" w:color="auto"/>
              <w:left w:val="nil"/>
              <w:bottom w:val="nil"/>
              <w:right w:val="nil"/>
            </w:tcBorders>
            <w:shd w:val="clear" w:color="auto" w:fill="auto"/>
            <w:vAlign w:val="center"/>
            <w:hideMark/>
          </w:tcPr>
          <w:p w14:paraId="5421493D"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23, 26, 62, 63, 65-69</w:t>
            </w:r>
          </w:p>
        </w:tc>
        <w:tc>
          <w:tcPr>
            <w:tcW w:w="957" w:type="dxa"/>
            <w:tcBorders>
              <w:top w:val="single" w:sz="4" w:space="0" w:color="auto"/>
              <w:left w:val="nil"/>
              <w:bottom w:val="nil"/>
              <w:right w:val="nil"/>
            </w:tcBorders>
            <w:shd w:val="clear" w:color="auto" w:fill="auto"/>
            <w:vAlign w:val="center"/>
            <w:hideMark/>
          </w:tcPr>
          <w:p w14:paraId="1C039030"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9</w:t>
            </w:r>
          </w:p>
        </w:tc>
        <w:tc>
          <w:tcPr>
            <w:tcW w:w="957" w:type="dxa"/>
            <w:tcBorders>
              <w:top w:val="single" w:sz="4" w:space="0" w:color="auto"/>
              <w:left w:val="nil"/>
              <w:bottom w:val="nil"/>
              <w:right w:val="nil"/>
            </w:tcBorders>
            <w:shd w:val="clear" w:color="auto" w:fill="auto"/>
            <w:vAlign w:val="center"/>
            <w:hideMark/>
          </w:tcPr>
          <w:p w14:paraId="4FBF51E9"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0.9 - 34.1 (9.45)</w:t>
            </w:r>
          </w:p>
        </w:tc>
        <w:tc>
          <w:tcPr>
            <w:tcW w:w="960" w:type="dxa"/>
            <w:tcBorders>
              <w:top w:val="single" w:sz="4" w:space="0" w:color="auto"/>
              <w:left w:val="nil"/>
              <w:bottom w:val="nil"/>
              <w:right w:val="nil"/>
            </w:tcBorders>
            <w:shd w:val="clear" w:color="auto" w:fill="auto"/>
            <w:vAlign w:val="center"/>
            <w:hideMark/>
          </w:tcPr>
          <w:p w14:paraId="79B634A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0.5 - 50.7 (9.2)</w:t>
            </w:r>
          </w:p>
        </w:tc>
        <w:tc>
          <w:tcPr>
            <w:tcW w:w="957" w:type="dxa"/>
            <w:tcBorders>
              <w:top w:val="single" w:sz="4" w:space="0" w:color="auto"/>
              <w:left w:val="nil"/>
              <w:bottom w:val="nil"/>
              <w:right w:val="nil"/>
            </w:tcBorders>
            <w:shd w:val="clear" w:color="auto" w:fill="auto"/>
            <w:vAlign w:val="center"/>
            <w:hideMark/>
          </w:tcPr>
          <w:p w14:paraId="5E0DEE49"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1.0 -150.0 (29.5)</w:t>
            </w:r>
          </w:p>
        </w:tc>
        <w:tc>
          <w:tcPr>
            <w:tcW w:w="1237" w:type="dxa"/>
            <w:tcBorders>
              <w:top w:val="single" w:sz="4" w:space="0" w:color="auto"/>
              <w:left w:val="nil"/>
              <w:bottom w:val="nil"/>
              <w:right w:val="nil"/>
            </w:tcBorders>
            <w:shd w:val="clear" w:color="auto" w:fill="auto"/>
            <w:vAlign w:val="center"/>
            <w:hideMark/>
          </w:tcPr>
          <w:p w14:paraId="577B52A4"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 xml:space="preserve">1.0 - 795 </w:t>
            </w:r>
            <w:r w:rsidRPr="00950307">
              <w:rPr>
                <w:rFonts w:ascii="Calibri" w:eastAsia="Times New Roman" w:hAnsi="Calibri" w:cs="Times New Roman"/>
                <w:color w:val="000000"/>
                <w:sz w:val="16"/>
                <w:szCs w:val="16"/>
                <w:lang w:eastAsia="en-GB"/>
              </w:rPr>
              <w:br/>
              <w:t>( 19.9)</w:t>
            </w:r>
          </w:p>
        </w:tc>
      </w:tr>
      <w:tr w:rsidR="00950307" w:rsidRPr="00950307" w14:paraId="17252A46" w14:textId="77777777" w:rsidTr="00950307">
        <w:trPr>
          <w:trHeight w:val="525"/>
        </w:trPr>
        <w:tc>
          <w:tcPr>
            <w:tcW w:w="820" w:type="dxa"/>
            <w:vMerge/>
            <w:tcBorders>
              <w:top w:val="nil"/>
              <w:left w:val="nil"/>
              <w:bottom w:val="nil"/>
              <w:right w:val="nil"/>
            </w:tcBorders>
            <w:vAlign w:val="center"/>
            <w:hideMark/>
          </w:tcPr>
          <w:p w14:paraId="6FDEEE6D"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nil"/>
              <w:right w:val="nil"/>
            </w:tcBorders>
            <w:shd w:val="clear" w:color="auto" w:fill="auto"/>
            <w:vAlign w:val="center"/>
            <w:hideMark/>
          </w:tcPr>
          <w:p w14:paraId="566DCEDF"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w:t>
            </w:r>
          </w:p>
        </w:tc>
        <w:tc>
          <w:tcPr>
            <w:tcW w:w="1436" w:type="dxa"/>
            <w:tcBorders>
              <w:top w:val="nil"/>
              <w:left w:val="nil"/>
              <w:bottom w:val="nil"/>
              <w:right w:val="nil"/>
            </w:tcBorders>
            <w:shd w:val="clear" w:color="auto" w:fill="auto"/>
            <w:noWrap/>
            <w:vAlign w:val="center"/>
            <w:hideMark/>
          </w:tcPr>
          <w:p w14:paraId="4DA623D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26</w:t>
            </w:r>
          </w:p>
        </w:tc>
        <w:tc>
          <w:tcPr>
            <w:tcW w:w="957" w:type="dxa"/>
            <w:tcBorders>
              <w:top w:val="nil"/>
              <w:left w:val="nil"/>
              <w:bottom w:val="nil"/>
              <w:right w:val="nil"/>
            </w:tcBorders>
            <w:shd w:val="clear" w:color="auto" w:fill="auto"/>
            <w:vAlign w:val="center"/>
            <w:hideMark/>
          </w:tcPr>
          <w:p w14:paraId="79B9DF58"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w:t>
            </w:r>
          </w:p>
        </w:tc>
        <w:tc>
          <w:tcPr>
            <w:tcW w:w="957" w:type="dxa"/>
            <w:tcBorders>
              <w:top w:val="nil"/>
              <w:left w:val="nil"/>
              <w:bottom w:val="nil"/>
              <w:right w:val="nil"/>
            </w:tcBorders>
            <w:shd w:val="clear" w:color="auto" w:fill="auto"/>
            <w:vAlign w:val="center"/>
            <w:hideMark/>
          </w:tcPr>
          <w:p w14:paraId="6ABA36E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w:t>
            </w:r>
          </w:p>
        </w:tc>
        <w:tc>
          <w:tcPr>
            <w:tcW w:w="960" w:type="dxa"/>
            <w:tcBorders>
              <w:top w:val="nil"/>
              <w:left w:val="nil"/>
              <w:bottom w:val="nil"/>
              <w:right w:val="nil"/>
            </w:tcBorders>
            <w:shd w:val="clear" w:color="auto" w:fill="auto"/>
            <w:vAlign w:val="center"/>
            <w:hideMark/>
          </w:tcPr>
          <w:p w14:paraId="04D9AA45"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w:t>
            </w:r>
          </w:p>
        </w:tc>
        <w:tc>
          <w:tcPr>
            <w:tcW w:w="957" w:type="dxa"/>
            <w:tcBorders>
              <w:top w:val="nil"/>
              <w:left w:val="nil"/>
              <w:bottom w:val="nil"/>
              <w:right w:val="nil"/>
            </w:tcBorders>
            <w:shd w:val="clear" w:color="auto" w:fill="auto"/>
            <w:noWrap/>
            <w:vAlign w:val="center"/>
            <w:hideMark/>
          </w:tcPr>
          <w:p w14:paraId="2D65C4D3"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150</w:t>
            </w:r>
          </w:p>
        </w:tc>
        <w:tc>
          <w:tcPr>
            <w:tcW w:w="1237" w:type="dxa"/>
            <w:tcBorders>
              <w:top w:val="nil"/>
              <w:left w:val="nil"/>
              <w:bottom w:val="nil"/>
              <w:right w:val="nil"/>
            </w:tcBorders>
            <w:shd w:val="clear" w:color="auto" w:fill="auto"/>
            <w:noWrap/>
            <w:vAlign w:val="center"/>
            <w:hideMark/>
          </w:tcPr>
          <w:p w14:paraId="343CAF7D"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150</w:t>
            </w:r>
          </w:p>
        </w:tc>
      </w:tr>
      <w:tr w:rsidR="00950307" w:rsidRPr="00950307" w14:paraId="7E178CC3" w14:textId="77777777" w:rsidTr="0020020A">
        <w:trPr>
          <w:trHeight w:val="525"/>
        </w:trPr>
        <w:tc>
          <w:tcPr>
            <w:tcW w:w="820" w:type="dxa"/>
            <w:vMerge/>
            <w:tcBorders>
              <w:top w:val="nil"/>
              <w:left w:val="nil"/>
              <w:bottom w:val="single" w:sz="4" w:space="0" w:color="auto"/>
              <w:right w:val="nil"/>
            </w:tcBorders>
            <w:vAlign w:val="center"/>
            <w:hideMark/>
          </w:tcPr>
          <w:p w14:paraId="07D38D6F"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single" w:sz="4" w:space="0" w:color="auto"/>
              <w:right w:val="nil"/>
            </w:tcBorders>
            <w:shd w:val="clear" w:color="auto" w:fill="auto"/>
            <w:vAlign w:val="center"/>
            <w:hideMark/>
          </w:tcPr>
          <w:p w14:paraId="59E5922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Human</w:t>
            </w:r>
          </w:p>
        </w:tc>
        <w:tc>
          <w:tcPr>
            <w:tcW w:w="1436" w:type="dxa"/>
            <w:tcBorders>
              <w:top w:val="nil"/>
              <w:left w:val="nil"/>
              <w:bottom w:val="single" w:sz="4" w:space="0" w:color="auto"/>
              <w:right w:val="nil"/>
            </w:tcBorders>
            <w:shd w:val="clear" w:color="auto" w:fill="auto"/>
            <w:noWrap/>
            <w:vAlign w:val="center"/>
            <w:hideMark/>
          </w:tcPr>
          <w:p w14:paraId="57257A53"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23, 62, 63, 65-69</w:t>
            </w:r>
          </w:p>
        </w:tc>
        <w:tc>
          <w:tcPr>
            <w:tcW w:w="957" w:type="dxa"/>
            <w:tcBorders>
              <w:top w:val="nil"/>
              <w:left w:val="nil"/>
              <w:bottom w:val="single" w:sz="4" w:space="0" w:color="auto"/>
              <w:right w:val="nil"/>
            </w:tcBorders>
            <w:shd w:val="clear" w:color="auto" w:fill="auto"/>
            <w:vAlign w:val="center"/>
            <w:hideMark/>
          </w:tcPr>
          <w:p w14:paraId="53D2A1E9"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8</w:t>
            </w:r>
          </w:p>
        </w:tc>
        <w:tc>
          <w:tcPr>
            <w:tcW w:w="957" w:type="dxa"/>
            <w:tcBorders>
              <w:top w:val="nil"/>
              <w:left w:val="nil"/>
              <w:bottom w:val="single" w:sz="4" w:space="0" w:color="auto"/>
              <w:right w:val="nil"/>
            </w:tcBorders>
            <w:shd w:val="clear" w:color="auto" w:fill="auto"/>
            <w:vAlign w:val="center"/>
            <w:hideMark/>
          </w:tcPr>
          <w:p w14:paraId="529A46BA"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0.9 - 34.1 (9.45)</w:t>
            </w:r>
          </w:p>
        </w:tc>
        <w:tc>
          <w:tcPr>
            <w:tcW w:w="960" w:type="dxa"/>
            <w:tcBorders>
              <w:top w:val="nil"/>
              <w:left w:val="nil"/>
              <w:bottom w:val="single" w:sz="4" w:space="0" w:color="auto"/>
              <w:right w:val="nil"/>
            </w:tcBorders>
            <w:shd w:val="clear" w:color="auto" w:fill="auto"/>
            <w:vAlign w:val="center"/>
            <w:hideMark/>
          </w:tcPr>
          <w:p w14:paraId="03983AAB"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0.5 - 50.7 (9.2)</w:t>
            </w:r>
          </w:p>
        </w:tc>
        <w:tc>
          <w:tcPr>
            <w:tcW w:w="957" w:type="dxa"/>
            <w:tcBorders>
              <w:top w:val="nil"/>
              <w:left w:val="nil"/>
              <w:bottom w:val="single" w:sz="4" w:space="0" w:color="auto"/>
              <w:right w:val="nil"/>
            </w:tcBorders>
            <w:shd w:val="clear" w:color="auto" w:fill="auto"/>
            <w:vAlign w:val="center"/>
            <w:hideMark/>
          </w:tcPr>
          <w:p w14:paraId="020F7795"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1.0 -61.2 (12.3)</w:t>
            </w:r>
          </w:p>
        </w:tc>
        <w:tc>
          <w:tcPr>
            <w:tcW w:w="1237" w:type="dxa"/>
            <w:tcBorders>
              <w:top w:val="nil"/>
              <w:left w:val="nil"/>
              <w:bottom w:val="single" w:sz="4" w:space="0" w:color="auto"/>
              <w:right w:val="nil"/>
            </w:tcBorders>
            <w:shd w:val="clear" w:color="auto" w:fill="auto"/>
            <w:vAlign w:val="center"/>
            <w:hideMark/>
          </w:tcPr>
          <w:p w14:paraId="266B5138"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1.0 - 77.0</w:t>
            </w:r>
            <w:r w:rsidRPr="00950307">
              <w:rPr>
                <w:rFonts w:ascii="Calibri" w:eastAsia="Times New Roman" w:hAnsi="Calibri" w:cs="Times New Roman"/>
                <w:color w:val="000000"/>
                <w:sz w:val="16"/>
                <w:szCs w:val="16"/>
                <w:lang w:eastAsia="en-GB"/>
              </w:rPr>
              <w:br/>
              <w:t>(22.1)</w:t>
            </w:r>
          </w:p>
        </w:tc>
      </w:tr>
      <w:tr w:rsidR="00950307" w:rsidRPr="00950307" w14:paraId="2676CA8B" w14:textId="77777777" w:rsidTr="0020020A">
        <w:trPr>
          <w:trHeight w:val="525"/>
        </w:trPr>
        <w:tc>
          <w:tcPr>
            <w:tcW w:w="820" w:type="dxa"/>
            <w:vMerge w:val="restart"/>
            <w:tcBorders>
              <w:top w:val="single" w:sz="4" w:space="0" w:color="auto"/>
              <w:left w:val="nil"/>
              <w:bottom w:val="nil"/>
              <w:right w:val="nil"/>
            </w:tcBorders>
            <w:shd w:val="clear" w:color="auto" w:fill="auto"/>
            <w:vAlign w:val="center"/>
            <w:hideMark/>
          </w:tcPr>
          <w:p w14:paraId="68800741"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GFAAS</w:t>
            </w:r>
          </w:p>
        </w:tc>
        <w:tc>
          <w:tcPr>
            <w:tcW w:w="956" w:type="dxa"/>
            <w:tcBorders>
              <w:top w:val="single" w:sz="4" w:space="0" w:color="auto"/>
              <w:left w:val="nil"/>
              <w:bottom w:val="nil"/>
              <w:right w:val="nil"/>
            </w:tcBorders>
            <w:shd w:val="clear" w:color="auto" w:fill="auto"/>
            <w:vAlign w:val="center"/>
            <w:hideMark/>
          </w:tcPr>
          <w:p w14:paraId="12A3308B"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 + Human</w:t>
            </w:r>
          </w:p>
        </w:tc>
        <w:tc>
          <w:tcPr>
            <w:tcW w:w="1436" w:type="dxa"/>
            <w:tcBorders>
              <w:top w:val="single" w:sz="4" w:space="0" w:color="auto"/>
              <w:left w:val="nil"/>
              <w:bottom w:val="nil"/>
              <w:right w:val="nil"/>
            </w:tcBorders>
            <w:shd w:val="clear" w:color="auto" w:fill="auto"/>
            <w:noWrap/>
            <w:vAlign w:val="center"/>
            <w:hideMark/>
          </w:tcPr>
          <w:p w14:paraId="1989F580"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24, 35, 69-71 - 73</w:t>
            </w:r>
          </w:p>
        </w:tc>
        <w:tc>
          <w:tcPr>
            <w:tcW w:w="957" w:type="dxa"/>
            <w:tcBorders>
              <w:top w:val="single" w:sz="4" w:space="0" w:color="auto"/>
              <w:left w:val="nil"/>
              <w:bottom w:val="nil"/>
              <w:right w:val="nil"/>
            </w:tcBorders>
            <w:shd w:val="clear" w:color="auto" w:fill="auto"/>
            <w:vAlign w:val="center"/>
            <w:hideMark/>
          </w:tcPr>
          <w:p w14:paraId="5C9C0165"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7</w:t>
            </w:r>
          </w:p>
        </w:tc>
        <w:tc>
          <w:tcPr>
            <w:tcW w:w="957" w:type="dxa"/>
            <w:tcBorders>
              <w:top w:val="single" w:sz="4" w:space="0" w:color="auto"/>
              <w:left w:val="nil"/>
              <w:bottom w:val="nil"/>
              <w:right w:val="nil"/>
            </w:tcBorders>
            <w:shd w:val="clear" w:color="auto" w:fill="auto"/>
            <w:vAlign w:val="center"/>
            <w:hideMark/>
          </w:tcPr>
          <w:p w14:paraId="67EE6DFC"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2.1 - 9.0     (4.4)</w:t>
            </w:r>
          </w:p>
        </w:tc>
        <w:tc>
          <w:tcPr>
            <w:tcW w:w="960" w:type="dxa"/>
            <w:tcBorders>
              <w:top w:val="single" w:sz="4" w:space="0" w:color="auto"/>
              <w:left w:val="nil"/>
              <w:bottom w:val="nil"/>
              <w:right w:val="nil"/>
            </w:tcBorders>
            <w:shd w:val="clear" w:color="auto" w:fill="auto"/>
            <w:vAlign w:val="center"/>
            <w:hideMark/>
          </w:tcPr>
          <w:p w14:paraId="40FE44C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1.0 - 24.0  (6.8)</w:t>
            </w:r>
          </w:p>
        </w:tc>
        <w:tc>
          <w:tcPr>
            <w:tcW w:w="957" w:type="dxa"/>
            <w:tcBorders>
              <w:top w:val="single" w:sz="4" w:space="0" w:color="auto"/>
              <w:left w:val="nil"/>
              <w:bottom w:val="nil"/>
              <w:right w:val="nil"/>
            </w:tcBorders>
            <w:shd w:val="clear" w:color="auto" w:fill="auto"/>
            <w:vAlign w:val="center"/>
            <w:hideMark/>
          </w:tcPr>
          <w:p w14:paraId="75A12CCE"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2.0 - 9.3 (4.6)</w:t>
            </w:r>
          </w:p>
        </w:tc>
        <w:tc>
          <w:tcPr>
            <w:tcW w:w="1237" w:type="dxa"/>
            <w:tcBorders>
              <w:top w:val="single" w:sz="4" w:space="0" w:color="auto"/>
              <w:left w:val="nil"/>
              <w:bottom w:val="nil"/>
              <w:right w:val="nil"/>
            </w:tcBorders>
            <w:shd w:val="clear" w:color="auto" w:fill="auto"/>
            <w:vAlign w:val="center"/>
            <w:hideMark/>
          </w:tcPr>
          <w:p w14:paraId="4340C29D"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2 - 482</w:t>
            </w:r>
            <w:r w:rsidRPr="00950307">
              <w:rPr>
                <w:rFonts w:ascii="Calibri" w:eastAsia="Times New Roman" w:hAnsi="Calibri" w:cs="Times New Roman"/>
                <w:color w:val="000000"/>
                <w:sz w:val="16"/>
                <w:szCs w:val="16"/>
                <w:lang w:eastAsia="en-GB"/>
              </w:rPr>
              <w:br/>
              <w:t>(143)</w:t>
            </w:r>
          </w:p>
        </w:tc>
      </w:tr>
      <w:tr w:rsidR="00950307" w:rsidRPr="00950307" w14:paraId="56A55DAF" w14:textId="77777777" w:rsidTr="00950307">
        <w:trPr>
          <w:trHeight w:val="525"/>
        </w:trPr>
        <w:tc>
          <w:tcPr>
            <w:tcW w:w="820" w:type="dxa"/>
            <w:vMerge/>
            <w:tcBorders>
              <w:top w:val="nil"/>
              <w:left w:val="nil"/>
              <w:bottom w:val="nil"/>
              <w:right w:val="nil"/>
            </w:tcBorders>
            <w:vAlign w:val="center"/>
            <w:hideMark/>
          </w:tcPr>
          <w:p w14:paraId="3644F13E"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nil"/>
              <w:right w:val="nil"/>
            </w:tcBorders>
            <w:shd w:val="clear" w:color="auto" w:fill="auto"/>
            <w:vAlign w:val="center"/>
            <w:hideMark/>
          </w:tcPr>
          <w:p w14:paraId="0DE79A9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Rodent</w:t>
            </w:r>
          </w:p>
        </w:tc>
        <w:tc>
          <w:tcPr>
            <w:tcW w:w="1436" w:type="dxa"/>
            <w:tcBorders>
              <w:top w:val="nil"/>
              <w:left w:val="nil"/>
              <w:bottom w:val="nil"/>
              <w:right w:val="nil"/>
            </w:tcBorders>
            <w:shd w:val="clear" w:color="auto" w:fill="auto"/>
            <w:noWrap/>
            <w:vAlign w:val="center"/>
            <w:hideMark/>
          </w:tcPr>
          <w:p w14:paraId="092235C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35, 70</w:t>
            </w:r>
          </w:p>
        </w:tc>
        <w:tc>
          <w:tcPr>
            <w:tcW w:w="957" w:type="dxa"/>
            <w:tcBorders>
              <w:top w:val="nil"/>
              <w:left w:val="nil"/>
              <w:bottom w:val="nil"/>
              <w:right w:val="nil"/>
            </w:tcBorders>
            <w:shd w:val="clear" w:color="auto" w:fill="auto"/>
            <w:noWrap/>
            <w:vAlign w:val="center"/>
            <w:hideMark/>
          </w:tcPr>
          <w:p w14:paraId="0075B923"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w:t>
            </w:r>
          </w:p>
        </w:tc>
        <w:tc>
          <w:tcPr>
            <w:tcW w:w="957" w:type="dxa"/>
            <w:tcBorders>
              <w:top w:val="nil"/>
              <w:left w:val="nil"/>
              <w:bottom w:val="nil"/>
              <w:right w:val="nil"/>
            </w:tcBorders>
            <w:shd w:val="clear" w:color="auto" w:fill="auto"/>
            <w:vAlign w:val="center"/>
            <w:hideMark/>
          </w:tcPr>
          <w:p w14:paraId="3F4C1CC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(9.0)</w:t>
            </w:r>
          </w:p>
        </w:tc>
        <w:tc>
          <w:tcPr>
            <w:tcW w:w="960" w:type="dxa"/>
            <w:tcBorders>
              <w:top w:val="nil"/>
              <w:left w:val="nil"/>
              <w:bottom w:val="nil"/>
              <w:right w:val="nil"/>
            </w:tcBorders>
            <w:shd w:val="clear" w:color="auto" w:fill="auto"/>
            <w:vAlign w:val="center"/>
            <w:hideMark/>
          </w:tcPr>
          <w:p w14:paraId="65F8C673"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1.4 - 24</w:t>
            </w:r>
            <w:r w:rsidRPr="00950307">
              <w:rPr>
                <w:rFonts w:ascii="Calibri" w:eastAsia="Times New Roman" w:hAnsi="Calibri" w:cs="Times New Roman"/>
                <w:color w:val="000000"/>
                <w:sz w:val="16"/>
                <w:szCs w:val="16"/>
                <w:lang w:eastAsia="en-GB"/>
              </w:rPr>
              <w:br/>
              <w:t>(12.7)</w:t>
            </w:r>
          </w:p>
        </w:tc>
        <w:tc>
          <w:tcPr>
            <w:tcW w:w="957" w:type="dxa"/>
            <w:tcBorders>
              <w:top w:val="nil"/>
              <w:left w:val="nil"/>
              <w:bottom w:val="nil"/>
              <w:right w:val="nil"/>
            </w:tcBorders>
            <w:shd w:val="clear" w:color="auto" w:fill="auto"/>
            <w:noWrap/>
            <w:vAlign w:val="center"/>
            <w:hideMark/>
          </w:tcPr>
          <w:p w14:paraId="13E20C03"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(2.5)</w:t>
            </w:r>
          </w:p>
        </w:tc>
        <w:tc>
          <w:tcPr>
            <w:tcW w:w="1237" w:type="dxa"/>
            <w:tcBorders>
              <w:top w:val="nil"/>
              <w:left w:val="nil"/>
              <w:bottom w:val="nil"/>
              <w:right w:val="nil"/>
            </w:tcBorders>
            <w:shd w:val="clear" w:color="auto" w:fill="auto"/>
            <w:vAlign w:val="center"/>
            <w:hideMark/>
          </w:tcPr>
          <w:p w14:paraId="61F38796"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8 - 482</w:t>
            </w:r>
            <w:r w:rsidRPr="00950307">
              <w:rPr>
                <w:rFonts w:ascii="Calibri" w:eastAsia="Times New Roman" w:hAnsi="Calibri" w:cs="Times New Roman"/>
                <w:color w:val="000000"/>
                <w:sz w:val="16"/>
                <w:szCs w:val="16"/>
                <w:lang w:eastAsia="en-GB"/>
              </w:rPr>
              <w:br/>
              <w:t>(245)</w:t>
            </w:r>
          </w:p>
        </w:tc>
      </w:tr>
      <w:tr w:rsidR="00950307" w:rsidRPr="00950307" w14:paraId="1737EDA8" w14:textId="77777777" w:rsidTr="00950307">
        <w:trPr>
          <w:trHeight w:val="525"/>
        </w:trPr>
        <w:tc>
          <w:tcPr>
            <w:tcW w:w="820" w:type="dxa"/>
            <w:vMerge/>
            <w:tcBorders>
              <w:top w:val="nil"/>
              <w:left w:val="nil"/>
              <w:bottom w:val="nil"/>
              <w:right w:val="nil"/>
            </w:tcBorders>
            <w:vAlign w:val="center"/>
            <w:hideMark/>
          </w:tcPr>
          <w:p w14:paraId="2107D466" w14:textId="77777777" w:rsidR="00950307" w:rsidRPr="00950307" w:rsidRDefault="00950307" w:rsidP="00950307">
            <w:pPr>
              <w:spacing w:after="0" w:line="240" w:lineRule="auto"/>
              <w:rPr>
                <w:rFonts w:ascii="Calibri" w:eastAsia="Times New Roman" w:hAnsi="Calibri" w:cs="Times New Roman"/>
                <w:color w:val="000000"/>
                <w:sz w:val="16"/>
                <w:szCs w:val="16"/>
                <w:lang w:eastAsia="en-GB"/>
              </w:rPr>
            </w:pPr>
          </w:p>
        </w:tc>
        <w:tc>
          <w:tcPr>
            <w:tcW w:w="956" w:type="dxa"/>
            <w:tcBorders>
              <w:top w:val="nil"/>
              <w:left w:val="nil"/>
              <w:bottom w:val="nil"/>
              <w:right w:val="nil"/>
            </w:tcBorders>
            <w:shd w:val="clear" w:color="auto" w:fill="auto"/>
            <w:vAlign w:val="center"/>
            <w:hideMark/>
          </w:tcPr>
          <w:p w14:paraId="446C0E04"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Human</w:t>
            </w:r>
          </w:p>
        </w:tc>
        <w:tc>
          <w:tcPr>
            <w:tcW w:w="1436" w:type="dxa"/>
            <w:tcBorders>
              <w:top w:val="nil"/>
              <w:left w:val="nil"/>
              <w:bottom w:val="nil"/>
              <w:right w:val="nil"/>
            </w:tcBorders>
            <w:shd w:val="clear" w:color="auto" w:fill="auto"/>
            <w:noWrap/>
            <w:vAlign w:val="center"/>
            <w:hideMark/>
          </w:tcPr>
          <w:p w14:paraId="00629BCE"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24, 69, 71 - 73</w:t>
            </w:r>
          </w:p>
        </w:tc>
        <w:tc>
          <w:tcPr>
            <w:tcW w:w="957" w:type="dxa"/>
            <w:tcBorders>
              <w:top w:val="nil"/>
              <w:left w:val="nil"/>
              <w:bottom w:val="nil"/>
              <w:right w:val="nil"/>
            </w:tcBorders>
            <w:shd w:val="clear" w:color="auto" w:fill="auto"/>
            <w:noWrap/>
            <w:vAlign w:val="center"/>
            <w:hideMark/>
          </w:tcPr>
          <w:p w14:paraId="61FFD3F9"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5</w:t>
            </w:r>
          </w:p>
        </w:tc>
        <w:tc>
          <w:tcPr>
            <w:tcW w:w="957" w:type="dxa"/>
            <w:tcBorders>
              <w:top w:val="nil"/>
              <w:left w:val="nil"/>
              <w:bottom w:val="nil"/>
              <w:right w:val="nil"/>
            </w:tcBorders>
            <w:shd w:val="clear" w:color="auto" w:fill="auto"/>
            <w:vAlign w:val="center"/>
            <w:hideMark/>
          </w:tcPr>
          <w:p w14:paraId="2E73E2C2"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2.1 - 6.0</w:t>
            </w:r>
            <w:r w:rsidRPr="00950307">
              <w:rPr>
                <w:rFonts w:ascii="Calibri" w:eastAsia="Times New Roman" w:hAnsi="Calibri" w:cs="Times New Roman"/>
                <w:color w:val="000000"/>
                <w:sz w:val="16"/>
                <w:szCs w:val="16"/>
                <w:lang w:eastAsia="en-GB"/>
              </w:rPr>
              <w:br/>
              <w:t>(3.3)</w:t>
            </w:r>
          </w:p>
        </w:tc>
        <w:tc>
          <w:tcPr>
            <w:tcW w:w="960" w:type="dxa"/>
            <w:tcBorders>
              <w:top w:val="nil"/>
              <w:left w:val="nil"/>
              <w:bottom w:val="nil"/>
              <w:right w:val="nil"/>
            </w:tcBorders>
            <w:shd w:val="clear" w:color="auto" w:fill="auto"/>
            <w:vAlign w:val="center"/>
            <w:hideMark/>
          </w:tcPr>
          <w:p w14:paraId="2ECEF289"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1.0 - 9.0</w:t>
            </w:r>
            <w:r w:rsidRPr="00950307">
              <w:rPr>
                <w:rFonts w:ascii="Calibri" w:eastAsia="Times New Roman" w:hAnsi="Calibri" w:cs="Times New Roman"/>
                <w:color w:val="000000"/>
                <w:sz w:val="16"/>
                <w:szCs w:val="16"/>
                <w:lang w:eastAsia="en-GB"/>
              </w:rPr>
              <w:br/>
              <w:t>(4.5)</w:t>
            </w:r>
          </w:p>
        </w:tc>
        <w:tc>
          <w:tcPr>
            <w:tcW w:w="957" w:type="dxa"/>
            <w:tcBorders>
              <w:top w:val="nil"/>
              <w:left w:val="nil"/>
              <w:bottom w:val="nil"/>
              <w:right w:val="nil"/>
            </w:tcBorders>
            <w:shd w:val="clear" w:color="auto" w:fill="auto"/>
            <w:vAlign w:val="center"/>
            <w:hideMark/>
          </w:tcPr>
          <w:p w14:paraId="543B453D"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2.0 - 9.3</w:t>
            </w:r>
            <w:r w:rsidRPr="00950307">
              <w:rPr>
                <w:rFonts w:ascii="Calibri" w:eastAsia="Times New Roman" w:hAnsi="Calibri" w:cs="Times New Roman"/>
                <w:color w:val="000000"/>
                <w:sz w:val="16"/>
                <w:szCs w:val="16"/>
                <w:lang w:eastAsia="en-GB"/>
              </w:rPr>
              <w:br/>
              <w:t>(5.6)</w:t>
            </w:r>
          </w:p>
        </w:tc>
        <w:tc>
          <w:tcPr>
            <w:tcW w:w="1237" w:type="dxa"/>
            <w:tcBorders>
              <w:top w:val="nil"/>
              <w:left w:val="nil"/>
              <w:bottom w:val="nil"/>
              <w:right w:val="nil"/>
            </w:tcBorders>
            <w:shd w:val="clear" w:color="auto" w:fill="auto"/>
            <w:vAlign w:val="center"/>
            <w:hideMark/>
          </w:tcPr>
          <w:p w14:paraId="00DC1C57" w14:textId="77777777" w:rsidR="00950307" w:rsidRPr="00950307" w:rsidRDefault="00950307" w:rsidP="00950307">
            <w:pPr>
              <w:spacing w:after="0" w:line="240" w:lineRule="auto"/>
              <w:jc w:val="center"/>
              <w:rPr>
                <w:rFonts w:ascii="Calibri" w:eastAsia="Times New Roman" w:hAnsi="Calibri" w:cs="Times New Roman"/>
                <w:color w:val="000000"/>
                <w:sz w:val="16"/>
                <w:szCs w:val="16"/>
                <w:lang w:eastAsia="en-GB"/>
              </w:rPr>
            </w:pPr>
            <w:r w:rsidRPr="00950307">
              <w:rPr>
                <w:rFonts w:ascii="Calibri" w:eastAsia="Times New Roman" w:hAnsi="Calibri" w:cs="Times New Roman"/>
                <w:color w:val="000000"/>
                <w:sz w:val="16"/>
                <w:szCs w:val="16"/>
                <w:lang w:eastAsia="en-GB"/>
              </w:rPr>
              <w:t>2 - 320</w:t>
            </w:r>
            <w:r w:rsidRPr="00950307">
              <w:rPr>
                <w:rFonts w:ascii="Calibri" w:eastAsia="Times New Roman" w:hAnsi="Calibri" w:cs="Times New Roman"/>
                <w:color w:val="000000"/>
                <w:sz w:val="16"/>
                <w:szCs w:val="16"/>
                <w:lang w:eastAsia="en-GB"/>
              </w:rPr>
              <w:br/>
              <w:t>(92.1)</w:t>
            </w:r>
          </w:p>
        </w:tc>
      </w:tr>
    </w:tbl>
    <w:p w14:paraId="446A6C15" w14:textId="77777777" w:rsidR="009306A8" w:rsidRDefault="009306A8" w:rsidP="00BF5F35">
      <w:pPr>
        <w:pStyle w:val="RSCB02ArticleText"/>
        <w:sectPr w:rsidR="009306A8" w:rsidSect="009306A8">
          <w:type w:val="continuous"/>
          <w:pgSz w:w="11907" w:h="16840" w:code="9"/>
          <w:pgMar w:top="1009" w:right="851" w:bottom="1758" w:left="851" w:header="851" w:footer="1049" w:gutter="0"/>
          <w:cols w:space="227"/>
          <w:titlePg/>
          <w:docGrid w:linePitch="360"/>
        </w:sectPr>
      </w:pPr>
    </w:p>
    <w:p w14:paraId="361645C2" w14:textId="540AE92C" w:rsidR="001402A9" w:rsidRPr="00521BD5" w:rsidRDefault="001402A9" w:rsidP="001402A9">
      <w:pPr>
        <w:pStyle w:val="RSCB02ArticleText"/>
      </w:pPr>
      <w:r>
        <w:t>P</w:t>
      </w:r>
      <w:r w:rsidRPr="0059061E">
        <w:t xml:space="preserve">olypropylene containers </w:t>
      </w:r>
      <w:r w:rsidR="003B211F">
        <w:t>(</w:t>
      </w:r>
      <w:r w:rsidRPr="0059061E">
        <w:t>(500</w:t>
      </w:r>
      <w:r w:rsidR="00ED5FCA">
        <w:t xml:space="preserve"> </w:t>
      </w:r>
      <w:r w:rsidR="00426BF7">
        <w:t>mL</w:t>
      </w:r>
      <w:r w:rsidRPr="0059061E">
        <w:t xml:space="preserve"> PP WN (BOT3386)</w:t>
      </w:r>
      <w:r>
        <w:t xml:space="preserve"> and 125 </w:t>
      </w:r>
      <w:r w:rsidR="00426BF7">
        <w:t>mL</w:t>
      </w:r>
      <w:r>
        <w:t xml:space="preserve"> </w:t>
      </w:r>
      <w:r w:rsidRPr="0059061E">
        <w:t>heavy duty, wide neck (10728795), Azlon® plastics (UK)</w:t>
      </w:r>
      <w:r>
        <w:t>)</w:t>
      </w:r>
      <w:r w:rsidRPr="00DD5A8B">
        <w:t xml:space="preserve"> were used</w:t>
      </w:r>
      <w:r>
        <w:t xml:space="preserve"> for pooling the fasted and non-fasted blood samples, respectively. </w:t>
      </w:r>
      <w:r w:rsidRPr="00DD5A8B">
        <w:t>The bottles were</w:t>
      </w:r>
      <w:r>
        <w:t xml:space="preserve"> first</w:t>
      </w:r>
      <w:r w:rsidRPr="00DD5A8B">
        <w:t xml:space="preserve"> rinse</w:t>
      </w:r>
      <w:r>
        <w:t xml:space="preserve">d five times with ultrapure water followed by an </w:t>
      </w:r>
      <w:r w:rsidRPr="00DD5A8B">
        <w:t>acid soak</w:t>
      </w:r>
      <w:r>
        <w:t xml:space="preserve"> of</w:t>
      </w:r>
      <w:r w:rsidRPr="00DD5A8B">
        <w:t xml:space="preserve"> 2 days </w:t>
      </w:r>
      <w:r>
        <w:t>using</w:t>
      </w:r>
      <w:r w:rsidRPr="00DD5A8B">
        <w:t xml:space="preserve"> 5% HNO</w:t>
      </w:r>
      <w:r w:rsidRPr="00E43946">
        <w:rPr>
          <w:vertAlign w:val="subscript"/>
        </w:rPr>
        <w:t>3</w:t>
      </w:r>
      <w:r>
        <w:t xml:space="preserve"> (</w:t>
      </w:r>
      <w:r w:rsidRPr="00330940">
        <w:t>Nitric acid puriss. p.a. 2.5</w:t>
      </w:r>
      <w:r w:rsidR="00ED5FCA">
        <w:t xml:space="preserve"> </w:t>
      </w:r>
      <w:r w:rsidRPr="00330940">
        <w:t>L (84380-2.5</w:t>
      </w:r>
      <w:r w:rsidR="00ED5FCA">
        <w:t xml:space="preserve"> </w:t>
      </w:r>
      <w:r w:rsidRPr="00330940">
        <w:t>L)</w:t>
      </w:r>
      <w:r>
        <w:t>)</w:t>
      </w:r>
      <w:r w:rsidRPr="00DD5A8B">
        <w:t xml:space="preserve">. This was followed by an additional </w:t>
      </w:r>
      <w:r>
        <w:t>five</w:t>
      </w:r>
      <w:r w:rsidRPr="00DD5A8B">
        <w:t xml:space="preserve"> times rinse with ultrapure water </w:t>
      </w:r>
      <w:r>
        <w:t>before drying the containers in a clean air hood</w:t>
      </w:r>
      <w:r w:rsidRPr="00DD5A8B">
        <w:t>.</w:t>
      </w:r>
      <w:r>
        <w:t xml:space="preserve"> </w:t>
      </w:r>
      <w:r w:rsidRPr="00996139">
        <w:t xml:space="preserve">The </w:t>
      </w:r>
      <w:r>
        <w:t xml:space="preserve">thawed </w:t>
      </w:r>
      <w:r w:rsidRPr="00996139">
        <w:t xml:space="preserve">blood samples were </w:t>
      </w:r>
      <w:r>
        <w:t xml:space="preserve">then </w:t>
      </w:r>
      <w:r w:rsidRPr="00996139">
        <w:t>pooled</w:t>
      </w:r>
      <w:r>
        <w:t xml:space="preserve"> into the two groups noted above (</w:t>
      </w:r>
      <w:r w:rsidR="00E27BF9">
        <w:t>i.e.</w:t>
      </w:r>
      <w:r>
        <w:t xml:space="preserve"> fasted or non-fasted) by pouring from their collection vials directly into the appropriate container within the clean air hood</w:t>
      </w:r>
      <w:r w:rsidRPr="00521BD5">
        <w:t>.</w:t>
      </w:r>
    </w:p>
    <w:p w14:paraId="0F7EFAEC" w14:textId="4562DEC6" w:rsidR="001402A9" w:rsidRDefault="001402A9" w:rsidP="00976E95">
      <w:pPr>
        <w:pStyle w:val="RSCB02ArticleText"/>
      </w:pPr>
      <w:r w:rsidRPr="00521BD5">
        <w:t xml:space="preserve">The </w:t>
      </w:r>
      <w:r>
        <w:t>two</w:t>
      </w:r>
      <w:r w:rsidRPr="00521BD5">
        <w:t xml:space="preserve"> bottles were closed and mixed continuously on a</w:t>
      </w:r>
      <w:r>
        <w:t>n</w:t>
      </w:r>
      <w:r w:rsidRPr="00521BD5">
        <w:t xml:space="preserve"> </w:t>
      </w:r>
      <w:r>
        <w:t>orbital shaker</w:t>
      </w:r>
      <w:r w:rsidRPr="00521BD5">
        <w:t xml:space="preserve"> for </w:t>
      </w:r>
      <w:r>
        <w:t>about</w:t>
      </w:r>
      <w:r w:rsidRPr="00521BD5">
        <w:t xml:space="preserve"> 1</w:t>
      </w:r>
      <w:r w:rsidR="00ED5FCA">
        <w:t xml:space="preserve"> </w:t>
      </w:r>
      <w:r w:rsidRPr="00521BD5">
        <w:t>h at room temperature</w:t>
      </w:r>
      <w:r>
        <w:t>. The f</w:t>
      </w:r>
      <w:r w:rsidRPr="00521BD5">
        <w:t xml:space="preserve">asted blood pool was then aliquoted </w:t>
      </w:r>
      <w:r>
        <w:t>by pipetting</w:t>
      </w:r>
      <w:r w:rsidR="00F77423">
        <w:t xml:space="preserve"> and weighing </w:t>
      </w:r>
      <w:r>
        <w:t xml:space="preserve"> </w:t>
      </w:r>
      <w:r w:rsidR="003836DE" w:rsidRPr="003836DE">
        <w:t>60</w:t>
      </w:r>
      <w:r w:rsidR="00ED5FCA">
        <w:t xml:space="preserve"> </w:t>
      </w:r>
      <w:r w:rsidR="00426BF7">
        <w:t>mL</w:t>
      </w:r>
      <w:r w:rsidR="003836DE">
        <w:t xml:space="preserve"> </w:t>
      </w:r>
      <w:r>
        <w:t>i</w:t>
      </w:r>
      <w:r w:rsidRPr="00521BD5">
        <w:t xml:space="preserve">nto </w:t>
      </w:r>
      <w:r>
        <w:t xml:space="preserve">a </w:t>
      </w:r>
      <w:r w:rsidRPr="00521BD5">
        <w:t xml:space="preserve">further 4 bottles </w:t>
      </w:r>
      <w:r>
        <w:t xml:space="preserve">of </w:t>
      </w:r>
      <w:r w:rsidRPr="00521BD5">
        <w:t xml:space="preserve">125 </w:t>
      </w:r>
      <w:r w:rsidR="00426BF7">
        <w:t>mL</w:t>
      </w:r>
      <w:r w:rsidRPr="00521BD5">
        <w:t xml:space="preserve"> </w:t>
      </w:r>
      <w:r>
        <w:t>(</w:t>
      </w:r>
      <w:r w:rsidRPr="00521BD5">
        <w:t xml:space="preserve">heavy duty, wide neck </w:t>
      </w:r>
      <w:r w:rsidRPr="00521BD5">
        <w:t xml:space="preserve">(10728795), Azlon® plastics (UK)), which had been cleaned as </w:t>
      </w:r>
      <w:r>
        <w:t>abov</w:t>
      </w:r>
      <w:r w:rsidRPr="00521BD5">
        <w:t>e</w:t>
      </w:r>
      <w:r>
        <w:t>,</w:t>
      </w:r>
      <w:r w:rsidRPr="00521BD5">
        <w:t xml:space="preserve"> </w:t>
      </w:r>
      <w:r w:rsidRPr="003836DE">
        <w:t>giving a total of 5 aliquots of fasted whole blood</w:t>
      </w:r>
      <w:r>
        <w:t xml:space="preserve"> (</w:t>
      </w:r>
      <w:r w:rsidR="003836DE">
        <w:t>i.e.</w:t>
      </w:r>
      <w:r>
        <w:t xml:space="preserve"> in the four 125 </w:t>
      </w:r>
      <w:r w:rsidR="00426BF7">
        <w:t>mL</w:t>
      </w:r>
      <w:r>
        <w:t xml:space="preserve"> bottles plus the original). </w:t>
      </w:r>
    </w:p>
    <w:p w14:paraId="5275EB34" w14:textId="4F2870F6" w:rsidR="00976E95" w:rsidRPr="00976E95" w:rsidRDefault="001402A9" w:rsidP="00976E95">
      <w:pPr>
        <w:pStyle w:val="RSCB02ArticleText"/>
      </w:pPr>
      <w:r>
        <w:t xml:space="preserve">Soluble (ionic) titanium spike solutions were prepared from a 1000 </w:t>
      </w:r>
      <w:r w:rsidR="00ED5FCA">
        <w:t>mg/L</w:t>
      </w:r>
      <w:r>
        <w:t xml:space="preserve"> titanium stock (1</w:t>
      </w:r>
      <w:r w:rsidRPr="008035D2">
        <w:t>2237 SIGMA-ALDRICH</w:t>
      </w:r>
      <w:r>
        <w:t xml:space="preserve">, </w:t>
      </w:r>
      <w:r w:rsidRPr="008035D2">
        <w:t>Titanium Standard for ICP</w:t>
      </w:r>
      <w:r>
        <w:t xml:space="preserve">, </w:t>
      </w:r>
      <w:r w:rsidRPr="008035D2">
        <w:t>TraceCERT®, 1000 mg/L Ti in nitric acid</w:t>
      </w:r>
      <w:r>
        <w:t xml:space="preserve">) by diluting the stock in ultrapure water. </w:t>
      </w:r>
      <w:r w:rsidR="003836DE" w:rsidRPr="007F2E66">
        <w:t>Titanium (</w:t>
      </w:r>
      <w:r w:rsidRPr="007F2E66">
        <w:t xml:space="preserve">IV) </w:t>
      </w:r>
      <w:r>
        <w:t>di</w:t>
      </w:r>
      <w:r w:rsidRPr="007F2E66">
        <w:t>oxide</w:t>
      </w:r>
      <w:r w:rsidRPr="00D1695E">
        <w:t xml:space="preserve"> </w:t>
      </w:r>
      <w:r>
        <w:t xml:space="preserve">was used for </w:t>
      </w:r>
      <w:r w:rsidRPr="007F2E66">
        <w:t>particle spiking.</w:t>
      </w:r>
      <w:r>
        <w:t xml:space="preserve"> This was</w:t>
      </w:r>
      <w:r w:rsidRPr="007F2E66">
        <w:t xml:space="preserve"> a </w:t>
      </w:r>
      <w:r w:rsidR="00B433E2">
        <w:t>commercially av</w:t>
      </w:r>
      <w:r w:rsidR="00001BE6">
        <w:t>a</w:t>
      </w:r>
      <w:r w:rsidR="00B433E2">
        <w:t>i</w:t>
      </w:r>
      <w:r w:rsidR="00001BE6">
        <w:t>l</w:t>
      </w:r>
      <w:r w:rsidR="00B433E2">
        <w:t>a</w:t>
      </w:r>
      <w:r w:rsidR="00001BE6">
        <w:t xml:space="preserve">ble </w:t>
      </w:r>
      <w:r w:rsidRPr="007F2E66">
        <w:t xml:space="preserve">dispersion of </w:t>
      </w:r>
      <w:r>
        <w:t xml:space="preserve">rutile and anatase at </w:t>
      </w:r>
      <w:r w:rsidRPr="007F2E66">
        <w:t>33-37 w</w:t>
      </w:r>
      <w:r>
        <w:t>eight</w:t>
      </w:r>
      <w:r w:rsidRPr="007F2E66">
        <w:t xml:space="preserve"> % in </w:t>
      </w:r>
      <w:r>
        <w:t xml:space="preserve">water with </w:t>
      </w:r>
      <w:r w:rsidR="00B433E2">
        <w:t xml:space="preserve">specified </w:t>
      </w:r>
      <w:r>
        <w:t xml:space="preserve">particle </w:t>
      </w:r>
      <w:r w:rsidR="003A149D">
        <w:t xml:space="preserve">size </w:t>
      </w:r>
      <w:r w:rsidR="00412E58">
        <w:t xml:space="preserve">being </w:t>
      </w:r>
      <w:r w:rsidR="00412E58" w:rsidRPr="007F2E66">
        <w:t>&lt;</w:t>
      </w:r>
      <w:r w:rsidR="003A149D">
        <w:t xml:space="preserve"> </w:t>
      </w:r>
      <w:r w:rsidRPr="007F2E66">
        <w:t xml:space="preserve">150 nm </w:t>
      </w:r>
      <w:r w:rsidR="003A149D">
        <w:t xml:space="preserve">diameter </w:t>
      </w:r>
      <w:r>
        <w:t xml:space="preserve">(700347 Sigma </w:t>
      </w:r>
      <w:r w:rsidRPr="007F2E66">
        <w:t>Aldrich</w:t>
      </w:r>
      <w:r>
        <w:t>, USA</w:t>
      </w:r>
      <w:r w:rsidRPr="007F2E66">
        <w:t>)</w:t>
      </w:r>
      <w:r>
        <w:t>.</w:t>
      </w:r>
      <w:r w:rsidRPr="007F2E66">
        <w:t xml:space="preserve"> </w:t>
      </w:r>
      <w:r>
        <w:t>Following 5 min sonication of this stock suspension in an ultrasonic bath, more dilute d</w:t>
      </w:r>
      <w:r w:rsidRPr="007F2E66">
        <w:t xml:space="preserve">ispersions </w:t>
      </w:r>
      <w:r>
        <w:t>were prepared in ultra</w:t>
      </w:r>
      <w:r w:rsidRPr="007F2E66">
        <w:t>pure water</w:t>
      </w:r>
      <w:r>
        <w:t xml:space="preserve">. </w:t>
      </w:r>
      <w:r w:rsidR="0087641E" w:rsidRPr="0087641E">
        <w:t>To characterise the Ti</w:t>
      </w:r>
      <w:r w:rsidR="00387928">
        <w:t>O</w:t>
      </w:r>
      <w:r w:rsidR="0087641E" w:rsidRPr="008A0D14">
        <w:rPr>
          <w:vertAlign w:val="subscript"/>
        </w:rPr>
        <w:t>2</w:t>
      </w:r>
      <w:r w:rsidR="0087641E" w:rsidRPr="0087641E">
        <w:t xml:space="preserve"> dispersion used for spiking experiments, </w:t>
      </w:r>
      <w:r w:rsidR="003A149D">
        <w:t>its</w:t>
      </w:r>
      <w:r w:rsidR="00976E95" w:rsidRPr="00976E95">
        <w:t xml:space="preserve"> </w:t>
      </w:r>
      <w:r w:rsidR="003A149D" w:rsidRPr="00976E95">
        <w:t xml:space="preserve">stability </w:t>
      </w:r>
      <w:r w:rsidR="003A149D">
        <w:t xml:space="preserve">over time was </w:t>
      </w:r>
      <w:r w:rsidR="00976E95" w:rsidRPr="00976E95">
        <w:t xml:space="preserve">first </w:t>
      </w:r>
      <w:r w:rsidR="00387928">
        <w:t>assessed</w:t>
      </w:r>
      <w:r w:rsidR="00976E95" w:rsidRPr="00976E95">
        <w:t xml:space="preserve"> by dynamic light scattering (DLS). The %RSD of the Z-average </w:t>
      </w:r>
      <w:r w:rsidR="00B433E2">
        <w:t>(</w:t>
      </w:r>
      <w:r w:rsidR="00116937" w:rsidRPr="00116937">
        <w:t>85.8</w:t>
      </w:r>
      <w:r w:rsidR="00B433E2" w:rsidRPr="00116937">
        <w:t xml:space="preserve"> nm diameter)</w:t>
      </w:r>
      <w:r w:rsidR="00B433E2">
        <w:t xml:space="preserve"> </w:t>
      </w:r>
      <w:r w:rsidR="00976E95" w:rsidRPr="00976E95">
        <w:t xml:space="preserve">was established to be 3.7% for </w:t>
      </w:r>
      <w:r w:rsidR="007F1971">
        <w:t xml:space="preserve">six </w:t>
      </w:r>
      <w:r w:rsidR="007F1971">
        <w:lastRenderedPageBreak/>
        <w:t>m</w:t>
      </w:r>
      <w:r w:rsidR="00976E95" w:rsidRPr="00976E95">
        <w:t>easurement</w:t>
      </w:r>
      <w:r w:rsidR="00B433E2">
        <w:t xml:space="preserve">s of the same </w:t>
      </w:r>
      <w:r w:rsidR="00976E95" w:rsidRPr="00976E95">
        <w:t>dispersion over a 10 day period</w:t>
      </w:r>
      <w:r w:rsidR="009F384F">
        <w:t xml:space="preserve">. </w:t>
      </w:r>
      <w:r w:rsidR="00976E95" w:rsidRPr="00976E95">
        <w:t>Th</w:t>
      </w:r>
      <w:r w:rsidR="00B433E2">
        <w:t xml:space="preserve">e concentration </w:t>
      </w:r>
      <w:r w:rsidR="00976E95" w:rsidRPr="00976E95">
        <w:t xml:space="preserve">of </w:t>
      </w:r>
      <w:r w:rsidR="00B433E2">
        <w:t>Ti</w:t>
      </w:r>
      <w:r w:rsidR="00976E95" w:rsidRPr="00976E95">
        <w:t xml:space="preserve"> in the disp</w:t>
      </w:r>
      <w:r w:rsidR="0048150E">
        <w:t>ersion</w:t>
      </w:r>
      <w:r w:rsidR="00B433E2">
        <w:t xml:space="preserve"> was assessed</w:t>
      </w:r>
      <w:r w:rsidR="0048150E">
        <w:t xml:space="preserve"> by </w:t>
      </w:r>
      <w:r w:rsidR="00B433E2">
        <w:t xml:space="preserve">both </w:t>
      </w:r>
      <w:r w:rsidR="0048150E">
        <w:t xml:space="preserve">ICP-OES and ICP-MS/MS, </w:t>
      </w:r>
      <w:r w:rsidR="00B433E2">
        <w:t xml:space="preserve">yielding </w:t>
      </w:r>
      <w:r w:rsidR="0048150E">
        <w:t>219.2</w:t>
      </w:r>
      <w:r w:rsidR="00A4656D">
        <w:t xml:space="preserve"> mg/L</w:t>
      </w:r>
      <w:r w:rsidR="0048150E">
        <w:t xml:space="preserve"> </w:t>
      </w:r>
      <w:r w:rsidR="00B433E2">
        <w:t xml:space="preserve">and </w:t>
      </w:r>
      <w:r w:rsidR="007F1971" w:rsidRPr="007F1971">
        <w:t>219.5</w:t>
      </w:r>
      <w:r w:rsidR="00B433E2" w:rsidRPr="007F1971">
        <w:t xml:space="preserve"> </w:t>
      </w:r>
      <w:r w:rsidR="00A4656D">
        <w:t>mg/L</w:t>
      </w:r>
      <w:r w:rsidR="00B433E2" w:rsidRPr="007F1971">
        <w:t xml:space="preserve"> respectively </w:t>
      </w:r>
      <w:r w:rsidR="0076489C" w:rsidRPr="007F1971">
        <w:t>(</w:t>
      </w:r>
      <w:r w:rsidR="00FC3275" w:rsidRPr="007F1971">
        <w:t xml:space="preserve">= </w:t>
      </w:r>
      <w:r w:rsidR="0076489C" w:rsidRPr="007F1971">
        <w:t>365.7</w:t>
      </w:r>
      <w:r w:rsidR="00A4656D">
        <w:t xml:space="preserve"> mg/L</w:t>
      </w:r>
      <w:r w:rsidR="0076489C" w:rsidRPr="007F1971">
        <w:t xml:space="preserve"> </w:t>
      </w:r>
      <w:r w:rsidR="00FC3275" w:rsidRPr="007F1971">
        <w:t xml:space="preserve">and </w:t>
      </w:r>
      <w:r w:rsidR="007F1971" w:rsidRPr="007F1971">
        <w:t>366.3</w:t>
      </w:r>
      <w:r w:rsidR="00FC3275" w:rsidRPr="007F1971">
        <w:t xml:space="preserve"> </w:t>
      </w:r>
      <w:r w:rsidR="00A4656D">
        <w:t>mg/L</w:t>
      </w:r>
      <w:r w:rsidR="00FC3275" w:rsidRPr="007F1971">
        <w:t xml:space="preserve"> </w:t>
      </w:r>
      <w:r w:rsidR="0076489C" w:rsidRPr="007F1971">
        <w:t xml:space="preserve">as </w:t>
      </w:r>
      <w:r w:rsidR="00942C08" w:rsidRPr="007F1971">
        <w:t>TiO</w:t>
      </w:r>
      <w:r w:rsidR="00942C08" w:rsidRPr="00E43946">
        <w:rPr>
          <w:vertAlign w:val="subscript"/>
        </w:rPr>
        <w:t>2</w:t>
      </w:r>
      <w:r w:rsidR="0076489C">
        <w:t>)</w:t>
      </w:r>
      <w:r w:rsidR="00FC3275">
        <w:t xml:space="preserve">. </w:t>
      </w:r>
      <w:r w:rsidR="00FD7865">
        <w:t xml:space="preserve"> </w:t>
      </w:r>
      <w:r w:rsidR="00FC3275">
        <w:t xml:space="preserve">This confirmed the original stock dispersion to be </w:t>
      </w:r>
      <w:r w:rsidR="00FD7865">
        <w:t>35</w:t>
      </w:r>
      <w:r w:rsidR="00174F6B">
        <w:t>.45</w:t>
      </w:r>
      <w:r w:rsidR="00526D7E">
        <w:t xml:space="preserve"> %</w:t>
      </w:r>
      <w:r w:rsidR="00174F6B">
        <w:t xml:space="preserve"> ±</w:t>
      </w:r>
      <w:r w:rsidR="00526D7E">
        <w:t xml:space="preserve"> SD</w:t>
      </w:r>
      <w:r w:rsidR="003A149D">
        <w:t xml:space="preserve"> of</w:t>
      </w:r>
      <w:r w:rsidR="00A4656D">
        <w:t xml:space="preserve"> </w:t>
      </w:r>
      <w:r w:rsidR="00174F6B">
        <w:t>0.45</w:t>
      </w:r>
      <w:r w:rsidR="00BF1B8E">
        <w:t xml:space="preserve"> </w:t>
      </w:r>
      <w:r w:rsidR="00174F6B">
        <w:t>%</w:t>
      </w:r>
      <w:r w:rsidR="00FD7865">
        <w:t>.</w:t>
      </w:r>
    </w:p>
    <w:p w14:paraId="29617901" w14:textId="66BA3380" w:rsidR="00526D7E" w:rsidRDefault="00526D7E" w:rsidP="001402A9">
      <w:pPr>
        <w:pStyle w:val="RSCB02ArticleText"/>
      </w:pPr>
    </w:p>
    <w:p w14:paraId="0D3001F9" w14:textId="2BCAFAC0" w:rsidR="001402A9" w:rsidRDefault="001402A9" w:rsidP="001402A9">
      <w:pPr>
        <w:pStyle w:val="RSCB02ArticleText"/>
      </w:pPr>
      <w:r>
        <w:t xml:space="preserve">Four different spiked blood samples, using the fasted blood pool, were then prepared: two with soluble (ionic) Ti and two with particulate </w:t>
      </w:r>
      <w:r w:rsidR="00942C08" w:rsidRPr="00942C08">
        <w:t>TiO</w:t>
      </w:r>
      <w:r w:rsidR="00942C08" w:rsidRPr="005140F7">
        <w:rPr>
          <w:vertAlign w:val="subscript"/>
        </w:rPr>
        <w:t>2</w:t>
      </w:r>
      <w:r>
        <w:t xml:space="preserve">. These are referred to as </w:t>
      </w:r>
      <w:r w:rsidRPr="00521BD5">
        <w:t>ionic Ti at low level (IL), ionic Ti at high level (IH), partic</w:t>
      </w:r>
      <w:r>
        <w:t>u</w:t>
      </w:r>
      <w:r w:rsidRPr="00521BD5">
        <w:t>l</w:t>
      </w:r>
      <w:r>
        <w:t>at</w:t>
      </w:r>
      <w:r w:rsidRPr="00521BD5">
        <w:t xml:space="preserve">e </w:t>
      </w:r>
      <w:r w:rsidR="00942C08" w:rsidRPr="00942C08">
        <w:t>TiO</w:t>
      </w:r>
      <w:r w:rsidR="00942C08" w:rsidRPr="005140F7">
        <w:rPr>
          <w:vertAlign w:val="subscript"/>
        </w:rPr>
        <w:t>2</w:t>
      </w:r>
      <w:r w:rsidRPr="00521BD5">
        <w:t xml:space="preserve"> at low level (</w:t>
      </w:r>
      <w:r>
        <w:t>P</w:t>
      </w:r>
      <w:r w:rsidRPr="00521BD5">
        <w:t xml:space="preserve">L) </w:t>
      </w:r>
      <w:r>
        <w:t xml:space="preserve">and </w:t>
      </w:r>
      <w:r w:rsidRPr="00521BD5">
        <w:t>partic</w:t>
      </w:r>
      <w:r>
        <w:t>u</w:t>
      </w:r>
      <w:r w:rsidRPr="00521BD5">
        <w:t>l</w:t>
      </w:r>
      <w:r>
        <w:t>at</w:t>
      </w:r>
      <w:r w:rsidRPr="00521BD5">
        <w:t xml:space="preserve">e </w:t>
      </w:r>
      <w:r w:rsidR="00942C08" w:rsidRPr="00942C08">
        <w:t>TiO</w:t>
      </w:r>
      <w:r w:rsidR="00942C08" w:rsidRPr="005140F7">
        <w:rPr>
          <w:vertAlign w:val="subscript"/>
        </w:rPr>
        <w:t>2</w:t>
      </w:r>
      <w:r w:rsidRPr="00521BD5">
        <w:t xml:space="preserve"> at high level (</w:t>
      </w:r>
      <w:r>
        <w:t>P</w:t>
      </w:r>
      <w:r w:rsidRPr="00521BD5">
        <w:t>H)</w:t>
      </w:r>
      <w:r>
        <w:t xml:space="preserve">. </w:t>
      </w:r>
      <w:r w:rsidRPr="001F676F">
        <w:t xml:space="preserve"> </w:t>
      </w:r>
      <w:r>
        <w:t xml:space="preserve">To achieve this the four </w:t>
      </w:r>
      <w:r w:rsidR="003836DE" w:rsidRPr="003836DE">
        <w:t>60</w:t>
      </w:r>
      <w:r w:rsidR="00A4656D">
        <w:t xml:space="preserve"> </w:t>
      </w:r>
      <w:r w:rsidR="00426BF7">
        <w:t>mL</w:t>
      </w:r>
      <w:r w:rsidR="003836DE">
        <w:t xml:space="preserve"> </w:t>
      </w:r>
      <w:r>
        <w:t>aliquots of blood were</w:t>
      </w:r>
      <w:r w:rsidRPr="00521BD5">
        <w:t xml:space="preserve"> </w:t>
      </w:r>
      <w:r>
        <w:t xml:space="preserve">each </w:t>
      </w:r>
      <w:r w:rsidRPr="00521BD5">
        <w:t>spiked with 100</w:t>
      </w:r>
      <w:r w:rsidR="00A4656D">
        <w:t xml:space="preserve"> </w:t>
      </w:r>
      <w:r w:rsidRPr="00521BD5">
        <w:t>µl of</w:t>
      </w:r>
      <w:r>
        <w:t xml:space="preserve"> a different diluted spike solution/suspension of Ti/</w:t>
      </w:r>
      <w:r w:rsidR="00942C08" w:rsidRPr="00942C08">
        <w:t>TiO</w:t>
      </w:r>
      <w:r w:rsidR="00942C08" w:rsidRPr="005140F7">
        <w:rPr>
          <w:vertAlign w:val="subscript"/>
        </w:rPr>
        <w:t>2</w:t>
      </w:r>
      <w:r>
        <w:t>, followed by mixing</w:t>
      </w:r>
      <w:r w:rsidRPr="00521BD5">
        <w:t xml:space="preserve"> as </w:t>
      </w:r>
      <w:r>
        <w:t xml:space="preserve">described </w:t>
      </w:r>
      <w:r w:rsidRPr="00521BD5">
        <w:t>above</w:t>
      </w:r>
      <w:r>
        <w:t xml:space="preserve">, giving final spiked Ti levels as shown in Table </w:t>
      </w:r>
      <w:r w:rsidR="00577995">
        <w:t>2</w:t>
      </w:r>
      <w:r>
        <w:t xml:space="preserve">. </w:t>
      </w:r>
    </w:p>
    <w:p w14:paraId="3875EE22" w14:textId="4A7C9470" w:rsidR="00710FD3" w:rsidRDefault="00710FD3" w:rsidP="00E84E19">
      <w:pPr>
        <w:pStyle w:val="RSCT01TableTitlewithtopbar"/>
      </w:pPr>
      <w:r w:rsidRPr="00E84E19">
        <w:rPr>
          <w:b/>
        </w:rPr>
        <w:t xml:space="preserve">Table </w:t>
      </w:r>
      <w:r w:rsidR="00577995" w:rsidRPr="00E84E19">
        <w:rPr>
          <w:b/>
        </w:rPr>
        <w:t>2</w:t>
      </w:r>
      <w:r w:rsidRPr="009161D7">
        <w:tab/>
        <w:t xml:space="preserve">Final spike levels of </w:t>
      </w:r>
      <w:r w:rsidR="002B0BB6">
        <w:t xml:space="preserve">ionic </w:t>
      </w:r>
      <w:r w:rsidRPr="009161D7">
        <w:t xml:space="preserve">Ti or </w:t>
      </w:r>
      <w:r w:rsidR="00942C08" w:rsidRPr="00942C08">
        <w:t>TiO</w:t>
      </w:r>
      <w:r w:rsidR="00942C08" w:rsidRPr="005140F7">
        <w:rPr>
          <w:vertAlign w:val="subscript"/>
        </w:rPr>
        <w:t>2</w:t>
      </w:r>
      <w:r w:rsidR="005140F7">
        <w:t xml:space="preserve"> in</w:t>
      </w:r>
      <w:r w:rsidRPr="009161D7">
        <w:t xml:space="preserve"> fasted whole blood, </w:t>
      </w:r>
      <w:r w:rsidR="00511C8D">
        <w:t>µg/L</w:t>
      </w:r>
    </w:p>
    <w:tbl>
      <w:tblPr>
        <w:tblStyle w:val="TableGrid"/>
        <w:tblpPr w:leftFromText="180" w:rightFromText="180" w:vertAnchor="text" w:tblpY="1"/>
        <w:tblOverlap w:val="never"/>
        <w:tblW w:w="4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Final spike levels of Ti or TiO2 to fasted whole blood, ppb"/>
      </w:tblPr>
      <w:tblGrid>
        <w:gridCol w:w="2489"/>
        <w:gridCol w:w="2495"/>
      </w:tblGrid>
      <w:tr w:rsidR="00153529" w14:paraId="08B7E1BA" w14:textId="77777777" w:rsidTr="00E84E19">
        <w:tc>
          <w:tcPr>
            <w:tcW w:w="2489" w:type="dxa"/>
            <w:tcBorders>
              <w:bottom w:val="single" w:sz="4" w:space="0" w:color="auto"/>
            </w:tcBorders>
          </w:tcPr>
          <w:p w14:paraId="7134B7C1" w14:textId="77777777" w:rsidR="00153529" w:rsidRPr="00E84E19" w:rsidRDefault="00153529" w:rsidP="00E84E19">
            <w:pPr>
              <w:pStyle w:val="RSCT03TableBody"/>
              <w:jc w:val="left"/>
            </w:pPr>
          </w:p>
        </w:tc>
        <w:tc>
          <w:tcPr>
            <w:tcW w:w="2495" w:type="dxa"/>
            <w:tcBorders>
              <w:bottom w:val="single" w:sz="4" w:space="0" w:color="auto"/>
            </w:tcBorders>
          </w:tcPr>
          <w:p w14:paraId="0E7A666B" w14:textId="2774B335" w:rsidR="00153529" w:rsidRPr="00E84E19" w:rsidRDefault="00153529" w:rsidP="00E84E19">
            <w:pPr>
              <w:pStyle w:val="RSCT03TableBody"/>
              <w:jc w:val="left"/>
            </w:pPr>
            <w:r w:rsidRPr="00E84E19">
              <w:t xml:space="preserve">Final added [Ti] </w:t>
            </w:r>
            <w:r w:rsidR="00511C8D" w:rsidRPr="00E84E19">
              <w:t>µg/L</w:t>
            </w:r>
          </w:p>
        </w:tc>
      </w:tr>
      <w:tr w:rsidR="00153529" w14:paraId="1036769B" w14:textId="77777777" w:rsidTr="00007770">
        <w:tc>
          <w:tcPr>
            <w:tcW w:w="2489" w:type="dxa"/>
            <w:tcBorders>
              <w:top w:val="single" w:sz="4" w:space="0" w:color="auto"/>
            </w:tcBorders>
          </w:tcPr>
          <w:p w14:paraId="115B61A8" w14:textId="7074AC39" w:rsidR="00153529" w:rsidRDefault="00153529" w:rsidP="00007770">
            <w:pPr>
              <w:pStyle w:val="RSCT03TableBody"/>
              <w:jc w:val="left"/>
            </w:pPr>
            <w:r w:rsidRPr="00B86220">
              <w:t>Ionic low</w:t>
            </w:r>
            <w:r w:rsidR="009E6265">
              <w:t xml:space="preserve"> (IL)</w:t>
            </w:r>
          </w:p>
        </w:tc>
        <w:tc>
          <w:tcPr>
            <w:tcW w:w="2495" w:type="dxa"/>
            <w:tcBorders>
              <w:top w:val="single" w:sz="4" w:space="0" w:color="auto"/>
            </w:tcBorders>
          </w:tcPr>
          <w:p w14:paraId="79BE2FA3" w14:textId="796FBB7B" w:rsidR="00153529" w:rsidRDefault="00153529" w:rsidP="00007770">
            <w:pPr>
              <w:pStyle w:val="RSCT03TableBody"/>
              <w:jc w:val="left"/>
            </w:pPr>
            <w:r>
              <w:t>2.51</w:t>
            </w:r>
          </w:p>
        </w:tc>
      </w:tr>
      <w:tr w:rsidR="00153529" w14:paraId="67B54B20" w14:textId="77777777" w:rsidTr="00007770">
        <w:tc>
          <w:tcPr>
            <w:tcW w:w="2489" w:type="dxa"/>
          </w:tcPr>
          <w:p w14:paraId="1470CB7D" w14:textId="58CA6E40" w:rsidR="00153529" w:rsidRDefault="00153529" w:rsidP="00007770">
            <w:pPr>
              <w:pStyle w:val="RSCT03TableBody"/>
              <w:jc w:val="left"/>
            </w:pPr>
            <w:r w:rsidRPr="00B86220">
              <w:t>Ionic high</w:t>
            </w:r>
            <w:r w:rsidR="009E6265">
              <w:t xml:space="preserve"> (IH)</w:t>
            </w:r>
          </w:p>
        </w:tc>
        <w:tc>
          <w:tcPr>
            <w:tcW w:w="2495" w:type="dxa"/>
          </w:tcPr>
          <w:p w14:paraId="463B3035" w14:textId="4E786707" w:rsidR="00153529" w:rsidRDefault="00153529" w:rsidP="00007770">
            <w:pPr>
              <w:pStyle w:val="RSCT03TableBody"/>
              <w:jc w:val="left"/>
            </w:pPr>
            <w:r>
              <w:t>10.97</w:t>
            </w:r>
          </w:p>
        </w:tc>
      </w:tr>
      <w:tr w:rsidR="00153529" w14:paraId="09752E77" w14:textId="77777777" w:rsidTr="00007770">
        <w:tc>
          <w:tcPr>
            <w:tcW w:w="2489" w:type="dxa"/>
          </w:tcPr>
          <w:p w14:paraId="310FFDB7" w14:textId="6F09C75A" w:rsidR="00153529" w:rsidRDefault="00153529" w:rsidP="00007770">
            <w:pPr>
              <w:pStyle w:val="RSCT03TableBody"/>
              <w:jc w:val="left"/>
            </w:pPr>
            <w:r w:rsidRPr="00B86220">
              <w:t>Particulate low</w:t>
            </w:r>
            <w:r w:rsidR="009E6265">
              <w:t xml:space="preserve"> (PL)</w:t>
            </w:r>
          </w:p>
        </w:tc>
        <w:tc>
          <w:tcPr>
            <w:tcW w:w="2495" w:type="dxa"/>
          </w:tcPr>
          <w:p w14:paraId="4D852F52" w14:textId="7C154F6E" w:rsidR="00153529" w:rsidRDefault="00153529" w:rsidP="00007770">
            <w:pPr>
              <w:pStyle w:val="RSCT03TableBody"/>
              <w:jc w:val="left"/>
            </w:pPr>
            <w:r>
              <w:t>2.64</w:t>
            </w:r>
          </w:p>
        </w:tc>
      </w:tr>
      <w:tr w:rsidR="00153529" w14:paraId="4359EEA5" w14:textId="77777777" w:rsidTr="00007770">
        <w:tc>
          <w:tcPr>
            <w:tcW w:w="2489" w:type="dxa"/>
          </w:tcPr>
          <w:p w14:paraId="6F843E41" w14:textId="6531A821" w:rsidR="00153529" w:rsidRDefault="00153529" w:rsidP="00007770">
            <w:pPr>
              <w:pStyle w:val="RSCT03TableBody"/>
              <w:jc w:val="left"/>
            </w:pPr>
            <w:r w:rsidRPr="00B86220">
              <w:t>Particulate high</w:t>
            </w:r>
            <w:r w:rsidR="009E6265">
              <w:t xml:space="preserve"> (PH)</w:t>
            </w:r>
          </w:p>
        </w:tc>
        <w:tc>
          <w:tcPr>
            <w:tcW w:w="2495" w:type="dxa"/>
          </w:tcPr>
          <w:p w14:paraId="3F553834" w14:textId="589531A2" w:rsidR="00153529" w:rsidRDefault="00153529" w:rsidP="00007770">
            <w:pPr>
              <w:pStyle w:val="RSCT03TableBody"/>
              <w:jc w:val="left"/>
            </w:pPr>
            <w:r>
              <w:t>21.40</w:t>
            </w:r>
          </w:p>
        </w:tc>
      </w:tr>
    </w:tbl>
    <w:p w14:paraId="32F1ABEE" w14:textId="5853E3BF" w:rsidR="008966A2" w:rsidRDefault="008966A2" w:rsidP="00007770">
      <w:pPr>
        <w:pStyle w:val="RSCB02ArticleText"/>
      </w:pPr>
    </w:p>
    <w:p w14:paraId="7C5D8C12" w14:textId="065CB060" w:rsidR="008966A2" w:rsidRDefault="008966A2" w:rsidP="00007770">
      <w:pPr>
        <w:pStyle w:val="RSCB02ArticleText"/>
      </w:pPr>
    </w:p>
    <w:p w14:paraId="6C27B12B" w14:textId="08CE91EF" w:rsidR="00007770" w:rsidRPr="00007770" w:rsidRDefault="00007770" w:rsidP="00007770">
      <w:pPr>
        <w:pStyle w:val="RSCB02ArticleText"/>
      </w:pPr>
      <w:r w:rsidRPr="00007770">
        <w:t>The four spiked and the un</w:t>
      </w:r>
      <w:r w:rsidR="00E561BA">
        <w:t>-</w:t>
      </w:r>
      <w:r w:rsidRPr="00007770">
        <w:t xml:space="preserve">spiked aliquots of fasted whole blood, as well as the pool of non-fasted whole blood, were then further </w:t>
      </w:r>
      <w:r w:rsidRPr="008966A2">
        <w:t xml:space="preserve">aliquoted (1 </w:t>
      </w:r>
      <w:r w:rsidR="00426BF7">
        <w:t>mL</w:t>
      </w:r>
      <w:r w:rsidRPr="008966A2">
        <w:t>/tube)</w:t>
      </w:r>
      <w:r w:rsidRPr="00007770">
        <w:t xml:space="preserve"> into 5</w:t>
      </w:r>
      <w:r w:rsidR="00A4656D">
        <w:t xml:space="preserve"> </w:t>
      </w:r>
      <w:r w:rsidR="00426BF7">
        <w:t>mL</w:t>
      </w:r>
      <w:r w:rsidRPr="00007770">
        <w:t xml:space="preserve"> sterile sample tubes (Tube, Flat Skirted Base, 57mm x 15.3mm, 5</w:t>
      </w:r>
      <w:r w:rsidR="00A4656D">
        <w:t xml:space="preserve"> </w:t>
      </w:r>
      <w:r w:rsidR="00426BF7">
        <w:t>mL</w:t>
      </w:r>
      <w:r w:rsidRPr="00007770">
        <w:t xml:space="preserve">, Polypropylene, Screw Cap, Sterile (60.558.001) </w:t>
      </w:r>
      <w:r w:rsidRPr="00BF1B8E">
        <w:t>Sarsted</w:t>
      </w:r>
      <w:r w:rsidR="00ED5FCA" w:rsidRPr="00BF1B8E">
        <w:t>t</w:t>
      </w:r>
      <w:r w:rsidR="00533F72">
        <w:t>, used as supplied</w:t>
      </w:r>
      <w:r w:rsidRPr="00BF1B8E">
        <w:t>)</w:t>
      </w:r>
      <w:r w:rsidR="008D150B">
        <w:t xml:space="preserve">, </w:t>
      </w:r>
      <w:r w:rsidRPr="00007770">
        <w:t>labelled with a unique ID, bar coded and stored frozen at -20</w:t>
      </w:r>
      <w:r w:rsidRPr="00966BCE">
        <w:rPr>
          <w:vertAlign w:val="superscript"/>
        </w:rPr>
        <w:t>o</w:t>
      </w:r>
      <w:r w:rsidRPr="00007770">
        <w:t>C until shipping. Samples were thus analysed blind, including the in-house one</w:t>
      </w:r>
      <w:r w:rsidR="00966BCE">
        <w:t>s</w:t>
      </w:r>
      <w:r w:rsidRPr="00007770">
        <w:t xml:space="preserve"> </w:t>
      </w:r>
      <w:r w:rsidR="005E7283">
        <w:t>(Cambridge)</w:t>
      </w:r>
      <w:r w:rsidRPr="00007770">
        <w:t xml:space="preserve">, and the codes only broken post analysis. </w:t>
      </w:r>
    </w:p>
    <w:p w14:paraId="49C4AB31" w14:textId="373F7B48" w:rsidR="00007770" w:rsidRPr="00007770" w:rsidRDefault="00007770" w:rsidP="00007770">
      <w:pPr>
        <w:pStyle w:val="RSCB02ArticleText"/>
      </w:pPr>
      <w:r w:rsidRPr="00007770">
        <w:t>For analysis, each participating laboratory was supplied with three aliquots of each of the six samples (</w:t>
      </w:r>
      <w:r w:rsidR="0001468D" w:rsidRPr="00007770">
        <w:t>i.e.</w:t>
      </w:r>
      <w:r w:rsidRPr="00007770">
        <w:t xml:space="preserve"> unspiked fasted and </w:t>
      </w:r>
      <w:r w:rsidR="0001468D" w:rsidRPr="00007770">
        <w:t>non-fasted</w:t>
      </w:r>
      <w:r w:rsidRPr="00007770">
        <w:t xml:space="preserve"> bloods, high and low </w:t>
      </w:r>
      <w:r w:rsidR="00942C08" w:rsidRPr="00942C08">
        <w:t>TiO</w:t>
      </w:r>
      <w:r w:rsidR="00942C08" w:rsidRPr="00966BCE">
        <w:rPr>
          <w:vertAlign w:val="subscript"/>
        </w:rPr>
        <w:t>2</w:t>
      </w:r>
      <w:r w:rsidRPr="00007770">
        <w:t xml:space="preserve">-spiked fasted bloods and high and low ionic-Ti-spiked fasted bloods). An aliquot of the original Sigma Aldrich </w:t>
      </w:r>
      <w:r w:rsidR="00942C08" w:rsidRPr="00942C08">
        <w:t>TiO</w:t>
      </w:r>
      <w:r w:rsidR="00942C08" w:rsidRPr="00966BCE">
        <w:rPr>
          <w:vertAlign w:val="subscript"/>
        </w:rPr>
        <w:t>2</w:t>
      </w:r>
      <w:r w:rsidRPr="00007770">
        <w:t xml:space="preserve"> dispersion was also provided to each lab</w:t>
      </w:r>
      <w:r w:rsidR="008966A2">
        <w:t xml:space="preserve"> to enable them to perform </w:t>
      </w:r>
      <w:r w:rsidR="00F35C8F">
        <w:t xml:space="preserve">further in-house </w:t>
      </w:r>
      <w:r w:rsidR="008966A2">
        <w:t>spike experiments with the same material, should they wish to do so</w:t>
      </w:r>
      <w:r w:rsidRPr="00007770">
        <w:t>.  Samples were shipped on dry-ice via a courier.</w:t>
      </w:r>
    </w:p>
    <w:p w14:paraId="0BFAD06D" w14:textId="77777777" w:rsidR="00C45AA4" w:rsidRDefault="00F07A69" w:rsidP="008D0CC2">
      <w:pPr>
        <w:pStyle w:val="RSCB05AHeadingSection-standalone"/>
      </w:pPr>
      <w:r w:rsidRPr="00C45AA4">
        <w:t>Instrumentation</w:t>
      </w:r>
    </w:p>
    <w:p w14:paraId="248FA810" w14:textId="68181C36" w:rsidR="00007770" w:rsidRDefault="00007770" w:rsidP="00C45AA4">
      <w:pPr>
        <w:pStyle w:val="RSCB02ArticleText"/>
      </w:pPr>
      <w:r w:rsidRPr="00C45AA4">
        <w:t>The seven participating laboratories</w:t>
      </w:r>
      <w:r w:rsidRPr="00007770">
        <w:t xml:space="preserve"> have been coded as L1 to L7 and </w:t>
      </w:r>
      <w:r w:rsidR="009E6265">
        <w:t xml:space="preserve">each applied its own habitual in-house methodology for Ti analysis (ie no parameters or requirements were established </w:t>
      </w:r>
      <w:r w:rsidR="009E6265" w:rsidRPr="008A0D14">
        <w:rPr>
          <w:i/>
        </w:rPr>
        <w:t>a priori</w:t>
      </w:r>
      <w:r w:rsidR="009E6265">
        <w:t xml:space="preserve"> for sample preparation or analytical methodology other than knowing what type of instrument would be used). I</w:t>
      </w:r>
      <w:r w:rsidRPr="00007770">
        <w:t>nstrument set ups were as follows:</w:t>
      </w:r>
    </w:p>
    <w:p w14:paraId="0DC2EC40" w14:textId="77777777" w:rsidR="007E5B15" w:rsidRPr="00007770" w:rsidRDefault="007E5B15" w:rsidP="00007770">
      <w:pPr>
        <w:pStyle w:val="RSCB02ArticleText"/>
      </w:pPr>
    </w:p>
    <w:p w14:paraId="362F227D" w14:textId="25C57300" w:rsidR="00007770" w:rsidRDefault="00007770" w:rsidP="00007770">
      <w:pPr>
        <w:pStyle w:val="RSCB02ArticleText"/>
      </w:pPr>
      <w:r w:rsidRPr="00007770">
        <w:t xml:space="preserve">L1 used an 8800 ICP-MS/MS (Agilent technologies) fitted with an Agilent Integrated Sample Introduction System for discrete sampling using a Micromist nebuliser and quartz double-pass spray chamber </w:t>
      </w:r>
      <w:r w:rsidR="00090433">
        <w:t>for</w:t>
      </w:r>
      <w:r w:rsidRPr="00007770">
        <w:t xml:space="preserve"> sample introduction. For data acquisition</w:t>
      </w:r>
      <w:r w:rsidR="005E7283">
        <w:t>,</w:t>
      </w:r>
      <w:r w:rsidRPr="00007770">
        <w:t xml:space="preserve"> </w:t>
      </w:r>
      <w:r w:rsidRPr="00007770">
        <w:t>integration time</w:t>
      </w:r>
      <w:r w:rsidR="005E7283">
        <w:t>s</w:t>
      </w:r>
      <w:r w:rsidRPr="00007770">
        <w:t xml:space="preserve"> </w:t>
      </w:r>
      <w:r w:rsidR="00966BCE">
        <w:t>were</w:t>
      </w:r>
      <w:r w:rsidRPr="00007770">
        <w:t xml:space="preserve"> 0.1 s for </w:t>
      </w:r>
      <w:r w:rsidRPr="009A02C5">
        <w:rPr>
          <w:vertAlign w:val="superscript"/>
        </w:rPr>
        <w:t>48</w:t>
      </w:r>
      <w:r w:rsidRPr="00007770">
        <w:t xml:space="preserve">Ti </w:t>
      </w:r>
      <w:r w:rsidRPr="00007770">
        <w:sym w:font="Wingdings 3" w:char="F067"/>
      </w:r>
      <w:r w:rsidRPr="009A02C5">
        <w:rPr>
          <w:vertAlign w:val="superscript"/>
        </w:rPr>
        <w:t>150</w:t>
      </w:r>
      <w:r w:rsidRPr="00007770">
        <w:t>(Ti(NH</w:t>
      </w:r>
      <w:r w:rsidRPr="009A02C5">
        <w:rPr>
          <w:vertAlign w:val="subscript"/>
        </w:rPr>
        <w:t>3</w:t>
      </w:r>
      <w:r w:rsidRPr="00007770">
        <w:t>)</w:t>
      </w:r>
      <w:r w:rsidRPr="009A02C5">
        <w:rPr>
          <w:vertAlign w:val="subscript"/>
        </w:rPr>
        <w:t>6</w:t>
      </w:r>
      <w:r w:rsidRPr="00007770">
        <w:t xml:space="preserve">) and 0.1 s for </w:t>
      </w:r>
      <w:r w:rsidR="00966BCE">
        <w:t>g</w:t>
      </w:r>
      <w:r w:rsidRPr="00007770">
        <w:t>ermanium (</w:t>
      </w:r>
      <w:r w:rsidR="00F35C8F">
        <w:t>internal standard</w:t>
      </w:r>
      <w:r w:rsidR="00966BCE">
        <w:t>; IS</w:t>
      </w:r>
      <w:r w:rsidRPr="00007770">
        <w:t xml:space="preserve">), with 100 sweeps/replicate </w:t>
      </w:r>
      <w:r w:rsidR="00CA4776">
        <w:t>and</w:t>
      </w:r>
      <w:r w:rsidRPr="00007770">
        <w:t xml:space="preserve"> 3 replica</w:t>
      </w:r>
      <w:r w:rsidR="00CA4776">
        <w:t>tes/sample</w:t>
      </w:r>
      <w:r w:rsidRPr="00007770">
        <w:t xml:space="preserve">. </w:t>
      </w:r>
      <w:r w:rsidR="00382A1F">
        <w:t xml:space="preserve">The </w:t>
      </w:r>
      <w:r w:rsidR="00382A1F" w:rsidRPr="00382A1F">
        <w:t xml:space="preserve">LOQ </w:t>
      </w:r>
      <w:r w:rsidR="008D150B">
        <w:t>was</w:t>
      </w:r>
      <w:r w:rsidR="00382A1F">
        <w:t xml:space="preserve"> defined by</w:t>
      </w:r>
      <w:r w:rsidR="00382A1F" w:rsidRPr="00382A1F">
        <w:t xml:space="preserve"> taking a high concentration of titanium in matrix</w:t>
      </w:r>
      <w:r w:rsidR="00382A1F">
        <w:t xml:space="preserve"> and</w:t>
      </w:r>
      <w:r w:rsidR="00382A1F" w:rsidRPr="00382A1F">
        <w:t xml:space="preserve"> then diluting it down with water using serial dilutions. </w:t>
      </w:r>
      <w:r w:rsidR="00382A1F">
        <w:t xml:space="preserve">Each </w:t>
      </w:r>
      <w:r w:rsidR="00382A1F" w:rsidRPr="00382A1F">
        <w:t>concentration</w:t>
      </w:r>
      <w:r w:rsidR="00382A1F">
        <w:t xml:space="preserve"> </w:t>
      </w:r>
      <w:r w:rsidR="00CA4776">
        <w:t>wa</w:t>
      </w:r>
      <w:r w:rsidR="00382A1F">
        <w:t>s analysed</w:t>
      </w:r>
      <w:r w:rsidR="00382A1F" w:rsidRPr="00382A1F">
        <w:t xml:space="preserve"> in triplicate and the concentration where the CV of the triplicates hits 20% </w:t>
      </w:r>
      <w:r w:rsidR="008D150B">
        <w:t>wa</w:t>
      </w:r>
      <w:r w:rsidR="00382A1F">
        <w:t>s defined as</w:t>
      </w:r>
      <w:r w:rsidR="00382A1F" w:rsidRPr="00382A1F">
        <w:t xml:space="preserve"> LOQ</w:t>
      </w:r>
      <w:r w:rsidR="00382A1F">
        <w:t xml:space="preserve"> (also </w:t>
      </w:r>
      <w:r w:rsidR="00CA4776">
        <w:t>known as</w:t>
      </w:r>
      <w:r w:rsidR="00382A1F">
        <w:t xml:space="preserve"> a</w:t>
      </w:r>
      <w:r w:rsidR="00382A1F" w:rsidRPr="00382A1F">
        <w:t xml:space="preserve"> functional LOQ</w:t>
      </w:r>
      <w:r w:rsidR="00382A1F">
        <w:t>).</w:t>
      </w:r>
    </w:p>
    <w:p w14:paraId="09EE1424" w14:textId="77777777" w:rsidR="007E5B15" w:rsidRPr="00007770" w:rsidRDefault="007E5B15" w:rsidP="00007770">
      <w:pPr>
        <w:pStyle w:val="RSCB02ArticleText"/>
      </w:pPr>
    </w:p>
    <w:p w14:paraId="494AE37C" w14:textId="055ED0F9" w:rsidR="00007770" w:rsidRDefault="00007770" w:rsidP="00007770">
      <w:pPr>
        <w:pStyle w:val="RSCB02ArticleText"/>
      </w:pPr>
      <w:r w:rsidRPr="00007770">
        <w:t xml:space="preserve">L2 operated an 8800 ICP-MS/MS (Agilent technologies) with an Agilent Integrated Sample Introduction System for discrete sampling (ISIS-DS, </w:t>
      </w:r>
      <w:r w:rsidR="00F35C8F">
        <w:t>1</w:t>
      </w:r>
      <w:r w:rsidR="00A4656D">
        <w:t xml:space="preserve"> </w:t>
      </w:r>
      <w:r w:rsidR="00426BF7">
        <w:t>mL</w:t>
      </w:r>
      <w:r w:rsidR="00F35C8F">
        <w:t xml:space="preserve"> Loop), </w:t>
      </w:r>
      <w:r w:rsidR="00ED68BE">
        <w:t>M</w:t>
      </w:r>
      <w:r w:rsidR="00F35C8F">
        <w:t>icromist nebuliser</w:t>
      </w:r>
      <w:r w:rsidRPr="00007770">
        <w:t>, quartz double-pass</w:t>
      </w:r>
      <w:r w:rsidR="00F35C8F">
        <w:t xml:space="preserve"> s</w:t>
      </w:r>
      <w:r w:rsidRPr="00007770">
        <w:t>pray</w:t>
      </w:r>
      <w:r w:rsidR="00F35C8F">
        <w:t xml:space="preserve"> </w:t>
      </w:r>
      <w:r w:rsidRPr="00007770">
        <w:t>chamber and High Matrix-Accessor</w:t>
      </w:r>
      <w:r w:rsidR="001100AB">
        <w:t>y (HMI, 0.17</w:t>
      </w:r>
      <w:r w:rsidR="00A4656D">
        <w:t xml:space="preserve"> </w:t>
      </w:r>
      <w:r w:rsidR="00426BF7">
        <w:t>mL</w:t>
      </w:r>
      <w:r w:rsidR="001100AB">
        <w:t>/min make-up gas)</w:t>
      </w:r>
      <w:r w:rsidRPr="00007770">
        <w:t>. For data acquisition</w:t>
      </w:r>
      <w:r w:rsidR="005E7283">
        <w:t>,</w:t>
      </w:r>
      <w:r w:rsidRPr="00007770">
        <w:t xml:space="preserve"> Integration t were 3 s for </w:t>
      </w:r>
      <w:r w:rsidRPr="009A02C5">
        <w:rPr>
          <w:vertAlign w:val="superscript"/>
        </w:rPr>
        <w:t>47</w:t>
      </w:r>
      <w:r w:rsidRPr="00007770">
        <w:t xml:space="preserve">Ti </w:t>
      </w:r>
      <w:r w:rsidRPr="00007770">
        <w:sym w:font="Wingdings 3" w:char="F067"/>
      </w:r>
      <w:r w:rsidRPr="009A02C5">
        <w:rPr>
          <w:vertAlign w:val="superscript"/>
        </w:rPr>
        <w:t>63</w:t>
      </w:r>
      <w:r w:rsidR="00F35C8F">
        <w:t>(TiO),</w:t>
      </w:r>
      <w:r w:rsidRPr="00007770">
        <w:t xml:space="preserve"> </w:t>
      </w:r>
      <w:r w:rsidRPr="009A02C5">
        <w:rPr>
          <w:vertAlign w:val="superscript"/>
        </w:rPr>
        <w:t>48</w:t>
      </w:r>
      <w:r w:rsidRPr="00007770">
        <w:t xml:space="preserve">Ti </w:t>
      </w:r>
      <w:r w:rsidRPr="00007770">
        <w:sym w:font="Wingdings 3" w:char="F067"/>
      </w:r>
      <w:r w:rsidRPr="00007770">
        <w:t xml:space="preserve"> </w:t>
      </w:r>
      <w:r w:rsidRPr="009A02C5">
        <w:rPr>
          <w:vertAlign w:val="superscript"/>
        </w:rPr>
        <w:t>64</w:t>
      </w:r>
      <w:r w:rsidRPr="00007770">
        <w:t xml:space="preserve">(TiO), </w:t>
      </w:r>
      <w:r w:rsidRPr="009A02C5">
        <w:rPr>
          <w:vertAlign w:val="superscript"/>
        </w:rPr>
        <w:t>48</w:t>
      </w:r>
      <w:r w:rsidRPr="00007770">
        <w:t xml:space="preserve">Ti </w:t>
      </w:r>
      <w:r w:rsidRPr="00007770">
        <w:sym w:font="Wingdings 3" w:char="F067"/>
      </w:r>
      <w:r w:rsidRPr="00007770">
        <w:t xml:space="preserve"> </w:t>
      </w:r>
      <w:r w:rsidRPr="009A02C5">
        <w:rPr>
          <w:vertAlign w:val="superscript"/>
        </w:rPr>
        <w:t>132</w:t>
      </w:r>
      <w:r w:rsidRPr="00007770">
        <w:t>(Ti(NH</w:t>
      </w:r>
      <w:r w:rsidRPr="009A02C5">
        <w:rPr>
          <w:vertAlign w:val="subscript"/>
        </w:rPr>
        <w:t>2</w:t>
      </w:r>
      <w:r w:rsidRPr="00007770">
        <w:t>)(NH</w:t>
      </w:r>
      <w:r w:rsidRPr="009A02C5">
        <w:rPr>
          <w:vertAlign w:val="subscript"/>
        </w:rPr>
        <w:t>3</w:t>
      </w:r>
      <w:r w:rsidRPr="00007770">
        <w:t>)</w:t>
      </w:r>
      <w:r w:rsidRPr="009A02C5">
        <w:rPr>
          <w:vertAlign w:val="subscript"/>
        </w:rPr>
        <w:t>4</w:t>
      </w:r>
      <w:r w:rsidRPr="00007770">
        <w:t xml:space="preserve">) </w:t>
      </w:r>
      <w:r w:rsidRPr="009A02C5">
        <w:rPr>
          <w:vertAlign w:val="superscript"/>
        </w:rPr>
        <w:t>48</w:t>
      </w:r>
      <w:r w:rsidRPr="00007770">
        <w:t xml:space="preserve">Ti </w:t>
      </w:r>
      <w:r w:rsidRPr="00007770">
        <w:sym w:font="Wingdings 3" w:char="F067"/>
      </w:r>
      <w:r w:rsidRPr="009A02C5">
        <w:rPr>
          <w:vertAlign w:val="superscript"/>
        </w:rPr>
        <w:t>150</w:t>
      </w:r>
      <w:r w:rsidRPr="00007770">
        <w:t>(Ti(NH</w:t>
      </w:r>
      <w:r w:rsidRPr="009A02C5">
        <w:rPr>
          <w:vertAlign w:val="subscript"/>
        </w:rPr>
        <w:t>3</w:t>
      </w:r>
      <w:r w:rsidRPr="00007770">
        <w:t>)</w:t>
      </w:r>
      <w:r w:rsidRPr="009A02C5">
        <w:rPr>
          <w:vertAlign w:val="subscript"/>
        </w:rPr>
        <w:t>6</w:t>
      </w:r>
      <w:r w:rsidR="00F35C8F">
        <w:t>)</w:t>
      </w:r>
      <w:r w:rsidRPr="00007770">
        <w:t xml:space="preserve"> and 1 s for the </w:t>
      </w:r>
      <w:r w:rsidR="00F35C8F">
        <w:t>internal standard</w:t>
      </w:r>
      <w:r w:rsidRPr="00007770">
        <w:t xml:space="preserve"> </w:t>
      </w:r>
      <w:r w:rsidRPr="009A02C5">
        <w:rPr>
          <w:vertAlign w:val="superscript"/>
        </w:rPr>
        <w:t>72</w:t>
      </w:r>
      <w:r w:rsidRPr="00007770">
        <w:t>Ge</w:t>
      </w:r>
      <w:r w:rsidRPr="00007770">
        <w:sym w:font="Wingdings 3" w:char="F067"/>
      </w:r>
      <w:r w:rsidRPr="009A02C5">
        <w:rPr>
          <w:vertAlign w:val="superscript"/>
        </w:rPr>
        <w:t>72</w:t>
      </w:r>
      <w:r w:rsidRPr="00007770">
        <w:t xml:space="preserve">Ge, with 20 sweeps/replicate with three replicate/sample. </w:t>
      </w:r>
      <w:r w:rsidR="001100AB">
        <w:t xml:space="preserve">The main transition </w:t>
      </w:r>
      <w:r w:rsidR="001100AB" w:rsidRPr="009A02C5">
        <w:rPr>
          <w:vertAlign w:val="superscript"/>
        </w:rPr>
        <w:t>48</w:t>
      </w:r>
      <w:r w:rsidR="001100AB" w:rsidRPr="00007770">
        <w:t xml:space="preserve">Ti </w:t>
      </w:r>
      <w:r w:rsidR="001100AB" w:rsidRPr="00007770">
        <w:sym w:font="Wingdings 3" w:char="F067"/>
      </w:r>
      <w:r w:rsidR="001100AB" w:rsidRPr="00007770">
        <w:t xml:space="preserve"> </w:t>
      </w:r>
      <w:r w:rsidR="001100AB" w:rsidRPr="009A02C5">
        <w:rPr>
          <w:vertAlign w:val="superscript"/>
        </w:rPr>
        <w:t>64</w:t>
      </w:r>
      <w:r w:rsidR="001100AB" w:rsidRPr="00007770">
        <w:t>(TiO</w:t>
      </w:r>
      <w:r w:rsidR="001100AB">
        <w:t xml:space="preserve">) was used for quantification and comparing data. The other isotopes were used for </w:t>
      </w:r>
      <w:r w:rsidR="00966BCE">
        <w:t xml:space="preserve">internal </w:t>
      </w:r>
      <w:r w:rsidR="001100AB">
        <w:t>observation only.</w:t>
      </w:r>
      <w:r w:rsidR="00984849">
        <w:t xml:space="preserve"> The instrument LOQ is defined as</w:t>
      </w:r>
      <w:r w:rsidR="00E91974">
        <w:t xml:space="preserve"> the mean of </w:t>
      </w:r>
      <w:r w:rsidR="003B6F63">
        <w:t>a diluent</w:t>
      </w:r>
      <w:r w:rsidR="00E91974">
        <w:t xml:space="preserve"> blank plus</w:t>
      </w:r>
      <w:r w:rsidR="00984849">
        <w:t xml:space="preserve"> ten times </w:t>
      </w:r>
      <w:r w:rsidR="0041036F">
        <w:t>it</w:t>
      </w:r>
      <w:r w:rsidR="00E91974">
        <w:t>s</w:t>
      </w:r>
      <w:r w:rsidR="00984849">
        <w:t xml:space="preserve"> standard deviation and the analysis LOQ equals the instrument LOQ times the dilution factor.</w:t>
      </w:r>
    </w:p>
    <w:p w14:paraId="0D876819" w14:textId="77777777" w:rsidR="007E5B15" w:rsidRPr="00007770" w:rsidRDefault="007E5B15" w:rsidP="00007770">
      <w:pPr>
        <w:pStyle w:val="RSCB02ArticleText"/>
      </w:pPr>
    </w:p>
    <w:p w14:paraId="5905F03A" w14:textId="0DC1EFE2" w:rsidR="00007770" w:rsidRDefault="00007770" w:rsidP="00007770">
      <w:pPr>
        <w:pStyle w:val="RSCB02ArticleText"/>
      </w:pPr>
      <w:r w:rsidRPr="00007770">
        <w:t>L3 employed a</w:t>
      </w:r>
      <w:r w:rsidR="00F35C8F">
        <w:t>n</w:t>
      </w:r>
      <w:r w:rsidRPr="00007770">
        <w:t xml:space="preserve"> iCAP </w:t>
      </w:r>
      <w:r w:rsidR="00C44D86">
        <w:t>SQ-</w:t>
      </w:r>
      <w:r w:rsidRPr="00007770">
        <w:t>ICP-MS (Thermo Scientific, Hemel Hempstead, UK)</w:t>
      </w:r>
      <w:r w:rsidR="006E21B4">
        <w:t xml:space="preserve"> with a </w:t>
      </w:r>
      <w:r w:rsidR="002B6601">
        <w:t xml:space="preserve">PFA-ST nebuliser (Elemental Scientific, Warrington, UK) and a quartz cyclonic spray chamber. </w:t>
      </w:r>
      <w:r w:rsidR="00E27BF9">
        <w:t>The data</w:t>
      </w:r>
      <w:r w:rsidRPr="00007770">
        <w:t xml:space="preserve"> acquisition parameters </w:t>
      </w:r>
      <w:r w:rsidR="002B6601">
        <w:t>were</w:t>
      </w:r>
      <w:r w:rsidRPr="00007770">
        <w:t xml:space="preserve"> dwell times of 0.1 s for </w:t>
      </w:r>
      <w:r w:rsidRPr="009A02C5">
        <w:rPr>
          <w:vertAlign w:val="superscript"/>
        </w:rPr>
        <w:t>49</w:t>
      </w:r>
      <w:r w:rsidR="00F35C8F">
        <w:t xml:space="preserve">Ti and </w:t>
      </w:r>
      <w:r w:rsidR="002B6601">
        <w:t>0.05 s for the</w:t>
      </w:r>
      <w:r w:rsidR="00F35C8F">
        <w:t xml:space="preserve"> internal standard</w:t>
      </w:r>
      <w:r w:rsidRPr="00007770">
        <w:t xml:space="preserve"> </w:t>
      </w:r>
      <w:r w:rsidRPr="009A02C5">
        <w:rPr>
          <w:vertAlign w:val="superscript"/>
        </w:rPr>
        <w:t>73</w:t>
      </w:r>
      <w:r w:rsidRPr="00007770">
        <w:t>Ge</w:t>
      </w:r>
      <w:r w:rsidR="002B6601">
        <w:t>,</w:t>
      </w:r>
      <w:r w:rsidR="00F35C8F">
        <w:t xml:space="preserve"> </w:t>
      </w:r>
      <w:r w:rsidRPr="00007770">
        <w:t xml:space="preserve">with 100 sweeps/replicate </w:t>
      </w:r>
      <w:r w:rsidR="002B6601">
        <w:t>and</w:t>
      </w:r>
      <w:r w:rsidRPr="00007770">
        <w:t xml:space="preserve"> three replicates/sample. </w:t>
      </w:r>
      <w:r w:rsidR="00231CCE">
        <w:t xml:space="preserve">Analysis was undertaken using KED mode using helium as the collision cell gas at a rate of 4 </w:t>
      </w:r>
      <w:r w:rsidR="00426BF7">
        <w:t>mL</w:t>
      </w:r>
      <w:r w:rsidR="00231CCE">
        <w:t>/min.</w:t>
      </w:r>
    </w:p>
    <w:p w14:paraId="1EB13158" w14:textId="23CD7F0C" w:rsidR="007E5B15" w:rsidRDefault="00124C98" w:rsidP="00007770">
      <w:pPr>
        <w:pStyle w:val="RSCB02ArticleText"/>
      </w:pPr>
      <w:r>
        <w:t xml:space="preserve">The </w:t>
      </w:r>
      <w:r w:rsidR="00A4656D">
        <w:t xml:space="preserve">instrument </w:t>
      </w:r>
      <w:r>
        <w:t xml:space="preserve">LOD was calculated as </w:t>
      </w:r>
      <w:r w:rsidR="00A4656D">
        <w:t>three times the standard deviation of the blank concentration</w:t>
      </w:r>
      <w:r>
        <w:t xml:space="preserve">. The LOQ was defined by multiplying the </w:t>
      </w:r>
      <w:r w:rsidR="008D150B">
        <w:t>background equivalent concentration (</w:t>
      </w:r>
      <w:r>
        <w:t>BEC</w:t>
      </w:r>
      <w:r w:rsidR="008D150B">
        <w:t>)</w:t>
      </w:r>
      <w:r>
        <w:t xml:space="preserve"> (diluted horse blood calibration) </w:t>
      </w:r>
      <w:r w:rsidR="00A4656D">
        <w:t>times the dilution factor</w:t>
      </w:r>
      <w:r>
        <w:t>.</w:t>
      </w:r>
    </w:p>
    <w:p w14:paraId="0A6691AC" w14:textId="77777777" w:rsidR="00124C98" w:rsidRPr="00007770" w:rsidRDefault="00124C98" w:rsidP="00007770">
      <w:pPr>
        <w:pStyle w:val="RSCB02ArticleText"/>
      </w:pPr>
    </w:p>
    <w:p w14:paraId="112AF386" w14:textId="6457E6A8" w:rsidR="00426BF7" w:rsidRPr="00007770" w:rsidRDefault="00007770" w:rsidP="00426BF7">
      <w:pPr>
        <w:pStyle w:val="RSCB02ArticleText"/>
      </w:pPr>
      <w:r w:rsidRPr="00007770">
        <w:t xml:space="preserve">L4 utilized a </w:t>
      </w:r>
      <w:r w:rsidR="00C44D86">
        <w:t>HR-</w:t>
      </w:r>
      <w:r w:rsidRPr="00007770">
        <w:t>ICP-MS, the Element2 (Thermo</w:t>
      </w:r>
      <w:r w:rsidR="00EE368C">
        <w:t xml:space="preserve"> </w:t>
      </w:r>
      <w:r w:rsidR="001E6BA0" w:rsidRPr="00007770">
        <w:t>Scientific, Hemel Hempstead, UK</w:t>
      </w:r>
      <w:r w:rsidR="001E6BA0">
        <w:t>)</w:t>
      </w:r>
      <w:r w:rsidRPr="00007770">
        <w:t>.</w:t>
      </w:r>
      <w:r w:rsidR="00426BF7" w:rsidRPr="00426BF7">
        <w:t xml:space="preserve"> </w:t>
      </w:r>
      <w:r w:rsidR="00426BF7" w:rsidRPr="00007770">
        <w:t>The sample introduction system consisted of a PFA nebuliser and Helix spray chamber.</w:t>
      </w:r>
    </w:p>
    <w:p w14:paraId="53DDB54A" w14:textId="006CC0B4" w:rsidR="00007770" w:rsidRDefault="00007770" w:rsidP="007E5B15">
      <w:pPr>
        <w:pStyle w:val="RSCB02ArticleText"/>
      </w:pPr>
      <w:r w:rsidRPr="00007770">
        <w:t xml:space="preserve">The integration times for </w:t>
      </w:r>
      <w:r w:rsidRPr="009A02C5">
        <w:rPr>
          <w:vertAlign w:val="superscript"/>
        </w:rPr>
        <w:t>47</w:t>
      </w:r>
      <w:r w:rsidR="00F35C8F">
        <w:t xml:space="preserve">Ti </w:t>
      </w:r>
      <w:r w:rsidRPr="00007770">
        <w:t xml:space="preserve">were 1 s, and for </w:t>
      </w:r>
      <w:r w:rsidRPr="009A02C5">
        <w:rPr>
          <w:vertAlign w:val="superscript"/>
        </w:rPr>
        <w:t>49</w:t>
      </w:r>
      <w:r w:rsidRPr="00007770">
        <w:t>Ti</w:t>
      </w:r>
      <w:r w:rsidR="00EE368C">
        <w:t xml:space="preserve"> were</w:t>
      </w:r>
      <w:r w:rsidRPr="00007770">
        <w:t xml:space="preserve"> 2</w:t>
      </w:r>
      <w:r w:rsidR="00A4656D">
        <w:t xml:space="preserve"> </w:t>
      </w:r>
      <w:r w:rsidRPr="00007770">
        <w:t xml:space="preserve">s with 5 </w:t>
      </w:r>
      <w:r w:rsidR="008B742C" w:rsidRPr="00007770">
        <w:t>re</w:t>
      </w:r>
      <w:r w:rsidR="008B742C">
        <w:t>plicates</w:t>
      </w:r>
      <w:r w:rsidR="008B742C" w:rsidRPr="00007770">
        <w:t xml:space="preserve"> </w:t>
      </w:r>
      <w:r w:rsidRPr="00007770">
        <w:t xml:space="preserve">of 20 sweeps. </w:t>
      </w:r>
      <w:r w:rsidR="007E5B15">
        <w:t>The LOD was defined as blank plus 3</w:t>
      </w:r>
      <w:r w:rsidR="00421E25">
        <w:t xml:space="preserve"> time</w:t>
      </w:r>
      <w:r w:rsidR="002309DC">
        <w:t>s the</w:t>
      </w:r>
      <w:r w:rsidR="00421E25">
        <w:t xml:space="preserve"> standard deviation</w:t>
      </w:r>
      <w:r w:rsidR="007E5B15">
        <w:t xml:space="preserve"> of</w:t>
      </w:r>
      <w:r w:rsidR="002309DC">
        <w:t xml:space="preserve"> the</w:t>
      </w:r>
      <w:r w:rsidR="008D150B">
        <w:t xml:space="preserve"> blank and the LOQ wa</w:t>
      </w:r>
      <w:r w:rsidR="007E5B15">
        <w:t xml:space="preserve">s </w:t>
      </w:r>
      <w:r w:rsidR="002309DC">
        <w:t xml:space="preserve">the </w:t>
      </w:r>
      <w:r w:rsidR="007E5B15">
        <w:t xml:space="preserve">blank </w:t>
      </w:r>
      <w:r w:rsidR="002309DC">
        <w:t xml:space="preserve">concentration </w:t>
      </w:r>
      <w:r w:rsidR="007E5B15">
        <w:t>plus 10</w:t>
      </w:r>
      <w:r w:rsidR="00421E25">
        <w:t xml:space="preserve"> times </w:t>
      </w:r>
      <w:r w:rsidR="002309DC">
        <w:t xml:space="preserve">the </w:t>
      </w:r>
      <w:r w:rsidR="00421E25">
        <w:t>standard deviation</w:t>
      </w:r>
      <w:r w:rsidR="007E5B15">
        <w:t xml:space="preserve"> of </w:t>
      </w:r>
      <w:r w:rsidR="002309DC">
        <w:t xml:space="preserve">the </w:t>
      </w:r>
      <w:r w:rsidR="007E5B15">
        <w:t>blank.</w:t>
      </w:r>
    </w:p>
    <w:p w14:paraId="0EBEC188" w14:textId="77777777" w:rsidR="007E5B15" w:rsidRPr="00007770" w:rsidRDefault="007E5B15" w:rsidP="007E5B15">
      <w:pPr>
        <w:pStyle w:val="RSCB02ArticleText"/>
      </w:pPr>
    </w:p>
    <w:p w14:paraId="7B80B803" w14:textId="7190F01A" w:rsidR="00007770" w:rsidRDefault="00007770" w:rsidP="00007770">
      <w:pPr>
        <w:pStyle w:val="RSCB02ArticleText"/>
        <w:rPr>
          <w:rFonts w:ascii="Calibri" w:hAnsi="Calibri"/>
          <w:color w:val="000000"/>
        </w:rPr>
      </w:pPr>
      <w:r w:rsidRPr="00007770">
        <w:t>L5 deployed an iC</w:t>
      </w:r>
      <w:r w:rsidR="00EE368C">
        <w:t xml:space="preserve">AP </w:t>
      </w:r>
      <w:r w:rsidRPr="00007770">
        <w:t>ICP-OES (Thermo S</w:t>
      </w:r>
      <w:r w:rsidR="00EE368C">
        <w:t xml:space="preserve">cientific, Hemel Hempstead, UK) </w:t>
      </w:r>
      <w:r w:rsidRPr="00007770">
        <w:t>using the wavelength of 33</w:t>
      </w:r>
      <w:r w:rsidR="00EE368C">
        <w:t>6.1</w:t>
      </w:r>
      <w:r w:rsidR="00A4656D">
        <w:t xml:space="preserve"> </w:t>
      </w:r>
      <w:r w:rsidR="00EE368C">
        <w:t>nm for Ti and 371.0</w:t>
      </w:r>
      <w:r w:rsidR="00A4656D">
        <w:t xml:space="preserve"> nm</w:t>
      </w:r>
      <w:r w:rsidR="00EE368C">
        <w:t xml:space="preserve"> for Y (internal standard</w:t>
      </w:r>
      <w:r w:rsidRPr="00007770">
        <w:t>). The sample introduction system consisted of CETAC ASX-510 autosamp</w:t>
      </w:r>
      <w:r w:rsidR="00EE368C">
        <w:t xml:space="preserve">ler, a </w:t>
      </w:r>
      <w:r w:rsidR="00EC0B3B">
        <w:t>M</w:t>
      </w:r>
      <w:r w:rsidR="00EE368C">
        <w:t xml:space="preserve">icromist nebuliser and a </w:t>
      </w:r>
      <w:r w:rsidRPr="00007770">
        <w:t>cyclonic spray</w:t>
      </w:r>
      <w:r w:rsidR="00ED68BE">
        <w:t xml:space="preserve"> </w:t>
      </w:r>
      <w:r w:rsidRPr="00007770">
        <w:t>chamber.</w:t>
      </w:r>
      <w:r w:rsidR="00174F6B" w:rsidRPr="00174F6B">
        <w:rPr>
          <w:rFonts w:ascii="Calibri" w:hAnsi="Calibri"/>
          <w:color w:val="000000"/>
        </w:rPr>
        <w:t xml:space="preserve"> </w:t>
      </w:r>
      <w:r w:rsidR="00174F6B">
        <w:rPr>
          <w:rFonts w:ascii="Calibri" w:hAnsi="Calibri"/>
          <w:color w:val="000000"/>
        </w:rPr>
        <w:t>The LOD</w:t>
      </w:r>
      <w:r w:rsidR="00090433">
        <w:rPr>
          <w:rFonts w:ascii="Calibri" w:hAnsi="Calibri"/>
          <w:color w:val="000000"/>
        </w:rPr>
        <w:t>/LOQ</w:t>
      </w:r>
      <w:r w:rsidR="00174F6B">
        <w:rPr>
          <w:rFonts w:ascii="Calibri" w:hAnsi="Calibri"/>
          <w:color w:val="000000"/>
        </w:rPr>
        <w:t xml:space="preserve"> was determined by replicate (n=8) analysis of a low concentration standard (0.2 µg/L) and multiplying the </w:t>
      </w:r>
      <w:r w:rsidR="00421E25">
        <w:rPr>
          <w:rFonts w:ascii="Calibri" w:hAnsi="Calibri"/>
          <w:color w:val="000000"/>
        </w:rPr>
        <w:t>standard deviation</w:t>
      </w:r>
      <w:r w:rsidR="00174F6B">
        <w:rPr>
          <w:rFonts w:ascii="Calibri" w:hAnsi="Calibri"/>
          <w:color w:val="000000"/>
        </w:rPr>
        <w:t xml:space="preserve"> by 3 (LOD) and 10 (LOQ).</w:t>
      </w:r>
      <w:r w:rsidR="00311ABD">
        <w:rPr>
          <w:rFonts w:ascii="Calibri" w:hAnsi="Calibri"/>
          <w:color w:val="000000"/>
        </w:rPr>
        <w:t xml:space="preserve"> </w:t>
      </w:r>
      <w:r w:rsidR="00765AFA">
        <w:rPr>
          <w:rFonts w:ascii="Calibri" w:hAnsi="Calibri"/>
          <w:color w:val="000000"/>
        </w:rPr>
        <w:t>The number of sample replicates was three</w:t>
      </w:r>
      <w:r w:rsidR="00311ABD">
        <w:rPr>
          <w:rFonts w:ascii="Calibri" w:hAnsi="Calibri"/>
          <w:color w:val="000000"/>
        </w:rPr>
        <w:t>.</w:t>
      </w:r>
    </w:p>
    <w:p w14:paraId="47133999" w14:textId="77777777" w:rsidR="007E5B15" w:rsidRPr="00007770" w:rsidRDefault="007E5B15" w:rsidP="00007770">
      <w:pPr>
        <w:pStyle w:val="RSCB02ArticleText"/>
      </w:pPr>
    </w:p>
    <w:p w14:paraId="14204D05" w14:textId="587ECDDD" w:rsidR="00007770" w:rsidRDefault="00B81370" w:rsidP="00B81370">
      <w:pPr>
        <w:pStyle w:val="RSCB02ArticleText"/>
        <w:rPr>
          <w:rFonts w:ascii="Calibri" w:hAnsi="Calibri"/>
          <w:color w:val="212121"/>
          <w:shd w:val="clear" w:color="auto" w:fill="FFFFFF"/>
        </w:rPr>
      </w:pPr>
      <w:r>
        <w:t xml:space="preserve">L6 used a Varian 820-MS </w:t>
      </w:r>
      <w:r w:rsidR="00C44D86">
        <w:t xml:space="preserve">(SQ-ICP-MS) </w:t>
      </w:r>
      <w:r>
        <w:t>with an optimized sample introduction system, a low (400</w:t>
      </w:r>
      <w:r w:rsidR="009217B6">
        <w:t xml:space="preserve"> </w:t>
      </w:r>
      <w:r w:rsidR="00C44D86">
        <w:t>µ</w:t>
      </w:r>
      <w:r>
        <w:t xml:space="preserve">L/min) glass concentric </w:t>
      </w:r>
      <w:r>
        <w:lastRenderedPageBreak/>
        <w:t>nebulizer¸ Peltier-cooled spray</w:t>
      </w:r>
      <w:r w:rsidR="00124C98">
        <w:t xml:space="preserve"> </w:t>
      </w:r>
      <w:r>
        <w:t xml:space="preserve">chamber with variable temperature control and a Collision Reaction Interface. The data acquisition times selected were 5 replicates of 20 scans of 10 000 µs. The signal given by </w:t>
      </w:r>
      <w:r w:rsidRPr="00B81370">
        <w:rPr>
          <w:vertAlign w:val="superscript"/>
        </w:rPr>
        <w:t>48</w:t>
      </w:r>
      <w:r>
        <w:t xml:space="preserve">Ti was used for quantification and </w:t>
      </w:r>
      <w:r w:rsidRPr="00B81370">
        <w:rPr>
          <w:vertAlign w:val="superscript"/>
        </w:rPr>
        <w:t>47</w:t>
      </w:r>
      <w:r>
        <w:t>Ti for confirmation</w:t>
      </w:r>
      <w:r w:rsidR="009C12B5">
        <w:t>.</w:t>
      </w:r>
      <w:r>
        <w:t xml:space="preserve"> </w:t>
      </w:r>
      <w:r>
        <w:rPr>
          <w:rFonts w:ascii="Calibri" w:hAnsi="Calibri"/>
          <w:color w:val="212121"/>
          <w:shd w:val="clear" w:color="auto" w:fill="FFFFFF"/>
        </w:rPr>
        <w:t xml:space="preserve">The </w:t>
      </w:r>
      <w:r w:rsidRPr="00B81370">
        <w:rPr>
          <w:rFonts w:ascii="Calibri" w:hAnsi="Calibri"/>
          <w:bCs/>
          <w:color w:val="212121"/>
          <w:shd w:val="clear" w:color="auto" w:fill="FFFFFF"/>
        </w:rPr>
        <w:t>LOQ</w:t>
      </w:r>
      <w:r>
        <w:rPr>
          <w:rFonts w:ascii="Calibri" w:hAnsi="Calibri"/>
          <w:color w:val="212121"/>
          <w:shd w:val="clear" w:color="auto" w:fill="FFFFFF"/>
        </w:rPr>
        <w:t xml:space="preserve"> was estimated by taking 30 repeat measurements of the blank in the same series. The mean and standard deviation of these 30 measurements </w:t>
      </w:r>
      <w:r w:rsidR="008D150B">
        <w:rPr>
          <w:rFonts w:ascii="Calibri" w:hAnsi="Calibri"/>
          <w:color w:val="212121"/>
          <w:shd w:val="clear" w:color="auto" w:fill="FFFFFF"/>
        </w:rPr>
        <w:t>were</w:t>
      </w:r>
      <w:r>
        <w:rPr>
          <w:rFonts w:ascii="Calibri" w:hAnsi="Calibri"/>
          <w:color w:val="212121"/>
          <w:shd w:val="clear" w:color="auto" w:fill="FFFFFF"/>
        </w:rPr>
        <w:t xml:space="preserve"> expressed in concentration</w:t>
      </w:r>
      <w:r w:rsidR="00984849">
        <w:rPr>
          <w:rFonts w:ascii="Calibri" w:hAnsi="Calibri"/>
          <w:color w:val="212121"/>
          <w:shd w:val="clear" w:color="auto" w:fill="FFFFFF"/>
        </w:rPr>
        <w:t xml:space="preserve"> and</w:t>
      </w:r>
      <w:r>
        <w:rPr>
          <w:rFonts w:ascii="Calibri" w:hAnsi="Calibri"/>
          <w:color w:val="212121"/>
          <w:shd w:val="clear" w:color="auto" w:fill="FFFFFF"/>
        </w:rPr>
        <w:t xml:space="preserve"> the LOQ </w:t>
      </w:r>
      <w:r w:rsidR="00984849">
        <w:rPr>
          <w:rFonts w:ascii="Calibri" w:hAnsi="Calibri"/>
          <w:color w:val="212121"/>
          <w:shd w:val="clear" w:color="auto" w:fill="FFFFFF"/>
        </w:rPr>
        <w:t xml:space="preserve">was calculated as </w:t>
      </w:r>
      <w:r>
        <w:rPr>
          <w:rFonts w:ascii="Calibri" w:hAnsi="Calibri"/>
          <w:color w:val="212121"/>
          <w:shd w:val="clear" w:color="auto" w:fill="FFFFFF"/>
        </w:rPr>
        <w:t>the sum of the mean blank concentration plus ten</w:t>
      </w:r>
      <w:r w:rsidR="008D150B">
        <w:rPr>
          <w:rFonts w:ascii="Calibri" w:hAnsi="Calibri"/>
          <w:color w:val="212121"/>
          <w:shd w:val="clear" w:color="auto" w:fill="FFFFFF"/>
        </w:rPr>
        <w:t xml:space="preserve"> times the</w:t>
      </w:r>
      <w:r>
        <w:rPr>
          <w:rFonts w:ascii="Calibri" w:hAnsi="Calibri"/>
          <w:color w:val="212121"/>
          <w:shd w:val="clear" w:color="auto" w:fill="FFFFFF"/>
        </w:rPr>
        <w:t xml:space="preserve"> standard </w:t>
      </w:r>
      <w:r w:rsidR="00FB6582">
        <w:rPr>
          <w:rFonts w:ascii="Calibri" w:hAnsi="Calibri"/>
          <w:color w:val="212121"/>
          <w:shd w:val="clear" w:color="auto" w:fill="FFFFFF"/>
        </w:rPr>
        <w:t>deviations</w:t>
      </w:r>
      <w:r w:rsidR="00FB6582">
        <w:rPr>
          <w:rFonts w:ascii="Calibri" w:hAnsi="Calibri"/>
          <w:color w:val="212121"/>
          <w:shd w:val="clear" w:color="auto" w:fill="FFFFFF"/>
          <w:vertAlign w:val="superscript"/>
        </w:rPr>
        <w:t>35</w:t>
      </w:r>
      <w:r w:rsidR="0083210C">
        <w:rPr>
          <w:rFonts w:ascii="Calibri" w:hAnsi="Calibri"/>
          <w:color w:val="212121"/>
          <w:shd w:val="clear" w:color="auto" w:fill="FFFFFF"/>
        </w:rPr>
        <w:t>.</w:t>
      </w:r>
    </w:p>
    <w:p w14:paraId="47958F74" w14:textId="77777777" w:rsidR="007E5B15" w:rsidRPr="0083210C" w:rsidRDefault="007E5B15" w:rsidP="00B81370">
      <w:pPr>
        <w:pStyle w:val="RSCB02ArticleText"/>
      </w:pPr>
    </w:p>
    <w:p w14:paraId="36376B18" w14:textId="5B3E300A" w:rsidR="00007770" w:rsidRPr="00FC300E" w:rsidRDefault="00007770" w:rsidP="00FC300E">
      <w:pPr>
        <w:pStyle w:val="RSCB02ArticleText"/>
      </w:pPr>
      <w:r w:rsidRPr="00007770">
        <w:t xml:space="preserve">L7 employed an 8800 ICP-MS/MS (Agilent technologies) combined with a </w:t>
      </w:r>
      <w:r w:rsidR="00ED68BE">
        <w:t>M</w:t>
      </w:r>
      <w:r w:rsidRPr="00007770">
        <w:t xml:space="preserve">icromist </w:t>
      </w:r>
      <w:r w:rsidR="00A76003" w:rsidRPr="00007770">
        <w:t>nebuliser,</w:t>
      </w:r>
      <w:r w:rsidRPr="00007770">
        <w:t xml:space="preserve"> quartz double-pass Spray chamber and High Matrix-Accessory (HMI, 0.11</w:t>
      </w:r>
      <w:r w:rsidR="00A4656D">
        <w:t xml:space="preserve"> </w:t>
      </w:r>
      <w:r w:rsidR="00426BF7">
        <w:t>mL</w:t>
      </w:r>
      <w:r w:rsidR="00C44D86">
        <w:t>/min make-</w:t>
      </w:r>
      <w:r w:rsidRPr="00007770">
        <w:t>up gas)</w:t>
      </w:r>
      <w:r w:rsidRPr="00007770">
        <w:tab/>
        <w:t>. An Integration time of 1s/isotope was applied for</w:t>
      </w:r>
      <w:r w:rsidR="00933890">
        <w:t xml:space="preserve"> </w:t>
      </w:r>
      <w:r w:rsidRPr="00933890">
        <w:rPr>
          <w:vertAlign w:val="superscript"/>
        </w:rPr>
        <w:t>45</w:t>
      </w:r>
      <w:r w:rsidRPr="00007770">
        <w:t>Sc</w:t>
      </w:r>
      <w:r w:rsidRPr="00007770">
        <w:sym w:font="Wingdings 3" w:char="F067"/>
      </w:r>
      <w:r w:rsidRPr="00933890">
        <w:rPr>
          <w:vertAlign w:val="superscript"/>
        </w:rPr>
        <w:t>61</w:t>
      </w:r>
      <w:r w:rsidRPr="00007770">
        <w:t>Sc (</w:t>
      </w:r>
      <w:r w:rsidR="00EE368C">
        <w:t>internal standard</w:t>
      </w:r>
      <w:r w:rsidRPr="00007770">
        <w:t xml:space="preserve">) and </w:t>
      </w:r>
      <w:r w:rsidRPr="00933890">
        <w:rPr>
          <w:vertAlign w:val="superscript"/>
        </w:rPr>
        <w:t>46</w:t>
      </w:r>
      <w:r w:rsidRPr="00007770">
        <w:t xml:space="preserve">Ti </w:t>
      </w:r>
      <w:r w:rsidRPr="00007770">
        <w:sym w:font="Wingdings 3" w:char="F067"/>
      </w:r>
      <w:r w:rsidRPr="00933890">
        <w:rPr>
          <w:vertAlign w:val="superscript"/>
        </w:rPr>
        <w:t>62</w:t>
      </w:r>
      <w:r w:rsidR="001E0FFE" w:rsidRPr="00A52CA4">
        <w:t>(</w:t>
      </w:r>
      <w:r w:rsidRPr="00007770">
        <w:t>Ti</w:t>
      </w:r>
      <w:r w:rsidR="001E0FFE">
        <w:t>O)</w:t>
      </w:r>
      <w:r w:rsidR="00EC0B3B">
        <w:t xml:space="preserve">, </w:t>
      </w:r>
      <w:r w:rsidR="00EC0B3B" w:rsidRPr="00933890">
        <w:rPr>
          <w:vertAlign w:val="superscript"/>
        </w:rPr>
        <w:t>47</w:t>
      </w:r>
      <w:r w:rsidR="00EC0B3B" w:rsidRPr="00007770">
        <w:t xml:space="preserve">Ti </w:t>
      </w:r>
      <w:r w:rsidR="00EC0B3B" w:rsidRPr="00007770">
        <w:sym w:font="Wingdings 3" w:char="F067"/>
      </w:r>
      <w:r w:rsidR="00EC0B3B" w:rsidRPr="00933890">
        <w:rPr>
          <w:vertAlign w:val="superscript"/>
        </w:rPr>
        <w:t>63</w:t>
      </w:r>
      <w:r w:rsidR="001E0FFE" w:rsidRPr="00A52CA4">
        <w:t>(</w:t>
      </w:r>
      <w:r w:rsidR="00EC0B3B" w:rsidRPr="00007770">
        <w:t>Ti</w:t>
      </w:r>
      <w:r w:rsidR="001E0FFE">
        <w:t>O)</w:t>
      </w:r>
      <w:r w:rsidR="00EC0B3B">
        <w:t xml:space="preserve"> and </w:t>
      </w:r>
      <w:r w:rsidR="00EC0B3B" w:rsidRPr="00933890">
        <w:rPr>
          <w:vertAlign w:val="superscript"/>
        </w:rPr>
        <w:t>48</w:t>
      </w:r>
      <w:r w:rsidR="00EC0B3B" w:rsidRPr="00007770">
        <w:t xml:space="preserve">Ti </w:t>
      </w:r>
      <w:r w:rsidR="00EC0B3B" w:rsidRPr="00007770">
        <w:sym w:font="Wingdings 3" w:char="F067"/>
      </w:r>
      <w:r w:rsidR="00EC0B3B" w:rsidRPr="00933890">
        <w:rPr>
          <w:vertAlign w:val="superscript"/>
        </w:rPr>
        <w:t>64</w:t>
      </w:r>
      <w:r w:rsidR="001E0FFE" w:rsidRPr="00A52CA4">
        <w:t>(</w:t>
      </w:r>
      <w:r w:rsidR="00EC0B3B" w:rsidRPr="001E0FFE">
        <w:t>Ti</w:t>
      </w:r>
      <w:r w:rsidR="001E0FFE" w:rsidRPr="001E0FFE">
        <w:t>O)</w:t>
      </w:r>
      <w:r w:rsidR="00A76003">
        <w:t xml:space="preserve">, whereby the 46 and </w:t>
      </w:r>
      <w:r w:rsidR="005A4262">
        <w:t xml:space="preserve">48 </w:t>
      </w:r>
      <w:r w:rsidR="00A76003">
        <w:t>transitions were used for monitoring purpose</w:t>
      </w:r>
      <w:r w:rsidR="001E0FFE">
        <w:t>s (e.g interferences)</w:t>
      </w:r>
      <w:r w:rsidR="00A76003">
        <w:t xml:space="preserve"> and the </w:t>
      </w:r>
      <w:r w:rsidR="005A4262">
        <w:t xml:space="preserve">47 </w:t>
      </w:r>
      <w:r w:rsidR="00A76003">
        <w:t>transition for quantification.</w:t>
      </w:r>
      <w:r w:rsidR="00093057">
        <w:t xml:space="preserve"> The LOD was calculated as the mean b</w:t>
      </w:r>
      <w:r w:rsidR="00FE508C">
        <w:t>l</w:t>
      </w:r>
      <w:r w:rsidR="00093057">
        <w:t>ank concentration (20%</w:t>
      </w:r>
      <w:r w:rsidR="00A4656D">
        <w:t xml:space="preserve"> </w:t>
      </w:r>
      <w:r w:rsidR="00093057">
        <w:t>HNO</w:t>
      </w:r>
      <w:r w:rsidR="00093057" w:rsidRPr="00093057">
        <w:rPr>
          <w:vertAlign w:val="subscript"/>
        </w:rPr>
        <w:t>3</w:t>
      </w:r>
      <w:r w:rsidR="00093057">
        <w:t xml:space="preserve">) plus 3 times </w:t>
      </w:r>
      <w:r w:rsidR="008D150B">
        <w:t xml:space="preserve">the </w:t>
      </w:r>
      <w:r w:rsidR="00093057">
        <w:t>standard deviation of the blank and the instrumental LOQ as the mean blank (20%</w:t>
      </w:r>
      <w:r w:rsidR="00A4656D">
        <w:t xml:space="preserve"> </w:t>
      </w:r>
      <w:r w:rsidR="00093057">
        <w:t xml:space="preserve">HNO3) plus 10 times </w:t>
      </w:r>
      <w:r w:rsidR="00421E25">
        <w:t>the standard devi</w:t>
      </w:r>
      <w:r w:rsidR="008D150B">
        <w:t>ation. The procedural LOQ refer</w:t>
      </w:r>
      <w:r w:rsidR="0022752B">
        <w:t>r</w:t>
      </w:r>
      <w:r w:rsidR="008D150B">
        <w:t>ed</w:t>
      </w:r>
      <w:r w:rsidR="00421E25">
        <w:t xml:space="preserve"> to the digestion blank and include</w:t>
      </w:r>
      <w:r w:rsidR="008D150B">
        <w:t>d</w:t>
      </w:r>
      <w:r w:rsidR="00421E25">
        <w:t xml:space="preserve"> the dilution factor of 10.</w:t>
      </w:r>
      <w:r w:rsidR="00D858C4">
        <w:t xml:space="preserve"> Three </w:t>
      </w:r>
      <w:r w:rsidR="00930C6B">
        <w:t>to</w:t>
      </w:r>
      <w:r w:rsidR="00D858C4">
        <w:t xml:space="preserve"> five replicates per sample were prepared and analysed</w:t>
      </w:r>
      <w:r w:rsidR="00930C6B">
        <w:t>.</w:t>
      </w:r>
    </w:p>
    <w:p w14:paraId="3B02DE6A" w14:textId="77777777" w:rsidR="009F29CC" w:rsidRDefault="009F29CC" w:rsidP="00FC300E">
      <w:pPr>
        <w:pStyle w:val="RSCB02ArticleText"/>
      </w:pPr>
    </w:p>
    <w:p w14:paraId="25332C54" w14:textId="3E45FF6D" w:rsidR="00FC300E" w:rsidRPr="00FC300E" w:rsidRDefault="00FC300E" w:rsidP="00FC300E">
      <w:pPr>
        <w:pStyle w:val="RSCB02ArticleText"/>
      </w:pPr>
      <w:r w:rsidRPr="00FC300E">
        <w:t>Sample preparation and analytical approaches of the participating labora</w:t>
      </w:r>
      <w:r w:rsidR="009F29CC">
        <w:t xml:space="preserve">tories are summarised in Table </w:t>
      </w:r>
      <w:r w:rsidR="008D150B">
        <w:t>3</w:t>
      </w:r>
      <w:r w:rsidRPr="00FC300E">
        <w:t xml:space="preserve"> and </w:t>
      </w:r>
      <w:r w:rsidR="009F29CC">
        <w:t>described</w:t>
      </w:r>
      <w:r w:rsidRPr="00FC300E">
        <w:t xml:space="preserve"> in detail in Supplementary Tables </w:t>
      </w:r>
      <w:r>
        <w:t>S2-S8</w:t>
      </w:r>
      <w:r w:rsidRPr="00FC300E">
        <w:t xml:space="preserve">. </w:t>
      </w:r>
      <w:r w:rsidR="00D657D8">
        <w:t xml:space="preserve">For the </w:t>
      </w:r>
      <w:r w:rsidR="00145BDF">
        <w:t xml:space="preserve">three </w:t>
      </w:r>
      <w:r w:rsidR="00D657D8">
        <w:t>ICP-MS/MS the difference in chosen reaction chemistry,</w:t>
      </w:r>
      <w:r w:rsidR="002309DC">
        <w:t xml:space="preserve"> which is defined by</w:t>
      </w:r>
      <w:r w:rsidR="00D657D8">
        <w:t xml:space="preserve"> gas combination ratios and tuning</w:t>
      </w:r>
      <w:r w:rsidR="002309DC">
        <w:t>, enables different approaches of dealing with interferences</w:t>
      </w:r>
      <w:r w:rsidR="008D150B">
        <w:t xml:space="preserve"> yielding</w:t>
      </w:r>
      <w:r w:rsidR="002309DC">
        <w:t xml:space="preserve"> </w:t>
      </w:r>
      <w:r w:rsidR="008D150B">
        <w:t>different signal intensities</w:t>
      </w:r>
      <w:r w:rsidR="002309DC">
        <w:t xml:space="preserve"> and signal to noise ratio</w:t>
      </w:r>
      <w:r w:rsidR="008D150B">
        <w:t>s</w:t>
      </w:r>
      <w:r w:rsidR="00145BDF">
        <w:t xml:space="preserve">. </w:t>
      </w:r>
      <w:r>
        <w:t xml:space="preserve">A comprehensive list </w:t>
      </w:r>
      <w:r w:rsidR="007D3834">
        <w:t>of instrument</w:t>
      </w:r>
      <w:r w:rsidRPr="00FC300E">
        <w:t xml:space="preserve"> settings </w:t>
      </w:r>
      <w:r>
        <w:t>is given</w:t>
      </w:r>
      <w:r w:rsidRPr="00FC300E">
        <w:t xml:space="preserve"> in Supplementary Table </w:t>
      </w:r>
      <w:r w:rsidR="00933890">
        <w:t>S9</w:t>
      </w:r>
      <w:r w:rsidR="00933890" w:rsidRPr="00FC300E">
        <w:t>.</w:t>
      </w:r>
    </w:p>
    <w:p w14:paraId="3E966F5E" w14:textId="77777777" w:rsidR="00C44D86" w:rsidRDefault="00C44D86" w:rsidP="008D0CC2">
      <w:pPr>
        <w:pStyle w:val="RSCB04AHeadingSection"/>
        <w:spacing w:after="200"/>
        <w:ind w:right="170"/>
      </w:pPr>
      <w:r w:rsidRPr="00D5715E">
        <w:t xml:space="preserve">Results </w:t>
      </w:r>
    </w:p>
    <w:p w14:paraId="2C3B3846" w14:textId="248FDF2C" w:rsidR="00C44D86" w:rsidRPr="004756BA" w:rsidRDefault="00C44D86" w:rsidP="00C44D86">
      <w:pPr>
        <w:pStyle w:val="RSCB02ArticleText"/>
      </w:pPr>
      <w:r w:rsidRPr="00996139">
        <w:t xml:space="preserve">The sample analysis results of all seven laboratories are </w:t>
      </w:r>
      <w:r>
        <w:t>given</w:t>
      </w:r>
      <w:r w:rsidRPr="00996139">
        <w:t xml:space="preserve"> in Table </w:t>
      </w:r>
      <w:r w:rsidR="00827C76">
        <w:t>4</w:t>
      </w:r>
      <w:r w:rsidRPr="00996139">
        <w:t xml:space="preserve"> and </w:t>
      </w:r>
      <w:r>
        <w:t xml:space="preserve">the recoveries of spiked Ti, in the two different forms (soluble and particulate), are shown in Figure </w:t>
      </w:r>
      <w:r w:rsidR="009F384F">
        <w:t>1</w:t>
      </w:r>
      <w:r w:rsidRPr="00996139">
        <w:t>.</w:t>
      </w:r>
      <w:r>
        <w:t xml:space="preserve"> </w:t>
      </w:r>
      <w:r w:rsidR="004756BA">
        <w:t xml:space="preserve"> Laboratories L1-L6 provided data in </w:t>
      </w:r>
      <w:r w:rsidR="004756BA">
        <w:rPr>
          <w:color w:val="000000"/>
        </w:rPr>
        <w:t>µg/L and L7 in µg/g. As the density of blood is close to one, the data were compared directly.</w:t>
      </w:r>
    </w:p>
    <w:p w14:paraId="76EAA813" w14:textId="77777777" w:rsidR="00C44D86" w:rsidRPr="00996139" w:rsidRDefault="00C44D86" w:rsidP="00C44D86">
      <w:pPr>
        <w:pStyle w:val="RSCB02ArticleText"/>
      </w:pPr>
    </w:p>
    <w:p w14:paraId="233EC828" w14:textId="2131391D" w:rsidR="00C44D86" w:rsidRDefault="00C44D86" w:rsidP="00C44D86">
      <w:pPr>
        <w:pStyle w:val="RSCB02ArticleText"/>
      </w:pPr>
      <w:r>
        <w:t xml:space="preserve">Overall, we considered the analytical data, shown in Table </w:t>
      </w:r>
      <w:r w:rsidR="00827C76">
        <w:t>4</w:t>
      </w:r>
      <w:r>
        <w:t xml:space="preserve"> and Figure </w:t>
      </w:r>
      <w:r w:rsidR="009F384F">
        <w:t>1</w:t>
      </w:r>
      <w:r>
        <w:t>, in four different ways:</w:t>
      </w:r>
    </w:p>
    <w:p w14:paraId="777673DD" w14:textId="38F62367" w:rsidR="00C44D86" w:rsidRPr="008D0CC2" w:rsidRDefault="00C44D86" w:rsidP="008D0CC2">
      <w:pPr>
        <w:pStyle w:val="RSCB05AHeadingSection-standalone"/>
        <w:rPr>
          <w:rStyle w:val="RSCB06BHeadingSub-SectionChar"/>
          <w:b w:val="0"/>
          <w:sz w:val="24"/>
        </w:rPr>
      </w:pPr>
      <w:r w:rsidRPr="008D0CC2">
        <w:rPr>
          <w:rStyle w:val="RSCB06BHeadingSub-SectionChar"/>
          <w:b w:val="0"/>
          <w:sz w:val="24"/>
        </w:rPr>
        <w:t>Baseline Ti Levels</w:t>
      </w:r>
    </w:p>
    <w:p w14:paraId="2913E9D7" w14:textId="77777777" w:rsidR="00D07733" w:rsidRPr="00AD0583" w:rsidRDefault="00D07733" w:rsidP="00D07733">
      <w:pPr>
        <w:pStyle w:val="RSCB02ArticleText"/>
        <w:rPr>
          <w:strike/>
          <w:color w:val="000000" w:themeColor="text1"/>
        </w:rPr>
      </w:pPr>
      <w:r w:rsidRPr="00AD0583">
        <w:rPr>
          <w:color w:val="000000" w:themeColor="text1"/>
        </w:rPr>
        <w:t>Different sample preparation methods</w:t>
      </w:r>
      <w:r>
        <w:rPr>
          <w:color w:val="000000" w:themeColor="text1"/>
        </w:rPr>
        <w:t>,</w:t>
      </w:r>
      <w:r w:rsidRPr="00AD0583">
        <w:rPr>
          <w:color w:val="000000" w:themeColor="text1"/>
        </w:rPr>
        <w:t xml:space="preserve"> instrument type </w:t>
      </w:r>
      <w:r>
        <w:rPr>
          <w:color w:val="000000" w:themeColor="text1"/>
        </w:rPr>
        <w:t xml:space="preserve">and </w:t>
      </w:r>
      <w:r w:rsidRPr="00AD0583">
        <w:rPr>
          <w:color w:val="000000" w:themeColor="text1"/>
        </w:rPr>
        <w:t>analytical approaches, gave rise to differences in the results for pooled baseline blood samples</w:t>
      </w:r>
      <w:r>
        <w:rPr>
          <w:color w:val="000000" w:themeColor="text1"/>
        </w:rPr>
        <w:t>.</w:t>
      </w:r>
    </w:p>
    <w:p w14:paraId="0D4E9978" w14:textId="54AE55FD" w:rsidR="00C44D86" w:rsidRPr="00AD0583" w:rsidRDefault="00827C76" w:rsidP="00C44D86">
      <w:pPr>
        <w:pStyle w:val="RSCB02ArticleText"/>
        <w:rPr>
          <w:strike/>
          <w:color w:val="000000" w:themeColor="text1"/>
        </w:rPr>
      </w:pPr>
      <w:r>
        <w:t>The</w:t>
      </w:r>
      <w:r w:rsidR="00C44D86" w:rsidRPr="009A5D91">
        <w:t xml:space="preserve"> range of baseline </w:t>
      </w:r>
      <w:r w:rsidRPr="00AD0583">
        <w:rPr>
          <w:color w:val="000000" w:themeColor="text1"/>
        </w:rPr>
        <w:t xml:space="preserve">blood </w:t>
      </w:r>
      <w:r w:rsidR="00C44D86" w:rsidRPr="009A5D91">
        <w:t>levels are reported</w:t>
      </w:r>
      <w:r w:rsidR="002B0BB6">
        <w:t xml:space="preserve"> in Table </w:t>
      </w:r>
      <w:r>
        <w:t>4</w:t>
      </w:r>
      <w:r w:rsidR="002B0BB6">
        <w:t>,</w:t>
      </w:r>
      <w:r w:rsidR="00C44D86" w:rsidRPr="009A5D91">
        <w:t xml:space="preserve"> </w:t>
      </w:r>
      <w:r w:rsidR="0022752B">
        <w:t xml:space="preserve">and </w:t>
      </w:r>
      <w:r w:rsidR="00C44D86" w:rsidRPr="009A5D91">
        <w:t>rang</w:t>
      </w:r>
      <w:r w:rsidR="00AD0583">
        <w:t>ed</w:t>
      </w:r>
      <w:r w:rsidR="00C44D86" w:rsidRPr="009A5D91">
        <w:t xml:space="preserve"> from &lt;LO</w:t>
      </w:r>
      <w:r w:rsidR="000A38E7">
        <w:t>Q</w:t>
      </w:r>
      <w:r w:rsidR="00D07733">
        <w:t xml:space="preserve"> </w:t>
      </w:r>
      <w:r w:rsidR="00C44D86">
        <w:t>to</w:t>
      </w:r>
      <w:r w:rsidR="00C44D86" w:rsidRPr="009A5D91">
        <w:t xml:space="preserve"> 21.8 µg/L for non-fasted samples and &lt;LO</w:t>
      </w:r>
      <w:r w:rsidR="00BD5AA0">
        <w:t>Q</w:t>
      </w:r>
      <w:r w:rsidR="00C44D86">
        <w:t xml:space="preserve"> to</w:t>
      </w:r>
      <w:r w:rsidR="00C44D86" w:rsidRPr="009A5D91">
        <w:t xml:space="preserve"> 24.62</w:t>
      </w:r>
      <w:r w:rsidR="00A4656D">
        <w:t xml:space="preserve"> µg/L</w:t>
      </w:r>
      <w:r w:rsidR="00C44D86" w:rsidRPr="009A5D91">
        <w:t xml:space="preserve"> for fasted samples</w:t>
      </w:r>
      <w:r w:rsidR="00AD0583">
        <w:t xml:space="preserve">. </w:t>
      </w:r>
    </w:p>
    <w:p w14:paraId="7A69327B" w14:textId="692E10C7" w:rsidR="00E11278" w:rsidRDefault="00E11278" w:rsidP="008D0CC2">
      <w:pPr>
        <w:pStyle w:val="RSCB05AHeadingSection-standalone"/>
      </w:pPr>
      <w:r w:rsidRPr="00E7524C">
        <w:t xml:space="preserve">Response to spiked </w:t>
      </w:r>
      <w:r w:rsidR="00E3483F">
        <w:t>ionic</w:t>
      </w:r>
      <w:r w:rsidR="00E3483F" w:rsidRPr="00E7524C">
        <w:t xml:space="preserve"> </w:t>
      </w:r>
      <w:r w:rsidRPr="00E7524C">
        <w:t>Ti</w:t>
      </w:r>
    </w:p>
    <w:p w14:paraId="30C2925E" w14:textId="04B002B3" w:rsidR="00E11278" w:rsidRDefault="00216291" w:rsidP="00E11278">
      <w:pPr>
        <w:pStyle w:val="RSCB02ArticleText"/>
      </w:pPr>
      <w:r>
        <w:t>The concentration of the low spike was below the LO</w:t>
      </w:r>
      <w:r w:rsidR="00AD0583">
        <w:t>Q</w:t>
      </w:r>
      <w:r>
        <w:t xml:space="preserve"> for L7, </w:t>
      </w:r>
      <w:r w:rsidR="00E3483F">
        <w:t xml:space="preserve">and </w:t>
      </w:r>
      <w:r w:rsidR="00AD0583">
        <w:t xml:space="preserve">showed </w:t>
      </w:r>
      <w:r w:rsidR="00E3483F">
        <w:t xml:space="preserve">only </w:t>
      </w:r>
      <w:r w:rsidR="002E7066">
        <w:t>40</w:t>
      </w:r>
      <w:r w:rsidR="00E3483F">
        <w:t xml:space="preserve">% </w:t>
      </w:r>
      <w:r w:rsidR="0039790B">
        <w:t xml:space="preserve">recovered </w:t>
      </w:r>
      <w:r w:rsidR="00E3483F">
        <w:t>for L3</w:t>
      </w:r>
      <w:r w:rsidR="0039790B">
        <w:t xml:space="preserve"> (as a result of being close to the LOQ)</w:t>
      </w:r>
      <w:r w:rsidR="00AD0583">
        <w:t>. H</w:t>
      </w:r>
      <w:r>
        <w:t>owever the five remaining laboratories reported p</w:t>
      </w:r>
      <w:r w:rsidR="00E11278">
        <w:t>ercentage recoveries rang</w:t>
      </w:r>
      <w:r>
        <w:t>ing</w:t>
      </w:r>
      <w:r w:rsidR="00E11278">
        <w:t xml:space="preserve"> </w:t>
      </w:r>
      <w:r w:rsidR="00AD0583">
        <w:t>from</w:t>
      </w:r>
      <w:r w:rsidR="00E11278">
        <w:t xml:space="preserve"> </w:t>
      </w:r>
      <w:r>
        <w:t>88 – 110</w:t>
      </w:r>
      <w:r w:rsidR="00E11278">
        <w:t xml:space="preserve">%. </w:t>
      </w:r>
      <w:r>
        <w:t>For the high spike, all seven laboratories reported percentage recoveries ranging from 8</w:t>
      </w:r>
      <w:r w:rsidR="002E7066">
        <w:t>7</w:t>
      </w:r>
      <w:r>
        <w:t xml:space="preserve"> – 119%.</w:t>
      </w:r>
      <w:r w:rsidR="00E11278">
        <w:t xml:space="preserve"> </w:t>
      </w:r>
      <w:r w:rsidR="00AD0583">
        <w:t xml:space="preserve">Thus, </w:t>
      </w:r>
      <w:r w:rsidR="0022752B">
        <w:t xml:space="preserve">in cases where the limit of quantification was above 5 µg/L the recovery of the low spike was outside the expected +/- 20% range. However, </w:t>
      </w:r>
      <w:r w:rsidR="00AD0583">
        <w:t>in</w:t>
      </w:r>
      <w:r w:rsidR="00E11278">
        <w:t xml:space="preserve"> all </w:t>
      </w:r>
      <w:r w:rsidR="0022752B">
        <w:t xml:space="preserve">other </w:t>
      </w:r>
      <w:r w:rsidR="00E11278">
        <w:t>cases</w:t>
      </w:r>
      <w:r w:rsidR="00AD0583">
        <w:t xml:space="preserve">, </w:t>
      </w:r>
      <w:r w:rsidR="00E11278">
        <w:t xml:space="preserve">the laboratories reported </w:t>
      </w:r>
      <w:r w:rsidR="00AD0583">
        <w:t xml:space="preserve">apparent, </w:t>
      </w:r>
      <w:r w:rsidR="00E11278">
        <w:t>appropriate proportional increase</w:t>
      </w:r>
      <w:r w:rsidR="00AD0583">
        <w:t>s</w:t>
      </w:r>
      <w:r w:rsidR="00E11278">
        <w:t xml:space="preserve"> in whole blood Ti levels when baseline samples were spiked with low (+ 2.5 µg/L) or high (+11 µg/L) levels of soluble Ti (Table </w:t>
      </w:r>
      <w:r w:rsidR="00862474">
        <w:t xml:space="preserve">4, Fig </w:t>
      </w:r>
      <w:r w:rsidR="009F384F">
        <w:t>1</w:t>
      </w:r>
      <w:r w:rsidR="002E7066">
        <w:t>).</w:t>
      </w:r>
    </w:p>
    <w:p w14:paraId="25C55AC7" w14:textId="77777777" w:rsidR="00E11278" w:rsidRDefault="00E11278" w:rsidP="008D0CC2">
      <w:pPr>
        <w:pStyle w:val="RSCB05AHeadingSection-standalone"/>
      </w:pPr>
      <w:r w:rsidRPr="00E7524C">
        <w:t>Response to spiked TiO</w:t>
      </w:r>
      <w:r w:rsidRPr="00995AA3">
        <w:rPr>
          <w:vertAlign w:val="subscript"/>
        </w:rPr>
        <w:t>2</w:t>
      </w:r>
      <w:r>
        <w:t xml:space="preserve"> particles</w:t>
      </w:r>
    </w:p>
    <w:p w14:paraId="1F384628" w14:textId="7A3CA14E" w:rsidR="00E11278" w:rsidRDefault="0039790B" w:rsidP="00E11278">
      <w:pPr>
        <w:pStyle w:val="RSCB02ArticleText"/>
      </w:pPr>
      <w:r>
        <w:t xml:space="preserve">For </w:t>
      </w:r>
      <w:r w:rsidR="00216291">
        <w:t>the spiked Ti</w:t>
      </w:r>
      <w:r w:rsidR="00862474">
        <w:t>O</w:t>
      </w:r>
      <w:r w:rsidR="00862474" w:rsidRPr="00862474">
        <w:rPr>
          <w:vertAlign w:val="subscript"/>
        </w:rPr>
        <w:t>2</w:t>
      </w:r>
      <w:r w:rsidR="00862474">
        <w:t xml:space="preserve"> particles</w:t>
      </w:r>
      <w:r w:rsidR="00216291">
        <w:t xml:space="preserve">, the concentration of the low spike was below the LOQ for </w:t>
      </w:r>
      <w:r>
        <w:t xml:space="preserve">both </w:t>
      </w:r>
      <w:r w:rsidR="00216291">
        <w:t xml:space="preserve">L3 and </w:t>
      </w:r>
      <w:r w:rsidR="000A38E7">
        <w:t>L7,</w:t>
      </w:r>
      <w:r w:rsidR="00E11278" w:rsidRPr="0081756E">
        <w:t xml:space="preserve"> </w:t>
      </w:r>
      <w:r w:rsidR="00E11278">
        <w:t>whilst the other five</w:t>
      </w:r>
      <w:r w:rsidR="00E11278" w:rsidRPr="0081756E">
        <w:t xml:space="preserve"> lab</w:t>
      </w:r>
      <w:r w:rsidR="00216291">
        <w:t>oratorie</w:t>
      </w:r>
      <w:r w:rsidR="00E11278" w:rsidRPr="0081756E">
        <w:t>s achieved between 71</w:t>
      </w:r>
      <w:r w:rsidR="00216291">
        <w:t xml:space="preserve"> – </w:t>
      </w:r>
      <w:r w:rsidR="00E11278">
        <w:t>102</w:t>
      </w:r>
      <w:r w:rsidR="00E11278" w:rsidRPr="0081756E">
        <w:t xml:space="preserve">% </w:t>
      </w:r>
      <w:r w:rsidR="000A38E7" w:rsidRPr="0081756E">
        <w:t>recoveries</w:t>
      </w:r>
      <w:r w:rsidR="00E11278" w:rsidRPr="0081756E">
        <w:t>.</w:t>
      </w:r>
      <w:r w:rsidR="00E11278">
        <w:t xml:space="preserve"> </w:t>
      </w:r>
      <w:r w:rsidR="00216291">
        <w:t xml:space="preserve">For the high spike, all seven laboratories reported percentage recoveries ranging from </w:t>
      </w:r>
      <w:r w:rsidR="002E7066">
        <w:t>95</w:t>
      </w:r>
      <w:r w:rsidR="00216291">
        <w:t xml:space="preserve"> – 128 %. </w:t>
      </w:r>
      <w:r w:rsidR="00E11278">
        <w:t xml:space="preserve">These results very much mirrored the pattern of results for the spiked soluble Ti in that, throughout, all laboratories reported appropriate proportional increases for particulate </w:t>
      </w:r>
      <w:r w:rsidR="00E11278" w:rsidRPr="00942C08">
        <w:t>TiO</w:t>
      </w:r>
      <w:r w:rsidR="00E11278" w:rsidRPr="00ED481A">
        <w:rPr>
          <w:vertAlign w:val="subscript"/>
        </w:rPr>
        <w:t>2</w:t>
      </w:r>
      <w:r w:rsidR="00862474">
        <w:t xml:space="preserve"> spikes (</w:t>
      </w:r>
      <w:r w:rsidR="00E11278">
        <w:t xml:space="preserve">see Figure </w:t>
      </w:r>
      <w:r w:rsidR="009F384F">
        <w:t>1</w:t>
      </w:r>
      <w:r w:rsidR="00862474">
        <w:t>)</w:t>
      </w:r>
      <w:r w:rsidR="00E11278">
        <w:t xml:space="preserve"> bar </w:t>
      </w:r>
      <w:r>
        <w:t xml:space="preserve">two laboratories (L3&amp;7) </w:t>
      </w:r>
      <w:r w:rsidR="00E11278">
        <w:t xml:space="preserve">which could not </w:t>
      </w:r>
      <w:r w:rsidR="00862474">
        <w:t>adequately quantify or</w:t>
      </w:r>
      <w:r w:rsidR="00FE508C">
        <w:t>,</w:t>
      </w:r>
      <w:r w:rsidR="00862474">
        <w:t xml:space="preserve"> in one case</w:t>
      </w:r>
      <w:r w:rsidR="00FE508C">
        <w:t>,</w:t>
      </w:r>
      <w:r w:rsidR="00862474">
        <w:t xml:space="preserve"> even detect </w:t>
      </w:r>
      <w:r w:rsidR="00E11278">
        <w:t>the low level spike.</w:t>
      </w:r>
    </w:p>
    <w:p w14:paraId="300D7413" w14:textId="3639FC84" w:rsidR="00E11278" w:rsidRDefault="00E11278" w:rsidP="008D0CC2">
      <w:pPr>
        <w:pStyle w:val="RSCB05AHeadingSection-standalone"/>
      </w:pPr>
      <w:r w:rsidRPr="00E7524C">
        <w:t>Deviat</w:t>
      </w:r>
      <w:r>
        <w:t>ion from linearity of response</w:t>
      </w:r>
    </w:p>
    <w:p w14:paraId="098A9199" w14:textId="01D544AE" w:rsidR="00827C76" w:rsidRDefault="00E11278" w:rsidP="00C44D86">
      <w:pPr>
        <w:pStyle w:val="RSCB02ArticleText"/>
      </w:pPr>
      <w:r>
        <w:t>Within the range of concentrations studied, which represented potential ‘real life’ values, from baseline to high, all laboratories showed true linearity of response although some were more tightly clustered to the expected line of linearity (based upon spike values) than others, suggesting (anticipated) minor variance in calibration between laboratories</w:t>
      </w:r>
      <w:r w:rsidR="000357A9">
        <w:t>, see Figure</w:t>
      </w:r>
      <w:r w:rsidR="009F384F">
        <w:t>1</w:t>
      </w:r>
      <w:r>
        <w:t>.</w:t>
      </w:r>
    </w:p>
    <w:p w14:paraId="1386B853" w14:textId="370DDBD1" w:rsidR="007A4AA1" w:rsidRDefault="007A4AA1" w:rsidP="008D0CC2">
      <w:pPr>
        <w:pStyle w:val="RSCB04AHeadingSection"/>
      </w:pPr>
      <w:r>
        <w:t>Discussion</w:t>
      </w:r>
    </w:p>
    <w:p w14:paraId="343A2E45" w14:textId="77777777" w:rsidR="007A4AA1" w:rsidRDefault="007A4AA1" w:rsidP="007A4AA1">
      <w:pPr>
        <w:pStyle w:val="RSCB02ArticleText"/>
      </w:pPr>
    </w:p>
    <w:p w14:paraId="2135F317" w14:textId="6423642B" w:rsidR="007A4AA1" w:rsidRDefault="007A4AA1" w:rsidP="00C44D86">
      <w:pPr>
        <w:pStyle w:val="RSCB02ArticleText"/>
      </w:pPr>
      <w:r w:rsidRPr="005737FC">
        <w:rPr>
          <w:noProof/>
          <w:lang w:eastAsia="en-GB"/>
        </w:rPr>
        <w:t>Undoubt</w:t>
      </w:r>
      <w:r>
        <w:rPr>
          <w:noProof/>
          <w:lang w:eastAsia="en-GB"/>
        </w:rPr>
        <w:t>ed</w:t>
      </w:r>
      <w:r w:rsidRPr="005737FC">
        <w:rPr>
          <w:noProof/>
          <w:lang w:eastAsia="en-GB"/>
        </w:rPr>
        <w:t xml:space="preserve">ly the most pivotal and </w:t>
      </w:r>
      <w:r>
        <w:rPr>
          <w:noProof/>
          <w:lang w:eastAsia="en-GB"/>
        </w:rPr>
        <w:t xml:space="preserve">yet </w:t>
      </w:r>
      <w:r w:rsidRPr="005737FC">
        <w:rPr>
          <w:noProof/>
          <w:lang w:eastAsia="en-GB"/>
        </w:rPr>
        <w:t>frequently overlooked aspect of under</w:t>
      </w:r>
      <w:r>
        <w:rPr>
          <w:noProof/>
          <w:lang w:eastAsia="en-GB"/>
        </w:rPr>
        <w:t>st</w:t>
      </w:r>
      <w:r w:rsidRPr="005737FC">
        <w:rPr>
          <w:noProof/>
          <w:lang w:eastAsia="en-GB"/>
        </w:rPr>
        <w:t>an</w:t>
      </w:r>
      <w:r>
        <w:rPr>
          <w:noProof/>
          <w:lang w:eastAsia="en-GB"/>
        </w:rPr>
        <w:t>d</w:t>
      </w:r>
      <w:r w:rsidRPr="005737FC">
        <w:rPr>
          <w:noProof/>
          <w:lang w:eastAsia="en-GB"/>
        </w:rPr>
        <w:t xml:space="preserve">ing our exposure to </w:t>
      </w:r>
      <w:r>
        <w:rPr>
          <w:noProof/>
          <w:lang w:eastAsia="en-GB"/>
        </w:rPr>
        <w:t>Ti/</w:t>
      </w:r>
      <w:r w:rsidRPr="00942C08">
        <w:rPr>
          <w:noProof/>
          <w:lang w:eastAsia="en-GB"/>
        </w:rPr>
        <w:t>TiO</w:t>
      </w:r>
      <w:r w:rsidRPr="005159F2">
        <w:rPr>
          <w:noProof/>
          <w:vertAlign w:val="subscript"/>
          <w:lang w:eastAsia="en-GB"/>
        </w:rPr>
        <w:t>2</w:t>
      </w:r>
      <w:r w:rsidRPr="005737FC">
        <w:rPr>
          <w:noProof/>
          <w:lang w:eastAsia="en-GB"/>
        </w:rPr>
        <w:t xml:space="preserve"> is having a precise and accurate measurement tool</w:t>
      </w:r>
      <w:r>
        <w:rPr>
          <w:noProof/>
          <w:lang w:eastAsia="en-GB"/>
        </w:rPr>
        <w:t xml:space="preserve"> for bioanalysis, especially for baseline levels of Ti</w:t>
      </w:r>
      <w:r w:rsidRPr="005737FC">
        <w:rPr>
          <w:noProof/>
          <w:lang w:eastAsia="en-GB"/>
        </w:rPr>
        <w:t xml:space="preserve">. </w:t>
      </w:r>
      <w:r>
        <w:rPr>
          <w:noProof/>
          <w:lang w:eastAsia="en-GB"/>
        </w:rPr>
        <w:t xml:space="preserve">This is because, as previously mentioned, </w:t>
      </w:r>
      <w:r w:rsidRPr="00942C08">
        <w:t>TiO</w:t>
      </w:r>
      <w:r w:rsidRPr="00C94D28">
        <w:rPr>
          <w:vertAlign w:val="subscript"/>
        </w:rPr>
        <w:t>2</w:t>
      </w:r>
      <w:r>
        <w:t xml:space="preserve"> absorption from the gut or Ti release from implants is followed by rapid and high bio-dilution (e.g. into 5L of blood) so small analytical increases above baseline must be observable if exposure is to be properly monitored. Indeed, ours is not the first study to question the accuracy of low level bio-analytical data for Ti determination.</w:t>
      </w:r>
      <w:r w:rsidR="003C65B4">
        <w:t xml:space="preserve"> </w:t>
      </w:r>
      <w:r>
        <w:t>For example</w:t>
      </w:r>
      <w:r w:rsidRPr="005637F0">
        <w:t>, a</w:t>
      </w:r>
      <w:r>
        <w:t xml:space="preserve"> four-way</w:t>
      </w:r>
      <w:r w:rsidRPr="005637F0">
        <w:t xml:space="preserve"> inter-laboratory comparison </w:t>
      </w:r>
      <w:r>
        <w:t xml:space="preserve">in </w:t>
      </w:r>
      <w:r w:rsidRPr="005637F0">
        <w:t>2014</w:t>
      </w:r>
      <w:r>
        <w:rPr>
          <w:vertAlign w:val="superscript"/>
        </w:rPr>
        <w:t>75</w:t>
      </w:r>
      <w:r w:rsidRPr="005637F0">
        <w:t xml:space="preserve"> </w:t>
      </w:r>
      <w:r>
        <w:t>indicate</w:t>
      </w:r>
      <w:r w:rsidRPr="005637F0">
        <w:t xml:space="preserve">d that the results compared well </w:t>
      </w:r>
      <w:r>
        <w:t xml:space="preserve">only </w:t>
      </w:r>
      <w:r w:rsidRPr="005637F0">
        <w:t>when concentrations were &gt; 4 μg</w:t>
      </w:r>
      <w:r>
        <w:t xml:space="preserve"> Ti</w:t>
      </w:r>
      <w:r w:rsidRPr="005637F0">
        <w:t xml:space="preserve">/g tissue </w:t>
      </w:r>
      <w:r>
        <w:t>and</w:t>
      </w:r>
      <w:r w:rsidRPr="005637F0">
        <w:t xml:space="preserve"> that the measurement of lower </w:t>
      </w:r>
      <w:r>
        <w:t>levels may be more critical and, for which, further investigation</w:t>
      </w:r>
      <w:r w:rsidRPr="005637F0">
        <w:t xml:space="preserve"> </w:t>
      </w:r>
      <w:r>
        <w:t>would be required</w:t>
      </w:r>
      <w:r>
        <w:rPr>
          <w:vertAlign w:val="superscript"/>
        </w:rPr>
        <w:t>51</w:t>
      </w:r>
      <w:r w:rsidRPr="005637F0">
        <w:t xml:space="preserve">. </w:t>
      </w:r>
      <w:r>
        <w:t xml:space="preserve">However, ours is the first comparative study with human whole </w:t>
      </w:r>
      <w:r>
        <w:lastRenderedPageBreak/>
        <w:t xml:space="preserve">blood - a fundamental matrix to </w:t>
      </w:r>
      <w:r w:rsidR="003C65B4">
        <w:t xml:space="preserve">most readily </w:t>
      </w:r>
      <w:r>
        <w:t>understand human exposure to Ti-containing materials.</w:t>
      </w:r>
    </w:p>
    <w:p w14:paraId="4C8CE5CA" w14:textId="77777777" w:rsidR="00A15F3D" w:rsidRDefault="00A15F3D" w:rsidP="00C44D86">
      <w:pPr>
        <w:pStyle w:val="RSCB02ArticleText"/>
      </w:pPr>
    </w:p>
    <w:p w14:paraId="34600D30" w14:textId="77777777" w:rsidR="00F52438" w:rsidRDefault="00F52438" w:rsidP="00C44D86">
      <w:pPr>
        <w:pStyle w:val="RSCB02ArticleText"/>
      </w:pPr>
    </w:p>
    <w:p w14:paraId="54585218" w14:textId="77777777" w:rsidR="00A15F3D" w:rsidRPr="00C44D86" w:rsidRDefault="00A15F3D" w:rsidP="00C44D86">
      <w:pPr>
        <w:pStyle w:val="RSCB02ArticleText"/>
        <w:sectPr w:rsidR="00A15F3D" w:rsidRPr="00C44D86" w:rsidSect="009306A8">
          <w:type w:val="continuous"/>
          <w:pgSz w:w="11907" w:h="16840" w:code="9"/>
          <w:pgMar w:top="1009" w:right="851" w:bottom="1758" w:left="851" w:header="851" w:footer="1049" w:gutter="0"/>
          <w:cols w:num="2" w:space="227"/>
          <w:titlePg/>
          <w:docGrid w:linePitch="360"/>
        </w:sectPr>
      </w:pPr>
    </w:p>
    <w:p w14:paraId="30E4C9EF" w14:textId="3504A046" w:rsidR="001B588E" w:rsidRDefault="00EB3C1A" w:rsidP="00E84E19">
      <w:pPr>
        <w:pStyle w:val="RSCT01TableTitlewithtopbar"/>
      </w:pPr>
      <w:r w:rsidRPr="009A02C5">
        <w:rPr>
          <w:b/>
        </w:rPr>
        <w:t xml:space="preserve">Table </w:t>
      </w:r>
      <w:r w:rsidR="00577995">
        <w:rPr>
          <w:b/>
        </w:rPr>
        <w:t>3</w:t>
      </w:r>
      <w:r>
        <w:tab/>
      </w:r>
      <w:r w:rsidR="006727BE">
        <w:t xml:space="preserve">Summary of </w:t>
      </w:r>
      <w:r w:rsidRPr="009A02C5">
        <w:t>method</w:t>
      </w:r>
      <w:r w:rsidR="003C65B4">
        <w:t>ology</w:t>
      </w:r>
      <w:r w:rsidRPr="009A02C5">
        <w:t xml:space="preserve"> </w:t>
      </w:r>
      <w:r>
        <w:t>used</w:t>
      </w:r>
      <w:r w:rsidR="006727BE" w:rsidRPr="006727BE">
        <w:t xml:space="preserve"> </w:t>
      </w:r>
      <w:r w:rsidR="006727BE">
        <w:t xml:space="preserve">for </w:t>
      </w:r>
      <w:r w:rsidR="006727BE" w:rsidRPr="009A02C5">
        <w:t>participating laboratories</w:t>
      </w:r>
      <w:r w:rsidR="001B588E">
        <w:t xml:space="preserve">. </w:t>
      </w:r>
    </w:p>
    <w:p w14:paraId="4C220355" w14:textId="21F9CAC0" w:rsidR="00F33598" w:rsidRDefault="001B588E" w:rsidP="00E84E19">
      <w:pPr>
        <w:pStyle w:val="RSCT01TableTitlewithtopbar"/>
      </w:pPr>
      <w:r>
        <w:t xml:space="preserve">L1 to L7 = Participating Laboratory 1 to 7, LOQ = limit of quantitation, BEC = background </w:t>
      </w:r>
      <w:r w:rsidR="00413AAF">
        <w:t>equivalent</w:t>
      </w:r>
      <w:r>
        <w:t xml:space="preserve"> concentration, LOD = limit of detection, cps = counts per second,</w:t>
      </w:r>
      <w:r w:rsidR="00413AAF">
        <w:t xml:space="preserve"> R value = correlation coefficient for calibration </w:t>
      </w:r>
      <w:r w:rsidR="00610935">
        <w:t>line</w:t>
      </w:r>
      <w:r w:rsidR="00B74725">
        <w:t>; NH3 = ammonia mode, O2H2 = oxygen – hydrogen mode</w:t>
      </w:r>
    </w:p>
    <w:tbl>
      <w:tblPr>
        <w:tblStyle w:val="TableGrid"/>
        <w:tblpPr w:leftFromText="180" w:rightFromText="180" w:vertAnchor="text" w:tblpY="1"/>
        <w:tblOverlap w:val="never"/>
        <w:tblW w:w="10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9"/>
        <w:gridCol w:w="992"/>
        <w:gridCol w:w="992"/>
        <w:gridCol w:w="1009"/>
        <w:gridCol w:w="1037"/>
        <w:gridCol w:w="1325"/>
      </w:tblGrid>
      <w:tr w:rsidR="009F29CC" w14:paraId="2083F7E9" w14:textId="77777777" w:rsidTr="00E84E19">
        <w:trPr>
          <w:trHeight w:val="60"/>
        </w:trPr>
        <w:tc>
          <w:tcPr>
            <w:tcW w:w="1843" w:type="dxa"/>
            <w:tcBorders>
              <w:bottom w:val="single" w:sz="4" w:space="0" w:color="auto"/>
            </w:tcBorders>
          </w:tcPr>
          <w:p w14:paraId="208E995D" w14:textId="2DBAFB04" w:rsidR="009F29CC" w:rsidRPr="00541587" w:rsidRDefault="00541587" w:rsidP="00541587">
            <w:pPr>
              <w:pStyle w:val="RSCT03TableBody"/>
              <w:jc w:val="left"/>
            </w:pPr>
            <w:r w:rsidRPr="00541587">
              <w:t>Laboratory ID</w:t>
            </w:r>
          </w:p>
        </w:tc>
        <w:tc>
          <w:tcPr>
            <w:tcW w:w="1418" w:type="dxa"/>
            <w:tcBorders>
              <w:bottom w:val="single" w:sz="4" w:space="0" w:color="auto"/>
            </w:tcBorders>
          </w:tcPr>
          <w:p w14:paraId="199E47D9" w14:textId="5FD648AB" w:rsidR="009F29CC" w:rsidRDefault="009F29CC" w:rsidP="00541587">
            <w:pPr>
              <w:pStyle w:val="RSCT03TableBody"/>
              <w:jc w:val="left"/>
            </w:pPr>
            <w:r>
              <w:t>L1</w:t>
            </w:r>
          </w:p>
        </w:tc>
        <w:tc>
          <w:tcPr>
            <w:tcW w:w="1559" w:type="dxa"/>
            <w:tcBorders>
              <w:bottom w:val="single" w:sz="4" w:space="0" w:color="auto"/>
            </w:tcBorders>
          </w:tcPr>
          <w:p w14:paraId="52897586" w14:textId="77777777" w:rsidR="009F29CC" w:rsidRDefault="009F29CC" w:rsidP="00541587">
            <w:pPr>
              <w:pStyle w:val="RSCT03TableBody"/>
              <w:jc w:val="left"/>
            </w:pPr>
            <w:r>
              <w:t>L2</w:t>
            </w:r>
          </w:p>
        </w:tc>
        <w:tc>
          <w:tcPr>
            <w:tcW w:w="992" w:type="dxa"/>
            <w:tcBorders>
              <w:bottom w:val="single" w:sz="4" w:space="0" w:color="auto"/>
            </w:tcBorders>
          </w:tcPr>
          <w:p w14:paraId="24CB39BD" w14:textId="6C8DD482" w:rsidR="009F29CC" w:rsidRDefault="009F29CC" w:rsidP="00541587">
            <w:pPr>
              <w:pStyle w:val="RSCT03TableBody"/>
              <w:jc w:val="left"/>
            </w:pPr>
            <w:r>
              <w:t>L3</w:t>
            </w:r>
          </w:p>
        </w:tc>
        <w:tc>
          <w:tcPr>
            <w:tcW w:w="992" w:type="dxa"/>
            <w:tcBorders>
              <w:bottom w:val="single" w:sz="4" w:space="0" w:color="auto"/>
            </w:tcBorders>
          </w:tcPr>
          <w:p w14:paraId="5E9AC428" w14:textId="4E3AF3F1" w:rsidR="009F29CC" w:rsidRDefault="009F29CC" w:rsidP="00541587">
            <w:pPr>
              <w:pStyle w:val="RSCT03TableBody"/>
              <w:jc w:val="left"/>
            </w:pPr>
            <w:r>
              <w:t>L4</w:t>
            </w:r>
          </w:p>
        </w:tc>
        <w:tc>
          <w:tcPr>
            <w:tcW w:w="1009" w:type="dxa"/>
            <w:tcBorders>
              <w:bottom w:val="single" w:sz="4" w:space="0" w:color="auto"/>
            </w:tcBorders>
          </w:tcPr>
          <w:p w14:paraId="07B22F27" w14:textId="0F5F85C0" w:rsidR="009F29CC" w:rsidRDefault="009F29CC" w:rsidP="00541587">
            <w:pPr>
              <w:pStyle w:val="RSCT03TableBody"/>
              <w:jc w:val="left"/>
            </w:pPr>
            <w:r>
              <w:t>L5</w:t>
            </w:r>
          </w:p>
        </w:tc>
        <w:tc>
          <w:tcPr>
            <w:tcW w:w="1037" w:type="dxa"/>
            <w:tcBorders>
              <w:bottom w:val="single" w:sz="4" w:space="0" w:color="auto"/>
            </w:tcBorders>
          </w:tcPr>
          <w:p w14:paraId="59C79B92" w14:textId="0C620565" w:rsidR="009F29CC" w:rsidRDefault="009F29CC" w:rsidP="00541587">
            <w:pPr>
              <w:pStyle w:val="RSCT03TableBody"/>
              <w:jc w:val="left"/>
            </w:pPr>
            <w:r>
              <w:t>L6</w:t>
            </w:r>
          </w:p>
        </w:tc>
        <w:tc>
          <w:tcPr>
            <w:tcW w:w="1325" w:type="dxa"/>
            <w:tcBorders>
              <w:bottom w:val="single" w:sz="4" w:space="0" w:color="auto"/>
            </w:tcBorders>
          </w:tcPr>
          <w:p w14:paraId="59A816EA" w14:textId="2775B302" w:rsidR="009F29CC" w:rsidRDefault="009F29CC" w:rsidP="00541587">
            <w:pPr>
              <w:pStyle w:val="RSCT03TableBody"/>
              <w:jc w:val="left"/>
            </w:pPr>
            <w:r>
              <w:t>L7</w:t>
            </w:r>
          </w:p>
        </w:tc>
      </w:tr>
      <w:tr w:rsidR="009F29CC" w14:paraId="5010A678" w14:textId="77777777" w:rsidTr="00D139B7">
        <w:tc>
          <w:tcPr>
            <w:tcW w:w="1843" w:type="dxa"/>
            <w:tcBorders>
              <w:top w:val="single" w:sz="4" w:space="0" w:color="auto"/>
            </w:tcBorders>
          </w:tcPr>
          <w:p w14:paraId="01CA6483" w14:textId="0BBCD72D" w:rsidR="009F29CC" w:rsidRPr="00541587" w:rsidRDefault="009F29CC" w:rsidP="00541587">
            <w:pPr>
              <w:pStyle w:val="RSCT03TableBody"/>
              <w:jc w:val="left"/>
            </w:pPr>
            <w:r w:rsidRPr="00541587">
              <w:rPr>
                <w:rFonts w:ascii="Calibri" w:hAnsi="Calibri"/>
                <w:bCs/>
                <w:color w:val="000000"/>
              </w:rPr>
              <w:t>technique, used</w:t>
            </w:r>
          </w:p>
        </w:tc>
        <w:tc>
          <w:tcPr>
            <w:tcW w:w="1418" w:type="dxa"/>
            <w:tcBorders>
              <w:top w:val="single" w:sz="4" w:space="0" w:color="auto"/>
            </w:tcBorders>
          </w:tcPr>
          <w:p w14:paraId="4C7EB847" w14:textId="2F55F8DA" w:rsidR="009F29CC" w:rsidRDefault="009F29CC" w:rsidP="00541587">
            <w:pPr>
              <w:pStyle w:val="RSCT03TableBody"/>
              <w:jc w:val="left"/>
            </w:pPr>
            <w:r>
              <w:rPr>
                <w:rFonts w:ascii="Calibri" w:hAnsi="Calibri"/>
                <w:color w:val="000000"/>
              </w:rPr>
              <w:t>ICP-MS/MS</w:t>
            </w:r>
          </w:p>
        </w:tc>
        <w:tc>
          <w:tcPr>
            <w:tcW w:w="1559" w:type="dxa"/>
            <w:tcBorders>
              <w:top w:val="single" w:sz="4" w:space="0" w:color="auto"/>
            </w:tcBorders>
          </w:tcPr>
          <w:p w14:paraId="4834C1CE" w14:textId="77777777" w:rsidR="009F29CC" w:rsidRDefault="009F29CC" w:rsidP="00541587">
            <w:pPr>
              <w:pStyle w:val="RSCT03TableBody"/>
              <w:jc w:val="left"/>
              <w:rPr>
                <w:rFonts w:ascii="Calibri" w:hAnsi="Calibri"/>
                <w:color w:val="000000"/>
              </w:rPr>
            </w:pPr>
            <w:r>
              <w:rPr>
                <w:rFonts w:ascii="Calibri" w:hAnsi="Calibri"/>
                <w:color w:val="000000"/>
              </w:rPr>
              <w:t>ICP-MS/MS</w:t>
            </w:r>
          </w:p>
        </w:tc>
        <w:tc>
          <w:tcPr>
            <w:tcW w:w="992" w:type="dxa"/>
            <w:tcBorders>
              <w:top w:val="single" w:sz="4" w:space="0" w:color="auto"/>
            </w:tcBorders>
          </w:tcPr>
          <w:p w14:paraId="529DE707" w14:textId="128889CF" w:rsidR="009F29CC" w:rsidRDefault="00D343AA" w:rsidP="00D343AA">
            <w:pPr>
              <w:pStyle w:val="RSCT03TableBody"/>
              <w:jc w:val="left"/>
            </w:pPr>
            <w:r>
              <w:rPr>
                <w:rFonts w:ascii="Calibri" w:hAnsi="Calibri"/>
                <w:color w:val="000000"/>
              </w:rPr>
              <w:t>SQ-ICP-MS</w:t>
            </w:r>
          </w:p>
        </w:tc>
        <w:tc>
          <w:tcPr>
            <w:tcW w:w="992" w:type="dxa"/>
            <w:tcBorders>
              <w:top w:val="single" w:sz="4" w:space="0" w:color="auto"/>
            </w:tcBorders>
          </w:tcPr>
          <w:p w14:paraId="03A8A546" w14:textId="46AD559E" w:rsidR="009F29CC" w:rsidRDefault="009F29CC" w:rsidP="00541587">
            <w:pPr>
              <w:pStyle w:val="RSCT03TableBody"/>
              <w:jc w:val="left"/>
              <w:rPr>
                <w:rFonts w:ascii="Calibri" w:hAnsi="Calibri"/>
                <w:color w:val="000000"/>
              </w:rPr>
            </w:pPr>
            <w:r>
              <w:rPr>
                <w:rFonts w:ascii="Calibri" w:hAnsi="Calibri"/>
                <w:color w:val="000000"/>
              </w:rPr>
              <w:t>HR-ICP-MS</w:t>
            </w:r>
          </w:p>
        </w:tc>
        <w:tc>
          <w:tcPr>
            <w:tcW w:w="1009" w:type="dxa"/>
            <w:tcBorders>
              <w:top w:val="single" w:sz="4" w:space="0" w:color="auto"/>
            </w:tcBorders>
          </w:tcPr>
          <w:p w14:paraId="4C5DF0EA" w14:textId="72640F37" w:rsidR="009F29CC" w:rsidRDefault="009F29CC" w:rsidP="00541587">
            <w:pPr>
              <w:pStyle w:val="RSCT03TableBody"/>
              <w:jc w:val="left"/>
            </w:pPr>
            <w:r>
              <w:rPr>
                <w:rFonts w:ascii="Calibri" w:hAnsi="Calibri"/>
                <w:color w:val="000000"/>
              </w:rPr>
              <w:t>ICP-OES</w:t>
            </w:r>
          </w:p>
        </w:tc>
        <w:tc>
          <w:tcPr>
            <w:tcW w:w="1037" w:type="dxa"/>
            <w:tcBorders>
              <w:top w:val="single" w:sz="4" w:space="0" w:color="auto"/>
            </w:tcBorders>
          </w:tcPr>
          <w:p w14:paraId="4AF03200" w14:textId="26B43502" w:rsidR="009F29CC" w:rsidRDefault="00D343AA" w:rsidP="00541587">
            <w:pPr>
              <w:pStyle w:val="RSCT03TableBody"/>
              <w:jc w:val="left"/>
            </w:pPr>
            <w:r>
              <w:rPr>
                <w:rFonts w:ascii="Calibri" w:hAnsi="Calibri"/>
                <w:color w:val="000000"/>
              </w:rPr>
              <w:t>SQ-ICP-MS</w:t>
            </w:r>
          </w:p>
        </w:tc>
        <w:tc>
          <w:tcPr>
            <w:tcW w:w="1325" w:type="dxa"/>
            <w:tcBorders>
              <w:top w:val="single" w:sz="4" w:space="0" w:color="auto"/>
            </w:tcBorders>
          </w:tcPr>
          <w:p w14:paraId="7BBB008A" w14:textId="00C67EC8" w:rsidR="009F29CC" w:rsidRDefault="009F29CC" w:rsidP="00541587">
            <w:pPr>
              <w:pStyle w:val="RSCT03TableBody"/>
              <w:jc w:val="left"/>
            </w:pPr>
            <w:r>
              <w:rPr>
                <w:rFonts w:ascii="Calibri" w:hAnsi="Calibri"/>
                <w:color w:val="000000"/>
              </w:rPr>
              <w:t>ICP-MS/MS</w:t>
            </w:r>
          </w:p>
        </w:tc>
      </w:tr>
      <w:tr w:rsidR="009F29CC" w14:paraId="6A184620" w14:textId="77777777" w:rsidTr="00D139B7">
        <w:tc>
          <w:tcPr>
            <w:tcW w:w="1843" w:type="dxa"/>
          </w:tcPr>
          <w:p w14:paraId="29CF18A5" w14:textId="58AB8C9B" w:rsidR="009F29CC" w:rsidRPr="00541587" w:rsidRDefault="009F29CC" w:rsidP="00541587">
            <w:pPr>
              <w:pStyle w:val="RSCT03TableBody"/>
              <w:jc w:val="left"/>
            </w:pPr>
            <w:r w:rsidRPr="00541587">
              <w:rPr>
                <w:rFonts w:ascii="Calibri" w:hAnsi="Calibri"/>
                <w:bCs/>
                <w:color w:val="000000"/>
              </w:rPr>
              <w:t>sample intro</w:t>
            </w:r>
            <w:r w:rsidR="00D5715E">
              <w:rPr>
                <w:rFonts w:ascii="Calibri" w:hAnsi="Calibri"/>
                <w:bCs/>
                <w:color w:val="000000"/>
              </w:rPr>
              <w:t>duction</w:t>
            </w:r>
          </w:p>
        </w:tc>
        <w:tc>
          <w:tcPr>
            <w:tcW w:w="1418" w:type="dxa"/>
          </w:tcPr>
          <w:p w14:paraId="08F13D9F" w14:textId="59FA7F2B" w:rsidR="009F29CC" w:rsidRDefault="009F29CC" w:rsidP="00541587">
            <w:pPr>
              <w:pStyle w:val="RSCT03TableBody"/>
              <w:jc w:val="left"/>
            </w:pPr>
            <w:r>
              <w:rPr>
                <w:rFonts w:ascii="Calibri" w:hAnsi="Calibri"/>
                <w:color w:val="000000"/>
              </w:rPr>
              <w:t>direct</w:t>
            </w:r>
          </w:p>
        </w:tc>
        <w:tc>
          <w:tcPr>
            <w:tcW w:w="1559" w:type="dxa"/>
          </w:tcPr>
          <w:p w14:paraId="780F2317" w14:textId="77777777" w:rsidR="009F29CC" w:rsidRDefault="009F29CC" w:rsidP="00541587">
            <w:pPr>
              <w:pStyle w:val="RSCT03TableBody"/>
              <w:jc w:val="left"/>
              <w:rPr>
                <w:rFonts w:ascii="Calibri" w:hAnsi="Calibri"/>
                <w:color w:val="000000"/>
              </w:rPr>
            </w:pPr>
            <w:r>
              <w:rPr>
                <w:rFonts w:ascii="Calibri" w:hAnsi="Calibri"/>
                <w:color w:val="000000"/>
              </w:rPr>
              <w:t>direct</w:t>
            </w:r>
          </w:p>
        </w:tc>
        <w:tc>
          <w:tcPr>
            <w:tcW w:w="992" w:type="dxa"/>
          </w:tcPr>
          <w:p w14:paraId="08778793" w14:textId="6FDC1DF4" w:rsidR="009F29CC" w:rsidRDefault="009F29CC" w:rsidP="00541587">
            <w:pPr>
              <w:pStyle w:val="RSCT03TableBody"/>
              <w:jc w:val="left"/>
            </w:pPr>
            <w:r>
              <w:rPr>
                <w:rFonts w:ascii="Calibri" w:hAnsi="Calibri"/>
                <w:color w:val="000000"/>
              </w:rPr>
              <w:t>direct</w:t>
            </w:r>
          </w:p>
        </w:tc>
        <w:tc>
          <w:tcPr>
            <w:tcW w:w="992" w:type="dxa"/>
          </w:tcPr>
          <w:p w14:paraId="5F6C9929" w14:textId="02BA6BEA" w:rsidR="009F29CC" w:rsidRDefault="009F29CC" w:rsidP="00541587">
            <w:pPr>
              <w:pStyle w:val="RSCT03TableBody"/>
              <w:jc w:val="left"/>
              <w:rPr>
                <w:rFonts w:ascii="Calibri" w:hAnsi="Calibri"/>
                <w:color w:val="000000"/>
              </w:rPr>
            </w:pPr>
            <w:r>
              <w:rPr>
                <w:rFonts w:ascii="Calibri" w:hAnsi="Calibri"/>
                <w:color w:val="000000"/>
              </w:rPr>
              <w:t>direct</w:t>
            </w:r>
          </w:p>
        </w:tc>
        <w:tc>
          <w:tcPr>
            <w:tcW w:w="1009" w:type="dxa"/>
          </w:tcPr>
          <w:p w14:paraId="3B11A43D" w14:textId="77D91E4E" w:rsidR="009F29CC" w:rsidRDefault="009F29CC" w:rsidP="00541587">
            <w:pPr>
              <w:pStyle w:val="RSCT03TableBody"/>
              <w:jc w:val="left"/>
            </w:pPr>
            <w:r>
              <w:rPr>
                <w:rFonts w:ascii="Calibri" w:hAnsi="Calibri"/>
                <w:color w:val="000000"/>
              </w:rPr>
              <w:t>direct</w:t>
            </w:r>
          </w:p>
        </w:tc>
        <w:tc>
          <w:tcPr>
            <w:tcW w:w="1037" w:type="dxa"/>
          </w:tcPr>
          <w:p w14:paraId="2ED697FF" w14:textId="5FFBB7A6" w:rsidR="009F29CC" w:rsidRDefault="003C65B4" w:rsidP="00541587">
            <w:pPr>
              <w:pStyle w:val="RSCT03TableBody"/>
              <w:jc w:val="left"/>
            </w:pPr>
            <w:r>
              <w:rPr>
                <w:rFonts w:ascii="Calibri" w:hAnsi="Calibri"/>
                <w:color w:val="000000"/>
              </w:rPr>
              <w:t>D</w:t>
            </w:r>
            <w:r w:rsidR="009F29CC">
              <w:rPr>
                <w:rFonts w:ascii="Calibri" w:hAnsi="Calibri"/>
                <w:color w:val="000000"/>
              </w:rPr>
              <w:t>igestion</w:t>
            </w:r>
          </w:p>
        </w:tc>
        <w:tc>
          <w:tcPr>
            <w:tcW w:w="1325" w:type="dxa"/>
          </w:tcPr>
          <w:p w14:paraId="7991D153" w14:textId="73E91FE5" w:rsidR="009F29CC" w:rsidRDefault="009F29CC" w:rsidP="00541587">
            <w:pPr>
              <w:pStyle w:val="RSCT03TableBody"/>
              <w:jc w:val="left"/>
            </w:pPr>
            <w:r>
              <w:rPr>
                <w:rFonts w:ascii="Calibri" w:hAnsi="Calibri"/>
                <w:color w:val="000000"/>
              </w:rPr>
              <w:t>digestion</w:t>
            </w:r>
          </w:p>
        </w:tc>
      </w:tr>
      <w:tr w:rsidR="00D5715E" w14:paraId="55A5326D" w14:textId="77777777" w:rsidTr="00D139B7">
        <w:tc>
          <w:tcPr>
            <w:tcW w:w="1843" w:type="dxa"/>
          </w:tcPr>
          <w:p w14:paraId="32DADAFB" w14:textId="77777777" w:rsidR="00D5715E" w:rsidRPr="00541587" w:rsidRDefault="00D5715E" w:rsidP="00541587">
            <w:pPr>
              <w:pStyle w:val="RSCT03TableBody"/>
              <w:jc w:val="left"/>
              <w:rPr>
                <w:rFonts w:ascii="Calibri" w:hAnsi="Calibri"/>
                <w:bCs/>
                <w:color w:val="000000"/>
              </w:rPr>
            </w:pPr>
          </w:p>
        </w:tc>
        <w:tc>
          <w:tcPr>
            <w:tcW w:w="1418" w:type="dxa"/>
          </w:tcPr>
          <w:p w14:paraId="110F9219" w14:textId="77777777" w:rsidR="00D5715E" w:rsidRDefault="00D5715E" w:rsidP="00541587">
            <w:pPr>
              <w:pStyle w:val="RSCT03TableBody"/>
              <w:jc w:val="left"/>
              <w:rPr>
                <w:rFonts w:ascii="Calibri" w:hAnsi="Calibri"/>
                <w:color w:val="000000"/>
              </w:rPr>
            </w:pPr>
          </w:p>
        </w:tc>
        <w:tc>
          <w:tcPr>
            <w:tcW w:w="1559" w:type="dxa"/>
          </w:tcPr>
          <w:p w14:paraId="1D64846D" w14:textId="77777777" w:rsidR="00D5715E" w:rsidRDefault="00D5715E" w:rsidP="00541587">
            <w:pPr>
              <w:pStyle w:val="RSCT03TableBody"/>
              <w:jc w:val="left"/>
              <w:rPr>
                <w:rFonts w:ascii="Calibri" w:hAnsi="Calibri"/>
                <w:color w:val="000000"/>
              </w:rPr>
            </w:pPr>
          </w:p>
        </w:tc>
        <w:tc>
          <w:tcPr>
            <w:tcW w:w="992" w:type="dxa"/>
          </w:tcPr>
          <w:p w14:paraId="34391E0B" w14:textId="77777777" w:rsidR="00D5715E" w:rsidRDefault="00D5715E" w:rsidP="00541587">
            <w:pPr>
              <w:pStyle w:val="RSCT03TableBody"/>
              <w:jc w:val="left"/>
              <w:rPr>
                <w:rFonts w:ascii="Calibri" w:hAnsi="Calibri"/>
                <w:color w:val="000000"/>
              </w:rPr>
            </w:pPr>
          </w:p>
        </w:tc>
        <w:tc>
          <w:tcPr>
            <w:tcW w:w="992" w:type="dxa"/>
          </w:tcPr>
          <w:p w14:paraId="0E425AAD" w14:textId="77777777" w:rsidR="00D5715E" w:rsidRDefault="00D5715E" w:rsidP="00541587">
            <w:pPr>
              <w:pStyle w:val="RSCT03TableBody"/>
              <w:jc w:val="left"/>
              <w:rPr>
                <w:rFonts w:ascii="Calibri" w:hAnsi="Calibri"/>
                <w:color w:val="000000"/>
              </w:rPr>
            </w:pPr>
          </w:p>
        </w:tc>
        <w:tc>
          <w:tcPr>
            <w:tcW w:w="1009" w:type="dxa"/>
          </w:tcPr>
          <w:p w14:paraId="229D47B0" w14:textId="77777777" w:rsidR="00D5715E" w:rsidRDefault="00D5715E" w:rsidP="00541587">
            <w:pPr>
              <w:pStyle w:val="RSCT03TableBody"/>
              <w:jc w:val="left"/>
              <w:rPr>
                <w:rFonts w:ascii="Calibri" w:hAnsi="Calibri"/>
                <w:color w:val="000000"/>
              </w:rPr>
            </w:pPr>
          </w:p>
        </w:tc>
        <w:tc>
          <w:tcPr>
            <w:tcW w:w="1037" w:type="dxa"/>
          </w:tcPr>
          <w:p w14:paraId="06D3DE31" w14:textId="77777777" w:rsidR="00D5715E" w:rsidRDefault="00D5715E" w:rsidP="00541587">
            <w:pPr>
              <w:pStyle w:val="RSCT03TableBody"/>
              <w:jc w:val="left"/>
              <w:rPr>
                <w:rFonts w:ascii="Calibri" w:hAnsi="Calibri"/>
                <w:color w:val="000000"/>
              </w:rPr>
            </w:pPr>
          </w:p>
        </w:tc>
        <w:tc>
          <w:tcPr>
            <w:tcW w:w="1325" w:type="dxa"/>
          </w:tcPr>
          <w:p w14:paraId="08FFBA92" w14:textId="77777777" w:rsidR="00D5715E" w:rsidRDefault="00D5715E" w:rsidP="00541587">
            <w:pPr>
              <w:pStyle w:val="RSCT03TableBody"/>
              <w:jc w:val="left"/>
              <w:rPr>
                <w:rFonts w:ascii="Calibri" w:hAnsi="Calibri"/>
                <w:color w:val="000000"/>
              </w:rPr>
            </w:pPr>
          </w:p>
        </w:tc>
      </w:tr>
      <w:tr w:rsidR="009F29CC" w14:paraId="69CE3C87" w14:textId="77777777" w:rsidTr="00D139B7">
        <w:tc>
          <w:tcPr>
            <w:tcW w:w="1843" w:type="dxa"/>
          </w:tcPr>
          <w:p w14:paraId="404725E6" w14:textId="51D17190" w:rsidR="009F29CC" w:rsidRPr="00541587" w:rsidRDefault="009F29CC" w:rsidP="00541587">
            <w:pPr>
              <w:pStyle w:val="RSCT03TableBody"/>
              <w:jc w:val="left"/>
            </w:pPr>
            <w:r w:rsidRPr="00541587">
              <w:rPr>
                <w:rFonts w:ascii="Calibri" w:hAnsi="Calibri"/>
                <w:bCs/>
                <w:color w:val="000000"/>
              </w:rPr>
              <w:t>dilution</w:t>
            </w:r>
          </w:p>
        </w:tc>
        <w:tc>
          <w:tcPr>
            <w:tcW w:w="1418" w:type="dxa"/>
          </w:tcPr>
          <w:p w14:paraId="0485AE18" w14:textId="410F0A19" w:rsidR="009F29CC" w:rsidRDefault="009F29CC" w:rsidP="00541587">
            <w:pPr>
              <w:pStyle w:val="RSCT03TableBody"/>
              <w:jc w:val="left"/>
            </w:pPr>
            <w:r>
              <w:rPr>
                <w:rFonts w:ascii="Calibri" w:hAnsi="Calibri"/>
                <w:color w:val="000000"/>
              </w:rPr>
              <w:t>1:15</w:t>
            </w:r>
          </w:p>
        </w:tc>
        <w:tc>
          <w:tcPr>
            <w:tcW w:w="1559" w:type="dxa"/>
          </w:tcPr>
          <w:p w14:paraId="56580D93" w14:textId="77777777" w:rsidR="009F29CC" w:rsidRDefault="009F29CC" w:rsidP="00541587">
            <w:pPr>
              <w:pStyle w:val="RSCT03TableBody"/>
              <w:jc w:val="left"/>
              <w:rPr>
                <w:rFonts w:ascii="Calibri" w:hAnsi="Calibri"/>
                <w:color w:val="000000"/>
              </w:rPr>
            </w:pPr>
            <w:r>
              <w:rPr>
                <w:rFonts w:ascii="Calibri" w:hAnsi="Calibri"/>
                <w:color w:val="000000"/>
              </w:rPr>
              <w:t>1:20</w:t>
            </w:r>
          </w:p>
        </w:tc>
        <w:tc>
          <w:tcPr>
            <w:tcW w:w="992" w:type="dxa"/>
          </w:tcPr>
          <w:p w14:paraId="692FA6CD" w14:textId="4FD2E4E7" w:rsidR="009F29CC" w:rsidRDefault="009F29CC" w:rsidP="00541587">
            <w:pPr>
              <w:pStyle w:val="RSCT03TableBody"/>
              <w:jc w:val="left"/>
            </w:pPr>
            <w:r>
              <w:rPr>
                <w:rFonts w:ascii="Calibri" w:hAnsi="Calibri"/>
                <w:color w:val="000000"/>
              </w:rPr>
              <w:t>1:50</w:t>
            </w:r>
          </w:p>
        </w:tc>
        <w:tc>
          <w:tcPr>
            <w:tcW w:w="992" w:type="dxa"/>
          </w:tcPr>
          <w:p w14:paraId="03D6DB25" w14:textId="44CA977F" w:rsidR="009F29CC" w:rsidRDefault="009F29CC" w:rsidP="00541587">
            <w:pPr>
              <w:pStyle w:val="RSCT03TableBody"/>
              <w:jc w:val="left"/>
              <w:rPr>
                <w:rFonts w:ascii="Calibri" w:hAnsi="Calibri"/>
                <w:color w:val="000000"/>
              </w:rPr>
            </w:pPr>
            <w:r>
              <w:rPr>
                <w:rFonts w:ascii="Calibri" w:hAnsi="Calibri"/>
                <w:color w:val="000000"/>
              </w:rPr>
              <w:t>1:20</w:t>
            </w:r>
          </w:p>
        </w:tc>
        <w:tc>
          <w:tcPr>
            <w:tcW w:w="1009" w:type="dxa"/>
          </w:tcPr>
          <w:p w14:paraId="159AA929" w14:textId="643C996D" w:rsidR="009F29CC" w:rsidRDefault="009F29CC" w:rsidP="00541587">
            <w:pPr>
              <w:pStyle w:val="RSCT03TableBody"/>
              <w:jc w:val="left"/>
            </w:pPr>
            <w:r>
              <w:rPr>
                <w:rFonts w:ascii="Calibri" w:hAnsi="Calibri"/>
                <w:color w:val="000000"/>
              </w:rPr>
              <w:t>1:5</w:t>
            </w:r>
          </w:p>
        </w:tc>
        <w:tc>
          <w:tcPr>
            <w:tcW w:w="1037" w:type="dxa"/>
          </w:tcPr>
          <w:p w14:paraId="695844DC" w14:textId="6BB2D335" w:rsidR="009F29CC" w:rsidRDefault="009F29CC" w:rsidP="00541587">
            <w:pPr>
              <w:pStyle w:val="RSCT03TableBody"/>
              <w:jc w:val="left"/>
            </w:pPr>
            <w:r>
              <w:rPr>
                <w:rFonts w:ascii="Calibri" w:hAnsi="Calibri"/>
                <w:color w:val="000000"/>
              </w:rPr>
              <w:t>1:12.5</w:t>
            </w:r>
          </w:p>
        </w:tc>
        <w:tc>
          <w:tcPr>
            <w:tcW w:w="1325" w:type="dxa"/>
          </w:tcPr>
          <w:p w14:paraId="7A56AA3F" w14:textId="465D8473" w:rsidR="009F29CC" w:rsidRDefault="009F29CC" w:rsidP="00541587">
            <w:pPr>
              <w:pStyle w:val="RSCT03TableBody"/>
              <w:jc w:val="left"/>
            </w:pPr>
            <w:r>
              <w:rPr>
                <w:rFonts w:ascii="Calibri" w:hAnsi="Calibri"/>
                <w:color w:val="000000"/>
              </w:rPr>
              <w:t>1:10</w:t>
            </w:r>
          </w:p>
        </w:tc>
      </w:tr>
      <w:tr w:rsidR="009F29CC" w14:paraId="5D982567" w14:textId="77777777" w:rsidTr="00D139B7">
        <w:tc>
          <w:tcPr>
            <w:tcW w:w="1843" w:type="dxa"/>
          </w:tcPr>
          <w:p w14:paraId="27F4FACF" w14:textId="6E149BE2" w:rsidR="009F29CC" w:rsidRPr="00541587" w:rsidRDefault="009F29CC" w:rsidP="00541587">
            <w:pPr>
              <w:pStyle w:val="RSCT03TableBody"/>
              <w:jc w:val="left"/>
            </w:pPr>
            <w:r w:rsidRPr="00541587">
              <w:rPr>
                <w:rFonts w:ascii="Calibri" w:hAnsi="Calibri"/>
                <w:color w:val="000000"/>
              </w:rPr>
              <w:t>Analyte</w:t>
            </w:r>
          </w:p>
        </w:tc>
        <w:tc>
          <w:tcPr>
            <w:tcW w:w="1418" w:type="dxa"/>
          </w:tcPr>
          <w:p w14:paraId="7C46A306" w14:textId="700C0802" w:rsidR="009F29CC" w:rsidRDefault="009F29CC" w:rsidP="00541587">
            <w:pPr>
              <w:pStyle w:val="RSCT03TableBody"/>
              <w:jc w:val="left"/>
            </w:pPr>
            <w:r>
              <w:rPr>
                <w:rFonts w:ascii="Calibri" w:hAnsi="Calibri"/>
                <w:color w:val="000000"/>
                <w:vertAlign w:val="superscript"/>
              </w:rPr>
              <w:t xml:space="preserve">48 </w:t>
            </w:r>
            <w:r>
              <w:rPr>
                <w:rFonts w:ascii="Calibri" w:hAnsi="Calibri"/>
                <w:color w:val="000000"/>
              </w:rPr>
              <w:t xml:space="preserve">Ti -&gt; </w:t>
            </w:r>
            <w:r>
              <w:rPr>
                <w:rFonts w:ascii="Calibri" w:hAnsi="Calibri"/>
                <w:color w:val="000000"/>
                <w:vertAlign w:val="superscript"/>
              </w:rPr>
              <w:t>150</w:t>
            </w:r>
            <w:r>
              <w:rPr>
                <w:rFonts w:ascii="Calibri" w:hAnsi="Calibri"/>
                <w:color w:val="000000"/>
              </w:rPr>
              <w:t>Ti [NH</w:t>
            </w:r>
            <w:r>
              <w:rPr>
                <w:rFonts w:ascii="Calibri" w:hAnsi="Calibri"/>
                <w:color w:val="000000"/>
                <w:vertAlign w:val="subscript"/>
              </w:rPr>
              <w:t>3</w:t>
            </w:r>
            <w:r>
              <w:rPr>
                <w:rFonts w:ascii="Calibri" w:hAnsi="Calibri"/>
                <w:color w:val="000000"/>
              </w:rPr>
              <w:t xml:space="preserve">] </w:t>
            </w:r>
          </w:p>
        </w:tc>
        <w:tc>
          <w:tcPr>
            <w:tcW w:w="1559" w:type="dxa"/>
          </w:tcPr>
          <w:p w14:paraId="3CE9167D" w14:textId="00D75D1F" w:rsidR="009F29CC" w:rsidRDefault="009F29CC" w:rsidP="00541587">
            <w:pPr>
              <w:pStyle w:val="RSCT03TableBody"/>
              <w:jc w:val="left"/>
            </w:pPr>
            <w:r>
              <w:rPr>
                <w:rFonts w:ascii="Calibri" w:hAnsi="Calibri"/>
                <w:color w:val="000000"/>
                <w:vertAlign w:val="superscript"/>
              </w:rPr>
              <w:t>48</w:t>
            </w:r>
            <w:r>
              <w:rPr>
                <w:rFonts w:ascii="Calibri" w:hAnsi="Calibri"/>
                <w:color w:val="000000"/>
              </w:rPr>
              <w:t xml:space="preserve">Ti -&gt; </w:t>
            </w:r>
            <w:r>
              <w:rPr>
                <w:rFonts w:ascii="Calibri" w:hAnsi="Calibri"/>
                <w:color w:val="000000"/>
                <w:vertAlign w:val="superscript"/>
              </w:rPr>
              <w:t>64</w:t>
            </w:r>
            <w:r>
              <w:rPr>
                <w:rFonts w:ascii="Calibri" w:hAnsi="Calibri"/>
                <w:color w:val="000000"/>
              </w:rPr>
              <w:t>Ti [O</w:t>
            </w:r>
            <w:r>
              <w:rPr>
                <w:rFonts w:ascii="Calibri" w:hAnsi="Calibri"/>
                <w:color w:val="000000"/>
                <w:vertAlign w:val="subscript"/>
              </w:rPr>
              <w:t>2</w:t>
            </w:r>
            <w:r>
              <w:rPr>
                <w:rFonts w:ascii="Calibri" w:hAnsi="Calibri"/>
                <w:color w:val="000000"/>
              </w:rPr>
              <w:t>H</w:t>
            </w:r>
            <w:r>
              <w:rPr>
                <w:rFonts w:ascii="Calibri" w:hAnsi="Calibri"/>
                <w:color w:val="000000"/>
                <w:vertAlign w:val="subscript"/>
              </w:rPr>
              <w:t>2</w:t>
            </w:r>
            <w:r>
              <w:rPr>
                <w:rFonts w:ascii="Calibri" w:hAnsi="Calibri"/>
                <w:color w:val="000000"/>
              </w:rPr>
              <w:t xml:space="preserve"> ] </w:t>
            </w:r>
            <w:r w:rsidR="00541587">
              <w:rPr>
                <w:rFonts w:ascii="Calibri" w:hAnsi="Calibri"/>
                <w:color w:val="000000"/>
              </w:rPr>
              <w:t>*</w:t>
            </w:r>
          </w:p>
        </w:tc>
        <w:tc>
          <w:tcPr>
            <w:tcW w:w="992" w:type="dxa"/>
          </w:tcPr>
          <w:p w14:paraId="5510963F" w14:textId="0D1B35F9" w:rsidR="009F29CC" w:rsidRDefault="009F29CC" w:rsidP="00541587">
            <w:pPr>
              <w:pStyle w:val="RSCT03TableBody"/>
              <w:jc w:val="left"/>
            </w:pPr>
            <w:r>
              <w:rPr>
                <w:rFonts w:ascii="Calibri" w:hAnsi="Calibri"/>
                <w:color w:val="000000"/>
                <w:vertAlign w:val="superscript"/>
              </w:rPr>
              <w:t>49</w:t>
            </w:r>
            <w:r>
              <w:rPr>
                <w:rFonts w:ascii="Calibri" w:hAnsi="Calibri"/>
                <w:color w:val="000000"/>
              </w:rPr>
              <w:t xml:space="preserve"> Ti</w:t>
            </w:r>
          </w:p>
        </w:tc>
        <w:tc>
          <w:tcPr>
            <w:tcW w:w="992" w:type="dxa"/>
          </w:tcPr>
          <w:p w14:paraId="2D62CDAF" w14:textId="1C53D934" w:rsidR="009F29CC" w:rsidRDefault="009F29CC" w:rsidP="00541587">
            <w:pPr>
              <w:pStyle w:val="RSCT03TableBody"/>
              <w:jc w:val="left"/>
            </w:pPr>
            <w:r>
              <w:rPr>
                <w:rFonts w:ascii="Calibri" w:hAnsi="Calibri"/>
                <w:color w:val="000000"/>
                <w:vertAlign w:val="superscript"/>
              </w:rPr>
              <w:t>49</w:t>
            </w:r>
            <w:r>
              <w:rPr>
                <w:rFonts w:ascii="Calibri" w:hAnsi="Calibri"/>
                <w:color w:val="000000"/>
              </w:rPr>
              <w:t>Ti</w:t>
            </w:r>
          </w:p>
        </w:tc>
        <w:tc>
          <w:tcPr>
            <w:tcW w:w="1009" w:type="dxa"/>
          </w:tcPr>
          <w:p w14:paraId="344EF5C0" w14:textId="57C052D7" w:rsidR="009F29CC" w:rsidRDefault="009F29CC" w:rsidP="00541587">
            <w:pPr>
              <w:pStyle w:val="RSCT03TableBody"/>
              <w:jc w:val="left"/>
            </w:pPr>
            <w:r>
              <w:rPr>
                <w:rFonts w:ascii="Calibri" w:hAnsi="Calibri"/>
                <w:color w:val="000000"/>
              </w:rPr>
              <w:t>Ti, 336.1nm</w:t>
            </w:r>
          </w:p>
        </w:tc>
        <w:tc>
          <w:tcPr>
            <w:tcW w:w="1037" w:type="dxa"/>
          </w:tcPr>
          <w:p w14:paraId="5436A409" w14:textId="611C1692" w:rsidR="009F29CC" w:rsidRDefault="009F29CC" w:rsidP="00541587">
            <w:pPr>
              <w:pStyle w:val="RSCT03TableBody"/>
              <w:jc w:val="left"/>
            </w:pPr>
            <w:r>
              <w:rPr>
                <w:rFonts w:ascii="Calibri" w:hAnsi="Calibri"/>
                <w:color w:val="000000"/>
                <w:vertAlign w:val="superscript"/>
              </w:rPr>
              <w:t xml:space="preserve">49 </w:t>
            </w:r>
            <w:r>
              <w:rPr>
                <w:rFonts w:ascii="Calibri" w:hAnsi="Calibri"/>
                <w:color w:val="000000"/>
              </w:rPr>
              <w:t>Ti*</w:t>
            </w:r>
            <w:r w:rsidR="00541587">
              <w:rPr>
                <w:rFonts w:ascii="Calibri" w:hAnsi="Calibri"/>
                <w:color w:val="000000"/>
              </w:rPr>
              <w:t>*</w:t>
            </w:r>
          </w:p>
        </w:tc>
        <w:tc>
          <w:tcPr>
            <w:tcW w:w="1325" w:type="dxa"/>
          </w:tcPr>
          <w:p w14:paraId="4F3FCC94" w14:textId="5ADC12B4" w:rsidR="009F29CC" w:rsidRDefault="009F29CC" w:rsidP="00541587">
            <w:pPr>
              <w:pStyle w:val="RSCT03TableBody"/>
              <w:jc w:val="left"/>
            </w:pPr>
            <w:r w:rsidRPr="00731475">
              <w:rPr>
                <w:rFonts w:ascii="Calibri" w:hAnsi="Calibri"/>
                <w:color w:val="000000"/>
                <w:vertAlign w:val="superscript"/>
              </w:rPr>
              <w:t xml:space="preserve">48 </w:t>
            </w:r>
            <w:r w:rsidR="00731475">
              <w:rPr>
                <w:rFonts w:ascii="Calibri" w:hAnsi="Calibri"/>
                <w:color w:val="000000"/>
              </w:rPr>
              <w:t>Ti</w:t>
            </w:r>
            <w:r>
              <w:rPr>
                <w:rFonts w:ascii="Calibri" w:hAnsi="Calibri"/>
                <w:color w:val="000000"/>
              </w:rPr>
              <w:t xml:space="preserve">-&gt; </w:t>
            </w:r>
            <w:r>
              <w:rPr>
                <w:rFonts w:ascii="Calibri" w:hAnsi="Calibri"/>
                <w:color w:val="000000"/>
                <w:vertAlign w:val="superscript"/>
              </w:rPr>
              <w:t>64</w:t>
            </w:r>
            <w:r>
              <w:rPr>
                <w:rFonts w:ascii="Calibri" w:hAnsi="Calibri"/>
                <w:color w:val="000000"/>
              </w:rPr>
              <w:t>Ti [O</w:t>
            </w:r>
            <w:r>
              <w:rPr>
                <w:rFonts w:ascii="Calibri" w:hAnsi="Calibri"/>
                <w:color w:val="000000"/>
                <w:vertAlign w:val="subscript"/>
              </w:rPr>
              <w:t>2</w:t>
            </w:r>
            <w:r>
              <w:rPr>
                <w:rFonts w:ascii="Calibri" w:hAnsi="Calibri"/>
                <w:color w:val="000000"/>
              </w:rPr>
              <w:t>H</w:t>
            </w:r>
            <w:r>
              <w:rPr>
                <w:rFonts w:ascii="Calibri" w:hAnsi="Calibri"/>
                <w:color w:val="000000"/>
                <w:vertAlign w:val="subscript"/>
              </w:rPr>
              <w:t>2</w:t>
            </w:r>
            <w:r w:rsidR="00541587">
              <w:rPr>
                <w:rFonts w:ascii="Calibri" w:hAnsi="Calibri"/>
                <w:color w:val="000000"/>
              </w:rPr>
              <w:t>]</w:t>
            </w:r>
          </w:p>
        </w:tc>
      </w:tr>
      <w:tr w:rsidR="00D139B7" w14:paraId="5F1855BC" w14:textId="77777777" w:rsidTr="00D139B7">
        <w:tc>
          <w:tcPr>
            <w:tcW w:w="1843" w:type="dxa"/>
          </w:tcPr>
          <w:p w14:paraId="136D9894" w14:textId="4E9FF3E7" w:rsidR="00D139B7" w:rsidRPr="00541587" w:rsidRDefault="00D139B7" w:rsidP="000C5C6A">
            <w:pPr>
              <w:pStyle w:val="RSCT03TableBody"/>
              <w:jc w:val="left"/>
              <w:rPr>
                <w:rFonts w:ascii="Calibri" w:hAnsi="Calibri"/>
                <w:color w:val="000000"/>
              </w:rPr>
            </w:pPr>
            <w:r>
              <w:rPr>
                <w:rFonts w:ascii="Calibri" w:hAnsi="Calibri"/>
                <w:color w:val="000000"/>
              </w:rPr>
              <w:t xml:space="preserve">LOQ, </w:t>
            </w:r>
            <w:r w:rsidR="00511C8D">
              <w:rPr>
                <w:rFonts w:ascii="Calibri" w:hAnsi="Calibri"/>
                <w:color w:val="000000"/>
              </w:rPr>
              <w:t>µg/L</w:t>
            </w:r>
          </w:p>
        </w:tc>
        <w:tc>
          <w:tcPr>
            <w:tcW w:w="1418" w:type="dxa"/>
          </w:tcPr>
          <w:p w14:paraId="6E8329B9" w14:textId="6475D9CA" w:rsidR="00D139B7" w:rsidRDefault="00D139B7" w:rsidP="00D139B7">
            <w:pPr>
              <w:pStyle w:val="RSCT03TableBody"/>
              <w:jc w:val="left"/>
              <w:rPr>
                <w:rFonts w:ascii="Calibri" w:hAnsi="Calibri"/>
                <w:color w:val="000000"/>
              </w:rPr>
            </w:pPr>
            <w:r>
              <w:rPr>
                <w:rFonts w:ascii="Calibri" w:hAnsi="Calibri"/>
                <w:color w:val="000000"/>
              </w:rPr>
              <w:t>1.56</w:t>
            </w:r>
          </w:p>
        </w:tc>
        <w:tc>
          <w:tcPr>
            <w:tcW w:w="1559" w:type="dxa"/>
          </w:tcPr>
          <w:p w14:paraId="38E4A03F" w14:textId="1831084E" w:rsidR="00D139B7" w:rsidRDefault="00D139B7" w:rsidP="00541587">
            <w:pPr>
              <w:pStyle w:val="RSCT03TableBody"/>
              <w:jc w:val="left"/>
              <w:rPr>
                <w:rFonts w:ascii="Calibri" w:hAnsi="Calibri"/>
                <w:color w:val="000000"/>
              </w:rPr>
            </w:pPr>
            <w:r>
              <w:rPr>
                <w:rFonts w:ascii="Calibri" w:hAnsi="Calibri"/>
                <w:color w:val="000000"/>
              </w:rPr>
              <w:t>0.256</w:t>
            </w:r>
          </w:p>
        </w:tc>
        <w:tc>
          <w:tcPr>
            <w:tcW w:w="992" w:type="dxa"/>
          </w:tcPr>
          <w:p w14:paraId="35E460B0" w14:textId="2C185DB9" w:rsidR="00D139B7" w:rsidRDefault="00D139B7" w:rsidP="00541587">
            <w:pPr>
              <w:pStyle w:val="RSCT03TableBody"/>
              <w:jc w:val="left"/>
              <w:rPr>
                <w:rFonts w:ascii="Calibri" w:hAnsi="Calibri"/>
                <w:color w:val="000000"/>
              </w:rPr>
            </w:pPr>
            <w:r>
              <w:rPr>
                <w:rFonts w:ascii="Calibri" w:hAnsi="Calibri"/>
                <w:color w:val="000000"/>
              </w:rPr>
              <w:t>8.77</w:t>
            </w:r>
          </w:p>
        </w:tc>
        <w:tc>
          <w:tcPr>
            <w:tcW w:w="992" w:type="dxa"/>
          </w:tcPr>
          <w:p w14:paraId="155E0493" w14:textId="63656CF3" w:rsidR="00D139B7" w:rsidRDefault="00154892" w:rsidP="00541587">
            <w:pPr>
              <w:pStyle w:val="RSCT03TableBody"/>
              <w:jc w:val="left"/>
              <w:rPr>
                <w:rFonts w:ascii="Calibri" w:hAnsi="Calibri"/>
                <w:color w:val="000000"/>
              </w:rPr>
            </w:pPr>
            <w:r>
              <w:rPr>
                <w:rFonts w:ascii="Calibri" w:hAnsi="Calibri"/>
                <w:color w:val="000000"/>
              </w:rPr>
              <w:t>0.96</w:t>
            </w:r>
          </w:p>
        </w:tc>
        <w:tc>
          <w:tcPr>
            <w:tcW w:w="1009" w:type="dxa"/>
          </w:tcPr>
          <w:p w14:paraId="52E23D90" w14:textId="78CD7F0D" w:rsidR="00D139B7" w:rsidRDefault="00D139B7" w:rsidP="00541587">
            <w:pPr>
              <w:pStyle w:val="RSCT03TableBody"/>
              <w:jc w:val="left"/>
              <w:rPr>
                <w:color w:val="000000"/>
              </w:rPr>
            </w:pPr>
            <w:r>
              <w:rPr>
                <w:color w:val="000000"/>
              </w:rPr>
              <w:t>1.9</w:t>
            </w:r>
          </w:p>
        </w:tc>
        <w:tc>
          <w:tcPr>
            <w:tcW w:w="1037" w:type="dxa"/>
          </w:tcPr>
          <w:p w14:paraId="4C60A610" w14:textId="7E90171F" w:rsidR="00D139B7" w:rsidRDefault="00D139B7" w:rsidP="00541587">
            <w:pPr>
              <w:pStyle w:val="RSCT03TableBody"/>
              <w:jc w:val="left"/>
              <w:rPr>
                <w:rFonts w:ascii="Calibri" w:hAnsi="Calibri"/>
                <w:color w:val="000000"/>
              </w:rPr>
            </w:pPr>
            <w:r>
              <w:rPr>
                <w:rFonts w:ascii="Calibri" w:hAnsi="Calibri"/>
                <w:color w:val="000000"/>
              </w:rPr>
              <w:t>1.6</w:t>
            </w:r>
          </w:p>
        </w:tc>
        <w:tc>
          <w:tcPr>
            <w:tcW w:w="1325" w:type="dxa"/>
            <w:vAlign w:val="center"/>
          </w:tcPr>
          <w:p w14:paraId="32CF8B1B" w14:textId="78D3F4C6" w:rsidR="00D139B7" w:rsidRDefault="00D139B7" w:rsidP="00541587">
            <w:pPr>
              <w:pStyle w:val="RSCT03TableBody"/>
              <w:jc w:val="left"/>
              <w:rPr>
                <w:rFonts w:ascii="Calibri" w:hAnsi="Calibri"/>
                <w:color w:val="000000"/>
              </w:rPr>
            </w:pPr>
            <w:r>
              <w:rPr>
                <w:rFonts w:ascii="Calibri" w:hAnsi="Calibri"/>
                <w:color w:val="000000"/>
              </w:rPr>
              <w:t>7</w:t>
            </w:r>
          </w:p>
        </w:tc>
      </w:tr>
      <w:tr w:rsidR="00145BDF" w14:paraId="58B3A202" w14:textId="77777777" w:rsidTr="00D139B7">
        <w:tc>
          <w:tcPr>
            <w:tcW w:w="1843" w:type="dxa"/>
          </w:tcPr>
          <w:p w14:paraId="30DFBFE1" w14:textId="6B11DCAF" w:rsidR="00145BDF" w:rsidRPr="00541587" w:rsidRDefault="00145BDF" w:rsidP="000C5C6A">
            <w:pPr>
              <w:pStyle w:val="RSCT03TableBody"/>
              <w:jc w:val="left"/>
            </w:pPr>
            <w:r w:rsidRPr="00541587">
              <w:rPr>
                <w:rFonts w:ascii="Calibri" w:hAnsi="Calibri"/>
                <w:color w:val="000000"/>
              </w:rPr>
              <w:t>Intercept, cps</w:t>
            </w:r>
          </w:p>
        </w:tc>
        <w:tc>
          <w:tcPr>
            <w:tcW w:w="1418" w:type="dxa"/>
          </w:tcPr>
          <w:p w14:paraId="12D0DDF4" w14:textId="2C443838" w:rsidR="00145BDF" w:rsidRDefault="00145BDF" w:rsidP="00541587">
            <w:pPr>
              <w:pStyle w:val="RSCT03TableBody"/>
              <w:jc w:val="left"/>
            </w:pPr>
            <w:r>
              <w:rPr>
                <w:rFonts w:ascii="Calibri" w:hAnsi="Calibri"/>
                <w:color w:val="000000"/>
              </w:rPr>
              <w:t>34</w:t>
            </w:r>
          </w:p>
        </w:tc>
        <w:tc>
          <w:tcPr>
            <w:tcW w:w="1559" w:type="dxa"/>
          </w:tcPr>
          <w:p w14:paraId="71DF8A7E" w14:textId="7C63A339" w:rsidR="00145BDF" w:rsidRDefault="00145BDF" w:rsidP="00541587">
            <w:pPr>
              <w:pStyle w:val="RSCT03TableBody"/>
              <w:jc w:val="left"/>
            </w:pPr>
            <w:r>
              <w:rPr>
                <w:rFonts w:ascii="Calibri" w:hAnsi="Calibri"/>
                <w:color w:val="000000"/>
              </w:rPr>
              <w:t>89</w:t>
            </w:r>
          </w:p>
        </w:tc>
        <w:tc>
          <w:tcPr>
            <w:tcW w:w="992" w:type="dxa"/>
          </w:tcPr>
          <w:p w14:paraId="27D0EE19" w14:textId="78D4D30D" w:rsidR="00145BDF" w:rsidRDefault="00145BDF" w:rsidP="00541587">
            <w:pPr>
              <w:pStyle w:val="RSCT03TableBody"/>
              <w:jc w:val="left"/>
            </w:pPr>
            <w:r>
              <w:rPr>
                <w:rFonts w:ascii="Calibri" w:hAnsi="Calibri"/>
                <w:color w:val="000000"/>
              </w:rPr>
              <w:t>44.16</w:t>
            </w:r>
          </w:p>
        </w:tc>
        <w:tc>
          <w:tcPr>
            <w:tcW w:w="992" w:type="dxa"/>
          </w:tcPr>
          <w:p w14:paraId="4A12A6F1" w14:textId="0FC4B4F4" w:rsidR="00145BDF" w:rsidRDefault="00145BDF" w:rsidP="00541587">
            <w:pPr>
              <w:pStyle w:val="RSCT03TableBody"/>
              <w:jc w:val="left"/>
            </w:pPr>
            <w:r>
              <w:rPr>
                <w:rFonts w:ascii="Calibri" w:hAnsi="Calibri"/>
                <w:color w:val="000000"/>
              </w:rPr>
              <w:t>10</w:t>
            </w:r>
          </w:p>
        </w:tc>
        <w:tc>
          <w:tcPr>
            <w:tcW w:w="1009" w:type="dxa"/>
          </w:tcPr>
          <w:p w14:paraId="7A1855F5" w14:textId="33E8671D" w:rsidR="00145BDF" w:rsidRDefault="00145BDF" w:rsidP="00541587">
            <w:pPr>
              <w:pStyle w:val="RSCT03TableBody"/>
              <w:jc w:val="left"/>
            </w:pPr>
            <w:r>
              <w:rPr>
                <w:color w:val="000000"/>
              </w:rPr>
              <w:t>0.008</w:t>
            </w:r>
          </w:p>
        </w:tc>
        <w:tc>
          <w:tcPr>
            <w:tcW w:w="1037" w:type="dxa"/>
          </w:tcPr>
          <w:p w14:paraId="12A68E2B" w14:textId="29563F90" w:rsidR="00145BDF" w:rsidRDefault="00145BDF" w:rsidP="00541587">
            <w:pPr>
              <w:pStyle w:val="RSCT03TableBody"/>
              <w:jc w:val="left"/>
            </w:pPr>
            <w:r>
              <w:rPr>
                <w:rFonts w:ascii="Calibri" w:hAnsi="Calibri"/>
                <w:color w:val="000000"/>
              </w:rPr>
              <w:t>14.213</w:t>
            </w:r>
          </w:p>
        </w:tc>
        <w:tc>
          <w:tcPr>
            <w:tcW w:w="1325" w:type="dxa"/>
            <w:vAlign w:val="center"/>
          </w:tcPr>
          <w:p w14:paraId="1AA8CC55" w14:textId="30C7C905" w:rsidR="00145BDF" w:rsidRDefault="00145BDF" w:rsidP="00541587">
            <w:pPr>
              <w:pStyle w:val="RSCT03TableBody"/>
              <w:jc w:val="left"/>
            </w:pPr>
            <w:r>
              <w:rPr>
                <w:rFonts w:ascii="Calibri" w:hAnsi="Calibri"/>
                <w:color w:val="000000"/>
              </w:rPr>
              <w:t>0.00045</w:t>
            </w:r>
          </w:p>
        </w:tc>
      </w:tr>
      <w:tr w:rsidR="00145BDF" w14:paraId="19943AD1" w14:textId="77777777" w:rsidTr="00D139B7">
        <w:tc>
          <w:tcPr>
            <w:tcW w:w="1843" w:type="dxa"/>
          </w:tcPr>
          <w:p w14:paraId="7E5B0B5A" w14:textId="28F1A8EA" w:rsidR="00145BDF" w:rsidRPr="00541587" w:rsidRDefault="00145BDF" w:rsidP="005A4262">
            <w:pPr>
              <w:pStyle w:val="RSCT03TableBody"/>
              <w:jc w:val="left"/>
            </w:pPr>
            <w:r w:rsidRPr="00541587">
              <w:rPr>
                <w:rFonts w:ascii="Calibri" w:hAnsi="Calibri"/>
                <w:color w:val="000000"/>
              </w:rPr>
              <w:t xml:space="preserve">BEC, </w:t>
            </w:r>
            <w:r w:rsidR="00511C8D">
              <w:rPr>
                <w:color w:val="000000"/>
              </w:rPr>
              <w:t>µg/L</w:t>
            </w:r>
          </w:p>
        </w:tc>
        <w:tc>
          <w:tcPr>
            <w:tcW w:w="1418" w:type="dxa"/>
          </w:tcPr>
          <w:p w14:paraId="05CF79BB" w14:textId="2DDFB28F" w:rsidR="00145BDF" w:rsidRDefault="00145BDF" w:rsidP="005A4262">
            <w:pPr>
              <w:pStyle w:val="RSCT03TableBody"/>
              <w:jc w:val="left"/>
            </w:pPr>
            <w:r>
              <w:rPr>
                <w:rFonts w:ascii="Calibri" w:hAnsi="Calibri"/>
                <w:color w:val="000000"/>
              </w:rPr>
              <w:t>1.24</w:t>
            </w:r>
          </w:p>
        </w:tc>
        <w:tc>
          <w:tcPr>
            <w:tcW w:w="1559" w:type="dxa"/>
          </w:tcPr>
          <w:p w14:paraId="037D9C21" w14:textId="0549EEAA" w:rsidR="00145BDF" w:rsidRDefault="00145BDF" w:rsidP="005A4262">
            <w:pPr>
              <w:pStyle w:val="RSCT03TableBody"/>
              <w:jc w:val="left"/>
            </w:pPr>
            <w:r>
              <w:rPr>
                <w:rFonts w:ascii="Calibri" w:hAnsi="Calibri"/>
                <w:color w:val="000000"/>
              </w:rPr>
              <w:t>0.013</w:t>
            </w:r>
          </w:p>
        </w:tc>
        <w:tc>
          <w:tcPr>
            <w:tcW w:w="992" w:type="dxa"/>
          </w:tcPr>
          <w:p w14:paraId="04DB6360" w14:textId="6F3913EB" w:rsidR="00145BDF" w:rsidRDefault="00145BDF" w:rsidP="005A4262">
            <w:pPr>
              <w:pStyle w:val="RSCT03TableBody"/>
              <w:jc w:val="left"/>
            </w:pPr>
            <w:r>
              <w:rPr>
                <w:rFonts w:ascii="Calibri" w:hAnsi="Calibri"/>
                <w:color w:val="000000"/>
              </w:rPr>
              <w:t>0.175</w:t>
            </w:r>
          </w:p>
        </w:tc>
        <w:tc>
          <w:tcPr>
            <w:tcW w:w="992" w:type="dxa"/>
          </w:tcPr>
          <w:p w14:paraId="0726A5FD" w14:textId="42D3C525" w:rsidR="00145BDF" w:rsidRDefault="00145BDF" w:rsidP="005A4262">
            <w:pPr>
              <w:pStyle w:val="RSCT03TableBody"/>
              <w:jc w:val="left"/>
            </w:pPr>
            <w:r>
              <w:rPr>
                <w:rFonts w:ascii="Calibri" w:hAnsi="Calibri"/>
                <w:color w:val="000000"/>
              </w:rPr>
              <w:t>0.09</w:t>
            </w:r>
          </w:p>
        </w:tc>
        <w:tc>
          <w:tcPr>
            <w:tcW w:w="1009" w:type="dxa"/>
          </w:tcPr>
          <w:p w14:paraId="1FB23A2E" w14:textId="78D9AA0C" w:rsidR="00145BDF" w:rsidRDefault="00145BDF" w:rsidP="005A4262">
            <w:pPr>
              <w:pStyle w:val="RSCT03TableBody"/>
              <w:jc w:val="left"/>
            </w:pPr>
            <w:r>
              <w:rPr>
                <w:rFonts w:ascii="Calibri" w:hAnsi="Calibri"/>
                <w:color w:val="000000"/>
                <w:sz w:val="22"/>
                <w:szCs w:val="22"/>
              </w:rPr>
              <w:t> </w:t>
            </w:r>
          </w:p>
        </w:tc>
        <w:tc>
          <w:tcPr>
            <w:tcW w:w="1037" w:type="dxa"/>
          </w:tcPr>
          <w:p w14:paraId="136EAB63" w14:textId="0C8683D3" w:rsidR="00145BDF" w:rsidRDefault="00145BDF" w:rsidP="005A4262">
            <w:pPr>
              <w:pStyle w:val="RSCT03TableBody"/>
              <w:jc w:val="left"/>
            </w:pPr>
            <w:r>
              <w:rPr>
                <w:rFonts w:ascii="Calibri" w:hAnsi="Calibri"/>
                <w:color w:val="000000"/>
              </w:rPr>
              <w:t>0.201</w:t>
            </w:r>
          </w:p>
        </w:tc>
        <w:tc>
          <w:tcPr>
            <w:tcW w:w="1325" w:type="dxa"/>
            <w:vAlign w:val="center"/>
          </w:tcPr>
          <w:p w14:paraId="17B1C30B" w14:textId="6D752223" w:rsidR="00145BDF" w:rsidRDefault="00145BDF" w:rsidP="005A4262">
            <w:pPr>
              <w:pStyle w:val="RSCT03TableBody"/>
              <w:jc w:val="left"/>
            </w:pPr>
            <w:r>
              <w:rPr>
                <w:rFonts w:ascii="Calibri" w:hAnsi="Calibri"/>
                <w:color w:val="000000"/>
              </w:rPr>
              <w:t>0.0088</w:t>
            </w:r>
          </w:p>
        </w:tc>
      </w:tr>
      <w:tr w:rsidR="00145BDF" w14:paraId="52353F9D" w14:textId="77777777" w:rsidTr="00D139B7">
        <w:tc>
          <w:tcPr>
            <w:tcW w:w="1843" w:type="dxa"/>
          </w:tcPr>
          <w:p w14:paraId="66A111C8" w14:textId="7B87097F" w:rsidR="00145BDF" w:rsidRPr="00541587" w:rsidRDefault="00145BDF" w:rsidP="000C5C6A">
            <w:pPr>
              <w:pStyle w:val="RSCT03TableBody"/>
              <w:jc w:val="left"/>
            </w:pPr>
            <w:r w:rsidRPr="00541587">
              <w:rPr>
                <w:rFonts w:ascii="Calibri" w:hAnsi="Calibri"/>
                <w:color w:val="000000"/>
              </w:rPr>
              <w:t xml:space="preserve">Instrument LOD, </w:t>
            </w:r>
            <w:r w:rsidR="00511C8D">
              <w:rPr>
                <w:rFonts w:ascii="Calibri" w:hAnsi="Calibri"/>
                <w:color w:val="000000"/>
              </w:rPr>
              <w:t>µg/L</w:t>
            </w:r>
          </w:p>
        </w:tc>
        <w:tc>
          <w:tcPr>
            <w:tcW w:w="1418" w:type="dxa"/>
          </w:tcPr>
          <w:p w14:paraId="4C3405CA" w14:textId="210387FD" w:rsidR="00145BDF" w:rsidRDefault="00145BDF" w:rsidP="005A4262">
            <w:pPr>
              <w:pStyle w:val="RSCT03TableBody"/>
              <w:jc w:val="left"/>
            </w:pPr>
            <w:r>
              <w:rPr>
                <w:rFonts w:ascii="Calibri" w:hAnsi="Calibri"/>
                <w:color w:val="000000"/>
              </w:rPr>
              <w:t>0.664</w:t>
            </w:r>
          </w:p>
        </w:tc>
        <w:tc>
          <w:tcPr>
            <w:tcW w:w="1559" w:type="dxa"/>
          </w:tcPr>
          <w:p w14:paraId="02CEF1F3" w14:textId="427B6A43" w:rsidR="00145BDF" w:rsidRDefault="00145BDF" w:rsidP="005A4262">
            <w:pPr>
              <w:pStyle w:val="RSCT03TableBody"/>
              <w:jc w:val="left"/>
            </w:pPr>
            <w:r>
              <w:rPr>
                <w:rFonts w:ascii="Calibri" w:hAnsi="Calibri"/>
                <w:color w:val="000000"/>
              </w:rPr>
              <w:t>0.001</w:t>
            </w:r>
          </w:p>
        </w:tc>
        <w:tc>
          <w:tcPr>
            <w:tcW w:w="992" w:type="dxa"/>
          </w:tcPr>
          <w:p w14:paraId="5824A967" w14:textId="3E116822" w:rsidR="00145BDF" w:rsidRDefault="00145BDF" w:rsidP="005A4262">
            <w:pPr>
              <w:pStyle w:val="RSCT03TableBody"/>
              <w:jc w:val="left"/>
            </w:pPr>
            <w:r>
              <w:rPr>
                <w:rFonts w:ascii="Calibri" w:hAnsi="Calibri"/>
                <w:color w:val="000000"/>
              </w:rPr>
              <w:t>2.17</w:t>
            </w:r>
          </w:p>
        </w:tc>
        <w:tc>
          <w:tcPr>
            <w:tcW w:w="992" w:type="dxa"/>
          </w:tcPr>
          <w:p w14:paraId="3EBECB9B" w14:textId="509E2249" w:rsidR="00145BDF" w:rsidRDefault="00145BDF" w:rsidP="00154892">
            <w:pPr>
              <w:pStyle w:val="RSCT03TableBody"/>
              <w:jc w:val="left"/>
            </w:pPr>
            <w:r>
              <w:rPr>
                <w:rFonts w:ascii="Calibri" w:hAnsi="Calibri"/>
                <w:color w:val="000000"/>
              </w:rPr>
              <w:t>0.</w:t>
            </w:r>
            <w:r w:rsidR="00154892">
              <w:rPr>
                <w:rFonts w:ascii="Calibri" w:hAnsi="Calibri"/>
                <w:color w:val="000000"/>
              </w:rPr>
              <w:t>29</w:t>
            </w:r>
          </w:p>
        </w:tc>
        <w:tc>
          <w:tcPr>
            <w:tcW w:w="1009" w:type="dxa"/>
          </w:tcPr>
          <w:p w14:paraId="06BAC062" w14:textId="28FAC14E" w:rsidR="00145BDF" w:rsidRDefault="00145BDF" w:rsidP="005A4262">
            <w:pPr>
              <w:pStyle w:val="RSCT03TableBody"/>
              <w:jc w:val="left"/>
            </w:pPr>
            <w:r>
              <w:rPr>
                <w:rFonts w:ascii="Calibri" w:hAnsi="Calibri"/>
                <w:color w:val="000000"/>
              </w:rPr>
              <w:t>0.6</w:t>
            </w:r>
          </w:p>
        </w:tc>
        <w:tc>
          <w:tcPr>
            <w:tcW w:w="1037" w:type="dxa"/>
          </w:tcPr>
          <w:p w14:paraId="45732E04" w14:textId="62822A68" w:rsidR="00145BDF" w:rsidRDefault="00145BDF" w:rsidP="00BB73BC">
            <w:pPr>
              <w:pStyle w:val="RSCT03TableBody"/>
              <w:jc w:val="left"/>
            </w:pPr>
            <w:r>
              <w:rPr>
                <w:rFonts w:ascii="Calibri" w:hAnsi="Calibri"/>
                <w:color w:val="000000"/>
              </w:rPr>
              <w:t>0.025</w:t>
            </w:r>
          </w:p>
        </w:tc>
        <w:tc>
          <w:tcPr>
            <w:tcW w:w="1325" w:type="dxa"/>
            <w:vAlign w:val="center"/>
          </w:tcPr>
          <w:p w14:paraId="6EB9350E" w14:textId="2FCD86A6" w:rsidR="00145BDF" w:rsidRDefault="00145BDF" w:rsidP="00093057">
            <w:pPr>
              <w:pStyle w:val="RSCT03TableBody"/>
              <w:jc w:val="left"/>
            </w:pPr>
            <w:r>
              <w:rPr>
                <w:rFonts w:ascii="Calibri" w:hAnsi="Calibri"/>
                <w:color w:val="000000"/>
              </w:rPr>
              <w:t>0.00</w:t>
            </w:r>
            <w:r w:rsidR="00093057">
              <w:rPr>
                <w:rFonts w:ascii="Calibri" w:hAnsi="Calibri"/>
                <w:color w:val="000000"/>
              </w:rPr>
              <w:t>8</w:t>
            </w:r>
          </w:p>
        </w:tc>
      </w:tr>
      <w:tr w:rsidR="00145BDF" w14:paraId="2378EE00" w14:textId="77777777" w:rsidTr="00D139B7">
        <w:tc>
          <w:tcPr>
            <w:tcW w:w="1843" w:type="dxa"/>
          </w:tcPr>
          <w:p w14:paraId="034778A5" w14:textId="2AE6ABCD" w:rsidR="00145BDF" w:rsidRPr="00541587" w:rsidRDefault="00145BDF" w:rsidP="000C5C6A">
            <w:pPr>
              <w:pStyle w:val="RSCT03TableBody"/>
              <w:jc w:val="left"/>
            </w:pPr>
            <w:r w:rsidRPr="00541587">
              <w:rPr>
                <w:rFonts w:ascii="Calibri" w:hAnsi="Calibri"/>
                <w:color w:val="000000"/>
              </w:rPr>
              <w:t>R value</w:t>
            </w:r>
          </w:p>
        </w:tc>
        <w:tc>
          <w:tcPr>
            <w:tcW w:w="1418" w:type="dxa"/>
          </w:tcPr>
          <w:p w14:paraId="67EC05DD" w14:textId="7E59653F" w:rsidR="00145BDF" w:rsidRDefault="00145BDF" w:rsidP="005A4262">
            <w:pPr>
              <w:pStyle w:val="RSCT03TableBody"/>
              <w:jc w:val="left"/>
            </w:pPr>
            <w:r>
              <w:rPr>
                <w:rFonts w:ascii="Calibri" w:hAnsi="Calibri"/>
                <w:color w:val="000000"/>
              </w:rPr>
              <w:t>0.999</w:t>
            </w:r>
          </w:p>
        </w:tc>
        <w:tc>
          <w:tcPr>
            <w:tcW w:w="1559" w:type="dxa"/>
          </w:tcPr>
          <w:p w14:paraId="64A9EAC4" w14:textId="52B68105" w:rsidR="00145BDF" w:rsidRDefault="00145BDF" w:rsidP="005A4262">
            <w:pPr>
              <w:pStyle w:val="RSCT03TableBody"/>
              <w:jc w:val="left"/>
            </w:pPr>
            <w:r>
              <w:rPr>
                <w:rFonts w:ascii="Calibri" w:hAnsi="Calibri"/>
                <w:color w:val="000000"/>
              </w:rPr>
              <w:t>0.9992</w:t>
            </w:r>
          </w:p>
        </w:tc>
        <w:tc>
          <w:tcPr>
            <w:tcW w:w="992" w:type="dxa"/>
          </w:tcPr>
          <w:p w14:paraId="65A05F3B" w14:textId="6254B131" w:rsidR="00145BDF" w:rsidRDefault="00145BDF" w:rsidP="005A4262">
            <w:pPr>
              <w:pStyle w:val="RSCT03TableBody"/>
              <w:jc w:val="left"/>
            </w:pPr>
            <w:r>
              <w:rPr>
                <w:rFonts w:ascii="Calibri" w:hAnsi="Calibri"/>
                <w:color w:val="000000"/>
              </w:rPr>
              <w:t>0.99949</w:t>
            </w:r>
          </w:p>
        </w:tc>
        <w:tc>
          <w:tcPr>
            <w:tcW w:w="992" w:type="dxa"/>
          </w:tcPr>
          <w:p w14:paraId="647C4560" w14:textId="3D62AEEE" w:rsidR="00145BDF" w:rsidRDefault="00145BDF" w:rsidP="005A4262">
            <w:pPr>
              <w:pStyle w:val="RSCT03TableBody"/>
              <w:jc w:val="left"/>
            </w:pPr>
            <w:r>
              <w:rPr>
                <w:rFonts w:ascii="Calibri" w:hAnsi="Calibri"/>
                <w:color w:val="000000"/>
              </w:rPr>
              <w:t>&gt;0.999</w:t>
            </w:r>
          </w:p>
        </w:tc>
        <w:tc>
          <w:tcPr>
            <w:tcW w:w="1009" w:type="dxa"/>
          </w:tcPr>
          <w:p w14:paraId="3F48D0B4" w14:textId="0B2A7136" w:rsidR="00145BDF" w:rsidRDefault="00145BDF" w:rsidP="005A4262">
            <w:pPr>
              <w:pStyle w:val="RSCT03TableBody"/>
              <w:jc w:val="left"/>
            </w:pPr>
            <w:r>
              <w:rPr>
                <w:color w:val="000000"/>
              </w:rPr>
              <w:t>0.9994</w:t>
            </w:r>
          </w:p>
        </w:tc>
        <w:tc>
          <w:tcPr>
            <w:tcW w:w="1037" w:type="dxa"/>
          </w:tcPr>
          <w:p w14:paraId="677B4CC0" w14:textId="738ADF57" w:rsidR="00145BDF" w:rsidRDefault="00145BDF" w:rsidP="005A4262">
            <w:pPr>
              <w:pStyle w:val="RSCT03TableBody"/>
              <w:jc w:val="left"/>
            </w:pPr>
            <w:r>
              <w:rPr>
                <w:rFonts w:ascii="Calibri" w:hAnsi="Calibri"/>
                <w:color w:val="000000"/>
              </w:rPr>
              <w:t>0.99997</w:t>
            </w:r>
          </w:p>
        </w:tc>
        <w:tc>
          <w:tcPr>
            <w:tcW w:w="1325" w:type="dxa"/>
            <w:vAlign w:val="center"/>
          </w:tcPr>
          <w:p w14:paraId="003C46E8" w14:textId="6FF0FAF6" w:rsidR="00145BDF" w:rsidRDefault="00145BDF" w:rsidP="005A4262">
            <w:pPr>
              <w:pStyle w:val="RSCT03TableBody"/>
              <w:jc w:val="left"/>
            </w:pPr>
            <w:r>
              <w:rPr>
                <w:rFonts w:ascii="Calibri" w:hAnsi="Calibri"/>
                <w:color w:val="000000"/>
              </w:rPr>
              <w:t>0.9997</w:t>
            </w:r>
          </w:p>
        </w:tc>
      </w:tr>
      <w:tr w:rsidR="00145BDF" w14:paraId="5AB00216" w14:textId="77777777" w:rsidTr="00D139B7">
        <w:tc>
          <w:tcPr>
            <w:tcW w:w="1843" w:type="dxa"/>
          </w:tcPr>
          <w:p w14:paraId="714F46EC" w14:textId="1CD43190" w:rsidR="00145BDF" w:rsidRPr="00541587" w:rsidRDefault="00145BDF" w:rsidP="005A4262">
            <w:pPr>
              <w:pStyle w:val="RSCT03TableBody"/>
              <w:jc w:val="left"/>
            </w:pPr>
            <w:r w:rsidRPr="00541587">
              <w:rPr>
                <w:rFonts w:ascii="Calibri" w:hAnsi="Calibri"/>
                <w:color w:val="000000"/>
              </w:rPr>
              <w:t>Intensity, cp</w:t>
            </w:r>
            <w:r>
              <w:rPr>
                <w:rFonts w:ascii="Calibri" w:hAnsi="Calibri"/>
                <w:color w:val="000000"/>
              </w:rPr>
              <w:t>s/</w:t>
            </w:r>
            <w:r w:rsidR="00511C8D">
              <w:rPr>
                <w:rFonts w:ascii="Calibri" w:hAnsi="Calibri"/>
                <w:color w:val="000000"/>
              </w:rPr>
              <w:t>µg/L</w:t>
            </w:r>
          </w:p>
        </w:tc>
        <w:tc>
          <w:tcPr>
            <w:tcW w:w="1418" w:type="dxa"/>
          </w:tcPr>
          <w:p w14:paraId="0960BA8F" w14:textId="2E27F24D" w:rsidR="00145BDF" w:rsidRDefault="00145BDF" w:rsidP="005A4262">
            <w:pPr>
              <w:pStyle w:val="RSCT03TableBody"/>
              <w:jc w:val="left"/>
            </w:pPr>
            <w:r>
              <w:rPr>
                <w:rFonts w:ascii="Calibri" w:hAnsi="Calibri"/>
                <w:color w:val="000000"/>
              </w:rPr>
              <w:t>62</w:t>
            </w:r>
          </w:p>
        </w:tc>
        <w:tc>
          <w:tcPr>
            <w:tcW w:w="1559" w:type="dxa"/>
          </w:tcPr>
          <w:p w14:paraId="5EE1A5F0" w14:textId="572EDF5C" w:rsidR="00145BDF" w:rsidRDefault="00145BDF" w:rsidP="005A4262">
            <w:pPr>
              <w:pStyle w:val="RSCT03TableBody"/>
              <w:jc w:val="left"/>
            </w:pPr>
            <w:r>
              <w:rPr>
                <w:rFonts w:ascii="Calibri" w:hAnsi="Calibri"/>
                <w:color w:val="000000"/>
              </w:rPr>
              <w:t>63662</w:t>
            </w:r>
          </w:p>
        </w:tc>
        <w:tc>
          <w:tcPr>
            <w:tcW w:w="992" w:type="dxa"/>
          </w:tcPr>
          <w:p w14:paraId="11A7C58D" w14:textId="5840A02F" w:rsidR="00145BDF" w:rsidRDefault="00145BDF" w:rsidP="005A4262">
            <w:pPr>
              <w:pStyle w:val="RSCT03TableBody"/>
              <w:jc w:val="left"/>
            </w:pPr>
            <w:r>
              <w:rPr>
                <w:rFonts w:ascii="Calibri" w:hAnsi="Calibri"/>
                <w:color w:val="000000"/>
              </w:rPr>
              <w:t>59</w:t>
            </w:r>
          </w:p>
        </w:tc>
        <w:tc>
          <w:tcPr>
            <w:tcW w:w="992" w:type="dxa"/>
          </w:tcPr>
          <w:p w14:paraId="2060E12B" w14:textId="451CA252" w:rsidR="00145BDF" w:rsidRDefault="00145BDF" w:rsidP="005A4262">
            <w:pPr>
              <w:pStyle w:val="RSCT03TableBody"/>
              <w:jc w:val="left"/>
            </w:pPr>
            <w:r>
              <w:rPr>
                <w:rFonts w:ascii="Calibri" w:hAnsi="Calibri"/>
                <w:color w:val="000000"/>
              </w:rPr>
              <w:t>20</w:t>
            </w:r>
          </w:p>
        </w:tc>
        <w:tc>
          <w:tcPr>
            <w:tcW w:w="1009" w:type="dxa"/>
          </w:tcPr>
          <w:p w14:paraId="31F1803B" w14:textId="7193F1EB" w:rsidR="00145BDF" w:rsidRDefault="00145BDF" w:rsidP="005A4262">
            <w:pPr>
              <w:pStyle w:val="RSCT03TableBody"/>
              <w:jc w:val="left"/>
            </w:pPr>
            <w:r w:rsidRPr="00EE0A6D">
              <w:t>0.0011</w:t>
            </w:r>
          </w:p>
        </w:tc>
        <w:tc>
          <w:tcPr>
            <w:tcW w:w="1037" w:type="dxa"/>
          </w:tcPr>
          <w:p w14:paraId="18D13745" w14:textId="585093DF" w:rsidR="00145BDF" w:rsidRDefault="00145BDF" w:rsidP="005A4262">
            <w:pPr>
              <w:pStyle w:val="RSCT03TableBody"/>
              <w:jc w:val="left"/>
            </w:pPr>
            <w:r>
              <w:rPr>
                <w:rFonts w:ascii="Calibri" w:hAnsi="Calibri"/>
                <w:color w:val="000000"/>
              </w:rPr>
              <w:t>273</w:t>
            </w:r>
          </w:p>
        </w:tc>
        <w:tc>
          <w:tcPr>
            <w:tcW w:w="1325" w:type="dxa"/>
            <w:vAlign w:val="center"/>
          </w:tcPr>
          <w:p w14:paraId="2D4211C2" w14:textId="5E3709D1" w:rsidR="00145BDF" w:rsidRDefault="00145BDF" w:rsidP="005A4262">
            <w:pPr>
              <w:pStyle w:val="RSCT03TableBody"/>
              <w:jc w:val="left"/>
            </w:pPr>
            <w:r>
              <w:rPr>
                <w:rFonts w:ascii="Calibri" w:hAnsi="Calibri"/>
                <w:color w:val="000000"/>
              </w:rPr>
              <w:t>7476</w:t>
            </w:r>
          </w:p>
        </w:tc>
      </w:tr>
      <w:tr w:rsidR="00145BDF" w14:paraId="4600B3AA" w14:textId="77777777" w:rsidTr="00D139B7">
        <w:tc>
          <w:tcPr>
            <w:tcW w:w="1843" w:type="dxa"/>
          </w:tcPr>
          <w:p w14:paraId="2D4CF231" w14:textId="532ED912" w:rsidR="00145BDF" w:rsidRPr="00541587" w:rsidRDefault="00145BDF" w:rsidP="000C5C6A">
            <w:pPr>
              <w:pStyle w:val="RSCT03TableBody"/>
              <w:jc w:val="left"/>
            </w:pPr>
          </w:p>
        </w:tc>
        <w:tc>
          <w:tcPr>
            <w:tcW w:w="1418" w:type="dxa"/>
          </w:tcPr>
          <w:p w14:paraId="7BF4005D" w14:textId="1E94F2AF" w:rsidR="00145BDF" w:rsidRDefault="00145BDF" w:rsidP="005A4262">
            <w:pPr>
              <w:pStyle w:val="RSCT03TableBody"/>
              <w:jc w:val="left"/>
            </w:pPr>
          </w:p>
        </w:tc>
        <w:tc>
          <w:tcPr>
            <w:tcW w:w="1559" w:type="dxa"/>
          </w:tcPr>
          <w:p w14:paraId="5ABEE353" w14:textId="16F05FB9" w:rsidR="00145BDF" w:rsidRDefault="00145BDF" w:rsidP="005A4262">
            <w:pPr>
              <w:pStyle w:val="RSCT03TableBody"/>
              <w:jc w:val="left"/>
            </w:pPr>
          </w:p>
        </w:tc>
        <w:tc>
          <w:tcPr>
            <w:tcW w:w="992" w:type="dxa"/>
          </w:tcPr>
          <w:p w14:paraId="6823C496" w14:textId="6D52A77D" w:rsidR="00145BDF" w:rsidRDefault="00145BDF" w:rsidP="005A4262">
            <w:pPr>
              <w:pStyle w:val="RSCT03TableBody"/>
              <w:jc w:val="left"/>
            </w:pPr>
          </w:p>
        </w:tc>
        <w:tc>
          <w:tcPr>
            <w:tcW w:w="992" w:type="dxa"/>
          </w:tcPr>
          <w:p w14:paraId="1DDDFAA6" w14:textId="739319D3" w:rsidR="00145BDF" w:rsidRDefault="00145BDF" w:rsidP="005A4262">
            <w:pPr>
              <w:pStyle w:val="RSCT03TableBody"/>
              <w:jc w:val="left"/>
            </w:pPr>
          </w:p>
        </w:tc>
        <w:tc>
          <w:tcPr>
            <w:tcW w:w="1009" w:type="dxa"/>
          </w:tcPr>
          <w:p w14:paraId="2018750F" w14:textId="30E8F1DB" w:rsidR="00145BDF" w:rsidRPr="00EE0A6D" w:rsidRDefault="00145BDF" w:rsidP="005A4262">
            <w:pPr>
              <w:pStyle w:val="RSCT03TableBody"/>
              <w:jc w:val="left"/>
            </w:pPr>
          </w:p>
        </w:tc>
        <w:tc>
          <w:tcPr>
            <w:tcW w:w="1037" w:type="dxa"/>
          </w:tcPr>
          <w:p w14:paraId="654F7A4B" w14:textId="41E608B5" w:rsidR="00145BDF" w:rsidRDefault="00145BDF" w:rsidP="005A4262">
            <w:pPr>
              <w:pStyle w:val="RSCT03TableBody"/>
              <w:jc w:val="left"/>
            </w:pPr>
          </w:p>
        </w:tc>
        <w:tc>
          <w:tcPr>
            <w:tcW w:w="1325" w:type="dxa"/>
            <w:vAlign w:val="center"/>
          </w:tcPr>
          <w:p w14:paraId="351371C7" w14:textId="1DD650CA" w:rsidR="00145BDF" w:rsidRDefault="00145BDF" w:rsidP="005A4262">
            <w:pPr>
              <w:pStyle w:val="RSCT03TableBody"/>
              <w:jc w:val="left"/>
            </w:pPr>
          </w:p>
        </w:tc>
      </w:tr>
    </w:tbl>
    <w:p w14:paraId="6056109E" w14:textId="135B62A9" w:rsidR="00541587" w:rsidRPr="00412E58" w:rsidRDefault="00541587" w:rsidP="00E84E19">
      <w:pPr>
        <w:pStyle w:val="RSCT04TableFootnotewithbottombar"/>
        <w:pBdr>
          <w:bottom w:val="single" w:sz="12" w:space="13" w:color="999999"/>
        </w:pBdr>
      </w:pPr>
      <w:r w:rsidRPr="00A474F5">
        <w:t xml:space="preserve">* </w:t>
      </w:r>
      <w:r w:rsidRPr="00A474F5">
        <w:rPr>
          <w:vertAlign w:val="superscript"/>
        </w:rPr>
        <w:t>48</w:t>
      </w:r>
      <w:r w:rsidRPr="00A474F5">
        <w:t>Ti</w:t>
      </w:r>
      <w:r w:rsidRPr="00412E58">
        <w:t xml:space="preserve">-&gt; </w:t>
      </w:r>
      <w:r w:rsidRPr="00412E58">
        <w:rPr>
          <w:vertAlign w:val="superscript"/>
        </w:rPr>
        <w:t>150</w:t>
      </w:r>
      <w:r w:rsidRPr="00412E58">
        <w:t>Ti[NH</w:t>
      </w:r>
      <w:r w:rsidRPr="00412E58">
        <w:rPr>
          <w:vertAlign w:val="subscript"/>
        </w:rPr>
        <w:t>3</w:t>
      </w:r>
      <w:r w:rsidRPr="00412E58">
        <w:t>]</w:t>
      </w:r>
      <w:r w:rsidRPr="00412E58">
        <w:rPr>
          <w:rStyle w:val="CommentReference"/>
          <w:sz w:val="15"/>
          <w:szCs w:val="20"/>
        </w:rPr>
        <w:t xml:space="preserve">, </w:t>
      </w:r>
      <w:r w:rsidRPr="00412E58">
        <w:t>to confirm</w:t>
      </w:r>
      <w:r w:rsidR="003E748D">
        <w:t xml:space="preserve"> results from O</w:t>
      </w:r>
      <w:r w:rsidR="003E748D" w:rsidRPr="003E748D">
        <w:rPr>
          <w:vertAlign w:val="subscript"/>
        </w:rPr>
        <w:t>2</w:t>
      </w:r>
      <w:r w:rsidR="003E748D">
        <w:t>H</w:t>
      </w:r>
      <w:r w:rsidR="003E748D" w:rsidRPr="003E748D">
        <w:rPr>
          <w:vertAlign w:val="subscript"/>
        </w:rPr>
        <w:t>2</w:t>
      </w:r>
      <w:r w:rsidR="003E748D">
        <w:t xml:space="preserve"> mode</w:t>
      </w:r>
    </w:p>
    <w:p w14:paraId="56B9A9E7" w14:textId="66C7D357" w:rsidR="00E84E19" w:rsidRDefault="00541587" w:rsidP="00E84E19">
      <w:pPr>
        <w:pStyle w:val="RSCT04TableFootnotewithbottombar"/>
        <w:pBdr>
          <w:bottom w:val="single" w:sz="12" w:space="13" w:color="999999"/>
        </w:pBdr>
      </w:pPr>
      <w:r w:rsidRPr="00412E58">
        <w:t xml:space="preserve">** </w:t>
      </w:r>
      <w:r w:rsidRPr="00412E58">
        <w:rPr>
          <w:vertAlign w:val="superscript"/>
        </w:rPr>
        <w:t>47</w:t>
      </w:r>
      <w:r w:rsidRPr="00412E58">
        <w:t>Ti, to confirm</w:t>
      </w:r>
      <w:r w:rsidR="003E748D">
        <w:t xml:space="preserve"> results from </w:t>
      </w:r>
      <w:r w:rsidR="003E748D">
        <w:rPr>
          <w:vertAlign w:val="superscript"/>
        </w:rPr>
        <w:t>49</w:t>
      </w:r>
      <w:r w:rsidR="003E748D">
        <w:t xml:space="preserve">Ti </w:t>
      </w:r>
    </w:p>
    <w:p w14:paraId="27DDEBFE" w14:textId="1FD22A27" w:rsidR="0042519B" w:rsidRDefault="0042519B" w:rsidP="00E84E19">
      <w:pPr>
        <w:pStyle w:val="RSCT01TableTitlewithtopbar"/>
        <w:pageBreakBefore/>
      </w:pPr>
      <w:r w:rsidRPr="00996139">
        <w:t xml:space="preserve">Table </w:t>
      </w:r>
      <w:r w:rsidR="00577995">
        <w:t>4</w:t>
      </w:r>
      <w:r>
        <w:t xml:space="preserve"> </w:t>
      </w:r>
      <w:r w:rsidRPr="00996139">
        <w:t>Su</w:t>
      </w:r>
      <w:r w:rsidR="00C44D86">
        <w:t>mm</w:t>
      </w:r>
      <w:r w:rsidRPr="00996139">
        <w:t xml:space="preserve">ary of </w:t>
      </w:r>
      <w:r>
        <w:t>Participa</w:t>
      </w:r>
      <w:r w:rsidRPr="00996139">
        <w:t>t</w:t>
      </w:r>
      <w:r>
        <w:t>ing laboratory</w:t>
      </w:r>
      <w:r w:rsidRPr="00996139">
        <w:t xml:space="preserve"> results</w:t>
      </w:r>
      <w:r w:rsidR="00C9032C">
        <w:t xml:space="preserve"> in </w:t>
      </w:r>
      <w:r w:rsidR="00511C8D">
        <w:t>µg/L</w:t>
      </w:r>
      <w:r w:rsidR="009F365E">
        <w:t xml:space="preserve"> and %recovery. V</w:t>
      </w:r>
      <w:r w:rsidR="00C9032C">
        <w:t xml:space="preserve">alues in parenthesis </w:t>
      </w:r>
      <w:r w:rsidR="009F365E">
        <w:t>are</w:t>
      </w:r>
      <w:r w:rsidR="00C9032C">
        <w:t xml:space="preserve"> </w:t>
      </w:r>
      <w:r w:rsidR="009F365E">
        <w:t>&gt; LOD but</w:t>
      </w:r>
      <w:r w:rsidR="00211740">
        <w:t xml:space="preserve"> </w:t>
      </w:r>
      <w:r w:rsidR="00061E68">
        <w:t>&lt; LOQ</w:t>
      </w:r>
      <w:r w:rsidR="009F365E">
        <w:t>.</w:t>
      </w:r>
    </w:p>
    <w:tbl>
      <w:tblPr>
        <w:tblpPr w:leftFromText="180" w:rightFromText="180" w:vertAnchor="text" w:tblpY="1"/>
        <w:tblOverlap w:val="never"/>
        <w:tblW w:w="10100" w:type="dxa"/>
        <w:tblLook w:val="04A0" w:firstRow="1" w:lastRow="0" w:firstColumn="1" w:lastColumn="0" w:noHBand="0" w:noVBand="1"/>
      </w:tblPr>
      <w:tblGrid>
        <w:gridCol w:w="520"/>
        <w:gridCol w:w="964"/>
        <w:gridCol w:w="900"/>
        <w:gridCol w:w="1080"/>
        <w:gridCol w:w="1119"/>
        <w:gridCol w:w="1099"/>
        <w:gridCol w:w="1099"/>
        <w:gridCol w:w="1099"/>
        <w:gridCol w:w="1120"/>
        <w:gridCol w:w="1100"/>
      </w:tblGrid>
      <w:tr w:rsidR="002823CF" w:rsidRPr="00283B86" w14:paraId="4B3933AE" w14:textId="77777777" w:rsidTr="002823CF">
        <w:trPr>
          <w:trHeight w:val="315"/>
        </w:trPr>
        <w:tc>
          <w:tcPr>
            <w:tcW w:w="520" w:type="dxa"/>
            <w:tcBorders>
              <w:top w:val="nil"/>
              <w:left w:val="nil"/>
              <w:bottom w:val="nil"/>
              <w:right w:val="nil"/>
            </w:tcBorders>
            <w:shd w:val="clear" w:color="auto" w:fill="auto"/>
            <w:noWrap/>
            <w:vAlign w:val="bottom"/>
            <w:hideMark/>
          </w:tcPr>
          <w:p w14:paraId="3951EBD4" w14:textId="77777777" w:rsidR="00283B86" w:rsidRPr="00283B86" w:rsidRDefault="00283B86" w:rsidP="002823CF">
            <w:pPr>
              <w:spacing w:after="0" w:line="240" w:lineRule="auto"/>
              <w:rPr>
                <w:rFonts w:ascii="Times New Roman" w:eastAsia="Times New Roman" w:hAnsi="Times New Roman" w:cs="Times New Roman"/>
                <w:sz w:val="24"/>
                <w:szCs w:val="24"/>
                <w:lang w:eastAsia="en-GB"/>
              </w:rPr>
            </w:pPr>
          </w:p>
        </w:tc>
        <w:tc>
          <w:tcPr>
            <w:tcW w:w="964" w:type="dxa"/>
            <w:tcBorders>
              <w:top w:val="nil"/>
              <w:left w:val="nil"/>
              <w:bottom w:val="nil"/>
              <w:right w:val="nil"/>
            </w:tcBorders>
            <w:shd w:val="clear" w:color="auto" w:fill="auto"/>
            <w:noWrap/>
            <w:vAlign w:val="bottom"/>
            <w:hideMark/>
          </w:tcPr>
          <w:p w14:paraId="16D0F398" w14:textId="77777777" w:rsidR="00283B86" w:rsidRPr="00283B86" w:rsidRDefault="00283B86" w:rsidP="002823CF">
            <w:pPr>
              <w:spacing w:after="0" w:line="240" w:lineRule="auto"/>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noWrap/>
            <w:vAlign w:val="bottom"/>
            <w:hideMark/>
          </w:tcPr>
          <w:p w14:paraId="691DBDF2" w14:textId="77777777" w:rsidR="00283B86" w:rsidRPr="00283B86" w:rsidRDefault="00283B86" w:rsidP="002823CF">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single" w:sz="8" w:space="0" w:color="auto"/>
              <w:right w:val="nil"/>
            </w:tcBorders>
            <w:shd w:val="clear" w:color="auto" w:fill="auto"/>
            <w:vAlign w:val="center"/>
            <w:hideMark/>
          </w:tcPr>
          <w:p w14:paraId="350CE1CE"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L1</w:t>
            </w:r>
          </w:p>
        </w:tc>
        <w:tc>
          <w:tcPr>
            <w:tcW w:w="1119" w:type="dxa"/>
            <w:tcBorders>
              <w:top w:val="nil"/>
              <w:left w:val="nil"/>
              <w:bottom w:val="single" w:sz="8" w:space="0" w:color="auto"/>
              <w:right w:val="nil"/>
            </w:tcBorders>
            <w:shd w:val="clear" w:color="auto" w:fill="auto"/>
            <w:vAlign w:val="center"/>
            <w:hideMark/>
          </w:tcPr>
          <w:p w14:paraId="4A3F5D19"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L2</w:t>
            </w:r>
          </w:p>
        </w:tc>
        <w:tc>
          <w:tcPr>
            <w:tcW w:w="1099" w:type="dxa"/>
            <w:tcBorders>
              <w:top w:val="nil"/>
              <w:left w:val="nil"/>
              <w:bottom w:val="single" w:sz="8" w:space="0" w:color="auto"/>
              <w:right w:val="nil"/>
            </w:tcBorders>
            <w:shd w:val="clear" w:color="auto" w:fill="auto"/>
            <w:vAlign w:val="center"/>
            <w:hideMark/>
          </w:tcPr>
          <w:p w14:paraId="7BE369EF"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L3</w:t>
            </w:r>
          </w:p>
        </w:tc>
        <w:tc>
          <w:tcPr>
            <w:tcW w:w="1099" w:type="dxa"/>
            <w:tcBorders>
              <w:top w:val="nil"/>
              <w:left w:val="nil"/>
              <w:bottom w:val="single" w:sz="8" w:space="0" w:color="auto"/>
              <w:right w:val="nil"/>
            </w:tcBorders>
            <w:shd w:val="clear" w:color="auto" w:fill="auto"/>
            <w:vAlign w:val="center"/>
            <w:hideMark/>
          </w:tcPr>
          <w:p w14:paraId="5E63FE91"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L4</w:t>
            </w:r>
          </w:p>
        </w:tc>
        <w:tc>
          <w:tcPr>
            <w:tcW w:w="1099" w:type="dxa"/>
            <w:tcBorders>
              <w:top w:val="nil"/>
              <w:left w:val="nil"/>
              <w:bottom w:val="single" w:sz="8" w:space="0" w:color="auto"/>
              <w:right w:val="nil"/>
            </w:tcBorders>
            <w:shd w:val="clear" w:color="auto" w:fill="auto"/>
            <w:vAlign w:val="center"/>
            <w:hideMark/>
          </w:tcPr>
          <w:p w14:paraId="3D29ED8C"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L5</w:t>
            </w:r>
          </w:p>
        </w:tc>
        <w:tc>
          <w:tcPr>
            <w:tcW w:w="1120" w:type="dxa"/>
            <w:tcBorders>
              <w:top w:val="nil"/>
              <w:left w:val="nil"/>
              <w:bottom w:val="single" w:sz="8" w:space="0" w:color="auto"/>
              <w:right w:val="nil"/>
            </w:tcBorders>
            <w:shd w:val="clear" w:color="auto" w:fill="auto"/>
            <w:vAlign w:val="center"/>
            <w:hideMark/>
          </w:tcPr>
          <w:p w14:paraId="0C8AEAC8"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L6</w:t>
            </w:r>
          </w:p>
        </w:tc>
        <w:tc>
          <w:tcPr>
            <w:tcW w:w="1100" w:type="dxa"/>
            <w:tcBorders>
              <w:top w:val="nil"/>
              <w:left w:val="nil"/>
              <w:bottom w:val="single" w:sz="8" w:space="0" w:color="auto"/>
              <w:right w:val="nil"/>
            </w:tcBorders>
            <w:shd w:val="clear" w:color="auto" w:fill="auto"/>
            <w:vAlign w:val="center"/>
            <w:hideMark/>
          </w:tcPr>
          <w:p w14:paraId="485DA2BE"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L7</w:t>
            </w:r>
          </w:p>
        </w:tc>
      </w:tr>
      <w:tr w:rsidR="002823CF" w:rsidRPr="00283B86" w14:paraId="42DB0E9F" w14:textId="77777777" w:rsidTr="002823CF">
        <w:trPr>
          <w:trHeight w:val="450"/>
        </w:trPr>
        <w:tc>
          <w:tcPr>
            <w:tcW w:w="520" w:type="dxa"/>
            <w:tcBorders>
              <w:top w:val="nil"/>
              <w:left w:val="nil"/>
              <w:bottom w:val="nil"/>
              <w:right w:val="nil"/>
            </w:tcBorders>
            <w:shd w:val="clear" w:color="auto" w:fill="auto"/>
            <w:noWrap/>
            <w:vAlign w:val="bottom"/>
            <w:hideMark/>
          </w:tcPr>
          <w:p w14:paraId="6C808030"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p>
        </w:tc>
        <w:tc>
          <w:tcPr>
            <w:tcW w:w="964" w:type="dxa"/>
            <w:tcBorders>
              <w:top w:val="nil"/>
              <w:left w:val="nil"/>
              <w:bottom w:val="nil"/>
              <w:right w:val="nil"/>
            </w:tcBorders>
            <w:shd w:val="clear" w:color="auto" w:fill="auto"/>
            <w:noWrap/>
            <w:vAlign w:val="bottom"/>
            <w:hideMark/>
          </w:tcPr>
          <w:p w14:paraId="18C29372" w14:textId="77777777" w:rsidR="00283B86" w:rsidRPr="00283B86" w:rsidRDefault="00283B86" w:rsidP="002823CF">
            <w:pPr>
              <w:spacing w:after="0" w:line="240" w:lineRule="auto"/>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noWrap/>
            <w:vAlign w:val="bottom"/>
            <w:hideMark/>
          </w:tcPr>
          <w:p w14:paraId="7B9F465D" w14:textId="77777777" w:rsidR="00283B86" w:rsidRPr="00283B86" w:rsidRDefault="00283B86" w:rsidP="002823CF">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shd w:val="clear" w:color="auto" w:fill="auto"/>
            <w:vAlign w:val="center"/>
            <w:hideMark/>
          </w:tcPr>
          <w:p w14:paraId="285B68B4"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MS/MS, direct</w:t>
            </w:r>
          </w:p>
        </w:tc>
        <w:tc>
          <w:tcPr>
            <w:tcW w:w="1119" w:type="dxa"/>
            <w:tcBorders>
              <w:top w:val="nil"/>
              <w:left w:val="nil"/>
              <w:bottom w:val="nil"/>
              <w:right w:val="nil"/>
            </w:tcBorders>
            <w:shd w:val="clear" w:color="auto" w:fill="auto"/>
            <w:vAlign w:val="center"/>
            <w:hideMark/>
          </w:tcPr>
          <w:p w14:paraId="55CC923D"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MS/MS, direct</w:t>
            </w:r>
          </w:p>
        </w:tc>
        <w:tc>
          <w:tcPr>
            <w:tcW w:w="1099" w:type="dxa"/>
            <w:tcBorders>
              <w:top w:val="nil"/>
              <w:left w:val="nil"/>
              <w:bottom w:val="nil"/>
              <w:right w:val="nil"/>
            </w:tcBorders>
            <w:shd w:val="clear" w:color="auto" w:fill="auto"/>
            <w:vAlign w:val="center"/>
            <w:hideMark/>
          </w:tcPr>
          <w:p w14:paraId="241307A0"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sq MS, direct</w:t>
            </w:r>
          </w:p>
        </w:tc>
        <w:tc>
          <w:tcPr>
            <w:tcW w:w="1099" w:type="dxa"/>
            <w:tcBorders>
              <w:top w:val="nil"/>
              <w:left w:val="nil"/>
              <w:bottom w:val="nil"/>
              <w:right w:val="nil"/>
            </w:tcBorders>
            <w:shd w:val="clear" w:color="auto" w:fill="auto"/>
            <w:vAlign w:val="center"/>
            <w:hideMark/>
          </w:tcPr>
          <w:p w14:paraId="09185A52"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HR MS, direct</w:t>
            </w:r>
          </w:p>
        </w:tc>
        <w:tc>
          <w:tcPr>
            <w:tcW w:w="1099" w:type="dxa"/>
            <w:tcBorders>
              <w:top w:val="nil"/>
              <w:left w:val="nil"/>
              <w:bottom w:val="nil"/>
              <w:right w:val="nil"/>
            </w:tcBorders>
            <w:shd w:val="clear" w:color="auto" w:fill="auto"/>
            <w:vAlign w:val="center"/>
            <w:hideMark/>
          </w:tcPr>
          <w:p w14:paraId="064DC36D"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OES, direct</w:t>
            </w:r>
          </w:p>
        </w:tc>
        <w:tc>
          <w:tcPr>
            <w:tcW w:w="1120" w:type="dxa"/>
            <w:tcBorders>
              <w:top w:val="nil"/>
              <w:left w:val="nil"/>
              <w:bottom w:val="nil"/>
              <w:right w:val="nil"/>
            </w:tcBorders>
            <w:shd w:val="clear" w:color="auto" w:fill="auto"/>
            <w:vAlign w:val="center"/>
            <w:hideMark/>
          </w:tcPr>
          <w:p w14:paraId="704ED295"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sq MS, digestion</w:t>
            </w:r>
          </w:p>
        </w:tc>
        <w:tc>
          <w:tcPr>
            <w:tcW w:w="1100" w:type="dxa"/>
            <w:tcBorders>
              <w:top w:val="nil"/>
              <w:left w:val="nil"/>
              <w:bottom w:val="nil"/>
              <w:right w:val="nil"/>
            </w:tcBorders>
            <w:shd w:val="clear" w:color="auto" w:fill="auto"/>
            <w:vAlign w:val="center"/>
            <w:hideMark/>
          </w:tcPr>
          <w:p w14:paraId="1AF1A1DB"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MS/MS, digestion</w:t>
            </w:r>
          </w:p>
        </w:tc>
      </w:tr>
      <w:tr w:rsidR="002823CF" w:rsidRPr="00283B86" w14:paraId="70F27395" w14:textId="77777777" w:rsidTr="002823CF">
        <w:trPr>
          <w:trHeight w:val="315"/>
        </w:trPr>
        <w:tc>
          <w:tcPr>
            <w:tcW w:w="520" w:type="dxa"/>
            <w:vMerge w:val="restart"/>
            <w:tcBorders>
              <w:top w:val="single" w:sz="4" w:space="0" w:color="auto"/>
              <w:left w:val="nil"/>
              <w:bottom w:val="single" w:sz="4" w:space="0" w:color="000000"/>
              <w:right w:val="single" w:sz="4" w:space="0" w:color="auto"/>
            </w:tcBorders>
            <w:shd w:val="clear" w:color="auto" w:fill="auto"/>
            <w:noWrap/>
            <w:textDirection w:val="btLr"/>
            <w:vAlign w:val="center"/>
            <w:hideMark/>
          </w:tcPr>
          <w:p w14:paraId="68CCCF36"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baseline</w:t>
            </w:r>
          </w:p>
        </w:tc>
        <w:tc>
          <w:tcPr>
            <w:tcW w:w="96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4364893"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WB,nf</w:t>
            </w:r>
          </w:p>
        </w:tc>
        <w:tc>
          <w:tcPr>
            <w:tcW w:w="900" w:type="dxa"/>
            <w:tcBorders>
              <w:top w:val="single" w:sz="4" w:space="0" w:color="auto"/>
              <w:left w:val="nil"/>
              <w:bottom w:val="nil"/>
              <w:right w:val="nil"/>
            </w:tcBorders>
            <w:shd w:val="clear" w:color="000000" w:fill="FFFFFF"/>
            <w:vAlign w:val="center"/>
            <w:hideMark/>
          </w:tcPr>
          <w:p w14:paraId="018AEFD8" w14:textId="77777777" w:rsidR="00283B86" w:rsidRPr="00283B86" w:rsidRDefault="00283B86" w:rsidP="002823CF">
            <w:pPr>
              <w:spacing w:after="0" w:line="240" w:lineRule="auto"/>
              <w:jc w:val="center"/>
              <w:rPr>
                <w:rFonts w:ascii="MS Reference Sans Serif" w:eastAsia="Times New Roman" w:hAnsi="MS Reference Sans Serif" w:cs="Arial"/>
                <w:color w:val="000000"/>
                <w:sz w:val="16"/>
                <w:szCs w:val="16"/>
                <w:lang w:eastAsia="en-GB"/>
              </w:rPr>
            </w:pPr>
            <w:r w:rsidRPr="00283B86">
              <w:rPr>
                <w:rFonts w:ascii="MS Reference Sans Serif" w:eastAsia="Times New Roman" w:hAnsi="MS Reference Sans Serif" w:cs="Arial"/>
                <w:color w:val="000000"/>
                <w:sz w:val="16"/>
                <w:szCs w:val="16"/>
                <w:lang w:eastAsia="en-GB"/>
              </w:rPr>
              <w:t>,</w:t>
            </w:r>
            <w:r w:rsidRPr="00283B86">
              <w:rPr>
                <w:rFonts w:ascii="Calibri" w:eastAsia="Times New Roman" w:hAnsi="Calibri" w:cs="Arial"/>
                <w:color w:val="000000"/>
                <w:sz w:val="16"/>
                <w:szCs w:val="16"/>
                <w:lang w:eastAsia="en-GB"/>
              </w:rPr>
              <w:t xml:space="preserve"> µg/L </w:t>
            </w:r>
          </w:p>
        </w:tc>
        <w:tc>
          <w:tcPr>
            <w:tcW w:w="1080" w:type="dxa"/>
            <w:tcBorders>
              <w:top w:val="single" w:sz="4" w:space="0" w:color="auto"/>
              <w:left w:val="nil"/>
              <w:bottom w:val="nil"/>
              <w:right w:val="nil"/>
            </w:tcBorders>
            <w:shd w:val="clear" w:color="auto" w:fill="auto"/>
            <w:vAlign w:val="center"/>
            <w:hideMark/>
          </w:tcPr>
          <w:p w14:paraId="4A1FED09"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(0.81)</w:t>
            </w:r>
          </w:p>
        </w:tc>
        <w:tc>
          <w:tcPr>
            <w:tcW w:w="1119" w:type="dxa"/>
            <w:tcBorders>
              <w:top w:val="single" w:sz="4" w:space="0" w:color="auto"/>
              <w:left w:val="nil"/>
              <w:bottom w:val="nil"/>
              <w:right w:val="nil"/>
            </w:tcBorders>
            <w:shd w:val="clear" w:color="auto" w:fill="auto"/>
            <w:vAlign w:val="center"/>
            <w:hideMark/>
          </w:tcPr>
          <w:p w14:paraId="45D55B9F"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0.49</w:t>
            </w:r>
          </w:p>
        </w:tc>
        <w:tc>
          <w:tcPr>
            <w:tcW w:w="1099" w:type="dxa"/>
            <w:tcBorders>
              <w:top w:val="single" w:sz="4" w:space="0" w:color="auto"/>
              <w:left w:val="nil"/>
              <w:bottom w:val="nil"/>
              <w:right w:val="nil"/>
            </w:tcBorders>
            <w:shd w:val="clear" w:color="auto" w:fill="auto"/>
            <w:vAlign w:val="center"/>
            <w:hideMark/>
          </w:tcPr>
          <w:p w14:paraId="2528B08A" w14:textId="0A84E3CE" w:rsidR="00283B86" w:rsidRPr="00283B86" w:rsidRDefault="00250FE4" w:rsidP="009F0CDB">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(6.20)</w:t>
            </w:r>
          </w:p>
        </w:tc>
        <w:tc>
          <w:tcPr>
            <w:tcW w:w="1099" w:type="dxa"/>
            <w:tcBorders>
              <w:top w:val="single" w:sz="4" w:space="0" w:color="auto"/>
              <w:left w:val="nil"/>
              <w:bottom w:val="nil"/>
              <w:right w:val="nil"/>
            </w:tcBorders>
            <w:shd w:val="clear" w:color="auto" w:fill="auto"/>
            <w:vAlign w:val="center"/>
            <w:hideMark/>
          </w:tcPr>
          <w:p w14:paraId="25096671"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(0.7)</w:t>
            </w:r>
          </w:p>
        </w:tc>
        <w:tc>
          <w:tcPr>
            <w:tcW w:w="1099" w:type="dxa"/>
            <w:tcBorders>
              <w:top w:val="single" w:sz="4" w:space="0" w:color="auto"/>
              <w:left w:val="nil"/>
              <w:bottom w:val="nil"/>
              <w:right w:val="nil"/>
            </w:tcBorders>
            <w:shd w:val="clear" w:color="auto" w:fill="auto"/>
            <w:vAlign w:val="center"/>
            <w:hideMark/>
          </w:tcPr>
          <w:p w14:paraId="74ABBB63" w14:textId="14F35DF6" w:rsidR="00283B86" w:rsidRPr="00283B86" w:rsidRDefault="009D4232" w:rsidP="002823CF">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0.6</w:t>
            </w:r>
            <w:r>
              <w:rPr>
                <w:rFonts w:ascii="Calibri" w:eastAsia="Times New Roman" w:hAnsi="Calibri" w:cs="Arial"/>
                <w:color w:val="000000"/>
                <w:sz w:val="16"/>
                <w:szCs w:val="16"/>
                <w:lang w:eastAsia="en-GB"/>
              </w:rPr>
              <w:t>)</w:t>
            </w:r>
          </w:p>
        </w:tc>
        <w:tc>
          <w:tcPr>
            <w:tcW w:w="1120" w:type="dxa"/>
            <w:tcBorders>
              <w:top w:val="single" w:sz="4" w:space="0" w:color="auto"/>
              <w:left w:val="nil"/>
              <w:bottom w:val="nil"/>
              <w:right w:val="nil"/>
            </w:tcBorders>
            <w:shd w:val="clear" w:color="auto" w:fill="auto"/>
            <w:vAlign w:val="center"/>
            <w:hideMark/>
          </w:tcPr>
          <w:p w14:paraId="7B40C9F6"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21.80</w:t>
            </w:r>
          </w:p>
        </w:tc>
        <w:tc>
          <w:tcPr>
            <w:tcW w:w="1100" w:type="dxa"/>
            <w:tcBorders>
              <w:top w:val="single" w:sz="4" w:space="0" w:color="auto"/>
              <w:left w:val="nil"/>
              <w:bottom w:val="nil"/>
              <w:right w:val="nil"/>
            </w:tcBorders>
            <w:shd w:val="clear" w:color="auto" w:fill="auto"/>
            <w:vAlign w:val="center"/>
            <w:hideMark/>
          </w:tcPr>
          <w:p w14:paraId="7F90CC16" w14:textId="5C848006" w:rsidR="00283B86" w:rsidRPr="00283B86" w:rsidRDefault="009D4232" w:rsidP="002823CF">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7</w:t>
            </w:r>
            <w:r>
              <w:rPr>
                <w:rFonts w:ascii="Calibri" w:eastAsia="Times New Roman" w:hAnsi="Calibri" w:cs="Arial"/>
                <w:color w:val="000000"/>
                <w:sz w:val="16"/>
                <w:szCs w:val="16"/>
                <w:lang w:eastAsia="en-GB"/>
              </w:rPr>
              <w:t>)</w:t>
            </w:r>
          </w:p>
        </w:tc>
      </w:tr>
      <w:tr w:rsidR="002823CF" w:rsidRPr="00283B86" w14:paraId="7DBED4A7" w14:textId="77777777" w:rsidTr="002823CF">
        <w:trPr>
          <w:trHeight w:val="315"/>
        </w:trPr>
        <w:tc>
          <w:tcPr>
            <w:tcW w:w="520" w:type="dxa"/>
            <w:vMerge/>
            <w:tcBorders>
              <w:top w:val="single" w:sz="4" w:space="0" w:color="auto"/>
              <w:left w:val="nil"/>
              <w:bottom w:val="single" w:sz="4" w:space="0" w:color="000000"/>
              <w:right w:val="single" w:sz="4" w:space="0" w:color="auto"/>
            </w:tcBorders>
            <w:vAlign w:val="center"/>
            <w:hideMark/>
          </w:tcPr>
          <w:p w14:paraId="20490441"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14:paraId="2C350576"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dashed" w:sz="4" w:space="0" w:color="auto"/>
              <w:left w:val="nil"/>
              <w:bottom w:val="dashed" w:sz="4" w:space="0" w:color="auto"/>
              <w:right w:val="nil"/>
            </w:tcBorders>
            <w:shd w:val="clear" w:color="000000" w:fill="FFFFFF"/>
            <w:vAlign w:val="center"/>
            <w:hideMark/>
          </w:tcPr>
          <w:p w14:paraId="091F3D2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 xml:space="preserve">SD, µg/L </w:t>
            </w:r>
          </w:p>
        </w:tc>
        <w:tc>
          <w:tcPr>
            <w:tcW w:w="1080" w:type="dxa"/>
            <w:tcBorders>
              <w:top w:val="dashed" w:sz="4" w:space="0" w:color="auto"/>
              <w:left w:val="nil"/>
              <w:bottom w:val="dashed" w:sz="4" w:space="0" w:color="auto"/>
              <w:right w:val="nil"/>
            </w:tcBorders>
            <w:shd w:val="clear" w:color="auto" w:fill="auto"/>
            <w:vAlign w:val="center"/>
            <w:hideMark/>
          </w:tcPr>
          <w:p w14:paraId="0E7A17B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(0.04)</w:t>
            </w:r>
          </w:p>
        </w:tc>
        <w:tc>
          <w:tcPr>
            <w:tcW w:w="1119" w:type="dxa"/>
            <w:tcBorders>
              <w:top w:val="dashed" w:sz="4" w:space="0" w:color="auto"/>
              <w:left w:val="nil"/>
              <w:bottom w:val="dashed" w:sz="4" w:space="0" w:color="auto"/>
              <w:right w:val="nil"/>
            </w:tcBorders>
            <w:shd w:val="clear" w:color="auto" w:fill="auto"/>
            <w:vAlign w:val="center"/>
            <w:hideMark/>
          </w:tcPr>
          <w:p w14:paraId="7CEC04A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0.08</w:t>
            </w:r>
          </w:p>
        </w:tc>
        <w:tc>
          <w:tcPr>
            <w:tcW w:w="1099" w:type="dxa"/>
            <w:tcBorders>
              <w:top w:val="dashed" w:sz="4" w:space="0" w:color="auto"/>
              <w:left w:val="nil"/>
              <w:bottom w:val="dashed" w:sz="4" w:space="0" w:color="auto"/>
              <w:right w:val="nil"/>
            </w:tcBorders>
            <w:shd w:val="clear" w:color="auto" w:fill="auto"/>
            <w:vAlign w:val="center"/>
            <w:hideMark/>
          </w:tcPr>
          <w:p w14:paraId="057B06E3" w14:textId="2724106F" w:rsidR="00283B86" w:rsidRPr="00283B86" w:rsidRDefault="00250FE4">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(0.48)</w:t>
            </w:r>
          </w:p>
        </w:tc>
        <w:tc>
          <w:tcPr>
            <w:tcW w:w="1099" w:type="dxa"/>
            <w:tcBorders>
              <w:top w:val="dashed" w:sz="4" w:space="0" w:color="auto"/>
              <w:left w:val="nil"/>
              <w:bottom w:val="dashed" w:sz="4" w:space="0" w:color="auto"/>
              <w:right w:val="nil"/>
            </w:tcBorders>
            <w:shd w:val="clear" w:color="auto" w:fill="auto"/>
            <w:vAlign w:val="center"/>
            <w:hideMark/>
          </w:tcPr>
          <w:p w14:paraId="5BC3D6F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(0.29)</w:t>
            </w:r>
          </w:p>
        </w:tc>
        <w:tc>
          <w:tcPr>
            <w:tcW w:w="1099" w:type="dxa"/>
            <w:tcBorders>
              <w:top w:val="dashed" w:sz="4" w:space="0" w:color="auto"/>
              <w:left w:val="nil"/>
              <w:bottom w:val="dashed" w:sz="4" w:space="0" w:color="auto"/>
              <w:right w:val="nil"/>
            </w:tcBorders>
            <w:shd w:val="clear" w:color="auto" w:fill="auto"/>
            <w:vAlign w:val="center"/>
            <w:hideMark/>
          </w:tcPr>
          <w:p w14:paraId="031A3A18"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c>
          <w:tcPr>
            <w:tcW w:w="1120" w:type="dxa"/>
            <w:tcBorders>
              <w:top w:val="dashed" w:sz="4" w:space="0" w:color="auto"/>
              <w:left w:val="nil"/>
              <w:bottom w:val="dashed" w:sz="4" w:space="0" w:color="auto"/>
              <w:right w:val="nil"/>
            </w:tcBorders>
            <w:shd w:val="clear" w:color="auto" w:fill="auto"/>
            <w:vAlign w:val="center"/>
            <w:hideMark/>
          </w:tcPr>
          <w:p w14:paraId="203349F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4.25</w:t>
            </w:r>
          </w:p>
        </w:tc>
        <w:tc>
          <w:tcPr>
            <w:tcW w:w="1100" w:type="dxa"/>
            <w:tcBorders>
              <w:top w:val="dashed" w:sz="4" w:space="0" w:color="auto"/>
              <w:left w:val="nil"/>
              <w:bottom w:val="dashed" w:sz="4" w:space="0" w:color="auto"/>
              <w:right w:val="nil"/>
            </w:tcBorders>
            <w:shd w:val="clear" w:color="auto" w:fill="auto"/>
            <w:vAlign w:val="center"/>
            <w:hideMark/>
          </w:tcPr>
          <w:p w14:paraId="6AA958C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4208EF39" w14:textId="77777777" w:rsidTr="002823CF">
        <w:trPr>
          <w:trHeight w:val="315"/>
        </w:trPr>
        <w:tc>
          <w:tcPr>
            <w:tcW w:w="520" w:type="dxa"/>
            <w:vMerge/>
            <w:tcBorders>
              <w:top w:val="single" w:sz="4" w:space="0" w:color="auto"/>
              <w:left w:val="nil"/>
              <w:bottom w:val="single" w:sz="4" w:space="0" w:color="000000"/>
              <w:right w:val="single" w:sz="4" w:space="0" w:color="auto"/>
            </w:tcBorders>
            <w:vAlign w:val="center"/>
            <w:hideMark/>
          </w:tcPr>
          <w:p w14:paraId="1CF10421"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14:paraId="65382A65"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nil"/>
              <w:right w:val="nil"/>
            </w:tcBorders>
            <w:shd w:val="clear" w:color="000000" w:fill="FFFFFF"/>
            <w:vAlign w:val="center"/>
            <w:hideMark/>
          </w:tcPr>
          <w:p w14:paraId="36BF5EAD"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CV, %</w:t>
            </w:r>
          </w:p>
        </w:tc>
        <w:tc>
          <w:tcPr>
            <w:tcW w:w="1080" w:type="dxa"/>
            <w:tcBorders>
              <w:top w:val="nil"/>
              <w:left w:val="nil"/>
              <w:bottom w:val="nil"/>
              <w:right w:val="nil"/>
            </w:tcBorders>
            <w:shd w:val="clear" w:color="auto" w:fill="auto"/>
            <w:vAlign w:val="center"/>
            <w:hideMark/>
          </w:tcPr>
          <w:p w14:paraId="669FE198"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4.9</w:t>
            </w:r>
          </w:p>
        </w:tc>
        <w:tc>
          <w:tcPr>
            <w:tcW w:w="1119" w:type="dxa"/>
            <w:tcBorders>
              <w:top w:val="nil"/>
              <w:left w:val="nil"/>
              <w:bottom w:val="nil"/>
              <w:right w:val="nil"/>
            </w:tcBorders>
            <w:shd w:val="clear" w:color="auto" w:fill="auto"/>
            <w:vAlign w:val="center"/>
            <w:hideMark/>
          </w:tcPr>
          <w:p w14:paraId="1E9E80C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16.3</w:t>
            </w:r>
          </w:p>
        </w:tc>
        <w:tc>
          <w:tcPr>
            <w:tcW w:w="1099" w:type="dxa"/>
            <w:tcBorders>
              <w:top w:val="nil"/>
              <w:left w:val="nil"/>
              <w:bottom w:val="nil"/>
              <w:right w:val="nil"/>
            </w:tcBorders>
            <w:shd w:val="clear" w:color="auto" w:fill="auto"/>
            <w:vAlign w:val="center"/>
            <w:hideMark/>
          </w:tcPr>
          <w:p w14:paraId="41BE1B3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c>
          <w:tcPr>
            <w:tcW w:w="1099" w:type="dxa"/>
            <w:tcBorders>
              <w:top w:val="nil"/>
              <w:left w:val="nil"/>
              <w:bottom w:val="nil"/>
              <w:right w:val="nil"/>
            </w:tcBorders>
            <w:shd w:val="clear" w:color="auto" w:fill="auto"/>
            <w:vAlign w:val="center"/>
            <w:hideMark/>
          </w:tcPr>
          <w:p w14:paraId="3527FD0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41.4</w:t>
            </w:r>
          </w:p>
        </w:tc>
        <w:tc>
          <w:tcPr>
            <w:tcW w:w="1099" w:type="dxa"/>
            <w:tcBorders>
              <w:top w:val="nil"/>
              <w:left w:val="nil"/>
              <w:bottom w:val="nil"/>
              <w:right w:val="nil"/>
            </w:tcBorders>
            <w:shd w:val="clear" w:color="auto" w:fill="auto"/>
            <w:vAlign w:val="center"/>
            <w:hideMark/>
          </w:tcPr>
          <w:p w14:paraId="5A22D7C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c>
          <w:tcPr>
            <w:tcW w:w="1120" w:type="dxa"/>
            <w:tcBorders>
              <w:top w:val="nil"/>
              <w:left w:val="nil"/>
              <w:bottom w:val="nil"/>
              <w:right w:val="nil"/>
            </w:tcBorders>
            <w:shd w:val="clear" w:color="auto" w:fill="auto"/>
            <w:vAlign w:val="center"/>
            <w:hideMark/>
          </w:tcPr>
          <w:p w14:paraId="05BCA5CB"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19.5</w:t>
            </w:r>
          </w:p>
        </w:tc>
        <w:tc>
          <w:tcPr>
            <w:tcW w:w="1100" w:type="dxa"/>
            <w:tcBorders>
              <w:top w:val="nil"/>
              <w:left w:val="nil"/>
              <w:bottom w:val="nil"/>
              <w:right w:val="nil"/>
            </w:tcBorders>
            <w:shd w:val="clear" w:color="auto" w:fill="auto"/>
            <w:vAlign w:val="center"/>
            <w:hideMark/>
          </w:tcPr>
          <w:p w14:paraId="31310E9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26518702" w14:textId="77777777" w:rsidTr="002823CF">
        <w:trPr>
          <w:trHeight w:val="315"/>
        </w:trPr>
        <w:tc>
          <w:tcPr>
            <w:tcW w:w="520" w:type="dxa"/>
            <w:vMerge/>
            <w:tcBorders>
              <w:top w:val="single" w:sz="4" w:space="0" w:color="auto"/>
              <w:left w:val="nil"/>
              <w:bottom w:val="single" w:sz="4" w:space="0" w:color="000000"/>
              <w:right w:val="single" w:sz="4" w:space="0" w:color="auto"/>
            </w:tcBorders>
            <w:vAlign w:val="center"/>
            <w:hideMark/>
          </w:tcPr>
          <w:p w14:paraId="6BCE4508"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3B304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WB,f</w:t>
            </w:r>
          </w:p>
        </w:tc>
        <w:tc>
          <w:tcPr>
            <w:tcW w:w="900" w:type="dxa"/>
            <w:tcBorders>
              <w:top w:val="single" w:sz="4" w:space="0" w:color="auto"/>
              <w:left w:val="nil"/>
              <w:bottom w:val="nil"/>
              <w:right w:val="nil"/>
            </w:tcBorders>
            <w:shd w:val="clear" w:color="000000" w:fill="FFFFFF"/>
            <w:vAlign w:val="center"/>
            <w:hideMark/>
          </w:tcPr>
          <w:p w14:paraId="70B6FA43" w14:textId="77777777" w:rsidR="00283B86" w:rsidRPr="00283B86" w:rsidRDefault="00283B86">
            <w:pPr>
              <w:spacing w:after="0" w:line="240" w:lineRule="auto"/>
              <w:jc w:val="center"/>
              <w:rPr>
                <w:rFonts w:ascii="MS Reference Sans Serif" w:eastAsia="Times New Roman" w:hAnsi="MS Reference Sans Serif" w:cs="Arial"/>
                <w:color w:val="000000"/>
                <w:sz w:val="16"/>
                <w:szCs w:val="16"/>
                <w:lang w:eastAsia="en-GB"/>
              </w:rPr>
            </w:pPr>
            <w:r w:rsidRPr="00283B86">
              <w:rPr>
                <w:rFonts w:ascii="MS Reference Sans Serif" w:eastAsia="Times New Roman" w:hAnsi="MS Reference Sans Serif" w:cs="Arial"/>
                <w:color w:val="000000"/>
                <w:sz w:val="16"/>
                <w:szCs w:val="16"/>
                <w:lang w:eastAsia="en-GB"/>
              </w:rPr>
              <w:t>,</w:t>
            </w:r>
            <w:r w:rsidRPr="00283B86">
              <w:rPr>
                <w:rFonts w:ascii="Calibri" w:eastAsia="Times New Roman" w:hAnsi="Calibri" w:cs="Arial"/>
                <w:color w:val="000000"/>
                <w:sz w:val="16"/>
                <w:szCs w:val="16"/>
                <w:lang w:eastAsia="en-GB"/>
              </w:rPr>
              <w:t xml:space="preserve"> µg/L </w:t>
            </w:r>
          </w:p>
        </w:tc>
        <w:tc>
          <w:tcPr>
            <w:tcW w:w="1080" w:type="dxa"/>
            <w:tcBorders>
              <w:top w:val="single" w:sz="4" w:space="0" w:color="auto"/>
              <w:left w:val="nil"/>
              <w:bottom w:val="nil"/>
              <w:right w:val="nil"/>
            </w:tcBorders>
            <w:shd w:val="clear" w:color="auto" w:fill="auto"/>
            <w:vAlign w:val="center"/>
            <w:hideMark/>
          </w:tcPr>
          <w:p w14:paraId="36ABD59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(1.34)</w:t>
            </w:r>
          </w:p>
        </w:tc>
        <w:tc>
          <w:tcPr>
            <w:tcW w:w="1119" w:type="dxa"/>
            <w:tcBorders>
              <w:top w:val="single" w:sz="4" w:space="0" w:color="auto"/>
              <w:left w:val="nil"/>
              <w:bottom w:val="nil"/>
              <w:right w:val="nil"/>
            </w:tcBorders>
            <w:shd w:val="clear" w:color="auto" w:fill="auto"/>
            <w:vAlign w:val="center"/>
            <w:hideMark/>
          </w:tcPr>
          <w:p w14:paraId="792D3E58"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0.43</w:t>
            </w:r>
          </w:p>
        </w:tc>
        <w:tc>
          <w:tcPr>
            <w:tcW w:w="1099" w:type="dxa"/>
            <w:tcBorders>
              <w:top w:val="single" w:sz="4" w:space="0" w:color="auto"/>
              <w:left w:val="nil"/>
              <w:bottom w:val="nil"/>
              <w:right w:val="nil"/>
            </w:tcBorders>
            <w:shd w:val="clear" w:color="auto" w:fill="auto"/>
            <w:vAlign w:val="center"/>
            <w:hideMark/>
          </w:tcPr>
          <w:p w14:paraId="57BD9CEB" w14:textId="2D972773" w:rsidR="00283B86" w:rsidRPr="00283B86" w:rsidRDefault="009D4232" w:rsidP="00D10069">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8.</w:t>
            </w:r>
            <w:r w:rsidR="00250FE4">
              <w:rPr>
                <w:rFonts w:ascii="Calibri" w:eastAsia="Times New Roman" w:hAnsi="Calibri" w:cs="Arial"/>
                <w:color w:val="000000"/>
                <w:sz w:val="16"/>
                <w:szCs w:val="16"/>
                <w:lang w:eastAsia="en-GB"/>
              </w:rPr>
              <w:t>18</w:t>
            </w:r>
            <w:r>
              <w:rPr>
                <w:rFonts w:ascii="Calibri" w:eastAsia="Times New Roman" w:hAnsi="Calibri" w:cs="Arial"/>
                <w:color w:val="000000"/>
                <w:sz w:val="16"/>
                <w:szCs w:val="16"/>
                <w:lang w:eastAsia="en-GB"/>
              </w:rPr>
              <w:t>)</w:t>
            </w:r>
          </w:p>
        </w:tc>
        <w:tc>
          <w:tcPr>
            <w:tcW w:w="1099" w:type="dxa"/>
            <w:tcBorders>
              <w:top w:val="single" w:sz="4" w:space="0" w:color="auto"/>
              <w:left w:val="nil"/>
              <w:bottom w:val="nil"/>
              <w:right w:val="nil"/>
            </w:tcBorders>
            <w:shd w:val="clear" w:color="auto" w:fill="auto"/>
            <w:vAlign w:val="center"/>
            <w:hideMark/>
          </w:tcPr>
          <w:p w14:paraId="2039D36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(0.9)</w:t>
            </w:r>
          </w:p>
        </w:tc>
        <w:tc>
          <w:tcPr>
            <w:tcW w:w="1099" w:type="dxa"/>
            <w:tcBorders>
              <w:top w:val="single" w:sz="4" w:space="0" w:color="auto"/>
              <w:left w:val="nil"/>
              <w:bottom w:val="nil"/>
              <w:right w:val="nil"/>
            </w:tcBorders>
            <w:shd w:val="clear" w:color="auto" w:fill="auto"/>
            <w:vAlign w:val="center"/>
            <w:hideMark/>
          </w:tcPr>
          <w:p w14:paraId="656F6C02" w14:textId="4DFD02F1" w:rsidR="00283B86" w:rsidRPr="00283B86" w:rsidRDefault="009D4232" w:rsidP="009D4232">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 xml:space="preserve"> 0.6</w:t>
            </w:r>
            <w:r>
              <w:rPr>
                <w:rFonts w:ascii="Calibri" w:eastAsia="Times New Roman" w:hAnsi="Calibri" w:cs="Arial"/>
                <w:color w:val="000000"/>
                <w:sz w:val="16"/>
                <w:szCs w:val="16"/>
                <w:lang w:eastAsia="en-GB"/>
              </w:rPr>
              <w:t>)</w:t>
            </w:r>
          </w:p>
        </w:tc>
        <w:tc>
          <w:tcPr>
            <w:tcW w:w="1120" w:type="dxa"/>
            <w:tcBorders>
              <w:top w:val="single" w:sz="4" w:space="0" w:color="auto"/>
              <w:left w:val="nil"/>
              <w:bottom w:val="nil"/>
              <w:right w:val="nil"/>
            </w:tcBorders>
            <w:shd w:val="clear" w:color="auto" w:fill="auto"/>
            <w:vAlign w:val="center"/>
            <w:hideMark/>
          </w:tcPr>
          <w:p w14:paraId="7E8F69E8"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24.62</w:t>
            </w:r>
          </w:p>
        </w:tc>
        <w:tc>
          <w:tcPr>
            <w:tcW w:w="1100" w:type="dxa"/>
            <w:tcBorders>
              <w:top w:val="single" w:sz="4" w:space="0" w:color="auto"/>
              <w:left w:val="nil"/>
              <w:bottom w:val="nil"/>
              <w:right w:val="nil"/>
            </w:tcBorders>
            <w:shd w:val="clear" w:color="auto" w:fill="auto"/>
            <w:vAlign w:val="center"/>
            <w:hideMark/>
          </w:tcPr>
          <w:p w14:paraId="5EDED9AC" w14:textId="47847A69" w:rsidR="00283B86" w:rsidRPr="00283B86" w:rsidRDefault="009D4232">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7</w:t>
            </w:r>
            <w:r>
              <w:rPr>
                <w:rFonts w:ascii="Calibri" w:eastAsia="Times New Roman" w:hAnsi="Calibri" w:cs="Arial"/>
                <w:color w:val="000000"/>
                <w:sz w:val="16"/>
                <w:szCs w:val="16"/>
                <w:lang w:eastAsia="en-GB"/>
              </w:rPr>
              <w:t>)</w:t>
            </w:r>
          </w:p>
        </w:tc>
      </w:tr>
      <w:tr w:rsidR="002823CF" w:rsidRPr="00283B86" w14:paraId="3F98B839" w14:textId="77777777" w:rsidTr="002823CF">
        <w:trPr>
          <w:trHeight w:val="315"/>
        </w:trPr>
        <w:tc>
          <w:tcPr>
            <w:tcW w:w="520" w:type="dxa"/>
            <w:vMerge/>
            <w:tcBorders>
              <w:top w:val="single" w:sz="4" w:space="0" w:color="auto"/>
              <w:left w:val="nil"/>
              <w:bottom w:val="single" w:sz="4" w:space="0" w:color="000000"/>
              <w:right w:val="single" w:sz="4" w:space="0" w:color="auto"/>
            </w:tcBorders>
            <w:vAlign w:val="center"/>
            <w:hideMark/>
          </w:tcPr>
          <w:p w14:paraId="20B5244E"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603E903D"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dashed" w:sz="4" w:space="0" w:color="auto"/>
              <w:left w:val="nil"/>
              <w:bottom w:val="dashed" w:sz="4" w:space="0" w:color="auto"/>
              <w:right w:val="nil"/>
            </w:tcBorders>
            <w:shd w:val="clear" w:color="000000" w:fill="FFFFFF"/>
            <w:vAlign w:val="center"/>
            <w:hideMark/>
          </w:tcPr>
          <w:p w14:paraId="5B304E1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 xml:space="preserve">SD, µg/L </w:t>
            </w:r>
          </w:p>
        </w:tc>
        <w:tc>
          <w:tcPr>
            <w:tcW w:w="1080" w:type="dxa"/>
            <w:tcBorders>
              <w:top w:val="dashed" w:sz="4" w:space="0" w:color="auto"/>
              <w:left w:val="nil"/>
              <w:bottom w:val="dashed" w:sz="4" w:space="0" w:color="auto"/>
              <w:right w:val="nil"/>
            </w:tcBorders>
            <w:shd w:val="clear" w:color="auto" w:fill="auto"/>
            <w:vAlign w:val="center"/>
            <w:hideMark/>
          </w:tcPr>
          <w:p w14:paraId="6730078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(0.75)</w:t>
            </w:r>
          </w:p>
        </w:tc>
        <w:tc>
          <w:tcPr>
            <w:tcW w:w="1119" w:type="dxa"/>
            <w:tcBorders>
              <w:top w:val="dashed" w:sz="4" w:space="0" w:color="auto"/>
              <w:left w:val="nil"/>
              <w:bottom w:val="dashed" w:sz="4" w:space="0" w:color="auto"/>
              <w:right w:val="nil"/>
            </w:tcBorders>
            <w:shd w:val="clear" w:color="auto" w:fill="auto"/>
            <w:vAlign w:val="center"/>
            <w:hideMark/>
          </w:tcPr>
          <w:p w14:paraId="389E34C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0.28</w:t>
            </w:r>
          </w:p>
        </w:tc>
        <w:tc>
          <w:tcPr>
            <w:tcW w:w="1099" w:type="dxa"/>
            <w:tcBorders>
              <w:top w:val="dashed" w:sz="4" w:space="0" w:color="auto"/>
              <w:left w:val="nil"/>
              <w:bottom w:val="dashed" w:sz="4" w:space="0" w:color="auto"/>
              <w:right w:val="nil"/>
            </w:tcBorders>
            <w:shd w:val="clear" w:color="auto" w:fill="auto"/>
            <w:vAlign w:val="center"/>
            <w:hideMark/>
          </w:tcPr>
          <w:p w14:paraId="285B11CE" w14:textId="1AD1384D" w:rsidR="00283B86" w:rsidRPr="00283B86" w:rsidRDefault="00250FE4">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(2.82)</w:t>
            </w:r>
          </w:p>
        </w:tc>
        <w:tc>
          <w:tcPr>
            <w:tcW w:w="1099" w:type="dxa"/>
            <w:tcBorders>
              <w:top w:val="dashed" w:sz="4" w:space="0" w:color="auto"/>
              <w:left w:val="nil"/>
              <w:bottom w:val="dashed" w:sz="4" w:space="0" w:color="auto"/>
              <w:right w:val="nil"/>
            </w:tcBorders>
            <w:shd w:val="clear" w:color="auto" w:fill="auto"/>
            <w:vAlign w:val="center"/>
            <w:hideMark/>
          </w:tcPr>
          <w:p w14:paraId="48C6D41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(0.13)</w:t>
            </w:r>
          </w:p>
        </w:tc>
        <w:tc>
          <w:tcPr>
            <w:tcW w:w="1099" w:type="dxa"/>
            <w:tcBorders>
              <w:top w:val="dashed" w:sz="4" w:space="0" w:color="auto"/>
              <w:left w:val="nil"/>
              <w:bottom w:val="dashed" w:sz="4" w:space="0" w:color="auto"/>
              <w:right w:val="nil"/>
            </w:tcBorders>
            <w:shd w:val="clear" w:color="auto" w:fill="auto"/>
            <w:vAlign w:val="center"/>
            <w:hideMark/>
          </w:tcPr>
          <w:p w14:paraId="0EC26DE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c>
          <w:tcPr>
            <w:tcW w:w="1120" w:type="dxa"/>
            <w:tcBorders>
              <w:top w:val="dashed" w:sz="4" w:space="0" w:color="auto"/>
              <w:left w:val="nil"/>
              <w:bottom w:val="dashed" w:sz="4" w:space="0" w:color="auto"/>
              <w:right w:val="nil"/>
            </w:tcBorders>
            <w:shd w:val="clear" w:color="auto" w:fill="auto"/>
            <w:vAlign w:val="center"/>
            <w:hideMark/>
          </w:tcPr>
          <w:p w14:paraId="53FF666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1.49</w:t>
            </w:r>
          </w:p>
        </w:tc>
        <w:tc>
          <w:tcPr>
            <w:tcW w:w="1100" w:type="dxa"/>
            <w:tcBorders>
              <w:top w:val="dashed" w:sz="4" w:space="0" w:color="auto"/>
              <w:left w:val="nil"/>
              <w:bottom w:val="dashed" w:sz="4" w:space="0" w:color="auto"/>
              <w:right w:val="nil"/>
            </w:tcBorders>
            <w:shd w:val="clear" w:color="auto" w:fill="auto"/>
            <w:vAlign w:val="center"/>
            <w:hideMark/>
          </w:tcPr>
          <w:p w14:paraId="08084055"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3B2A55BA" w14:textId="77777777" w:rsidTr="002823CF">
        <w:trPr>
          <w:trHeight w:val="315"/>
        </w:trPr>
        <w:tc>
          <w:tcPr>
            <w:tcW w:w="520" w:type="dxa"/>
            <w:vMerge/>
            <w:tcBorders>
              <w:top w:val="single" w:sz="4" w:space="0" w:color="auto"/>
              <w:left w:val="nil"/>
              <w:bottom w:val="single" w:sz="4" w:space="0" w:color="000000"/>
              <w:right w:val="single" w:sz="4" w:space="0" w:color="auto"/>
            </w:tcBorders>
            <w:vAlign w:val="center"/>
            <w:hideMark/>
          </w:tcPr>
          <w:p w14:paraId="60E03726"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14B0A1D8"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nil"/>
              <w:right w:val="nil"/>
            </w:tcBorders>
            <w:shd w:val="clear" w:color="000000" w:fill="FFFFFF"/>
            <w:vAlign w:val="center"/>
            <w:hideMark/>
          </w:tcPr>
          <w:p w14:paraId="573DAAAB"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CV, %</w:t>
            </w:r>
          </w:p>
        </w:tc>
        <w:tc>
          <w:tcPr>
            <w:tcW w:w="1080" w:type="dxa"/>
            <w:tcBorders>
              <w:top w:val="nil"/>
              <w:left w:val="nil"/>
              <w:bottom w:val="nil"/>
              <w:right w:val="nil"/>
            </w:tcBorders>
            <w:shd w:val="clear" w:color="auto" w:fill="auto"/>
            <w:vAlign w:val="center"/>
            <w:hideMark/>
          </w:tcPr>
          <w:p w14:paraId="73C93BB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56.0</w:t>
            </w:r>
          </w:p>
        </w:tc>
        <w:tc>
          <w:tcPr>
            <w:tcW w:w="1119" w:type="dxa"/>
            <w:tcBorders>
              <w:top w:val="nil"/>
              <w:left w:val="nil"/>
              <w:bottom w:val="nil"/>
              <w:right w:val="nil"/>
            </w:tcBorders>
            <w:shd w:val="clear" w:color="auto" w:fill="auto"/>
            <w:vAlign w:val="center"/>
            <w:hideMark/>
          </w:tcPr>
          <w:p w14:paraId="0A057E6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65.1</w:t>
            </w:r>
          </w:p>
        </w:tc>
        <w:tc>
          <w:tcPr>
            <w:tcW w:w="1099" w:type="dxa"/>
            <w:tcBorders>
              <w:top w:val="nil"/>
              <w:left w:val="nil"/>
              <w:bottom w:val="nil"/>
              <w:right w:val="nil"/>
            </w:tcBorders>
            <w:shd w:val="clear" w:color="auto" w:fill="auto"/>
            <w:vAlign w:val="center"/>
            <w:hideMark/>
          </w:tcPr>
          <w:p w14:paraId="0FD0016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c>
          <w:tcPr>
            <w:tcW w:w="1099" w:type="dxa"/>
            <w:tcBorders>
              <w:top w:val="nil"/>
              <w:left w:val="nil"/>
              <w:bottom w:val="nil"/>
              <w:right w:val="nil"/>
            </w:tcBorders>
            <w:shd w:val="clear" w:color="auto" w:fill="auto"/>
            <w:vAlign w:val="center"/>
            <w:hideMark/>
          </w:tcPr>
          <w:p w14:paraId="39D386AB"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14.4</w:t>
            </w:r>
          </w:p>
        </w:tc>
        <w:tc>
          <w:tcPr>
            <w:tcW w:w="1099" w:type="dxa"/>
            <w:tcBorders>
              <w:top w:val="nil"/>
              <w:left w:val="nil"/>
              <w:bottom w:val="nil"/>
              <w:right w:val="nil"/>
            </w:tcBorders>
            <w:shd w:val="clear" w:color="auto" w:fill="auto"/>
            <w:vAlign w:val="center"/>
            <w:hideMark/>
          </w:tcPr>
          <w:p w14:paraId="02E22052"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c>
          <w:tcPr>
            <w:tcW w:w="1120" w:type="dxa"/>
            <w:tcBorders>
              <w:top w:val="nil"/>
              <w:left w:val="nil"/>
              <w:bottom w:val="nil"/>
              <w:right w:val="nil"/>
            </w:tcBorders>
            <w:shd w:val="clear" w:color="auto" w:fill="auto"/>
            <w:vAlign w:val="center"/>
            <w:hideMark/>
          </w:tcPr>
          <w:p w14:paraId="37FEA73B"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65.1</w:t>
            </w:r>
          </w:p>
        </w:tc>
        <w:tc>
          <w:tcPr>
            <w:tcW w:w="1100" w:type="dxa"/>
            <w:tcBorders>
              <w:top w:val="nil"/>
              <w:left w:val="nil"/>
              <w:bottom w:val="nil"/>
              <w:right w:val="nil"/>
            </w:tcBorders>
            <w:shd w:val="clear" w:color="auto" w:fill="auto"/>
            <w:vAlign w:val="center"/>
            <w:hideMark/>
          </w:tcPr>
          <w:p w14:paraId="3F625A2D"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1E1F8726" w14:textId="77777777" w:rsidTr="002823CF">
        <w:trPr>
          <w:trHeight w:val="315"/>
        </w:trPr>
        <w:tc>
          <w:tcPr>
            <w:tcW w:w="520" w:type="dxa"/>
            <w:vMerge w:val="restart"/>
            <w:tcBorders>
              <w:top w:val="nil"/>
              <w:left w:val="nil"/>
              <w:bottom w:val="single" w:sz="4" w:space="0" w:color="000000"/>
              <w:right w:val="single" w:sz="4" w:space="0" w:color="auto"/>
            </w:tcBorders>
            <w:shd w:val="clear" w:color="auto" w:fill="auto"/>
            <w:noWrap/>
            <w:textDirection w:val="btLr"/>
            <w:vAlign w:val="center"/>
            <w:hideMark/>
          </w:tcPr>
          <w:p w14:paraId="62279131"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ionic spike</w:t>
            </w:r>
          </w:p>
        </w:tc>
        <w:tc>
          <w:tcPr>
            <w:tcW w:w="9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F9EFBA"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WB,f + 2.51µg.kg</w:t>
            </w:r>
            <w:r w:rsidRPr="00283B86">
              <w:rPr>
                <w:rFonts w:ascii="Calibri" w:eastAsia="Times New Roman" w:hAnsi="Calibri" w:cs="Arial"/>
                <w:color w:val="000000"/>
                <w:sz w:val="16"/>
                <w:szCs w:val="16"/>
                <w:vertAlign w:val="superscript"/>
                <w:lang w:eastAsia="en-GB"/>
              </w:rPr>
              <w:t>-1</w:t>
            </w:r>
          </w:p>
        </w:tc>
        <w:tc>
          <w:tcPr>
            <w:tcW w:w="900" w:type="dxa"/>
            <w:tcBorders>
              <w:top w:val="single" w:sz="4" w:space="0" w:color="auto"/>
              <w:left w:val="nil"/>
              <w:bottom w:val="nil"/>
              <w:right w:val="nil"/>
            </w:tcBorders>
            <w:shd w:val="clear" w:color="000000" w:fill="FFFFFF"/>
            <w:vAlign w:val="center"/>
            <w:hideMark/>
          </w:tcPr>
          <w:p w14:paraId="696E6DC3" w14:textId="77777777" w:rsidR="00283B86" w:rsidRPr="00283B86" w:rsidRDefault="00283B86" w:rsidP="002823CF">
            <w:pPr>
              <w:spacing w:after="0" w:line="240" w:lineRule="auto"/>
              <w:jc w:val="center"/>
              <w:rPr>
                <w:rFonts w:ascii="MS Reference Sans Serif" w:eastAsia="Times New Roman" w:hAnsi="MS Reference Sans Serif" w:cs="Arial"/>
                <w:color w:val="000000"/>
                <w:sz w:val="16"/>
                <w:szCs w:val="16"/>
                <w:lang w:eastAsia="en-GB"/>
              </w:rPr>
            </w:pPr>
            <w:r w:rsidRPr="00283B86">
              <w:rPr>
                <w:rFonts w:ascii="MS Reference Sans Serif" w:eastAsia="Times New Roman" w:hAnsi="MS Reference Sans Serif" w:cs="Arial"/>
                <w:color w:val="000000"/>
                <w:sz w:val="16"/>
                <w:szCs w:val="16"/>
                <w:lang w:eastAsia="en-GB"/>
              </w:rPr>
              <w:t>,</w:t>
            </w:r>
            <w:r w:rsidRPr="00283B86">
              <w:rPr>
                <w:rFonts w:ascii="Calibri" w:eastAsia="Times New Roman" w:hAnsi="Calibri" w:cs="Arial"/>
                <w:color w:val="000000"/>
                <w:sz w:val="16"/>
                <w:szCs w:val="16"/>
                <w:lang w:eastAsia="en-GB"/>
              </w:rPr>
              <w:t xml:space="preserve"> µg/L </w:t>
            </w:r>
          </w:p>
        </w:tc>
        <w:tc>
          <w:tcPr>
            <w:tcW w:w="1080" w:type="dxa"/>
            <w:tcBorders>
              <w:top w:val="single" w:sz="4" w:space="0" w:color="auto"/>
              <w:left w:val="nil"/>
              <w:bottom w:val="nil"/>
              <w:right w:val="nil"/>
            </w:tcBorders>
            <w:shd w:val="clear" w:color="auto" w:fill="auto"/>
            <w:vAlign w:val="center"/>
            <w:hideMark/>
          </w:tcPr>
          <w:p w14:paraId="4C75BEB6"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4.11</w:t>
            </w:r>
          </w:p>
        </w:tc>
        <w:tc>
          <w:tcPr>
            <w:tcW w:w="1119" w:type="dxa"/>
            <w:tcBorders>
              <w:top w:val="single" w:sz="4" w:space="0" w:color="auto"/>
              <w:left w:val="nil"/>
              <w:bottom w:val="nil"/>
              <w:right w:val="nil"/>
            </w:tcBorders>
            <w:shd w:val="clear" w:color="auto" w:fill="auto"/>
            <w:vAlign w:val="center"/>
            <w:hideMark/>
          </w:tcPr>
          <w:p w14:paraId="5C222308"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2.63</w:t>
            </w:r>
          </w:p>
        </w:tc>
        <w:tc>
          <w:tcPr>
            <w:tcW w:w="1099" w:type="dxa"/>
            <w:tcBorders>
              <w:top w:val="single" w:sz="4" w:space="0" w:color="auto"/>
              <w:left w:val="nil"/>
              <w:bottom w:val="nil"/>
              <w:right w:val="nil"/>
            </w:tcBorders>
            <w:shd w:val="clear" w:color="auto" w:fill="auto"/>
            <w:vAlign w:val="center"/>
            <w:hideMark/>
          </w:tcPr>
          <w:p w14:paraId="24A6DEB9"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9.19</w:t>
            </w:r>
          </w:p>
        </w:tc>
        <w:tc>
          <w:tcPr>
            <w:tcW w:w="1099" w:type="dxa"/>
            <w:tcBorders>
              <w:top w:val="single" w:sz="4" w:space="0" w:color="auto"/>
              <w:left w:val="nil"/>
              <w:bottom w:val="nil"/>
              <w:right w:val="nil"/>
            </w:tcBorders>
            <w:shd w:val="clear" w:color="auto" w:fill="auto"/>
            <w:vAlign w:val="center"/>
            <w:hideMark/>
          </w:tcPr>
          <w:p w14:paraId="30BB1981"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3.36</w:t>
            </w:r>
          </w:p>
        </w:tc>
        <w:tc>
          <w:tcPr>
            <w:tcW w:w="1099" w:type="dxa"/>
            <w:tcBorders>
              <w:top w:val="single" w:sz="4" w:space="0" w:color="auto"/>
              <w:left w:val="nil"/>
              <w:bottom w:val="nil"/>
              <w:right w:val="nil"/>
            </w:tcBorders>
            <w:shd w:val="clear" w:color="auto" w:fill="auto"/>
            <w:vAlign w:val="center"/>
            <w:hideMark/>
          </w:tcPr>
          <w:p w14:paraId="14CE297B"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3.22</w:t>
            </w:r>
          </w:p>
        </w:tc>
        <w:tc>
          <w:tcPr>
            <w:tcW w:w="1120" w:type="dxa"/>
            <w:tcBorders>
              <w:top w:val="single" w:sz="4" w:space="0" w:color="auto"/>
              <w:left w:val="nil"/>
              <w:bottom w:val="nil"/>
              <w:right w:val="nil"/>
            </w:tcBorders>
            <w:shd w:val="clear" w:color="auto" w:fill="auto"/>
            <w:vAlign w:val="center"/>
            <w:hideMark/>
          </w:tcPr>
          <w:p w14:paraId="441A0F54"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27.04</w:t>
            </w:r>
          </w:p>
        </w:tc>
        <w:tc>
          <w:tcPr>
            <w:tcW w:w="1100" w:type="dxa"/>
            <w:tcBorders>
              <w:top w:val="single" w:sz="4" w:space="0" w:color="auto"/>
              <w:left w:val="nil"/>
              <w:bottom w:val="nil"/>
              <w:right w:val="nil"/>
            </w:tcBorders>
            <w:shd w:val="clear" w:color="auto" w:fill="auto"/>
            <w:vAlign w:val="center"/>
            <w:hideMark/>
          </w:tcPr>
          <w:p w14:paraId="36CAD379" w14:textId="4058E4FD" w:rsidR="00283B86" w:rsidRPr="00283B86" w:rsidRDefault="009D4232" w:rsidP="009D4232">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7</w:t>
            </w:r>
            <w:r>
              <w:rPr>
                <w:rFonts w:ascii="Calibri" w:eastAsia="Times New Roman" w:hAnsi="Calibri" w:cs="Arial"/>
                <w:color w:val="000000"/>
                <w:sz w:val="16"/>
                <w:szCs w:val="16"/>
                <w:lang w:eastAsia="en-GB"/>
              </w:rPr>
              <w:t>)</w:t>
            </w:r>
          </w:p>
        </w:tc>
      </w:tr>
      <w:tr w:rsidR="002823CF" w:rsidRPr="00283B86" w14:paraId="33FC1C8C" w14:textId="77777777" w:rsidTr="002823CF">
        <w:trPr>
          <w:trHeight w:val="315"/>
        </w:trPr>
        <w:tc>
          <w:tcPr>
            <w:tcW w:w="520" w:type="dxa"/>
            <w:vMerge/>
            <w:tcBorders>
              <w:top w:val="nil"/>
              <w:left w:val="nil"/>
              <w:bottom w:val="single" w:sz="4" w:space="0" w:color="000000"/>
              <w:right w:val="single" w:sz="4" w:space="0" w:color="auto"/>
            </w:tcBorders>
            <w:vAlign w:val="center"/>
            <w:hideMark/>
          </w:tcPr>
          <w:p w14:paraId="3A908D81"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56915964"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dashed" w:sz="4" w:space="0" w:color="auto"/>
              <w:left w:val="nil"/>
              <w:bottom w:val="dashed" w:sz="4" w:space="0" w:color="auto"/>
              <w:right w:val="nil"/>
            </w:tcBorders>
            <w:shd w:val="clear" w:color="000000" w:fill="FFFFFF"/>
            <w:vAlign w:val="center"/>
            <w:hideMark/>
          </w:tcPr>
          <w:p w14:paraId="211F2EC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 xml:space="preserve">SD, µg/L </w:t>
            </w:r>
          </w:p>
        </w:tc>
        <w:tc>
          <w:tcPr>
            <w:tcW w:w="1080" w:type="dxa"/>
            <w:tcBorders>
              <w:top w:val="dashed" w:sz="4" w:space="0" w:color="auto"/>
              <w:left w:val="nil"/>
              <w:bottom w:val="dashed" w:sz="4" w:space="0" w:color="auto"/>
              <w:right w:val="nil"/>
            </w:tcBorders>
            <w:shd w:val="clear" w:color="auto" w:fill="auto"/>
            <w:vAlign w:val="center"/>
            <w:hideMark/>
          </w:tcPr>
          <w:p w14:paraId="4451DC1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0.35</w:t>
            </w:r>
          </w:p>
        </w:tc>
        <w:tc>
          <w:tcPr>
            <w:tcW w:w="1119" w:type="dxa"/>
            <w:tcBorders>
              <w:top w:val="dashed" w:sz="4" w:space="0" w:color="auto"/>
              <w:left w:val="nil"/>
              <w:bottom w:val="dashed" w:sz="4" w:space="0" w:color="auto"/>
              <w:right w:val="nil"/>
            </w:tcBorders>
            <w:shd w:val="clear" w:color="auto" w:fill="auto"/>
            <w:vAlign w:val="center"/>
            <w:hideMark/>
          </w:tcPr>
          <w:p w14:paraId="13750B6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0.46</w:t>
            </w:r>
          </w:p>
        </w:tc>
        <w:tc>
          <w:tcPr>
            <w:tcW w:w="1099" w:type="dxa"/>
            <w:tcBorders>
              <w:top w:val="dashed" w:sz="4" w:space="0" w:color="auto"/>
              <w:left w:val="nil"/>
              <w:bottom w:val="dashed" w:sz="4" w:space="0" w:color="auto"/>
              <w:right w:val="nil"/>
            </w:tcBorders>
            <w:shd w:val="clear" w:color="auto" w:fill="auto"/>
            <w:vAlign w:val="center"/>
            <w:hideMark/>
          </w:tcPr>
          <w:p w14:paraId="0C42B52D"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0.43</w:t>
            </w:r>
          </w:p>
        </w:tc>
        <w:tc>
          <w:tcPr>
            <w:tcW w:w="1099" w:type="dxa"/>
            <w:tcBorders>
              <w:top w:val="dashed" w:sz="4" w:space="0" w:color="auto"/>
              <w:left w:val="nil"/>
              <w:bottom w:val="dashed" w:sz="4" w:space="0" w:color="auto"/>
              <w:right w:val="nil"/>
            </w:tcBorders>
            <w:shd w:val="clear" w:color="auto" w:fill="auto"/>
            <w:vAlign w:val="center"/>
            <w:hideMark/>
          </w:tcPr>
          <w:p w14:paraId="762D3B8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0.66</w:t>
            </w:r>
          </w:p>
        </w:tc>
        <w:tc>
          <w:tcPr>
            <w:tcW w:w="1099" w:type="dxa"/>
            <w:tcBorders>
              <w:top w:val="dashed" w:sz="4" w:space="0" w:color="auto"/>
              <w:left w:val="nil"/>
              <w:bottom w:val="dashed" w:sz="4" w:space="0" w:color="auto"/>
              <w:right w:val="nil"/>
            </w:tcBorders>
            <w:shd w:val="clear" w:color="auto" w:fill="auto"/>
            <w:vAlign w:val="center"/>
            <w:hideMark/>
          </w:tcPr>
          <w:p w14:paraId="40510B5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0.12</w:t>
            </w:r>
          </w:p>
        </w:tc>
        <w:tc>
          <w:tcPr>
            <w:tcW w:w="1120" w:type="dxa"/>
            <w:tcBorders>
              <w:top w:val="dashed" w:sz="4" w:space="0" w:color="auto"/>
              <w:left w:val="nil"/>
              <w:bottom w:val="dashed" w:sz="4" w:space="0" w:color="auto"/>
              <w:right w:val="nil"/>
            </w:tcBorders>
            <w:shd w:val="clear" w:color="auto" w:fill="auto"/>
            <w:vAlign w:val="center"/>
            <w:hideMark/>
          </w:tcPr>
          <w:p w14:paraId="002C370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3.92</w:t>
            </w:r>
          </w:p>
        </w:tc>
        <w:tc>
          <w:tcPr>
            <w:tcW w:w="1100" w:type="dxa"/>
            <w:tcBorders>
              <w:top w:val="dashed" w:sz="4" w:space="0" w:color="auto"/>
              <w:left w:val="nil"/>
              <w:bottom w:val="dashed" w:sz="4" w:space="0" w:color="auto"/>
              <w:right w:val="nil"/>
            </w:tcBorders>
            <w:shd w:val="clear" w:color="auto" w:fill="auto"/>
            <w:vAlign w:val="center"/>
            <w:hideMark/>
          </w:tcPr>
          <w:p w14:paraId="3B4728F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7EFAF97F" w14:textId="77777777" w:rsidTr="002823CF">
        <w:trPr>
          <w:trHeight w:val="315"/>
        </w:trPr>
        <w:tc>
          <w:tcPr>
            <w:tcW w:w="520" w:type="dxa"/>
            <w:vMerge/>
            <w:tcBorders>
              <w:top w:val="nil"/>
              <w:left w:val="nil"/>
              <w:bottom w:val="single" w:sz="4" w:space="0" w:color="000000"/>
              <w:right w:val="single" w:sz="4" w:space="0" w:color="auto"/>
            </w:tcBorders>
            <w:vAlign w:val="center"/>
            <w:hideMark/>
          </w:tcPr>
          <w:p w14:paraId="69DFF648"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4FF816AD"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dashed" w:sz="4" w:space="0" w:color="auto"/>
              <w:right w:val="nil"/>
            </w:tcBorders>
            <w:shd w:val="clear" w:color="000000" w:fill="FFFFFF"/>
            <w:vAlign w:val="center"/>
            <w:hideMark/>
          </w:tcPr>
          <w:p w14:paraId="7B8AC19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CV, %</w:t>
            </w:r>
          </w:p>
        </w:tc>
        <w:tc>
          <w:tcPr>
            <w:tcW w:w="1080" w:type="dxa"/>
            <w:tcBorders>
              <w:top w:val="nil"/>
              <w:left w:val="nil"/>
              <w:bottom w:val="dashed" w:sz="4" w:space="0" w:color="auto"/>
              <w:right w:val="nil"/>
            </w:tcBorders>
            <w:shd w:val="clear" w:color="auto" w:fill="auto"/>
            <w:vAlign w:val="center"/>
            <w:hideMark/>
          </w:tcPr>
          <w:p w14:paraId="15328AE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8.5</w:t>
            </w:r>
          </w:p>
        </w:tc>
        <w:tc>
          <w:tcPr>
            <w:tcW w:w="1119" w:type="dxa"/>
            <w:tcBorders>
              <w:top w:val="nil"/>
              <w:left w:val="nil"/>
              <w:bottom w:val="dashed" w:sz="4" w:space="0" w:color="auto"/>
              <w:right w:val="nil"/>
            </w:tcBorders>
            <w:shd w:val="clear" w:color="auto" w:fill="auto"/>
            <w:vAlign w:val="center"/>
            <w:hideMark/>
          </w:tcPr>
          <w:p w14:paraId="4F07F59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17.5</w:t>
            </w:r>
          </w:p>
        </w:tc>
        <w:tc>
          <w:tcPr>
            <w:tcW w:w="1099" w:type="dxa"/>
            <w:tcBorders>
              <w:top w:val="nil"/>
              <w:left w:val="nil"/>
              <w:bottom w:val="dashed" w:sz="4" w:space="0" w:color="auto"/>
              <w:right w:val="nil"/>
            </w:tcBorders>
            <w:shd w:val="clear" w:color="auto" w:fill="auto"/>
            <w:vAlign w:val="center"/>
            <w:hideMark/>
          </w:tcPr>
          <w:p w14:paraId="7F669A9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4.7</w:t>
            </w:r>
          </w:p>
        </w:tc>
        <w:tc>
          <w:tcPr>
            <w:tcW w:w="1099" w:type="dxa"/>
            <w:tcBorders>
              <w:top w:val="nil"/>
              <w:left w:val="nil"/>
              <w:bottom w:val="dashed" w:sz="4" w:space="0" w:color="auto"/>
              <w:right w:val="nil"/>
            </w:tcBorders>
            <w:shd w:val="clear" w:color="auto" w:fill="auto"/>
            <w:vAlign w:val="center"/>
            <w:hideMark/>
          </w:tcPr>
          <w:p w14:paraId="1E459E2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19.6</w:t>
            </w:r>
          </w:p>
        </w:tc>
        <w:tc>
          <w:tcPr>
            <w:tcW w:w="1099" w:type="dxa"/>
            <w:tcBorders>
              <w:top w:val="nil"/>
              <w:left w:val="nil"/>
              <w:bottom w:val="dashed" w:sz="4" w:space="0" w:color="auto"/>
              <w:right w:val="nil"/>
            </w:tcBorders>
            <w:shd w:val="clear" w:color="auto" w:fill="auto"/>
            <w:vAlign w:val="center"/>
            <w:hideMark/>
          </w:tcPr>
          <w:p w14:paraId="6FD0E50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3.7</w:t>
            </w:r>
          </w:p>
        </w:tc>
        <w:tc>
          <w:tcPr>
            <w:tcW w:w="1120" w:type="dxa"/>
            <w:tcBorders>
              <w:top w:val="nil"/>
              <w:left w:val="nil"/>
              <w:bottom w:val="dashed" w:sz="4" w:space="0" w:color="auto"/>
              <w:right w:val="nil"/>
            </w:tcBorders>
            <w:shd w:val="clear" w:color="auto" w:fill="auto"/>
            <w:vAlign w:val="center"/>
            <w:hideMark/>
          </w:tcPr>
          <w:p w14:paraId="3BF02E5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14.5</w:t>
            </w:r>
          </w:p>
        </w:tc>
        <w:tc>
          <w:tcPr>
            <w:tcW w:w="1100" w:type="dxa"/>
            <w:tcBorders>
              <w:top w:val="nil"/>
              <w:left w:val="nil"/>
              <w:bottom w:val="dashed" w:sz="4" w:space="0" w:color="auto"/>
              <w:right w:val="nil"/>
            </w:tcBorders>
            <w:shd w:val="clear" w:color="auto" w:fill="auto"/>
            <w:vAlign w:val="center"/>
            <w:hideMark/>
          </w:tcPr>
          <w:p w14:paraId="082E9AF2"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7603DC73" w14:textId="77777777" w:rsidTr="002823CF">
        <w:trPr>
          <w:trHeight w:val="315"/>
        </w:trPr>
        <w:tc>
          <w:tcPr>
            <w:tcW w:w="520" w:type="dxa"/>
            <w:vMerge/>
            <w:tcBorders>
              <w:top w:val="nil"/>
              <w:left w:val="nil"/>
              <w:bottom w:val="single" w:sz="4" w:space="0" w:color="000000"/>
              <w:right w:val="single" w:sz="4" w:space="0" w:color="auto"/>
            </w:tcBorders>
            <w:vAlign w:val="center"/>
            <w:hideMark/>
          </w:tcPr>
          <w:p w14:paraId="7D427731"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79E38EF4"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nil"/>
              <w:right w:val="nil"/>
            </w:tcBorders>
            <w:shd w:val="clear" w:color="000000" w:fill="FFFFFF"/>
            <w:vAlign w:val="center"/>
            <w:hideMark/>
          </w:tcPr>
          <w:p w14:paraId="29F02618"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%recovery</w:t>
            </w:r>
          </w:p>
        </w:tc>
        <w:tc>
          <w:tcPr>
            <w:tcW w:w="1080" w:type="dxa"/>
            <w:tcBorders>
              <w:top w:val="nil"/>
              <w:left w:val="nil"/>
              <w:bottom w:val="nil"/>
              <w:right w:val="nil"/>
            </w:tcBorders>
            <w:shd w:val="clear" w:color="auto" w:fill="auto"/>
            <w:vAlign w:val="center"/>
            <w:hideMark/>
          </w:tcPr>
          <w:p w14:paraId="7CF23F8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110</w:t>
            </w:r>
          </w:p>
        </w:tc>
        <w:tc>
          <w:tcPr>
            <w:tcW w:w="1119" w:type="dxa"/>
            <w:tcBorders>
              <w:top w:val="nil"/>
              <w:left w:val="nil"/>
              <w:bottom w:val="nil"/>
              <w:right w:val="nil"/>
            </w:tcBorders>
            <w:shd w:val="clear" w:color="auto" w:fill="auto"/>
            <w:vAlign w:val="center"/>
            <w:hideMark/>
          </w:tcPr>
          <w:p w14:paraId="747B416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88</w:t>
            </w:r>
          </w:p>
        </w:tc>
        <w:tc>
          <w:tcPr>
            <w:tcW w:w="1099" w:type="dxa"/>
            <w:tcBorders>
              <w:top w:val="nil"/>
              <w:left w:val="nil"/>
              <w:bottom w:val="nil"/>
              <w:right w:val="nil"/>
            </w:tcBorders>
            <w:shd w:val="clear" w:color="auto" w:fill="auto"/>
            <w:vAlign w:val="center"/>
            <w:hideMark/>
          </w:tcPr>
          <w:p w14:paraId="378A05AF" w14:textId="0D857C24" w:rsidR="00283B86" w:rsidRPr="00283B86" w:rsidRDefault="00635903">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40</w:t>
            </w:r>
          </w:p>
        </w:tc>
        <w:tc>
          <w:tcPr>
            <w:tcW w:w="1099" w:type="dxa"/>
            <w:tcBorders>
              <w:top w:val="nil"/>
              <w:left w:val="nil"/>
              <w:bottom w:val="nil"/>
              <w:right w:val="nil"/>
            </w:tcBorders>
            <w:shd w:val="clear" w:color="auto" w:fill="auto"/>
            <w:vAlign w:val="center"/>
            <w:hideMark/>
          </w:tcPr>
          <w:p w14:paraId="4508D3A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98</w:t>
            </w:r>
          </w:p>
        </w:tc>
        <w:tc>
          <w:tcPr>
            <w:tcW w:w="1099" w:type="dxa"/>
            <w:tcBorders>
              <w:top w:val="nil"/>
              <w:left w:val="nil"/>
              <w:bottom w:val="nil"/>
              <w:right w:val="nil"/>
            </w:tcBorders>
            <w:shd w:val="clear" w:color="auto" w:fill="auto"/>
            <w:vAlign w:val="center"/>
            <w:hideMark/>
          </w:tcPr>
          <w:p w14:paraId="7EABA525"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104</w:t>
            </w:r>
          </w:p>
        </w:tc>
        <w:tc>
          <w:tcPr>
            <w:tcW w:w="1120" w:type="dxa"/>
            <w:tcBorders>
              <w:top w:val="nil"/>
              <w:left w:val="nil"/>
              <w:bottom w:val="nil"/>
              <w:right w:val="nil"/>
            </w:tcBorders>
            <w:shd w:val="clear" w:color="auto" w:fill="auto"/>
            <w:vAlign w:val="center"/>
            <w:hideMark/>
          </w:tcPr>
          <w:p w14:paraId="19EB7E98" w14:textId="5F589D32" w:rsidR="00283B86" w:rsidRPr="00283B86" w:rsidRDefault="00283B86" w:rsidP="00AD20E5">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w:t>
            </w:r>
            <w:r w:rsidR="00AD20E5">
              <w:rPr>
                <w:rFonts w:ascii="Calibri" w:eastAsia="Times New Roman" w:hAnsi="Calibri" w:cs="Arial"/>
                <w:color w:val="000000"/>
                <w:sz w:val="16"/>
                <w:szCs w:val="16"/>
                <w:lang w:eastAsia="en-GB"/>
              </w:rPr>
              <w:t>7</w:t>
            </w:r>
          </w:p>
        </w:tc>
        <w:tc>
          <w:tcPr>
            <w:tcW w:w="1100" w:type="dxa"/>
            <w:tcBorders>
              <w:top w:val="nil"/>
              <w:left w:val="nil"/>
              <w:bottom w:val="nil"/>
              <w:right w:val="nil"/>
            </w:tcBorders>
            <w:shd w:val="clear" w:color="auto" w:fill="auto"/>
            <w:vAlign w:val="center"/>
            <w:hideMark/>
          </w:tcPr>
          <w:p w14:paraId="7A64545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29B42A49" w14:textId="77777777" w:rsidTr="002823CF">
        <w:trPr>
          <w:trHeight w:val="315"/>
        </w:trPr>
        <w:tc>
          <w:tcPr>
            <w:tcW w:w="520" w:type="dxa"/>
            <w:vMerge/>
            <w:tcBorders>
              <w:top w:val="nil"/>
              <w:left w:val="nil"/>
              <w:bottom w:val="single" w:sz="4" w:space="0" w:color="000000"/>
              <w:right w:val="single" w:sz="4" w:space="0" w:color="auto"/>
            </w:tcBorders>
            <w:vAlign w:val="center"/>
            <w:hideMark/>
          </w:tcPr>
          <w:p w14:paraId="0D2D21FD"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7DA44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WB,f + 10.97µg.kg</w:t>
            </w:r>
            <w:r w:rsidRPr="00283B86">
              <w:rPr>
                <w:rFonts w:ascii="Calibri" w:eastAsia="Times New Roman" w:hAnsi="Calibri" w:cs="Arial"/>
                <w:color w:val="000000"/>
                <w:sz w:val="16"/>
                <w:szCs w:val="16"/>
                <w:vertAlign w:val="superscript"/>
                <w:lang w:eastAsia="en-GB"/>
              </w:rPr>
              <w:t>-1</w:t>
            </w:r>
          </w:p>
        </w:tc>
        <w:tc>
          <w:tcPr>
            <w:tcW w:w="900" w:type="dxa"/>
            <w:tcBorders>
              <w:top w:val="single" w:sz="4" w:space="0" w:color="auto"/>
              <w:left w:val="nil"/>
              <w:bottom w:val="nil"/>
              <w:right w:val="nil"/>
            </w:tcBorders>
            <w:shd w:val="clear" w:color="000000" w:fill="FFFFFF"/>
            <w:vAlign w:val="center"/>
            <w:hideMark/>
          </w:tcPr>
          <w:p w14:paraId="4A140891" w14:textId="77777777" w:rsidR="00283B86" w:rsidRPr="00283B86" w:rsidRDefault="00283B86">
            <w:pPr>
              <w:spacing w:after="0" w:line="240" w:lineRule="auto"/>
              <w:jc w:val="center"/>
              <w:rPr>
                <w:rFonts w:ascii="MS Reference Sans Serif" w:eastAsia="Times New Roman" w:hAnsi="MS Reference Sans Serif" w:cs="Arial"/>
                <w:color w:val="000000"/>
                <w:sz w:val="16"/>
                <w:szCs w:val="16"/>
                <w:lang w:eastAsia="en-GB"/>
              </w:rPr>
            </w:pPr>
            <w:r w:rsidRPr="00283B86">
              <w:rPr>
                <w:rFonts w:ascii="MS Reference Sans Serif" w:eastAsia="Times New Roman" w:hAnsi="MS Reference Sans Serif" w:cs="Arial"/>
                <w:color w:val="000000"/>
                <w:sz w:val="16"/>
                <w:szCs w:val="16"/>
                <w:lang w:eastAsia="en-GB"/>
              </w:rPr>
              <w:t>,</w:t>
            </w:r>
            <w:r w:rsidRPr="00283B86">
              <w:rPr>
                <w:rFonts w:ascii="Calibri" w:eastAsia="Times New Roman" w:hAnsi="Calibri" w:cs="Arial"/>
                <w:color w:val="000000"/>
                <w:sz w:val="16"/>
                <w:szCs w:val="16"/>
                <w:lang w:eastAsia="en-GB"/>
              </w:rPr>
              <w:t xml:space="preserve"> µg/L </w:t>
            </w:r>
          </w:p>
        </w:tc>
        <w:tc>
          <w:tcPr>
            <w:tcW w:w="1080" w:type="dxa"/>
            <w:tcBorders>
              <w:top w:val="single" w:sz="4" w:space="0" w:color="auto"/>
              <w:left w:val="nil"/>
              <w:bottom w:val="nil"/>
              <w:right w:val="nil"/>
            </w:tcBorders>
            <w:shd w:val="clear" w:color="auto" w:fill="auto"/>
            <w:vAlign w:val="center"/>
            <w:hideMark/>
          </w:tcPr>
          <w:p w14:paraId="7D99752B"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14.41</w:t>
            </w:r>
          </w:p>
        </w:tc>
        <w:tc>
          <w:tcPr>
            <w:tcW w:w="1119" w:type="dxa"/>
            <w:tcBorders>
              <w:top w:val="single" w:sz="4" w:space="0" w:color="auto"/>
              <w:left w:val="nil"/>
              <w:bottom w:val="nil"/>
              <w:right w:val="nil"/>
            </w:tcBorders>
            <w:shd w:val="clear" w:color="auto" w:fill="auto"/>
            <w:vAlign w:val="center"/>
            <w:hideMark/>
          </w:tcPr>
          <w:p w14:paraId="0330F24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10.08</w:t>
            </w:r>
          </w:p>
        </w:tc>
        <w:tc>
          <w:tcPr>
            <w:tcW w:w="1099" w:type="dxa"/>
            <w:tcBorders>
              <w:top w:val="single" w:sz="4" w:space="0" w:color="auto"/>
              <w:left w:val="nil"/>
              <w:bottom w:val="nil"/>
              <w:right w:val="nil"/>
            </w:tcBorders>
            <w:shd w:val="clear" w:color="auto" w:fill="auto"/>
            <w:vAlign w:val="center"/>
            <w:hideMark/>
          </w:tcPr>
          <w:p w14:paraId="07CC3B3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18.17</w:t>
            </w:r>
          </w:p>
        </w:tc>
        <w:tc>
          <w:tcPr>
            <w:tcW w:w="1099" w:type="dxa"/>
            <w:tcBorders>
              <w:top w:val="single" w:sz="4" w:space="0" w:color="auto"/>
              <w:left w:val="nil"/>
              <w:bottom w:val="nil"/>
              <w:right w:val="nil"/>
            </w:tcBorders>
            <w:shd w:val="clear" w:color="auto" w:fill="auto"/>
            <w:vAlign w:val="center"/>
            <w:hideMark/>
          </w:tcPr>
          <w:p w14:paraId="4109164F"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12.05</w:t>
            </w:r>
          </w:p>
        </w:tc>
        <w:tc>
          <w:tcPr>
            <w:tcW w:w="1099" w:type="dxa"/>
            <w:tcBorders>
              <w:top w:val="single" w:sz="4" w:space="0" w:color="auto"/>
              <w:left w:val="nil"/>
              <w:bottom w:val="nil"/>
              <w:right w:val="nil"/>
            </w:tcBorders>
            <w:shd w:val="clear" w:color="auto" w:fill="auto"/>
            <w:vAlign w:val="center"/>
            <w:hideMark/>
          </w:tcPr>
          <w:p w14:paraId="14A9B74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13.13</w:t>
            </w:r>
          </w:p>
        </w:tc>
        <w:tc>
          <w:tcPr>
            <w:tcW w:w="1120" w:type="dxa"/>
            <w:tcBorders>
              <w:top w:val="single" w:sz="4" w:space="0" w:color="auto"/>
              <w:left w:val="nil"/>
              <w:bottom w:val="nil"/>
              <w:right w:val="nil"/>
            </w:tcBorders>
            <w:shd w:val="clear" w:color="auto" w:fill="auto"/>
            <w:vAlign w:val="center"/>
            <w:hideMark/>
          </w:tcPr>
          <w:p w14:paraId="4DE9AAA9"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36.54</w:t>
            </w:r>
          </w:p>
        </w:tc>
        <w:tc>
          <w:tcPr>
            <w:tcW w:w="1100" w:type="dxa"/>
            <w:tcBorders>
              <w:top w:val="single" w:sz="4" w:space="0" w:color="auto"/>
              <w:left w:val="nil"/>
              <w:bottom w:val="nil"/>
              <w:right w:val="nil"/>
            </w:tcBorders>
            <w:shd w:val="clear" w:color="auto" w:fill="auto"/>
            <w:vAlign w:val="center"/>
            <w:hideMark/>
          </w:tcPr>
          <w:p w14:paraId="1844FD3F" w14:textId="200266BC"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16.57</w:t>
            </w:r>
          </w:p>
        </w:tc>
      </w:tr>
      <w:tr w:rsidR="002823CF" w:rsidRPr="00283B86" w14:paraId="19C4E972" w14:textId="77777777" w:rsidTr="002823CF">
        <w:trPr>
          <w:trHeight w:val="315"/>
        </w:trPr>
        <w:tc>
          <w:tcPr>
            <w:tcW w:w="520" w:type="dxa"/>
            <w:vMerge/>
            <w:tcBorders>
              <w:top w:val="nil"/>
              <w:left w:val="nil"/>
              <w:bottom w:val="single" w:sz="4" w:space="0" w:color="000000"/>
              <w:right w:val="single" w:sz="4" w:space="0" w:color="auto"/>
            </w:tcBorders>
            <w:vAlign w:val="center"/>
            <w:hideMark/>
          </w:tcPr>
          <w:p w14:paraId="7FC70889"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119F5DB1"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dashed" w:sz="4" w:space="0" w:color="auto"/>
              <w:left w:val="nil"/>
              <w:bottom w:val="dashed" w:sz="4" w:space="0" w:color="auto"/>
              <w:right w:val="nil"/>
            </w:tcBorders>
            <w:shd w:val="clear" w:color="000000" w:fill="FFFFFF"/>
            <w:vAlign w:val="center"/>
            <w:hideMark/>
          </w:tcPr>
          <w:p w14:paraId="29DA14C3"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 xml:space="preserve">SD, µg/L </w:t>
            </w:r>
          </w:p>
        </w:tc>
        <w:tc>
          <w:tcPr>
            <w:tcW w:w="1080" w:type="dxa"/>
            <w:tcBorders>
              <w:top w:val="dashed" w:sz="4" w:space="0" w:color="auto"/>
              <w:left w:val="nil"/>
              <w:bottom w:val="dashed" w:sz="4" w:space="0" w:color="auto"/>
              <w:right w:val="nil"/>
            </w:tcBorders>
            <w:shd w:val="clear" w:color="auto" w:fill="auto"/>
            <w:vAlign w:val="center"/>
            <w:hideMark/>
          </w:tcPr>
          <w:p w14:paraId="2E5B3EE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1.42</w:t>
            </w:r>
          </w:p>
        </w:tc>
        <w:tc>
          <w:tcPr>
            <w:tcW w:w="1119" w:type="dxa"/>
            <w:tcBorders>
              <w:top w:val="dashed" w:sz="4" w:space="0" w:color="auto"/>
              <w:left w:val="nil"/>
              <w:bottom w:val="dashed" w:sz="4" w:space="0" w:color="auto"/>
              <w:right w:val="nil"/>
            </w:tcBorders>
            <w:shd w:val="clear" w:color="auto" w:fill="auto"/>
            <w:vAlign w:val="center"/>
            <w:hideMark/>
          </w:tcPr>
          <w:p w14:paraId="7D89EBE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0.42</w:t>
            </w:r>
          </w:p>
        </w:tc>
        <w:tc>
          <w:tcPr>
            <w:tcW w:w="1099" w:type="dxa"/>
            <w:tcBorders>
              <w:top w:val="dashed" w:sz="4" w:space="0" w:color="auto"/>
              <w:left w:val="nil"/>
              <w:bottom w:val="dashed" w:sz="4" w:space="0" w:color="auto"/>
              <w:right w:val="nil"/>
            </w:tcBorders>
            <w:shd w:val="clear" w:color="auto" w:fill="auto"/>
            <w:vAlign w:val="center"/>
            <w:hideMark/>
          </w:tcPr>
          <w:p w14:paraId="2F2AF22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0.33</w:t>
            </w:r>
          </w:p>
        </w:tc>
        <w:tc>
          <w:tcPr>
            <w:tcW w:w="1099" w:type="dxa"/>
            <w:tcBorders>
              <w:top w:val="dashed" w:sz="4" w:space="0" w:color="auto"/>
              <w:left w:val="nil"/>
              <w:bottom w:val="dashed" w:sz="4" w:space="0" w:color="auto"/>
              <w:right w:val="nil"/>
            </w:tcBorders>
            <w:shd w:val="clear" w:color="auto" w:fill="auto"/>
            <w:vAlign w:val="center"/>
            <w:hideMark/>
          </w:tcPr>
          <w:p w14:paraId="1D988CB9"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1.60</w:t>
            </w:r>
          </w:p>
        </w:tc>
        <w:tc>
          <w:tcPr>
            <w:tcW w:w="1099" w:type="dxa"/>
            <w:tcBorders>
              <w:top w:val="dashed" w:sz="4" w:space="0" w:color="auto"/>
              <w:left w:val="nil"/>
              <w:bottom w:val="dashed" w:sz="4" w:space="0" w:color="auto"/>
              <w:right w:val="nil"/>
            </w:tcBorders>
            <w:shd w:val="clear" w:color="auto" w:fill="auto"/>
            <w:vAlign w:val="center"/>
            <w:hideMark/>
          </w:tcPr>
          <w:p w14:paraId="005B64C9"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0.53</w:t>
            </w:r>
          </w:p>
        </w:tc>
        <w:tc>
          <w:tcPr>
            <w:tcW w:w="1120" w:type="dxa"/>
            <w:tcBorders>
              <w:top w:val="dashed" w:sz="4" w:space="0" w:color="auto"/>
              <w:left w:val="nil"/>
              <w:bottom w:val="dashed" w:sz="4" w:space="0" w:color="auto"/>
              <w:right w:val="nil"/>
            </w:tcBorders>
            <w:shd w:val="clear" w:color="auto" w:fill="auto"/>
            <w:vAlign w:val="center"/>
            <w:hideMark/>
          </w:tcPr>
          <w:p w14:paraId="4D3622C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2.29</w:t>
            </w:r>
          </w:p>
        </w:tc>
        <w:tc>
          <w:tcPr>
            <w:tcW w:w="1100" w:type="dxa"/>
            <w:tcBorders>
              <w:top w:val="dashed" w:sz="4" w:space="0" w:color="auto"/>
              <w:left w:val="nil"/>
              <w:bottom w:val="dashed" w:sz="4" w:space="0" w:color="auto"/>
              <w:right w:val="nil"/>
            </w:tcBorders>
            <w:shd w:val="clear" w:color="auto" w:fill="auto"/>
            <w:vAlign w:val="center"/>
            <w:hideMark/>
          </w:tcPr>
          <w:p w14:paraId="30DFEE47" w14:textId="0383C4F2"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2.17</w:t>
            </w:r>
          </w:p>
        </w:tc>
      </w:tr>
      <w:tr w:rsidR="002823CF" w:rsidRPr="00283B86" w14:paraId="24BBBC9E" w14:textId="77777777" w:rsidTr="002823CF">
        <w:trPr>
          <w:trHeight w:val="315"/>
        </w:trPr>
        <w:tc>
          <w:tcPr>
            <w:tcW w:w="520" w:type="dxa"/>
            <w:vMerge/>
            <w:tcBorders>
              <w:top w:val="nil"/>
              <w:left w:val="nil"/>
              <w:bottom w:val="single" w:sz="4" w:space="0" w:color="000000"/>
              <w:right w:val="single" w:sz="4" w:space="0" w:color="auto"/>
            </w:tcBorders>
            <w:vAlign w:val="center"/>
            <w:hideMark/>
          </w:tcPr>
          <w:p w14:paraId="323C711D"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53CC2FF0"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dashed" w:sz="4" w:space="0" w:color="auto"/>
              <w:right w:val="nil"/>
            </w:tcBorders>
            <w:shd w:val="clear" w:color="000000" w:fill="FFFFFF"/>
            <w:vAlign w:val="center"/>
            <w:hideMark/>
          </w:tcPr>
          <w:p w14:paraId="5B57F23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CV, %</w:t>
            </w:r>
          </w:p>
        </w:tc>
        <w:tc>
          <w:tcPr>
            <w:tcW w:w="1080" w:type="dxa"/>
            <w:tcBorders>
              <w:top w:val="nil"/>
              <w:left w:val="nil"/>
              <w:bottom w:val="dashed" w:sz="4" w:space="0" w:color="auto"/>
              <w:right w:val="nil"/>
            </w:tcBorders>
            <w:shd w:val="clear" w:color="auto" w:fill="auto"/>
            <w:vAlign w:val="center"/>
            <w:hideMark/>
          </w:tcPr>
          <w:p w14:paraId="57F2F9C5"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9.9</w:t>
            </w:r>
          </w:p>
        </w:tc>
        <w:tc>
          <w:tcPr>
            <w:tcW w:w="1119" w:type="dxa"/>
            <w:tcBorders>
              <w:top w:val="nil"/>
              <w:left w:val="nil"/>
              <w:bottom w:val="dashed" w:sz="4" w:space="0" w:color="auto"/>
              <w:right w:val="nil"/>
            </w:tcBorders>
            <w:shd w:val="clear" w:color="auto" w:fill="auto"/>
            <w:vAlign w:val="center"/>
            <w:hideMark/>
          </w:tcPr>
          <w:p w14:paraId="1F64EEB5"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4.2</w:t>
            </w:r>
          </w:p>
        </w:tc>
        <w:tc>
          <w:tcPr>
            <w:tcW w:w="1099" w:type="dxa"/>
            <w:tcBorders>
              <w:top w:val="nil"/>
              <w:left w:val="nil"/>
              <w:bottom w:val="dashed" w:sz="4" w:space="0" w:color="auto"/>
              <w:right w:val="nil"/>
            </w:tcBorders>
            <w:shd w:val="clear" w:color="auto" w:fill="auto"/>
            <w:vAlign w:val="center"/>
            <w:hideMark/>
          </w:tcPr>
          <w:p w14:paraId="7E265E0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1.8</w:t>
            </w:r>
          </w:p>
        </w:tc>
        <w:tc>
          <w:tcPr>
            <w:tcW w:w="1099" w:type="dxa"/>
            <w:tcBorders>
              <w:top w:val="nil"/>
              <w:left w:val="nil"/>
              <w:bottom w:val="dashed" w:sz="4" w:space="0" w:color="auto"/>
              <w:right w:val="nil"/>
            </w:tcBorders>
            <w:shd w:val="clear" w:color="auto" w:fill="auto"/>
            <w:vAlign w:val="center"/>
            <w:hideMark/>
          </w:tcPr>
          <w:p w14:paraId="20F34A28"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13.3</w:t>
            </w:r>
          </w:p>
        </w:tc>
        <w:tc>
          <w:tcPr>
            <w:tcW w:w="1099" w:type="dxa"/>
            <w:tcBorders>
              <w:top w:val="nil"/>
              <w:left w:val="nil"/>
              <w:bottom w:val="dashed" w:sz="4" w:space="0" w:color="auto"/>
              <w:right w:val="nil"/>
            </w:tcBorders>
            <w:shd w:val="clear" w:color="auto" w:fill="auto"/>
            <w:vAlign w:val="center"/>
            <w:hideMark/>
          </w:tcPr>
          <w:p w14:paraId="307098C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4.0</w:t>
            </w:r>
          </w:p>
        </w:tc>
        <w:tc>
          <w:tcPr>
            <w:tcW w:w="1120" w:type="dxa"/>
            <w:tcBorders>
              <w:top w:val="nil"/>
              <w:left w:val="nil"/>
              <w:bottom w:val="dashed" w:sz="4" w:space="0" w:color="auto"/>
              <w:right w:val="nil"/>
            </w:tcBorders>
            <w:shd w:val="clear" w:color="auto" w:fill="auto"/>
            <w:vAlign w:val="center"/>
            <w:hideMark/>
          </w:tcPr>
          <w:p w14:paraId="6AA2DA1F"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6.3</w:t>
            </w:r>
          </w:p>
        </w:tc>
        <w:tc>
          <w:tcPr>
            <w:tcW w:w="1100" w:type="dxa"/>
            <w:tcBorders>
              <w:top w:val="nil"/>
              <w:left w:val="nil"/>
              <w:bottom w:val="dashed" w:sz="4" w:space="0" w:color="auto"/>
              <w:right w:val="nil"/>
            </w:tcBorders>
            <w:shd w:val="clear" w:color="auto" w:fill="auto"/>
            <w:vAlign w:val="center"/>
            <w:hideMark/>
          </w:tcPr>
          <w:p w14:paraId="0496B573" w14:textId="2109DD8D"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13.1</w:t>
            </w:r>
          </w:p>
        </w:tc>
      </w:tr>
      <w:tr w:rsidR="002823CF" w:rsidRPr="00283B86" w14:paraId="52F9094C" w14:textId="77777777" w:rsidTr="002823CF">
        <w:trPr>
          <w:trHeight w:val="315"/>
        </w:trPr>
        <w:tc>
          <w:tcPr>
            <w:tcW w:w="520" w:type="dxa"/>
            <w:vMerge/>
            <w:tcBorders>
              <w:top w:val="nil"/>
              <w:left w:val="nil"/>
              <w:bottom w:val="single" w:sz="4" w:space="0" w:color="000000"/>
              <w:right w:val="single" w:sz="4" w:space="0" w:color="auto"/>
            </w:tcBorders>
            <w:vAlign w:val="center"/>
            <w:hideMark/>
          </w:tcPr>
          <w:p w14:paraId="513FC9F2" w14:textId="177251F8"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17332CDF"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nil"/>
              <w:right w:val="nil"/>
            </w:tcBorders>
            <w:shd w:val="clear" w:color="000000" w:fill="FFFFFF"/>
            <w:vAlign w:val="center"/>
            <w:hideMark/>
          </w:tcPr>
          <w:p w14:paraId="214D265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%recovery</w:t>
            </w:r>
          </w:p>
        </w:tc>
        <w:tc>
          <w:tcPr>
            <w:tcW w:w="1080" w:type="dxa"/>
            <w:tcBorders>
              <w:top w:val="nil"/>
              <w:left w:val="nil"/>
              <w:bottom w:val="nil"/>
              <w:right w:val="nil"/>
            </w:tcBorders>
            <w:shd w:val="clear" w:color="auto" w:fill="auto"/>
            <w:vAlign w:val="center"/>
            <w:hideMark/>
          </w:tcPr>
          <w:p w14:paraId="27C42AA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119</w:t>
            </w:r>
          </w:p>
        </w:tc>
        <w:tc>
          <w:tcPr>
            <w:tcW w:w="1119" w:type="dxa"/>
            <w:tcBorders>
              <w:top w:val="nil"/>
              <w:left w:val="nil"/>
              <w:bottom w:val="nil"/>
              <w:right w:val="nil"/>
            </w:tcBorders>
            <w:shd w:val="clear" w:color="auto" w:fill="auto"/>
            <w:vAlign w:val="center"/>
            <w:hideMark/>
          </w:tcPr>
          <w:p w14:paraId="2BA4FCBF"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88</w:t>
            </w:r>
          </w:p>
        </w:tc>
        <w:tc>
          <w:tcPr>
            <w:tcW w:w="1099" w:type="dxa"/>
            <w:tcBorders>
              <w:top w:val="nil"/>
              <w:left w:val="nil"/>
              <w:bottom w:val="nil"/>
              <w:right w:val="nil"/>
            </w:tcBorders>
            <w:shd w:val="clear" w:color="auto" w:fill="auto"/>
            <w:vAlign w:val="center"/>
            <w:hideMark/>
          </w:tcPr>
          <w:p w14:paraId="7380E813" w14:textId="54F83B55" w:rsidR="00283B86" w:rsidRPr="00283B86" w:rsidRDefault="00635903">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91</w:t>
            </w:r>
          </w:p>
        </w:tc>
        <w:tc>
          <w:tcPr>
            <w:tcW w:w="1099" w:type="dxa"/>
            <w:tcBorders>
              <w:top w:val="nil"/>
              <w:left w:val="nil"/>
              <w:bottom w:val="nil"/>
              <w:right w:val="nil"/>
            </w:tcBorders>
            <w:shd w:val="clear" w:color="auto" w:fill="auto"/>
            <w:vAlign w:val="center"/>
            <w:hideMark/>
          </w:tcPr>
          <w:p w14:paraId="3354260D"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102</w:t>
            </w:r>
          </w:p>
        </w:tc>
        <w:tc>
          <w:tcPr>
            <w:tcW w:w="1099" w:type="dxa"/>
            <w:tcBorders>
              <w:top w:val="nil"/>
              <w:left w:val="nil"/>
              <w:bottom w:val="nil"/>
              <w:right w:val="nil"/>
            </w:tcBorders>
            <w:shd w:val="clear" w:color="auto" w:fill="auto"/>
            <w:vAlign w:val="center"/>
            <w:hideMark/>
          </w:tcPr>
          <w:p w14:paraId="3E449205"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114</w:t>
            </w:r>
          </w:p>
        </w:tc>
        <w:tc>
          <w:tcPr>
            <w:tcW w:w="1120" w:type="dxa"/>
            <w:tcBorders>
              <w:top w:val="nil"/>
              <w:left w:val="nil"/>
              <w:bottom w:val="nil"/>
              <w:right w:val="nil"/>
            </w:tcBorders>
            <w:shd w:val="clear" w:color="auto" w:fill="auto"/>
            <w:vAlign w:val="center"/>
            <w:hideMark/>
          </w:tcPr>
          <w:p w14:paraId="67A2A6B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109</w:t>
            </w:r>
          </w:p>
        </w:tc>
        <w:tc>
          <w:tcPr>
            <w:tcW w:w="1100" w:type="dxa"/>
            <w:tcBorders>
              <w:top w:val="nil"/>
              <w:left w:val="nil"/>
              <w:bottom w:val="nil"/>
              <w:right w:val="nil"/>
            </w:tcBorders>
            <w:shd w:val="clear" w:color="auto" w:fill="auto"/>
            <w:vAlign w:val="center"/>
            <w:hideMark/>
          </w:tcPr>
          <w:p w14:paraId="65E31066" w14:textId="4A808FA0"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87</w:t>
            </w:r>
          </w:p>
        </w:tc>
      </w:tr>
      <w:tr w:rsidR="002823CF" w:rsidRPr="00283B86" w14:paraId="039DA798" w14:textId="77777777" w:rsidTr="002823CF">
        <w:trPr>
          <w:trHeight w:val="315"/>
        </w:trPr>
        <w:tc>
          <w:tcPr>
            <w:tcW w:w="520" w:type="dxa"/>
            <w:vMerge w:val="restart"/>
            <w:tcBorders>
              <w:top w:val="nil"/>
              <w:left w:val="nil"/>
              <w:bottom w:val="nil"/>
              <w:right w:val="single" w:sz="4" w:space="0" w:color="auto"/>
            </w:tcBorders>
            <w:shd w:val="clear" w:color="auto" w:fill="auto"/>
            <w:noWrap/>
            <w:textDirection w:val="btLr"/>
            <w:vAlign w:val="center"/>
            <w:hideMark/>
          </w:tcPr>
          <w:p w14:paraId="36E68632"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nano spike</w:t>
            </w:r>
          </w:p>
        </w:tc>
        <w:tc>
          <w:tcPr>
            <w:tcW w:w="96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B700FC"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WB,f+ 2.64µg.kg</w:t>
            </w:r>
            <w:r w:rsidRPr="00283B86">
              <w:rPr>
                <w:rFonts w:ascii="Calibri" w:eastAsia="Times New Roman" w:hAnsi="Calibri" w:cs="Arial"/>
                <w:color w:val="000000"/>
                <w:sz w:val="16"/>
                <w:szCs w:val="16"/>
                <w:vertAlign w:val="superscript"/>
                <w:lang w:eastAsia="en-GB"/>
              </w:rPr>
              <w:t>-1</w:t>
            </w:r>
          </w:p>
        </w:tc>
        <w:tc>
          <w:tcPr>
            <w:tcW w:w="900" w:type="dxa"/>
            <w:tcBorders>
              <w:top w:val="single" w:sz="4" w:space="0" w:color="auto"/>
              <w:left w:val="nil"/>
              <w:bottom w:val="nil"/>
              <w:right w:val="nil"/>
            </w:tcBorders>
            <w:shd w:val="clear" w:color="000000" w:fill="FFFFFF"/>
            <w:vAlign w:val="center"/>
            <w:hideMark/>
          </w:tcPr>
          <w:p w14:paraId="3BAD8EB3" w14:textId="77777777" w:rsidR="00283B86" w:rsidRPr="00283B86" w:rsidRDefault="00283B86" w:rsidP="002823CF">
            <w:pPr>
              <w:spacing w:after="0" w:line="240" w:lineRule="auto"/>
              <w:jc w:val="center"/>
              <w:rPr>
                <w:rFonts w:ascii="MS Reference Sans Serif" w:eastAsia="Times New Roman" w:hAnsi="MS Reference Sans Serif" w:cs="Arial"/>
                <w:color w:val="000000"/>
                <w:sz w:val="16"/>
                <w:szCs w:val="16"/>
                <w:lang w:eastAsia="en-GB"/>
              </w:rPr>
            </w:pPr>
            <w:r w:rsidRPr="00283B86">
              <w:rPr>
                <w:rFonts w:ascii="MS Reference Sans Serif" w:eastAsia="Times New Roman" w:hAnsi="MS Reference Sans Serif" w:cs="Arial"/>
                <w:color w:val="000000"/>
                <w:sz w:val="16"/>
                <w:szCs w:val="16"/>
                <w:lang w:eastAsia="en-GB"/>
              </w:rPr>
              <w:t>,</w:t>
            </w:r>
            <w:r w:rsidRPr="00283B86">
              <w:rPr>
                <w:rFonts w:ascii="Calibri" w:eastAsia="Times New Roman" w:hAnsi="Calibri" w:cs="Arial"/>
                <w:color w:val="000000"/>
                <w:sz w:val="16"/>
                <w:szCs w:val="16"/>
                <w:lang w:eastAsia="en-GB"/>
              </w:rPr>
              <w:t xml:space="preserve"> µg/L </w:t>
            </w:r>
          </w:p>
        </w:tc>
        <w:tc>
          <w:tcPr>
            <w:tcW w:w="1080" w:type="dxa"/>
            <w:tcBorders>
              <w:top w:val="single" w:sz="4" w:space="0" w:color="auto"/>
              <w:left w:val="nil"/>
              <w:bottom w:val="nil"/>
              <w:right w:val="nil"/>
            </w:tcBorders>
            <w:shd w:val="clear" w:color="auto" w:fill="auto"/>
            <w:vAlign w:val="center"/>
            <w:hideMark/>
          </w:tcPr>
          <w:p w14:paraId="0C4849FD"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3.24</w:t>
            </w:r>
          </w:p>
        </w:tc>
        <w:tc>
          <w:tcPr>
            <w:tcW w:w="1119" w:type="dxa"/>
            <w:tcBorders>
              <w:top w:val="single" w:sz="4" w:space="0" w:color="auto"/>
              <w:left w:val="nil"/>
              <w:bottom w:val="nil"/>
              <w:right w:val="nil"/>
            </w:tcBorders>
            <w:shd w:val="clear" w:color="auto" w:fill="auto"/>
            <w:vAlign w:val="center"/>
            <w:hideMark/>
          </w:tcPr>
          <w:p w14:paraId="4C4B2409"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3.12</w:t>
            </w:r>
          </w:p>
        </w:tc>
        <w:tc>
          <w:tcPr>
            <w:tcW w:w="1099" w:type="dxa"/>
            <w:tcBorders>
              <w:top w:val="single" w:sz="4" w:space="0" w:color="auto"/>
              <w:left w:val="nil"/>
              <w:bottom w:val="nil"/>
              <w:right w:val="nil"/>
            </w:tcBorders>
            <w:shd w:val="clear" w:color="auto" w:fill="auto"/>
            <w:vAlign w:val="center"/>
            <w:hideMark/>
          </w:tcPr>
          <w:p w14:paraId="79B23ECA" w14:textId="6769AD6C" w:rsidR="00283B86" w:rsidRPr="00283B86" w:rsidRDefault="009D4232" w:rsidP="00D10069">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8.</w:t>
            </w:r>
            <w:r w:rsidR="00B22D90">
              <w:rPr>
                <w:rFonts w:ascii="Calibri" w:eastAsia="Times New Roman" w:hAnsi="Calibri" w:cs="Arial"/>
                <w:color w:val="000000"/>
                <w:sz w:val="16"/>
                <w:szCs w:val="16"/>
                <w:lang w:eastAsia="en-GB"/>
              </w:rPr>
              <w:t>22</w:t>
            </w:r>
            <w:r>
              <w:rPr>
                <w:rFonts w:ascii="Calibri" w:eastAsia="Times New Roman" w:hAnsi="Calibri" w:cs="Arial"/>
                <w:color w:val="000000"/>
                <w:sz w:val="16"/>
                <w:szCs w:val="16"/>
                <w:lang w:eastAsia="en-GB"/>
              </w:rPr>
              <w:t>)</w:t>
            </w:r>
          </w:p>
        </w:tc>
        <w:tc>
          <w:tcPr>
            <w:tcW w:w="1099" w:type="dxa"/>
            <w:tcBorders>
              <w:top w:val="single" w:sz="4" w:space="0" w:color="auto"/>
              <w:left w:val="nil"/>
              <w:bottom w:val="nil"/>
              <w:right w:val="nil"/>
            </w:tcBorders>
            <w:shd w:val="clear" w:color="auto" w:fill="auto"/>
            <w:vAlign w:val="center"/>
            <w:hideMark/>
          </w:tcPr>
          <w:p w14:paraId="461FBD33"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3.16</w:t>
            </w:r>
          </w:p>
        </w:tc>
        <w:tc>
          <w:tcPr>
            <w:tcW w:w="1099" w:type="dxa"/>
            <w:tcBorders>
              <w:top w:val="single" w:sz="4" w:space="0" w:color="auto"/>
              <w:left w:val="nil"/>
              <w:bottom w:val="nil"/>
              <w:right w:val="nil"/>
            </w:tcBorders>
            <w:shd w:val="clear" w:color="auto" w:fill="auto"/>
            <w:vAlign w:val="center"/>
            <w:hideMark/>
          </w:tcPr>
          <w:p w14:paraId="4AAA2412"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2.47</w:t>
            </w:r>
          </w:p>
        </w:tc>
        <w:tc>
          <w:tcPr>
            <w:tcW w:w="1120" w:type="dxa"/>
            <w:tcBorders>
              <w:top w:val="single" w:sz="4" w:space="0" w:color="auto"/>
              <w:left w:val="nil"/>
              <w:bottom w:val="nil"/>
              <w:right w:val="nil"/>
            </w:tcBorders>
            <w:shd w:val="clear" w:color="auto" w:fill="auto"/>
            <w:vAlign w:val="center"/>
            <w:hideMark/>
          </w:tcPr>
          <w:p w14:paraId="7C369882" w14:textId="77777777" w:rsidR="00283B86" w:rsidRPr="00283B86" w:rsidRDefault="00283B86" w:rsidP="002823CF">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26.87</w:t>
            </w:r>
          </w:p>
        </w:tc>
        <w:tc>
          <w:tcPr>
            <w:tcW w:w="1100" w:type="dxa"/>
            <w:tcBorders>
              <w:top w:val="single" w:sz="4" w:space="0" w:color="auto"/>
              <w:left w:val="nil"/>
              <w:bottom w:val="nil"/>
              <w:right w:val="nil"/>
            </w:tcBorders>
            <w:shd w:val="clear" w:color="auto" w:fill="auto"/>
            <w:vAlign w:val="center"/>
            <w:hideMark/>
          </w:tcPr>
          <w:p w14:paraId="5585A87D" w14:textId="0DEE1B6A" w:rsidR="00283B86" w:rsidRPr="00283B86" w:rsidRDefault="009D4232" w:rsidP="002823CF">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r w:rsidR="00283B86" w:rsidRPr="00283B86">
              <w:rPr>
                <w:rFonts w:ascii="Calibri" w:eastAsia="Times New Roman" w:hAnsi="Calibri" w:cs="Arial"/>
                <w:color w:val="000000"/>
                <w:sz w:val="16"/>
                <w:szCs w:val="16"/>
                <w:lang w:eastAsia="en-GB"/>
              </w:rPr>
              <w:t xml:space="preserve"> 7</w:t>
            </w:r>
            <w:r>
              <w:rPr>
                <w:rFonts w:ascii="Calibri" w:eastAsia="Times New Roman" w:hAnsi="Calibri" w:cs="Arial"/>
                <w:color w:val="000000"/>
                <w:sz w:val="16"/>
                <w:szCs w:val="16"/>
                <w:lang w:eastAsia="en-GB"/>
              </w:rPr>
              <w:t>)</w:t>
            </w:r>
          </w:p>
        </w:tc>
      </w:tr>
      <w:tr w:rsidR="002823CF" w:rsidRPr="00283B86" w14:paraId="3F1F638A" w14:textId="77777777" w:rsidTr="002823CF">
        <w:trPr>
          <w:trHeight w:val="315"/>
        </w:trPr>
        <w:tc>
          <w:tcPr>
            <w:tcW w:w="520" w:type="dxa"/>
            <w:vMerge/>
            <w:tcBorders>
              <w:top w:val="nil"/>
              <w:left w:val="nil"/>
              <w:bottom w:val="nil"/>
              <w:right w:val="single" w:sz="4" w:space="0" w:color="auto"/>
            </w:tcBorders>
            <w:vAlign w:val="center"/>
            <w:hideMark/>
          </w:tcPr>
          <w:p w14:paraId="52332013"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0E62590A"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dashed" w:sz="4" w:space="0" w:color="auto"/>
              <w:left w:val="nil"/>
              <w:bottom w:val="dashed" w:sz="4" w:space="0" w:color="auto"/>
              <w:right w:val="nil"/>
            </w:tcBorders>
            <w:shd w:val="clear" w:color="000000" w:fill="FFFFFF"/>
            <w:vAlign w:val="center"/>
            <w:hideMark/>
          </w:tcPr>
          <w:p w14:paraId="6DFE89D4"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 xml:space="preserve">SD, µg/L </w:t>
            </w:r>
          </w:p>
        </w:tc>
        <w:tc>
          <w:tcPr>
            <w:tcW w:w="1080" w:type="dxa"/>
            <w:tcBorders>
              <w:top w:val="dashed" w:sz="4" w:space="0" w:color="auto"/>
              <w:left w:val="nil"/>
              <w:bottom w:val="dashed" w:sz="4" w:space="0" w:color="auto"/>
              <w:right w:val="nil"/>
            </w:tcBorders>
            <w:shd w:val="clear" w:color="auto" w:fill="auto"/>
            <w:vAlign w:val="center"/>
            <w:hideMark/>
          </w:tcPr>
          <w:p w14:paraId="58FA88D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0.37</w:t>
            </w:r>
          </w:p>
        </w:tc>
        <w:tc>
          <w:tcPr>
            <w:tcW w:w="1119" w:type="dxa"/>
            <w:tcBorders>
              <w:top w:val="dashed" w:sz="4" w:space="0" w:color="auto"/>
              <w:left w:val="nil"/>
              <w:bottom w:val="dashed" w:sz="4" w:space="0" w:color="auto"/>
              <w:right w:val="nil"/>
            </w:tcBorders>
            <w:shd w:val="clear" w:color="auto" w:fill="auto"/>
            <w:vAlign w:val="center"/>
            <w:hideMark/>
          </w:tcPr>
          <w:p w14:paraId="1E619A6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0.368</w:t>
            </w:r>
          </w:p>
        </w:tc>
        <w:tc>
          <w:tcPr>
            <w:tcW w:w="1099" w:type="dxa"/>
            <w:tcBorders>
              <w:top w:val="dashed" w:sz="4" w:space="0" w:color="auto"/>
              <w:left w:val="nil"/>
              <w:bottom w:val="dashed" w:sz="4" w:space="0" w:color="auto"/>
              <w:right w:val="nil"/>
            </w:tcBorders>
            <w:shd w:val="clear" w:color="auto" w:fill="auto"/>
            <w:vAlign w:val="center"/>
            <w:hideMark/>
          </w:tcPr>
          <w:p w14:paraId="216DD8AF" w14:textId="5C2F0510" w:rsidR="00283B86" w:rsidRPr="00283B86" w:rsidRDefault="00B22D90">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(0.22)</w:t>
            </w:r>
          </w:p>
        </w:tc>
        <w:tc>
          <w:tcPr>
            <w:tcW w:w="1099" w:type="dxa"/>
            <w:tcBorders>
              <w:top w:val="dashed" w:sz="4" w:space="0" w:color="auto"/>
              <w:left w:val="nil"/>
              <w:bottom w:val="dashed" w:sz="4" w:space="0" w:color="auto"/>
              <w:right w:val="nil"/>
            </w:tcBorders>
            <w:shd w:val="clear" w:color="auto" w:fill="auto"/>
            <w:vAlign w:val="center"/>
            <w:hideMark/>
          </w:tcPr>
          <w:p w14:paraId="0E1E74F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1.00</w:t>
            </w:r>
          </w:p>
        </w:tc>
        <w:tc>
          <w:tcPr>
            <w:tcW w:w="1099" w:type="dxa"/>
            <w:tcBorders>
              <w:top w:val="dashed" w:sz="4" w:space="0" w:color="auto"/>
              <w:left w:val="nil"/>
              <w:bottom w:val="dashed" w:sz="4" w:space="0" w:color="auto"/>
              <w:right w:val="nil"/>
            </w:tcBorders>
            <w:shd w:val="clear" w:color="auto" w:fill="auto"/>
            <w:vAlign w:val="center"/>
            <w:hideMark/>
          </w:tcPr>
          <w:p w14:paraId="4178D9F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0.12</w:t>
            </w:r>
          </w:p>
        </w:tc>
        <w:tc>
          <w:tcPr>
            <w:tcW w:w="1120" w:type="dxa"/>
            <w:tcBorders>
              <w:top w:val="dashed" w:sz="4" w:space="0" w:color="auto"/>
              <w:left w:val="nil"/>
              <w:bottom w:val="dashed" w:sz="4" w:space="0" w:color="auto"/>
              <w:right w:val="nil"/>
            </w:tcBorders>
            <w:shd w:val="clear" w:color="auto" w:fill="auto"/>
            <w:vAlign w:val="center"/>
            <w:hideMark/>
          </w:tcPr>
          <w:p w14:paraId="544F2DE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4.7</w:t>
            </w:r>
          </w:p>
        </w:tc>
        <w:tc>
          <w:tcPr>
            <w:tcW w:w="1100" w:type="dxa"/>
            <w:tcBorders>
              <w:top w:val="dashed" w:sz="4" w:space="0" w:color="auto"/>
              <w:left w:val="nil"/>
              <w:bottom w:val="dashed" w:sz="4" w:space="0" w:color="auto"/>
              <w:right w:val="nil"/>
            </w:tcBorders>
            <w:shd w:val="clear" w:color="auto" w:fill="auto"/>
            <w:vAlign w:val="center"/>
            <w:hideMark/>
          </w:tcPr>
          <w:p w14:paraId="7CA0C7D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1CBB6541" w14:textId="77777777" w:rsidTr="002823CF">
        <w:trPr>
          <w:trHeight w:val="315"/>
        </w:trPr>
        <w:tc>
          <w:tcPr>
            <w:tcW w:w="520" w:type="dxa"/>
            <w:vMerge/>
            <w:tcBorders>
              <w:top w:val="nil"/>
              <w:left w:val="nil"/>
              <w:bottom w:val="nil"/>
              <w:right w:val="single" w:sz="4" w:space="0" w:color="auto"/>
            </w:tcBorders>
            <w:vAlign w:val="center"/>
            <w:hideMark/>
          </w:tcPr>
          <w:p w14:paraId="323A7648"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07D87722"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dashed" w:sz="4" w:space="0" w:color="auto"/>
              <w:right w:val="nil"/>
            </w:tcBorders>
            <w:shd w:val="clear" w:color="000000" w:fill="FFFFFF"/>
            <w:vAlign w:val="center"/>
            <w:hideMark/>
          </w:tcPr>
          <w:p w14:paraId="165F181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CV, %</w:t>
            </w:r>
          </w:p>
        </w:tc>
        <w:tc>
          <w:tcPr>
            <w:tcW w:w="1080" w:type="dxa"/>
            <w:tcBorders>
              <w:top w:val="nil"/>
              <w:left w:val="nil"/>
              <w:bottom w:val="dashed" w:sz="4" w:space="0" w:color="auto"/>
              <w:right w:val="nil"/>
            </w:tcBorders>
            <w:shd w:val="clear" w:color="auto" w:fill="auto"/>
            <w:vAlign w:val="center"/>
            <w:hideMark/>
          </w:tcPr>
          <w:p w14:paraId="592AE6F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11.4</w:t>
            </w:r>
          </w:p>
        </w:tc>
        <w:tc>
          <w:tcPr>
            <w:tcW w:w="1119" w:type="dxa"/>
            <w:tcBorders>
              <w:top w:val="nil"/>
              <w:left w:val="nil"/>
              <w:bottom w:val="dashed" w:sz="4" w:space="0" w:color="auto"/>
              <w:right w:val="nil"/>
            </w:tcBorders>
            <w:shd w:val="clear" w:color="auto" w:fill="auto"/>
            <w:vAlign w:val="center"/>
            <w:hideMark/>
          </w:tcPr>
          <w:p w14:paraId="5DEA902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11.8</w:t>
            </w:r>
          </w:p>
        </w:tc>
        <w:tc>
          <w:tcPr>
            <w:tcW w:w="1099" w:type="dxa"/>
            <w:tcBorders>
              <w:top w:val="nil"/>
              <w:left w:val="nil"/>
              <w:bottom w:val="dashed" w:sz="4" w:space="0" w:color="auto"/>
              <w:right w:val="nil"/>
            </w:tcBorders>
            <w:shd w:val="clear" w:color="auto" w:fill="auto"/>
            <w:vAlign w:val="center"/>
            <w:hideMark/>
          </w:tcPr>
          <w:p w14:paraId="0AAA0C6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c>
          <w:tcPr>
            <w:tcW w:w="1099" w:type="dxa"/>
            <w:tcBorders>
              <w:top w:val="nil"/>
              <w:left w:val="nil"/>
              <w:bottom w:val="dashed" w:sz="4" w:space="0" w:color="auto"/>
              <w:right w:val="nil"/>
            </w:tcBorders>
            <w:shd w:val="clear" w:color="auto" w:fill="auto"/>
            <w:vAlign w:val="center"/>
            <w:hideMark/>
          </w:tcPr>
          <w:p w14:paraId="38A9ACA5"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31.6</w:t>
            </w:r>
          </w:p>
        </w:tc>
        <w:tc>
          <w:tcPr>
            <w:tcW w:w="1099" w:type="dxa"/>
            <w:tcBorders>
              <w:top w:val="nil"/>
              <w:left w:val="nil"/>
              <w:bottom w:val="dashed" w:sz="4" w:space="0" w:color="auto"/>
              <w:right w:val="nil"/>
            </w:tcBorders>
            <w:shd w:val="clear" w:color="auto" w:fill="auto"/>
            <w:vAlign w:val="center"/>
            <w:hideMark/>
          </w:tcPr>
          <w:p w14:paraId="605113C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4.9</w:t>
            </w:r>
          </w:p>
        </w:tc>
        <w:tc>
          <w:tcPr>
            <w:tcW w:w="1120" w:type="dxa"/>
            <w:tcBorders>
              <w:top w:val="nil"/>
              <w:left w:val="nil"/>
              <w:bottom w:val="dashed" w:sz="4" w:space="0" w:color="auto"/>
              <w:right w:val="nil"/>
            </w:tcBorders>
            <w:shd w:val="clear" w:color="auto" w:fill="auto"/>
            <w:vAlign w:val="center"/>
            <w:hideMark/>
          </w:tcPr>
          <w:p w14:paraId="216F967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17.5</w:t>
            </w:r>
          </w:p>
        </w:tc>
        <w:tc>
          <w:tcPr>
            <w:tcW w:w="1100" w:type="dxa"/>
            <w:tcBorders>
              <w:top w:val="nil"/>
              <w:left w:val="nil"/>
              <w:bottom w:val="dashed" w:sz="4" w:space="0" w:color="auto"/>
              <w:right w:val="nil"/>
            </w:tcBorders>
            <w:shd w:val="clear" w:color="auto" w:fill="auto"/>
            <w:vAlign w:val="center"/>
            <w:hideMark/>
          </w:tcPr>
          <w:p w14:paraId="50EC851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19057ED7" w14:textId="77777777" w:rsidTr="002823CF">
        <w:trPr>
          <w:trHeight w:val="315"/>
        </w:trPr>
        <w:tc>
          <w:tcPr>
            <w:tcW w:w="520" w:type="dxa"/>
            <w:vMerge/>
            <w:tcBorders>
              <w:top w:val="nil"/>
              <w:left w:val="nil"/>
              <w:bottom w:val="nil"/>
              <w:right w:val="single" w:sz="4" w:space="0" w:color="auto"/>
            </w:tcBorders>
            <w:vAlign w:val="center"/>
            <w:hideMark/>
          </w:tcPr>
          <w:p w14:paraId="5C283F89"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single" w:sz="4" w:space="0" w:color="000000"/>
              <w:right w:val="single" w:sz="4" w:space="0" w:color="auto"/>
            </w:tcBorders>
            <w:vAlign w:val="center"/>
            <w:hideMark/>
          </w:tcPr>
          <w:p w14:paraId="0F1A4B35"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nil"/>
              <w:right w:val="nil"/>
            </w:tcBorders>
            <w:shd w:val="clear" w:color="000000" w:fill="FFFFFF"/>
            <w:vAlign w:val="center"/>
            <w:hideMark/>
          </w:tcPr>
          <w:p w14:paraId="7EC3DAF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%recovery</w:t>
            </w:r>
          </w:p>
        </w:tc>
        <w:tc>
          <w:tcPr>
            <w:tcW w:w="1080" w:type="dxa"/>
            <w:tcBorders>
              <w:top w:val="nil"/>
              <w:left w:val="nil"/>
              <w:bottom w:val="nil"/>
              <w:right w:val="nil"/>
            </w:tcBorders>
            <w:shd w:val="clear" w:color="auto" w:fill="auto"/>
            <w:vAlign w:val="center"/>
            <w:hideMark/>
          </w:tcPr>
          <w:p w14:paraId="3AB3FDBD"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72</w:t>
            </w:r>
          </w:p>
        </w:tc>
        <w:tc>
          <w:tcPr>
            <w:tcW w:w="1119" w:type="dxa"/>
            <w:tcBorders>
              <w:top w:val="nil"/>
              <w:left w:val="nil"/>
              <w:bottom w:val="nil"/>
              <w:right w:val="nil"/>
            </w:tcBorders>
            <w:shd w:val="clear" w:color="auto" w:fill="auto"/>
            <w:vAlign w:val="center"/>
            <w:hideMark/>
          </w:tcPr>
          <w:p w14:paraId="261A049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102</w:t>
            </w:r>
          </w:p>
        </w:tc>
        <w:tc>
          <w:tcPr>
            <w:tcW w:w="1099" w:type="dxa"/>
            <w:tcBorders>
              <w:top w:val="nil"/>
              <w:left w:val="nil"/>
              <w:bottom w:val="nil"/>
              <w:right w:val="nil"/>
            </w:tcBorders>
            <w:shd w:val="clear" w:color="auto" w:fill="auto"/>
            <w:vAlign w:val="center"/>
            <w:hideMark/>
          </w:tcPr>
          <w:p w14:paraId="4F2DFE66" w14:textId="57082FD7" w:rsidR="00283B86" w:rsidRPr="00283B86" w:rsidRDefault="004A77E6">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na</w:t>
            </w:r>
          </w:p>
        </w:tc>
        <w:tc>
          <w:tcPr>
            <w:tcW w:w="1099" w:type="dxa"/>
            <w:tcBorders>
              <w:top w:val="nil"/>
              <w:left w:val="nil"/>
              <w:bottom w:val="nil"/>
              <w:right w:val="nil"/>
            </w:tcBorders>
            <w:shd w:val="clear" w:color="auto" w:fill="auto"/>
            <w:vAlign w:val="center"/>
            <w:hideMark/>
          </w:tcPr>
          <w:p w14:paraId="3285731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86</w:t>
            </w:r>
          </w:p>
        </w:tc>
        <w:tc>
          <w:tcPr>
            <w:tcW w:w="1099" w:type="dxa"/>
            <w:tcBorders>
              <w:top w:val="nil"/>
              <w:left w:val="nil"/>
              <w:bottom w:val="nil"/>
              <w:right w:val="nil"/>
            </w:tcBorders>
            <w:shd w:val="clear" w:color="auto" w:fill="auto"/>
            <w:vAlign w:val="center"/>
            <w:hideMark/>
          </w:tcPr>
          <w:p w14:paraId="449CD94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71</w:t>
            </w:r>
          </w:p>
        </w:tc>
        <w:tc>
          <w:tcPr>
            <w:tcW w:w="1120" w:type="dxa"/>
            <w:tcBorders>
              <w:top w:val="nil"/>
              <w:left w:val="nil"/>
              <w:bottom w:val="nil"/>
              <w:right w:val="nil"/>
            </w:tcBorders>
            <w:shd w:val="clear" w:color="auto" w:fill="auto"/>
            <w:vAlign w:val="center"/>
            <w:hideMark/>
          </w:tcPr>
          <w:p w14:paraId="50483AC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85</w:t>
            </w:r>
          </w:p>
        </w:tc>
        <w:tc>
          <w:tcPr>
            <w:tcW w:w="1100" w:type="dxa"/>
            <w:tcBorders>
              <w:top w:val="nil"/>
              <w:left w:val="nil"/>
              <w:bottom w:val="nil"/>
              <w:right w:val="nil"/>
            </w:tcBorders>
            <w:shd w:val="clear" w:color="auto" w:fill="auto"/>
            <w:vAlign w:val="center"/>
            <w:hideMark/>
          </w:tcPr>
          <w:p w14:paraId="7E04CBA5"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na</w:t>
            </w:r>
          </w:p>
        </w:tc>
      </w:tr>
      <w:tr w:rsidR="002823CF" w:rsidRPr="00283B86" w14:paraId="74FE2705" w14:textId="77777777" w:rsidTr="002823CF">
        <w:trPr>
          <w:trHeight w:val="315"/>
        </w:trPr>
        <w:tc>
          <w:tcPr>
            <w:tcW w:w="520" w:type="dxa"/>
            <w:vMerge/>
            <w:tcBorders>
              <w:top w:val="nil"/>
              <w:left w:val="nil"/>
              <w:bottom w:val="nil"/>
              <w:right w:val="single" w:sz="4" w:space="0" w:color="auto"/>
            </w:tcBorders>
            <w:vAlign w:val="center"/>
            <w:hideMark/>
          </w:tcPr>
          <w:p w14:paraId="02DFC85D"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val="restart"/>
            <w:tcBorders>
              <w:top w:val="nil"/>
              <w:left w:val="single" w:sz="4" w:space="0" w:color="auto"/>
              <w:bottom w:val="nil"/>
              <w:right w:val="single" w:sz="4" w:space="0" w:color="auto"/>
            </w:tcBorders>
            <w:shd w:val="clear" w:color="000000" w:fill="FFFFFF"/>
            <w:vAlign w:val="center"/>
            <w:hideMark/>
          </w:tcPr>
          <w:p w14:paraId="5E164B7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WB,f + 21.40µg.kg</w:t>
            </w:r>
            <w:r w:rsidRPr="00283B86">
              <w:rPr>
                <w:rFonts w:ascii="Calibri" w:eastAsia="Times New Roman" w:hAnsi="Calibri" w:cs="Arial"/>
                <w:color w:val="000000"/>
                <w:sz w:val="16"/>
                <w:szCs w:val="16"/>
                <w:vertAlign w:val="superscript"/>
                <w:lang w:eastAsia="en-GB"/>
              </w:rPr>
              <w:t>-1</w:t>
            </w:r>
          </w:p>
        </w:tc>
        <w:tc>
          <w:tcPr>
            <w:tcW w:w="900" w:type="dxa"/>
            <w:tcBorders>
              <w:top w:val="single" w:sz="4" w:space="0" w:color="auto"/>
              <w:left w:val="nil"/>
              <w:bottom w:val="nil"/>
              <w:right w:val="nil"/>
            </w:tcBorders>
            <w:shd w:val="clear" w:color="000000" w:fill="FFFFFF"/>
            <w:vAlign w:val="center"/>
            <w:hideMark/>
          </w:tcPr>
          <w:p w14:paraId="185ABAA1" w14:textId="77777777" w:rsidR="00283B86" w:rsidRPr="00283B86" w:rsidRDefault="00283B86">
            <w:pPr>
              <w:spacing w:after="0" w:line="240" w:lineRule="auto"/>
              <w:jc w:val="center"/>
              <w:rPr>
                <w:rFonts w:ascii="MS Reference Sans Serif" w:eastAsia="Times New Roman" w:hAnsi="MS Reference Sans Serif" w:cs="Arial"/>
                <w:color w:val="000000"/>
                <w:sz w:val="16"/>
                <w:szCs w:val="16"/>
                <w:lang w:eastAsia="en-GB"/>
              </w:rPr>
            </w:pPr>
            <w:r w:rsidRPr="00283B86">
              <w:rPr>
                <w:rFonts w:ascii="MS Reference Sans Serif" w:eastAsia="Times New Roman" w:hAnsi="MS Reference Sans Serif" w:cs="Arial"/>
                <w:color w:val="000000"/>
                <w:sz w:val="16"/>
                <w:szCs w:val="16"/>
                <w:lang w:eastAsia="en-GB"/>
              </w:rPr>
              <w:t>,</w:t>
            </w:r>
            <w:r w:rsidRPr="00283B86">
              <w:rPr>
                <w:rFonts w:ascii="Calibri" w:eastAsia="Times New Roman" w:hAnsi="Calibri" w:cs="Arial"/>
                <w:color w:val="000000"/>
                <w:sz w:val="16"/>
                <w:szCs w:val="16"/>
                <w:lang w:eastAsia="en-GB"/>
              </w:rPr>
              <w:t xml:space="preserve"> µg/L </w:t>
            </w:r>
          </w:p>
        </w:tc>
        <w:tc>
          <w:tcPr>
            <w:tcW w:w="1080" w:type="dxa"/>
            <w:tcBorders>
              <w:top w:val="single" w:sz="4" w:space="0" w:color="auto"/>
              <w:left w:val="nil"/>
              <w:bottom w:val="nil"/>
              <w:right w:val="nil"/>
            </w:tcBorders>
            <w:shd w:val="clear" w:color="auto" w:fill="auto"/>
            <w:vAlign w:val="center"/>
            <w:hideMark/>
          </w:tcPr>
          <w:p w14:paraId="6BB6702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28.77</w:t>
            </w:r>
          </w:p>
        </w:tc>
        <w:tc>
          <w:tcPr>
            <w:tcW w:w="1119" w:type="dxa"/>
            <w:tcBorders>
              <w:top w:val="single" w:sz="4" w:space="0" w:color="auto"/>
              <w:left w:val="nil"/>
              <w:bottom w:val="nil"/>
              <w:right w:val="nil"/>
            </w:tcBorders>
            <w:shd w:val="clear" w:color="auto" w:fill="auto"/>
            <w:vAlign w:val="center"/>
            <w:hideMark/>
          </w:tcPr>
          <w:p w14:paraId="50F974D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21.65</w:t>
            </w:r>
          </w:p>
        </w:tc>
        <w:tc>
          <w:tcPr>
            <w:tcW w:w="1099" w:type="dxa"/>
            <w:tcBorders>
              <w:top w:val="single" w:sz="4" w:space="0" w:color="auto"/>
              <w:left w:val="nil"/>
              <w:bottom w:val="nil"/>
              <w:right w:val="nil"/>
            </w:tcBorders>
            <w:shd w:val="clear" w:color="auto" w:fill="auto"/>
            <w:vAlign w:val="center"/>
            <w:hideMark/>
          </w:tcPr>
          <w:p w14:paraId="0D03381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28.71</w:t>
            </w:r>
          </w:p>
        </w:tc>
        <w:tc>
          <w:tcPr>
            <w:tcW w:w="1099" w:type="dxa"/>
            <w:tcBorders>
              <w:top w:val="single" w:sz="4" w:space="0" w:color="auto"/>
              <w:left w:val="nil"/>
              <w:bottom w:val="nil"/>
              <w:right w:val="nil"/>
            </w:tcBorders>
            <w:shd w:val="clear" w:color="auto" w:fill="auto"/>
            <w:vAlign w:val="center"/>
            <w:hideMark/>
          </w:tcPr>
          <w:p w14:paraId="4F8B8CB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24.7</w:t>
            </w:r>
          </w:p>
        </w:tc>
        <w:tc>
          <w:tcPr>
            <w:tcW w:w="1099" w:type="dxa"/>
            <w:tcBorders>
              <w:top w:val="single" w:sz="4" w:space="0" w:color="auto"/>
              <w:left w:val="nil"/>
              <w:bottom w:val="nil"/>
              <w:right w:val="nil"/>
            </w:tcBorders>
            <w:shd w:val="clear" w:color="auto" w:fill="auto"/>
            <w:vAlign w:val="center"/>
            <w:hideMark/>
          </w:tcPr>
          <w:p w14:paraId="37A32C51"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21.38</w:t>
            </w:r>
          </w:p>
        </w:tc>
        <w:tc>
          <w:tcPr>
            <w:tcW w:w="1120" w:type="dxa"/>
            <w:tcBorders>
              <w:top w:val="single" w:sz="4" w:space="0" w:color="auto"/>
              <w:left w:val="nil"/>
              <w:bottom w:val="nil"/>
              <w:right w:val="nil"/>
            </w:tcBorders>
            <w:shd w:val="clear" w:color="auto" w:fill="auto"/>
            <w:vAlign w:val="center"/>
            <w:hideMark/>
          </w:tcPr>
          <w:p w14:paraId="09E7EA5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45.00</w:t>
            </w:r>
          </w:p>
        </w:tc>
        <w:tc>
          <w:tcPr>
            <w:tcW w:w="1100" w:type="dxa"/>
            <w:tcBorders>
              <w:top w:val="single" w:sz="4" w:space="0" w:color="auto"/>
              <w:left w:val="nil"/>
              <w:bottom w:val="nil"/>
              <w:right w:val="nil"/>
            </w:tcBorders>
            <w:shd w:val="clear" w:color="auto" w:fill="auto"/>
            <w:vAlign w:val="center"/>
            <w:hideMark/>
          </w:tcPr>
          <w:p w14:paraId="2116711D" w14:textId="5A16E90D"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28.91</w:t>
            </w:r>
          </w:p>
        </w:tc>
      </w:tr>
      <w:tr w:rsidR="002823CF" w:rsidRPr="00283B86" w14:paraId="78EB43F4" w14:textId="77777777" w:rsidTr="002823CF">
        <w:trPr>
          <w:trHeight w:val="315"/>
        </w:trPr>
        <w:tc>
          <w:tcPr>
            <w:tcW w:w="520" w:type="dxa"/>
            <w:vMerge/>
            <w:tcBorders>
              <w:top w:val="nil"/>
              <w:left w:val="nil"/>
              <w:bottom w:val="nil"/>
              <w:right w:val="single" w:sz="4" w:space="0" w:color="auto"/>
            </w:tcBorders>
            <w:vAlign w:val="center"/>
            <w:hideMark/>
          </w:tcPr>
          <w:p w14:paraId="552BE194"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nil"/>
              <w:right w:val="single" w:sz="4" w:space="0" w:color="auto"/>
            </w:tcBorders>
            <w:vAlign w:val="center"/>
            <w:hideMark/>
          </w:tcPr>
          <w:p w14:paraId="0F79C0DD"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dashed" w:sz="4" w:space="0" w:color="auto"/>
              <w:left w:val="nil"/>
              <w:bottom w:val="dashed" w:sz="4" w:space="0" w:color="auto"/>
              <w:right w:val="nil"/>
            </w:tcBorders>
            <w:shd w:val="clear" w:color="000000" w:fill="FFFFFF"/>
            <w:vAlign w:val="center"/>
            <w:hideMark/>
          </w:tcPr>
          <w:p w14:paraId="4CE88672"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 xml:space="preserve">SD, µg/L </w:t>
            </w:r>
          </w:p>
        </w:tc>
        <w:tc>
          <w:tcPr>
            <w:tcW w:w="1080" w:type="dxa"/>
            <w:tcBorders>
              <w:top w:val="dashed" w:sz="4" w:space="0" w:color="auto"/>
              <w:left w:val="nil"/>
              <w:bottom w:val="dashed" w:sz="4" w:space="0" w:color="auto"/>
              <w:right w:val="nil"/>
            </w:tcBorders>
            <w:shd w:val="clear" w:color="auto" w:fill="auto"/>
            <w:vAlign w:val="center"/>
            <w:hideMark/>
          </w:tcPr>
          <w:p w14:paraId="0F7AAB0B"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1.41</w:t>
            </w:r>
          </w:p>
        </w:tc>
        <w:tc>
          <w:tcPr>
            <w:tcW w:w="1119" w:type="dxa"/>
            <w:tcBorders>
              <w:top w:val="dashed" w:sz="4" w:space="0" w:color="auto"/>
              <w:left w:val="nil"/>
              <w:bottom w:val="dashed" w:sz="4" w:space="0" w:color="auto"/>
              <w:right w:val="nil"/>
            </w:tcBorders>
            <w:shd w:val="clear" w:color="auto" w:fill="auto"/>
            <w:vAlign w:val="center"/>
            <w:hideMark/>
          </w:tcPr>
          <w:p w14:paraId="7000807D"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1.68</w:t>
            </w:r>
          </w:p>
        </w:tc>
        <w:tc>
          <w:tcPr>
            <w:tcW w:w="1099" w:type="dxa"/>
            <w:tcBorders>
              <w:top w:val="dashed" w:sz="4" w:space="0" w:color="auto"/>
              <w:left w:val="nil"/>
              <w:bottom w:val="dashed" w:sz="4" w:space="0" w:color="auto"/>
              <w:right w:val="nil"/>
            </w:tcBorders>
            <w:shd w:val="clear" w:color="auto" w:fill="auto"/>
            <w:vAlign w:val="center"/>
            <w:hideMark/>
          </w:tcPr>
          <w:p w14:paraId="5E4E1DCA"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1.59</w:t>
            </w:r>
          </w:p>
        </w:tc>
        <w:tc>
          <w:tcPr>
            <w:tcW w:w="1099" w:type="dxa"/>
            <w:tcBorders>
              <w:top w:val="dashed" w:sz="4" w:space="0" w:color="auto"/>
              <w:left w:val="nil"/>
              <w:bottom w:val="dashed" w:sz="4" w:space="0" w:color="auto"/>
              <w:right w:val="nil"/>
            </w:tcBorders>
            <w:shd w:val="clear" w:color="auto" w:fill="auto"/>
            <w:vAlign w:val="center"/>
            <w:hideMark/>
          </w:tcPr>
          <w:p w14:paraId="75D9BB40"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1.12</w:t>
            </w:r>
          </w:p>
        </w:tc>
        <w:tc>
          <w:tcPr>
            <w:tcW w:w="1099" w:type="dxa"/>
            <w:tcBorders>
              <w:top w:val="dashed" w:sz="4" w:space="0" w:color="auto"/>
              <w:left w:val="nil"/>
              <w:bottom w:val="dashed" w:sz="4" w:space="0" w:color="auto"/>
              <w:right w:val="nil"/>
            </w:tcBorders>
            <w:shd w:val="clear" w:color="auto" w:fill="auto"/>
            <w:vAlign w:val="center"/>
            <w:hideMark/>
          </w:tcPr>
          <w:p w14:paraId="3CF18388"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0.30</w:t>
            </w:r>
          </w:p>
        </w:tc>
        <w:tc>
          <w:tcPr>
            <w:tcW w:w="1120" w:type="dxa"/>
            <w:tcBorders>
              <w:top w:val="dashed" w:sz="4" w:space="0" w:color="auto"/>
              <w:left w:val="nil"/>
              <w:bottom w:val="dashed" w:sz="4" w:space="0" w:color="auto"/>
              <w:right w:val="nil"/>
            </w:tcBorders>
            <w:shd w:val="clear" w:color="auto" w:fill="auto"/>
            <w:vAlign w:val="center"/>
            <w:hideMark/>
          </w:tcPr>
          <w:p w14:paraId="184FC6DC"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4.25</w:t>
            </w:r>
          </w:p>
        </w:tc>
        <w:tc>
          <w:tcPr>
            <w:tcW w:w="1100" w:type="dxa"/>
            <w:tcBorders>
              <w:top w:val="dashed" w:sz="4" w:space="0" w:color="auto"/>
              <w:left w:val="nil"/>
              <w:bottom w:val="dashed" w:sz="4" w:space="0" w:color="auto"/>
              <w:right w:val="nil"/>
            </w:tcBorders>
            <w:shd w:val="clear" w:color="auto" w:fill="auto"/>
            <w:vAlign w:val="center"/>
            <w:hideMark/>
          </w:tcPr>
          <w:p w14:paraId="478CA037" w14:textId="39CC4811"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2.97</w:t>
            </w:r>
          </w:p>
        </w:tc>
      </w:tr>
      <w:tr w:rsidR="002823CF" w:rsidRPr="00283B86" w14:paraId="4D0E582D" w14:textId="77777777" w:rsidTr="002823CF">
        <w:trPr>
          <w:trHeight w:val="315"/>
        </w:trPr>
        <w:tc>
          <w:tcPr>
            <w:tcW w:w="520" w:type="dxa"/>
            <w:vMerge/>
            <w:tcBorders>
              <w:top w:val="nil"/>
              <w:left w:val="nil"/>
              <w:bottom w:val="nil"/>
              <w:right w:val="single" w:sz="4" w:space="0" w:color="auto"/>
            </w:tcBorders>
            <w:vAlign w:val="center"/>
            <w:hideMark/>
          </w:tcPr>
          <w:p w14:paraId="749AF002"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nil"/>
              <w:right w:val="single" w:sz="4" w:space="0" w:color="auto"/>
            </w:tcBorders>
            <w:vAlign w:val="center"/>
            <w:hideMark/>
          </w:tcPr>
          <w:p w14:paraId="76F66D0B"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dashed" w:sz="4" w:space="0" w:color="auto"/>
              <w:right w:val="nil"/>
            </w:tcBorders>
            <w:shd w:val="clear" w:color="000000" w:fill="FFFFFF"/>
            <w:vAlign w:val="center"/>
            <w:hideMark/>
          </w:tcPr>
          <w:p w14:paraId="66C2239F"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CV, %</w:t>
            </w:r>
          </w:p>
        </w:tc>
        <w:tc>
          <w:tcPr>
            <w:tcW w:w="1080" w:type="dxa"/>
            <w:tcBorders>
              <w:top w:val="nil"/>
              <w:left w:val="nil"/>
              <w:bottom w:val="dashed" w:sz="4" w:space="0" w:color="auto"/>
              <w:right w:val="nil"/>
            </w:tcBorders>
            <w:shd w:val="clear" w:color="auto" w:fill="auto"/>
            <w:vAlign w:val="center"/>
            <w:hideMark/>
          </w:tcPr>
          <w:p w14:paraId="40DD88D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4.9</w:t>
            </w:r>
          </w:p>
        </w:tc>
        <w:tc>
          <w:tcPr>
            <w:tcW w:w="1119" w:type="dxa"/>
            <w:tcBorders>
              <w:top w:val="nil"/>
              <w:left w:val="nil"/>
              <w:bottom w:val="dashed" w:sz="4" w:space="0" w:color="auto"/>
              <w:right w:val="nil"/>
            </w:tcBorders>
            <w:shd w:val="clear" w:color="auto" w:fill="auto"/>
            <w:vAlign w:val="center"/>
            <w:hideMark/>
          </w:tcPr>
          <w:p w14:paraId="0DD87B0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7.8</w:t>
            </w:r>
          </w:p>
        </w:tc>
        <w:tc>
          <w:tcPr>
            <w:tcW w:w="1099" w:type="dxa"/>
            <w:tcBorders>
              <w:top w:val="nil"/>
              <w:left w:val="nil"/>
              <w:bottom w:val="dashed" w:sz="4" w:space="0" w:color="auto"/>
              <w:right w:val="nil"/>
            </w:tcBorders>
            <w:shd w:val="clear" w:color="auto" w:fill="auto"/>
            <w:vAlign w:val="center"/>
            <w:hideMark/>
          </w:tcPr>
          <w:p w14:paraId="44F46ED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5.5</w:t>
            </w:r>
          </w:p>
        </w:tc>
        <w:tc>
          <w:tcPr>
            <w:tcW w:w="1099" w:type="dxa"/>
            <w:tcBorders>
              <w:top w:val="nil"/>
              <w:left w:val="nil"/>
              <w:bottom w:val="dashed" w:sz="4" w:space="0" w:color="auto"/>
              <w:right w:val="nil"/>
            </w:tcBorders>
            <w:shd w:val="clear" w:color="auto" w:fill="auto"/>
            <w:vAlign w:val="center"/>
            <w:hideMark/>
          </w:tcPr>
          <w:p w14:paraId="704E24BF"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4.5</w:t>
            </w:r>
          </w:p>
        </w:tc>
        <w:tc>
          <w:tcPr>
            <w:tcW w:w="1099" w:type="dxa"/>
            <w:tcBorders>
              <w:top w:val="nil"/>
              <w:left w:val="nil"/>
              <w:bottom w:val="dashed" w:sz="4" w:space="0" w:color="auto"/>
              <w:right w:val="nil"/>
            </w:tcBorders>
            <w:shd w:val="clear" w:color="auto" w:fill="auto"/>
            <w:vAlign w:val="center"/>
            <w:hideMark/>
          </w:tcPr>
          <w:p w14:paraId="00E4950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1.4</w:t>
            </w:r>
          </w:p>
        </w:tc>
        <w:tc>
          <w:tcPr>
            <w:tcW w:w="1120" w:type="dxa"/>
            <w:tcBorders>
              <w:top w:val="nil"/>
              <w:left w:val="nil"/>
              <w:bottom w:val="dashed" w:sz="4" w:space="0" w:color="auto"/>
              <w:right w:val="nil"/>
            </w:tcBorders>
            <w:shd w:val="clear" w:color="auto" w:fill="auto"/>
            <w:vAlign w:val="center"/>
            <w:hideMark/>
          </w:tcPr>
          <w:p w14:paraId="5C35AE5E"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9.4</w:t>
            </w:r>
          </w:p>
        </w:tc>
        <w:tc>
          <w:tcPr>
            <w:tcW w:w="1100" w:type="dxa"/>
            <w:tcBorders>
              <w:top w:val="nil"/>
              <w:left w:val="nil"/>
              <w:bottom w:val="dashed" w:sz="4" w:space="0" w:color="auto"/>
              <w:right w:val="nil"/>
            </w:tcBorders>
            <w:shd w:val="clear" w:color="auto" w:fill="auto"/>
            <w:vAlign w:val="center"/>
            <w:hideMark/>
          </w:tcPr>
          <w:p w14:paraId="126F25EB" w14:textId="4F0962AB"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10.3</w:t>
            </w:r>
          </w:p>
        </w:tc>
      </w:tr>
      <w:tr w:rsidR="002823CF" w:rsidRPr="00283B86" w14:paraId="5D67245E" w14:textId="77777777" w:rsidTr="002823CF">
        <w:trPr>
          <w:trHeight w:val="315"/>
        </w:trPr>
        <w:tc>
          <w:tcPr>
            <w:tcW w:w="520" w:type="dxa"/>
            <w:vMerge/>
            <w:tcBorders>
              <w:top w:val="nil"/>
              <w:left w:val="nil"/>
              <w:bottom w:val="nil"/>
              <w:right w:val="single" w:sz="4" w:space="0" w:color="auto"/>
            </w:tcBorders>
            <w:vAlign w:val="center"/>
            <w:hideMark/>
          </w:tcPr>
          <w:p w14:paraId="3A598BD7"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64" w:type="dxa"/>
            <w:vMerge/>
            <w:tcBorders>
              <w:top w:val="nil"/>
              <w:left w:val="single" w:sz="4" w:space="0" w:color="auto"/>
              <w:bottom w:val="nil"/>
              <w:right w:val="single" w:sz="4" w:space="0" w:color="auto"/>
            </w:tcBorders>
            <w:vAlign w:val="center"/>
            <w:hideMark/>
          </w:tcPr>
          <w:p w14:paraId="18569A9D" w14:textId="77777777" w:rsidR="00283B86" w:rsidRPr="00283B86" w:rsidRDefault="00283B86">
            <w:pPr>
              <w:spacing w:after="0" w:line="240" w:lineRule="auto"/>
              <w:rPr>
                <w:rFonts w:ascii="Calibri" w:eastAsia="Times New Roman" w:hAnsi="Calibri" w:cs="Arial"/>
                <w:color w:val="000000"/>
                <w:sz w:val="16"/>
                <w:szCs w:val="16"/>
                <w:lang w:eastAsia="en-GB"/>
              </w:rPr>
            </w:pPr>
          </w:p>
        </w:tc>
        <w:tc>
          <w:tcPr>
            <w:tcW w:w="900" w:type="dxa"/>
            <w:tcBorders>
              <w:top w:val="nil"/>
              <w:left w:val="nil"/>
              <w:bottom w:val="nil"/>
              <w:right w:val="nil"/>
            </w:tcBorders>
            <w:shd w:val="clear" w:color="000000" w:fill="FFFFFF"/>
            <w:vAlign w:val="center"/>
            <w:hideMark/>
          </w:tcPr>
          <w:p w14:paraId="4D7634E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%recovery</w:t>
            </w:r>
          </w:p>
        </w:tc>
        <w:tc>
          <w:tcPr>
            <w:tcW w:w="1080" w:type="dxa"/>
            <w:tcBorders>
              <w:top w:val="nil"/>
              <w:left w:val="nil"/>
              <w:bottom w:val="nil"/>
              <w:right w:val="nil"/>
            </w:tcBorders>
            <w:shd w:val="clear" w:color="auto" w:fill="auto"/>
            <w:vAlign w:val="center"/>
            <w:hideMark/>
          </w:tcPr>
          <w:p w14:paraId="4AD860C7"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128</w:t>
            </w:r>
          </w:p>
        </w:tc>
        <w:tc>
          <w:tcPr>
            <w:tcW w:w="1119" w:type="dxa"/>
            <w:tcBorders>
              <w:top w:val="nil"/>
              <w:left w:val="nil"/>
              <w:bottom w:val="nil"/>
              <w:right w:val="nil"/>
            </w:tcBorders>
            <w:shd w:val="clear" w:color="auto" w:fill="auto"/>
            <w:vAlign w:val="center"/>
            <w:hideMark/>
          </w:tcPr>
          <w:p w14:paraId="6A058A7B"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99</w:t>
            </w:r>
          </w:p>
        </w:tc>
        <w:tc>
          <w:tcPr>
            <w:tcW w:w="1099" w:type="dxa"/>
            <w:tcBorders>
              <w:top w:val="nil"/>
              <w:left w:val="nil"/>
              <w:bottom w:val="nil"/>
              <w:right w:val="nil"/>
            </w:tcBorders>
            <w:shd w:val="clear" w:color="auto" w:fill="auto"/>
            <w:vAlign w:val="center"/>
            <w:hideMark/>
          </w:tcPr>
          <w:p w14:paraId="719E88DE" w14:textId="3F35D521" w:rsidR="00283B86" w:rsidRPr="00283B86" w:rsidRDefault="00635903" w:rsidP="004A77E6">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96</w:t>
            </w:r>
          </w:p>
        </w:tc>
        <w:tc>
          <w:tcPr>
            <w:tcW w:w="1099" w:type="dxa"/>
            <w:tcBorders>
              <w:top w:val="nil"/>
              <w:left w:val="nil"/>
              <w:bottom w:val="nil"/>
              <w:right w:val="nil"/>
            </w:tcBorders>
            <w:shd w:val="clear" w:color="auto" w:fill="auto"/>
            <w:vAlign w:val="center"/>
            <w:hideMark/>
          </w:tcPr>
          <w:p w14:paraId="69F593F9"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111</w:t>
            </w:r>
          </w:p>
        </w:tc>
        <w:tc>
          <w:tcPr>
            <w:tcW w:w="1099" w:type="dxa"/>
            <w:tcBorders>
              <w:top w:val="nil"/>
              <w:left w:val="nil"/>
              <w:bottom w:val="nil"/>
              <w:right w:val="nil"/>
            </w:tcBorders>
            <w:shd w:val="clear" w:color="auto" w:fill="auto"/>
            <w:vAlign w:val="center"/>
            <w:hideMark/>
          </w:tcPr>
          <w:p w14:paraId="0D3AA3E2"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97</w:t>
            </w:r>
          </w:p>
        </w:tc>
        <w:tc>
          <w:tcPr>
            <w:tcW w:w="1120" w:type="dxa"/>
            <w:tcBorders>
              <w:top w:val="nil"/>
              <w:left w:val="nil"/>
              <w:bottom w:val="nil"/>
              <w:right w:val="nil"/>
            </w:tcBorders>
            <w:shd w:val="clear" w:color="auto" w:fill="auto"/>
            <w:vAlign w:val="center"/>
            <w:hideMark/>
          </w:tcPr>
          <w:p w14:paraId="1DADC236" w14:textId="77777777" w:rsidR="00283B86" w:rsidRPr="00283B86" w:rsidRDefault="00283B86">
            <w:pPr>
              <w:spacing w:after="0" w:line="240" w:lineRule="auto"/>
              <w:jc w:val="center"/>
              <w:rPr>
                <w:rFonts w:ascii="Calibri" w:eastAsia="Times New Roman" w:hAnsi="Calibri" w:cs="Arial"/>
                <w:color w:val="000000"/>
                <w:sz w:val="16"/>
                <w:szCs w:val="16"/>
                <w:lang w:eastAsia="en-GB"/>
              </w:rPr>
            </w:pPr>
            <w:r w:rsidRPr="00283B86">
              <w:rPr>
                <w:rFonts w:ascii="Calibri" w:eastAsia="Times New Roman" w:hAnsi="Calibri" w:cs="Arial"/>
                <w:color w:val="000000"/>
                <w:sz w:val="16"/>
                <w:szCs w:val="16"/>
                <w:lang w:eastAsia="en-GB"/>
              </w:rPr>
              <w:t>95</w:t>
            </w:r>
          </w:p>
        </w:tc>
        <w:tc>
          <w:tcPr>
            <w:tcW w:w="1100" w:type="dxa"/>
            <w:tcBorders>
              <w:top w:val="nil"/>
              <w:left w:val="nil"/>
              <w:bottom w:val="nil"/>
              <w:right w:val="nil"/>
            </w:tcBorders>
            <w:shd w:val="clear" w:color="auto" w:fill="auto"/>
            <w:vAlign w:val="center"/>
            <w:hideMark/>
          </w:tcPr>
          <w:p w14:paraId="2E00526E" w14:textId="4C3114B2" w:rsidR="00283B86" w:rsidRPr="00283B86" w:rsidRDefault="001B3D1A">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102</w:t>
            </w:r>
          </w:p>
        </w:tc>
      </w:tr>
    </w:tbl>
    <w:p w14:paraId="7D025CA4" w14:textId="66290EC6" w:rsidR="00166F2F" w:rsidRDefault="002823CF" w:rsidP="00F96813">
      <w:pPr>
        <w:pStyle w:val="RSCB04AHeadingSection"/>
        <w:rPr>
          <w:noProof/>
          <w:lang w:eastAsia="en-GB"/>
        </w:rPr>
      </w:pPr>
      <w:r>
        <w:rPr>
          <w:noProof/>
          <w:lang w:eastAsia="en-GB"/>
        </w:rPr>
        <w:br w:type="textWrapping" w:clear="all"/>
      </w:r>
    </w:p>
    <w:p w14:paraId="43D2A2EB" w14:textId="16B82B3A" w:rsidR="00F96813" w:rsidRDefault="00F232EB" w:rsidP="00F96813">
      <w:pPr>
        <w:pStyle w:val="RSCB04AHeadingSection"/>
        <w:rPr>
          <w:noProof/>
          <w:lang w:eastAsia="en-GB"/>
        </w:rPr>
      </w:pPr>
      <w:r>
        <w:rPr>
          <w:noProof/>
          <w:lang w:eastAsia="en-GB"/>
        </w:rPr>
        <mc:AlternateContent>
          <mc:Choice Requires="wps">
            <w:drawing>
              <wp:anchor distT="0" distB="0" distL="114300" distR="114300" simplePos="0" relativeHeight="251659264" behindDoc="0" locked="0" layoutInCell="1" allowOverlap="1" wp14:anchorId="123B0D75" wp14:editId="5DE2A402">
                <wp:simplePos x="0" y="0"/>
                <wp:positionH relativeFrom="margin">
                  <wp:posOffset>0</wp:posOffset>
                </wp:positionH>
                <wp:positionV relativeFrom="paragraph">
                  <wp:posOffset>5381625</wp:posOffset>
                </wp:positionV>
                <wp:extent cx="565785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a:effectLst/>
                      </wps:spPr>
                      <wps:txbx>
                        <w:txbxContent>
                          <w:p w14:paraId="2F10533A" w14:textId="6D632F9B" w:rsidR="00AD35CE" w:rsidRPr="00AB0179" w:rsidRDefault="00AD35CE" w:rsidP="00F232EB">
                            <w:pPr>
                              <w:pStyle w:val="RSCI05CaptiontoFigureSchemeChartwithbottombar"/>
                              <w:rPr>
                                <w:b/>
                                <w:noProof/>
                                <w:sz w:val="24"/>
                              </w:rPr>
                            </w:pPr>
                            <w:r>
                              <w:t xml:space="preserve">Figure 1 </w:t>
                            </w:r>
                            <w:r w:rsidRPr="00530D5A">
                              <w:t xml:space="preserve">Spike recoveries for Labs L1-L7; soluble spike = ionic Ti spikes at 2.51 and 10.97 </w:t>
                            </w:r>
                            <w:r>
                              <w:t>µg/L</w:t>
                            </w:r>
                            <w:r w:rsidRPr="00530D5A">
                              <w:t>; nano spike = spiked TiO</w:t>
                            </w:r>
                            <w:r w:rsidRPr="00FB3983">
                              <w:rPr>
                                <w:vertAlign w:val="subscript"/>
                              </w:rPr>
                              <w:t>2</w:t>
                            </w:r>
                            <w:r w:rsidRPr="00530D5A">
                              <w:t xml:space="preserve"> particles at 2.64 and 21.41 </w:t>
                            </w:r>
                            <w:r>
                              <w:t>µg/L.,</w:t>
                            </w:r>
                            <w:r w:rsidRPr="00B54891">
                              <w:t xml:space="preserve"> </w:t>
                            </w:r>
                            <w:r>
                              <w:t>Values in parenthesis are &gt; LOD but &lt; LOQ</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B0D75" id="Text Box 9" o:spid="_x0000_s1027" type="#_x0000_t202" style="position:absolute;margin-left:0;margin-top:423.75pt;width:445.5pt;height:.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" stroked="f">
                <v:textbox style="mso-fit-shape-to-text:t" inset="0,0,0,0">
                  <w:txbxContent>
                    <w:p w14:paraId="2F10533A" w14:textId="6D632F9B" w:rsidR="00AD35CE" w:rsidRPr="00AB0179" w:rsidRDefault="00AD35CE" w:rsidP="00F232EB">
                      <w:pPr>
                        <w:pStyle w:val="RSCI05CaptiontoFigureSchemeChartwithbottombar"/>
                        <w:rPr>
                          <w:b/>
                          <w:noProof/>
                          <w:sz w:val="24"/>
                        </w:rPr>
                      </w:pPr>
                      <w:r>
                        <w:t xml:space="preserve">Figure 1 </w:t>
                      </w:r>
                      <w:r w:rsidRPr="00530D5A">
                        <w:t xml:space="preserve">Spike recoveries for Labs L1-L7; soluble spike = ionic </w:t>
                      </w:r>
                      <w:proofErr w:type="spellStart"/>
                      <w:r w:rsidRPr="00530D5A">
                        <w:t>Ti</w:t>
                      </w:r>
                      <w:proofErr w:type="spellEnd"/>
                      <w:r w:rsidRPr="00530D5A">
                        <w:t xml:space="preserve"> spikes at 2.51 and 10.97 </w:t>
                      </w:r>
                      <w:r>
                        <w:t>µg/L</w:t>
                      </w:r>
                      <w:r w:rsidRPr="00530D5A">
                        <w:t xml:space="preserve">; </w:t>
                      </w:r>
                      <w:proofErr w:type="spellStart"/>
                      <w:r w:rsidRPr="00530D5A">
                        <w:t>nano</w:t>
                      </w:r>
                      <w:proofErr w:type="spellEnd"/>
                      <w:r w:rsidRPr="00530D5A">
                        <w:t xml:space="preserve"> spike = spiked TiO</w:t>
                      </w:r>
                      <w:r w:rsidRPr="00FB3983">
                        <w:rPr>
                          <w:vertAlign w:val="subscript"/>
                        </w:rPr>
                        <w:t>2</w:t>
                      </w:r>
                      <w:r w:rsidRPr="00530D5A">
                        <w:t xml:space="preserve"> particles at 2.64 and 21.41 </w:t>
                      </w:r>
                      <w:r>
                        <w:t>µg/L.,</w:t>
                      </w:r>
                      <w:r w:rsidRPr="00B54891">
                        <w:t xml:space="preserve"> </w:t>
                      </w:r>
                      <w:r>
                        <w:t>Values in parenthesis are &gt; LOD but &lt; LOQ</w:t>
                      </w:r>
                    </w:p>
                  </w:txbxContent>
                </v:textbox>
                <w10:wrap type="topAndBottom" anchorx="margin"/>
              </v:shape>
            </w:pict>
          </mc:Fallback>
        </mc:AlternateContent>
      </w:r>
      <w:r w:rsidR="00C27727">
        <w:rPr>
          <w:noProof/>
          <w:lang w:eastAsia="en-GB"/>
        </w:rPr>
        <w:drawing>
          <wp:inline distT="0" distB="0" distL="0" distR="0" wp14:anchorId="1FC549DA" wp14:editId="51AEDF30">
            <wp:extent cx="5107023" cy="50731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023" cy="5073127"/>
                    </a:xfrm>
                    <a:prstGeom prst="rect">
                      <a:avLst/>
                    </a:prstGeom>
                    <a:noFill/>
                  </pic:spPr>
                </pic:pic>
              </a:graphicData>
            </a:graphic>
          </wp:inline>
        </w:drawing>
      </w:r>
      <w:r w:rsidR="004A1D1C" w:rsidRPr="004A1D1C">
        <w:rPr>
          <w:noProof/>
          <w:lang w:eastAsia="en-GB"/>
        </w:rPr>
        <w:t xml:space="preserve"> </w:t>
      </w:r>
    </w:p>
    <w:p w14:paraId="3CCE129A" w14:textId="74A1FC74" w:rsidR="00F232EB" w:rsidRDefault="00F232EB" w:rsidP="00F96813">
      <w:pPr>
        <w:pStyle w:val="RSCB04AHeadingSection"/>
        <w:rPr>
          <w:noProof/>
          <w:lang w:eastAsia="en-GB"/>
        </w:rPr>
      </w:pPr>
    </w:p>
    <w:p w14:paraId="66681D54" w14:textId="10922B02" w:rsidR="00571D75" w:rsidRDefault="00571D75" w:rsidP="007A4AA1">
      <w:pPr>
        <w:pStyle w:val="RSCB04AHeadingSection"/>
        <w:rPr>
          <w:noProof/>
          <w:lang w:eastAsia="en-GB"/>
        </w:rPr>
        <w:sectPr w:rsidR="00571D75" w:rsidSect="00412E58">
          <w:type w:val="continuous"/>
          <w:pgSz w:w="11907" w:h="16840" w:code="9"/>
          <w:pgMar w:top="720" w:right="720" w:bottom="720" w:left="720" w:header="851" w:footer="1049" w:gutter="0"/>
          <w:cols w:space="227"/>
          <w:titlePg/>
          <w:docGrid w:linePitch="360"/>
        </w:sectPr>
      </w:pPr>
    </w:p>
    <w:p w14:paraId="7D16AA2C" w14:textId="00B2B43B" w:rsidR="009B2195" w:rsidRDefault="009B2195" w:rsidP="00C94D28">
      <w:pPr>
        <w:pStyle w:val="RSCB02ArticleText"/>
      </w:pPr>
      <w:r>
        <w:t xml:space="preserve">It is important to note that </w:t>
      </w:r>
      <w:r w:rsidR="00611DEF">
        <w:t>this study was not intended to be a comprehensive analysis of all permutations in sample preparation, instrument type, instrument set up and analytical approach to deliver an ‘ultimate’ methodology. Instead, it drew upon the experience of a cross section of specialist laboratories in the field</w:t>
      </w:r>
      <w:r w:rsidR="009B3DC9">
        <w:t xml:space="preserve">, undertaking bio-analysis of Ti, </w:t>
      </w:r>
      <w:r w:rsidR="00611DEF">
        <w:t>to develop a</w:t>
      </w:r>
      <w:r w:rsidR="009B3DC9">
        <w:t>n inter-</w:t>
      </w:r>
      <w:r w:rsidR="00611DEF">
        <w:t>author consensus on what type of approaches may be fruitful</w:t>
      </w:r>
      <w:r w:rsidR="00107367">
        <w:t>,</w:t>
      </w:r>
      <w:r w:rsidR="00611DEF">
        <w:t xml:space="preserve"> </w:t>
      </w:r>
      <w:r w:rsidR="00107367">
        <w:t>or may be challenging, in achieving fit-for-purpose analyses of whole blood Ti levels. Our conclusions follow</w:t>
      </w:r>
      <w:r w:rsidR="009B3DC9">
        <w:t xml:space="preserve"> (the more general of which are established in analytical methodology </w:t>
      </w:r>
      <w:r w:rsidR="009B3DC9" w:rsidRPr="008A0D14">
        <w:rPr>
          <w:i/>
        </w:rPr>
        <w:t>per se</w:t>
      </w:r>
      <w:r w:rsidR="009B3DC9">
        <w:t xml:space="preserve"> but herein serve to re-emp</w:t>
      </w:r>
      <w:r w:rsidR="008A0D14">
        <w:t>h</w:t>
      </w:r>
      <w:r w:rsidR="009B3DC9">
        <w:t>asise the point for low level Ti bio-analysis)</w:t>
      </w:r>
      <w:r w:rsidR="00107367">
        <w:t>:</w:t>
      </w:r>
    </w:p>
    <w:p w14:paraId="698B5906" w14:textId="77777777" w:rsidR="009B2195" w:rsidRDefault="009B2195" w:rsidP="00C94D28">
      <w:pPr>
        <w:pStyle w:val="RSCB02ArticleText"/>
      </w:pPr>
    </w:p>
    <w:p w14:paraId="2EB9849F" w14:textId="77777777" w:rsidR="00F33598" w:rsidRDefault="00F33598" w:rsidP="00D82AB4">
      <w:pPr>
        <w:pStyle w:val="RSCB02ArticleText"/>
        <w:rPr>
          <w:noProof/>
          <w:lang w:eastAsia="en-GB"/>
        </w:rPr>
      </w:pPr>
    </w:p>
    <w:p w14:paraId="4E11F3EB" w14:textId="77777777" w:rsidR="00107367" w:rsidRDefault="00D82AB4" w:rsidP="00274A22">
      <w:pPr>
        <w:pStyle w:val="RSCB02ArticleText"/>
        <w:numPr>
          <w:ilvl w:val="0"/>
          <w:numId w:val="25"/>
        </w:numPr>
      </w:pPr>
      <w:r>
        <w:rPr>
          <w:noProof/>
          <w:lang w:eastAsia="en-GB"/>
        </w:rPr>
        <w:t xml:space="preserve">Overall, we showed that the methods used for Ti analysis of whole blood, </w:t>
      </w:r>
      <w:r w:rsidRPr="005737FC">
        <w:rPr>
          <w:noProof/>
          <w:lang w:eastAsia="en-GB"/>
        </w:rPr>
        <w:t xml:space="preserve">in </w:t>
      </w:r>
      <w:r>
        <w:rPr>
          <w:noProof/>
          <w:lang w:eastAsia="en-GB"/>
        </w:rPr>
        <w:t>established laboratories</w:t>
      </w:r>
      <w:r w:rsidRPr="005737FC">
        <w:rPr>
          <w:noProof/>
          <w:lang w:eastAsia="en-GB"/>
        </w:rPr>
        <w:t xml:space="preserve">, can </w:t>
      </w:r>
      <w:r w:rsidRPr="002258BA">
        <w:rPr>
          <w:noProof/>
          <w:lang w:eastAsia="en-GB"/>
        </w:rPr>
        <w:t>mostly</w:t>
      </w:r>
      <w:r w:rsidRPr="002258BA">
        <w:rPr>
          <w:i/>
          <w:noProof/>
          <w:lang w:eastAsia="en-GB"/>
        </w:rPr>
        <w:t xml:space="preserve"> </w:t>
      </w:r>
      <w:r w:rsidRPr="005737FC">
        <w:rPr>
          <w:noProof/>
          <w:lang w:eastAsia="en-GB"/>
        </w:rPr>
        <w:t xml:space="preserve">detect </w:t>
      </w:r>
      <w:r w:rsidR="005D6F6F">
        <w:rPr>
          <w:noProof/>
          <w:lang w:eastAsia="en-GB"/>
        </w:rPr>
        <w:t>low</w:t>
      </w:r>
      <w:r>
        <w:rPr>
          <w:noProof/>
          <w:lang w:eastAsia="en-GB"/>
        </w:rPr>
        <w:t xml:space="preserve"> </w:t>
      </w:r>
      <w:r w:rsidRPr="005737FC">
        <w:rPr>
          <w:noProof/>
          <w:lang w:eastAsia="en-GB"/>
        </w:rPr>
        <w:t xml:space="preserve">levels of </w:t>
      </w:r>
      <w:r>
        <w:rPr>
          <w:noProof/>
          <w:lang w:eastAsia="en-GB"/>
        </w:rPr>
        <w:t xml:space="preserve">spiked </w:t>
      </w:r>
      <w:r w:rsidRPr="005737FC">
        <w:rPr>
          <w:noProof/>
          <w:lang w:eastAsia="en-GB"/>
        </w:rPr>
        <w:t>Ti and that they do so quantitatively. The li</w:t>
      </w:r>
      <w:r>
        <w:rPr>
          <w:noProof/>
          <w:lang w:eastAsia="en-GB"/>
        </w:rPr>
        <w:t xml:space="preserve">nearity </w:t>
      </w:r>
      <w:r w:rsidR="007B2E71">
        <w:rPr>
          <w:noProof/>
          <w:lang w:eastAsia="en-GB"/>
        </w:rPr>
        <w:t xml:space="preserve">and general sensitiviy </w:t>
      </w:r>
      <w:r>
        <w:rPr>
          <w:noProof/>
          <w:lang w:eastAsia="en-GB"/>
        </w:rPr>
        <w:t>of the techniques lead</w:t>
      </w:r>
      <w:r w:rsidRPr="005737FC">
        <w:rPr>
          <w:noProof/>
          <w:lang w:eastAsia="en-GB"/>
        </w:rPr>
        <w:t xml:space="preserve"> us to conclude that</w:t>
      </w:r>
      <w:r>
        <w:rPr>
          <w:noProof/>
          <w:lang w:eastAsia="en-GB"/>
        </w:rPr>
        <w:t>,</w:t>
      </w:r>
      <w:r w:rsidRPr="005737FC">
        <w:rPr>
          <w:noProof/>
          <w:lang w:eastAsia="en-GB"/>
        </w:rPr>
        <w:t xml:space="preserve"> logically</w:t>
      </w:r>
      <w:r>
        <w:rPr>
          <w:noProof/>
          <w:lang w:eastAsia="en-GB"/>
        </w:rPr>
        <w:t>,</w:t>
      </w:r>
      <w:r w:rsidRPr="005737FC">
        <w:rPr>
          <w:noProof/>
          <w:lang w:eastAsia="en-GB"/>
        </w:rPr>
        <w:t xml:space="preserve"> this </w:t>
      </w:r>
      <w:r w:rsidR="007B2E71">
        <w:rPr>
          <w:noProof/>
          <w:lang w:eastAsia="en-GB"/>
        </w:rPr>
        <w:t>should</w:t>
      </w:r>
      <w:r w:rsidRPr="005737FC">
        <w:rPr>
          <w:noProof/>
          <w:lang w:eastAsia="en-GB"/>
        </w:rPr>
        <w:t xml:space="preserve"> hold true for low (baseline levels) of Ti as well. However, the findings also illustrate that in some cases specificity is </w:t>
      </w:r>
      <w:r>
        <w:rPr>
          <w:noProof/>
          <w:lang w:eastAsia="en-GB"/>
        </w:rPr>
        <w:t>poor so, as well as detecting the Ti</w:t>
      </w:r>
      <w:r w:rsidRPr="005737FC">
        <w:rPr>
          <w:noProof/>
          <w:lang w:eastAsia="en-GB"/>
        </w:rPr>
        <w:t xml:space="preserve"> signal </w:t>
      </w:r>
      <w:r>
        <w:rPr>
          <w:noProof/>
          <w:lang w:eastAsia="en-GB"/>
        </w:rPr>
        <w:t>corr</w:t>
      </w:r>
      <w:r w:rsidRPr="005737FC">
        <w:rPr>
          <w:noProof/>
          <w:lang w:eastAsia="en-GB"/>
        </w:rPr>
        <w:t>e</w:t>
      </w:r>
      <w:r>
        <w:rPr>
          <w:noProof/>
          <w:lang w:eastAsia="en-GB"/>
        </w:rPr>
        <w:t>c</w:t>
      </w:r>
      <w:r w:rsidRPr="005737FC">
        <w:rPr>
          <w:noProof/>
          <w:lang w:eastAsia="en-GB"/>
        </w:rPr>
        <w:t>tly</w:t>
      </w:r>
      <w:r>
        <w:rPr>
          <w:noProof/>
          <w:lang w:eastAsia="en-GB"/>
        </w:rPr>
        <w:t xml:space="preserve"> and quantit</w:t>
      </w:r>
      <w:r w:rsidRPr="005737FC">
        <w:rPr>
          <w:noProof/>
          <w:lang w:eastAsia="en-GB"/>
        </w:rPr>
        <w:t>a</w:t>
      </w:r>
      <w:r>
        <w:rPr>
          <w:noProof/>
          <w:lang w:eastAsia="en-GB"/>
        </w:rPr>
        <w:t>t</w:t>
      </w:r>
      <w:r w:rsidRPr="005737FC">
        <w:rPr>
          <w:noProof/>
          <w:lang w:eastAsia="en-GB"/>
        </w:rPr>
        <w:t>ively</w:t>
      </w:r>
      <w:r>
        <w:rPr>
          <w:noProof/>
          <w:lang w:eastAsia="en-GB"/>
        </w:rPr>
        <w:t>,</w:t>
      </w:r>
      <w:r w:rsidRPr="005737FC">
        <w:rPr>
          <w:noProof/>
          <w:lang w:eastAsia="en-GB"/>
        </w:rPr>
        <w:t xml:space="preserve"> signals caused by the matrix </w:t>
      </w:r>
      <w:r>
        <w:rPr>
          <w:noProof/>
          <w:lang w:eastAsia="en-GB"/>
        </w:rPr>
        <w:t>were additionally</w:t>
      </w:r>
      <w:r w:rsidRPr="005737FC">
        <w:rPr>
          <w:noProof/>
          <w:lang w:eastAsia="en-GB"/>
        </w:rPr>
        <w:t xml:space="preserve"> </w:t>
      </w:r>
      <w:r>
        <w:rPr>
          <w:noProof/>
          <w:lang w:eastAsia="en-GB"/>
        </w:rPr>
        <w:t>‘</w:t>
      </w:r>
      <w:r w:rsidRPr="005737FC">
        <w:rPr>
          <w:noProof/>
          <w:lang w:eastAsia="en-GB"/>
        </w:rPr>
        <w:t>mis-read</w:t>
      </w:r>
      <w:r>
        <w:rPr>
          <w:noProof/>
          <w:lang w:eastAsia="en-GB"/>
        </w:rPr>
        <w:t>’</w:t>
      </w:r>
      <w:r w:rsidRPr="005737FC">
        <w:rPr>
          <w:noProof/>
          <w:lang w:eastAsia="en-GB"/>
        </w:rPr>
        <w:t xml:space="preserve"> as Ti.</w:t>
      </w:r>
      <w:r>
        <w:rPr>
          <w:noProof/>
          <w:lang w:eastAsia="en-GB"/>
        </w:rPr>
        <w:t xml:space="preserve"> The lower the true Ti level</w:t>
      </w:r>
      <w:r w:rsidRPr="005737FC">
        <w:rPr>
          <w:noProof/>
          <w:lang w:eastAsia="en-GB"/>
        </w:rPr>
        <w:t>, the more an interfering matrix</w:t>
      </w:r>
      <w:r>
        <w:rPr>
          <w:noProof/>
          <w:lang w:eastAsia="en-GB"/>
        </w:rPr>
        <w:t>-</w:t>
      </w:r>
      <w:r w:rsidRPr="005737FC">
        <w:rPr>
          <w:noProof/>
          <w:lang w:eastAsia="en-GB"/>
        </w:rPr>
        <w:t>derived signal w</w:t>
      </w:r>
      <w:r>
        <w:rPr>
          <w:noProof/>
          <w:lang w:eastAsia="en-GB"/>
        </w:rPr>
        <w:t>ill</w:t>
      </w:r>
      <w:r w:rsidRPr="005737FC">
        <w:rPr>
          <w:noProof/>
          <w:lang w:eastAsia="en-GB"/>
        </w:rPr>
        <w:t xml:space="preserve"> impact accuracy</w:t>
      </w:r>
      <w:r>
        <w:rPr>
          <w:noProof/>
          <w:lang w:eastAsia="en-GB"/>
        </w:rPr>
        <w:t>.</w:t>
      </w:r>
      <w:r w:rsidR="007B2E71">
        <w:rPr>
          <w:noProof/>
          <w:lang w:eastAsia="en-GB"/>
        </w:rPr>
        <w:t xml:space="preserve"> </w:t>
      </w:r>
    </w:p>
    <w:p w14:paraId="7617523A" w14:textId="7E2B616A" w:rsidR="00107367" w:rsidRDefault="00D82AB4" w:rsidP="00274A22">
      <w:pPr>
        <w:pStyle w:val="RSCB02ArticleText"/>
        <w:numPr>
          <w:ilvl w:val="0"/>
          <w:numId w:val="25"/>
        </w:numPr>
      </w:pPr>
      <w:r>
        <w:t>As much as the spike</w:t>
      </w:r>
      <w:r w:rsidR="007B2E71">
        <w:t>-</w:t>
      </w:r>
      <w:r>
        <w:t>recovery results for this inter</w:t>
      </w:r>
      <w:r w:rsidR="007B2E71">
        <w:t xml:space="preserve">-laboratory study </w:t>
      </w:r>
      <w:r>
        <w:t>were encouraging they do not say anything about specificity</w:t>
      </w:r>
      <w:r w:rsidR="003D322D">
        <w:t>, because any ‘mis</w:t>
      </w:r>
      <w:r w:rsidR="007B2E71">
        <w:t>read’ signal will simply appear as a positive</w:t>
      </w:r>
      <w:r w:rsidR="0037358B">
        <w:t xml:space="preserve"> constant error in all analyses, demonstrating </w:t>
      </w:r>
      <w:r w:rsidR="007B2E71">
        <w:t xml:space="preserve">that </w:t>
      </w:r>
      <w:r w:rsidR="0037358B">
        <w:t xml:space="preserve">any </w:t>
      </w:r>
      <w:r w:rsidR="007B2E71">
        <w:t>inaccuracy cannot be revealed through spiking experiments</w:t>
      </w:r>
      <w:r>
        <w:t xml:space="preserve">. </w:t>
      </w:r>
    </w:p>
    <w:p w14:paraId="3DE1A8C6" w14:textId="12A07446" w:rsidR="00107367" w:rsidRDefault="00107367" w:rsidP="00274A22">
      <w:pPr>
        <w:pStyle w:val="RSCB02ArticleText"/>
        <w:numPr>
          <w:ilvl w:val="0"/>
          <w:numId w:val="25"/>
        </w:numPr>
      </w:pPr>
      <w:r>
        <w:t>C</w:t>
      </w:r>
      <w:r w:rsidR="00D82AB4">
        <w:t xml:space="preserve">urrently available certified reference materials tend to have high levels of </w:t>
      </w:r>
      <w:r w:rsidR="00C94D28">
        <w:t>Ti</w:t>
      </w:r>
      <w:r w:rsidR="00D82AB4">
        <w:t xml:space="preserve"> </w:t>
      </w:r>
      <w:r w:rsidR="00131ACF">
        <w:t xml:space="preserve">(&gt; 10ppb) </w:t>
      </w:r>
      <w:r w:rsidR="00D82AB4">
        <w:t xml:space="preserve">compared to real </w:t>
      </w:r>
      <w:r w:rsidR="007B2E71">
        <w:t xml:space="preserve">life </w:t>
      </w:r>
      <w:r w:rsidR="00D82AB4">
        <w:t xml:space="preserve">samples. So these, </w:t>
      </w:r>
      <w:r w:rsidR="007034DC">
        <w:t>also, may not reveal a relatively small but perhaps important background contribution from the matrix that is incorrectly attributed to a Ti signal (</w:t>
      </w:r>
      <w:r w:rsidR="00ED68BE">
        <w:t>i.e.</w:t>
      </w:r>
      <w:r w:rsidR="007034DC">
        <w:t xml:space="preserve"> </w:t>
      </w:r>
      <w:r w:rsidR="009B3DC9">
        <w:t>a</w:t>
      </w:r>
      <w:r w:rsidR="007034DC">
        <w:t xml:space="preserve"> large, non-physiological Ti signal could mask a small constant error). </w:t>
      </w:r>
    </w:p>
    <w:p w14:paraId="14EA34B8" w14:textId="6A8D74E2" w:rsidR="009B3DC9" w:rsidRDefault="00107367" w:rsidP="00274A22">
      <w:pPr>
        <w:pStyle w:val="RSCB02ArticleText"/>
        <w:numPr>
          <w:ilvl w:val="0"/>
          <w:numId w:val="26"/>
        </w:numPr>
      </w:pPr>
      <w:r>
        <w:t>I</w:t>
      </w:r>
      <w:r w:rsidR="007034DC">
        <w:t>t was noteworthy that the results for un</w:t>
      </w:r>
      <w:r w:rsidR="007823F4">
        <w:t>-</w:t>
      </w:r>
      <w:r w:rsidR="007034DC">
        <w:t>spiked human whole blood revealed low levels of Ti (&lt; 1.5</w:t>
      </w:r>
      <w:r w:rsidR="00511C8D">
        <w:t>µg/L</w:t>
      </w:r>
      <w:r w:rsidR="007034DC">
        <w:t>) when using HR-ICP-MS, ICP-MS/MS and ICP-OES but were elevated when using single quadrupole ICP-MS</w:t>
      </w:r>
      <w:r w:rsidR="005D6F6F">
        <w:t xml:space="preserve"> instruments </w:t>
      </w:r>
      <w:r w:rsidR="009B3DC9">
        <w:t>i</w:t>
      </w:r>
      <w:r w:rsidR="00D36882">
        <w:t xml:space="preserve">n direct analysis mode </w:t>
      </w:r>
      <w:r w:rsidR="009B3DC9">
        <w:t>, probably</w:t>
      </w:r>
      <w:r w:rsidR="00C439EA">
        <w:t xml:space="preserve"> due to the presence of unresolved</w:t>
      </w:r>
      <w:r w:rsidR="00695738">
        <w:t xml:space="preserve"> </w:t>
      </w:r>
      <w:r w:rsidR="009B3DC9">
        <w:t xml:space="preserve">matrix </w:t>
      </w:r>
      <w:r w:rsidR="00695738">
        <w:t xml:space="preserve">interferences. </w:t>
      </w:r>
    </w:p>
    <w:p w14:paraId="19D35C03" w14:textId="6245347E" w:rsidR="007F2131" w:rsidRDefault="004747AF" w:rsidP="00274A22">
      <w:pPr>
        <w:pStyle w:val="RSCB02ArticleText"/>
        <w:numPr>
          <w:ilvl w:val="0"/>
          <w:numId w:val="26"/>
        </w:numPr>
      </w:pPr>
      <w:r w:rsidRPr="004747AF">
        <w:t>In addition to matrix is</w:t>
      </w:r>
      <w:r w:rsidR="009B3DC9">
        <w:t>sues for</w:t>
      </w:r>
      <w:r w:rsidRPr="004747AF">
        <w:t xml:space="preserve"> some analyses, it was also apparent that the background Ti level</w:t>
      </w:r>
      <w:r w:rsidR="009B3DC9">
        <w:t>s</w:t>
      </w:r>
      <w:r w:rsidRPr="004747AF">
        <w:t xml:space="preserve"> w</w:t>
      </w:r>
      <w:r w:rsidR="009B3DC9">
        <w:t>ere</w:t>
      </w:r>
      <w:r w:rsidRPr="004747AF">
        <w:t xml:space="preserve"> elevated when including a digestion step</w:t>
      </w:r>
      <w:r>
        <w:t>. Although this can be accounted for by an average subtraction (</w:t>
      </w:r>
      <w:r w:rsidR="00E27BF9">
        <w:t>i.e.</w:t>
      </w:r>
      <w:r>
        <w:t xml:space="preserve"> sample – average blank) it clearly reduces sensitivity </w:t>
      </w:r>
      <w:r w:rsidR="009B3DC9">
        <w:t xml:space="preserve">for </w:t>
      </w:r>
      <w:r>
        <w:t>the analyte in the sample and will</w:t>
      </w:r>
      <w:r w:rsidRPr="004747AF">
        <w:t xml:space="preserve"> </w:t>
      </w:r>
      <w:r>
        <w:t>affect precision at</w:t>
      </w:r>
      <w:r w:rsidRPr="004747AF">
        <w:t xml:space="preserve"> low</w:t>
      </w:r>
      <w:r>
        <w:t xml:space="preserve"> </w:t>
      </w:r>
      <w:r w:rsidRPr="004747AF">
        <w:t>levels</w:t>
      </w:r>
      <w:r w:rsidRPr="00942C08">
        <w:t xml:space="preserve"> </w:t>
      </w:r>
      <w:r>
        <w:t xml:space="preserve">of Ti. The inclusion of </w:t>
      </w:r>
      <w:r w:rsidR="001C682D">
        <w:t xml:space="preserve">such </w:t>
      </w:r>
      <w:r>
        <w:t>digestion step</w:t>
      </w:r>
      <w:r w:rsidR="001C682D">
        <w:t>s</w:t>
      </w:r>
      <w:r>
        <w:t xml:space="preserve"> for whole blood, by two of the participating laboratories, rather than the more simple ‘dilute and shoot’ as used by the other participants, was motivated by the fact that </w:t>
      </w:r>
      <w:r w:rsidRPr="00942C08">
        <w:t>TiO</w:t>
      </w:r>
      <w:r w:rsidRPr="00D00791">
        <w:rPr>
          <w:vertAlign w:val="subscript"/>
        </w:rPr>
        <w:t>2</w:t>
      </w:r>
      <w:r>
        <w:t xml:space="preserve"> particles are extremely resistant to dissolution, and are only quantitatively dissolved by HF or </w:t>
      </w:r>
      <w:r w:rsidR="00702622">
        <w:t>hot</w:t>
      </w:r>
      <w:r>
        <w:t xml:space="preserve"> concentrated </w:t>
      </w:r>
      <w:r w:rsidR="009F10BC">
        <w:t>H</w:t>
      </w:r>
      <w:r w:rsidR="009F10BC" w:rsidRPr="00D00791">
        <w:rPr>
          <w:vertAlign w:val="subscript"/>
        </w:rPr>
        <w:t>2</w:t>
      </w:r>
      <w:r w:rsidR="009F10BC">
        <w:t>SO</w:t>
      </w:r>
      <w:r w:rsidR="009F10BC" w:rsidRPr="00D00791">
        <w:rPr>
          <w:vertAlign w:val="subscript"/>
        </w:rPr>
        <w:t>4</w:t>
      </w:r>
      <w:r w:rsidR="009F10BC" w:rsidRPr="00D00791">
        <w:rPr>
          <w:vertAlign w:val="superscript"/>
        </w:rPr>
        <w:t>1</w:t>
      </w:r>
      <w:r w:rsidR="002D6C70" w:rsidRPr="00D00791">
        <w:rPr>
          <w:vertAlign w:val="superscript"/>
        </w:rPr>
        <w:t>2</w:t>
      </w:r>
      <w:r>
        <w:t xml:space="preserve">. However, the down side of such diligent preparation is that acids themselves have an inevitable background </w:t>
      </w:r>
      <w:r w:rsidR="00702622">
        <w:t xml:space="preserve">level </w:t>
      </w:r>
      <w:r w:rsidR="00C12700">
        <w:t xml:space="preserve">of metal ions, </w:t>
      </w:r>
      <w:r>
        <w:t xml:space="preserve">which can increase as </w:t>
      </w:r>
      <w:r w:rsidR="00C12700">
        <w:t>the acid</w:t>
      </w:r>
      <w:r>
        <w:t xml:space="preserve"> strip</w:t>
      </w:r>
      <w:r w:rsidR="00C12700">
        <w:t>s</w:t>
      </w:r>
      <w:r>
        <w:t xml:space="preserve"> ions from </w:t>
      </w:r>
      <w:r w:rsidR="00C12700">
        <w:t>vessels used in</w:t>
      </w:r>
      <w:r>
        <w:t xml:space="preserve"> </w:t>
      </w:r>
      <w:r w:rsidR="00C12700">
        <w:t xml:space="preserve">the sample </w:t>
      </w:r>
      <w:r>
        <w:t xml:space="preserve">preparation </w:t>
      </w:r>
      <w:r w:rsidR="00C12700">
        <w:t xml:space="preserve">process. </w:t>
      </w:r>
    </w:p>
    <w:p w14:paraId="19288E39" w14:textId="68D5C055" w:rsidR="007F2131" w:rsidRDefault="007F2131" w:rsidP="00274A22">
      <w:pPr>
        <w:pStyle w:val="RSCB02ArticleText"/>
        <w:numPr>
          <w:ilvl w:val="0"/>
          <w:numId w:val="26"/>
        </w:numPr>
      </w:pPr>
      <w:r>
        <w:t>At least for TiO</w:t>
      </w:r>
      <w:r w:rsidRPr="00D00791">
        <w:rPr>
          <w:vertAlign w:val="subscript"/>
        </w:rPr>
        <w:t>2</w:t>
      </w:r>
      <w:r>
        <w:t xml:space="preserve"> concentrations up to 37.5 µg/L TiO</w:t>
      </w:r>
      <w:r w:rsidRPr="00D00791">
        <w:rPr>
          <w:vertAlign w:val="subscript"/>
        </w:rPr>
        <w:t>2</w:t>
      </w:r>
      <w:r>
        <w:t xml:space="preserve"> (21.4 µg/L Ti) in whole blood, there is no requirement for digestion such that, when blood is simply diluted, the particles appear to be efficiently nebulised and destroyed in the ICP’s plasma, quantitatively (see Figure 1). However, this is clearly not always the case as other work has shown that sample preparations that destroy animal tissue but not the </w:t>
      </w:r>
      <w:r w:rsidRPr="00942C08">
        <w:t>TiO</w:t>
      </w:r>
      <w:r w:rsidRPr="00D00791">
        <w:rPr>
          <w:vertAlign w:val="subscript"/>
        </w:rPr>
        <w:t>2</w:t>
      </w:r>
      <w:r>
        <w:t xml:space="preserve"> (e.g. HNO</w:t>
      </w:r>
      <w:r w:rsidRPr="00D00791">
        <w:rPr>
          <w:vertAlign w:val="subscript"/>
        </w:rPr>
        <w:t>3</w:t>
      </w:r>
      <w:r>
        <w:t xml:space="preserve"> ± H</w:t>
      </w:r>
      <w:r w:rsidRPr="00D00791">
        <w:rPr>
          <w:vertAlign w:val="subscript"/>
        </w:rPr>
        <w:t>2</w:t>
      </w:r>
      <w:r>
        <w:t>O</w:t>
      </w:r>
      <w:r w:rsidRPr="00D00791">
        <w:rPr>
          <w:vertAlign w:val="subscript"/>
        </w:rPr>
        <w:t>2</w:t>
      </w:r>
      <w:r>
        <w:t>) may not quantitatively recover Ti and may suffer with high variance of analysis</w:t>
      </w:r>
      <w:r w:rsidR="00412E58">
        <w:rPr>
          <w:vertAlign w:val="superscript"/>
        </w:rPr>
        <w:t>35</w:t>
      </w:r>
      <w:r>
        <w:t xml:space="preserve">. </w:t>
      </w:r>
      <w:r w:rsidR="00A83204">
        <w:t>Indeed, although numbers are too small for formal analysis, it is noteworthy that in this work the recovery of the nano-spike (TiO</w:t>
      </w:r>
      <w:r w:rsidR="00A83204" w:rsidRPr="00A83204">
        <w:rPr>
          <w:vertAlign w:val="subscript"/>
        </w:rPr>
        <w:t>2</w:t>
      </w:r>
      <w:r w:rsidR="00A83204">
        <w:t>) was</w:t>
      </w:r>
      <w:r w:rsidR="001C682D">
        <w:t>,</w:t>
      </w:r>
      <w:r w:rsidR="00A83204">
        <w:t xml:space="preserve"> generally</w:t>
      </w:r>
      <w:r w:rsidR="001C682D">
        <w:t>,</w:t>
      </w:r>
      <w:r w:rsidR="00A83204">
        <w:t xml:space="preserve"> </w:t>
      </w:r>
      <w:r w:rsidR="001C682D">
        <w:t xml:space="preserve">just </w:t>
      </w:r>
      <w:r w:rsidR="00A83204">
        <w:t>s</w:t>
      </w:r>
      <w:r w:rsidR="00891FB9">
        <w:t>ligh</w:t>
      </w:r>
      <w:r w:rsidR="00A83204">
        <w:t>tly lower than for the low ionic spike (Ti</w:t>
      </w:r>
      <w:r w:rsidR="00A83204" w:rsidRPr="00A83204">
        <w:rPr>
          <w:vertAlign w:val="subscript"/>
        </w:rPr>
        <w:t>ionic</w:t>
      </w:r>
      <w:r w:rsidR="00A83204" w:rsidRPr="00A83204">
        <w:t>)</w:t>
      </w:r>
      <w:r w:rsidR="00A83204">
        <w:t xml:space="preserve">. </w:t>
      </w:r>
      <w:r w:rsidR="001C682D">
        <w:t>This potential trend was not sufficient for us to conclude against dilution as the best approach for the samples described in this work but, c</w:t>
      </w:r>
      <w:r>
        <w:t>learly, each analytical scenario must be considered and characterised on its merits</w:t>
      </w:r>
      <w:r w:rsidR="001C682D">
        <w:t>. In other words,</w:t>
      </w:r>
      <w:r>
        <w:t xml:space="preserve"> at least for human whole blood carrying </w:t>
      </w:r>
      <w:r w:rsidRPr="00D00791">
        <w:rPr>
          <w:u w:val="single"/>
        </w:rPr>
        <w:t>&lt;</w:t>
      </w:r>
      <w:r>
        <w:t xml:space="preserve"> 21.4 µg/L Ti as TiO</w:t>
      </w:r>
      <w:r w:rsidRPr="00D00791">
        <w:rPr>
          <w:vertAlign w:val="subscript"/>
        </w:rPr>
        <w:t>2</w:t>
      </w:r>
      <w:r>
        <w:t xml:space="preserve">, it appears that simple dilution for analysis is </w:t>
      </w:r>
      <w:r w:rsidR="00B75E3F">
        <w:t>generally fit for purpose</w:t>
      </w:r>
      <w:r>
        <w:t xml:space="preserve"> and preferable to digestion. How critical the extent of dilution is merits further research in the area.</w:t>
      </w:r>
    </w:p>
    <w:p w14:paraId="531A7688" w14:textId="21621EF4" w:rsidR="00367596" w:rsidRPr="008A0D14" w:rsidRDefault="00D00791" w:rsidP="007A4AA1">
      <w:pPr>
        <w:pStyle w:val="RSCB02ArticleText"/>
        <w:numPr>
          <w:ilvl w:val="0"/>
          <w:numId w:val="26"/>
        </w:numPr>
        <w:rPr>
          <w:strike/>
        </w:rPr>
      </w:pPr>
      <w:r w:rsidRPr="007A4AA1">
        <w:rPr>
          <w:color w:val="000000" w:themeColor="text1"/>
        </w:rPr>
        <w:t>E</w:t>
      </w:r>
      <w:r w:rsidR="00C85F51" w:rsidRPr="007A4AA1">
        <w:rPr>
          <w:color w:val="000000" w:themeColor="text1"/>
        </w:rPr>
        <w:t>ven</w:t>
      </w:r>
      <w:r w:rsidR="00C85F51">
        <w:t xml:space="preserve"> for the </w:t>
      </w:r>
      <w:r w:rsidR="00783C64">
        <w:t>four</w:t>
      </w:r>
      <w:r w:rsidR="00C85F51">
        <w:t xml:space="preserve"> laboratories without obvious analytical issues that would prevent an assessment of the baseline blood level of Ti, there was still marked variation (</w:t>
      </w:r>
      <w:r w:rsidR="00CA2006">
        <w:t>up to</w:t>
      </w:r>
      <w:r w:rsidR="00C85F51">
        <w:t xml:space="preserve"> ~</w:t>
      </w:r>
      <w:r w:rsidR="00783C64">
        <w:t xml:space="preserve"> three</w:t>
      </w:r>
      <w:r w:rsidR="00C85F51">
        <w:t xml:space="preserve"> fold) with reported concentrations in the same sample</w:t>
      </w:r>
      <w:r w:rsidR="00CA2006">
        <w:t>: namely,</w:t>
      </w:r>
      <w:r w:rsidR="00C85F51">
        <w:t xml:space="preserve"> </w:t>
      </w:r>
      <w:r w:rsidR="00C85F51" w:rsidRPr="00C85F51">
        <w:t>0.43</w:t>
      </w:r>
      <w:r w:rsidR="004B1918">
        <w:t xml:space="preserve"> (L2)</w:t>
      </w:r>
      <w:r w:rsidR="00C85F51">
        <w:t>,</w:t>
      </w:r>
      <w:r w:rsidR="00C85F51" w:rsidRPr="00C85F51">
        <w:t xml:space="preserve"> </w:t>
      </w:r>
      <w:r w:rsidR="00C85F51">
        <w:t xml:space="preserve">&lt; </w:t>
      </w:r>
      <w:r w:rsidR="00C85F51" w:rsidRPr="00C85F51">
        <w:t>0.6</w:t>
      </w:r>
      <w:r w:rsidR="004B1918">
        <w:t xml:space="preserve"> (L5)</w:t>
      </w:r>
      <w:r w:rsidR="00C85F51">
        <w:t>, 0.</w:t>
      </w:r>
      <w:r w:rsidR="004B1918">
        <w:t xml:space="preserve">9 (L4) </w:t>
      </w:r>
      <w:r w:rsidR="00C85F51">
        <w:t xml:space="preserve">and </w:t>
      </w:r>
      <w:r w:rsidR="00C85F51" w:rsidRPr="00C85F51">
        <w:t>1.34</w:t>
      </w:r>
      <w:r w:rsidR="004B1918">
        <w:t xml:space="preserve"> (L1)</w:t>
      </w:r>
      <w:r w:rsidR="00B75E3F">
        <w:t xml:space="preserve"> </w:t>
      </w:r>
      <w:r w:rsidR="00511C8D">
        <w:t>µg/L</w:t>
      </w:r>
      <w:r w:rsidR="00710161">
        <w:t xml:space="preserve">, </w:t>
      </w:r>
      <w:r w:rsidR="007D6CCC" w:rsidRPr="008D44AB">
        <w:rPr>
          <w:color w:val="000000" w:themeColor="text1"/>
        </w:rPr>
        <w:t>but we note</w:t>
      </w:r>
      <w:r w:rsidR="008D44AB">
        <w:rPr>
          <w:color w:val="000000" w:themeColor="text1"/>
        </w:rPr>
        <w:t xml:space="preserve"> that </w:t>
      </w:r>
      <w:r w:rsidR="00891FB9">
        <w:rPr>
          <w:color w:val="000000" w:themeColor="text1"/>
        </w:rPr>
        <w:t>although</w:t>
      </w:r>
      <w:r w:rsidR="00635903">
        <w:rPr>
          <w:color w:val="000000" w:themeColor="text1"/>
        </w:rPr>
        <w:t xml:space="preserve"> </w:t>
      </w:r>
      <w:r w:rsidR="00710161" w:rsidRPr="008D44AB">
        <w:rPr>
          <w:color w:val="000000" w:themeColor="text1"/>
        </w:rPr>
        <w:t xml:space="preserve">the latter three were above the LOD </w:t>
      </w:r>
      <w:r w:rsidR="008D44AB">
        <w:rPr>
          <w:color w:val="000000" w:themeColor="text1"/>
        </w:rPr>
        <w:t>they were</w:t>
      </w:r>
      <w:r w:rsidR="00710161" w:rsidRPr="008D44AB">
        <w:rPr>
          <w:color w:val="000000" w:themeColor="text1"/>
        </w:rPr>
        <w:t xml:space="preserve"> below the LOQ</w:t>
      </w:r>
      <w:r w:rsidR="007D6CCC" w:rsidRPr="008D44AB">
        <w:rPr>
          <w:color w:val="000000" w:themeColor="text1"/>
        </w:rPr>
        <w:t>, so should only be considered approximate</w:t>
      </w:r>
      <w:r w:rsidR="00C85F51">
        <w:t xml:space="preserve">. </w:t>
      </w:r>
      <w:r w:rsidR="00CA2006">
        <w:t xml:space="preserve">Whether these differences </w:t>
      </w:r>
      <w:r w:rsidR="008D44AB">
        <w:t>are only</w:t>
      </w:r>
      <w:r w:rsidR="00CA2006">
        <w:t xml:space="preserve"> the result of ‘noise’ near the </w:t>
      </w:r>
      <w:r w:rsidR="00710161">
        <w:t>detection limit</w:t>
      </w:r>
      <w:r w:rsidR="00CA2006">
        <w:t xml:space="preserve"> or yet more subtle variances in matrix effects is not clear. </w:t>
      </w:r>
      <w:r w:rsidR="004C3BF7">
        <w:t>W</w:t>
      </w:r>
      <w:r w:rsidR="00C85F51">
        <w:t>hilst we recognise that these are low levels it underlines the lengths</w:t>
      </w:r>
      <w:r w:rsidR="0098487D">
        <w:t>/effort</w:t>
      </w:r>
      <w:r w:rsidR="00C85F51">
        <w:t xml:space="preserve"> that analytical laboratories must go to if they really wish to report credible baseline levels of Ti in bio-</w:t>
      </w:r>
      <w:r w:rsidR="00C85F51" w:rsidRPr="008A0D14">
        <w:t xml:space="preserve">analysis. </w:t>
      </w:r>
    </w:p>
    <w:p w14:paraId="7A8098AB" w14:textId="77777777" w:rsidR="00664F49" w:rsidRDefault="00664F49" w:rsidP="00571D75">
      <w:pPr>
        <w:pStyle w:val="RSCB02ArticleText"/>
      </w:pPr>
    </w:p>
    <w:p w14:paraId="597F3DEE" w14:textId="77777777" w:rsidR="00AD5B4A" w:rsidRDefault="00AD5B4A" w:rsidP="008D0CC2">
      <w:pPr>
        <w:pStyle w:val="RSCB04AHeadingSection"/>
        <w:rPr>
          <w:noProof/>
          <w:lang w:eastAsia="en-GB"/>
        </w:rPr>
      </w:pPr>
      <w:r>
        <w:rPr>
          <w:noProof/>
          <w:lang w:eastAsia="en-GB"/>
        </w:rPr>
        <w:t>Conclusion</w:t>
      </w:r>
    </w:p>
    <w:p w14:paraId="2E28655A" w14:textId="77777777" w:rsidR="008D0CC2" w:rsidRDefault="008D0CC2" w:rsidP="00D00791">
      <w:pPr>
        <w:pStyle w:val="RSCB02ArticleText"/>
      </w:pPr>
    </w:p>
    <w:p w14:paraId="106E93B6" w14:textId="59D18CD2" w:rsidR="00D00791" w:rsidRDefault="00A3080D" w:rsidP="00D00791">
      <w:pPr>
        <w:pStyle w:val="RSCB02ArticleText"/>
      </w:pPr>
      <w:r>
        <w:t>We conclude that measuring baseline levels of Ti in whole blood is challenging, but necessary if experiments are ever to make accurate exposure assessments (currently an important issue with TiO</w:t>
      </w:r>
      <w:r w:rsidRPr="00D712B4">
        <w:rPr>
          <w:vertAlign w:val="subscript"/>
        </w:rPr>
        <w:t>2</w:t>
      </w:r>
      <w:r>
        <w:t xml:space="preserve"> ingestion or monitoring wear debris from Ti-containing implants</w:t>
      </w:r>
      <w:r w:rsidR="001C682D">
        <w:t>)</w:t>
      </w:r>
      <w:r>
        <w:t>. U</w:t>
      </w:r>
      <w:r w:rsidR="007F2131">
        <w:t>sual baseline human blood Ti levels are low (likely less than 1.5 ppb). T</w:t>
      </w:r>
      <w:r w:rsidR="00D00791">
        <w:t xml:space="preserve">he use of sample digestion </w:t>
      </w:r>
      <w:r w:rsidR="0037358B">
        <w:t>or analytical</w:t>
      </w:r>
      <w:r w:rsidR="00D00791">
        <w:t xml:space="preserve"> techniques other than HR-ICP-MS</w:t>
      </w:r>
      <w:r w:rsidR="0037358B">
        <w:t>,</w:t>
      </w:r>
      <w:r w:rsidR="00D00791">
        <w:t xml:space="preserve"> triple quadrupole ICP-MS/</w:t>
      </w:r>
      <w:r w:rsidR="0037358B">
        <w:t xml:space="preserve">MS or ICP-OES </w:t>
      </w:r>
      <w:r w:rsidR="00D00791">
        <w:t>do not guarantee a failure to detect</w:t>
      </w:r>
      <w:r w:rsidR="0065336A">
        <w:t>,</w:t>
      </w:r>
      <w:r w:rsidR="00D00791">
        <w:t xml:space="preserve"> </w:t>
      </w:r>
      <w:r w:rsidR="0065336A">
        <w:t xml:space="preserve">accurately, </w:t>
      </w:r>
      <w:r w:rsidR="00D00791">
        <w:t xml:space="preserve">low circulating levels of Ti </w:t>
      </w:r>
      <w:r w:rsidR="0037358B">
        <w:t>but they</w:t>
      </w:r>
      <w:r w:rsidR="0065336A">
        <w:t xml:space="preserve"> </w:t>
      </w:r>
      <w:r w:rsidR="00D00791">
        <w:t xml:space="preserve">certainly enhance the risk </w:t>
      </w:r>
      <w:r w:rsidR="0065336A">
        <w:t>and</w:t>
      </w:r>
      <w:r w:rsidR="00D00791">
        <w:t xml:space="preserve"> </w:t>
      </w:r>
      <w:r w:rsidR="0065336A">
        <w:t xml:space="preserve">special </w:t>
      </w:r>
      <w:r w:rsidR="0037358B">
        <w:t>attention would</w:t>
      </w:r>
      <w:r w:rsidR="0065336A">
        <w:t xml:space="preserve"> </w:t>
      </w:r>
      <w:r w:rsidR="0037358B">
        <w:t>be advisable</w:t>
      </w:r>
      <w:r w:rsidR="0065336A">
        <w:t xml:space="preserve"> in data validation. Spiking experiments, and the use of certified reference materials, are important tools in the analyst’s tool box but, generally, will not reveal inaccuracies in baseline assessment of blood Ti levels</w:t>
      </w:r>
      <w:r w:rsidR="002A6077">
        <w:t xml:space="preserve"> </w:t>
      </w:r>
      <w:r w:rsidR="00891FB9">
        <w:t>when</w:t>
      </w:r>
      <w:r w:rsidR="002A6077">
        <w:t xml:space="preserve"> the presence of unresolved interferences elevate the baseline results or the analyte levels in certified reference materials are given at much higher levels compared to natural</w:t>
      </w:r>
      <w:r w:rsidR="00891FB9">
        <w:t>ly</w:t>
      </w:r>
      <w:r w:rsidR="002A6077">
        <w:t xml:space="preserve"> occurring basslines. </w:t>
      </w:r>
      <w:r w:rsidR="00A22072">
        <w:t xml:space="preserve">Cross validation with a second technique should be considered. </w:t>
      </w:r>
      <w:r>
        <w:t>Finally, based upon our findings</w:t>
      </w:r>
      <w:r w:rsidR="0055203C">
        <w:t>,</w:t>
      </w:r>
      <w:r>
        <w:t xml:space="preserve"> it seems likely that the</w:t>
      </w:r>
      <w:r w:rsidR="0055203C">
        <w:t xml:space="preserve"> analytical results of the</w:t>
      </w:r>
      <w:r>
        <w:t xml:space="preserve"> many</w:t>
      </w:r>
      <w:r w:rsidR="003649BC">
        <w:t xml:space="preserve"> published</w:t>
      </w:r>
      <w:r>
        <w:t xml:space="preserve"> </w:t>
      </w:r>
      <w:r w:rsidR="0055203C">
        <w:t xml:space="preserve">‘exposure’ </w:t>
      </w:r>
      <w:r>
        <w:t xml:space="preserve">studies reporting levels of baseline </w:t>
      </w:r>
      <w:r w:rsidR="0055203C">
        <w:t>circulating Ti above a few ppb in unexposed humans/animals should be viewed with caution. Although the average reported baseline levels from these studies is much lower with high resolution ICP-M</w:t>
      </w:r>
      <w:r w:rsidR="002A6077">
        <w:t>S and ICP-MS/MS than single quadrupole ICP-MS</w:t>
      </w:r>
      <w:r w:rsidR="0055203C">
        <w:t xml:space="preserve">, the ranges </w:t>
      </w:r>
      <w:r w:rsidR="003649BC">
        <w:t>suggest</w:t>
      </w:r>
      <w:r w:rsidR="0055203C">
        <w:t xml:space="preserve"> that none of these techniques are immune from </w:t>
      </w:r>
      <w:r w:rsidR="003649BC">
        <w:t>over reporting (Table 1)</w:t>
      </w:r>
      <w:r w:rsidR="002A6077">
        <w:t xml:space="preserve"> </w:t>
      </w:r>
      <w:r w:rsidR="00905CC7">
        <w:t>and, indeed, as we show,</w:t>
      </w:r>
      <w:r w:rsidR="002A6077">
        <w:t xml:space="preserve"> sample preparation plays a significant role</w:t>
      </w:r>
      <w:r w:rsidR="00905CC7">
        <w:t xml:space="preserve"> in determining final values</w:t>
      </w:r>
      <w:r w:rsidR="003649BC">
        <w:t xml:space="preserve">. </w:t>
      </w:r>
      <w:r w:rsidR="00905CC7">
        <w:t xml:space="preserve">In our limited experience with digestion methods, the ‘gains’ (dissolving Ti) were outweighed by the ‘disadvantages’ (contamination) and, instead, dilution may be better, the extent of which should be validated for matrix type. </w:t>
      </w:r>
      <w:r w:rsidR="003649BC">
        <w:t xml:space="preserve">We hope that this work can help provide a framework for more accurate blood Ti analyses going forward.  </w:t>
      </w:r>
      <w:r w:rsidR="0065336A">
        <w:t xml:space="preserve"> </w:t>
      </w:r>
    </w:p>
    <w:p w14:paraId="7D255C95" w14:textId="77777777" w:rsidR="00D00791" w:rsidRDefault="00D00791" w:rsidP="00D00791">
      <w:pPr>
        <w:pStyle w:val="RSCB02ArticleText"/>
      </w:pPr>
    </w:p>
    <w:p w14:paraId="2D6EC7EE" w14:textId="77777777" w:rsidR="00C9557D" w:rsidRDefault="00C9557D" w:rsidP="00C9557D">
      <w:pPr>
        <w:pStyle w:val="RSCB04AHeadingSection"/>
      </w:pPr>
      <w:r>
        <w:t>Conflict</w:t>
      </w:r>
      <w:r w:rsidR="00F05C18">
        <w:t>s</w:t>
      </w:r>
      <w:r>
        <w:t xml:space="preserve"> of interest</w:t>
      </w:r>
    </w:p>
    <w:p w14:paraId="0DF8AFFC" w14:textId="76EB9056" w:rsidR="00A05364" w:rsidRDefault="00A05364" w:rsidP="00A05364">
      <w:pPr>
        <w:rPr>
          <w:rFonts w:cs="Times New Roman"/>
          <w:w w:val="108"/>
          <w:sz w:val="18"/>
          <w:szCs w:val="18"/>
        </w:rPr>
      </w:pPr>
      <w:r w:rsidRPr="00A05364">
        <w:rPr>
          <w:rFonts w:cs="Times New Roman"/>
          <w:w w:val="108"/>
          <w:sz w:val="18"/>
          <w:szCs w:val="18"/>
        </w:rPr>
        <w:t>Th</w:t>
      </w:r>
      <w:r w:rsidR="00913E3E">
        <w:rPr>
          <w:rFonts w:cs="Times New Roman"/>
          <w:w w:val="108"/>
          <w:sz w:val="18"/>
          <w:szCs w:val="18"/>
        </w:rPr>
        <w:t>ere are no conflicts to declare</w:t>
      </w:r>
      <w:r w:rsidRPr="00A05364">
        <w:rPr>
          <w:rFonts w:cs="Times New Roman"/>
          <w:w w:val="108"/>
          <w:sz w:val="18"/>
          <w:szCs w:val="18"/>
        </w:rPr>
        <w:t>.</w:t>
      </w:r>
    </w:p>
    <w:p w14:paraId="7124B2A1" w14:textId="77777777" w:rsidR="00AC7C8D" w:rsidRDefault="00AC7C8D" w:rsidP="00FA2DA2">
      <w:pPr>
        <w:pStyle w:val="RSCB04AHeadingSection"/>
        <w:sectPr w:rsidR="00AC7C8D" w:rsidSect="00C23ECD">
          <w:type w:val="continuous"/>
          <w:pgSz w:w="11907" w:h="16840" w:code="9"/>
          <w:pgMar w:top="1009" w:right="851" w:bottom="1758" w:left="851" w:header="851" w:footer="1049" w:gutter="0"/>
          <w:cols w:num="2" w:space="227"/>
          <w:titlePg/>
          <w:docGrid w:linePitch="360"/>
        </w:sectPr>
      </w:pPr>
    </w:p>
    <w:p w14:paraId="1BB54309" w14:textId="57A85DD6" w:rsidR="00FA2DA2" w:rsidRDefault="00FA2DA2" w:rsidP="00FA2DA2">
      <w:pPr>
        <w:pStyle w:val="RSCB04AHeadingSection"/>
      </w:pPr>
      <w:r>
        <w:t>Acknowledgements</w:t>
      </w:r>
    </w:p>
    <w:p w14:paraId="1932634B" w14:textId="77777777" w:rsidR="00C23ECD" w:rsidRDefault="00C23ECD" w:rsidP="00C43CB7">
      <w:pPr>
        <w:spacing w:line="360" w:lineRule="auto"/>
        <w:rPr>
          <w:sz w:val="24"/>
          <w:szCs w:val="24"/>
        </w:rPr>
        <w:sectPr w:rsidR="00C23ECD" w:rsidSect="00AC7C8D">
          <w:type w:val="continuous"/>
          <w:pgSz w:w="11907" w:h="16840" w:code="9"/>
          <w:pgMar w:top="1009" w:right="851" w:bottom="1758" w:left="851" w:header="851" w:footer="1049" w:gutter="0"/>
          <w:cols w:num="2" w:space="227"/>
          <w:titlePg/>
          <w:docGrid w:linePitch="360"/>
        </w:sectPr>
      </w:pPr>
    </w:p>
    <w:p w14:paraId="35FC95B5" w14:textId="415677DE" w:rsidR="00AC7C8D" w:rsidRDefault="00AC7C8D" w:rsidP="00AC7C8D">
      <w:pPr>
        <w:pStyle w:val="RSCR02References"/>
        <w:numPr>
          <w:ilvl w:val="0"/>
          <w:numId w:val="0"/>
        </w:numPr>
        <w:sectPr w:rsidR="00AC7C8D" w:rsidSect="00AC7C8D">
          <w:type w:val="continuous"/>
          <w:pgSz w:w="11907" w:h="16840" w:code="9"/>
          <w:pgMar w:top="1009" w:right="851" w:bottom="1758" w:left="851" w:header="851" w:footer="1049" w:gutter="0"/>
          <w:cols w:num="2" w:space="227"/>
          <w:titlePg/>
          <w:docGrid w:linePitch="360"/>
        </w:sectPr>
      </w:pPr>
      <w:r w:rsidRPr="00D325A7">
        <w:t xml:space="preserve">This work was supported by the Medical Research Council </w:t>
      </w:r>
      <w:r>
        <w:t>UK</w:t>
      </w:r>
      <w:r w:rsidRPr="00D325A7">
        <w:t xml:space="preserve"> </w:t>
      </w:r>
      <w:r w:rsidR="00405EE7" w:rsidRPr="00405EE7">
        <w:t>(Grant Ref number</w:t>
      </w:r>
      <w:r w:rsidR="00405EE7">
        <w:t xml:space="preserve"> </w:t>
      </w:r>
      <w:r w:rsidR="00405EE7" w:rsidRPr="00405EE7">
        <w:t>MR/R005699/1)</w:t>
      </w:r>
      <w:r w:rsidR="00405EE7">
        <w:t>.</w:t>
      </w:r>
      <w:bookmarkStart w:id="0" w:name="_GoBack"/>
      <w:bookmarkEnd w:id="0"/>
    </w:p>
    <w:p w14:paraId="5EE6D4DA" w14:textId="27E5CD2A" w:rsidR="00AC7C8D" w:rsidRDefault="00AC7C8D" w:rsidP="00AC7C8D">
      <w:pPr>
        <w:pStyle w:val="RSCR02References"/>
        <w:numPr>
          <w:ilvl w:val="0"/>
          <w:numId w:val="0"/>
        </w:numPr>
      </w:pPr>
      <w:r>
        <w:t>.</w:t>
      </w:r>
    </w:p>
    <w:p w14:paraId="6BAD8535" w14:textId="6131FD42" w:rsidR="00C43CB7" w:rsidRDefault="00C43CB7" w:rsidP="00C43CB7">
      <w:pPr>
        <w:pStyle w:val="RSCB04AHeadingSection"/>
      </w:pPr>
      <w:r>
        <w:t>References</w:t>
      </w:r>
    </w:p>
    <w:p w14:paraId="24B5E679" w14:textId="77777777" w:rsidR="00F55707" w:rsidRDefault="00F55707" w:rsidP="0059716B">
      <w:pPr>
        <w:pStyle w:val="RSCR02References"/>
        <w:numPr>
          <w:ilvl w:val="0"/>
          <w:numId w:val="0"/>
        </w:numPr>
        <w:ind w:left="360"/>
      </w:pPr>
    </w:p>
    <w:p w14:paraId="0DC91E04" w14:textId="77777777" w:rsidR="0059716B" w:rsidRDefault="0059716B" w:rsidP="0059716B">
      <w:pPr>
        <w:pStyle w:val="RSCR02References"/>
        <w:numPr>
          <w:ilvl w:val="0"/>
          <w:numId w:val="0"/>
        </w:numPr>
        <w:ind w:left="360"/>
      </w:pPr>
    </w:p>
    <w:p w14:paraId="504317CD" w14:textId="16A6741E" w:rsidR="009C1E83" w:rsidRDefault="009C1E83" w:rsidP="009C1E83">
      <w:pPr>
        <w:pStyle w:val="RSCR02References"/>
      </w:pPr>
      <w:r>
        <w:t>J. Barry, M. Lavigne and P.-A. Vendittoli</w:t>
      </w:r>
      <w:r w:rsidRPr="00DE0492">
        <w:rPr>
          <w:i/>
        </w:rPr>
        <w:t>, J</w:t>
      </w:r>
      <w:r w:rsidR="00EF137F" w:rsidRPr="00DE0492">
        <w:rPr>
          <w:i/>
        </w:rPr>
        <w:t>.</w:t>
      </w:r>
      <w:r w:rsidRPr="00DE0492">
        <w:rPr>
          <w:i/>
        </w:rPr>
        <w:t xml:space="preserve"> of Anal. Toxicol</w:t>
      </w:r>
      <w:r>
        <w:t>.,  201</w:t>
      </w:r>
      <w:r w:rsidR="00FF29F6">
        <w:t>3</w:t>
      </w:r>
      <w:r>
        <w:t xml:space="preserve">, </w:t>
      </w:r>
      <w:r w:rsidR="00FF29F6">
        <w:t>37, 90-96</w:t>
      </w:r>
    </w:p>
    <w:p w14:paraId="4883ABBF" w14:textId="77777777" w:rsidR="00993707" w:rsidRPr="00DE0492" w:rsidRDefault="009C1E83" w:rsidP="009C1E83">
      <w:pPr>
        <w:pStyle w:val="RSCR02References"/>
      </w:pPr>
      <w:r>
        <w:t xml:space="preserve">M.C. E.Lomer, C. Hutchinson, S.Volkert, S.M. Greenfield, A. Catterall, R. P. H. Thompson and J. J. Powell, </w:t>
      </w:r>
      <w:r w:rsidRPr="00DE0492">
        <w:rPr>
          <w:i/>
        </w:rPr>
        <w:t>Br. J. of Nutr</w:t>
      </w:r>
      <w:r>
        <w:t>., 2004, 92, 947-955</w:t>
      </w:r>
    </w:p>
    <w:p w14:paraId="520BB0BA" w14:textId="2F9E5F1F" w:rsidR="009C1E83" w:rsidRPr="00993707" w:rsidRDefault="00993707" w:rsidP="00993707">
      <w:pPr>
        <w:pStyle w:val="RSCR02References"/>
      </w:pPr>
      <w:r>
        <w:rPr>
          <w:rFonts w:cs="Helvetica"/>
          <w:color w:val="181817"/>
          <w:shd w:val="clear" w:color="auto" w:fill="FFFFFF"/>
        </w:rPr>
        <w:t xml:space="preserve">C. </w:t>
      </w:r>
      <w:r w:rsidRPr="00DE0492">
        <w:rPr>
          <w:rFonts w:cs="Helvetica"/>
          <w:color w:val="181817"/>
          <w:shd w:val="clear" w:color="auto" w:fill="FFFFFF"/>
        </w:rPr>
        <w:t>Rompelberg, M</w:t>
      </w:r>
      <w:r>
        <w:rPr>
          <w:rFonts w:cs="Helvetica"/>
          <w:color w:val="181817"/>
          <w:shd w:val="clear" w:color="auto" w:fill="FFFFFF"/>
        </w:rPr>
        <w:t xml:space="preserve">. </w:t>
      </w:r>
      <w:r w:rsidRPr="00DE0492">
        <w:rPr>
          <w:rFonts w:cs="Helvetica"/>
          <w:color w:val="181817"/>
          <w:shd w:val="clear" w:color="auto" w:fill="FFFFFF"/>
        </w:rPr>
        <w:t>B. Heringa, G</w:t>
      </w:r>
      <w:r>
        <w:rPr>
          <w:rFonts w:cs="Helvetica"/>
          <w:color w:val="181817"/>
          <w:shd w:val="clear" w:color="auto" w:fill="FFFFFF"/>
        </w:rPr>
        <w:t>.</w:t>
      </w:r>
      <w:r w:rsidRPr="00DE0492">
        <w:rPr>
          <w:rFonts w:cs="Helvetica"/>
          <w:color w:val="181817"/>
          <w:shd w:val="clear" w:color="auto" w:fill="FFFFFF"/>
        </w:rPr>
        <w:t xml:space="preserve"> van Donkersgoed, J</w:t>
      </w:r>
      <w:r>
        <w:rPr>
          <w:rFonts w:cs="Helvetica"/>
          <w:color w:val="181817"/>
          <w:shd w:val="clear" w:color="auto" w:fill="FFFFFF"/>
        </w:rPr>
        <w:t xml:space="preserve">. </w:t>
      </w:r>
      <w:r w:rsidRPr="00DE0492">
        <w:rPr>
          <w:rFonts w:cs="Helvetica"/>
          <w:color w:val="181817"/>
          <w:shd w:val="clear" w:color="auto" w:fill="FFFFFF"/>
        </w:rPr>
        <w:t>Drijvers, A</w:t>
      </w:r>
      <w:r>
        <w:rPr>
          <w:rFonts w:cs="Helvetica"/>
          <w:color w:val="181817"/>
          <w:shd w:val="clear" w:color="auto" w:fill="FFFFFF"/>
        </w:rPr>
        <w:t>.</w:t>
      </w:r>
      <w:r w:rsidRPr="00DE0492">
        <w:rPr>
          <w:rFonts w:cs="Helvetica"/>
          <w:color w:val="181817"/>
          <w:shd w:val="clear" w:color="auto" w:fill="FFFFFF"/>
        </w:rPr>
        <w:t xml:space="preserve"> Roos, S</w:t>
      </w:r>
      <w:r>
        <w:rPr>
          <w:rFonts w:cs="Helvetica"/>
          <w:color w:val="181817"/>
          <w:shd w:val="clear" w:color="auto" w:fill="FFFFFF"/>
        </w:rPr>
        <w:t>.</w:t>
      </w:r>
      <w:r w:rsidRPr="00DE0492">
        <w:rPr>
          <w:rFonts w:cs="Helvetica"/>
          <w:color w:val="181817"/>
          <w:shd w:val="clear" w:color="auto" w:fill="FFFFFF"/>
        </w:rPr>
        <w:t xml:space="preserve"> Westenbrink, R</w:t>
      </w:r>
      <w:r>
        <w:rPr>
          <w:rFonts w:cs="Helvetica"/>
          <w:color w:val="181817"/>
          <w:shd w:val="clear" w:color="auto" w:fill="FFFFFF"/>
        </w:rPr>
        <w:t>.</w:t>
      </w:r>
      <w:r w:rsidRPr="00DE0492">
        <w:rPr>
          <w:rFonts w:cs="Helvetica"/>
          <w:color w:val="181817"/>
          <w:shd w:val="clear" w:color="auto" w:fill="FFFFFF"/>
        </w:rPr>
        <w:t xml:space="preserve"> Peters, G</w:t>
      </w:r>
      <w:r>
        <w:rPr>
          <w:rFonts w:cs="Helvetica"/>
          <w:color w:val="181817"/>
          <w:shd w:val="clear" w:color="auto" w:fill="FFFFFF"/>
        </w:rPr>
        <w:t xml:space="preserve">. </w:t>
      </w:r>
      <w:r w:rsidRPr="00DE0492">
        <w:rPr>
          <w:rFonts w:cs="Helvetica"/>
          <w:color w:val="181817"/>
          <w:shd w:val="clear" w:color="auto" w:fill="FFFFFF"/>
        </w:rPr>
        <w:t>van Bemmel, W</w:t>
      </w:r>
      <w:r>
        <w:rPr>
          <w:rFonts w:cs="Helvetica"/>
          <w:color w:val="181817"/>
          <w:shd w:val="clear" w:color="auto" w:fill="FFFFFF"/>
        </w:rPr>
        <w:t>.</w:t>
      </w:r>
      <w:r w:rsidRPr="00DE0492">
        <w:rPr>
          <w:rFonts w:cs="Helvetica"/>
          <w:color w:val="181817"/>
          <w:shd w:val="clear" w:color="auto" w:fill="FFFFFF"/>
        </w:rPr>
        <w:t xml:space="preserve"> Brand</w:t>
      </w:r>
      <w:r>
        <w:rPr>
          <w:rFonts w:cs="Helvetica"/>
          <w:color w:val="181817"/>
          <w:shd w:val="clear" w:color="auto" w:fill="FFFFFF"/>
        </w:rPr>
        <w:t>.</w:t>
      </w:r>
      <w:r w:rsidRPr="00DE0492">
        <w:rPr>
          <w:rFonts w:cs="Helvetica"/>
          <w:color w:val="181817"/>
          <w:shd w:val="clear" w:color="auto" w:fill="FFFFFF"/>
        </w:rPr>
        <w:t xml:space="preserve"> A</w:t>
      </w:r>
      <w:r>
        <w:rPr>
          <w:rFonts w:cs="Helvetica"/>
          <w:color w:val="181817"/>
          <w:shd w:val="clear" w:color="auto" w:fill="FFFFFF"/>
        </w:rPr>
        <w:t>.</w:t>
      </w:r>
      <w:r w:rsidRPr="00DE0492">
        <w:rPr>
          <w:rFonts w:cs="Helvetica"/>
          <w:color w:val="181817"/>
          <w:shd w:val="clear" w:color="auto" w:fill="FFFFFF"/>
        </w:rPr>
        <w:t xml:space="preserve"> G. Oomen</w:t>
      </w:r>
      <w:r>
        <w:rPr>
          <w:rFonts w:cs="Helvetica"/>
          <w:color w:val="181817"/>
          <w:shd w:val="clear" w:color="auto" w:fill="FFFFFF"/>
        </w:rPr>
        <w:t xml:space="preserve">, </w:t>
      </w:r>
      <w:r w:rsidRPr="00DE0492">
        <w:rPr>
          <w:rFonts w:cs="Helvetica"/>
          <w:i/>
          <w:color w:val="181817"/>
          <w:shd w:val="clear" w:color="auto" w:fill="FFFFFF"/>
        </w:rPr>
        <w:t>Nanotoxicology</w:t>
      </w:r>
      <w:r w:rsidRPr="00DE0492">
        <w:rPr>
          <w:rFonts w:cs="Helvetica"/>
          <w:color w:val="181817"/>
          <w:shd w:val="clear" w:color="auto" w:fill="FFFFFF"/>
        </w:rPr>
        <w:t xml:space="preserve">, </w:t>
      </w:r>
      <w:r>
        <w:rPr>
          <w:rFonts w:cs="Helvetica"/>
          <w:color w:val="181817"/>
          <w:shd w:val="clear" w:color="auto" w:fill="FFFFFF"/>
        </w:rPr>
        <w:t>2016, 10:10, 1404-1414</w:t>
      </w:r>
    </w:p>
    <w:p w14:paraId="2C38093A" w14:textId="60DC725B" w:rsidR="00F55707" w:rsidRDefault="00432BF1" w:rsidP="0057703E">
      <w:pPr>
        <w:pStyle w:val="RSCR02References"/>
      </w:pPr>
      <w:r>
        <w:t>A. Pietroiusti , E</w:t>
      </w:r>
      <w:r w:rsidR="0057703E">
        <w:t>.</w:t>
      </w:r>
      <w:r>
        <w:t xml:space="preserve"> Bergamaschi, </w:t>
      </w:r>
      <w:r w:rsidR="0057703E">
        <w:t xml:space="preserve">M. </w:t>
      </w:r>
      <w:r>
        <w:t xml:space="preserve">Campagna, </w:t>
      </w:r>
      <w:r w:rsidR="0057703E">
        <w:t xml:space="preserve">L. </w:t>
      </w:r>
      <w:r>
        <w:t xml:space="preserve">Campagnolo, </w:t>
      </w:r>
      <w:r w:rsidR="0057703E">
        <w:t xml:space="preserve">G. </w:t>
      </w:r>
      <w:r>
        <w:t>De Palma,</w:t>
      </w:r>
      <w:r w:rsidR="0057703E">
        <w:t xml:space="preserve"> S. </w:t>
      </w:r>
      <w:r>
        <w:t xml:space="preserve">Iavicoli, </w:t>
      </w:r>
      <w:r w:rsidR="0057703E">
        <w:t>V. Leso.</w:t>
      </w:r>
      <w:r>
        <w:t xml:space="preserve">, </w:t>
      </w:r>
      <w:r w:rsidR="0057703E">
        <w:t>A. Magrini</w:t>
      </w:r>
      <w:r>
        <w:t xml:space="preserve">, </w:t>
      </w:r>
      <w:r w:rsidR="0057703E">
        <w:t xml:space="preserve">M. </w:t>
      </w:r>
      <w:r>
        <w:t xml:space="preserve">Miragoli, </w:t>
      </w:r>
      <w:r w:rsidR="0057703E">
        <w:t>P. Pedata</w:t>
      </w:r>
      <w:r>
        <w:t xml:space="preserve"> </w:t>
      </w:r>
      <w:r w:rsidR="0057703E">
        <w:t xml:space="preserve">L. </w:t>
      </w:r>
      <w:r>
        <w:t>Palombi</w:t>
      </w:r>
      <w:r w:rsidR="0057703E">
        <w:t>,</w:t>
      </w:r>
      <w:r>
        <w:t xml:space="preserve"> </w:t>
      </w:r>
      <w:r w:rsidR="0057703E">
        <w:t xml:space="preserve">I. </w:t>
      </w:r>
      <w:r>
        <w:t>Iavicoli</w:t>
      </w:r>
      <w:r w:rsidR="0057703E">
        <w:t xml:space="preserve">, </w:t>
      </w:r>
      <w:r w:rsidR="0057703E" w:rsidRPr="00DE0492">
        <w:rPr>
          <w:i/>
        </w:rPr>
        <w:t>Part. Fibre Toxicol</w:t>
      </w:r>
      <w:r w:rsidR="0057703E">
        <w:t xml:space="preserve">., </w:t>
      </w:r>
      <w:r w:rsidR="0057703E" w:rsidRPr="0057703E">
        <w:t>2017</w:t>
      </w:r>
      <w:r w:rsidR="0057703E">
        <w:t>,</w:t>
      </w:r>
      <w:r w:rsidR="0057703E" w:rsidRPr="0057703E">
        <w:t xml:space="preserve"> 14:47</w:t>
      </w:r>
    </w:p>
    <w:p w14:paraId="71A19522" w14:textId="69B4003A" w:rsidR="00F55707" w:rsidRDefault="00621AA8" w:rsidP="003722B6">
      <w:pPr>
        <w:pStyle w:val="RSCR02References"/>
      </w:pPr>
      <w:r>
        <w:t>EFSA (</w:t>
      </w:r>
      <w:r w:rsidRPr="00621AA8">
        <w:t>European Food Safety Authority)</w:t>
      </w:r>
      <w:r>
        <w:t xml:space="preserve">, 2016, </w:t>
      </w:r>
      <w:r w:rsidRPr="00621AA8">
        <w:t>Panel on Food Additives and Nutrient Sources added to</w:t>
      </w:r>
      <w:r>
        <w:t xml:space="preserve"> </w:t>
      </w:r>
      <w:r w:rsidRPr="00621AA8">
        <w:t>Food (ANS</w:t>
      </w:r>
      <w:r>
        <w:t xml:space="preserve">) </w:t>
      </w:r>
      <w:r w:rsidRPr="00621AA8">
        <w:t>Re-evaluation of titanium dioxide (E 171) as a food</w:t>
      </w:r>
      <w:r>
        <w:t xml:space="preserve"> </w:t>
      </w:r>
      <w:r w:rsidRPr="00621AA8">
        <w:t>additive</w:t>
      </w:r>
      <w:r>
        <w:t xml:space="preserve">, </w:t>
      </w:r>
      <w:r w:rsidRPr="00DE0492">
        <w:rPr>
          <w:i/>
        </w:rPr>
        <w:t>EFSA Journal</w:t>
      </w:r>
      <w:r w:rsidR="00993707">
        <w:rPr>
          <w:i/>
        </w:rPr>
        <w:t xml:space="preserve">, </w:t>
      </w:r>
      <w:r w:rsidRPr="00DE0492">
        <w:rPr>
          <w:i/>
        </w:rPr>
        <w:t xml:space="preserve"> </w:t>
      </w:r>
      <w:r w:rsidRPr="00993707">
        <w:t>2016</w:t>
      </w:r>
      <w:r w:rsidR="00993707">
        <w:t xml:space="preserve">, </w:t>
      </w:r>
      <w:r w:rsidRPr="00255730">
        <w:t>14(9):4545</w:t>
      </w:r>
    </w:p>
    <w:p w14:paraId="742EEF7A" w14:textId="73AD73B2" w:rsidR="00030F7A" w:rsidRDefault="00030F7A" w:rsidP="00030F7A">
      <w:pPr>
        <w:pStyle w:val="RSCR02References"/>
      </w:pPr>
      <w:r w:rsidRPr="00030F7A">
        <w:t>EFSA (European Food Safety Authority), 2015. Annual report of the EFSA Scientific Network of Risk Assessment</w:t>
      </w:r>
      <w:r w:rsidR="009217B6">
        <w:t xml:space="preserve"> </w:t>
      </w:r>
      <w:r w:rsidRPr="00030F7A">
        <w:t>of</w:t>
      </w:r>
      <w:r w:rsidR="00236040">
        <w:t xml:space="preserve"> </w:t>
      </w:r>
      <w:r w:rsidRPr="00030F7A">
        <w:t>nanotechnologies in Food and Feed for 2014</w:t>
      </w:r>
      <w:r w:rsidR="00EF137F">
        <w:t>,</w:t>
      </w:r>
      <w:r w:rsidRPr="00030F7A">
        <w:t xml:space="preserve"> </w:t>
      </w:r>
      <w:r w:rsidRPr="00DE0492">
        <w:rPr>
          <w:i/>
        </w:rPr>
        <w:t>EFSA Supporting publication</w:t>
      </w:r>
      <w:r w:rsidR="00993707">
        <w:rPr>
          <w:i/>
        </w:rPr>
        <w:t xml:space="preserve">, </w:t>
      </w:r>
      <w:r w:rsidRPr="00993707">
        <w:t>2014</w:t>
      </w:r>
      <w:r w:rsidR="00993707">
        <w:t>,</w:t>
      </w:r>
      <w:r w:rsidRPr="00030F7A">
        <w:t xml:space="preserve"> EN-762, 11</w:t>
      </w:r>
    </w:p>
    <w:p w14:paraId="5D478CFF" w14:textId="3843FFB9" w:rsidR="00236040" w:rsidRDefault="00236040" w:rsidP="00236040">
      <w:pPr>
        <w:pStyle w:val="RSCR02References"/>
      </w:pPr>
      <w:r w:rsidRPr="00236040">
        <w:t xml:space="preserve">D. B. Warheit, E. M. Donner, </w:t>
      </w:r>
      <w:r w:rsidRPr="00DE0492">
        <w:rPr>
          <w:i/>
        </w:rPr>
        <w:t>Food and Chem</w:t>
      </w:r>
      <w:r w:rsidR="00EF137F" w:rsidRPr="00DE0492">
        <w:rPr>
          <w:i/>
        </w:rPr>
        <w:t>.</w:t>
      </w:r>
      <w:r w:rsidRPr="00DE0492">
        <w:rPr>
          <w:i/>
        </w:rPr>
        <w:t xml:space="preserve"> Toxicol</w:t>
      </w:r>
      <w:r w:rsidR="00EF137F" w:rsidRPr="00DE0492">
        <w:rPr>
          <w:i/>
        </w:rPr>
        <w:t>.</w:t>
      </w:r>
      <w:r w:rsidRPr="00236040">
        <w:t xml:space="preserve"> </w:t>
      </w:r>
      <w:r w:rsidR="00993707">
        <w:t xml:space="preserve">, </w:t>
      </w:r>
      <w:r w:rsidRPr="00236040">
        <w:t xml:space="preserve">2015, </w:t>
      </w:r>
      <w:r>
        <w:t>208-224</w:t>
      </w:r>
    </w:p>
    <w:p w14:paraId="7B7F069E" w14:textId="23B623C4" w:rsidR="00F55707" w:rsidRDefault="00F55707" w:rsidP="003722B6">
      <w:pPr>
        <w:pStyle w:val="RSCR02References"/>
      </w:pPr>
      <w:r>
        <w:t>J.J. Powell, V. Thoree and L.C. Pele.,</w:t>
      </w:r>
      <w:r w:rsidR="00EF1C23">
        <w:t xml:space="preserve"> </w:t>
      </w:r>
      <w:r w:rsidRPr="00DE0492">
        <w:rPr>
          <w:i/>
        </w:rPr>
        <w:t>Br</w:t>
      </w:r>
      <w:r w:rsidR="00EF137F">
        <w:rPr>
          <w:i/>
        </w:rPr>
        <w:t>.</w:t>
      </w:r>
      <w:r w:rsidRPr="00DE0492">
        <w:rPr>
          <w:i/>
        </w:rPr>
        <w:t xml:space="preserve"> J</w:t>
      </w:r>
      <w:r w:rsidR="00EF137F">
        <w:rPr>
          <w:i/>
        </w:rPr>
        <w:t>.</w:t>
      </w:r>
      <w:r w:rsidRPr="00DE0492">
        <w:rPr>
          <w:i/>
        </w:rPr>
        <w:t xml:space="preserve"> Nutr</w:t>
      </w:r>
      <w:r w:rsidR="00EF137F">
        <w:rPr>
          <w:i/>
        </w:rPr>
        <w:t>.</w:t>
      </w:r>
      <w:r>
        <w:t>., 2007, Suppl</w:t>
      </w:r>
      <w:r w:rsidR="005D5B01">
        <w:t xml:space="preserve">. </w:t>
      </w:r>
      <w:r>
        <w:t>1, S59-63</w:t>
      </w:r>
    </w:p>
    <w:p w14:paraId="0DC23B43" w14:textId="77777777" w:rsidR="00044505" w:rsidRDefault="00044505" w:rsidP="003722B6">
      <w:pPr>
        <w:pStyle w:val="RSCR02References"/>
      </w:pPr>
      <w:r>
        <w:t xml:space="preserve">J.J. Powell, C.C. Ainley, R.S. Harvey, I.M. Mason, M.D. Kendall and E.A. Sankey, </w:t>
      </w:r>
      <w:r w:rsidRPr="00DE0492">
        <w:rPr>
          <w:i/>
        </w:rPr>
        <w:t>Gut</w:t>
      </w:r>
      <w:r>
        <w:t>, 1996, 38, 3, 390-5</w:t>
      </w:r>
    </w:p>
    <w:p w14:paraId="293F6ADC" w14:textId="77777777" w:rsidR="00FF5849" w:rsidRDefault="00FF5849" w:rsidP="00FF5849">
      <w:pPr>
        <w:pStyle w:val="RSCR02References"/>
      </w:pPr>
      <w:r>
        <w:t xml:space="preserve">J.J. Powell, N.Faria, E. Thomas-McKay and L.C. Pele, </w:t>
      </w:r>
      <w:r w:rsidRPr="00DE0492">
        <w:rPr>
          <w:i/>
        </w:rPr>
        <w:t>J. of Autoimm</w:t>
      </w:r>
      <w:r>
        <w:t>. 2010, 34 , j226-j233</w:t>
      </w:r>
    </w:p>
    <w:p w14:paraId="38467954" w14:textId="13571541" w:rsidR="005D5B01" w:rsidRDefault="005D5B01" w:rsidP="005D5B01">
      <w:pPr>
        <w:pStyle w:val="RSCR02References"/>
      </w:pPr>
      <w:r w:rsidRPr="005D5B01">
        <w:t>M</w:t>
      </w:r>
      <w:r>
        <w:t>.</w:t>
      </w:r>
      <w:r w:rsidRPr="005D5B01">
        <w:t>B. Heringa, L</w:t>
      </w:r>
      <w:r>
        <w:t>.</w:t>
      </w:r>
      <w:r w:rsidRPr="005D5B01">
        <w:t xml:space="preserve"> Geraets, J</w:t>
      </w:r>
      <w:r>
        <w:t>.</w:t>
      </w:r>
      <w:r w:rsidRPr="005D5B01">
        <w:t xml:space="preserve"> C. H. van Eijkeren, R</w:t>
      </w:r>
      <w:r>
        <w:t>.</w:t>
      </w:r>
      <w:r w:rsidRPr="005D5B01">
        <w:t xml:space="preserve"> J. Vandebriel, W</w:t>
      </w:r>
      <w:r>
        <w:t xml:space="preserve">. H. de Jong, </w:t>
      </w:r>
      <w:r w:rsidRPr="005D5B01">
        <w:t>A</w:t>
      </w:r>
      <w:r>
        <w:t xml:space="preserve">. G. Oomen, </w:t>
      </w:r>
      <w:r w:rsidRPr="00DE0492">
        <w:rPr>
          <w:i/>
        </w:rPr>
        <w:t>Nanotox.</w:t>
      </w:r>
      <w:r w:rsidRPr="005D5B01">
        <w:t>,</w:t>
      </w:r>
      <w:r w:rsidR="00993707">
        <w:t xml:space="preserve"> 2016,</w:t>
      </w:r>
      <w:r w:rsidRPr="005D5B01">
        <w:t xml:space="preserve"> 10:10, 1515-1525</w:t>
      </w:r>
    </w:p>
    <w:p w14:paraId="33C1F6FE" w14:textId="77777777" w:rsidR="00506355" w:rsidRDefault="00506355" w:rsidP="005D5B01">
      <w:pPr>
        <w:pStyle w:val="RSCR02References"/>
      </w:pPr>
      <w:r>
        <w:t xml:space="preserve">M.C.E. Lomer,, J. Commisso, C.L. Keen and J.J. Powell, </w:t>
      </w:r>
      <w:r w:rsidRPr="00DE0492">
        <w:rPr>
          <w:i/>
        </w:rPr>
        <w:t>Analyst</w:t>
      </w:r>
      <w:r>
        <w:t>, 2000, 125, 2339-2343</w:t>
      </w:r>
    </w:p>
    <w:p w14:paraId="4F0640FC" w14:textId="036D08F2" w:rsidR="00BC374B" w:rsidRDefault="00044505" w:rsidP="00044505">
      <w:pPr>
        <w:pStyle w:val="RSCR02References"/>
      </w:pPr>
      <w:r>
        <w:t xml:space="preserve">H. Hildebrand, S. Schymura, U. Holzwarth, N. Gibson, M. Dalmiglio, K. Franke, </w:t>
      </w:r>
      <w:r w:rsidRPr="00DE0492">
        <w:rPr>
          <w:i/>
        </w:rPr>
        <w:t>J.</w:t>
      </w:r>
      <w:r w:rsidR="00EF137F" w:rsidRPr="00DE0492">
        <w:rPr>
          <w:i/>
        </w:rPr>
        <w:t xml:space="preserve"> </w:t>
      </w:r>
      <w:r w:rsidRPr="00DE0492">
        <w:rPr>
          <w:i/>
        </w:rPr>
        <w:t>Nanopart .Res</w:t>
      </w:r>
      <w:r>
        <w:t>.</w:t>
      </w:r>
      <w:r w:rsidRPr="00044505">
        <w:t xml:space="preserve"> </w:t>
      </w:r>
      <w:r w:rsidR="00993707">
        <w:t xml:space="preserve">, </w:t>
      </w:r>
      <w:r w:rsidRPr="00044505">
        <w:t>2015</w:t>
      </w:r>
      <w:r w:rsidR="00993707">
        <w:t>,</w:t>
      </w:r>
      <w:r w:rsidRPr="00044505">
        <w:t xml:space="preserve"> 17:278</w:t>
      </w:r>
    </w:p>
    <w:p w14:paraId="715F0C08" w14:textId="08FCE9BC" w:rsidR="00F120FF" w:rsidRDefault="00F120FF" w:rsidP="00DE0492">
      <w:pPr>
        <w:pStyle w:val="RSCR02References"/>
      </w:pPr>
      <w:r>
        <w:t xml:space="preserve">E.Brun, F. Barreau, G. Veronesi, B. Fayard, S. Sorieul, C. Chanéac, C. Carapito, T. Rabilloud, A. Mabondzo,  N. Herlin-Boime and  M. Carrière, </w:t>
      </w:r>
      <w:r w:rsidRPr="00DE0492">
        <w:rPr>
          <w:i/>
        </w:rPr>
        <w:t>Part. Fibre Toxicol.</w:t>
      </w:r>
      <w:r>
        <w:t xml:space="preserve"> , 2014, 11, 13</w:t>
      </w:r>
    </w:p>
    <w:p w14:paraId="03FFE74A" w14:textId="1B3B7DA6" w:rsidR="00AF00C7" w:rsidRPr="00DE0492" w:rsidRDefault="004D4CD2" w:rsidP="001E0FFE">
      <w:pPr>
        <w:pStyle w:val="RSCR02References"/>
      </w:pPr>
      <w:r w:rsidRPr="00DE0492">
        <w:t xml:space="preserve">T.Z. </w:t>
      </w:r>
      <w:r w:rsidR="001D0F8E" w:rsidRPr="00DE0492">
        <w:t>Hummel</w:t>
      </w:r>
      <w:r w:rsidRPr="00DE0492">
        <w:t xml:space="preserve">, A Kindermann, P.C. Stokkers, MA Benninga, F.J. ten Kate, </w:t>
      </w:r>
      <w:r w:rsidRPr="00DE0492">
        <w:rPr>
          <w:i/>
        </w:rPr>
        <w:t>J</w:t>
      </w:r>
      <w:r w:rsidR="00EF137F" w:rsidRPr="00DE0492">
        <w:rPr>
          <w:i/>
        </w:rPr>
        <w:t>.</w:t>
      </w:r>
      <w:r w:rsidRPr="00DE0492">
        <w:rPr>
          <w:i/>
        </w:rPr>
        <w:t xml:space="preserve"> Pediatr</w:t>
      </w:r>
      <w:r w:rsidR="00EF137F" w:rsidRPr="00DE0492">
        <w:rPr>
          <w:i/>
        </w:rPr>
        <w:t>.</w:t>
      </w:r>
      <w:r w:rsidRPr="00DE0492">
        <w:rPr>
          <w:i/>
        </w:rPr>
        <w:t xml:space="preserve"> Gastroenterol</w:t>
      </w:r>
      <w:r w:rsidR="00EF137F" w:rsidRPr="00DE0492">
        <w:rPr>
          <w:i/>
        </w:rPr>
        <w:t>.</w:t>
      </w:r>
      <w:r w:rsidRPr="00DE0492">
        <w:rPr>
          <w:i/>
        </w:rPr>
        <w:t xml:space="preserve"> Nutr</w:t>
      </w:r>
      <w:r w:rsidR="00EF137F">
        <w:t>.</w:t>
      </w:r>
      <w:r w:rsidRPr="00DE0492">
        <w:t>, 2014, 58 (4), 477-80</w:t>
      </w:r>
    </w:p>
    <w:p w14:paraId="55852F05" w14:textId="6C08227C" w:rsidR="00375E7B" w:rsidRPr="00DE0492" w:rsidRDefault="004D4CD2" w:rsidP="001E0FFE">
      <w:pPr>
        <w:pStyle w:val="RSCR02References"/>
      </w:pPr>
      <w:r w:rsidRPr="00DE0492">
        <w:t xml:space="preserve">R.E. Hewitt , B. Vis, L.C. Pele, N. Faria, J.J. Powell, </w:t>
      </w:r>
      <w:r w:rsidRPr="00DE0492">
        <w:rPr>
          <w:i/>
        </w:rPr>
        <w:t>Cytometry A</w:t>
      </w:r>
      <w:r w:rsidRPr="00DE0492">
        <w:t>, 2017, 91 (10), 1009-1020</w:t>
      </w:r>
    </w:p>
    <w:p w14:paraId="5DEB8D00" w14:textId="26DDDB4E" w:rsidR="00F55707" w:rsidRDefault="00F55707" w:rsidP="001E0FFE">
      <w:pPr>
        <w:pStyle w:val="RSCR02References"/>
      </w:pPr>
      <w:r>
        <w:t>L.C. Pele, V. Thoree</w:t>
      </w:r>
      <w:r w:rsidR="00F85032">
        <w:t>, S.F.A</w:t>
      </w:r>
      <w:r>
        <w:t>. Bruggraber , D. Koller, R.P.H. Thompson, M.C. Lomer</w:t>
      </w:r>
      <w:r w:rsidR="00EF137F">
        <w:t xml:space="preserve">, </w:t>
      </w:r>
      <w:r>
        <w:t>J.J. Powell</w:t>
      </w:r>
      <w:r w:rsidR="00EF137F">
        <w:t>,</w:t>
      </w:r>
      <w:r>
        <w:t xml:space="preserve"> </w:t>
      </w:r>
      <w:r w:rsidRPr="00DE0492">
        <w:rPr>
          <w:i/>
        </w:rPr>
        <w:t>Part. Fibre Toxicol.,</w:t>
      </w:r>
      <w:r>
        <w:t>2015, 12, 1, 26</w:t>
      </w:r>
    </w:p>
    <w:p w14:paraId="2FA6F83D" w14:textId="77777777" w:rsidR="00D72C49" w:rsidRPr="00D72C49" w:rsidRDefault="00D72C49" w:rsidP="00D72C49">
      <w:pPr>
        <w:pStyle w:val="RSCR02References"/>
      </w:pPr>
      <w:r w:rsidRPr="00D72C49">
        <w:t>B. Sampson and A. Hart, Ann. Clin. Biochem., 2012,  49, 118-131</w:t>
      </w:r>
    </w:p>
    <w:p w14:paraId="2465F82B" w14:textId="77777777" w:rsidR="00D72C49" w:rsidRPr="00D72C49" w:rsidRDefault="00D72C49" w:rsidP="00D72C49">
      <w:pPr>
        <w:pStyle w:val="RSCR02References"/>
      </w:pPr>
      <w:r w:rsidRPr="00D72C49">
        <w:t xml:space="preserve">I. Ipach, R. Schäfer, F. Mittag, C. Leichtle, P. Wolf and T. Kluba, BMC Musculoskelet Disord. 2012, 13,159 </w:t>
      </w:r>
    </w:p>
    <w:p w14:paraId="6DD24107" w14:textId="77777777" w:rsidR="00D72C49" w:rsidRDefault="00D72C49" w:rsidP="00D72C49">
      <w:pPr>
        <w:pStyle w:val="RSCR02References"/>
      </w:pPr>
      <w:r w:rsidRPr="00D72C49">
        <w:t>Y. Nuevo Ordóñez, M. Montes-Bayón, E. Blanco-González, J. Paz-Aparicio, J. Diánez Raimundez, J. M. Tejerina, M. A. Peña and A. Sanz-Medel, Anal. Bioanal. Chem., 2011, 401, 2747–2754</w:t>
      </w:r>
    </w:p>
    <w:p w14:paraId="5860B88F" w14:textId="45DC0443" w:rsidR="00192F50" w:rsidRDefault="00192F50" w:rsidP="00D72C49">
      <w:pPr>
        <w:pStyle w:val="RSCR02References"/>
      </w:pPr>
      <w:r>
        <w:t xml:space="preserve">K. Jones, J. Morton, I. Smith, K. Jurkschat, A.H. Harding, G. Evans, </w:t>
      </w:r>
      <w:r w:rsidR="00924434" w:rsidRPr="00DE0492">
        <w:rPr>
          <w:i/>
        </w:rPr>
        <w:t>Toxicol</w:t>
      </w:r>
      <w:r w:rsidR="00EF137F" w:rsidRPr="00DE0492">
        <w:rPr>
          <w:i/>
        </w:rPr>
        <w:t>.</w:t>
      </w:r>
      <w:r w:rsidR="00924434" w:rsidRPr="00DE0492">
        <w:rPr>
          <w:i/>
        </w:rPr>
        <w:t xml:space="preserve"> Lett</w:t>
      </w:r>
      <w:r w:rsidR="00EF137F" w:rsidRPr="00DE0492">
        <w:rPr>
          <w:i/>
        </w:rPr>
        <w:t>.</w:t>
      </w:r>
      <w:r w:rsidR="00924434">
        <w:t xml:space="preserve"> 233, </w:t>
      </w:r>
      <w:r w:rsidRPr="00952773">
        <w:t>2015</w:t>
      </w:r>
      <w:r w:rsidR="00924434">
        <w:t>,</w:t>
      </w:r>
      <w:r w:rsidRPr="00952773">
        <w:t xml:space="preserve"> 95–101</w:t>
      </w:r>
    </w:p>
    <w:p w14:paraId="1C60EE9A" w14:textId="77777777" w:rsidR="00192F50" w:rsidRDefault="00192F50" w:rsidP="00192F50">
      <w:pPr>
        <w:pStyle w:val="RSCR02References"/>
        <w:tabs>
          <w:tab w:val="left" w:pos="426"/>
        </w:tabs>
      </w:pPr>
      <w:r>
        <w:t xml:space="preserve">M.S Patton, T.D.B. Lyon and G.P. Ashcroft,  </w:t>
      </w:r>
      <w:r w:rsidRPr="00DE0492">
        <w:rPr>
          <w:i/>
        </w:rPr>
        <w:t>Acta Orthopaedica</w:t>
      </w:r>
      <w:r>
        <w:t xml:space="preserve"> , 2008, 79, 6, 820-825</w:t>
      </w:r>
    </w:p>
    <w:p w14:paraId="51DFC62D" w14:textId="478953E5" w:rsidR="009C400E" w:rsidRDefault="009C400E" w:rsidP="009C400E">
      <w:pPr>
        <w:pStyle w:val="RSCR02References"/>
      </w:pPr>
      <w:r w:rsidRPr="008A0D14">
        <w:rPr>
          <w:lang w:val="de-DE"/>
        </w:rPr>
        <w:t xml:space="preserve">J. Kunze, M.A. Wimmer, S. Koelling,  E. Schneider, </w:t>
      </w:r>
      <w:r w:rsidRPr="008A0D14">
        <w:rPr>
          <w:i/>
          <w:lang w:val="de-DE"/>
        </w:rPr>
        <w:t xml:space="preserve">Fresenius J. Anal. </w:t>
      </w:r>
      <w:r w:rsidRPr="009C400E">
        <w:rPr>
          <w:i/>
        </w:rPr>
        <w:t>Chem</w:t>
      </w:r>
      <w:r w:rsidRPr="009C400E">
        <w:t xml:space="preserve">.  1998, 361, 5, 496 </w:t>
      </w:r>
      <w:r>
        <w:t>–</w:t>
      </w:r>
      <w:r w:rsidRPr="009C400E">
        <w:t xml:space="preserve"> 499</w:t>
      </w:r>
    </w:p>
    <w:p w14:paraId="068072E7" w14:textId="10C29566" w:rsidR="00924434" w:rsidRDefault="00924434" w:rsidP="009C400E">
      <w:pPr>
        <w:pStyle w:val="RSCR02References"/>
      </w:pPr>
      <w:r>
        <w:t>A.K. Skipor,</w:t>
      </w:r>
      <w:r w:rsidR="00653481">
        <w:t xml:space="preserve"> </w:t>
      </w:r>
      <w:r>
        <w:t>J.J</w:t>
      </w:r>
      <w:r w:rsidR="007F0283">
        <w:t>.</w:t>
      </w:r>
      <w:r>
        <w:t xml:space="preserve"> Jacobs</w:t>
      </w:r>
      <w:r w:rsidR="007F0283">
        <w:t xml:space="preserve">, </w:t>
      </w:r>
      <w:r>
        <w:t>L. Yu and J. Black,</w:t>
      </w:r>
      <w:r w:rsidRPr="00DE0492">
        <w:rPr>
          <w:i/>
        </w:rPr>
        <w:t xml:space="preserve"> J. of Biomed. Mat. Research</w:t>
      </w:r>
      <w:r>
        <w:t>, 1999, 48, 1, 90 - 93</w:t>
      </w:r>
    </w:p>
    <w:p w14:paraId="08C4CF24" w14:textId="77777777" w:rsidR="00924434" w:rsidRDefault="00924434" w:rsidP="00924434">
      <w:pPr>
        <w:pStyle w:val="RSCR02References"/>
      </w:pPr>
      <w:r w:rsidRPr="004C2FE5">
        <w:rPr>
          <w:lang w:val="de-DE"/>
        </w:rPr>
        <w:t xml:space="preserve">J. Kunze, S. Koelling, M.Reich and M.A. Wimmer,  </w:t>
      </w:r>
      <w:r w:rsidRPr="00DE0492">
        <w:rPr>
          <w:i/>
          <w:lang w:val="de-DE"/>
        </w:rPr>
        <w:t xml:space="preserve">Fresenius J. Anal. </w:t>
      </w:r>
      <w:r w:rsidRPr="00DE0492">
        <w:rPr>
          <w:i/>
        </w:rPr>
        <w:t>Chem. Chemistry</w:t>
      </w:r>
      <w:r>
        <w:t>, 2000, 366, 2, 165 - 166</w:t>
      </w:r>
    </w:p>
    <w:p w14:paraId="5E14418D" w14:textId="4C1193FF" w:rsidR="00924434" w:rsidRDefault="00924434" w:rsidP="00924434">
      <w:pPr>
        <w:pStyle w:val="RSCR02References"/>
      </w:pPr>
      <w:r>
        <w:t xml:space="preserve">Y. Wang , Z. Chen , T. Ba , J. Pu , T. Chen , Y. Song , Y. Gu, Q. Qian , Y. Xu , K. Xiang , H. Wang  and  G. Jia, </w:t>
      </w:r>
      <w:r w:rsidR="00EF137F" w:rsidRPr="00DE0492">
        <w:rPr>
          <w:i/>
        </w:rPr>
        <w:t>S</w:t>
      </w:r>
      <w:r w:rsidRPr="00DE0492">
        <w:rPr>
          <w:i/>
        </w:rPr>
        <w:t xml:space="preserve">mall </w:t>
      </w:r>
      <w:r>
        <w:t>, 2013, 9, No. 9–10, 1742–1752</w:t>
      </w:r>
    </w:p>
    <w:p w14:paraId="4A23B62F" w14:textId="7303021C" w:rsidR="00924434" w:rsidRDefault="00924434" w:rsidP="00924434">
      <w:pPr>
        <w:pStyle w:val="RSCR02References"/>
      </w:pPr>
      <w:r>
        <w:t>G. Zheng, H. Zhong, Z. Guo, Z. Wu, H. Zhang, C.Wang, Y. Zhou, Z. Zuo</w:t>
      </w:r>
      <w:r w:rsidR="00EF137F">
        <w:t xml:space="preserve">, </w:t>
      </w:r>
      <w:r w:rsidRPr="00DE0492">
        <w:rPr>
          <w:i/>
        </w:rPr>
        <w:t>Biol. Trace Elem. Res</w:t>
      </w:r>
      <w:r>
        <w:t>., 2014, 160, 3, 437 - 444</w:t>
      </w:r>
    </w:p>
    <w:p w14:paraId="6636D2CF" w14:textId="5574D1B3" w:rsidR="00D72C49" w:rsidRDefault="00924434" w:rsidP="00924434">
      <w:pPr>
        <w:pStyle w:val="RSCR02References"/>
      </w:pPr>
      <w:r>
        <w:t xml:space="preserve">E. Lukina,  A. Laka, M. Kollerov, M. Sampiev, P. Mason, P. Wagstaff, H. Noordeen, W.W. Yoon and G. Blunn, </w:t>
      </w:r>
      <w:r w:rsidRPr="00DE0492">
        <w:rPr>
          <w:i/>
        </w:rPr>
        <w:t>The Spine Journal</w:t>
      </w:r>
      <w:r>
        <w:t>, 2016,16, 380–388</w:t>
      </w:r>
    </w:p>
    <w:p w14:paraId="5AB1A56C" w14:textId="77777777" w:rsidR="00924434" w:rsidRDefault="00924434">
      <w:pPr>
        <w:pStyle w:val="RSCR02References"/>
      </w:pPr>
      <w:r>
        <w:t xml:space="preserve">W.S Cho, B.C. Kang, J.K. Lee, J. Jeong, J.H. Che and S.H.S.Cho, </w:t>
      </w:r>
      <w:r w:rsidRPr="00DE0492">
        <w:rPr>
          <w:i/>
        </w:rPr>
        <w:t>Part.Fibre Toxicol</w:t>
      </w:r>
      <w:r>
        <w:t>., 2013, 10, 9</w:t>
      </w:r>
    </w:p>
    <w:p w14:paraId="49FCFE53" w14:textId="3FC8307B" w:rsidR="004A72AD" w:rsidRDefault="004A72AD" w:rsidP="004A72AD">
      <w:pPr>
        <w:pStyle w:val="RSCR02References"/>
      </w:pPr>
      <w:r>
        <w:t>R. Thomas , D. Price, C. Sieniawska, L. Jung and  F. Abou-Shakra , Spectroscopy, Special Issues, 28, 11</w:t>
      </w:r>
    </w:p>
    <w:p w14:paraId="1FD6559D" w14:textId="7EEF3A2C" w:rsidR="004A72AD" w:rsidRDefault="004A72AD" w:rsidP="00000304">
      <w:pPr>
        <w:pStyle w:val="RSCR02References"/>
      </w:pPr>
      <w:r>
        <w:t>P.A. Ruiz, B. Morón, and H.M.Becker, Gut, 2016, 0,1–9</w:t>
      </w:r>
    </w:p>
    <w:p w14:paraId="7C9F1B35" w14:textId="77777777" w:rsidR="004A72AD" w:rsidRDefault="004A72AD" w:rsidP="004A72AD">
      <w:pPr>
        <w:pStyle w:val="RSCR02References"/>
      </w:pPr>
      <w:r>
        <w:t>A. Sarmiento-González, J. M. Marchante-Gayón, J.M. Tejerina-Lobo, J. Paz-Jiménez, A. Sanz-Medel , Anal. Bioanal . Chem., 2005, 382, 1001–1009</w:t>
      </w:r>
    </w:p>
    <w:p w14:paraId="02B43652" w14:textId="422BF5C2" w:rsidR="004A72AD" w:rsidRDefault="004A72AD" w:rsidP="00000304">
      <w:pPr>
        <w:pStyle w:val="RSCR02References"/>
      </w:pPr>
      <w:r>
        <w:t>Y.N Ordonez, M. Montes-Bayon,  E. Blanco-Gonzalez, J. Paz-Jimenez,J. M. Tejerina-Lobo, J. M. Pena-L opez and A. Sanz-Medel, J. Anal. At. Spectrom., 2009, 24, 1037–1043</w:t>
      </w:r>
    </w:p>
    <w:p w14:paraId="56949C2A" w14:textId="77777777" w:rsidR="004A72AD" w:rsidRDefault="004A72AD" w:rsidP="004A72AD">
      <w:pPr>
        <w:pStyle w:val="RSCR02References"/>
      </w:pPr>
      <w:r>
        <w:t>C. Disdier, J. Devoy, A. Cosnefroy, M. Chalansonnet, N. Herlin-Boime, E. Brun, A. Lund and A. MabondzoDisdier, Part. Fibre Toxicol., 2015, 12, 27</w:t>
      </w:r>
    </w:p>
    <w:p w14:paraId="1E37CFD4" w14:textId="77777777" w:rsidR="004A72AD" w:rsidRDefault="004A72AD" w:rsidP="004A72AD">
      <w:pPr>
        <w:pStyle w:val="RSCR02References"/>
      </w:pPr>
      <w:r>
        <w:t>J. Devoy, E. Brun, A. Cosnefroy, C. Disdier, M. Melczer, S.E. G. Antoine, M. Chalansonnet and A. Mabondzo, J. Anal. Chem., 2016,71, 4, 418-425</w:t>
      </w:r>
    </w:p>
    <w:p w14:paraId="5E2CB6F4" w14:textId="77777777" w:rsidR="004A72AD" w:rsidRDefault="004A72AD" w:rsidP="004A72AD">
      <w:pPr>
        <w:pStyle w:val="RSCR02References"/>
      </w:pPr>
      <w:r>
        <w:t>J. Kunze, S.  Koelling,M. Reich and M.A. Wimmer,  Atomic Spectroscopy, 1998, 19, 5, 164 - 167</w:t>
      </w:r>
    </w:p>
    <w:p w14:paraId="4C7CF43C" w14:textId="1E617119" w:rsidR="004A72AD" w:rsidRDefault="004A72AD" w:rsidP="00000304">
      <w:pPr>
        <w:pStyle w:val="RSCR02References"/>
      </w:pPr>
      <w:r>
        <w:t>T. D. Richardson, S. J. Pineda, K. B. Strenge, T. A. Van Fleet,M. MacGregor, J. C. Milbrandt, J. A. Espinosa, P. Freitag, Spine, 2008, 33, 792–796</w:t>
      </w:r>
    </w:p>
    <w:p w14:paraId="70B279C3" w14:textId="77777777" w:rsidR="004A72AD" w:rsidRDefault="004A72AD" w:rsidP="004A72AD">
      <w:pPr>
        <w:pStyle w:val="RSCR02References"/>
      </w:pPr>
      <w:r>
        <w:t xml:space="preserve"> E. Fernandez-Minano, C. Ortiz, A. Vicente, J. L. Calvo, A. J. Ortiz, BioMetals, 2011, 24, 935–941.</w:t>
      </w:r>
    </w:p>
    <w:p w14:paraId="09F61120" w14:textId="77777777" w:rsidR="004A72AD" w:rsidRDefault="004A72AD" w:rsidP="004A72AD">
      <w:pPr>
        <w:pStyle w:val="RSCR02References"/>
      </w:pPr>
      <w:r>
        <w:t>S. McGarry, S. J. Morgan, R. M. Grosskreuz, A. E. Williams, W. R. Smith, J. Trauma Acute Care Surg., 2008, 64, 430–433</w:t>
      </w:r>
    </w:p>
    <w:p w14:paraId="3FFB9FAA" w14:textId="77777777" w:rsidR="004A72AD" w:rsidRDefault="004A72AD" w:rsidP="004A72AD">
      <w:pPr>
        <w:pStyle w:val="RSCR02References"/>
      </w:pPr>
      <w:r>
        <w:t>Z. Yi, Z. Bo, S. Bin, Y. Jing, Z. Zongke and P. Fuxing, J. Arthroplasty, 2014, 31, 438–441</w:t>
      </w:r>
    </w:p>
    <w:p w14:paraId="33290896" w14:textId="77777777" w:rsidR="004A72AD" w:rsidRDefault="004A72AD" w:rsidP="004A72AD">
      <w:pPr>
        <w:pStyle w:val="RSCR02References"/>
      </w:pPr>
      <w:r>
        <w:t>J. Laurençon, M,.Augsburger, M. Faouzi, F. Becce, H. Hassani, H. A. Rüdiger, J. of Arthroplasty, 31 ,2016, 1750-1755</w:t>
      </w:r>
    </w:p>
    <w:p w14:paraId="483B3570" w14:textId="77777777" w:rsidR="004A72AD" w:rsidRDefault="004A72AD" w:rsidP="004A72AD">
      <w:pPr>
        <w:pStyle w:val="RSCR02References"/>
      </w:pPr>
      <w:r>
        <w:t>K. Kmiec, M. Synder, P. Kozlowski, M. Drobniewski, M. Sibinski, BMC Musculoskeletal Disord., 2014, 15, 267</w:t>
      </w:r>
    </w:p>
    <w:p w14:paraId="227DE673" w14:textId="77777777" w:rsidR="004A72AD" w:rsidRDefault="004A72AD" w:rsidP="004A72AD">
      <w:pPr>
        <w:pStyle w:val="RSCR02References"/>
      </w:pPr>
      <w:r>
        <w:t>S. S. Leopold, R. A. Berger, L. Patterson, A. K. Skipor, R. M. Urban,J. J. Jacobs, J. of Arthroplasty, 2000, 15, 7</w:t>
      </w:r>
    </w:p>
    <w:p w14:paraId="52FE9EAC" w14:textId="77777777" w:rsidR="004A72AD" w:rsidRDefault="004A72AD" w:rsidP="004A72AD">
      <w:pPr>
        <w:pStyle w:val="RSCR02References"/>
      </w:pPr>
      <w:r>
        <w:t>N. Shinohara, N. Danno, T. Ichinose, T. Sasaki, H. Fukui, K. Honda and M.Gamo, Nanotoxicol., March 2014, 8(2),132–141</w:t>
      </w:r>
    </w:p>
    <w:p w14:paraId="0D19FE9C" w14:textId="77777777" w:rsidR="004A72AD" w:rsidRDefault="004A72AD" w:rsidP="004A72AD">
      <w:pPr>
        <w:pStyle w:val="RSCR02References"/>
      </w:pPr>
      <w:r>
        <w:t>A. Sarmiento-González , J.M.  Marchante-Gayón, J.M. Tejerina-Lobo, J. Paz-Jiménez and A. Sanz-Medel, Anal. Bioana. Chem., 2008, 391, 7, 2583 - 2589</w:t>
      </w:r>
    </w:p>
    <w:p w14:paraId="39495D25" w14:textId="77777777" w:rsidR="004A72AD" w:rsidRDefault="004A72AD" w:rsidP="004A72AD">
      <w:pPr>
        <w:pStyle w:val="RSCR02References"/>
      </w:pPr>
      <w:r>
        <w:t>A. Sarmiento-González, J. Ruiz Encinar, J. M. Marchante-Gayón and A. Sanz-Medel, Anal Bioanal Chem, 2009, 393, 335–343</w:t>
      </w:r>
    </w:p>
    <w:p w14:paraId="4E87304E" w14:textId="77777777" w:rsidR="004A72AD" w:rsidRDefault="004A72AD" w:rsidP="004A72AD">
      <w:pPr>
        <w:pStyle w:val="RSCR02References"/>
      </w:pPr>
      <w:r>
        <w:t>P.A. Vendittoli, A. Roy, S. Mottard,  J. Girard, D. Lusignan and  M. Lavigne, J. Bone Joint Surg., 2010, 92-B, 12-19</w:t>
      </w:r>
    </w:p>
    <w:p w14:paraId="5C483674" w14:textId="3E0CF930" w:rsidR="004A72AD" w:rsidRDefault="004A72AD" w:rsidP="00000304">
      <w:pPr>
        <w:pStyle w:val="RSCR02References"/>
      </w:pPr>
      <w:r>
        <w:t>M. Lavigne, E.L. Belzile, A. Roy, F. Morin, T. Amzica, P.-A. Vendittoli, J. Bone Joint Surg. Am., 93, 128-136"</w:t>
      </w:r>
    </w:p>
    <w:p w14:paraId="595DD87B" w14:textId="77777777" w:rsidR="004A72AD" w:rsidRDefault="004A72AD" w:rsidP="004A72AD">
      <w:pPr>
        <w:pStyle w:val="RSCR02References"/>
      </w:pPr>
      <w:r>
        <w:t>J. Soto-Alvaredo, E. Blanco, J. Bettmer, D. Hevia, R.M. Sainz, C. López Cháves, C. Sánchez, J. Llopis, A. Sanz-Medel and M.M. Montes-Bayón, Metallomics,2014, 6, 9, 1702 - 1708</w:t>
      </w:r>
    </w:p>
    <w:p w14:paraId="0046C672" w14:textId="77777777" w:rsidR="004A72AD" w:rsidRDefault="004A72AD" w:rsidP="004A72AD">
      <w:pPr>
        <w:pStyle w:val="RSCR02References"/>
      </w:pPr>
      <w:r>
        <w:t>T.P. Cundy, W.J. Cundy, G. Antoniou, L.M. Sutherland, B.J.C Freeman and P.J. Cundy, J.European Spine Journal, 2014, 23, 11, 2393 - 2400</w:t>
      </w:r>
    </w:p>
    <w:p w14:paraId="3637BC23" w14:textId="77777777" w:rsidR="004A72AD" w:rsidRDefault="004A72AD" w:rsidP="004A72AD">
      <w:pPr>
        <w:pStyle w:val="RSCR02References"/>
      </w:pPr>
      <w:r>
        <w:t>T.P. Cundy , G. Antonio, L.M. Sutherl and , B.J.C. Freeman, P.J.  Cundy.Spine, 2013, 38, 7, 564 - 570</w:t>
      </w:r>
    </w:p>
    <w:p w14:paraId="13395174" w14:textId="77777777" w:rsidR="004A72AD" w:rsidRDefault="004A72AD" w:rsidP="004A72AD">
      <w:pPr>
        <w:pStyle w:val="RSCR02References"/>
      </w:pPr>
      <w:r>
        <w:t>A. MacNicoll,  M.Kelly, H. Aksoy, E. Kramer, H. Bouwmeester and Q. Chaudhry, J. Nanopart. Res. , 2015, 17, 66</w:t>
      </w:r>
    </w:p>
    <w:p w14:paraId="18F67CA0" w14:textId="77777777" w:rsidR="004A72AD" w:rsidRDefault="004A72AD" w:rsidP="004A72AD">
      <w:pPr>
        <w:pStyle w:val="RSCR02References"/>
      </w:pPr>
      <w:r>
        <w:t>L. Geraets, A.G. Oomen, P. Krystek, N.R. Jacobsen, H. Wallin, M. Laurentie, H. W. Verharen, E.F.A. Brandon and W.H. de Jong, Part.Fibre Toxicol., 2014, 11, 30</w:t>
      </w:r>
    </w:p>
    <w:p w14:paraId="4317C36B" w14:textId="77777777" w:rsidR="004A72AD" w:rsidRDefault="004A72AD" w:rsidP="004A72AD">
      <w:pPr>
        <w:pStyle w:val="RSCR02References"/>
      </w:pPr>
      <w:r>
        <w:t>M.F. Gornet, V Singh,F.W. Schranck, A.K. Skipor, J.J. Jacobs, Spine, 2017, 15, 42(6), 366-371</w:t>
      </w:r>
    </w:p>
    <w:p w14:paraId="716A2876" w14:textId="1F171880" w:rsidR="004A72AD" w:rsidRDefault="004A72AD" w:rsidP="00000304">
      <w:pPr>
        <w:pStyle w:val="RSCR02References"/>
      </w:pPr>
      <w:r>
        <w:t>W. J. Cundy, A. R. Mascarenhas, G. Antoniou, B. J. C. Freeman, P. J. Cundy, J. Child. Orthop., 2015, 9, 39–43</w:t>
      </w:r>
    </w:p>
    <w:p w14:paraId="109F362D" w14:textId="77777777" w:rsidR="004A72AD" w:rsidRDefault="004A72AD" w:rsidP="004A72AD">
      <w:pPr>
        <w:pStyle w:val="RSCR02References"/>
      </w:pPr>
      <w:r>
        <w:t xml:space="preserve"> G. W. Omlor, J. P. Kretzer, J. Reinders, M. R. Streit, T. Bruckner, T. Gotterbarm, P. R. Aldinger, C. Merle, Acta Biomater., 2013, 9, 6278–6282</w:t>
      </w:r>
    </w:p>
    <w:p w14:paraId="46EE17C4" w14:textId="77777777" w:rsidR="004A72AD" w:rsidRDefault="004A72AD" w:rsidP="004A72AD">
      <w:pPr>
        <w:pStyle w:val="RSCR02References"/>
      </w:pPr>
      <w:r>
        <w:t>W. Gofton, P. E. Beaule, J. Arthroplasty, 2015, 30, 1781–1786</w:t>
      </w:r>
    </w:p>
    <w:p w14:paraId="3712959E" w14:textId="77777777" w:rsidR="004A72AD" w:rsidRDefault="004A72AD" w:rsidP="004A72AD">
      <w:pPr>
        <w:pStyle w:val="RSCR02References"/>
      </w:pPr>
      <w:r>
        <w:t>L. S. Rylander, J. C. Milbrandt, E. Armington, M. Wilson, D. J. Olysav, Iowa Orthop. J., 2010, 30, 89–93</w:t>
      </w:r>
    </w:p>
    <w:p w14:paraId="01B29838" w14:textId="241A8329" w:rsidR="004A72AD" w:rsidRDefault="004A72AD" w:rsidP="00000304">
      <w:pPr>
        <w:pStyle w:val="RSCR02References"/>
      </w:pPr>
      <w:r>
        <w:t>E. Dunstan, A. P. Sanghrajka, S. Tilley, P. Unwin, G. Blunn, S. R. Cannon, T. W. R. Briggs, J. Bone Joint Surg. Br.,2005, 87, 628–631</w:t>
      </w:r>
    </w:p>
    <w:p w14:paraId="3B864C13" w14:textId="77777777" w:rsidR="004A72AD" w:rsidRDefault="004A72AD" w:rsidP="004A72AD">
      <w:pPr>
        <w:pStyle w:val="RSCR02References"/>
      </w:pPr>
      <w:r>
        <w:t>P.-A. Vendittoli, T. Amzica, A. G. Roy, D. Lusignan, J. Girard M. Lavigne, J. Arthroplasty, 2011, 26, 282–288</w:t>
      </w:r>
    </w:p>
    <w:p w14:paraId="2A21436E" w14:textId="77777777" w:rsidR="004A72AD" w:rsidRDefault="004A72AD" w:rsidP="004A72AD">
      <w:pPr>
        <w:pStyle w:val="RSCR02References"/>
      </w:pPr>
      <w:r>
        <w:t>S. Grosse, H. K. Haugland, P. Lilleng, P. Ellison, G. Hallan, P. J. Høl, J. Biomed. Mater. Res., Part B, 2015, 103, 709–717</w:t>
      </w:r>
    </w:p>
    <w:p w14:paraId="6EC9A8DC" w14:textId="085931DC" w:rsidR="004A72AD" w:rsidRDefault="004A72AD" w:rsidP="00000304">
      <w:pPr>
        <w:pStyle w:val="RSCR02References"/>
      </w:pPr>
      <w:r>
        <w:t>C. Harrington, Royal Surrey County NHS Foundation Trust, BNASS and TraceSpec Aberdeen 2014, Conference paper</w:t>
      </w:r>
    </w:p>
    <w:p w14:paraId="495FE320" w14:textId="77777777" w:rsidR="004A72AD" w:rsidRDefault="004A72AD" w:rsidP="004A72AD">
      <w:pPr>
        <w:pStyle w:val="RSCR02References"/>
      </w:pPr>
      <w:r>
        <w:t>C.F. Harrington, C. McKibben, M. Rahanu, D. Langton, A. Taylor, Analls Clin. Biochem., 2017, 54, 362-369</w:t>
      </w:r>
    </w:p>
    <w:p w14:paraId="7E992F58" w14:textId="77777777" w:rsidR="004A72AD" w:rsidRDefault="004A72AD" w:rsidP="004A72AD">
      <w:pPr>
        <w:pStyle w:val="RSCR02References"/>
      </w:pPr>
      <w:r>
        <w:t>L. Balcaen, E. Bolea-Fernandez, M. Resano and F. Vanhaecke, Anal. Chim. Acta, 2014, 809, 1– 8</w:t>
      </w:r>
    </w:p>
    <w:p w14:paraId="55BA3250" w14:textId="77777777" w:rsidR="004A72AD" w:rsidRDefault="004A72AD" w:rsidP="004A72AD">
      <w:pPr>
        <w:pStyle w:val="RSCR02References"/>
      </w:pPr>
      <w:r>
        <w:t>J. Boeckmann, H. Lahl and B. Unterhalt, Pharmazie, 2000,  55(2):140-3</w:t>
      </w:r>
    </w:p>
    <w:p w14:paraId="36A174C4" w14:textId="2631DEB4" w:rsidR="004A72AD" w:rsidRDefault="004A72AD" w:rsidP="00000304">
      <w:pPr>
        <w:pStyle w:val="RSCR02References"/>
      </w:pPr>
      <w:r>
        <w:t>P. Boyer, J. Y. Lazennec, J. Poupon, M. A. Rousseau, P. Ravaud, Y. Catonne, Int. Orthop., 2009, 33, 1209–1215</w:t>
      </w:r>
    </w:p>
    <w:p w14:paraId="5D273000" w14:textId="1ED97E65" w:rsidR="004A72AD" w:rsidRDefault="004A72AD" w:rsidP="00000304">
      <w:pPr>
        <w:pStyle w:val="RSCR02References"/>
      </w:pPr>
      <w:r>
        <w:t>J.-Y. Lazennec, P. Boyer, J. Poupon, M.-A. Rousseau, C. Roy, P. Ravaud, Y. Catonne, Y. Catonne, Acta Orthop., 2009, 80, 168–173</w:t>
      </w:r>
    </w:p>
    <w:p w14:paraId="43695587" w14:textId="77777777" w:rsidR="004A72AD" w:rsidRDefault="004A72AD" w:rsidP="004A72AD">
      <w:pPr>
        <w:pStyle w:val="RSCR02References"/>
      </w:pPr>
      <w:r>
        <w:t>G. D. Krischak, F. Gebhard, W. Mohr, V. Krivan, A. Ignatius, A. Beck, N. J. Wachter, P. Reuter, M. Arand, L. Kinzl, L. E. Claes, Arch. Orthop. Trauma Surg., 2004, 124, 104–113</w:t>
      </w:r>
    </w:p>
    <w:p w14:paraId="3B02FA9A" w14:textId="77777777" w:rsidR="004A72AD" w:rsidRDefault="004A72AD" w:rsidP="004A72AD">
      <w:pPr>
        <w:pStyle w:val="RSCR02References"/>
      </w:pPr>
      <w:r>
        <w:t>T.J. Einhäuser, T.G. Pieper and B.K. Keppler, J. Anal. At. Spectrom., 1998, 13,1173-1176</w:t>
      </w:r>
    </w:p>
    <w:p w14:paraId="7C54C89F" w14:textId="77777777" w:rsidR="004A72AD" w:rsidRDefault="004A72AD" w:rsidP="004A72AD">
      <w:pPr>
        <w:pStyle w:val="RSCR02References"/>
      </w:pPr>
      <w:r>
        <w:t>B. Burian, M.A. Wimme, J. Kunze, C.M. Sprecher, P.H. Pennekamp, L.V. Von Engelhardt, O. Diedrich and C.N. Kraft, Zeitschrift fur Orthopadie und Ihre Grenzgebiete, 2006, 144, 5, 539 - 544</w:t>
      </w:r>
    </w:p>
    <w:p w14:paraId="5BA1846E" w14:textId="77777777" w:rsidR="004A72AD" w:rsidRDefault="004A72AD" w:rsidP="004A72AD">
      <w:pPr>
        <w:pStyle w:val="RSCR02References"/>
      </w:pPr>
      <w:r>
        <w:t>L. Savarino, D. Tigani, M. Greco, N. Baldini, and A. Giunti, J. of Bone and Joint Surgery - Series B , 2010, 92, 5, 634 - 638</w:t>
      </w:r>
    </w:p>
    <w:p w14:paraId="5E6255C9" w14:textId="77777777" w:rsidR="004A72AD" w:rsidRDefault="004A72AD" w:rsidP="004A72AD">
      <w:pPr>
        <w:pStyle w:val="RSCR02References"/>
      </w:pPr>
      <w:r>
        <w:t>T.K. Liu, S.H. Liu, C.H.Chang, R.S. Yang,  J Exp Med 1998,185,253–62</w:t>
      </w:r>
    </w:p>
    <w:p w14:paraId="7E720655" w14:textId="4E9F0140" w:rsidR="004A72AD" w:rsidRDefault="004A72AD" w:rsidP="00000304">
      <w:pPr>
        <w:pStyle w:val="RSCR02References"/>
      </w:pPr>
      <w:r>
        <w:t>V. J. Rasquinha, C. S. Ranawat, J. Weiskopf, J. A. Rodriguez, A. K. Skipor,  J. J. Jacobs, J. Arthroplasty, 2006, 21, 47–52</w:t>
      </w:r>
    </w:p>
    <w:p w14:paraId="7769F51E" w14:textId="77777777" w:rsidR="004A72AD" w:rsidRDefault="004A72AD" w:rsidP="004A72AD">
      <w:pPr>
        <w:pStyle w:val="RSCR02References"/>
      </w:pPr>
      <w:r>
        <w:t xml:space="preserve"> T.W. May, R.H. Wiedmeyer, At. Spectrosc., 19, 1998, 150-155</w:t>
      </w:r>
    </w:p>
    <w:p w14:paraId="36ED850C" w14:textId="77777777" w:rsidR="004A72AD" w:rsidRDefault="004A72AD" w:rsidP="004A72AD">
      <w:pPr>
        <w:pStyle w:val="RSCR02References"/>
      </w:pPr>
      <w:r>
        <w:t xml:space="preserve"> P. Krystek, J.Tentschert, Y.Nia, B. Trouiller L. Noel, M.E. Goetz, A. Papin, A. Luch, T. Guerin and W.H. de Jong,  Anal. Bioanal. Chem. 2014, 406, 3853-3861</w:t>
      </w:r>
    </w:p>
    <w:p w14:paraId="14C6C575" w14:textId="77777777" w:rsidR="004A72AD" w:rsidRDefault="004A72AD" w:rsidP="004A72AD">
      <w:pPr>
        <w:pStyle w:val="RSCR02References"/>
      </w:pPr>
      <w:r>
        <w:t>Y. Nia, S. Millour, L. Noël, P. Krystek, W. de Jong and T. Guérin, Nanomed. Nanotechnol., 2015, 6,2</w:t>
      </w:r>
    </w:p>
    <w:p w14:paraId="5467D5E4" w14:textId="045D1742" w:rsidR="004A72AD" w:rsidRDefault="004A72AD" w:rsidP="004A72AD">
      <w:pPr>
        <w:pStyle w:val="RSCR02References"/>
      </w:pPr>
      <w:r w:rsidRPr="008A0D14">
        <w:rPr>
          <w:lang w:val="de-DE"/>
        </w:rPr>
        <w:t xml:space="preserve">M. Witzler, F. Küllmer and K. Günther, Anal. </w:t>
      </w:r>
      <w:r>
        <w:t>Letters, 2017,3-21R.</w:t>
      </w:r>
    </w:p>
    <w:p w14:paraId="06A52EF3" w14:textId="4FB48231" w:rsidR="00C43CB7" w:rsidRPr="00241ACD" w:rsidRDefault="004A72AD" w:rsidP="004A72AD">
      <w:pPr>
        <w:pStyle w:val="RSCR02References"/>
      </w:pPr>
      <w:r>
        <w:t>Peters, Z. Herrera-Rivera, A. Undas, M. van der Lee, H. Marvin,H. Bouwmeester, S. Weigel, J. Anal. At. Spectrom., 2015, 30, 1274</w:t>
      </w:r>
    </w:p>
    <w:sectPr w:rsidR="00C43CB7" w:rsidRPr="00241ACD" w:rsidSect="00C23ECD">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C9709" w14:textId="77777777" w:rsidR="00505775" w:rsidRDefault="00505775" w:rsidP="00E547DB">
      <w:pPr>
        <w:spacing w:after="0" w:line="240" w:lineRule="auto"/>
      </w:pPr>
      <w:r>
        <w:separator/>
      </w:r>
    </w:p>
    <w:p w14:paraId="11AB1FF2" w14:textId="77777777" w:rsidR="00505775" w:rsidRDefault="00505775"/>
    <w:p w14:paraId="6CF53B10" w14:textId="77777777" w:rsidR="00505775" w:rsidRDefault="00505775"/>
    <w:p w14:paraId="16E7BED7" w14:textId="77777777" w:rsidR="00505775" w:rsidRDefault="00505775"/>
    <w:p w14:paraId="5390F27B" w14:textId="77777777" w:rsidR="00505775" w:rsidRDefault="00505775"/>
    <w:p w14:paraId="7AB3313F" w14:textId="77777777" w:rsidR="00505775" w:rsidRDefault="00505775"/>
  </w:endnote>
  <w:endnote w:type="continuationSeparator" w:id="0">
    <w:p w14:paraId="76211E04" w14:textId="77777777" w:rsidR="00505775" w:rsidRDefault="00505775" w:rsidP="00E547DB">
      <w:pPr>
        <w:spacing w:after="0" w:line="240" w:lineRule="auto"/>
      </w:pPr>
      <w:r>
        <w:continuationSeparator/>
      </w:r>
    </w:p>
    <w:p w14:paraId="6F8974A3" w14:textId="77777777" w:rsidR="00505775" w:rsidRDefault="00505775"/>
    <w:p w14:paraId="074C94B8" w14:textId="77777777" w:rsidR="00505775" w:rsidRDefault="00505775"/>
    <w:p w14:paraId="1FF201EE" w14:textId="77777777" w:rsidR="00505775" w:rsidRDefault="00505775"/>
    <w:p w14:paraId="2240CBF3" w14:textId="77777777" w:rsidR="00505775" w:rsidRDefault="00505775"/>
    <w:p w14:paraId="2ADCDD81" w14:textId="77777777" w:rsidR="00505775" w:rsidRDefault="005057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582E2B8-1903-4B5C-8095-6184606E2BA1}"/>
    <w:embedBold r:id="rId2" w:fontKey="{64E6D110-CBA4-43DC-869C-BC1A9954AFD6}"/>
    <w:embedItalic r:id="rId3" w:fontKey="{BAB13C6D-8FA1-4812-9FE2-058522AB5F5F}"/>
  </w:font>
  <w:font w:name="Tahoma">
    <w:panose1 w:val="020B0604030504040204"/>
    <w:charset w:val="00"/>
    <w:family w:val="swiss"/>
    <w:pitch w:val="variable"/>
    <w:sig w:usb0="E1002EFF" w:usb1="C000605B" w:usb2="00000029" w:usb3="00000000" w:csb0="000101FF" w:csb1="00000000"/>
    <w:embedRegular r:id="rId4" w:fontKey="{F8142B59-62FC-4587-BEC6-C8F3F6903031}"/>
  </w:font>
  <w:font w:name="Wingdings 3">
    <w:panose1 w:val="05040102010807070707"/>
    <w:charset w:val="02"/>
    <w:family w:val="roman"/>
    <w:pitch w:val="variable"/>
    <w:sig w:usb0="00000000" w:usb1="10000000" w:usb2="00000000" w:usb3="00000000" w:csb0="80000000" w:csb1="00000000"/>
    <w:embedRegular r:id="rId5" w:fontKey="{41225B5F-4E35-4D45-BD66-45A4A43DAACD}"/>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embedRegular r:id="rId6" w:fontKey="{22B95092-2A9A-4C54-919A-14063444A851}"/>
  </w:font>
  <w:font w:name="Helvetica">
    <w:panose1 w:val="020B0604020202020204"/>
    <w:charset w:val="00"/>
    <w:family w:val="swiss"/>
    <w:pitch w:val="variable"/>
    <w:sig w:usb0="E0002AFF" w:usb1="C0007843" w:usb2="00000009" w:usb3="00000000" w:csb0="000001FF" w:csb1="00000000"/>
    <w:embedRegular r:id="rId7" w:fontKey="{EBB26D74-76C0-469E-BC8B-130CEE013DA7}"/>
  </w:font>
  <w:font w:name="Cambria">
    <w:panose1 w:val="02040503050406030204"/>
    <w:charset w:val="00"/>
    <w:family w:val="roman"/>
    <w:pitch w:val="variable"/>
    <w:sig w:usb0="E00002FF" w:usb1="400004FF" w:usb2="00000000" w:usb3="00000000" w:csb0="0000019F" w:csb1="00000000"/>
    <w:embedRegular r:id="rId8" w:fontKey="{CD32B5A8-24DB-4B5B-B9CE-1431F572BF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B37F0" w14:textId="77777777" w:rsidR="00AD35CE" w:rsidRPr="006602F1" w:rsidRDefault="00AD35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405EE7">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7DC19" w14:textId="77777777" w:rsidR="00AD35CE" w:rsidRPr="006602F1" w:rsidRDefault="00AD35C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05EE7">
      <w:rPr>
        <w:b/>
        <w:noProof/>
        <w:spacing w:val="10"/>
        <w:sz w:val="16"/>
        <w:szCs w:val="16"/>
      </w:rPr>
      <w:t>9</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DBF1F" w14:textId="77777777" w:rsidR="00505775" w:rsidRDefault="00505775" w:rsidP="00E547DB">
      <w:pPr>
        <w:spacing w:after="0" w:line="240" w:lineRule="auto"/>
      </w:pPr>
      <w:r>
        <w:separator/>
      </w:r>
    </w:p>
    <w:p w14:paraId="6D89F1D5" w14:textId="77777777" w:rsidR="00505775" w:rsidRDefault="00505775"/>
    <w:p w14:paraId="600F75F5" w14:textId="77777777" w:rsidR="00505775" w:rsidRDefault="00505775"/>
    <w:p w14:paraId="4C2D2254" w14:textId="77777777" w:rsidR="00505775" w:rsidRDefault="00505775"/>
    <w:p w14:paraId="7A8AC0B0" w14:textId="77777777" w:rsidR="00505775" w:rsidRDefault="00505775"/>
    <w:p w14:paraId="380F076A" w14:textId="77777777" w:rsidR="00505775" w:rsidRDefault="00505775"/>
  </w:footnote>
  <w:footnote w:type="continuationSeparator" w:id="0">
    <w:p w14:paraId="0C89BD18" w14:textId="77777777" w:rsidR="00505775" w:rsidRDefault="00505775" w:rsidP="00E547DB">
      <w:pPr>
        <w:spacing w:after="0" w:line="240" w:lineRule="auto"/>
      </w:pPr>
      <w:r>
        <w:continuationSeparator/>
      </w:r>
    </w:p>
    <w:p w14:paraId="1B280349" w14:textId="77777777" w:rsidR="00505775" w:rsidRDefault="00505775"/>
    <w:p w14:paraId="6912B885" w14:textId="77777777" w:rsidR="00505775" w:rsidRDefault="00505775"/>
    <w:p w14:paraId="0E3DBE94" w14:textId="77777777" w:rsidR="00505775" w:rsidRDefault="00505775"/>
    <w:p w14:paraId="71C4FBB2" w14:textId="77777777" w:rsidR="00505775" w:rsidRDefault="00505775"/>
    <w:p w14:paraId="2CF8C3E4" w14:textId="77777777" w:rsidR="00505775" w:rsidRDefault="005057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EF1F7" w14:textId="77777777" w:rsidR="00AD35CE" w:rsidRPr="00E70DCE" w:rsidRDefault="00AD35CE"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BABFF60" wp14:editId="6070B7B3">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ABAB491"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ABFF60"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0ABAB491"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F444636" wp14:editId="59466CF1">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418E02F"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44636"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418E02F"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D7A24" w14:textId="77777777" w:rsidR="00AD35CE" w:rsidRPr="009316A6" w:rsidRDefault="00AD35CE"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DCE45E5" wp14:editId="6D5C550E">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356D2F"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CE45E5"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38356D2F"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0A37E576" wp14:editId="1D6A9E96">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9D5E0E4"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37E576"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9D5E0E4"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2A614" w14:textId="77777777" w:rsidR="00AD35CE" w:rsidRDefault="00AD35CE"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E52953E" wp14:editId="61344091">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2E0DFA8"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52953E"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2E0DFA8" w14:textId="77777777" w:rsidR="00AD35CE" w:rsidRPr="00F20A7C" w:rsidRDefault="00AD35C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Analyst</w:t>
    </w:r>
    <w:r>
      <w:rPr>
        <w:b/>
        <w:sz w:val="32"/>
        <w:szCs w:val="32"/>
      </w:rPr>
      <w:tab/>
    </w:r>
    <w:r>
      <w:rPr>
        <w:b/>
        <w:noProof/>
        <w:sz w:val="32"/>
        <w:szCs w:val="32"/>
        <w:lang w:eastAsia="en-GB"/>
      </w:rPr>
      <w:drawing>
        <wp:inline distT="0" distB="0" distL="0" distR="0" wp14:anchorId="2C9DDABC" wp14:editId="3EDD32E4">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750A12F2" w14:textId="77777777" w:rsidR="00AD35CE" w:rsidRPr="00180ABE" w:rsidRDefault="00AD35C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84A1F"/>
    <w:multiLevelType w:val="hybridMultilevel"/>
    <w:tmpl w:val="A788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D4254"/>
    <w:multiLevelType w:val="hybridMultilevel"/>
    <w:tmpl w:val="FF98292E"/>
    <w:lvl w:ilvl="0" w:tplc="58D2FCC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20865EF"/>
    <w:multiLevelType w:val="hybridMultilevel"/>
    <w:tmpl w:val="9A02B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603AE4"/>
    <w:multiLevelType w:val="hybridMultilevel"/>
    <w:tmpl w:val="11BE1F4A"/>
    <w:lvl w:ilvl="0" w:tplc="0420B7B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50855"/>
    <w:multiLevelType w:val="multilevel"/>
    <w:tmpl w:val="510ED9D4"/>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0F4D56"/>
    <w:multiLevelType w:val="hybridMultilevel"/>
    <w:tmpl w:val="23B67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1A34BE"/>
    <w:multiLevelType w:val="multilevel"/>
    <w:tmpl w:val="08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7E0341"/>
    <w:multiLevelType w:val="hybridMultilevel"/>
    <w:tmpl w:val="4E602936"/>
    <w:lvl w:ilvl="0" w:tplc="72209B16">
      <w:start w:val="1"/>
      <w:numFmt w:val="bullet"/>
      <w:lvlText w:val=""/>
      <w:lvlJc w:val="left"/>
      <w:pPr>
        <w:ind w:left="720" w:hanging="360"/>
      </w:pPr>
      <w:rPr>
        <w:rFonts w:ascii="Symbol" w:hAnsi="Symbol" w:hint="default"/>
        <w:strike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B3C27"/>
    <w:multiLevelType w:val="hybridMultilevel"/>
    <w:tmpl w:val="C9F091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9051F5"/>
    <w:multiLevelType w:val="hybridMultilevel"/>
    <w:tmpl w:val="FD648062"/>
    <w:lvl w:ilvl="0" w:tplc="27A6756E">
      <w:start w:val="1"/>
      <w:numFmt w:val="decimal"/>
      <w:pStyle w:val="RSCR02References"/>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C4793E"/>
    <w:multiLevelType w:val="hybridMultilevel"/>
    <w:tmpl w:val="B1D82A30"/>
    <w:lvl w:ilvl="0" w:tplc="4D66A708">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63B7F8E"/>
    <w:multiLevelType w:val="multilevel"/>
    <w:tmpl w:val="F4447982"/>
    <w:styleLink w:val="Style2"/>
    <w:lvl w:ilvl="0">
      <w:start w:val="3"/>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760A8A"/>
    <w:multiLevelType w:val="hybridMultilevel"/>
    <w:tmpl w:val="ED0EE5EA"/>
    <w:lvl w:ilvl="0" w:tplc="0809000F">
      <w:start w:val="1"/>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E20B3"/>
    <w:multiLevelType w:val="multilevel"/>
    <w:tmpl w:val="F4447982"/>
    <w:numStyleLink w:val="Style2"/>
  </w:abstractNum>
  <w:abstractNum w:abstractNumId="19" w15:restartNumberingAfterBreak="0">
    <w:nsid w:val="52862F28"/>
    <w:multiLevelType w:val="hybridMultilevel"/>
    <w:tmpl w:val="8822E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8F140C"/>
    <w:multiLevelType w:val="hybridMultilevel"/>
    <w:tmpl w:val="375C43FA"/>
    <w:lvl w:ilvl="0" w:tplc="694054B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67E7EED"/>
    <w:multiLevelType w:val="hybridMultilevel"/>
    <w:tmpl w:val="7158B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C2512D"/>
    <w:multiLevelType w:val="hybridMultilevel"/>
    <w:tmpl w:val="D6E237D4"/>
    <w:lvl w:ilvl="0" w:tplc="0420B7BA">
      <w:start w:val="5"/>
      <w:numFmt w:val="decimal"/>
      <w:lvlText w:val="%1."/>
      <w:lvlJc w:val="left"/>
      <w:pPr>
        <w:ind w:left="121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23"/>
  </w:num>
  <w:num w:numId="5">
    <w:abstractNumId w:val="17"/>
  </w:num>
  <w:num w:numId="6">
    <w:abstractNumId w:val="5"/>
  </w:num>
  <w:num w:numId="7">
    <w:abstractNumId w:val="14"/>
  </w:num>
  <w:num w:numId="8">
    <w:abstractNumId w:val="1"/>
  </w:num>
  <w:num w:numId="9">
    <w:abstractNumId w:val="21"/>
  </w:num>
  <w:num w:numId="10">
    <w:abstractNumId w:val="19"/>
  </w:num>
  <w:num w:numId="11">
    <w:abstractNumId w:val="16"/>
  </w:num>
  <w:num w:numId="12">
    <w:abstractNumId w:val="20"/>
  </w:num>
  <w:num w:numId="13">
    <w:abstractNumId w:val="13"/>
  </w:num>
  <w:num w:numId="14">
    <w:abstractNumId w:val="13"/>
    <w:lvlOverride w:ilvl="0">
      <w:startOverride w:val="1"/>
    </w:lvlOverride>
  </w:num>
  <w:num w:numId="15">
    <w:abstractNumId w:val="13"/>
    <w:lvlOverride w:ilvl="0">
      <w:startOverride w:val="100"/>
    </w:lvlOverride>
  </w:num>
  <w:num w:numId="16">
    <w:abstractNumId w:val="11"/>
  </w:num>
  <w:num w:numId="17">
    <w:abstractNumId w:val="11"/>
    <w:lvlOverride w:ilvl="0">
      <w:startOverride w:val="101"/>
    </w:lvlOverride>
  </w:num>
  <w:num w:numId="18">
    <w:abstractNumId w:val="18"/>
  </w:num>
  <w:num w:numId="19">
    <w:abstractNumId w:val="10"/>
  </w:num>
  <w:num w:numId="20">
    <w:abstractNumId w:val="2"/>
  </w:num>
  <w:num w:numId="21">
    <w:abstractNumId w:val="6"/>
  </w:num>
  <w:num w:numId="22">
    <w:abstractNumId w:val="11"/>
    <w:lvlOverride w:ilvl="0">
      <w:startOverride w:val="1"/>
    </w:lvlOverride>
  </w:num>
  <w:num w:numId="23">
    <w:abstractNumId w:val="15"/>
  </w:num>
  <w:num w:numId="24">
    <w:abstractNumId w:val="8"/>
  </w:num>
  <w:num w:numId="25">
    <w:abstractNumId w:val="7"/>
  </w:num>
  <w:num w:numId="26">
    <w:abstractNumId w:val="9"/>
  </w:num>
  <w:num w:numId="27">
    <w:abstractNumId w:val="0"/>
  </w:num>
  <w:num w:numId="28">
    <w:abstractNumId w:val="22"/>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stylePaneSortMethod w:val="0000"/>
  <w:defaultTabStop w:val="284"/>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FB9"/>
    <w:rsid w:val="00000304"/>
    <w:rsid w:val="000016BD"/>
    <w:rsid w:val="00001BE6"/>
    <w:rsid w:val="00002321"/>
    <w:rsid w:val="00005B8A"/>
    <w:rsid w:val="00007770"/>
    <w:rsid w:val="00007C4E"/>
    <w:rsid w:val="00011A26"/>
    <w:rsid w:val="00012EBB"/>
    <w:rsid w:val="0001468D"/>
    <w:rsid w:val="000157D4"/>
    <w:rsid w:val="00016581"/>
    <w:rsid w:val="00017670"/>
    <w:rsid w:val="00022D8A"/>
    <w:rsid w:val="00026B61"/>
    <w:rsid w:val="00030F7A"/>
    <w:rsid w:val="000357A9"/>
    <w:rsid w:val="00044505"/>
    <w:rsid w:val="00044D26"/>
    <w:rsid w:val="00045A42"/>
    <w:rsid w:val="00045C22"/>
    <w:rsid w:val="000539C6"/>
    <w:rsid w:val="00061E68"/>
    <w:rsid w:val="000622D1"/>
    <w:rsid w:val="00067F56"/>
    <w:rsid w:val="00071E41"/>
    <w:rsid w:val="0007287A"/>
    <w:rsid w:val="00073639"/>
    <w:rsid w:val="0007659C"/>
    <w:rsid w:val="00090433"/>
    <w:rsid w:val="00090858"/>
    <w:rsid w:val="000918A0"/>
    <w:rsid w:val="00093057"/>
    <w:rsid w:val="000978BF"/>
    <w:rsid w:val="000A2670"/>
    <w:rsid w:val="000A38E7"/>
    <w:rsid w:val="000C0A9D"/>
    <w:rsid w:val="000C1BF0"/>
    <w:rsid w:val="000C3587"/>
    <w:rsid w:val="000C3D4F"/>
    <w:rsid w:val="000C579B"/>
    <w:rsid w:val="000C5C6A"/>
    <w:rsid w:val="000D2FAC"/>
    <w:rsid w:val="000D4D21"/>
    <w:rsid w:val="000D5891"/>
    <w:rsid w:val="000D6963"/>
    <w:rsid w:val="000D7000"/>
    <w:rsid w:val="000D79D8"/>
    <w:rsid w:val="000D7FE8"/>
    <w:rsid w:val="000E27DE"/>
    <w:rsid w:val="000E5F4F"/>
    <w:rsid w:val="000E7A32"/>
    <w:rsid w:val="000E7C04"/>
    <w:rsid w:val="000F0294"/>
    <w:rsid w:val="000F0959"/>
    <w:rsid w:val="000F15F4"/>
    <w:rsid w:val="000F3A41"/>
    <w:rsid w:val="000F5A44"/>
    <w:rsid w:val="001011C9"/>
    <w:rsid w:val="00102B4E"/>
    <w:rsid w:val="00106E28"/>
    <w:rsid w:val="00107367"/>
    <w:rsid w:val="001100AB"/>
    <w:rsid w:val="001163B9"/>
    <w:rsid w:val="00116937"/>
    <w:rsid w:val="00120227"/>
    <w:rsid w:val="00124C98"/>
    <w:rsid w:val="00126027"/>
    <w:rsid w:val="00131ACF"/>
    <w:rsid w:val="00131D5C"/>
    <w:rsid w:val="00131DDD"/>
    <w:rsid w:val="00131ED9"/>
    <w:rsid w:val="00140102"/>
    <w:rsid w:val="001402A9"/>
    <w:rsid w:val="0014299C"/>
    <w:rsid w:val="00145BDF"/>
    <w:rsid w:val="001508E9"/>
    <w:rsid w:val="00153529"/>
    <w:rsid w:val="00154892"/>
    <w:rsid w:val="00154AA1"/>
    <w:rsid w:val="00156037"/>
    <w:rsid w:val="001633D9"/>
    <w:rsid w:val="00163BFC"/>
    <w:rsid w:val="00164CB1"/>
    <w:rsid w:val="00165153"/>
    <w:rsid w:val="00166F2F"/>
    <w:rsid w:val="00173B44"/>
    <w:rsid w:val="0017424B"/>
    <w:rsid w:val="00174F6B"/>
    <w:rsid w:val="0017573B"/>
    <w:rsid w:val="00176974"/>
    <w:rsid w:val="00180ABE"/>
    <w:rsid w:val="00183120"/>
    <w:rsid w:val="00191C42"/>
    <w:rsid w:val="001923AB"/>
    <w:rsid w:val="001927E2"/>
    <w:rsid w:val="00192F50"/>
    <w:rsid w:val="001967E7"/>
    <w:rsid w:val="001A1783"/>
    <w:rsid w:val="001A2268"/>
    <w:rsid w:val="001B1B30"/>
    <w:rsid w:val="001B3D1A"/>
    <w:rsid w:val="001B4EF6"/>
    <w:rsid w:val="001B588E"/>
    <w:rsid w:val="001C1EB8"/>
    <w:rsid w:val="001C3A82"/>
    <w:rsid w:val="001C4299"/>
    <w:rsid w:val="001C682D"/>
    <w:rsid w:val="001D0F8E"/>
    <w:rsid w:val="001D36A0"/>
    <w:rsid w:val="001D3DD1"/>
    <w:rsid w:val="001D4559"/>
    <w:rsid w:val="001D5442"/>
    <w:rsid w:val="001E0410"/>
    <w:rsid w:val="001E0FFE"/>
    <w:rsid w:val="001E2D1D"/>
    <w:rsid w:val="001E6BA0"/>
    <w:rsid w:val="001F13F1"/>
    <w:rsid w:val="001F6845"/>
    <w:rsid w:val="0020020A"/>
    <w:rsid w:val="00206A82"/>
    <w:rsid w:val="00211740"/>
    <w:rsid w:val="00214792"/>
    <w:rsid w:val="00214BEC"/>
    <w:rsid w:val="00216291"/>
    <w:rsid w:val="002230AE"/>
    <w:rsid w:val="00224DC0"/>
    <w:rsid w:val="002257B3"/>
    <w:rsid w:val="002259F3"/>
    <w:rsid w:val="0022752B"/>
    <w:rsid w:val="0023084D"/>
    <w:rsid w:val="002309DC"/>
    <w:rsid w:val="00231C0E"/>
    <w:rsid w:val="00231CCE"/>
    <w:rsid w:val="00231F53"/>
    <w:rsid w:val="00235641"/>
    <w:rsid w:val="00235F97"/>
    <w:rsid w:val="00236040"/>
    <w:rsid w:val="00237C8A"/>
    <w:rsid w:val="0024022C"/>
    <w:rsid w:val="00241ACD"/>
    <w:rsid w:val="002443E4"/>
    <w:rsid w:val="00250FE4"/>
    <w:rsid w:val="00253551"/>
    <w:rsid w:val="002545D0"/>
    <w:rsid w:val="002556D1"/>
    <w:rsid w:val="0026270A"/>
    <w:rsid w:val="002649FF"/>
    <w:rsid w:val="00266DCA"/>
    <w:rsid w:val="00270BEF"/>
    <w:rsid w:val="00270DD5"/>
    <w:rsid w:val="00271235"/>
    <w:rsid w:val="00272D6F"/>
    <w:rsid w:val="00273DB5"/>
    <w:rsid w:val="00274A22"/>
    <w:rsid w:val="002802A9"/>
    <w:rsid w:val="00281007"/>
    <w:rsid w:val="00281056"/>
    <w:rsid w:val="002823CF"/>
    <w:rsid w:val="00283B86"/>
    <w:rsid w:val="00283C75"/>
    <w:rsid w:val="00285919"/>
    <w:rsid w:val="00287577"/>
    <w:rsid w:val="002901E1"/>
    <w:rsid w:val="00291454"/>
    <w:rsid w:val="002921AD"/>
    <w:rsid w:val="00292739"/>
    <w:rsid w:val="00293009"/>
    <w:rsid w:val="00296FAD"/>
    <w:rsid w:val="002A15E1"/>
    <w:rsid w:val="002A23D5"/>
    <w:rsid w:val="002A5421"/>
    <w:rsid w:val="002A6077"/>
    <w:rsid w:val="002A61B1"/>
    <w:rsid w:val="002B0BB6"/>
    <w:rsid w:val="002B386D"/>
    <w:rsid w:val="002B4C62"/>
    <w:rsid w:val="002B6601"/>
    <w:rsid w:val="002B6936"/>
    <w:rsid w:val="002C0803"/>
    <w:rsid w:val="002C1E8E"/>
    <w:rsid w:val="002C251C"/>
    <w:rsid w:val="002C3D7C"/>
    <w:rsid w:val="002C783F"/>
    <w:rsid w:val="002D479C"/>
    <w:rsid w:val="002D47A0"/>
    <w:rsid w:val="002D6C70"/>
    <w:rsid w:val="002E0DBC"/>
    <w:rsid w:val="002E5B1D"/>
    <w:rsid w:val="002E7066"/>
    <w:rsid w:val="002F04C8"/>
    <w:rsid w:val="002F2F7F"/>
    <w:rsid w:val="002F52C3"/>
    <w:rsid w:val="00303176"/>
    <w:rsid w:val="0030326F"/>
    <w:rsid w:val="00307465"/>
    <w:rsid w:val="00311ABD"/>
    <w:rsid w:val="0031612B"/>
    <w:rsid w:val="00333D10"/>
    <w:rsid w:val="00335FA3"/>
    <w:rsid w:val="00340FB1"/>
    <w:rsid w:val="0034139D"/>
    <w:rsid w:val="00342533"/>
    <w:rsid w:val="0034276C"/>
    <w:rsid w:val="003442E2"/>
    <w:rsid w:val="00352029"/>
    <w:rsid w:val="00352AA4"/>
    <w:rsid w:val="00354579"/>
    <w:rsid w:val="00356F00"/>
    <w:rsid w:val="003606D6"/>
    <w:rsid w:val="00361A5B"/>
    <w:rsid w:val="003649BC"/>
    <w:rsid w:val="00367596"/>
    <w:rsid w:val="00370630"/>
    <w:rsid w:val="00371EDE"/>
    <w:rsid w:val="003722B6"/>
    <w:rsid w:val="0037256C"/>
    <w:rsid w:val="0037358B"/>
    <w:rsid w:val="003755E0"/>
    <w:rsid w:val="00375E7B"/>
    <w:rsid w:val="00377481"/>
    <w:rsid w:val="00382A1F"/>
    <w:rsid w:val="003836DE"/>
    <w:rsid w:val="00385965"/>
    <w:rsid w:val="00387928"/>
    <w:rsid w:val="0039790B"/>
    <w:rsid w:val="003A149D"/>
    <w:rsid w:val="003A2CFF"/>
    <w:rsid w:val="003A2DEB"/>
    <w:rsid w:val="003A4F64"/>
    <w:rsid w:val="003A7E95"/>
    <w:rsid w:val="003B211F"/>
    <w:rsid w:val="003B54F0"/>
    <w:rsid w:val="003B6F63"/>
    <w:rsid w:val="003B739C"/>
    <w:rsid w:val="003B7534"/>
    <w:rsid w:val="003C09E5"/>
    <w:rsid w:val="003C1C35"/>
    <w:rsid w:val="003C328B"/>
    <w:rsid w:val="003C6313"/>
    <w:rsid w:val="003C634B"/>
    <w:rsid w:val="003C65B4"/>
    <w:rsid w:val="003C758F"/>
    <w:rsid w:val="003D1B25"/>
    <w:rsid w:val="003D2970"/>
    <w:rsid w:val="003D322D"/>
    <w:rsid w:val="003D4A92"/>
    <w:rsid w:val="003D4ECA"/>
    <w:rsid w:val="003D5708"/>
    <w:rsid w:val="003D6715"/>
    <w:rsid w:val="003E1F18"/>
    <w:rsid w:val="003E2D3A"/>
    <w:rsid w:val="003E55B2"/>
    <w:rsid w:val="003E6858"/>
    <w:rsid w:val="003E6C90"/>
    <w:rsid w:val="003E748D"/>
    <w:rsid w:val="003E7E3F"/>
    <w:rsid w:val="003E7EC5"/>
    <w:rsid w:val="003F0220"/>
    <w:rsid w:val="003F0309"/>
    <w:rsid w:val="003F3485"/>
    <w:rsid w:val="003F35E3"/>
    <w:rsid w:val="003F5F2B"/>
    <w:rsid w:val="004032DF"/>
    <w:rsid w:val="00405EE7"/>
    <w:rsid w:val="0041036F"/>
    <w:rsid w:val="00412E58"/>
    <w:rsid w:val="00413AAF"/>
    <w:rsid w:val="00414671"/>
    <w:rsid w:val="00421E25"/>
    <w:rsid w:val="004249C8"/>
    <w:rsid w:val="0042519B"/>
    <w:rsid w:val="00426BF7"/>
    <w:rsid w:val="0043180D"/>
    <w:rsid w:val="00432BF1"/>
    <w:rsid w:val="0044062F"/>
    <w:rsid w:val="004414A5"/>
    <w:rsid w:val="0044382E"/>
    <w:rsid w:val="00443F67"/>
    <w:rsid w:val="00445E8C"/>
    <w:rsid w:val="0044700B"/>
    <w:rsid w:val="00452DB5"/>
    <w:rsid w:val="00455562"/>
    <w:rsid w:val="0046101A"/>
    <w:rsid w:val="00463478"/>
    <w:rsid w:val="00467171"/>
    <w:rsid w:val="00467C80"/>
    <w:rsid w:val="00471299"/>
    <w:rsid w:val="00474052"/>
    <w:rsid w:val="004747AF"/>
    <w:rsid w:val="004756BA"/>
    <w:rsid w:val="00477CEF"/>
    <w:rsid w:val="0048089F"/>
    <w:rsid w:val="0048150E"/>
    <w:rsid w:val="00483409"/>
    <w:rsid w:val="00483E4A"/>
    <w:rsid w:val="004868C1"/>
    <w:rsid w:val="00486F17"/>
    <w:rsid w:val="004877C8"/>
    <w:rsid w:val="004901D3"/>
    <w:rsid w:val="004931DB"/>
    <w:rsid w:val="00497EC7"/>
    <w:rsid w:val="004A1D1C"/>
    <w:rsid w:val="004A5F1A"/>
    <w:rsid w:val="004A72AD"/>
    <w:rsid w:val="004A77E6"/>
    <w:rsid w:val="004B1918"/>
    <w:rsid w:val="004B2BC2"/>
    <w:rsid w:val="004B5059"/>
    <w:rsid w:val="004B5EA4"/>
    <w:rsid w:val="004B70E1"/>
    <w:rsid w:val="004C2FE5"/>
    <w:rsid w:val="004C3BF7"/>
    <w:rsid w:val="004C4791"/>
    <w:rsid w:val="004C531E"/>
    <w:rsid w:val="004C6C90"/>
    <w:rsid w:val="004C7C39"/>
    <w:rsid w:val="004D3B93"/>
    <w:rsid w:val="004D4CD2"/>
    <w:rsid w:val="004E19D1"/>
    <w:rsid w:val="004E4A3B"/>
    <w:rsid w:val="004E6F4D"/>
    <w:rsid w:val="004E75CF"/>
    <w:rsid w:val="004F1BA1"/>
    <w:rsid w:val="004F4A45"/>
    <w:rsid w:val="004F6ED8"/>
    <w:rsid w:val="00500B01"/>
    <w:rsid w:val="00502BDD"/>
    <w:rsid w:val="005037CD"/>
    <w:rsid w:val="00504795"/>
    <w:rsid w:val="0050539D"/>
    <w:rsid w:val="005053A5"/>
    <w:rsid w:val="00505775"/>
    <w:rsid w:val="00506355"/>
    <w:rsid w:val="005075D4"/>
    <w:rsid w:val="00511C8D"/>
    <w:rsid w:val="00511D58"/>
    <w:rsid w:val="00513E42"/>
    <w:rsid w:val="005140F7"/>
    <w:rsid w:val="00514CBA"/>
    <w:rsid w:val="005159F2"/>
    <w:rsid w:val="00516156"/>
    <w:rsid w:val="00522ADD"/>
    <w:rsid w:val="0052302C"/>
    <w:rsid w:val="00524002"/>
    <w:rsid w:val="0052630A"/>
    <w:rsid w:val="00526D7E"/>
    <w:rsid w:val="0053177A"/>
    <w:rsid w:val="00533EA1"/>
    <w:rsid w:val="00533F72"/>
    <w:rsid w:val="00535A35"/>
    <w:rsid w:val="00535FF1"/>
    <w:rsid w:val="00536ADD"/>
    <w:rsid w:val="00537FC8"/>
    <w:rsid w:val="00541587"/>
    <w:rsid w:val="0054418E"/>
    <w:rsid w:val="005448BF"/>
    <w:rsid w:val="005451A6"/>
    <w:rsid w:val="0054565C"/>
    <w:rsid w:val="00546781"/>
    <w:rsid w:val="0055203C"/>
    <w:rsid w:val="00556900"/>
    <w:rsid w:val="005574BE"/>
    <w:rsid w:val="005625E3"/>
    <w:rsid w:val="00563280"/>
    <w:rsid w:val="005637F0"/>
    <w:rsid w:val="00565454"/>
    <w:rsid w:val="00567011"/>
    <w:rsid w:val="00571A35"/>
    <w:rsid w:val="00571D75"/>
    <w:rsid w:val="0057241D"/>
    <w:rsid w:val="005726E0"/>
    <w:rsid w:val="0057703E"/>
    <w:rsid w:val="005771C3"/>
    <w:rsid w:val="00577995"/>
    <w:rsid w:val="00577B54"/>
    <w:rsid w:val="0058055C"/>
    <w:rsid w:val="00582632"/>
    <w:rsid w:val="0058279B"/>
    <w:rsid w:val="00582DA8"/>
    <w:rsid w:val="00585B5E"/>
    <w:rsid w:val="00590F6D"/>
    <w:rsid w:val="0059716B"/>
    <w:rsid w:val="005A1A25"/>
    <w:rsid w:val="005A2B16"/>
    <w:rsid w:val="005A4262"/>
    <w:rsid w:val="005A5A6D"/>
    <w:rsid w:val="005A5CF8"/>
    <w:rsid w:val="005A5ED7"/>
    <w:rsid w:val="005B1F44"/>
    <w:rsid w:val="005C1A41"/>
    <w:rsid w:val="005C2896"/>
    <w:rsid w:val="005C2CC9"/>
    <w:rsid w:val="005C4565"/>
    <w:rsid w:val="005C554C"/>
    <w:rsid w:val="005D1CFC"/>
    <w:rsid w:val="005D2906"/>
    <w:rsid w:val="005D38A4"/>
    <w:rsid w:val="005D3B61"/>
    <w:rsid w:val="005D5B01"/>
    <w:rsid w:val="005D6F6F"/>
    <w:rsid w:val="005D781C"/>
    <w:rsid w:val="005E05CD"/>
    <w:rsid w:val="005E074C"/>
    <w:rsid w:val="005E4230"/>
    <w:rsid w:val="005E5FE2"/>
    <w:rsid w:val="005E6280"/>
    <w:rsid w:val="005E7283"/>
    <w:rsid w:val="005F0DD1"/>
    <w:rsid w:val="005F33B3"/>
    <w:rsid w:val="005F3544"/>
    <w:rsid w:val="005F7FD4"/>
    <w:rsid w:val="0060046B"/>
    <w:rsid w:val="00603479"/>
    <w:rsid w:val="00610935"/>
    <w:rsid w:val="006111E6"/>
    <w:rsid w:val="00611DEF"/>
    <w:rsid w:val="00612980"/>
    <w:rsid w:val="0061572F"/>
    <w:rsid w:val="00621AA8"/>
    <w:rsid w:val="0062413E"/>
    <w:rsid w:val="00631441"/>
    <w:rsid w:val="00631A90"/>
    <w:rsid w:val="00635903"/>
    <w:rsid w:val="00635DD7"/>
    <w:rsid w:val="00636FBE"/>
    <w:rsid w:val="00641030"/>
    <w:rsid w:val="00642EC1"/>
    <w:rsid w:val="00642F26"/>
    <w:rsid w:val="00645D52"/>
    <w:rsid w:val="0065133B"/>
    <w:rsid w:val="006531C8"/>
    <w:rsid w:val="0065336A"/>
    <w:rsid w:val="00653481"/>
    <w:rsid w:val="006547F9"/>
    <w:rsid w:val="006556AC"/>
    <w:rsid w:val="00660223"/>
    <w:rsid w:val="006602F1"/>
    <w:rsid w:val="00660793"/>
    <w:rsid w:val="00661DEA"/>
    <w:rsid w:val="00664F49"/>
    <w:rsid w:val="006701E1"/>
    <w:rsid w:val="00670ED4"/>
    <w:rsid w:val="006727BE"/>
    <w:rsid w:val="00672928"/>
    <w:rsid w:val="00674A86"/>
    <w:rsid w:val="00695738"/>
    <w:rsid w:val="006A175E"/>
    <w:rsid w:val="006A26D1"/>
    <w:rsid w:val="006A69C8"/>
    <w:rsid w:val="006A6E01"/>
    <w:rsid w:val="006B2374"/>
    <w:rsid w:val="006B4943"/>
    <w:rsid w:val="006B4B77"/>
    <w:rsid w:val="006B604C"/>
    <w:rsid w:val="006C22E4"/>
    <w:rsid w:val="006C6E7E"/>
    <w:rsid w:val="006C76FC"/>
    <w:rsid w:val="006D32C0"/>
    <w:rsid w:val="006D466C"/>
    <w:rsid w:val="006D50B3"/>
    <w:rsid w:val="006D53ED"/>
    <w:rsid w:val="006D6163"/>
    <w:rsid w:val="006E1C64"/>
    <w:rsid w:val="006E21B4"/>
    <w:rsid w:val="006E29C6"/>
    <w:rsid w:val="006E58B1"/>
    <w:rsid w:val="006E5FC7"/>
    <w:rsid w:val="006E78A2"/>
    <w:rsid w:val="006F01C4"/>
    <w:rsid w:val="006F487B"/>
    <w:rsid w:val="006F740B"/>
    <w:rsid w:val="00700775"/>
    <w:rsid w:val="00702622"/>
    <w:rsid w:val="007034DC"/>
    <w:rsid w:val="0070480A"/>
    <w:rsid w:val="00707B7D"/>
    <w:rsid w:val="00710161"/>
    <w:rsid w:val="00710FD3"/>
    <w:rsid w:val="007138DC"/>
    <w:rsid w:val="00715297"/>
    <w:rsid w:val="00721711"/>
    <w:rsid w:val="00730929"/>
    <w:rsid w:val="00731475"/>
    <w:rsid w:val="007348E3"/>
    <w:rsid w:val="007405EC"/>
    <w:rsid w:val="007412A7"/>
    <w:rsid w:val="00742F4B"/>
    <w:rsid w:val="00744A41"/>
    <w:rsid w:val="00753848"/>
    <w:rsid w:val="00754BC3"/>
    <w:rsid w:val="00757198"/>
    <w:rsid w:val="00760EA8"/>
    <w:rsid w:val="0076489C"/>
    <w:rsid w:val="00765AFA"/>
    <w:rsid w:val="00766CAF"/>
    <w:rsid w:val="007708F3"/>
    <w:rsid w:val="00776E55"/>
    <w:rsid w:val="00780A41"/>
    <w:rsid w:val="007823F4"/>
    <w:rsid w:val="00783C64"/>
    <w:rsid w:val="00791028"/>
    <w:rsid w:val="00794787"/>
    <w:rsid w:val="00794FE7"/>
    <w:rsid w:val="007A0448"/>
    <w:rsid w:val="007A1E21"/>
    <w:rsid w:val="007A3711"/>
    <w:rsid w:val="007A37D8"/>
    <w:rsid w:val="007A4AA1"/>
    <w:rsid w:val="007A7DF8"/>
    <w:rsid w:val="007B0EA4"/>
    <w:rsid w:val="007B2E71"/>
    <w:rsid w:val="007B4212"/>
    <w:rsid w:val="007B51E9"/>
    <w:rsid w:val="007B70EC"/>
    <w:rsid w:val="007B7B6A"/>
    <w:rsid w:val="007C3D03"/>
    <w:rsid w:val="007D1EFA"/>
    <w:rsid w:val="007D2179"/>
    <w:rsid w:val="007D3834"/>
    <w:rsid w:val="007D4740"/>
    <w:rsid w:val="007D5FE4"/>
    <w:rsid w:val="007D6CCC"/>
    <w:rsid w:val="007E549F"/>
    <w:rsid w:val="007E5B15"/>
    <w:rsid w:val="007F0283"/>
    <w:rsid w:val="007F0FCB"/>
    <w:rsid w:val="007F1971"/>
    <w:rsid w:val="007F1E24"/>
    <w:rsid w:val="007F2131"/>
    <w:rsid w:val="007F5B1A"/>
    <w:rsid w:val="008041CE"/>
    <w:rsid w:val="0080697C"/>
    <w:rsid w:val="008117E8"/>
    <w:rsid w:val="0081453C"/>
    <w:rsid w:val="00815127"/>
    <w:rsid w:val="00817293"/>
    <w:rsid w:val="0081756E"/>
    <w:rsid w:val="00821E4D"/>
    <w:rsid w:val="00822013"/>
    <w:rsid w:val="00827C76"/>
    <w:rsid w:val="008305DC"/>
    <w:rsid w:val="0083210C"/>
    <w:rsid w:val="00833088"/>
    <w:rsid w:val="00837E55"/>
    <w:rsid w:val="00840905"/>
    <w:rsid w:val="008436D0"/>
    <w:rsid w:val="00843AE9"/>
    <w:rsid w:val="0084791F"/>
    <w:rsid w:val="0085104B"/>
    <w:rsid w:val="00852BDA"/>
    <w:rsid w:val="008560DE"/>
    <w:rsid w:val="00856882"/>
    <w:rsid w:val="00860D51"/>
    <w:rsid w:val="00862474"/>
    <w:rsid w:val="00864AF2"/>
    <w:rsid w:val="00865D78"/>
    <w:rsid w:val="0087641E"/>
    <w:rsid w:val="008766A6"/>
    <w:rsid w:val="0087783C"/>
    <w:rsid w:val="00881E1A"/>
    <w:rsid w:val="00884AF7"/>
    <w:rsid w:val="0088525A"/>
    <w:rsid w:val="00891FB9"/>
    <w:rsid w:val="008933A3"/>
    <w:rsid w:val="00893A60"/>
    <w:rsid w:val="008966A2"/>
    <w:rsid w:val="008A0D14"/>
    <w:rsid w:val="008A0D60"/>
    <w:rsid w:val="008A284F"/>
    <w:rsid w:val="008B0A6E"/>
    <w:rsid w:val="008B742C"/>
    <w:rsid w:val="008B7DBC"/>
    <w:rsid w:val="008C1387"/>
    <w:rsid w:val="008C1644"/>
    <w:rsid w:val="008C682F"/>
    <w:rsid w:val="008D0CC2"/>
    <w:rsid w:val="008D150B"/>
    <w:rsid w:val="008D44AB"/>
    <w:rsid w:val="008D520F"/>
    <w:rsid w:val="008D6440"/>
    <w:rsid w:val="008E509B"/>
    <w:rsid w:val="008E74AB"/>
    <w:rsid w:val="008E7898"/>
    <w:rsid w:val="008F4811"/>
    <w:rsid w:val="008F525A"/>
    <w:rsid w:val="00902577"/>
    <w:rsid w:val="009026D4"/>
    <w:rsid w:val="0090477E"/>
    <w:rsid w:val="00905CC7"/>
    <w:rsid w:val="00905EED"/>
    <w:rsid w:val="00913E3E"/>
    <w:rsid w:val="0091433C"/>
    <w:rsid w:val="00914E19"/>
    <w:rsid w:val="009169BA"/>
    <w:rsid w:val="00917BAD"/>
    <w:rsid w:val="009217B6"/>
    <w:rsid w:val="00923006"/>
    <w:rsid w:val="00924434"/>
    <w:rsid w:val="00924855"/>
    <w:rsid w:val="009250FE"/>
    <w:rsid w:val="0092763E"/>
    <w:rsid w:val="0092776D"/>
    <w:rsid w:val="009306A8"/>
    <w:rsid w:val="00930C6B"/>
    <w:rsid w:val="009316A6"/>
    <w:rsid w:val="009333EB"/>
    <w:rsid w:val="00933890"/>
    <w:rsid w:val="00933CCD"/>
    <w:rsid w:val="00935234"/>
    <w:rsid w:val="00936114"/>
    <w:rsid w:val="009400E9"/>
    <w:rsid w:val="00940BFA"/>
    <w:rsid w:val="00942C08"/>
    <w:rsid w:val="00942D46"/>
    <w:rsid w:val="009450FD"/>
    <w:rsid w:val="00945B1E"/>
    <w:rsid w:val="00946830"/>
    <w:rsid w:val="00947127"/>
    <w:rsid w:val="00950307"/>
    <w:rsid w:val="00952773"/>
    <w:rsid w:val="0095347C"/>
    <w:rsid w:val="009562FC"/>
    <w:rsid w:val="00962779"/>
    <w:rsid w:val="009630D7"/>
    <w:rsid w:val="009654EC"/>
    <w:rsid w:val="00966BCE"/>
    <w:rsid w:val="00971D77"/>
    <w:rsid w:val="009767D9"/>
    <w:rsid w:val="00976E95"/>
    <w:rsid w:val="00977C5E"/>
    <w:rsid w:val="00984129"/>
    <w:rsid w:val="00984849"/>
    <w:rsid w:val="0098487D"/>
    <w:rsid w:val="009918D9"/>
    <w:rsid w:val="00993707"/>
    <w:rsid w:val="00995AA3"/>
    <w:rsid w:val="009A02C5"/>
    <w:rsid w:val="009A392D"/>
    <w:rsid w:val="009A5D91"/>
    <w:rsid w:val="009B19C3"/>
    <w:rsid w:val="009B2195"/>
    <w:rsid w:val="009B3DC9"/>
    <w:rsid w:val="009B5CF8"/>
    <w:rsid w:val="009C12B5"/>
    <w:rsid w:val="009C1E83"/>
    <w:rsid w:val="009C39D9"/>
    <w:rsid w:val="009C400E"/>
    <w:rsid w:val="009C6623"/>
    <w:rsid w:val="009D015C"/>
    <w:rsid w:val="009D0D4F"/>
    <w:rsid w:val="009D17C3"/>
    <w:rsid w:val="009D2036"/>
    <w:rsid w:val="009D21AD"/>
    <w:rsid w:val="009D4232"/>
    <w:rsid w:val="009D47C2"/>
    <w:rsid w:val="009D6A1F"/>
    <w:rsid w:val="009E08F7"/>
    <w:rsid w:val="009E2558"/>
    <w:rsid w:val="009E51F8"/>
    <w:rsid w:val="009E6265"/>
    <w:rsid w:val="009F0CDB"/>
    <w:rsid w:val="009F10BC"/>
    <w:rsid w:val="009F1F3E"/>
    <w:rsid w:val="009F2649"/>
    <w:rsid w:val="009F29CC"/>
    <w:rsid w:val="009F365E"/>
    <w:rsid w:val="009F384F"/>
    <w:rsid w:val="009F3CC3"/>
    <w:rsid w:val="009F4322"/>
    <w:rsid w:val="009F7F15"/>
    <w:rsid w:val="00A0151D"/>
    <w:rsid w:val="00A0328A"/>
    <w:rsid w:val="00A05364"/>
    <w:rsid w:val="00A074D7"/>
    <w:rsid w:val="00A07E62"/>
    <w:rsid w:val="00A15F3D"/>
    <w:rsid w:val="00A16ACA"/>
    <w:rsid w:val="00A17D23"/>
    <w:rsid w:val="00A20482"/>
    <w:rsid w:val="00A208E1"/>
    <w:rsid w:val="00A22072"/>
    <w:rsid w:val="00A24E40"/>
    <w:rsid w:val="00A3080D"/>
    <w:rsid w:val="00A34F9C"/>
    <w:rsid w:val="00A40A76"/>
    <w:rsid w:val="00A4656D"/>
    <w:rsid w:val="00A474F5"/>
    <w:rsid w:val="00A5069F"/>
    <w:rsid w:val="00A510F6"/>
    <w:rsid w:val="00A521AB"/>
    <w:rsid w:val="00A52CA4"/>
    <w:rsid w:val="00A56CD0"/>
    <w:rsid w:val="00A572F3"/>
    <w:rsid w:val="00A57DA0"/>
    <w:rsid w:val="00A61D3E"/>
    <w:rsid w:val="00A62781"/>
    <w:rsid w:val="00A657B2"/>
    <w:rsid w:val="00A76003"/>
    <w:rsid w:val="00A7643E"/>
    <w:rsid w:val="00A80505"/>
    <w:rsid w:val="00A8085C"/>
    <w:rsid w:val="00A82E0B"/>
    <w:rsid w:val="00A83204"/>
    <w:rsid w:val="00A84E9C"/>
    <w:rsid w:val="00A96425"/>
    <w:rsid w:val="00A9649E"/>
    <w:rsid w:val="00AA1341"/>
    <w:rsid w:val="00AA2CFB"/>
    <w:rsid w:val="00AB16D0"/>
    <w:rsid w:val="00AB2C1B"/>
    <w:rsid w:val="00AB305E"/>
    <w:rsid w:val="00AC147E"/>
    <w:rsid w:val="00AC156A"/>
    <w:rsid w:val="00AC3BF2"/>
    <w:rsid w:val="00AC7980"/>
    <w:rsid w:val="00AC7C8D"/>
    <w:rsid w:val="00AD0583"/>
    <w:rsid w:val="00AD20E5"/>
    <w:rsid w:val="00AD35CE"/>
    <w:rsid w:val="00AD37A7"/>
    <w:rsid w:val="00AD5483"/>
    <w:rsid w:val="00AD5B4A"/>
    <w:rsid w:val="00AE0CF6"/>
    <w:rsid w:val="00AE5C75"/>
    <w:rsid w:val="00AF00C7"/>
    <w:rsid w:val="00AF0249"/>
    <w:rsid w:val="00AF150F"/>
    <w:rsid w:val="00AF4737"/>
    <w:rsid w:val="00AF5FAC"/>
    <w:rsid w:val="00B00001"/>
    <w:rsid w:val="00B02387"/>
    <w:rsid w:val="00B03706"/>
    <w:rsid w:val="00B0470A"/>
    <w:rsid w:val="00B04764"/>
    <w:rsid w:val="00B122FF"/>
    <w:rsid w:val="00B207D3"/>
    <w:rsid w:val="00B22D90"/>
    <w:rsid w:val="00B2364D"/>
    <w:rsid w:val="00B25BF8"/>
    <w:rsid w:val="00B2746A"/>
    <w:rsid w:val="00B36137"/>
    <w:rsid w:val="00B402F1"/>
    <w:rsid w:val="00B4156D"/>
    <w:rsid w:val="00B433E2"/>
    <w:rsid w:val="00B441CF"/>
    <w:rsid w:val="00B51F4B"/>
    <w:rsid w:val="00B53582"/>
    <w:rsid w:val="00B54891"/>
    <w:rsid w:val="00B60395"/>
    <w:rsid w:val="00B6239D"/>
    <w:rsid w:val="00B6293E"/>
    <w:rsid w:val="00B6749A"/>
    <w:rsid w:val="00B67630"/>
    <w:rsid w:val="00B70B18"/>
    <w:rsid w:val="00B722DE"/>
    <w:rsid w:val="00B736FE"/>
    <w:rsid w:val="00B74725"/>
    <w:rsid w:val="00B75E3F"/>
    <w:rsid w:val="00B760AF"/>
    <w:rsid w:val="00B76BEE"/>
    <w:rsid w:val="00B80DDB"/>
    <w:rsid w:val="00B81370"/>
    <w:rsid w:val="00B81EE1"/>
    <w:rsid w:val="00B83958"/>
    <w:rsid w:val="00B9392D"/>
    <w:rsid w:val="00BA761E"/>
    <w:rsid w:val="00BB14EA"/>
    <w:rsid w:val="00BB2AB5"/>
    <w:rsid w:val="00BB3FBE"/>
    <w:rsid w:val="00BB6E91"/>
    <w:rsid w:val="00BB73BC"/>
    <w:rsid w:val="00BC1F8C"/>
    <w:rsid w:val="00BC374B"/>
    <w:rsid w:val="00BC603D"/>
    <w:rsid w:val="00BD5AA0"/>
    <w:rsid w:val="00BD74C1"/>
    <w:rsid w:val="00BE01C1"/>
    <w:rsid w:val="00BE6F96"/>
    <w:rsid w:val="00BF1B8E"/>
    <w:rsid w:val="00BF279B"/>
    <w:rsid w:val="00BF5C78"/>
    <w:rsid w:val="00BF5F35"/>
    <w:rsid w:val="00C01FEF"/>
    <w:rsid w:val="00C03CE1"/>
    <w:rsid w:val="00C042EE"/>
    <w:rsid w:val="00C11C67"/>
    <w:rsid w:val="00C11FC2"/>
    <w:rsid w:val="00C12700"/>
    <w:rsid w:val="00C160B0"/>
    <w:rsid w:val="00C1785F"/>
    <w:rsid w:val="00C23ECD"/>
    <w:rsid w:val="00C24A12"/>
    <w:rsid w:val="00C25DC8"/>
    <w:rsid w:val="00C27727"/>
    <w:rsid w:val="00C279D9"/>
    <w:rsid w:val="00C3016F"/>
    <w:rsid w:val="00C302FC"/>
    <w:rsid w:val="00C31922"/>
    <w:rsid w:val="00C32EDF"/>
    <w:rsid w:val="00C37E7B"/>
    <w:rsid w:val="00C405FD"/>
    <w:rsid w:val="00C41FCF"/>
    <w:rsid w:val="00C42573"/>
    <w:rsid w:val="00C439EA"/>
    <w:rsid w:val="00C43CB7"/>
    <w:rsid w:val="00C44D86"/>
    <w:rsid w:val="00C456E8"/>
    <w:rsid w:val="00C45AA4"/>
    <w:rsid w:val="00C479BD"/>
    <w:rsid w:val="00C5024A"/>
    <w:rsid w:val="00C57107"/>
    <w:rsid w:val="00C5742F"/>
    <w:rsid w:val="00C61956"/>
    <w:rsid w:val="00C62C2D"/>
    <w:rsid w:val="00C735B9"/>
    <w:rsid w:val="00C85F51"/>
    <w:rsid w:val="00C9032C"/>
    <w:rsid w:val="00C90C0A"/>
    <w:rsid w:val="00C9227C"/>
    <w:rsid w:val="00C94D28"/>
    <w:rsid w:val="00C95397"/>
    <w:rsid w:val="00C9557D"/>
    <w:rsid w:val="00C97614"/>
    <w:rsid w:val="00C9797A"/>
    <w:rsid w:val="00CA2006"/>
    <w:rsid w:val="00CA2740"/>
    <w:rsid w:val="00CA342C"/>
    <w:rsid w:val="00CA4776"/>
    <w:rsid w:val="00CA5ECE"/>
    <w:rsid w:val="00CB2DD7"/>
    <w:rsid w:val="00CC12E6"/>
    <w:rsid w:val="00CC2E25"/>
    <w:rsid w:val="00CC7C64"/>
    <w:rsid w:val="00CD0B47"/>
    <w:rsid w:val="00CD2008"/>
    <w:rsid w:val="00CD289D"/>
    <w:rsid w:val="00CD67F2"/>
    <w:rsid w:val="00CE2F6F"/>
    <w:rsid w:val="00CE3304"/>
    <w:rsid w:val="00CE3B96"/>
    <w:rsid w:val="00CE53C1"/>
    <w:rsid w:val="00CF0023"/>
    <w:rsid w:val="00CF58DB"/>
    <w:rsid w:val="00CF5F1A"/>
    <w:rsid w:val="00D00791"/>
    <w:rsid w:val="00D010E8"/>
    <w:rsid w:val="00D02C04"/>
    <w:rsid w:val="00D07733"/>
    <w:rsid w:val="00D10069"/>
    <w:rsid w:val="00D138E8"/>
    <w:rsid w:val="00D139B7"/>
    <w:rsid w:val="00D14A9E"/>
    <w:rsid w:val="00D20259"/>
    <w:rsid w:val="00D208BA"/>
    <w:rsid w:val="00D21668"/>
    <w:rsid w:val="00D216BC"/>
    <w:rsid w:val="00D305EF"/>
    <w:rsid w:val="00D31CF5"/>
    <w:rsid w:val="00D325A7"/>
    <w:rsid w:val="00D343AA"/>
    <w:rsid w:val="00D35062"/>
    <w:rsid w:val="00D355C0"/>
    <w:rsid w:val="00D36882"/>
    <w:rsid w:val="00D42F8F"/>
    <w:rsid w:val="00D4358A"/>
    <w:rsid w:val="00D45ADF"/>
    <w:rsid w:val="00D47365"/>
    <w:rsid w:val="00D552FC"/>
    <w:rsid w:val="00D5715E"/>
    <w:rsid w:val="00D6229C"/>
    <w:rsid w:val="00D6405A"/>
    <w:rsid w:val="00D657D8"/>
    <w:rsid w:val="00D66C06"/>
    <w:rsid w:val="00D712B4"/>
    <w:rsid w:val="00D72C49"/>
    <w:rsid w:val="00D744BD"/>
    <w:rsid w:val="00D75614"/>
    <w:rsid w:val="00D773A1"/>
    <w:rsid w:val="00D8003A"/>
    <w:rsid w:val="00D80987"/>
    <w:rsid w:val="00D82AB4"/>
    <w:rsid w:val="00D858C4"/>
    <w:rsid w:val="00D859ED"/>
    <w:rsid w:val="00D96A2F"/>
    <w:rsid w:val="00D975AB"/>
    <w:rsid w:val="00DA07F1"/>
    <w:rsid w:val="00DA4C55"/>
    <w:rsid w:val="00DA4F55"/>
    <w:rsid w:val="00DA7133"/>
    <w:rsid w:val="00DB588D"/>
    <w:rsid w:val="00DB6A1C"/>
    <w:rsid w:val="00DC5410"/>
    <w:rsid w:val="00DD06F4"/>
    <w:rsid w:val="00DD0C18"/>
    <w:rsid w:val="00DD17BA"/>
    <w:rsid w:val="00DD500F"/>
    <w:rsid w:val="00DE031E"/>
    <w:rsid w:val="00DE0492"/>
    <w:rsid w:val="00DE6C67"/>
    <w:rsid w:val="00DF1251"/>
    <w:rsid w:val="00DF53E4"/>
    <w:rsid w:val="00DF63FD"/>
    <w:rsid w:val="00DF692C"/>
    <w:rsid w:val="00DF6B8F"/>
    <w:rsid w:val="00E110E9"/>
    <w:rsid w:val="00E11278"/>
    <w:rsid w:val="00E17EF4"/>
    <w:rsid w:val="00E2136E"/>
    <w:rsid w:val="00E22AA6"/>
    <w:rsid w:val="00E22C19"/>
    <w:rsid w:val="00E25AF8"/>
    <w:rsid w:val="00E25E28"/>
    <w:rsid w:val="00E27BF9"/>
    <w:rsid w:val="00E31A6A"/>
    <w:rsid w:val="00E330F6"/>
    <w:rsid w:val="00E3483F"/>
    <w:rsid w:val="00E43946"/>
    <w:rsid w:val="00E43D4E"/>
    <w:rsid w:val="00E455BA"/>
    <w:rsid w:val="00E46BDF"/>
    <w:rsid w:val="00E50A05"/>
    <w:rsid w:val="00E5297C"/>
    <w:rsid w:val="00E54618"/>
    <w:rsid w:val="00E547DB"/>
    <w:rsid w:val="00E555BF"/>
    <w:rsid w:val="00E55A77"/>
    <w:rsid w:val="00E561BA"/>
    <w:rsid w:val="00E61949"/>
    <w:rsid w:val="00E61952"/>
    <w:rsid w:val="00E7040E"/>
    <w:rsid w:val="00E70C21"/>
    <w:rsid w:val="00E70DCE"/>
    <w:rsid w:val="00E7178A"/>
    <w:rsid w:val="00E7524C"/>
    <w:rsid w:val="00E77DCE"/>
    <w:rsid w:val="00E83F7C"/>
    <w:rsid w:val="00E84E19"/>
    <w:rsid w:val="00E8526B"/>
    <w:rsid w:val="00E91681"/>
    <w:rsid w:val="00E91974"/>
    <w:rsid w:val="00E97D96"/>
    <w:rsid w:val="00EA446A"/>
    <w:rsid w:val="00EA721D"/>
    <w:rsid w:val="00EA7DC1"/>
    <w:rsid w:val="00EB3C1A"/>
    <w:rsid w:val="00EB5BA2"/>
    <w:rsid w:val="00EB5C28"/>
    <w:rsid w:val="00EC0A51"/>
    <w:rsid w:val="00EC0B3B"/>
    <w:rsid w:val="00EC73F6"/>
    <w:rsid w:val="00ED04F6"/>
    <w:rsid w:val="00ED05ED"/>
    <w:rsid w:val="00ED3143"/>
    <w:rsid w:val="00ED481A"/>
    <w:rsid w:val="00ED5FCA"/>
    <w:rsid w:val="00ED642F"/>
    <w:rsid w:val="00ED68BE"/>
    <w:rsid w:val="00ED6EB8"/>
    <w:rsid w:val="00EE0228"/>
    <w:rsid w:val="00EE0A6D"/>
    <w:rsid w:val="00EE368C"/>
    <w:rsid w:val="00EE3AFB"/>
    <w:rsid w:val="00EF0D19"/>
    <w:rsid w:val="00EF137F"/>
    <w:rsid w:val="00EF1577"/>
    <w:rsid w:val="00EF1C23"/>
    <w:rsid w:val="00EF53C0"/>
    <w:rsid w:val="00EF5A7E"/>
    <w:rsid w:val="00EF6588"/>
    <w:rsid w:val="00EF6BD4"/>
    <w:rsid w:val="00F02A83"/>
    <w:rsid w:val="00F0549B"/>
    <w:rsid w:val="00F05C18"/>
    <w:rsid w:val="00F075B8"/>
    <w:rsid w:val="00F07A69"/>
    <w:rsid w:val="00F120FF"/>
    <w:rsid w:val="00F12BFB"/>
    <w:rsid w:val="00F152D8"/>
    <w:rsid w:val="00F157DD"/>
    <w:rsid w:val="00F15F90"/>
    <w:rsid w:val="00F21465"/>
    <w:rsid w:val="00F22422"/>
    <w:rsid w:val="00F232EB"/>
    <w:rsid w:val="00F23D11"/>
    <w:rsid w:val="00F249E1"/>
    <w:rsid w:val="00F261C9"/>
    <w:rsid w:val="00F33598"/>
    <w:rsid w:val="00F35617"/>
    <w:rsid w:val="00F35691"/>
    <w:rsid w:val="00F35C8F"/>
    <w:rsid w:val="00F409E0"/>
    <w:rsid w:val="00F42586"/>
    <w:rsid w:val="00F50A47"/>
    <w:rsid w:val="00F52438"/>
    <w:rsid w:val="00F54F73"/>
    <w:rsid w:val="00F551A4"/>
    <w:rsid w:val="00F555AD"/>
    <w:rsid w:val="00F55707"/>
    <w:rsid w:val="00F6065C"/>
    <w:rsid w:val="00F61678"/>
    <w:rsid w:val="00F61EB1"/>
    <w:rsid w:val="00F627A2"/>
    <w:rsid w:val="00F62C8B"/>
    <w:rsid w:val="00F661E6"/>
    <w:rsid w:val="00F75871"/>
    <w:rsid w:val="00F7608F"/>
    <w:rsid w:val="00F77423"/>
    <w:rsid w:val="00F802D4"/>
    <w:rsid w:val="00F81040"/>
    <w:rsid w:val="00F81B77"/>
    <w:rsid w:val="00F85032"/>
    <w:rsid w:val="00F85161"/>
    <w:rsid w:val="00F912F3"/>
    <w:rsid w:val="00F91982"/>
    <w:rsid w:val="00F96813"/>
    <w:rsid w:val="00FA2DA2"/>
    <w:rsid w:val="00FA311A"/>
    <w:rsid w:val="00FA6548"/>
    <w:rsid w:val="00FB16A8"/>
    <w:rsid w:val="00FB3983"/>
    <w:rsid w:val="00FB3EA0"/>
    <w:rsid w:val="00FB6582"/>
    <w:rsid w:val="00FC0539"/>
    <w:rsid w:val="00FC1AAD"/>
    <w:rsid w:val="00FC300E"/>
    <w:rsid w:val="00FC3275"/>
    <w:rsid w:val="00FC6C7E"/>
    <w:rsid w:val="00FD7865"/>
    <w:rsid w:val="00FE0FE8"/>
    <w:rsid w:val="00FE1872"/>
    <w:rsid w:val="00FE256F"/>
    <w:rsid w:val="00FE508C"/>
    <w:rsid w:val="00FE5F65"/>
    <w:rsid w:val="00FE5FB9"/>
    <w:rsid w:val="00FF29F6"/>
    <w:rsid w:val="00FF3758"/>
    <w:rsid w:val="00FF56AA"/>
    <w:rsid w:val="00FF5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5B0507"/>
  <w15:docId w15:val="{3FB87180-9917-44F9-BC36-56788E21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16"/>
      </w:num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1402A9"/>
    <w:rPr>
      <w:sz w:val="16"/>
      <w:szCs w:val="16"/>
    </w:rPr>
  </w:style>
  <w:style w:type="paragraph" w:styleId="CommentText">
    <w:name w:val="annotation text"/>
    <w:basedOn w:val="Normal"/>
    <w:link w:val="CommentTextChar"/>
    <w:uiPriority w:val="99"/>
    <w:unhideWhenUsed/>
    <w:rsid w:val="001402A9"/>
    <w:pPr>
      <w:spacing w:after="160" w:line="240" w:lineRule="auto"/>
    </w:pPr>
    <w:rPr>
      <w:sz w:val="20"/>
      <w:szCs w:val="20"/>
    </w:rPr>
  </w:style>
  <w:style w:type="character" w:customStyle="1" w:styleId="CommentTextChar">
    <w:name w:val="Comment Text Char"/>
    <w:basedOn w:val="DefaultParagraphFont"/>
    <w:link w:val="CommentText"/>
    <w:uiPriority w:val="99"/>
    <w:rsid w:val="001402A9"/>
    <w:rPr>
      <w:sz w:val="20"/>
      <w:szCs w:val="20"/>
    </w:rPr>
  </w:style>
  <w:style w:type="paragraph" w:styleId="CommentSubject">
    <w:name w:val="annotation subject"/>
    <w:basedOn w:val="CommentText"/>
    <w:next w:val="CommentText"/>
    <w:link w:val="CommentSubjectChar"/>
    <w:uiPriority w:val="99"/>
    <w:semiHidden/>
    <w:unhideWhenUsed/>
    <w:rsid w:val="009F29CC"/>
    <w:pPr>
      <w:spacing w:after="200"/>
    </w:pPr>
    <w:rPr>
      <w:b/>
      <w:bCs/>
    </w:rPr>
  </w:style>
  <w:style w:type="character" w:customStyle="1" w:styleId="CommentSubjectChar">
    <w:name w:val="Comment Subject Char"/>
    <w:basedOn w:val="CommentTextChar"/>
    <w:link w:val="CommentSubject"/>
    <w:uiPriority w:val="99"/>
    <w:semiHidden/>
    <w:rsid w:val="009F29CC"/>
    <w:rPr>
      <w:b/>
      <w:bCs/>
      <w:sz w:val="20"/>
      <w:szCs w:val="20"/>
    </w:rPr>
  </w:style>
  <w:style w:type="numbering" w:customStyle="1" w:styleId="Style2">
    <w:name w:val="Style2"/>
    <w:uiPriority w:val="99"/>
    <w:rsid w:val="007B0EA4"/>
    <w:pPr>
      <w:numPr>
        <w:numId w:val="23"/>
      </w:numPr>
    </w:pPr>
  </w:style>
  <w:style w:type="numbering" w:customStyle="1" w:styleId="Style3">
    <w:name w:val="Style3"/>
    <w:uiPriority w:val="99"/>
    <w:rsid w:val="007B0EA4"/>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8496">
      <w:bodyDiv w:val="1"/>
      <w:marLeft w:val="0"/>
      <w:marRight w:val="0"/>
      <w:marTop w:val="0"/>
      <w:marBottom w:val="0"/>
      <w:divBdr>
        <w:top w:val="none" w:sz="0" w:space="0" w:color="auto"/>
        <w:left w:val="none" w:sz="0" w:space="0" w:color="auto"/>
        <w:bottom w:val="none" w:sz="0" w:space="0" w:color="auto"/>
        <w:right w:val="none" w:sz="0" w:space="0" w:color="auto"/>
      </w:divBdr>
    </w:div>
    <w:div w:id="53243589">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61820985">
      <w:bodyDiv w:val="1"/>
      <w:marLeft w:val="0"/>
      <w:marRight w:val="0"/>
      <w:marTop w:val="0"/>
      <w:marBottom w:val="0"/>
      <w:divBdr>
        <w:top w:val="none" w:sz="0" w:space="0" w:color="auto"/>
        <w:left w:val="none" w:sz="0" w:space="0" w:color="auto"/>
        <w:bottom w:val="none" w:sz="0" w:space="0" w:color="auto"/>
        <w:right w:val="none" w:sz="0" w:space="0" w:color="auto"/>
      </w:divBdr>
    </w:div>
    <w:div w:id="25810170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50985485">
      <w:bodyDiv w:val="1"/>
      <w:marLeft w:val="0"/>
      <w:marRight w:val="0"/>
      <w:marTop w:val="0"/>
      <w:marBottom w:val="0"/>
      <w:divBdr>
        <w:top w:val="none" w:sz="0" w:space="0" w:color="auto"/>
        <w:left w:val="none" w:sz="0" w:space="0" w:color="auto"/>
        <w:bottom w:val="none" w:sz="0" w:space="0" w:color="auto"/>
        <w:right w:val="none" w:sz="0" w:space="0" w:color="auto"/>
      </w:divBdr>
    </w:div>
    <w:div w:id="667178158">
      <w:bodyDiv w:val="1"/>
      <w:marLeft w:val="0"/>
      <w:marRight w:val="0"/>
      <w:marTop w:val="0"/>
      <w:marBottom w:val="0"/>
      <w:divBdr>
        <w:top w:val="none" w:sz="0" w:space="0" w:color="auto"/>
        <w:left w:val="none" w:sz="0" w:space="0" w:color="auto"/>
        <w:bottom w:val="none" w:sz="0" w:space="0" w:color="auto"/>
        <w:right w:val="none" w:sz="0" w:space="0" w:color="auto"/>
      </w:divBdr>
      <w:divsChild>
        <w:div w:id="1606840039">
          <w:marLeft w:val="0"/>
          <w:marRight w:val="0"/>
          <w:marTop w:val="0"/>
          <w:marBottom w:val="0"/>
          <w:divBdr>
            <w:top w:val="none" w:sz="0" w:space="0" w:color="auto"/>
            <w:left w:val="none" w:sz="0" w:space="0" w:color="auto"/>
            <w:bottom w:val="none" w:sz="0" w:space="0" w:color="auto"/>
            <w:right w:val="none" w:sz="0" w:space="0" w:color="auto"/>
          </w:divBdr>
        </w:div>
        <w:div w:id="871649445">
          <w:marLeft w:val="0"/>
          <w:marRight w:val="0"/>
          <w:marTop w:val="0"/>
          <w:marBottom w:val="0"/>
          <w:divBdr>
            <w:top w:val="none" w:sz="0" w:space="0" w:color="auto"/>
            <w:left w:val="none" w:sz="0" w:space="0" w:color="auto"/>
            <w:bottom w:val="none" w:sz="0" w:space="0" w:color="auto"/>
            <w:right w:val="none" w:sz="0" w:space="0" w:color="auto"/>
          </w:divBdr>
        </w:div>
        <w:div w:id="1707682348">
          <w:marLeft w:val="0"/>
          <w:marRight w:val="0"/>
          <w:marTop w:val="0"/>
          <w:marBottom w:val="0"/>
          <w:divBdr>
            <w:top w:val="none" w:sz="0" w:space="0" w:color="auto"/>
            <w:left w:val="none" w:sz="0" w:space="0" w:color="auto"/>
            <w:bottom w:val="none" w:sz="0" w:space="0" w:color="auto"/>
            <w:right w:val="none" w:sz="0" w:space="0" w:color="auto"/>
          </w:divBdr>
        </w:div>
        <w:div w:id="1977490934">
          <w:marLeft w:val="0"/>
          <w:marRight w:val="0"/>
          <w:marTop w:val="0"/>
          <w:marBottom w:val="0"/>
          <w:divBdr>
            <w:top w:val="none" w:sz="0" w:space="0" w:color="auto"/>
            <w:left w:val="none" w:sz="0" w:space="0" w:color="auto"/>
            <w:bottom w:val="none" w:sz="0" w:space="0" w:color="auto"/>
            <w:right w:val="none" w:sz="0" w:space="0" w:color="auto"/>
          </w:divBdr>
        </w:div>
        <w:div w:id="1910379556">
          <w:marLeft w:val="0"/>
          <w:marRight w:val="0"/>
          <w:marTop w:val="0"/>
          <w:marBottom w:val="0"/>
          <w:divBdr>
            <w:top w:val="none" w:sz="0" w:space="0" w:color="auto"/>
            <w:left w:val="none" w:sz="0" w:space="0" w:color="auto"/>
            <w:bottom w:val="none" w:sz="0" w:space="0" w:color="auto"/>
            <w:right w:val="none" w:sz="0" w:space="0" w:color="auto"/>
          </w:divBdr>
        </w:div>
        <w:div w:id="1159537669">
          <w:marLeft w:val="0"/>
          <w:marRight w:val="0"/>
          <w:marTop w:val="0"/>
          <w:marBottom w:val="0"/>
          <w:divBdr>
            <w:top w:val="none" w:sz="0" w:space="0" w:color="auto"/>
            <w:left w:val="none" w:sz="0" w:space="0" w:color="auto"/>
            <w:bottom w:val="none" w:sz="0" w:space="0" w:color="auto"/>
            <w:right w:val="none" w:sz="0" w:space="0" w:color="auto"/>
          </w:divBdr>
        </w:div>
        <w:div w:id="1697729950">
          <w:marLeft w:val="0"/>
          <w:marRight w:val="0"/>
          <w:marTop w:val="0"/>
          <w:marBottom w:val="0"/>
          <w:divBdr>
            <w:top w:val="none" w:sz="0" w:space="0" w:color="auto"/>
            <w:left w:val="none" w:sz="0" w:space="0" w:color="auto"/>
            <w:bottom w:val="none" w:sz="0" w:space="0" w:color="auto"/>
            <w:right w:val="none" w:sz="0" w:space="0" w:color="auto"/>
          </w:divBdr>
        </w:div>
        <w:div w:id="1274509207">
          <w:marLeft w:val="0"/>
          <w:marRight w:val="0"/>
          <w:marTop w:val="0"/>
          <w:marBottom w:val="0"/>
          <w:divBdr>
            <w:top w:val="none" w:sz="0" w:space="0" w:color="auto"/>
            <w:left w:val="none" w:sz="0" w:space="0" w:color="auto"/>
            <w:bottom w:val="none" w:sz="0" w:space="0" w:color="auto"/>
            <w:right w:val="none" w:sz="0" w:space="0" w:color="auto"/>
          </w:divBdr>
        </w:div>
        <w:div w:id="2041394428">
          <w:marLeft w:val="0"/>
          <w:marRight w:val="0"/>
          <w:marTop w:val="0"/>
          <w:marBottom w:val="0"/>
          <w:divBdr>
            <w:top w:val="none" w:sz="0" w:space="0" w:color="auto"/>
            <w:left w:val="none" w:sz="0" w:space="0" w:color="auto"/>
            <w:bottom w:val="none" w:sz="0" w:space="0" w:color="auto"/>
            <w:right w:val="none" w:sz="0" w:space="0" w:color="auto"/>
          </w:divBdr>
        </w:div>
        <w:div w:id="1187520949">
          <w:marLeft w:val="0"/>
          <w:marRight w:val="0"/>
          <w:marTop w:val="0"/>
          <w:marBottom w:val="0"/>
          <w:divBdr>
            <w:top w:val="none" w:sz="0" w:space="0" w:color="auto"/>
            <w:left w:val="none" w:sz="0" w:space="0" w:color="auto"/>
            <w:bottom w:val="none" w:sz="0" w:space="0" w:color="auto"/>
            <w:right w:val="none" w:sz="0" w:space="0" w:color="auto"/>
          </w:divBdr>
        </w:div>
        <w:div w:id="538665402">
          <w:marLeft w:val="0"/>
          <w:marRight w:val="0"/>
          <w:marTop w:val="0"/>
          <w:marBottom w:val="0"/>
          <w:divBdr>
            <w:top w:val="none" w:sz="0" w:space="0" w:color="auto"/>
            <w:left w:val="none" w:sz="0" w:space="0" w:color="auto"/>
            <w:bottom w:val="none" w:sz="0" w:space="0" w:color="auto"/>
            <w:right w:val="none" w:sz="0" w:space="0" w:color="auto"/>
          </w:divBdr>
        </w:div>
        <w:div w:id="1266234262">
          <w:marLeft w:val="0"/>
          <w:marRight w:val="0"/>
          <w:marTop w:val="0"/>
          <w:marBottom w:val="0"/>
          <w:divBdr>
            <w:top w:val="none" w:sz="0" w:space="0" w:color="auto"/>
            <w:left w:val="none" w:sz="0" w:space="0" w:color="auto"/>
            <w:bottom w:val="none" w:sz="0" w:space="0" w:color="auto"/>
            <w:right w:val="none" w:sz="0" w:space="0" w:color="auto"/>
          </w:divBdr>
        </w:div>
      </w:divsChild>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12072430">
      <w:bodyDiv w:val="1"/>
      <w:marLeft w:val="0"/>
      <w:marRight w:val="0"/>
      <w:marTop w:val="0"/>
      <w:marBottom w:val="0"/>
      <w:divBdr>
        <w:top w:val="none" w:sz="0" w:space="0" w:color="auto"/>
        <w:left w:val="none" w:sz="0" w:space="0" w:color="auto"/>
        <w:bottom w:val="none" w:sz="0" w:space="0" w:color="auto"/>
        <w:right w:val="none" w:sz="0" w:space="0" w:color="auto"/>
      </w:divBdr>
    </w:div>
    <w:div w:id="715013287">
      <w:bodyDiv w:val="1"/>
      <w:marLeft w:val="0"/>
      <w:marRight w:val="0"/>
      <w:marTop w:val="0"/>
      <w:marBottom w:val="0"/>
      <w:divBdr>
        <w:top w:val="none" w:sz="0" w:space="0" w:color="auto"/>
        <w:left w:val="none" w:sz="0" w:space="0" w:color="auto"/>
        <w:bottom w:val="none" w:sz="0" w:space="0" w:color="auto"/>
        <w:right w:val="none" w:sz="0" w:space="0" w:color="auto"/>
      </w:divBdr>
    </w:div>
    <w:div w:id="801384317">
      <w:bodyDiv w:val="1"/>
      <w:marLeft w:val="0"/>
      <w:marRight w:val="0"/>
      <w:marTop w:val="0"/>
      <w:marBottom w:val="0"/>
      <w:divBdr>
        <w:top w:val="none" w:sz="0" w:space="0" w:color="auto"/>
        <w:left w:val="none" w:sz="0" w:space="0" w:color="auto"/>
        <w:bottom w:val="none" w:sz="0" w:space="0" w:color="auto"/>
        <w:right w:val="none" w:sz="0" w:space="0" w:color="auto"/>
      </w:divBdr>
    </w:div>
    <w:div w:id="812065986">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20875924">
      <w:bodyDiv w:val="1"/>
      <w:marLeft w:val="0"/>
      <w:marRight w:val="0"/>
      <w:marTop w:val="0"/>
      <w:marBottom w:val="0"/>
      <w:divBdr>
        <w:top w:val="none" w:sz="0" w:space="0" w:color="auto"/>
        <w:left w:val="none" w:sz="0" w:space="0" w:color="auto"/>
        <w:bottom w:val="none" w:sz="0" w:space="0" w:color="auto"/>
        <w:right w:val="none" w:sz="0" w:space="0" w:color="auto"/>
      </w:divBdr>
    </w:div>
    <w:div w:id="1347753392">
      <w:bodyDiv w:val="1"/>
      <w:marLeft w:val="0"/>
      <w:marRight w:val="0"/>
      <w:marTop w:val="0"/>
      <w:marBottom w:val="0"/>
      <w:divBdr>
        <w:top w:val="none" w:sz="0" w:space="0" w:color="auto"/>
        <w:left w:val="none" w:sz="0" w:space="0" w:color="auto"/>
        <w:bottom w:val="none" w:sz="0" w:space="0" w:color="auto"/>
        <w:right w:val="none" w:sz="0" w:space="0" w:color="auto"/>
      </w:divBdr>
      <w:divsChild>
        <w:div w:id="648629719">
          <w:marLeft w:val="0"/>
          <w:marRight w:val="0"/>
          <w:marTop w:val="0"/>
          <w:marBottom w:val="0"/>
          <w:divBdr>
            <w:top w:val="none" w:sz="0" w:space="0" w:color="auto"/>
            <w:left w:val="none" w:sz="0" w:space="0" w:color="auto"/>
            <w:bottom w:val="none" w:sz="0" w:space="0" w:color="auto"/>
            <w:right w:val="none" w:sz="0" w:space="0" w:color="auto"/>
          </w:divBdr>
        </w:div>
      </w:divsChild>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66452030">
      <w:bodyDiv w:val="1"/>
      <w:marLeft w:val="0"/>
      <w:marRight w:val="0"/>
      <w:marTop w:val="0"/>
      <w:marBottom w:val="0"/>
      <w:divBdr>
        <w:top w:val="none" w:sz="0" w:space="0" w:color="auto"/>
        <w:left w:val="none" w:sz="0" w:space="0" w:color="auto"/>
        <w:bottom w:val="none" w:sz="0" w:space="0" w:color="auto"/>
        <w:right w:val="none" w:sz="0" w:space="0" w:color="auto"/>
      </w:divBdr>
    </w:div>
    <w:div w:id="1587959935">
      <w:bodyDiv w:val="1"/>
      <w:marLeft w:val="0"/>
      <w:marRight w:val="0"/>
      <w:marTop w:val="0"/>
      <w:marBottom w:val="0"/>
      <w:divBdr>
        <w:top w:val="none" w:sz="0" w:space="0" w:color="auto"/>
        <w:left w:val="none" w:sz="0" w:space="0" w:color="auto"/>
        <w:bottom w:val="none" w:sz="0" w:space="0" w:color="auto"/>
        <w:right w:val="none" w:sz="0" w:space="0" w:color="auto"/>
      </w:divBdr>
    </w:div>
    <w:div w:id="1815441094">
      <w:bodyDiv w:val="1"/>
      <w:marLeft w:val="0"/>
      <w:marRight w:val="0"/>
      <w:marTop w:val="0"/>
      <w:marBottom w:val="0"/>
      <w:divBdr>
        <w:top w:val="none" w:sz="0" w:space="0" w:color="auto"/>
        <w:left w:val="none" w:sz="0" w:space="0" w:color="auto"/>
        <w:bottom w:val="none" w:sz="0" w:space="0" w:color="auto"/>
        <w:right w:val="none" w:sz="0" w:space="0" w:color="auto"/>
      </w:divBdr>
    </w:div>
    <w:div w:id="1939365834">
      <w:bodyDiv w:val="1"/>
      <w:marLeft w:val="0"/>
      <w:marRight w:val="0"/>
      <w:marTop w:val="0"/>
      <w:marBottom w:val="0"/>
      <w:divBdr>
        <w:top w:val="none" w:sz="0" w:space="0" w:color="auto"/>
        <w:left w:val="none" w:sz="0" w:space="0" w:color="auto"/>
        <w:bottom w:val="none" w:sz="0" w:space="0" w:color="auto"/>
        <w:right w:val="none" w:sz="0" w:space="0" w:color="auto"/>
      </w:divBdr>
    </w:div>
    <w:div w:id="2039550816">
      <w:bodyDiv w:val="1"/>
      <w:marLeft w:val="0"/>
      <w:marRight w:val="0"/>
      <w:marTop w:val="0"/>
      <w:marBottom w:val="0"/>
      <w:divBdr>
        <w:top w:val="none" w:sz="0" w:space="0" w:color="auto"/>
        <w:left w:val="none" w:sz="0" w:space="0" w:color="auto"/>
        <w:bottom w:val="none" w:sz="0" w:space="0" w:color="auto"/>
        <w:right w:val="none" w:sz="0" w:space="0" w:color="auto"/>
      </w:divBdr>
    </w:div>
    <w:div w:id="213412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jp37@cam.ac.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68546-1B37-46C3-BE7A-C97EA7E6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6574</Words>
  <Characters>37473</Characters>
  <Application>Microsoft Office Word</Application>
  <DocSecurity>4</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Dagmar Koller</dc:creator>
  <cp:lastModifiedBy>Ravin Jugdaohsingh</cp:lastModifiedBy>
  <cp:revision>2</cp:revision>
  <cp:lastPrinted>2018-09-03T16:11:00Z</cp:lastPrinted>
  <dcterms:created xsi:type="dcterms:W3CDTF">2018-09-27T14:32:00Z</dcterms:created>
  <dcterms:modified xsi:type="dcterms:W3CDTF">2018-09-27T14:32:00Z</dcterms:modified>
</cp:coreProperties>
</file>