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C4AA9" w14:textId="3BDF6E16" w:rsidR="002B5EDF" w:rsidRPr="00122898" w:rsidRDefault="00EB36A6" w:rsidP="00122898">
      <w:pPr>
        <w:pStyle w:val="Heading1"/>
        <w:rPr>
          <w:i w:val="0"/>
          <w:sz w:val="44"/>
        </w:rPr>
      </w:pPr>
      <w:r>
        <w:rPr>
          <w:i w:val="0"/>
          <w:sz w:val="44"/>
        </w:rPr>
        <w:t>Deprivations of Liberty: Beyond the Paradigm</w:t>
      </w:r>
    </w:p>
    <w:p w14:paraId="4D19020C" w14:textId="6C21C551" w:rsidR="002B5EDF" w:rsidRPr="00652B99" w:rsidRDefault="002B5EDF" w:rsidP="005D42FA">
      <w:pPr>
        <w:jc w:val="both"/>
        <w:rPr>
          <w:b/>
          <w:sz w:val="32"/>
        </w:rPr>
      </w:pPr>
      <w:r w:rsidRPr="00652B99">
        <w:rPr>
          <w:b/>
          <w:sz w:val="32"/>
        </w:rPr>
        <w:t>Shona Wilson Stark</w:t>
      </w:r>
      <w:r w:rsidRPr="00652B99">
        <w:rPr>
          <w:rStyle w:val="FootnoteReference"/>
          <w:b/>
          <w:sz w:val="32"/>
        </w:rPr>
        <w:footnoteReference w:customMarkFollows="1" w:id="2"/>
        <w:t>*</w:t>
      </w:r>
    </w:p>
    <w:p w14:paraId="5BE9269F" w14:textId="1A7B7D40" w:rsidR="005D42FA" w:rsidRPr="005D42FA" w:rsidRDefault="005D42FA" w:rsidP="005D42FA">
      <w:pPr>
        <w:jc w:val="both"/>
        <w:rPr>
          <w:i/>
        </w:rPr>
      </w:pPr>
      <w:r>
        <w:rPr>
          <w:i/>
        </w:rPr>
        <w:t>University of Cambridge</w:t>
      </w:r>
    </w:p>
    <w:p w14:paraId="182B414F" w14:textId="77777777" w:rsidR="00EC656F" w:rsidRDefault="00EC656F" w:rsidP="00984782">
      <w:pPr>
        <w:spacing w:line="480" w:lineRule="auto"/>
        <w:jc w:val="both"/>
      </w:pPr>
    </w:p>
    <w:p w14:paraId="5D48F61C" w14:textId="519A9E23" w:rsidR="007C6906" w:rsidRPr="009871A0" w:rsidRDefault="00130D48" w:rsidP="009871A0">
      <w:pPr>
        <w:keepNext/>
        <w:widowControl w:val="0"/>
        <w:spacing w:line="480" w:lineRule="auto"/>
        <w:jc w:val="both"/>
        <w:rPr>
          <w:sz w:val="22"/>
        </w:rPr>
      </w:pPr>
      <w:r w:rsidRPr="009871A0">
        <w:rPr>
          <w:sz w:val="22"/>
        </w:rPr>
        <w:t>M</w:t>
      </w:r>
      <w:r w:rsidR="00036BA8" w:rsidRPr="009871A0">
        <w:rPr>
          <w:sz w:val="22"/>
        </w:rPr>
        <w:t>any d</w:t>
      </w:r>
      <w:r w:rsidR="000F663B" w:rsidRPr="009871A0">
        <w:rPr>
          <w:sz w:val="22"/>
        </w:rPr>
        <w:t>eprivations of liberty</w:t>
      </w:r>
      <w:r w:rsidR="007109E0" w:rsidRPr="007109E0">
        <w:rPr>
          <w:sz w:val="22"/>
        </w:rPr>
        <w:t xml:space="preserve"> </w:t>
      </w:r>
      <w:r w:rsidR="007109E0">
        <w:rPr>
          <w:sz w:val="22"/>
        </w:rPr>
        <w:t xml:space="preserve">under article 5 of the </w:t>
      </w:r>
      <w:r w:rsidR="007109E0" w:rsidRPr="009871A0">
        <w:rPr>
          <w:sz w:val="22"/>
        </w:rPr>
        <w:t>European Convention on Human Rights (ECHR)</w:t>
      </w:r>
      <w:r w:rsidR="000F663B" w:rsidRPr="009871A0">
        <w:rPr>
          <w:sz w:val="22"/>
        </w:rPr>
        <w:t xml:space="preserve"> take </w:t>
      </w:r>
      <w:r w:rsidR="001442FD" w:rsidRPr="009871A0">
        <w:rPr>
          <w:sz w:val="22"/>
        </w:rPr>
        <w:t>the so-called “paradigm”</w:t>
      </w:r>
      <w:r w:rsidR="00036BA8" w:rsidRPr="009871A0">
        <w:rPr>
          <w:sz w:val="22"/>
        </w:rPr>
        <w:t xml:space="preserve"> form</w:t>
      </w:r>
      <w:r w:rsidRPr="009871A0">
        <w:rPr>
          <w:sz w:val="22"/>
        </w:rPr>
        <w:t xml:space="preserve"> of detention in a prison cell</w:t>
      </w:r>
      <w:r w:rsidR="00036BA8" w:rsidRPr="009871A0">
        <w:rPr>
          <w:sz w:val="22"/>
        </w:rPr>
        <w:t>,</w:t>
      </w:r>
      <w:r w:rsidRPr="009871A0">
        <w:rPr>
          <w:rStyle w:val="FootnoteReference"/>
          <w:sz w:val="22"/>
        </w:rPr>
        <w:footnoteReference w:id="3"/>
      </w:r>
      <w:r w:rsidRPr="009871A0">
        <w:rPr>
          <w:sz w:val="22"/>
        </w:rPr>
        <w:t xml:space="preserve"> </w:t>
      </w:r>
      <w:r w:rsidR="00036BA8" w:rsidRPr="009871A0">
        <w:rPr>
          <w:sz w:val="22"/>
        </w:rPr>
        <w:t xml:space="preserve">but </w:t>
      </w:r>
      <w:r w:rsidR="001442FD" w:rsidRPr="009871A0">
        <w:rPr>
          <w:sz w:val="22"/>
        </w:rPr>
        <w:t>“</w:t>
      </w:r>
      <w:r w:rsidR="00036BA8" w:rsidRPr="009871A0">
        <w:rPr>
          <w:sz w:val="22"/>
        </w:rPr>
        <w:t>non-paradigm</w:t>
      </w:r>
      <w:r w:rsidR="001442FD" w:rsidRPr="009871A0">
        <w:rPr>
          <w:sz w:val="22"/>
        </w:rPr>
        <w:t>”</w:t>
      </w:r>
      <w:r w:rsidR="00CE6238" w:rsidRPr="009871A0">
        <w:rPr>
          <w:sz w:val="22"/>
        </w:rPr>
        <w:t xml:space="preserve"> deprivations take place</w:t>
      </w:r>
      <w:r w:rsidR="008B5F04">
        <w:rPr>
          <w:sz w:val="22"/>
        </w:rPr>
        <w:t xml:space="preserve"> in</w:t>
      </w:r>
      <w:r w:rsidR="00204516" w:rsidRPr="009871A0">
        <w:rPr>
          <w:sz w:val="22"/>
        </w:rPr>
        <w:t>, for example,</w:t>
      </w:r>
      <w:r w:rsidR="00036BA8" w:rsidRPr="009871A0">
        <w:rPr>
          <w:sz w:val="22"/>
        </w:rPr>
        <w:t xml:space="preserve"> </w:t>
      </w:r>
      <w:r w:rsidR="008B5F04">
        <w:rPr>
          <w:sz w:val="22"/>
        </w:rPr>
        <w:t xml:space="preserve">hospitals, </w:t>
      </w:r>
      <w:r w:rsidR="00036BA8" w:rsidRPr="009871A0">
        <w:rPr>
          <w:sz w:val="22"/>
        </w:rPr>
        <w:t>the street</w:t>
      </w:r>
      <w:bookmarkStart w:id="0" w:name="_GoBack"/>
      <w:bookmarkEnd w:id="0"/>
      <w:r w:rsidR="008524B4" w:rsidRPr="009871A0">
        <w:rPr>
          <w:sz w:val="22"/>
        </w:rPr>
        <w:t>,</w:t>
      </w:r>
      <w:r w:rsidR="008B5F04">
        <w:rPr>
          <w:sz w:val="22"/>
        </w:rPr>
        <w:t xml:space="preserve"> or even </w:t>
      </w:r>
      <w:r w:rsidR="00036BA8" w:rsidRPr="009871A0">
        <w:rPr>
          <w:sz w:val="22"/>
        </w:rPr>
        <w:t xml:space="preserve">a person’s own home. </w:t>
      </w:r>
      <w:r w:rsidR="00F75218" w:rsidRPr="009871A0">
        <w:rPr>
          <w:sz w:val="22"/>
        </w:rPr>
        <w:t xml:space="preserve">Two developments in particular have </w:t>
      </w:r>
      <w:r w:rsidR="003911CE" w:rsidRPr="009871A0">
        <w:rPr>
          <w:sz w:val="22"/>
        </w:rPr>
        <w:t>rendered</w:t>
      </w:r>
      <w:r w:rsidR="00F75218" w:rsidRPr="009871A0">
        <w:rPr>
          <w:sz w:val="22"/>
        </w:rPr>
        <w:t xml:space="preserve"> </w:t>
      </w:r>
      <w:r w:rsidR="00EB36A6">
        <w:rPr>
          <w:sz w:val="22"/>
        </w:rPr>
        <w:t>the definition of a non-paradigm</w:t>
      </w:r>
      <w:r w:rsidR="00F75218" w:rsidRPr="009871A0">
        <w:rPr>
          <w:sz w:val="22"/>
        </w:rPr>
        <w:t xml:space="preserve"> </w:t>
      </w:r>
      <w:r w:rsidR="00EB36A6">
        <w:rPr>
          <w:sz w:val="22"/>
        </w:rPr>
        <w:t xml:space="preserve">deprivation of liberty </w:t>
      </w:r>
      <w:r w:rsidR="00F75218" w:rsidRPr="009871A0">
        <w:rPr>
          <w:sz w:val="22"/>
        </w:rPr>
        <w:t>particularly unclear. First, the House of Lords</w:t>
      </w:r>
      <w:r w:rsidR="00C677B0" w:rsidRPr="009871A0">
        <w:rPr>
          <w:sz w:val="22"/>
        </w:rPr>
        <w:t xml:space="preserve"> (UKHL)</w:t>
      </w:r>
      <w:r w:rsidR="00F75218" w:rsidRPr="009871A0">
        <w:rPr>
          <w:sz w:val="22"/>
        </w:rPr>
        <w:t xml:space="preserve"> </w:t>
      </w:r>
      <w:r w:rsidR="00A573FE" w:rsidRPr="009871A0">
        <w:rPr>
          <w:sz w:val="22"/>
        </w:rPr>
        <w:t xml:space="preserve">(in 2009) </w:t>
      </w:r>
      <w:r w:rsidR="00F75218" w:rsidRPr="009871A0">
        <w:rPr>
          <w:sz w:val="22"/>
        </w:rPr>
        <w:t xml:space="preserve">and </w:t>
      </w:r>
      <w:r w:rsidR="00377719" w:rsidRPr="009871A0">
        <w:rPr>
          <w:sz w:val="22"/>
        </w:rPr>
        <w:t>the European Court of Human Rights (ECtHR)</w:t>
      </w:r>
      <w:r w:rsidR="00F75218" w:rsidRPr="009871A0">
        <w:rPr>
          <w:sz w:val="22"/>
        </w:rPr>
        <w:t xml:space="preserve"> </w:t>
      </w:r>
      <w:r w:rsidR="00A573FE" w:rsidRPr="009871A0">
        <w:rPr>
          <w:sz w:val="22"/>
        </w:rPr>
        <w:t xml:space="preserve">(in 2012) </w:t>
      </w:r>
      <w:r w:rsidR="00F75218" w:rsidRPr="009871A0">
        <w:rPr>
          <w:sz w:val="22"/>
        </w:rPr>
        <w:t xml:space="preserve">both </w:t>
      </w:r>
      <w:r w:rsidR="007109E0">
        <w:rPr>
          <w:sz w:val="22"/>
        </w:rPr>
        <w:t>held</w:t>
      </w:r>
      <w:r w:rsidR="00F75218" w:rsidRPr="009871A0">
        <w:rPr>
          <w:sz w:val="22"/>
        </w:rPr>
        <w:t xml:space="preserve"> that the </w:t>
      </w:r>
      <w:r w:rsidR="001442FD" w:rsidRPr="009871A0">
        <w:rPr>
          <w:sz w:val="22"/>
        </w:rPr>
        <w:t>“</w:t>
      </w:r>
      <w:r w:rsidR="00F75218" w:rsidRPr="009871A0">
        <w:rPr>
          <w:sz w:val="22"/>
        </w:rPr>
        <w:t>kettling</w:t>
      </w:r>
      <w:r w:rsidR="001442FD" w:rsidRPr="009871A0">
        <w:rPr>
          <w:sz w:val="22"/>
        </w:rPr>
        <w:t>”</w:t>
      </w:r>
      <w:r w:rsidR="00F75218" w:rsidRPr="009871A0">
        <w:rPr>
          <w:sz w:val="22"/>
        </w:rPr>
        <w:t xml:space="preserve"> </w:t>
      </w:r>
      <w:r w:rsidR="00EC755F" w:rsidRPr="009871A0">
        <w:rPr>
          <w:sz w:val="22"/>
        </w:rPr>
        <w:t xml:space="preserve">(containment in a police cordon) </w:t>
      </w:r>
      <w:r w:rsidR="00F75218" w:rsidRPr="009871A0">
        <w:rPr>
          <w:sz w:val="22"/>
        </w:rPr>
        <w:t xml:space="preserve">of protestors (and bystanders) </w:t>
      </w:r>
      <w:r w:rsidR="00114C31" w:rsidRPr="009871A0">
        <w:rPr>
          <w:sz w:val="22"/>
        </w:rPr>
        <w:t xml:space="preserve">for several hours </w:t>
      </w:r>
      <w:r w:rsidR="00F75218" w:rsidRPr="009871A0">
        <w:rPr>
          <w:sz w:val="22"/>
        </w:rPr>
        <w:t xml:space="preserve">was not a deprivation of liberty in </w:t>
      </w:r>
      <w:r w:rsidR="00F75218" w:rsidRPr="009871A0">
        <w:rPr>
          <w:i/>
          <w:sz w:val="22"/>
        </w:rPr>
        <w:t>Austin</w:t>
      </w:r>
      <w:r w:rsidR="00F75218" w:rsidRPr="009871A0">
        <w:rPr>
          <w:sz w:val="22"/>
        </w:rPr>
        <w:t>.</w:t>
      </w:r>
      <w:r w:rsidR="00B44F32" w:rsidRPr="009871A0">
        <w:rPr>
          <w:rStyle w:val="FootnoteReference"/>
          <w:sz w:val="22"/>
        </w:rPr>
        <w:footnoteReference w:id="4"/>
      </w:r>
      <w:r w:rsidR="00F75218" w:rsidRPr="009871A0">
        <w:rPr>
          <w:sz w:val="22"/>
        </w:rPr>
        <w:t xml:space="preserve"> Second</w:t>
      </w:r>
      <w:r w:rsidRPr="009871A0">
        <w:rPr>
          <w:sz w:val="22"/>
        </w:rPr>
        <w:t>ly</w:t>
      </w:r>
      <w:r w:rsidR="008B5F04">
        <w:rPr>
          <w:sz w:val="22"/>
        </w:rPr>
        <w:t xml:space="preserve">, </w:t>
      </w:r>
      <w:r w:rsidR="00B91DD6">
        <w:rPr>
          <w:sz w:val="22"/>
        </w:rPr>
        <w:t xml:space="preserve">in 2014, </w:t>
      </w:r>
      <w:r w:rsidR="008B5F04">
        <w:rPr>
          <w:sz w:val="22"/>
        </w:rPr>
        <w:t xml:space="preserve">the </w:t>
      </w:r>
      <w:r w:rsidR="00F75218" w:rsidRPr="009871A0">
        <w:rPr>
          <w:sz w:val="22"/>
        </w:rPr>
        <w:t>Supreme Court</w:t>
      </w:r>
      <w:r w:rsidR="00C46D79" w:rsidRPr="009871A0">
        <w:rPr>
          <w:sz w:val="22"/>
        </w:rPr>
        <w:t xml:space="preserve"> (UKSC)</w:t>
      </w:r>
      <w:r w:rsidR="00F75218" w:rsidRPr="009871A0">
        <w:rPr>
          <w:sz w:val="22"/>
        </w:rPr>
        <w:t xml:space="preserve"> held</w:t>
      </w:r>
      <w:r w:rsidR="00A573FE" w:rsidRPr="009871A0">
        <w:rPr>
          <w:sz w:val="22"/>
        </w:rPr>
        <w:t xml:space="preserve"> in </w:t>
      </w:r>
      <w:r w:rsidR="00B44F32" w:rsidRPr="009871A0">
        <w:rPr>
          <w:i/>
          <w:sz w:val="22"/>
        </w:rPr>
        <w:t>Cheshire West</w:t>
      </w:r>
      <w:r w:rsidR="00B44F32" w:rsidRPr="009871A0">
        <w:rPr>
          <w:sz w:val="22"/>
        </w:rPr>
        <w:t xml:space="preserve"> </w:t>
      </w:r>
      <w:r w:rsidR="00F75218" w:rsidRPr="009871A0">
        <w:rPr>
          <w:sz w:val="22"/>
        </w:rPr>
        <w:t xml:space="preserve">that </w:t>
      </w:r>
      <w:r w:rsidRPr="009871A0">
        <w:rPr>
          <w:sz w:val="22"/>
        </w:rPr>
        <w:t xml:space="preserve">disabled people living in </w:t>
      </w:r>
      <w:r w:rsidR="00B8495E" w:rsidRPr="009871A0">
        <w:rPr>
          <w:sz w:val="22"/>
        </w:rPr>
        <w:t xml:space="preserve">various </w:t>
      </w:r>
      <w:r w:rsidRPr="009871A0">
        <w:rPr>
          <w:sz w:val="22"/>
        </w:rPr>
        <w:t>residential homes</w:t>
      </w:r>
      <w:r w:rsidR="00F75218" w:rsidRPr="009871A0">
        <w:rPr>
          <w:sz w:val="22"/>
        </w:rPr>
        <w:t xml:space="preserve"> </w:t>
      </w:r>
      <w:r w:rsidR="00B8495E" w:rsidRPr="009871A0">
        <w:rPr>
          <w:sz w:val="22"/>
        </w:rPr>
        <w:t xml:space="preserve">and facilities </w:t>
      </w:r>
      <w:r w:rsidR="00F75218" w:rsidRPr="009871A0">
        <w:rPr>
          <w:sz w:val="22"/>
        </w:rPr>
        <w:t>we</w:t>
      </w:r>
      <w:r w:rsidR="00114C31" w:rsidRPr="009871A0">
        <w:rPr>
          <w:sz w:val="22"/>
        </w:rPr>
        <w:t xml:space="preserve">re deprived of their liberty </w:t>
      </w:r>
      <w:r w:rsidR="00CE6238" w:rsidRPr="009871A0">
        <w:rPr>
          <w:sz w:val="22"/>
        </w:rPr>
        <w:t>because</w:t>
      </w:r>
      <w:r w:rsidR="00A573FE" w:rsidRPr="009871A0">
        <w:rPr>
          <w:sz w:val="22"/>
        </w:rPr>
        <w:t xml:space="preserve"> they were</w:t>
      </w:r>
      <w:r w:rsidR="008160A2">
        <w:rPr>
          <w:sz w:val="22"/>
        </w:rPr>
        <w:t xml:space="preserve"> (</w:t>
      </w:r>
      <w:r w:rsidR="005A5BA4">
        <w:rPr>
          <w:sz w:val="22"/>
        </w:rPr>
        <w:t>under the state’s responsibility</w:t>
      </w:r>
      <w:r w:rsidR="008160A2">
        <w:rPr>
          <w:sz w:val="22"/>
        </w:rPr>
        <w:t>)</w:t>
      </w:r>
      <w:r w:rsidR="00A573FE" w:rsidRPr="009871A0">
        <w:rPr>
          <w:sz w:val="22"/>
        </w:rPr>
        <w:t xml:space="preserve"> </w:t>
      </w:r>
      <w:r w:rsidR="00A573FE" w:rsidRPr="00D421AE">
        <w:rPr>
          <w:sz w:val="22"/>
        </w:rPr>
        <w:t>under continuous supervision and control and not free to leave</w:t>
      </w:r>
      <w:r w:rsidR="00A573FE" w:rsidRPr="009871A0">
        <w:rPr>
          <w:sz w:val="22"/>
        </w:rPr>
        <w:t>.</w:t>
      </w:r>
      <w:r w:rsidR="00B44F32" w:rsidRPr="009871A0">
        <w:rPr>
          <w:rStyle w:val="FootnoteReference"/>
          <w:sz w:val="22"/>
        </w:rPr>
        <w:footnoteReference w:id="5"/>
      </w:r>
      <w:r w:rsidR="00A573FE" w:rsidRPr="009871A0">
        <w:rPr>
          <w:sz w:val="22"/>
        </w:rPr>
        <w:t xml:space="preserve"> </w:t>
      </w:r>
      <w:r w:rsidR="005A5BA4">
        <w:rPr>
          <w:sz w:val="22"/>
        </w:rPr>
        <w:t>Irrelevant factors were</w:t>
      </w:r>
      <w:r w:rsidR="008160A2">
        <w:rPr>
          <w:sz w:val="22"/>
        </w:rPr>
        <w:t xml:space="preserve">: </w:t>
      </w:r>
      <w:r w:rsidR="005A5BA4">
        <w:rPr>
          <w:sz w:val="22"/>
        </w:rPr>
        <w:t xml:space="preserve">their compliance or lack of objection; the relative normality of the arrangements; and the reason or purpose </w:t>
      </w:r>
      <w:r w:rsidR="00826809">
        <w:rPr>
          <w:sz w:val="22"/>
        </w:rPr>
        <w:t>for</w:t>
      </w:r>
      <w:r w:rsidR="005A5BA4">
        <w:rPr>
          <w:sz w:val="22"/>
        </w:rPr>
        <w:t xml:space="preserve"> the arrangements.</w:t>
      </w:r>
      <w:r w:rsidR="005A5BA4">
        <w:rPr>
          <w:rStyle w:val="FootnoteReference"/>
          <w:sz w:val="22"/>
        </w:rPr>
        <w:footnoteReference w:id="6"/>
      </w:r>
      <w:r w:rsidR="005A5BA4">
        <w:rPr>
          <w:sz w:val="22"/>
        </w:rPr>
        <w:t xml:space="preserve"> </w:t>
      </w:r>
      <w:r w:rsidR="001D556F">
        <w:rPr>
          <w:sz w:val="22"/>
        </w:rPr>
        <w:lastRenderedPageBreak/>
        <w:t xml:space="preserve">Applying </w:t>
      </w:r>
      <w:r w:rsidR="00871E52" w:rsidRPr="009871A0">
        <w:rPr>
          <w:sz w:val="22"/>
        </w:rPr>
        <w:t>that test to</w:t>
      </w:r>
      <w:r w:rsidR="00A573FE" w:rsidRPr="009871A0">
        <w:rPr>
          <w:sz w:val="22"/>
        </w:rPr>
        <w:t xml:space="preserve"> the </w:t>
      </w:r>
      <w:r w:rsidR="00A573FE" w:rsidRPr="009871A0">
        <w:rPr>
          <w:i/>
          <w:sz w:val="22"/>
        </w:rPr>
        <w:t>Austin</w:t>
      </w:r>
      <w:r w:rsidR="008B5F04">
        <w:rPr>
          <w:i/>
          <w:sz w:val="22"/>
        </w:rPr>
        <w:t xml:space="preserve"> </w:t>
      </w:r>
      <w:r w:rsidR="008B5F04" w:rsidRPr="008B5F04">
        <w:rPr>
          <w:sz w:val="22"/>
        </w:rPr>
        <w:t>applicants</w:t>
      </w:r>
      <w:r w:rsidR="005F4E59" w:rsidRPr="008B5F04">
        <w:rPr>
          <w:sz w:val="22"/>
        </w:rPr>
        <w:t>,</w:t>
      </w:r>
      <w:r w:rsidR="00A573FE" w:rsidRPr="009871A0">
        <w:rPr>
          <w:sz w:val="22"/>
        </w:rPr>
        <w:t xml:space="preserve"> </w:t>
      </w:r>
      <w:r w:rsidR="008B5F04">
        <w:rPr>
          <w:sz w:val="22"/>
        </w:rPr>
        <w:t>th</w:t>
      </w:r>
      <w:r w:rsidR="005F4E59" w:rsidRPr="009871A0">
        <w:rPr>
          <w:sz w:val="22"/>
        </w:rPr>
        <w:t xml:space="preserve">ey </w:t>
      </w:r>
      <w:r w:rsidR="008B5F04">
        <w:rPr>
          <w:sz w:val="22"/>
        </w:rPr>
        <w:t>were</w:t>
      </w:r>
      <w:r w:rsidR="005F4E59" w:rsidRPr="009871A0">
        <w:rPr>
          <w:sz w:val="22"/>
        </w:rPr>
        <w:t xml:space="preserve"> </w:t>
      </w:r>
      <w:r w:rsidR="008B5F04">
        <w:rPr>
          <w:sz w:val="22"/>
        </w:rPr>
        <w:t xml:space="preserve">surely </w:t>
      </w:r>
      <w:r w:rsidR="00871E52" w:rsidRPr="009871A0">
        <w:rPr>
          <w:sz w:val="22"/>
        </w:rPr>
        <w:t>deprived of their liberty</w:t>
      </w:r>
      <w:r w:rsidR="00A573FE" w:rsidRPr="009871A0">
        <w:rPr>
          <w:sz w:val="22"/>
        </w:rPr>
        <w:t>.</w:t>
      </w:r>
    </w:p>
    <w:p w14:paraId="35D2899C" w14:textId="6206DD24" w:rsidR="00FC25C1" w:rsidRDefault="00F75218" w:rsidP="00984782">
      <w:pPr>
        <w:spacing w:line="480" w:lineRule="auto"/>
        <w:ind w:firstLine="720"/>
        <w:jc w:val="both"/>
      </w:pPr>
      <w:r w:rsidRPr="009871A0">
        <w:rPr>
          <w:sz w:val="22"/>
        </w:rPr>
        <w:t>The</w:t>
      </w:r>
      <w:r w:rsidR="00204516" w:rsidRPr="009871A0">
        <w:rPr>
          <w:sz w:val="22"/>
        </w:rPr>
        <w:t xml:space="preserve"> </w:t>
      </w:r>
      <w:r w:rsidRPr="009871A0">
        <w:rPr>
          <w:sz w:val="22"/>
        </w:rPr>
        <w:t>purpose of this paper</w:t>
      </w:r>
      <w:r w:rsidR="00114C31" w:rsidRPr="009871A0">
        <w:rPr>
          <w:sz w:val="22"/>
        </w:rPr>
        <w:t xml:space="preserve"> </w:t>
      </w:r>
      <w:r w:rsidRPr="009871A0">
        <w:rPr>
          <w:sz w:val="22"/>
        </w:rPr>
        <w:t xml:space="preserve">is to </w:t>
      </w:r>
      <w:r w:rsidR="00204516" w:rsidRPr="009871A0">
        <w:rPr>
          <w:sz w:val="22"/>
        </w:rPr>
        <w:t>clarify wh</w:t>
      </w:r>
      <w:r w:rsidR="00B8495E" w:rsidRPr="009871A0">
        <w:rPr>
          <w:sz w:val="22"/>
        </w:rPr>
        <w:t>at constitutes</w:t>
      </w:r>
      <w:r w:rsidR="00204516" w:rsidRPr="009871A0">
        <w:rPr>
          <w:sz w:val="22"/>
        </w:rPr>
        <w:t xml:space="preserve"> a </w:t>
      </w:r>
      <w:r w:rsidR="00EB36A6">
        <w:rPr>
          <w:sz w:val="22"/>
        </w:rPr>
        <w:t xml:space="preserve">non-paradigm </w:t>
      </w:r>
      <w:r w:rsidR="00204516" w:rsidRPr="009871A0">
        <w:rPr>
          <w:sz w:val="22"/>
        </w:rPr>
        <w:t>deprivation of liberty</w:t>
      </w:r>
      <w:r w:rsidR="008B5F04">
        <w:rPr>
          <w:sz w:val="22"/>
        </w:rPr>
        <w:t xml:space="preserve"> under article 5</w:t>
      </w:r>
      <w:r w:rsidR="00204516" w:rsidRPr="009871A0">
        <w:rPr>
          <w:sz w:val="22"/>
        </w:rPr>
        <w:t>. Central to this clarification is a re-evaluation of</w:t>
      </w:r>
      <w:r w:rsidRPr="009871A0">
        <w:rPr>
          <w:sz w:val="22"/>
        </w:rPr>
        <w:t xml:space="preserve"> </w:t>
      </w:r>
      <w:r w:rsidRPr="009871A0">
        <w:rPr>
          <w:i/>
          <w:sz w:val="22"/>
        </w:rPr>
        <w:t>Austin</w:t>
      </w:r>
      <w:r w:rsidRPr="009871A0">
        <w:rPr>
          <w:sz w:val="22"/>
        </w:rPr>
        <w:t xml:space="preserve"> in the light of </w:t>
      </w:r>
      <w:r w:rsidR="00032550" w:rsidRPr="009871A0">
        <w:rPr>
          <w:sz w:val="22"/>
        </w:rPr>
        <w:t>other police operational discretion cases</w:t>
      </w:r>
      <w:r w:rsidR="00032550">
        <w:rPr>
          <w:sz w:val="22"/>
        </w:rPr>
        <w:t xml:space="preserve"> and</w:t>
      </w:r>
      <w:r w:rsidR="00032550" w:rsidRPr="009871A0">
        <w:rPr>
          <w:i/>
          <w:sz w:val="22"/>
        </w:rPr>
        <w:t xml:space="preserve"> </w:t>
      </w:r>
      <w:r w:rsidRPr="009871A0">
        <w:rPr>
          <w:i/>
          <w:sz w:val="22"/>
        </w:rPr>
        <w:t>Cheshire West</w:t>
      </w:r>
      <w:r w:rsidR="00204516" w:rsidRPr="009871A0">
        <w:rPr>
          <w:sz w:val="22"/>
        </w:rPr>
        <w:t>. Some c</w:t>
      </w:r>
      <w:r w:rsidRPr="009871A0">
        <w:rPr>
          <w:sz w:val="22"/>
        </w:rPr>
        <w:t xml:space="preserve">larity </w:t>
      </w:r>
      <w:r w:rsidR="00204516" w:rsidRPr="009871A0">
        <w:rPr>
          <w:sz w:val="22"/>
        </w:rPr>
        <w:t>as to</w:t>
      </w:r>
      <w:r w:rsidRPr="009871A0">
        <w:rPr>
          <w:sz w:val="22"/>
        </w:rPr>
        <w:t xml:space="preserve"> </w:t>
      </w:r>
      <w:r w:rsidR="008B5F04">
        <w:rPr>
          <w:sz w:val="22"/>
        </w:rPr>
        <w:t>the a</w:t>
      </w:r>
      <w:r w:rsidR="00A573FE" w:rsidRPr="009871A0">
        <w:rPr>
          <w:sz w:val="22"/>
        </w:rPr>
        <w:t xml:space="preserve">rticle 5 </w:t>
      </w:r>
      <w:r w:rsidR="00170FC1" w:rsidRPr="009871A0">
        <w:rPr>
          <w:sz w:val="22"/>
        </w:rPr>
        <w:t xml:space="preserve">compatibility of crowd control </w:t>
      </w:r>
      <w:r w:rsidR="00130D48" w:rsidRPr="009871A0">
        <w:rPr>
          <w:sz w:val="22"/>
        </w:rPr>
        <w:t>measures</w:t>
      </w:r>
      <w:r w:rsidR="00A573FE" w:rsidRPr="009871A0">
        <w:rPr>
          <w:sz w:val="22"/>
        </w:rPr>
        <w:t xml:space="preserve"> </w:t>
      </w:r>
      <w:r w:rsidR="00204516" w:rsidRPr="009871A0">
        <w:rPr>
          <w:sz w:val="22"/>
        </w:rPr>
        <w:t xml:space="preserve">is particularly </w:t>
      </w:r>
      <w:r w:rsidR="008B5F04">
        <w:rPr>
          <w:sz w:val="22"/>
        </w:rPr>
        <w:t>urgent</w:t>
      </w:r>
      <w:r w:rsidR="00204516" w:rsidRPr="009871A0">
        <w:rPr>
          <w:sz w:val="22"/>
        </w:rPr>
        <w:t xml:space="preserve"> </w:t>
      </w:r>
      <w:r w:rsidRPr="009871A0">
        <w:rPr>
          <w:sz w:val="22"/>
        </w:rPr>
        <w:t xml:space="preserve">given </w:t>
      </w:r>
      <w:r w:rsidR="00204516" w:rsidRPr="009871A0">
        <w:rPr>
          <w:sz w:val="22"/>
        </w:rPr>
        <w:t xml:space="preserve">the </w:t>
      </w:r>
      <w:r w:rsidR="00170FC1" w:rsidRPr="009871A0">
        <w:rPr>
          <w:sz w:val="22"/>
        </w:rPr>
        <w:t>increasing number of protests</w:t>
      </w:r>
      <w:r w:rsidR="00204516" w:rsidRPr="009871A0">
        <w:rPr>
          <w:sz w:val="22"/>
        </w:rPr>
        <w:t xml:space="preserve"> </w:t>
      </w:r>
      <w:r w:rsidR="005D72F5" w:rsidRPr="009871A0">
        <w:rPr>
          <w:sz w:val="22"/>
        </w:rPr>
        <w:t xml:space="preserve">across the Council of Europe (and beyond) </w:t>
      </w:r>
      <w:r w:rsidRPr="009871A0">
        <w:rPr>
          <w:sz w:val="22"/>
        </w:rPr>
        <w:t>due to the like</w:t>
      </w:r>
      <w:r w:rsidR="00B304E0" w:rsidRPr="009871A0">
        <w:rPr>
          <w:sz w:val="22"/>
        </w:rPr>
        <w:t>s of Brexit and President Trump</w:t>
      </w:r>
      <w:r w:rsidRPr="009871A0">
        <w:rPr>
          <w:sz w:val="22"/>
        </w:rPr>
        <w:t>.</w:t>
      </w:r>
      <w:r w:rsidR="005F4E59" w:rsidRPr="009871A0">
        <w:rPr>
          <w:rStyle w:val="FootnoteReference"/>
          <w:sz w:val="22"/>
        </w:rPr>
        <w:footnoteReference w:id="7"/>
      </w:r>
      <w:r w:rsidRPr="009871A0">
        <w:rPr>
          <w:sz w:val="22"/>
        </w:rPr>
        <w:t xml:space="preserve"> </w:t>
      </w:r>
      <w:r w:rsidR="00204516" w:rsidRPr="009871A0">
        <w:rPr>
          <w:sz w:val="22"/>
        </w:rPr>
        <w:t>But the</w:t>
      </w:r>
      <w:r w:rsidRPr="009871A0">
        <w:rPr>
          <w:sz w:val="22"/>
        </w:rPr>
        <w:t xml:space="preserve"> conclusions </w:t>
      </w:r>
      <w:r w:rsidR="00204516" w:rsidRPr="009871A0">
        <w:rPr>
          <w:sz w:val="22"/>
        </w:rPr>
        <w:t>drawn</w:t>
      </w:r>
      <w:r w:rsidR="00A573FE" w:rsidRPr="009871A0">
        <w:rPr>
          <w:sz w:val="22"/>
        </w:rPr>
        <w:t xml:space="preserve"> in the protest </w:t>
      </w:r>
      <w:r w:rsidR="00EC755F" w:rsidRPr="009871A0">
        <w:rPr>
          <w:sz w:val="22"/>
        </w:rPr>
        <w:t xml:space="preserve">context </w:t>
      </w:r>
      <w:r w:rsidRPr="009871A0">
        <w:rPr>
          <w:sz w:val="22"/>
        </w:rPr>
        <w:t>can be extended to deprivations of liberty more generally</w:t>
      </w:r>
      <w:r w:rsidR="00204516" w:rsidRPr="009871A0">
        <w:rPr>
          <w:sz w:val="22"/>
        </w:rPr>
        <w:t xml:space="preserve"> since, as will be argued, the concept of liberty </w:t>
      </w:r>
      <w:r w:rsidR="00121C9B">
        <w:rPr>
          <w:sz w:val="22"/>
        </w:rPr>
        <w:t>should be</w:t>
      </w:r>
      <w:r w:rsidR="00130D48" w:rsidRPr="009871A0">
        <w:rPr>
          <w:sz w:val="22"/>
        </w:rPr>
        <w:t xml:space="preserve"> </w:t>
      </w:r>
      <w:r w:rsidR="00204516" w:rsidRPr="009871A0">
        <w:rPr>
          <w:sz w:val="22"/>
        </w:rPr>
        <w:t>the same for everyone</w:t>
      </w:r>
      <w:r w:rsidRPr="009871A0">
        <w:rPr>
          <w:sz w:val="22"/>
        </w:rPr>
        <w:t xml:space="preserve">. </w:t>
      </w:r>
      <w:r w:rsidR="00BB335F">
        <w:rPr>
          <w:sz w:val="22"/>
        </w:rPr>
        <w:t xml:space="preserve">Clarification as to the meaning of a </w:t>
      </w:r>
      <w:r w:rsidR="00EB36A6">
        <w:rPr>
          <w:sz w:val="22"/>
        </w:rPr>
        <w:t xml:space="preserve">non-paradigm </w:t>
      </w:r>
      <w:r w:rsidR="00BB335F">
        <w:rPr>
          <w:sz w:val="22"/>
        </w:rPr>
        <w:t>deprivation of liberty</w:t>
      </w:r>
      <w:r w:rsidR="000557EB">
        <w:rPr>
          <w:sz w:val="22"/>
        </w:rPr>
        <w:t xml:space="preserve"> is vital </w:t>
      </w:r>
      <w:r w:rsidR="00EB36A6">
        <w:rPr>
          <w:sz w:val="22"/>
        </w:rPr>
        <w:t xml:space="preserve">in outlining the proper scope of article </w:t>
      </w:r>
      <w:r w:rsidR="00121C9B">
        <w:rPr>
          <w:sz w:val="22"/>
        </w:rPr>
        <w:t>5</w:t>
      </w:r>
      <w:r w:rsidR="00EB36A6">
        <w:rPr>
          <w:sz w:val="22"/>
        </w:rPr>
        <w:t>, a prerequisite to resolving other important questions</w:t>
      </w:r>
      <w:r w:rsidR="004C34B7">
        <w:rPr>
          <w:sz w:val="22"/>
        </w:rPr>
        <w:t>, such as</w:t>
      </w:r>
      <w:r w:rsidR="000557EB">
        <w:rPr>
          <w:sz w:val="22"/>
        </w:rPr>
        <w:t xml:space="preserve"> </w:t>
      </w:r>
      <w:r w:rsidR="00BB335F">
        <w:rPr>
          <w:sz w:val="22"/>
        </w:rPr>
        <w:t>the protections offered by article</w:t>
      </w:r>
      <w:r w:rsidR="00032550">
        <w:rPr>
          <w:sz w:val="22"/>
        </w:rPr>
        <w:t>s 5(2)-(5), and</w:t>
      </w:r>
      <w:r w:rsidR="00BB335F">
        <w:rPr>
          <w:sz w:val="22"/>
        </w:rPr>
        <w:t xml:space="preserve"> </w:t>
      </w:r>
      <w:r w:rsidR="000557EB">
        <w:rPr>
          <w:sz w:val="22"/>
        </w:rPr>
        <w:t xml:space="preserve">the relationship between </w:t>
      </w:r>
      <w:r w:rsidR="008B5F04">
        <w:rPr>
          <w:sz w:val="22"/>
        </w:rPr>
        <w:t>a</w:t>
      </w:r>
      <w:r w:rsidR="000557EB">
        <w:rPr>
          <w:sz w:val="22"/>
        </w:rPr>
        <w:t>rticle 5 and the tort of false impr</w:t>
      </w:r>
      <w:r w:rsidR="00BB335F">
        <w:rPr>
          <w:sz w:val="22"/>
        </w:rPr>
        <w:t>isonment</w:t>
      </w:r>
      <w:r w:rsidR="000557EB">
        <w:rPr>
          <w:sz w:val="22"/>
        </w:rPr>
        <w:t>.</w:t>
      </w:r>
      <w:r w:rsidR="003C5D7D">
        <w:rPr>
          <w:rStyle w:val="FootnoteReference"/>
          <w:sz w:val="22"/>
        </w:rPr>
        <w:footnoteReference w:id="8"/>
      </w:r>
    </w:p>
    <w:p w14:paraId="68F5E6B5" w14:textId="77777777" w:rsidR="00F02273" w:rsidRDefault="00F02273" w:rsidP="00984782">
      <w:pPr>
        <w:spacing w:line="480" w:lineRule="auto"/>
        <w:jc w:val="both"/>
      </w:pPr>
    </w:p>
    <w:p w14:paraId="1FCB7C52" w14:textId="2017810C" w:rsidR="00B3110F" w:rsidRPr="00AC635C" w:rsidRDefault="004F228A" w:rsidP="002C1856">
      <w:pPr>
        <w:pStyle w:val="Heading2"/>
      </w:pPr>
      <w:r>
        <w:t xml:space="preserve">The </w:t>
      </w:r>
      <w:r w:rsidR="005462D0">
        <w:t>essence of</w:t>
      </w:r>
      <w:r w:rsidR="001D556F">
        <w:t xml:space="preserve"> a</w:t>
      </w:r>
      <w:r>
        <w:t>rticle 5</w:t>
      </w:r>
    </w:p>
    <w:p w14:paraId="6ABD3C7B" w14:textId="1B42D37E" w:rsidR="002C1856" w:rsidRPr="002C1856" w:rsidRDefault="002C1856" w:rsidP="002C1856">
      <w:pPr>
        <w:pStyle w:val="Heading3"/>
      </w:pPr>
      <w:r w:rsidRPr="002C1856">
        <w:t>Limited exceptions</w:t>
      </w:r>
    </w:p>
    <w:p w14:paraId="6EAB9BCB" w14:textId="0180640B" w:rsidR="00AC635C" w:rsidRDefault="006A178B" w:rsidP="00984782">
      <w:pPr>
        <w:spacing w:line="480" w:lineRule="auto"/>
        <w:jc w:val="both"/>
        <w:rPr>
          <w:sz w:val="22"/>
        </w:rPr>
      </w:pPr>
      <w:r w:rsidRPr="009871A0">
        <w:rPr>
          <w:sz w:val="22"/>
        </w:rPr>
        <w:t xml:space="preserve">Article 5 </w:t>
      </w:r>
      <w:r w:rsidR="007109E0">
        <w:rPr>
          <w:sz w:val="22"/>
        </w:rPr>
        <w:t>establishes</w:t>
      </w:r>
      <w:r w:rsidRPr="009871A0">
        <w:rPr>
          <w:sz w:val="22"/>
        </w:rPr>
        <w:t xml:space="preserve"> </w:t>
      </w:r>
      <w:r w:rsidR="000557EB">
        <w:rPr>
          <w:sz w:val="22"/>
        </w:rPr>
        <w:t>a</w:t>
      </w:r>
      <w:r w:rsidRPr="009871A0">
        <w:rPr>
          <w:sz w:val="22"/>
        </w:rPr>
        <w:t xml:space="preserve"> right to liberty and security of person,</w:t>
      </w:r>
      <w:r w:rsidR="00BB335F">
        <w:rPr>
          <w:rStyle w:val="FootnoteReference"/>
          <w:sz w:val="22"/>
        </w:rPr>
        <w:footnoteReference w:id="9"/>
      </w:r>
      <w:r w:rsidRPr="009871A0">
        <w:rPr>
          <w:sz w:val="22"/>
        </w:rPr>
        <w:t xml:space="preserve"> subject to specific</w:t>
      </w:r>
      <w:r w:rsidR="00AC635C">
        <w:rPr>
          <w:sz w:val="22"/>
        </w:rPr>
        <w:t xml:space="preserve">, limited exceptions. </w:t>
      </w:r>
      <w:r w:rsidR="00E87320">
        <w:rPr>
          <w:sz w:val="22"/>
        </w:rPr>
        <w:t>Under a</w:t>
      </w:r>
      <w:r w:rsidR="007109E0">
        <w:rPr>
          <w:sz w:val="22"/>
        </w:rPr>
        <w:t>rticle 5(1), l</w:t>
      </w:r>
      <w:r w:rsidR="00AC635C">
        <w:rPr>
          <w:sz w:val="22"/>
        </w:rPr>
        <w:t>awful detention is permitted:</w:t>
      </w:r>
    </w:p>
    <w:p w14:paraId="256120E8" w14:textId="77777777" w:rsidR="00AC635C" w:rsidRDefault="00AC635C" w:rsidP="00984782">
      <w:pPr>
        <w:spacing w:line="480" w:lineRule="auto"/>
        <w:jc w:val="both"/>
        <w:rPr>
          <w:sz w:val="22"/>
        </w:rPr>
      </w:pPr>
    </w:p>
    <w:p w14:paraId="0EC7DD61" w14:textId="7E4A9576" w:rsidR="00AC635C" w:rsidRDefault="00AC635C" w:rsidP="00AC635C">
      <w:pPr>
        <w:spacing w:line="480" w:lineRule="auto"/>
        <w:ind w:firstLine="720"/>
        <w:jc w:val="both"/>
        <w:rPr>
          <w:sz w:val="22"/>
        </w:rPr>
      </w:pPr>
      <w:r w:rsidRPr="00AC635C">
        <w:rPr>
          <w:sz w:val="22"/>
        </w:rPr>
        <w:t xml:space="preserve">(a) after conviction; </w:t>
      </w:r>
    </w:p>
    <w:p w14:paraId="13E69A22" w14:textId="5F0576FD" w:rsidR="00AC635C" w:rsidRDefault="00AC635C" w:rsidP="00AC635C">
      <w:pPr>
        <w:spacing w:line="480" w:lineRule="auto"/>
        <w:ind w:left="720"/>
        <w:jc w:val="both"/>
        <w:rPr>
          <w:sz w:val="22"/>
        </w:rPr>
      </w:pPr>
      <w:r w:rsidRPr="00AC635C">
        <w:rPr>
          <w:sz w:val="22"/>
        </w:rPr>
        <w:t>(b) for non</w:t>
      </w:r>
      <w:r>
        <w:rPr>
          <w:sz w:val="22"/>
        </w:rPr>
        <w:t>-</w:t>
      </w:r>
      <w:r w:rsidRPr="00AC635C">
        <w:rPr>
          <w:sz w:val="22"/>
        </w:rPr>
        <w:t xml:space="preserve">compliance with a court </w:t>
      </w:r>
      <w:r w:rsidR="00BB335F">
        <w:rPr>
          <w:sz w:val="22"/>
        </w:rPr>
        <w:t>order, or for</w:t>
      </w:r>
      <w:r w:rsidRPr="00AC635C">
        <w:rPr>
          <w:sz w:val="22"/>
        </w:rPr>
        <w:t xml:space="preserve"> </w:t>
      </w:r>
      <w:r w:rsidR="00BB335F">
        <w:rPr>
          <w:sz w:val="22"/>
        </w:rPr>
        <w:t>fulfilment of an</w:t>
      </w:r>
      <w:r w:rsidRPr="00AC635C">
        <w:rPr>
          <w:sz w:val="22"/>
        </w:rPr>
        <w:t xml:space="preserve"> ob</w:t>
      </w:r>
      <w:r>
        <w:rPr>
          <w:sz w:val="22"/>
        </w:rPr>
        <w:t xml:space="preserve">ligation prescribed by law; </w:t>
      </w:r>
    </w:p>
    <w:p w14:paraId="5A3B830C" w14:textId="3AE26921" w:rsidR="00AC635C" w:rsidRDefault="00AC635C" w:rsidP="00AC635C">
      <w:pPr>
        <w:spacing w:line="480" w:lineRule="auto"/>
        <w:ind w:left="720"/>
        <w:jc w:val="both"/>
        <w:rPr>
          <w:sz w:val="22"/>
        </w:rPr>
      </w:pPr>
      <w:r w:rsidRPr="00AC635C">
        <w:rPr>
          <w:sz w:val="22"/>
        </w:rPr>
        <w:lastRenderedPageBreak/>
        <w:t xml:space="preserve">(c) on reasonable suspicion of </w:t>
      </w:r>
      <w:r w:rsidR="000C0185">
        <w:rPr>
          <w:sz w:val="22"/>
        </w:rPr>
        <w:t>a person c</w:t>
      </w:r>
      <w:r w:rsidR="00BB335F">
        <w:rPr>
          <w:sz w:val="22"/>
        </w:rPr>
        <w:t>ommitting</w:t>
      </w:r>
      <w:r w:rsidRPr="00AC635C">
        <w:rPr>
          <w:sz w:val="22"/>
        </w:rPr>
        <w:t xml:space="preserve"> an offence</w:t>
      </w:r>
      <w:r w:rsidR="00BB335F">
        <w:rPr>
          <w:sz w:val="22"/>
        </w:rPr>
        <w:t>,</w:t>
      </w:r>
      <w:r w:rsidRPr="00AC635C">
        <w:rPr>
          <w:sz w:val="22"/>
        </w:rPr>
        <w:t xml:space="preserve"> or </w:t>
      </w:r>
      <w:r w:rsidR="00BB335F">
        <w:rPr>
          <w:sz w:val="22"/>
        </w:rPr>
        <w:t>if</w:t>
      </w:r>
      <w:r w:rsidRPr="00AC635C">
        <w:rPr>
          <w:sz w:val="22"/>
        </w:rPr>
        <w:t xml:space="preserve"> reasonably necessary to prevent </w:t>
      </w:r>
      <w:r w:rsidR="000C0185">
        <w:rPr>
          <w:sz w:val="22"/>
        </w:rPr>
        <w:t xml:space="preserve">her </w:t>
      </w:r>
      <w:r w:rsidR="00BB335F">
        <w:rPr>
          <w:sz w:val="22"/>
        </w:rPr>
        <w:t>commi</w:t>
      </w:r>
      <w:r w:rsidR="000C0185">
        <w:rPr>
          <w:sz w:val="22"/>
        </w:rPr>
        <w:t>tting</w:t>
      </w:r>
      <w:r w:rsidRPr="00AC635C">
        <w:rPr>
          <w:sz w:val="22"/>
        </w:rPr>
        <w:t xml:space="preserve"> an offence or fleeing after having done so; </w:t>
      </w:r>
    </w:p>
    <w:p w14:paraId="25F96B79" w14:textId="3561234A" w:rsidR="00AC635C" w:rsidRDefault="00AC635C" w:rsidP="00AC635C">
      <w:pPr>
        <w:spacing w:line="480" w:lineRule="auto"/>
        <w:ind w:left="720"/>
        <w:jc w:val="both"/>
        <w:rPr>
          <w:sz w:val="22"/>
        </w:rPr>
      </w:pPr>
      <w:r w:rsidRPr="00AC635C">
        <w:rPr>
          <w:sz w:val="22"/>
        </w:rPr>
        <w:t xml:space="preserve">(d) for educational supervision </w:t>
      </w:r>
      <w:r w:rsidR="003C5D7D">
        <w:rPr>
          <w:sz w:val="22"/>
        </w:rPr>
        <w:t>of a minor</w:t>
      </w:r>
      <w:r w:rsidR="005626B6">
        <w:rPr>
          <w:sz w:val="22"/>
        </w:rPr>
        <w:t>,</w:t>
      </w:r>
      <w:r w:rsidR="003C5D7D">
        <w:rPr>
          <w:sz w:val="22"/>
        </w:rPr>
        <w:t xml:space="preserve"> </w:t>
      </w:r>
      <w:r w:rsidRPr="00AC635C">
        <w:rPr>
          <w:sz w:val="22"/>
        </w:rPr>
        <w:t xml:space="preserve">or for bringing </w:t>
      </w:r>
      <w:r w:rsidR="000A211B">
        <w:rPr>
          <w:sz w:val="22"/>
        </w:rPr>
        <w:t xml:space="preserve">a minor before a </w:t>
      </w:r>
      <w:r w:rsidRPr="00AC635C">
        <w:rPr>
          <w:sz w:val="22"/>
        </w:rPr>
        <w:t xml:space="preserve">competent legal authority; </w:t>
      </w:r>
    </w:p>
    <w:p w14:paraId="52DF96B4" w14:textId="2034291E" w:rsidR="00AC635C" w:rsidRDefault="00AC635C" w:rsidP="00AC635C">
      <w:pPr>
        <w:spacing w:line="480" w:lineRule="auto"/>
        <w:ind w:left="720"/>
        <w:jc w:val="both"/>
        <w:rPr>
          <w:sz w:val="22"/>
        </w:rPr>
      </w:pPr>
      <w:r w:rsidRPr="00AC635C">
        <w:rPr>
          <w:sz w:val="22"/>
        </w:rPr>
        <w:t xml:space="preserve">(e) </w:t>
      </w:r>
      <w:r w:rsidR="005626B6">
        <w:rPr>
          <w:sz w:val="22"/>
        </w:rPr>
        <w:t>to prevent spreading</w:t>
      </w:r>
      <w:r w:rsidR="00121C9B">
        <w:rPr>
          <w:sz w:val="22"/>
        </w:rPr>
        <w:t xml:space="preserve"> infectious diseases, or for</w:t>
      </w:r>
      <w:r w:rsidRPr="00AC635C">
        <w:rPr>
          <w:sz w:val="22"/>
        </w:rPr>
        <w:t xml:space="preserve"> persons</w:t>
      </w:r>
      <w:r w:rsidR="005626B6">
        <w:rPr>
          <w:sz w:val="22"/>
        </w:rPr>
        <w:t xml:space="preserve"> of unsound mind, alcoholics, </w:t>
      </w:r>
      <w:r w:rsidRPr="00AC635C">
        <w:rPr>
          <w:sz w:val="22"/>
        </w:rPr>
        <w:t xml:space="preserve">drug addicts or vagrants; </w:t>
      </w:r>
    </w:p>
    <w:p w14:paraId="184D1611" w14:textId="5DD60A4D" w:rsidR="00AC635C" w:rsidRPr="00AC635C" w:rsidRDefault="00AC635C" w:rsidP="00AC635C">
      <w:pPr>
        <w:spacing w:line="480" w:lineRule="auto"/>
        <w:ind w:left="720"/>
        <w:jc w:val="both"/>
        <w:rPr>
          <w:sz w:val="22"/>
        </w:rPr>
      </w:pPr>
      <w:r w:rsidRPr="00AC635C">
        <w:rPr>
          <w:sz w:val="22"/>
        </w:rPr>
        <w:t>(f)</w:t>
      </w:r>
      <w:r w:rsidR="005626B6">
        <w:rPr>
          <w:sz w:val="22"/>
        </w:rPr>
        <w:t xml:space="preserve"> to prevent unauthorised entry into a </w:t>
      </w:r>
      <w:r w:rsidRPr="00AC635C">
        <w:rPr>
          <w:sz w:val="22"/>
        </w:rPr>
        <w:t>country</w:t>
      </w:r>
      <w:r w:rsidR="005626B6">
        <w:rPr>
          <w:sz w:val="22"/>
        </w:rPr>
        <w:t>,</w:t>
      </w:r>
      <w:r w:rsidRPr="00AC635C">
        <w:rPr>
          <w:sz w:val="22"/>
        </w:rPr>
        <w:t xml:space="preserve"> or with a view to deportation or extradition.</w:t>
      </w:r>
    </w:p>
    <w:p w14:paraId="52151C23" w14:textId="77777777" w:rsidR="00AC635C" w:rsidRDefault="00AC635C" w:rsidP="00984782">
      <w:pPr>
        <w:spacing w:line="480" w:lineRule="auto"/>
        <w:jc w:val="both"/>
        <w:rPr>
          <w:sz w:val="22"/>
        </w:rPr>
      </w:pPr>
    </w:p>
    <w:p w14:paraId="0F1662E6" w14:textId="4D752927" w:rsidR="007109E0" w:rsidRDefault="00B304E0" w:rsidP="00984782">
      <w:pPr>
        <w:spacing w:line="480" w:lineRule="auto"/>
        <w:jc w:val="both"/>
        <w:rPr>
          <w:sz w:val="22"/>
        </w:rPr>
      </w:pPr>
      <w:r w:rsidRPr="009871A0">
        <w:rPr>
          <w:sz w:val="22"/>
        </w:rPr>
        <w:t>The</w:t>
      </w:r>
      <w:r w:rsidR="006A178B" w:rsidRPr="009871A0">
        <w:rPr>
          <w:sz w:val="22"/>
        </w:rPr>
        <w:t xml:space="preserve"> format </w:t>
      </w:r>
      <w:r w:rsidR="00E87320">
        <w:rPr>
          <w:sz w:val="22"/>
        </w:rPr>
        <w:t>of a</w:t>
      </w:r>
      <w:r w:rsidRPr="009871A0">
        <w:rPr>
          <w:sz w:val="22"/>
        </w:rPr>
        <w:t>rticle 5 reflects two competing facts</w:t>
      </w:r>
      <w:r w:rsidR="006A178B" w:rsidRPr="009871A0">
        <w:rPr>
          <w:sz w:val="22"/>
        </w:rPr>
        <w:t xml:space="preserve">. First, the right to </w:t>
      </w:r>
      <w:r w:rsidR="00B715C7" w:rsidRPr="009871A0">
        <w:rPr>
          <w:sz w:val="22"/>
        </w:rPr>
        <w:t>be free from arbitrary detention</w:t>
      </w:r>
      <w:r w:rsidR="006A178B" w:rsidRPr="009871A0">
        <w:rPr>
          <w:sz w:val="22"/>
        </w:rPr>
        <w:t xml:space="preserve"> is a fundamental right which has existed since at least Magna Carta.</w:t>
      </w:r>
      <w:r w:rsidRPr="009871A0">
        <w:rPr>
          <w:rStyle w:val="FootnoteReference"/>
          <w:sz w:val="22"/>
        </w:rPr>
        <w:footnoteReference w:id="10"/>
      </w:r>
      <w:r w:rsidR="006A178B" w:rsidRPr="009871A0">
        <w:rPr>
          <w:sz w:val="22"/>
        </w:rPr>
        <w:t xml:space="preserve"> </w:t>
      </w:r>
      <w:r w:rsidR="00B8495E" w:rsidRPr="009871A0">
        <w:rPr>
          <w:sz w:val="22"/>
        </w:rPr>
        <w:t>Being at</w:t>
      </w:r>
      <w:r w:rsidR="00F34A14" w:rsidRPr="009871A0">
        <w:rPr>
          <w:sz w:val="22"/>
        </w:rPr>
        <w:t xml:space="preserve"> liberty </w:t>
      </w:r>
      <w:r w:rsidR="005D6E7D" w:rsidRPr="009871A0">
        <w:rPr>
          <w:sz w:val="22"/>
        </w:rPr>
        <w:t>is</w:t>
      </w:r>
      <w:r w:rsidR="00F34A14" w:rsidRPr="009871A0">
        <w:rPr>
          <w:sz w:val="22"/>
        </w:rPr>
        <w:t xml:space="preserve"> a pre-requisite for</w:t>
      </w:r>
      <w:r w:rsidR="006A178B" w:rsidRPr="009871A0">
        <w:rPr>
          <w:sz w:val="22"/>
        </w:rPr>
        <w:t xml:space="preserve"> </w:t>
      </w:r>
      <w:r w:rsidR="00C248B1" w:rsidRPr="009871A0">
        <w:rPr>
          <w:sz w:val="22"/>
        </w:rPr>
        <w:t xml:space="preserve">the </w:t>
      </w:r>
      <w:r w:rsidR="006A178B" w:rsidRPr="009871A0">
        <w:rPr>
          <w:sz w:val="22"/>
        </w:rPr>
        <w:t xml:space="preserve">enjoyment of certain other Convention rights. </w:t>
      </w:r>
      <w:r w:rsidR="005D6E7D" w:rsidRPr="009871A0">
        <w:rPr>
          <w:sz w:val="22"/>
        </w:rPr>
        <w:t>Without</w:t>
      </w:r>
      <w:r w:rsidR="00B715C7" w:rsidRPr="009871A0">
        <w:rPr>
          <w:sz w:val="22"/>
        </w:rPr>
        <w:t xml:space="preserve"> liberty,</w:t>
      </w:r>
      <w:r w:rsidR="006A178B" w:rsidRPr="009871A0">
        <w:rPr>
          <w:sz w:val="22"/>
        </w:rPr>
        <w:t xml:space="preserve"> one’s ability to associate with others, receive an education, express oneself, enjoy a private and family life and so on </w:t>
      </w:r>
      <w:r w:rsidR="00F34A14" w:rsidRPr="009871A0">
        <w:rPr>
          <w:sz w:val="22"/>
        </w:rPr>
        <w:t>may be</w:t>
      </w:r>
      <w:r w:rsidR="006A178B" w:rsidRPr="009871A0">
        <w:rPr>
          <w:sz w:val="22"/>
        </w:rPr>
        <w:t xml:space="preserve"> removed or at least restricted, while one becomes more susceptible to other violations such as torture or inhuman or degrading treatment.</w:t>
      </w:r>
      <w:r w:rsidR="00C248B1" w:rsidRPr="009871A0">
        <w:rPr>
          <w:rStyle w:val="FootnoteReference"/>
          <w:sz w:val="22"/>
        </w:rPr>
        <w:footnoteReference w:id="11"/>
      </w:r>
      <w:r w:rsidR="006A178B" w:rsidRPr="009871A0">
        <w:rPr>
          <w:sz w:val="22"/>
        </w:rPr>
        <w:t xml:space="preserve"> </w:t>
      </w:r>
      <w:r w:rsidR="00F17D45" w:rsidRPr="009871A0">
        <w:rPr>
          <w:sz w:val="22"/>
        </w:rPr>
        <w:t xml:space="preserve">Article 5 is </w:t>
      </w:r>
      <w:r w:rsidR="008C4E96" w:rsidRPr="009871A0">
        <w:rPr>
          <w:sz w:val="22"/>
        </w:rPr>
        <w:t xml:space="preserve">thus </w:t>
      </w:r>
      <w:r w:rsidR="00F17D45" w:rsidRPr="009871A0">
        <w:rPr>
          <w:sz w:val="22"/>
        </w:rPr>
        <w:t>one of the main lyn</w:t>
      </w:r>
      <w:r w:rsidR="00032550">
        <w:rPr>
          <w:sz w:val="22"/>
        </w:rPr>
        <w:t xml:space="preserve">chpins of the Convention and </w:t>
      </w:r>
      <w:r w:rsidR="00F17D45" w:rsidRPr="009871A0">
        <w:rPr>
          <w:sz w:val="22"/>
        </w:rPr>
        <w:t xml:space="preserve">its lack of definition </w:t>
      </w:r>
      <w:r w:rsidR="00183923" w:rsidRPr="009871A0">
        <w:rPr>
          <w:sz w:val="22"/>
        </w:rPr>
        <w:t xml:space="preserve">(and potential erosion) </w:t>
      </w:r>
      <w:r w:rsidR="006253AE" w:rsidRPr="009871A0">
        <w:rPr>
          <w:sz w:val="22"/>
        </w:rPr>
        <w:t>is</w:t>
      </w:r>
      <w:r w:rsidR="00F17D45" w:rsidRPr="009871A0">
        <w:rPr>
          <w:sz w:val="22"/>
        </w:rPr>
        <w:t xml:space="preserve"> particularly problematic. </w:t>
      </w:r>
      <w:r w:rsidR="006A178B" w:rsidRPr="009871A0">
        <w:rPr>
          <w:sz w:val="22"/>
        </w:rPr>
        <w:t xml:space="preserve">But secondly, the right to liberty must admit of certain </w:t>
      </w:r>
      <w:r w:rsidR="000C0185">
        <w:rPr>
          <w:sz w:val="22"/>
        </w:rPr>
        <w:t>exceptions</w:t>
      </w:r>
      <w:r w:rsidR="006A178B" w:rsidRPr="009871A0">
        <w:rPr>
          <w:sz w:val="22"/>
        </w:rPr>
        <w:t xml:space="preserve"> because otherwise we would be unable to</w:t>
      </w:r>
      <w:r w:rsidR="005D6E7D" w:rsidRPr="009871A0">
        <w:rPr>
          <w:sz w:val="22"/>
        </w:rPr>
        <w:t>, for example,</w:t>
      </w:r>
      <w:r w:rsidR="006A178B" w:rsidRPr="009871A0">
        <w:rPr>
          <w:sz w:val="22"/>
        </w:rPr>
        <w:t xml:space="preserve"> lock up p</w:t>
      </w:r>
      <w:r w:rsidR="005D6E7D" w:rsidRPr="009871A0">
        <w:rPr>
          <w:sz w:val="22"/>
        </w:rPr>
        <w:t>risoners after their conviction or</w:t>
      </w:r>
      <w:r w:rsidR="006A178B" w:rsidRPr="009871A0">
        <w:rPr>
          <w:sz w:val="22"/>
        </w:rPr>
        <w:t xml:space="preserve"> </w:t>
      </w:r>
      <w:r w:rsidR="005306F8" w:rsidRPr="009871A0">
        <w:rPr>
          <w:sz w:val="22"/>
        </w:rPr>
        <w:t>care for</w:t>
      </w:r>
      <w:r w:rsidR="006A178B" w:rsidRPr="009871A0">
        <w:rPr>
          <w:sz w:val="22"/>
        </w:rPr>
        <w:t xml:space="preserve"> people for their own safety. </w:t>
      </w:r>
    </w:p>
    <w:p w14:paraId="43EC0CEE" w14:textId="20BF1FCB" w:rsidR="00114C31" w:rsidRPr="003A4051" w:rsidRDefault="007109E0" w:rsidP="00D90EB1">
      <w:pPr>
        <w:widowControl w:val="0"/>
        <w:spacing w:line="480" w:lineRule="auto"/>
        <w:ind w:firstLine="720"/>
        <w:jc w:val="both"/>
        <w:rPr>
          <w:sz w:val="22"/>
        </w:rPr>
      </w:pPr>
      <w:r>
        <w:rPr>
          <w:sz w:val="22"/>
        </w:rPr>
        <w:t>The</w:t>
      </w:r>
      <w:r w:rsidR="00B867A0" w:rsidRPr="009871A0">
        <w:rPr>
          <w:sz w:val="22"/>
        </w:rPr>
        <w:t xml:space="preserve"> finite list </w:t>
      </w:r>
      <w:r>
        <w:rPr>
          <w:sz w:val="22"/>
        </w:rPr>
        <w:t xml:space="preserve">of </w:t>
      </w:r>
      <w:r w:rsidR="000C0185">
        <w:rPr>
          <w:sz w:val="22"/>
        </w:rPr>
        <w:t>exceptions</w:t>
      </w:r>
      <w:r>
        <w:rPr>
          <w:sz w:val="22"/>
        </w:rPr>
        <w:t xml:space="preserve"> to article 5 </w:t>
      </w:r>
      <w:r w:rsidR="00B867A0" w:rsidRPr="009871A0">
        <w:rPr>
          <w:sz w:val="22"/>
        </w:rPr>
        <w:t>wa</w:t>
      </w:r>
      <w:r w:rsidR="006A178B" w:rsidRPr="009871A0">
        <w:rPr>
          <w:sz w:val="22"/>
        </w:rPr>
        <w:t xml:space="preserve">s the central problem the </w:t>
      </w:r>
      <w:r w:rsidR="006A178B" w:rsidRPr="009871A0">
        <w:rPr>
          <w:i/>
          <w:sz w:val="22"/>
        </w:rPr>
        <w:t>Austin</w:t>
      </w:r>
      <w:r w:rsidR="00EB36A6">
        <w:rPr>
          <w:i/>
          <w:sz w:val="22"/>
        </w:rPr>
        <w:t xml:space="preserve"> </w:t>
      </w:r>
      <w:r w:rsidR="00EB36A6">
        <w:rPr>
          <w:sz w:val="22"/>
        </w:rPr>
        <w:t>courts faced</w:t>
      </w:r>
      <w:r w:rsidR="006A178B" w:rsidRPr="009871A0">
        <w:rPr>
          <w:sz w:val="22"/>
        </w:rPr>
        <w:t xml:space="preserve">. </w:t>
      </w:r>
      <w:r w:rsidR="00121C9B">
        <w:rPr>
          <w:sz w:val="22"/>
        </w:rPr>
        <w:t xml:space="preserve">The police </w:t>
      </w:r>
      <w:r w:rsidR="005D6E7D" w:rsidRPr="009871A0">
        <w:rPr>
          <w:sz w:val="22"/>
        </w:rPr>
        <w:t xml:space="preserve">contained a protest due to </w:t>
      </w:r>
      <w:r w:rsidR="00B8495E" w:rsidRPr="009871A0">
        <w:rPr>
          <w:sz w:val="22"/>
        </w:rPr>
        <w:t>concerns about violence, property damage and injury</w:t>
      </w:r>
      <w:r w:rsidR="005D6E7D" w:rsidRPr="009871A0">
        <w:rPr>
          <w:sz w:val="22"/>
        </w:rPr>
        <w:t xml:space="preserve">. </w:t>
      </w:r>
      <w:r w:rsidR="00AC6CA0" w:rsidRPr="009871A0">
        <w:rPr>
          <w:sz w:val="22"/>
        </w:rPr>
        <w:t xml:space="preserve">Because of the apparent </w:t>
      </w:r>
      <w:r w:rsidR="00B715C7" w:rsidRPr="009871A0">
        <w:rPr>
          <w:sz w:val="22"/>
        </w:rPr>
        <w:t xml:space="preserve">impossibility of </w:t>
      </w:r>
      <w:r w:rsidR="00B8495E" w:rsidRPr="009871A0">
        <w:rPr>
          <w:sz w:val="22"/>
        </w:rPr>
        <w:t>isolating the</w:t>
      </w:r>
      <w:r w:rsidR="00B715C7" w:rsidRPr="009871A0">
        <w:rPr>
          <w:sz w:val="22"/>
        </w:rPr>
        <w:t xml:space="preserve"> violent</w:t>
      </w:r>
      <w:r w:rsidR="00AC6CA0" w:rsidRPr="009871A0">
        <w:rPr>
          <w:sz w:val="22"/>
        </w:rPr>
        <w:t xml:space="preserve"> members of the crowd</w:t>
      </w:r>
      <w:r w:rsidR="005D6E7D" w:rsidRPr="009871A0">
        <w:rPr>
          <w:sz w:val="22"/>
        </w:rPr>
        <w:t xml:space="preserve"> of over 3,000 people</w:t>
      </w:r>
      <w:r w:rsidR="00AC6CA0" w:rsidRPr="009871A0">
        <w:rPr>
          <w:sz w:val="22"/>
        </w:rPr>
        <w:t>, t</w:t>
      </w:r>
      <w:r w:rsidR="006A178B" w:rsidRPr="009871A0">
        <w:rPr>
          <w:sz w:val="22"/>
        </w:rPr>
        <w:t xml:space="preserve">hree types of person were caught up in the </w:t>
      </w:r>
      <w:r w:rsidR="00B867A0" w:rsidRPr="009871A0">
        <w:rPr>
          <w:sz w:val="22"/>
        </w:rPr>
        <w:t>police cordon</w:t>
      </w:r>
      <w:r w:rsidR="006A178B" w:rsidRPr="009871A0">
        <w:rPr>
          <w:sz w:val="22"/>
        </w:rPr>
        <w:t xml:space="preserve">: (1) protestors whose conduct was likely to lead to a breach of the peace (violent protestors); (2) protestors whose conduct was </w:t>
      </w:r>
      <w:r w:rsidR="006A178B" w:rsidRPr="009871A0">
        <w:rPr>
          <w:i/>
          <w:sz w:val="22"/>
        </w:rPr>
        <w:t>not</w:t>
      </w:r>
      <w:r w:rsidR="006A178B" w:rsidRPr="009871A0">
        <w:rPr>
          <w:sz w:val="22"/>
        </w:rPr>
        <w:t xml:space="preserve"> likely to lead to a breach of the peace (peaceful protestors); and (3) people who were not protestors at all but who were </w:t>
      </w:r>
      <w:r w:rsidR="00B9141B" w:rsidRPr="009871A0">
        <w:rPr>
          <w:sz w:val="22"/>
        </w:rPr>
        <w:t xml:space="preserve">bystanders </w:t>
      </w:r>
      <w:r w:rsidR="006A178B" w:rsidRPr="009871A0">
        <w:rPr>
          <w:sz w:val="22"/>
        </w:rPr>
        <w:lastRenderedPageBreak/>
        <w:t>swept up in the</w:t>
      </w:r>
      <w:r w:rsidR="00B867A0" w:rsidRPr="009871A0">
        <w:rPr>
          <w:sz w:val="22"/>
        </w:rPr>
        <w:t xml:space="preserve"> </w:t>
      </w:r>
      <w:r w:rsidR="00B9141B" w:rsidRPr="009871A0">
        <w:rPr>
          <w:sz w:val="22"/>
        </w:rPr>
        <w:t xml:space="preserve">cordon </w:t>
      </w:r>
      <w:r w:rsidR="006A178B" w:rsidRPr="009871A0">
        <w:rPr>
          <w:sz w:val="22"/>
        </w:rPr>
        <w:t xml:space="preserve">(non-protestors). Had only the violent protestors been </w:t>
      </w:r>
      <w:r w:rsidR="00B867A0" w:rsidRPr="009871A0">
        <w:rPr>
          <w:sz w:val="22"/>
        </w:rPr>
        <w:t>kettled</w:t>
      </w:r>
      <w:r w:rsidR="006A178B" w:rsidRPr="009871A0">
        <w:rPr>
          <w:sz w:val="22"/>
        </w:rPr>
        <w:t xml:space="preserve">, there would have been no difficulty, </w:t>
      </w:r>
      <w:r w:rsidR="00B867A0" w:rsidRPr="009871A0">
        <w:rPr>
          <w:sz w:val="22"/>
        </w:rPr>
        <w:t>a</w:t>
      </w:r>
      <w:r w:rsidR="006A178B" w:rsidRPr="009871A0">
        <w:rPr>
          <w:sz w:val="22"/>
        </w:rPr>
        <w:t xml:space="preserve"> deprivation </w:t>
      </w:r>
      <w:r w:rsidR="00B867A0" w:rsidRPr="009871A0">
        <w:rPr>
          <w:sz w:val="22"/>
        </w:rPr>
        <w:t xml:space="preserve">of their liberty </w:t>
      </w:r>
      <w:r w:rsidR="006A178B" w:rsidRPr="009871A0">
        <w:rPr>
          <w:sz w:val="22"/>
        </w:rPr>
        <w:t xml:space="preserve">being justified </w:t>
      </w:r>
      <w:r w:rsidR="005675E9">
        <w:rPr>
          <w:sz w:val="22"/>
        </w:rPr>
        <w:t>under a</w:t>
      </w:r>
      <w:r w:rsidR="00CC5FD1" w:rsidRPr="009871A0">
        <w:rPr>
          <w:sz w:val="22"/>
        </w:rPr>
        <w:t xml:space="preserve">rticle 5(1)(c) </w:t>
      </w:r>
      <w:r w:rsidR="006A178B" w:rsidRPr="009871A0">
        <w:rPr>
          <w:sz w:val="22"/>
        </w:rPr>
        <w:t>on the basis that it was necessary to prevent them from co</w:t>
      </w:r>
      <w:r w:rsidR="00B8495E" w:rsidRPr="009871A0">
        <w:rPr>
          <w:sz w:val="22"/>
        </w:rPr>
        <w:t>mmitting a breach of the peace</w:t>
      </w:r>
      <w:r w:rsidR="006A178B" w:rsidRPr="009871A0">
        <w:rPr>
          <w:sz w:val="22"/>
        </w:rPr>
        <w:t>.</w:t>
      </w:r>
      <w:r w:rsidR="006A178B" w:rsidRPr="009871A0">
        <w:rPr>
          <w:rStyle w:val="FootnoteReference"/>
          <w:sz w:val="22"/>
        </w:rPr>
        <w:footnoteReference w:id="12"/>
      </w:r>
      <w:r w:rsidR="006A178B" w:rsidRPr="009871A0">
        <w:rPr>
          <w:sz w:val="22"/>
        </w:rPr>
        <w:t xml:space="preserve"> But </w:t>
      </w:r>
      <w:r w:rsidR="005D6E7D" w:rsidRPr="009871A0">
        <w:rPr>
          <w:sz w:val="22"/>
        </w:rPr>
        <w:t>because</w:t>
      </w:r>
      <w:r w:rsidR="006A178B" w:rsidRPr="009871A0">
        <w:rPr>
          <w:sz w:val="22"/>
        </w:rPr>
        <w:t xml:space="preserve"> the peaceful protestors and the non-protestors were not threatening such conduct, that j</w:t>
      </w:r>
      <w:r w:rsidR="00CC5FD1" w:rsidRPr="009871A0">
        <w:rPr>
          <w:sz w:val="22"/>
        </w:rPr>
        <w:t>ustification could not be used.</w:t>
      </w:r>
      <w:r w:rsidR="00306839" w:rsidRPr="009871A0">
        <w:rPr>
          <w:rStyle w:val="FootnoteReference"/>
          <w:sz w:val="22"/>
        </w:rPr>
        <w:footnoteReference w:id="13"/>
      </w:r>
      <w:r w:rsidR="00BC56A8" w:rsidRPr="009871A0">
        <w:rPr>
          <w:sz w:val="22"/>
        </w:rPr>
        <w:t xml:space="preserve"> </w:t>
      </w:r>
      <w:r w:rsidR="000F663B" w:rsidRPr="009871A0">
        <w:rPr>
          <w:sz w:val="22"/>
        </w:rPr>
        <w:t xml:space="preserve">The </w:t>
      </w:r>
      <w:r w:rsidR="00C677B0" w:rsidRPr="009871A0">
        <w:rPr>
          <w:sz w:val="22"/>
        </w:rPr>
        <w:t>UKHL</w:t>
      </w:r>
      <w:r w:rsidR="00BC56A8" w:rsidRPr="009871A0">
        <w:rPr>
          <w:sz w:val="22"/>
        </w:rPr>
        <w:t xml:space="preserve"> and the ECtHR </w:t>
      </w:r>
      <w:r w:rsidR="00B9141B" w:rsidRPr="009871A0">
        <w:rPr>
          <w:sz w:val="22"/>
        </w:rPr>
        <w:t>held</w:t>
      </w:r>
      <w:r w:rsidR="00183923" w:rsidRPr="009871A0">
        <w:rPr>
          <w:sz w:val="22"/>
        </w:rPr>
        <w:t>, however,</w:t>
      </w:r>
      <w:r w:rsidR="00BC56A8" w:rsidRPr="009871A0">
        <w:rPr>
          <w:sz w:val="22"/>
        </w:rPr>
        <w:t xml:space="preserve"> that no dep</w:t>
      </w:r>
      <w:r w:rsidR="00DB12DB" w:rsidRPr="009871A0">
        <w:rPr>
          <w:sz w:val="22"/>
        </w:rPr>
        <w:t xml:space="preserve">rivation of liberty had </w:t>
      </w:r>
      <w:r w:rsidR="00B9141B" w:rsidRPr="009871A0">
        <w:rPr>
          <w:sz w:val="22"/>
        </w:rPr>
        <w:t xml:space="preserve">occurred and </w:t>
      </w:r>
      <w:r w:rsidR="00BC56A8" w:rsidRPr="009871A0">
        <w:rPr>
          <w:sz w:val="22"/>
        </w:rPr>
        <w:t>th</w:t>
      </w:r>
      <w:r w:rsidR="005D6E7D" w:rsidRPr="009871A0">
        <w:rPr>
          <w:sz w:val="22"/>
        </w:rPr>
        <w:t>us no justification was needed.</w:t>
      </w:r>
    </w:p>
    <w:p w14:paraId="54E2089B" w14:textId="22744783" w:rsidR="00E93BEE" w:rsidRDefault="008E3FFB" w:rsidP="00D90EB1">
      <w:pPr>
        <w:widowControl w:val="0"/>
        <w:spacing w:line="480" w:lineRule="auto"/>
        <w:ind w:firstLine="720"/>
        <w:jc w:val="both"/>
        <w:rPr>
          <w:sz w:val="22"/>
        </w:rPr>
      </w:pPr>
      <w:r w:rsidRPr="009871A0">
        <w:rPr>
          <w:sz w:val="22"/>
        </w:rPr>
        <w:t>T</w:t>
      </w:r>
      <w:r w:rsidR="00E93BEE" w:rsidRPr="009871A0">
        <w:rPr>
          <w:sz w:val="22"/>
        </w:rPr>
        <w:t xml:space="preserve">he </w:t>
      </w:r>
      <w:r w:rsidR="00032550">
        <w:rPr>
          <w:sz w:val="22"/>
        </w:rPr>
        <w:t>E</w:t>
      </w:r>
      <w:r w:rsidR="007109E0">
        <w:rPr>
          <w:sz w:val="22"/>
        </w:rPr>
        <w:t>C</w:t>
      </w:r>
      <w:r w:rsidR="00032550">
        <w:rPr>
          <w:sz w:val="22"/>
        </w:rPr>
        <w:t>H</w:t>
      </w:r>
      <w:r w:rsidR="007109E0">
        <w:rPr>
          <w:sz w:val="22"/>
        </w:rPr>
        <w:t xml:space="preserve">R </w:t>
      </w:r>
      <w:r w:rsidR="00E93BEE" w:rsidRPr="009871A0">
        <w:rPr>
          <w:sz w:val="22"/>
        </w:rPr>
        <w:t>drafters</w:t>
      </w:r>
      <w:r w:rsidR="003A4E9E" w:rsidRPr="009871A0">
        <w:rPr>
          <w:sz w:val="22"/>
        </w:rPr>
        <w:t xml:space="preserve"> </w:t>
      </w:r>
      <w:r w:rsidRPr="009871A0">
        <w:rPr>
          <w:sz w:val="22"/>
        </w:rPr>
        <w:t xml:space="preserve">surely </w:t>
      </w:r>
      <w:r w:rsidR="00440886" w:rsidRPr="009871A0">
        <w:rPr>
          <w:sz w:val="22"/>
        </w:rPr>
        <w:t>wanted to maximis</w:t>
      </w:r>
      <w:r w:rsidR="005675E9">
        <w:rPr>
          <w:sz w:val="22"/>
        </w:rPr>
        <w:t>e the protection afforded by a</w:t>
      </w:r>
      <w:r w:rsidR="0066710B" w:rsidRPr="009871A0">
        <w:rPr>
          <w:sz w:val="22"/>
        </w:rPr>
        <w:t>rticle 5 by providing</w:t>
      </w:r>
      <w:r w:rsidR="003A4E9E" w:rsidRPr="009871A0">
        <w:rPr>
          <w:sz w:val="22"/>
        </w:rPr>
        <w:t xml:space="preserve"> a closed list of exceptions. Take the </w:t>
      </w:r>
      <w:r w:rsidR="007109E0">
        <w:rPr>
          <w:sz w:val="22"/>
        </w:rPr>
        <w:t xml:space="preserve">highly-specific </w:t>
      </w:r>
      <w:r w:rsidR="005675E9">
        <w:rPr>
          <w:sz w:val="22"/>
        </w:rPr>
        <w:t>wording of a</w:t>
      </w:r>
      <w:r w:rsidR="003A4E9E" w:rsidRPr="009871A0">
        <w:rPr>
          <w:sz w:val="22"/>
        </w:rPr>
        <w:t>rticle 5(1)(e)</w:t>
      </w:r>
      <w:r w:rsidR="00E93BEE" w:rsidRPr="009871A0">
        <w:rPr>
          <w:sz w:val="22"/>
        </w:rPr>
        <w:t>,</w:t>
      </w:r>
      <w:r w:rsidR="003A4E9E" w:rsidRPr="009871A0">
        <w:rPr>
          <w:sz w:val="22"/>
        </w:rPr>
        <w:t xml:space="preserve"> for example. A clause specifying that </w:t>
      </w:r>
      <w:r w:rsidR="00CE6238" w:rsidRPr="009871A0">
        <w:rPr>
          <w:sz w:val="22"/>
        </w:rPr>
        <w:t>a person could</w:t>
      </w:r>
      <w:r w:rsidR="003A4E9E" w:rsidRPr="009871A0">
        <w:rPr>
          <w:sz w:val="22"/>
        </w:rPr>
        <w:t xml:space="preserve"> be detained for </w:t>
      </w:r>
      <w:r w:rsidR="0066710B" w:rsidRPr="009871A0">
        <w:rPr>
          <w:sz w:val="22"/>
        </w:rPr>
        <w:t>her</w:t>
      </w:r>
      <w:r w:rsidR="003A4E9E" w:rsidRPr="009871A0">
        <w:rPr>
          <w:sz w:val="22"/>
        </w:rPr>
        <w:t xml:space="preserve"> protection or the protection of others </w:t>
      </w:r>
      <w:r w:rsidRPr="009871A0">
        <w:rPr>
          <w:sz w:val="22"/>
        </w:rPr>
        <w:t>would</w:t>
      </w:r>
      <w:r w:rsidR="003A4E9E" w:rsidRPr="009871A0">
        <w:rPr>
          <w:sz w:val="22"/>
        </w:rPr>
        <w:t xml:space="preserve"> have </w:t>
      </w:r>
      <w:r w:rsidRPr="009871A0">
        <w:rPr>
          <w:sz w:val="22"/>
        </w:rPr>
        <w:t>covered similar ground, but more expansively</w:t>
      </w:r>
      <w:r w:rsidR="003A4E9E" w:rsidRPr="009871A0">
        <w:rPr>
          <w:sz w:val="22"/>
        </w:rPr>
        <w:t xml:space="preserve">. Indeed, it would have removed the problem the courts faced in </w:t>
      </w:r>
      <w:r w:rsidR="003A4E9E" w:rsidRPr="009871A0">
        <w:rPr>
          <w:i/>
          <w:sz w:val="22"/>
        </w:rPr>
        <w:t>Austin</w:t>
      </w:r>
      <w:r w:rsidR="00E93BEE" w:rsidRPr="009871A0">
        <w:rPr>
          <w:sz w:val="22"/>
        </w:rPr>
        <w:t xml:space="preserve"> since the </w:t>
      </w:r>
      <w:r w:rsidR="00E3315D" w:rsidRPr="009871A0">
        <w:rPr>
          <w:sz w:val="22"/>
        </w:rPr>
        <w:t>applicants</w:t>
      </w:r>
      <w:r w:rsidR="00E93BEE" w:rsidRPr="009871A0">
        <w:rPr>
          <w:sz w:val="22"/>
        </w:rPr>
        <w:t xml:space="preserve"> were detained for both their own safety </w:t>
      </w:r>
      <w:r w:rsidR="00E93BEE" w:rsidRPr="009871A0">
        <w:rPr>
          <w:i/>
          <w:sz w:val="22"/>
        </w:rPr>
        <w:t>and</w:t>
      </w:r>
      <w:r w:rsidR="00E93BEE" w:rsidRPr="009871A0">
        <w:rPr>
          <w:sz w:val="22"/>
        </w:rPr>
        <w:t xml:space="preserve"> for the protection of others</w:t>
      </w:r>
      <w:r w:rsidR="003A4E9E" w:rsidRPr="009871A0">
        <w:rPr>
          <w:sz w:val="22"/>
        </w:rPr>
        <w:t>.</w:t>
      </w:r>
      <w:r w:rsidR="0066710B" w:rsidRPr="009871A0">
        <w:rPr>
          <w:rStyle w:val="FootnoteReference"/>
          <w:sz w:val="22"/>
        </w:rPr>
        <w:footnoteReference w:id="14"/>
      </w:r>
      <w:r w:rsidR="00CF78E4" w:rsidRPr="009871A0">
        <w:rPr>
          <w:sz w:val="22"/>
        </w:rPr>
        <w:t xml:space="preserve"> But </w:t>
      </w:r>
      <w:r w:rsidR="00E93BEE" w:rsidRPr="009871A0">
        <w:rPr>
          <w:sz w:val="22"/>
        </w:rPr>
        <w:t>instead, specific categories</w:t>
      </w:r>
      <w:r w:rsidR="0001512C" w:rsidRPr="009871A0">
        <w:rPr>
          <w:sz w:val="22"/>
        </w:rPr>
        <w:t xml:space="preserve"> were carved out</w:t>
      </w:r>
      <w:r w:rsidR="00E93BEE" w:rsidRPr="009871A0">
        <w:rPr>
          <w:sz w:val="22"/>
        </w:rPr>
        <w:t xml:space="preserve">. </w:t>
      </w:r>
      <w:r w:rsidR="00D47BED">
        <w:rPr>
          <w:sz w:val="22"/>
        </w:rPr>
        <w:t>Extra-judicially, Lord Wilson has described this drafting as “unwise”, expressing a preference for more “general limits”.</w:t>
      </w:r>
      <w:r w:rsidR="00D47BED">
        <w:rPr>
          <w:rStyle w:val="FootnoteReference"/>
          <w:sz w:val="22"/>
        </w:rPr>
        <w:footnoteReference w:id="15"/>
      </w:r>
      <w:r w:rsidR="00D47BED">
        <w:rPr>
          <w:sz w:val="22"/>
        </w:rPr>
        <w:t xml:space="preserve"> But</w:t>
      </w:r>
      <w:r w:rsidR="005675E9">
        <w:rPr>
          <w:sz w:val="22"/>
        </w:rPr>
        <w:t xml:space="preserve"> one central feature of a</w:t>
      </w:r>
      <w:r w:rsidR="00E93BEE" w:rsidRPr="009871A0">
        <w:rPr>
          <w:sz w:val="22"/>
        </w:rPr>
        <w:t>rticle 5 is</w:t>
      </w:r>
      <w:r w:rsidR="00CF78E4" w:rsidRPr="009871A0">
        <w:rPr>
          <w:sz w:val="22"/>
        </w:rPr>
        <w:t xml:space="preserve"> </w:t>
      </w:r>
      <w:r w:rsidR="00E93BEE" w:rsidRPr="009871A0">
        <w:rPr>
          <w:sz w:val="22"/>
        </w:rPr>
        <w:t>careful limitation of</w:t>
      </w:r>
      <w:r w:rsidR="00CF78E4" w:rsidRPr="009871A0">
        <w:rPr>
          <w:sz w:val="22"/>
        </w:rPr>
        <w:t xml:space="preserve"> t</w:t>
      </w:r>
      <w:r w:rsidR="0066710B" w:rsidRPr="009871A0">
        <w:rPr>
          <w:sz w:val="22"/>
        </w:rPr>
        <w:t>he exceptions to the right. That spirit is respected in Strasbourg jurisprudence stating that the exceptions are to be construed narrowly</w:t>
      </w:r>
      <w:r w:rsidR="00326218" w:rsidRPr="009871A0">
        <w:rPr>
          <w:sz w:val="22"/>
        </w:rPr>
        <w:t>.</w:t>
      </w:r>
      <w:r w:rsidR="0066710B" w:rsidRPr="009871A0">
        <w:rPr>
          <w:rStyle w:val="FootnoteReference"/>
          <w:sz w:val="22"/>
        </w:rPr>
        <w:footnoteReference w:id="16"/>
      </w:r>
      <w:r w:rsidR="003A4051">
        <w:rPr>
          <w:sz w:val="22"/>
        </w:rPr>
        <w:t xml:space="preserve"> </w:t>
      </w:r>
      <w:r w:rsidR="00326218" w:rsidRPr="009871A0">
        <w:rPr>
          <w:sz w:val="22"/>
        </w:rPr>
        <w:t>New exceptions s</w:t>
      </w:r>
      <w:r w:rsidR="005675E9">
        <w:rPr>
          <w:sz w:val="22"/>
        </w:rPr>
        <w:t>hould not be read into a</w:t>
      </w:r>
      <w:r w:rsidR="00326218" w:rsidRPr="009871A0">
        <w:rPr>
          <w:sz w:val="22"/>
        </w:rPr>
        <w:t xml:space="preserve">rticle 5; the </w:t>
      </w:r>
      <w:r w:rsidR="005675E9">
        <w:rPr>
          <w:sz w:val="22"/>
        </w:rPr>
        <w:t>list of exceptions provided in a</w:t>
      </w:r>
      <w:r w:rsidR="00326218" w:rsidRPr="009871A0">
        <w:rPr>
          <w:sz w:val="22"/>
        </w:rPr>
        <w:t>rticle 5(1) is exhaustive.</w:t>
      </w:r>
      <w:r w:rsidR="00326218" w:rsidRPr="009871A0">
        <w:rPr>
          <w:rStyle w:val="FootnoteReference"/>
          <w:sz w:val="22"/>
        </w:rPr>
        <w:footnoteReference w:id="17"/>
      </w:r>
      <w:r w:rsidR="00326218" w:rsidRPr="009871A0">
        <w:rPr>
          <w:sz w:val="22"/>
        </w:rPr>
        <w:t xml:space="preserve"> In </w:t>
      </w:r>
      <w:r w:rsidR="00326218" w:rsidRPr="009871A0">
        <w:rPr>
          <w:i/>
          <w:sz w:val="22"/>
        </w:rPr>
        <w:t>Austin</w:t>
      </w:r>
      <w:r w:rsidR="00326218" w:rsidRPr="009871A0">
        <w:rPr>
          <w:sz w:val="22"/>
        </w:rPr>
        <w:t>, the ECtHR accepted that it could not make a new exception.</w:t>
      </w:r>
      <w:r w:rsidR="00326218" w:rsidRPr="009871A0">
        <w:rPr>
          <w:rStyle w:val="FootnoteReference"/>
          <w:sz w:val="22"/>
        </w:rPr>
        <w:footnoteReference w:id="18"/>
      </w:r>
      <w:r w:rsidR="00326218" w:rsidRPr="009871A0">
        <w:rPr>
          <w:sz w:val="22"/>
        </w:rPr>
        <w:t xml:space="preserve"> But </w:t>
      </w:r>
      <w:r w:rsidR="008C4E96" w:rsidRPr="009871A0">
        <w:rPr>
          <w:sz w:val="22"/>
        </w:rPr>
        <w:t>its</w:t>
      </w:r>
      <w:r w:rsidR="00326218" w:rsidRPr="009871A0">
        <w:rPr>
          <w:sz w:val="22"/>
        </w:rPr>
        <w:t xml:space="preserve"> approach effectively </w:t>
      </w:r>
      <w:r w:rsidR="005F4E59" w:rsidRPr="009871A0">
        <w:rPr>
          <w:sz w:val="22"/>
        </w:rPr>
        <w:t xml:space="preserve">achieved </w:t>
      </w:r>
      <w:r w:rsidR="0015365C">
        <w:rPr>
          <w:sz w:val="22"/>
        </w:rPr>
        <w:t>just that</w:t>
      </w:r>
      <w:r w:rsidR="00326218" w:rsidRPr="009871A0">
        <w:rPr>
          <w:sz w:val="22"/>
        </w:rPr>
        <w:t xml:space="preserve">, by allowing the applicants to be kept in a cordon as a preventative measure in the interests of public safety. </w:t>
      </w:r>
      <w:r w:rsidR="00E8358A">
        <w:rPr>
          <w:sz w:val="22"/>
        </w:rPr>
        <w:lastRenderedPageBreak/>
        <w:t>Proportionality assessments</w:t>
      </w:r>
      <w:r w:rsidR="005675E9">
        <w:rPr>
          <w:sz w:val="22"/>
        </w:rPr>
        <w:t>, whilst</w:t>
      </w:r>
      <w:r w:rsidR="005529B7">
        <w:rPr>
          <w:sz w:val="22"/>
        </w:rPr>
        <w:t xml:space="preserve"> </w:t>
      </w:r>
      <w:r w:rsidR="00032550">
        <w:rPr>
          <w:sz w:val="22"/>
        </w:rPr>
        <w:t>necessary to determine</w:t>
      </w:r>
      <w:r w:rsidR="00121C9B">
        <w:rPr>
          <w:sz w:val="22"/>
        </w:rPr>
        <w:t>, for example, whether a detention is arbitrary</w:t>
      </w:r>
      <w:r w:rsidR="005529B7">
        <w:rPr>
          <w:sz w:val="22"/>
        </w:rPr>
        <w:t>,</w:t>
      </w:r>
      <w:r w:rsidR="00E8358A">
        <w:rPr>
          <w:sz w:val="22"/>
        </w:rPr>
        <w:t xml:space="preserve"> threaten</w:t>
      </w:r>
      <w:r w:rsidR="005675E9">
        <w:rPr>
          <w:sz w:val="22"/>
        </w:rPr>
        <w:t xml:space="preserve"> to reduce a</w:t>
      </w:r>
      <w:r w:rsidR="00121C9B">
        <w:rPr>
          <w:sz w:val="22"/>
        </w:rPr>
        <w:t xml:space="preserve">rticle 5 </w:t>
      </w:r>
      <w:r w:rsidR="00E8358A">
        <w:rPr>
          <w:sz w:val="22"/>
        </w:rPr>
        <w:t>to a mere qualified right unless they are carefully applied.</w:t>
      </w:r>
    </w:p>
    <w:p w14:paraId="24F6F423" w14:textId="77777777" w:rsidR="007A2CCB" w:rsidRPr="005D6A8E" w:rsidRDefault="007A2CCB" w:rsidP="005D6A8E"/>
    <w:p w14:paraId="6D0446CE" w14:textId="77777777" w:rsidR="007A2CCB" w:rsidRDefault="007A2CCB" w:rsidP="007A2CCB">
      <w:pPr>
        <w:pStyle w:val="Heading3"/>
      </w:pPr>
      <w:r>
        <w:t>Non-arbitrariness</w:t>
      </w:r>
    </w:p>
    <w:p w14:paraId="581D3223" w14:textId="556DC6C9" w:rsidR="007A2CCB" w:rsidRDefault="007A2CCB" w:rsidP="007A2CCB">
      <w:pPr>
        <w:widowControl w:val="0"/>
        <w:spacing w:line="480" w:lineRule="auto"/>
        <w:jc w:val="both"/>
        <w:rPr>
          <w:sz w:val="22"/>
        </w:rPr>
      </w:pPr>
      <w:r>
        <w:rPr>
          <w:sz w:val="22"/>
        </w:rPr>
        <w:t>The underlying thrust of a</w:t>
      </w:r>
      <w:r w:rsidRPr="009871A0">
        <w:rPr>
          <w:sz w:val="22"/>
        </w:rPr>
        <w:t xml:space="preserve">rticle 5 is to prevent arbitrary deprivations of liberty, but that does not mean that all non-arbitrary deprivations will be lawful. Arbitrariness has not been given a “global definition” by the ECtHR and indeed the meaning of arbitrariness varies between the different </w:t>
      </w:r>
      <w:r>
        <w:rPr>
          <w:sz w:val="22"/>
        </w:rPr>
        <w:t>a</w:t>
      </w:r>
      <w:r w:rsidRPr="009871A0">
        <w:rPr>
          <w:sz w:val="22"/>
        </w:rPr>
        <w:t xml:space="preserve">rticle 5(1) </w:t>
      </w:r>
      <w:r w:rsidR="000C0185">
        <w:rPr>
          <w:sz w:val="22"/>
        </w:rPr>
        <w:t>exceptions</w:t>
      </w:r>
      <w:r w:rsidRPr="009871A0">
        <w:rPr>
          <w:sz w:val="22"/>
        </w:rPr>
        <w:t>.</w:t>
      </w:r>
      <w:r w:rsidRPr="009871A0">
        <w:rPr>
          <w:rStyle w:val="FootnoteReference"/>
          <w:sz w:val="22"/>
        </w:rPr>
        <w:footnoteReference w:id="19"/>
      </w:r>
      <w:r w:rsidRPr="009871A0">
        <w:rPr>
          <w:sz w:val="22"/>
        </w:rPr>
        <w:t xml:space="preserve"> In general, however, the following features indicate arbitrariness: bad faith or deception; a lack of close connection</w:t>
      </w:r>
      <w:r>
        <w:rPr>
          <w:sz w:val="22"/>
        </w:rPr>
        <w:t xml:space="preserve"> to the relevant purpose under a</w:t>
      </w:r>
      <w:r w:rsidRPr="009871A0">
        <w:rPr>
          <w:sz w:val="22"/>
        </w:rPr>
        <w:t>rticle 5(1); where the deprivation takes place in an inappropriate place or under inappropriate conditions; or where the deprivation goes on for longer than necessary.</w:t>
      </w:r>
      <w:r w:rsidRPr="009871A0">
        <w:rPr>
          <w:rStyle w:val="FootnoteReference"/>
          <w:sz w:val="22"/>
        </w:rPr>
        <w:footnoteReference w:id="20"/>
      </w:r>
      <w:r w:rsidRPr="009871A0">
        <w:rPr>
          <w:sz w:val="22"/>
        </w:rPr>
        <w:t xml:space="preserve"> As Feldman has pointed out, the UKHL in </w:t>
      </w:r>
      <w:r w:rsidRPr="009871A0">
        <w:rPr>
          <w:i/>
          <w:sz w:val="22"/>
        </w:rPr>
        <w:t>Austin</w:t>
      </w:r>
      <w:r w:rsidRPr="009871A0">
        <w:rPr>
          <w:sz w:val="22"/>
        </w:rPr>
        <w:t xml:space="preserve"> erred in its discussion of arbitrariness.</w:t>
      </w:r>
      <w:r w:rsidRPr="009871A0">
        <w:rPr>
          <w:rStyle w:val="FootnoteReference"/>
          <w:sz w:val="22"/>
        </w:rPr>
        <w:footnoteReference w:id="21"/>
      </w:r>
      <w:r w:rsidRPr="009871A0">
        <w:rPr>
          <w:sz w:val="22"/>
        </w:rPr>
        <w:t xml:space="preserve"> An otherwise lawful deprivation of liberty becomes unlawful if it is arbitrary, but lack of arbitrariness does not make an action lawful.</w:t>
      </w:r>
    </w:p>
    <w:p w14:paraId="7904FE44" w14:textId="77777777" w:rsidR="002C1856" w:rsidRPr="009871A0" w:rsidRDefault="002C1856" w:rsidP="003A4051">
      <w:pPr>
        <w:widowControl w:val="0"/>
        <w:spacing w:line="480" w:lineRule="auto"/>
        <w:ind w:firstLine="720"/>
        <w:jc w:val="both"/>
        <w:rPr>
          <w:sz w:val="22"/>
        </w:rPr>
      </w:pPr>
    </w:p>
    <w:p w14:paraId="3FDB3410" w14:textId="57692D8A" w:rsidR="002C1856" w:rsidRDefault="002C1856" w:rsidP="002C1856">
      <w:pPr>
        <w:pStyle w:val="Heading3"/>
      </w:pPr>
      <w:r>
        <w:t>Paradigm/non-paradigm distinction</w:t>
      </w:r>
    </w:p>
    <w:p w14:paraId="5C6D0F55" w14:textId="234C56F5" w:rsidR="00B3110F" w:rsidRDefault="00E4590A" w:rsidP="002C1856">
      <w:pPr>
        <w:widowControl w:val="0"/>
        <w:spacing w:line="480" w:lineRule="auto"/>
        <w:jc w:val="both"/>
        <w:rPr>
          <w:sz w:val="22"/>
        </w:rPr>
      </w:pPr>
      <w:r w:rsidRPr="009871A0">
        <w:rPr>
          <w:sz w:val="22"/>
        </w:rPr>
        <w:t>T</w:t>
      </w:r>
      <w:r w:rsidR="00440824" w:rsidRPr="009871A0">
        <w:rPr>
          <w:sz w:val="22"/>
        </w:rPr>
        <w:t xml:space="preserve">he drafters </w:t>
      </w:r>
      <w:r w:rsidR="00E93BEE" w:rsidRPr="009871A0">
        <w:rPr>
          <w:sz w:val="22"/>
        </w:rPr>
        <w:t>clearly</w:t>
      </w:r>
      <w:r w:rsidR="00440824" w:rsidRPr="009871A0">
        <w:rPr>
          <w:sz w:val="22"/>
        </w:rPr>
        <w:t xml:space="preserve"> envisaged </w:t>
      </w:r>
      <w:r w:rsidR="001442FD" w:rsidRPr="009871A0">
        <w:rPr>
          <w:sz w:val="22"/>
        </w:rPr>
        <w:t>“</w:t>
      </w:r>
      <w:r w:rsidR="00440824" w:rsidRPr="009871A0">
        <w:rPr>
          <w:sz w:val="22"/>
        </w:rPr>
        <w:t>non-paradigm</w:t>
      </w:r>
      <w:r w:rsidR="001442FD" w:rsidRPr="009871A0">
        <w:rPr>
          <w:sz w:val="22"/>
        </w:rPr>
        <w:t>”</w:t>
      </w:r>
      <w:r w:rsidR="00440824" w:rsidRPr="009871A0">
        <w:rPr>
          <w:sz w:val="22"/>
        </w:rPr>
        <w:t xml:space="preserve"> cases when, for example, </w:t>
      </w:r>
      <w:r w:rsidR="001C1B49" w:rsidRPr="009871A0">
        <w:rPr>
          <w:sz w:val="22"/>
        </w:rPr>
        <w:t>drafting</w:t>
      </w:r>
      <w:r w:rsidR="005675E9">
        <w:rPr>
          <w:sz w:val="22"/>
        </w:rPr>
        <w:t xml:space="preserve"> a</w:t>
      </w:r>
      <w:r w:rsidR="00A20BB0" w:rsidRPr="009871A0">
        <w:rPr>
          <w:sz w:val="22"/>
        </w:rPr>
        <w:t>rticl</w:t>
      </w:r>
      <w:r w:rsidR="001C1B49" w:rsidRPr="009871A0">
        <w:rPr>
          <w:sz w:val="22"/>
        </w:rPr>
        <w:t xml:space="preserve">e 5(1)(e), under which </w:t>
      </w:r>
      <w:r w:rsidR="00CA1E27" w:rsidRPr="009871A0">
        <w:rPr>
          <w:sz w:val="22"/>
        </w:rPr>
        <w:t xml:space="preserve">detentions </w:t>
      </w:r>
      <w:r w:rsidR="00A20BB0" w:rsidRPr="009871A0">
        <w:rPr>
          <w:sz w:val="22"/>
        </w:rPr>
        <w:t>c</w:t>
      </w:r>
      <w:r w:rsidR="00087A89">
        <w:rPr>
          <w:sz w:val="22"/>
        </w:rPr>
        <w:t>an</w:t>
      </w:r>
      <w:r w:rsidR="00CA1E27" w:rsidRPr="009871A0">
        <w:rPr>
          <w:sz w:val="22"/>
        </w:rPr>
        <w:t xml:space="preserve"> take place in hospitals or other medical or care facilities. </w:t>
      </w:r>
      <w:r w:rsidR="00A20BB0" w:rsidRPr="009871A0">
        <w:rPr>
          <w:sz w:val="22"/>
        </w:rPr>
        <w:t xml:space="preserve">Fixating on the paradigm </w:t>
      </w:r>
      <w:r w:rsidR="001A36C9" w:rsidRPr="009871A0">
        <w:rPr>
          <w:sz w:val="22"/>
        </w:rPr>
        <w:t>case</w:t>
      </w:r>
      <w:r w:rsidR="00440824" w:rsidRPr="009871A0">
        <w:rPr>
          <w:sz w:val="22"/>
        </w:rPr>
        <w:t xml:space="preserve"> </w:t>
      </w:r>
      <w:r w:rsidR="00EB36A6">
        <w:rPr>
          <w:sz w:val="22"/>
        </w:rPr>
        <w:t xml:space="preserve">as a comparator </w:t>
      </w:r>
      <w:r w:rsidR="00003A7C" w:rsidRPr="009871A0">
        <w:rPr>
          <w:sz w:val="22"/>
        </w:rPr>
        <w:t>is</w:t>
      </w:r>
      <w:r w:rsidR="00A20BB0" w:rsidRPr="009871A0">
        <w:rPr>
          <w:sz w:val="22"/>
        </w:rPr>
        <w:t xml:space="preserve"> therefore not </w:t>
      </w:r>
      <w:r w:rsidR="00003A7C" w:rsidRPr="009871A0">
        <w:rPr>
          <w:sz w:val="22"/>
        </w:rPr>
        <w:t>necessarily</w:t>
      </w:r>
      <w:r w:rsidR="00A20BB0" w:rsidRPr="009871A0">
        <w:rPr>
          <w:sz w:val="22"/>
        </w:rPr>
        <w:t xml:space="preserve"> </w:t>
      </w:r>
      <w:r w:rsidR="00003A7C" w:rsidRPr="009871A0">
        <w:rPr>
          <w:sz w:val="22"/>
        </w:rPr>
        <w:t>appropriate, especially when the applicant has not been tried and convicted of any crime</w:t>
      </w:r>
      <w:r w:rsidR="00440824" w:rsidRPr="009871A0">
        <w:rPr>
          <w:sz w:val="22"/>
        </w:rPr>
        <w:t xml:space="preserve">. </w:t>
      </w:r>
      <w:r w:rsidR="00A20BB0" w:rsidRPr="009871A0">
        <w:rPr>
          <w:sz w:val="22"/>
        </w:rPr>
        <w:t>As</w:t>
      </w:r>
      <w:r w:rsidR="005639D7" w:rsidRPr="009871A0">
        <w:rPr>
          <w:sz w:val="22"/>
        </w:rPr>
        <w:t xml:space="preserve"> has been argued </w:t>
      </w:r>
      <w:r w:rsidR="00A20BB0" w:rsidRPr="009871A0">
        <w:rPr>
          <w:sz w:val="22"/>
        </w:rPr>
        <w:t xml:space="preserve">elsewhere, </w:t>
      </w:r>
      <w:r w:rsidR="005639D7" w:rsidRPr="009871A0">
        <w:rPr>
          <w:sz w:val="22"/>
        </w:rPr>
        <w:t xml:space="preserve">there is no bright line between </w:t>
      </w:r>
      <w:r w:rsidR="000F663B" w:rsidRPr="009871A0">
        <w:rPr>
          <w:sz w:val="22"/>
        </w:rPr>
        <w:t>paradigm and non-paradigm cases</w:t>
      </w:r>
      <w:r w:rsidR="00107915" w:rsidRPr="009871A0">
        <w:rPr>
          <w:sz w:val="22"/>
        </w:rPr>
        <w:t>.</w:t>
      </w:r>
      <w:r w:rsidR="005639D7" w:rsidRPr="009871A0">
        <w:rPr>
          <w:rStyle w:val="FootnoteReference"/>
          <w:sz w:val="22"/>
        </w:rPr>
        <w:footnoteReference w:id="22"/>
      </w:r>
      <w:r w:rsidR="00A20BB0" w:rsidRPr="009871A0">
        <w:rPr>
          <w:sz w:val="22"/>
        </w:rPr>
        <w:t xml:space="preserve"> </w:t>
      </w:r>
      <w:r w:rsidR="00A855BE" w:rsidRPr="009871A0">
        <w:rPr>
          <w:sz w:val="22"/>
        </w:rPr>
        <w:t xml:space="preserve">Sometimes, such as in </w:t>
      </w:r>
      <w:r w:rsidR="00A855BE" w:rsidRPr="009871A0">
        <w:rPr>
          <w:i/>
          <w:sz w:val="22"/>
        </w:rPr>
        <w:t>Austin</w:t>
      </w:r>
      <w:r w:rsidR="00A855BE" w:rsidRPr="009871A0">
        <w:rPr>
          <w:sz w:val="22"/>
        </w:rPr>
        <w:t xml:space="preserve">, it might be </w:t>
      </w:r>
      <w:r w:rsidR="00A855BE" w:rsidRPr="009871A0">
        <w:rPr>
          <w:i/>
          <w:sz w:val="22"/>
        </w:rPr>
        <w:t>better</w:t>
      </w:r>
      <w:r w:rsidR="00A855BE" w:rsidRPr="009871A0">
        <w:rPr>
          <w:sz w:val="22"/>
        </w:rPr>
        <w:t xml:space="preserve"> to be held in a cell where one is at least provided with shelter, </w:t>
      </w:r>
      <w:r w:rsidR="00A20BB0" w:rsidRPr="009871A0">
        <w:rPr>
          <w:sz w:val="22"/>
        </w:rPr>
        <w:t xml:space="preserve">warmth, </w:t>
      </w:r>
      <w:r w:rsidR="00A855BE" w:rsidRPr="009871A0">
        <w:rPr>
          <w:sz w:val="22"/>
        </w:rPr>
        <w:t>food, water and sanitation</w:t>
      </w:r>
      <w:r w:rsidR="00A20BB0" w:rsidRPr="009871A0">
        <w:rPr>
          <w:sz w:val="22"/>
        </w:rPr>
        <w:t xml:space="preserve"> – none of which the </w:t>
      </w:r>
      <w:r w:rsidR="00A20BB0" w:rsidRPr="009871A0">
        <w:rPr>
          <w:i/>
          <w:sz w:val="22"/>
        </w:rPr>
        <w:t xml:space="preserve">Austin </w:t>
      </w:r>
      <w:r w:rsidR="00A20BB0" w:rsidRPr="009871A0">
        <w:rPr>
          <w:sz w:val="22"/>
        </w:rPr>
        <w:t>applicants enjoyed</w:t>
      </w:r>
      <w:r w:rsidR="0001512C" w:rsidRPr="009871A0">
        <w:rPr>
          <w:sz w:val="22"/>
        </w:rPr>
        <w:t xml:space="preserve"> when they were kept outside on a cold and wet London day for up to seven </w:t>
      </w:r>
      <w:r w:rsidR="0001512C" w:rsidRPr="009871A0">
        <w:rPr>
          <w:sz w:val="22"/>
        </w:rPr>
        <w:lastRenderedPageBreak/>
        <w:t>hours</w:t>
      </w:r>
      <w:r w:rsidR="00A855BE" w:rsidRPr="009871A0">
        <w:rPr>
          <w:sz w:val="22"/>
        </w:rPr>
        <w:t xml:space="preserve">. The finding in </w:t>
      </w:r>
      <w:r w:rsidR="00A855BE" w:rsidRPr="009871A0">
        <w:rPr>
          <w:i/>
          <w:sz w:val="22"/>
        </w:rPr>
        <w:t>Austin</w:t>
      </w:r>
      <w:r w:rsidR="00A855BE" w:rsidRPr="009871A0">
        <w:rPr>
          <w:sz w:val="22"/>
        </w:rPr>
        <w:t xml:space="preserve"> relied on the case being a non-paradigm one.</w:t>
      </w:r>
      <w:r w:rsidR="00A855BE" w:rsidRPr="009871A0">
        <w:rPr>
          <w:rStyle w:val="FootnoteReference"/>
          <w:sz w:val="22"/>
        </w:rPr>
        <w:footnoteReference w:id="23"/>
      </w:r>
      <w:r w:rsidR="00A855BE" w:rsidRPr="009871A0">
        <w:rPr>
          <w:sz w:val="22"/>
        </w:rPr>
        <w:t xml:space="preserve"> </w:t>
      </w:r>
      <w:r w:rsidR="00AE311D" w:rsidRPr="009871A0">
        <w:rPr>
          <w:sz w:val="22"/>
        </w:rPr>
        <w:t>In a paradigm case, a deprivation of liberty</w:t>
      </w:r>
      <w:r w:rsidR="00CA1E27" w:rsidRPr="009871A0">
        <w:rPr>
          <w:sz w:val="22"/>
        </w:rPr>
        <w:t xml:space="preserve"> </w:t>
      </w:r>
      <w:r w:rsidR="005D72F5" w:rsidRPr="009871A0">
        <w:rPr>
          <w:sz w:val="22"/>
        </w:rPr>
        <w:t xml:space="preserve">would </w:t>
      </w:r>
      <w:r w:rsidR="00E177F0">
        <w:rPr>
          <w:sz w:val="22"/>
        </w:rPr>
        <w:t xml:space="preserve">seemingly </w:t>
      </w:r>
      <w:r w:rsidR="005D72F5" w:rsidRPr="009871A0">
        <w:rPr>
          <w:sz w:val="22"/>
        </w:rPr>
        <w:t>have</w:t>
      </w:r>
      <w:r w:rsidR="00CA1E27" w:rsidRPr="009871A0">
        <w:rPr>
          <w:sz w:val="22"/>
        </w:rPr>
        <w:t xml:space="preserve"> taken place</w:t>
      </w:r>
      <w:r w:rsidR="00AE311D" w:rsidRPr="009871A0">
        <w:rPr>
          <w:sz w:val="22"/>
        </w:rPr>
        <w:t>.</w:t>
      </w:r>
      <w:r w:rsidR="00AE311D" w:rsidRPr="009871A0">
        <w:rPr>
          <w:rStyle w:val="FootnoteReference"/>
          <w:sz w:val="22"/>
        </w:rPr>
        <w:footnoteReference w:id="24"/>
      </w:r>
      <w:r w:rsidR="00AE311D" w:rsidRPr="009871A0">
        <w:rPr>
          <w:sz w:val="22"/>
        </w:rPr>
        <w:t xml:space="preserve"> </w:t>
      </w:r>
      <w:r w:rsidR="00F04A2D" w:rsidRPr="009871A0">
        <w:rPr>
          <w:sz w:val="22"/>
        </w:rPr>
        <w:t xml:space="preserve">In paradigm cases, even </w:t>
      </w:r>
      <w:r w:rsidR="00661956" w:rsidRPr="009871A0">
        <w:rPr>
          <w:sz w:val="22"/>
        </w:rPr>
        <w:t>a short</w:t>
      </w:r>
      <w:r w:rsidR="00F04A2D" w:rsidRPr="009871A0">
        <w:rPr>
          <w:sz w:val="22"/>
        </w:rPr>
        <w:t xml:space="preserve"> </w:t>
      </w:r>
      <w:r w:rsidR="005F4E59" w:rsidRPr="009871A0">
        <w:rPr>
          <w:sz w:val="22"/>
        </w:rPr>
        <w:t xml:space="preserve">(non-negligible) </w:t>
      </w:r>
      <w:r w:rsidR="00F04A2D" w:rsidRPr="009871A0">
        <w:rPr>
          <w:sz w:val="22"/>
        </w:rPr>
        <w:t>time will count as a deprivation.</w:t>
      </w:r>
      <w:r w:rsidR="00F04A2D" w:rsidRPr="009871A0">
        <w:rPr>
          <w:rStyle w:val="FootnoteReference"/>
          <w:sz w:val="22"/>
        </w:rPr>
        <w:footnoteReference w:id="25"/>
      </w:r>
      <w:r w:rsidR="00F04A2D" w:rsidRPr="009871A0">
        <w:rPr>
          <w:sz w:val="22"/>
        </w:rPr>
        <w:t xml:space="preserve"> </w:t>
      </w:r>
      <w:r w:rsidR="00A855BE" w:rsidRPr="009871A0">
        <w:rPr>
          <w:sz w:val="22"/>
        </w:rPr>
        <w:t xml:space="preserve">But </w:t>
      </w:r>
      <w:r w:rsidR="00225FD8" w:rsidRPr="009871A0">
        <w:rPr>
          <w:sz w:val="22"/>
        </w:rPr>
        <w:t xml:space="preserve">it may be queried how different </w:t>
      </w:r>
      <w:r w:rsidR="00225FD8" w:rsidRPr="009871A0">
        <w:rPr>
          <w:i/>
          <w:sz w:val="22"/>
        </w:rPr>
        <w:t>Austin</w:t>
      </w:r>
      <w:r w:rsidR="00225FD8" w:rsidRPr="009871A0">
        <w:rPr>
          <w:sz w:val="22"/>
        </w:rPr>
        <w:t xml:space="preserve"> was to a paradigm case. It is easy to see that </w:t>
      </w:r>
      <w:r w:rsidR="005675E9">
        <w:rPr>
          <w:sz w:val="22"/>
        </w:rPr>
        <w:t>a case</w:t>
      </w:r>
      <w:r w:rsidR="00225FD8" w:rsidRPr="009871A0">
        <w:rPr>
          <w:sz w:val="22"/>
        </w:rPr>
        <w:t xml:space="preserve"> like </w:t>
      </w:r>
      <w:r w:rsidR="00225FD8" w:rsidRPr="009871A0">
        <w:rPr>
          <w:i/>
          <w:sz w:val="22"/>
        </w:rPr>
        <w:t>Cheshire West</w:t>
      </w:r>
      <w:r w:rsidR="009C3133">
        <w:rPr>
          <w:sz w:val="22"/>
        </w:rPr>
        <w:t xml:space="preserve"> is </w:t>
      </w:r>
      <w:r w:rsidR="00225FD8" w:rsidRPr="009871A0">
        <w:rPr>
          <w:sz w:val="22"/>
        </w:rPr>
        <w:t xml:space="preserve">non-paradigm because the </w:t>
      </w:r>
      <w:r w:rsidR="000F663B" w:rsidRPr="009871A0">
        <w:rPr>
          <w:sz w:val="22"/>
        </w:rPr>
        <w:t>app</w:t>
      </w:r>
      <w:r w:rsidR="00032550">
        <w:rPr>
          <w:sz w:val="22"/>
        </w:rPr>
        <w:t xml:space="preserve">ellants </w:t>
      </w:r>
      <w:r w:rsidR="00225FD8" w:rsidRPr="009871A0">
        <w:rPr>
          <w:sz w:val="22"/>
        </w:rPr>
        <w:t>h</w:t>
      </w:r>
      <w:r w:rsidR="005B6AB2" w:rsidRPr="009871A0">
        <w:rPr>
          <w:sz w:val="22"/>
        </w:rPr>
        <w:t>ave</w:t>
      </w:r>
      <w:r w:rsidR="005306F8" w:rsidRPr="009871A0">
        <w:rPr>
          <w:sz w:val="22"/>
        </w:rPr>
        <w:t xml:space="preserve"> a certain degree of freedom (for example to go shopping, go to a restaurant, watch television or practice a hobby) </w:t>
      </w:r>
      <w:r w:rsidR="00225FD8" w:rsidRPr="009871A0">
        <w:rPr>
          <w:sz w:val="22"/>
        </w:rPr>
        <w:t>despite their con</w:t>
      </w:r>
      <w:r w:rsidR="005306F8" w:rsidRPr="009871A0">
        <w:rPr>
          <w:sz w:val="22"/>
        </w:rPr>
        <w:t>tinuous supervision and control</w:t>
      </w:r>
      <w:r w:rsidR="004C2904" w:rsidRPr="009871A0">
        <w:rPr>
          <w:sz w:val="22"/>
        </w:rPr>
        <w:t>.</w:t>
      </w:r>
      <w:r w:rsidR="009C3133" w:rsidRPr="009C3133">
        <w:rPr>
          <w:sz w:val="22"/>
        </w:rPr>
        <w:t xml:space="preserve"> </w:t>
      </w:r>
      <w:r w:rsidR="005675E9">
        <w:rPr>
          <w:sz w:val="22"/>
        </w:rPr>
        <w:t>C</w:t>
      </w:r>
      <w:r w:rsidR="009C3133" w:rsidRPr="009871A0">
        <w:rPr>
          <w:sz w:val="22"/>
        </w:rPr>
        <w:t xml:space="preserve">urfews </w:t>
      </w:r>
      <w:r w:rsidR="009C3133">
        <w:rPr>
          <w:sz w:val="22"/>
        </w:rPr>
        <w:t>or</w:t>
      </w:r>
      <w:r w:rsidR="009C3133" w:rsidRPr="009871A0">
        <w:rPr>
          <w:sz w:val="22"/>
        </w:rPr>
        <w:t xml:space="preserve"> similar restrictions </w:t>
      </w:r>
      <w:r w:rsidR="005675E9">
        <w:rPr>
          <w:sz w:val="22"/>
        </w:rPr>
        <w:t>may also give rise to non-pa</w:t>
      </w:r>
      <w:r w:rsidR="00087A89">
        <w:rPr>
          <w:sz w:val="22"/>
        </w:rPr>
        <w:t>radigm deprivations of liberty. F</w:t>
      </w:r>
      <w:r w:rsidR="007109E0" w:rsidRPr="005675E9">
        <w:rPr>
          <w:sz w:val="22"/>
          <w:szCs w:val="22"/>
        </w:rPr>
        <w:t>or example</w:t>
      </w:r>
      <w:r w:rsidR="00087A89">
        <w:rPr>
          <w:sz w:val="22"/>
          <w:szCs w:val="22"/>
        </w:rPr>
        <w:t>,</w:t>
      </w:r>
      <w:r w:rsidR="007109E0" w:rsidRPr="005675E9">
        <w:rPr>
          <w:sz w:val="22"/>
          <w:szCs w:val="22"/>
        </w:rPr>
        <w:t xml:space="preserve"> </w:t>
      </w:r>
      <w:r w:rsidR="009C3133" w:rsidRPr="005675E9">
        <w:rPr>
          <w:i/>
          <w:sz w:val="22"/>
          <w:szCs w:val="22"/>
        </w:rPr>
        <w:t>JJ</w:t>
      </w:r>
      <w:r w:rsidR="00087A89">
        <w:rPr>
          <w:sz w:val="22"/>
          <w:szCs w:val="22"/>
        </w:rPr>
        <w:t xml:space="preserve"> concerned </w:t>
      </w:r>
      <w:r w:rsidR="009C3133" w:rsidRPr="005675E9">
        <w:rPr>
          <w:sz w:val="22"/>
          <w:szCs w:val="22"/>
        </w:rPr>
        <w:t>a control order under the Prevention of Terrorism Act 2005 with a combination of restrictions, includi</w:t>
      </w:r>
      <w:r w:rsidR="00087A89">
        <w:rPr>
          <w:sz w:val="22"/>
          <w:szCs w:val="22"/>
        </w:rPr>
        <w:t>ng an 18-hour overnight curfew.</w:t>
      </w:r>
      <w:r w:rsidR="009C3133" w:rsidRPr="005675E9">
        <w:rPr>
          <w:sz w:val="22"/>
          <w:szCs w:val="22"/>
        </w:rPr>
        <w:t xml:space="preserve"> </w:t>
      </w:r>
      <w:r w:rsidR="009C3133" w:rsidRPr="005675E9">
        <w:rPr>
          <w:i/>
          <w:sz w:val="22"/>
          <w:szCs w:val="22"/>
        </w:rPr>
        <w:t xml:space="preserve">Guzzardi </w:t>
      </w:r>
      <w:r w:rsidR="00087A89">
        <w:rPr>
          <w:sz w:val="22"/>
          <w:szCs w:val="22"/>
        </w:rPr>
        <w:t xml:space="preserve">concerned </w:t>
      </w:r>
      <w:r w:rsidR="009C3133" w:rsidRPr="005675E9">
        <w:rPr>
          <w:sz w:val="22"/>
          <w:szCs w:val="22"/>
        </w:rPr>
        <w:t>a suspected Mafioso sent to live on a 2.5 km</w:t>
      </w:r>
      <w:r w:rsidR="009C3133" w:rsidRPr="005675E9">
        <w:rPr>
          <w:sz w:val="22"/>
          <w:szCs w:val="22"/>
          <w:vertAlign w:val="superscript"/>
        </w:rPr>
        <w:t>2</w:t>
      </w:r>
      <w:r w:rsidR="009C3133" w:rsidRPr="005675E9">
        <w:rPr>
          <w:sz w:val="22"/>
          <w:szCs w:val="22"/>
        </w:rPr>
        <w:t xml:space="preserve"> are</w:t>
      </w:r>
      <w:r w:rsidR="00087A89">
        <w:rPr>
          <w:sz w:val="22"/>
          <w:szCs w:val="22"/>
        </w:rPr>
        <w:t>a of the island of Asinara for three</w:t>
      </w:r>
      <w:r w:rsidR="009C3133" w:rsidRPr="005675E9">
        <w:rPr>
          <w:sz w:val="22"/>
          <w:szCs w:val="22"/>
        </w:rPr>
        <w:t xml:space="preserve"> years and subject to various othe</w:t>
      </w:r>
      <w:r w:rsidR="00087A89">
        <w:rPr>
          <w:sz w:val="22"/>
          <w:szCs w:val="22"/>
        </w:rPr>
        <w:t>r restrictions during that time</w:t>
      </w:r>
      <w:r w:rsidR="009C3133" w:rsidRPr="005675E9">
        <w:rPr>
          <w:sz w:val="22"/>
          <w:szCs w:val="22"/>
        </w:rPr>
        <w:t>.</w:t>
      </w:r>
      <w:r w:rsidR="009C3133" w:rsidRPr="005675E9">
        <w:rPr>
          <w:rStyle w:val="FootnoteReference"/>
          <w:sz w:val="22"/>
          <w:szCs w:val="22"/>
        </w:rPr>
        <w:footnoteReference w:id="26"/>
      </w:r>
      <w:r w:rsidR="009C3133" w:rsidRPr="005675E9">
        <w:rPr>
          <w:sz w:val="22"/>
          <w:szCs w:val="22"/>
        </w:rPr>
        <w:t xml:space="preserve"> </w:t>
      </w:r>
      <w:r w:rsidR="00087A89">
        <w:rPr>
          <w:sz w:val="22"/>
          <w:szCs w:val="22"/>
        </w:rPr>
        <w:t xml:space="preserve">Unlike </w:t>
      </w:r>
      <w:r w:rsidR="00087A89" w:rsidRPr="00087A89">
        <w:rPr>
          <w:i/>
          <w:sz w:val="22"/>
          <w:szCs w:val="22"/>
        </w:rPr>
        <w:t>Cheshire West</w:t>
      </w:r>
      <w:r w:rsidR="00087A89">
        <w:rPr>
          <w:sz w:val="22"/>
          <w:szCs w:val="22"/>
        </w:rPr>
        <w:t xml:space="preserve">, </w:t>
      </w:r>
      <w:r w:rsidR="00087A89" w:rsidRPr="00087A89">
        <w:rPr>
          <w:i/>
          <w:sz w:val="22"/>
          <w:szCs w:val="22"/>
        </w:rPr>
        <w:t>JJ</w:t>
      </w:r>
      <w:r w:rsidR="00087A89">
        <w:rPr>
          <w:sz w:val="22"/>
          <w:szCs w:val="22"/>
        </w:rPr>
        <w:t xml:space="preserve"> and </w:t>
      </w:r>
      <w:r w:rsidR="00087A89" w:rsidRPr="00087A89">
        <w:rPr>
          <w:i/>
          <w:sz w:val="22"/>
          <w:szCs w:val="22"/>
        </w:rPr>
        <w:t>Guzzardi</w:t>
      </w:r>
      <w:r w:rsidR="00087A89">
        <w:rPr>
          <w:sz w:val="22"/>
          <w:szCs w:val="22"/>
        </w:rPr>
        <w:t>,</w:t>
      </w:r>
      <w:r w:rsidR="004C2904" w:rsidRPr="009871A0">
        <w:rPr>
          <w:sz w:val="22"/>
        </w:rPr>
        <w:t xml:space="preserve"> the </w:t>
      </w:r>
      <w:r w:rsidR="004C2904" w:rsidRPr="009871A0">
        <w:rPr>
          <w:i/>
          <w:sz w:val="22"/>
        </w:rPr>
        <w:t>Austin</w:t>
      </w:r>
      <w:r w:rsidR="004C2904" w:rsidRPr="009871A0">
        <w:rPr>
          <w:sz w:val="22"/>
        </w:rPr>
        <w:t xml:space="preserve"> </w:t>
      </w:r>
      <w:r w:rsidR="00121C9B">
        <w:rPr>
          <w:sz w:val="22"/>
        </w:rPr>
        <w:t xml:space="preserve">applicants </w:t>
      </w:r>
      <w:r w:rsidR="004C2904" w:rsidRPr="009871A0">
        <w:rPr>
          <w:sz w:val="22"/>
        </w:rPr>
        <w:t>were com</w:t>
      </w:r>
      <w:r w:rsidR="0063491D" w:rsidRPr="009871A0">
        <w:rPr>
          <w:sz w:val="22"/>
        </w:rPr>
        <w:t>pletely trapped for seven hours</w:t>
      </w:r>
      <w:r w:rsidR="004C2904" w:rsidRPr="009871A0">
        <w:rPr>
          <w:sz w:val="22"/>
        </w:rPr>
        <w:t xml:space="preserve"> </w:t>
      </w:r>
      <w:r w:rsidR="002C1856">
        <w:rPr>
          <w:sz w:val="22"/>
        </w:rPr>
        <w:t>and unable to undertake any of their usual daily activities</w:t>
      </w:r>
      <w:r w:rsidR="00087A89">
        <w:rPr>
          <w:sz w:val="22"/>
        </w:rPr>
        <w:t>. I</w:t>
      </w:r>
      <w:r w:rsidR="00A20BB0" w:rsidRPr="009871A0">
        <w:rPr>
          <w:sz w:val="22"/>
        </w:rPr>
        <w:t xml:space="preserve">t </w:t>
      </w:r>
      <w:r w:rsidR="00FE20ED" w:rsidRPr="009871A0">
        <w:rPr>
          <w:sz w:val="22"/>
        </w:rPr>
        <w:t>is d</w:t>
      </w:r>
      <w:r w:rsidR="00087A89">
        <w:rPr>
          <w:sz w:val="22"/>
        </w:rPr>
        <w:t>ifficult</w:t>
      </w:r>
      <w:r w:rsidR="00FE20ED" w:rsidRPr="009871A0">
        <w:rPr>
          <w:sz w:val="22"/>
        </w:rPr>
        <w:t xml:space="preserve"> to see any </w:t>
      </w:r>
      <w:r w:rsidR="004C2904" w:rsidRPr="009871A0">
        <w:rPr>
          <w:sz w:val="22"/>
        </w:rPr>
        <w:t xml:space="preserve">real difference between a locked </w:t>
      </w:r>
      <w:r w:rsidR="00FE20ED" w:rsidRPr="009871A0">
        <w:rPr>
          <w:sz w:val="22"/>
        </w:rPr>
        <w:t>cell</w:t>
      </w:r>
      <w:r w:rsidR="00BD761C">
        <w:rPr>
          <w:sz w:val="22"/>
        </w:rPr>
        <w:t xml:space="preserve"> and a police cordon and thus the merits of the paradigm/non-paradigm distinction </w:t>
      </w:r>
      <w:r w:rsidR="00121C9B">
        <w:rPr>
          <w:sz w:val="22"/>
        </w:rPr>
        <w:t>are questionable</w:t>
      </w:r>
      <w:r w:rsidR="00BD761C">
        <w:rPr>
          <w:sz w:val="22"/>
        </w:rPr>
        <w:t>.</w:t>
      </w:r>
    </w:p>
    <w:p w14:paraId="58C13D64" w14:textId="63D9D8D5" w:rsidR="0059363B" w:rsidRPr="009871A0" w:rsidRDefault="00611F18" w:rsidP="005D6A8E">
      <w:pPr>
        <w:widowControl w:val="0"/>
        <w:spacing w:line="480" w:lineRule="auto"/>
        <w:ind w:firstLine="720"/>
        <w:jc w:val="both"/>
        <w:rPr>
          <w:sz w:val="22"/>
        </w:rPr>
      </w:pPr>
      <w:r w:rsidRPr="009871A0">
        <w:rPr>
          <w:sz w:val="22"/>
        </w:rPr>
        <w:t xml:space="preserve">Article 5 </w:t>
      </w:r>
      <w:r w:rsidR="007109E0">
        <w:rPr>
          <w:sz w:val="22"/>
        </w:rPr>
        <w:t>protects</w:t>
      </w:r>
      <w:r w:rsidR="007C164D" w:rsidRPr="009871A0">
        <w:rPr>
          <w:sz w:val="22"/>
        </w:rPr>
        <w:t xml:space="preserve"> liberty in the </w:t>
      </w:r>
      <w:r w:rsidR="00DB4959" w:rsidRPr="009871A0">
        <w:rPr>
          <w:sz w:val="22"/>
        </w:rPr>
        <w:t>“</w:t>
      </w:r>
      <w:r w:rsidR="007C164D" w:rsidRPr="009871A0">
        <w:rPr>
          <w:sz w:val="22"/>
        </w:rPr>
        <w:t>classic sense</w:t>
      </w:r>
      <w:r w:rsidR="00DB4959" w:rsidRPr="009871A0">
        <w:rPr>
          <w:sz w:val="22"/>
        </w:rPr>
        <w:t>”</w:t>
      </w:r>
      <w:r w:rsidR="007C164D" w:rsidRPr="009871A0">
        <w:rPr>
          <w:sz w:val="22"/>
        </w:rPr>
        <w:t xml:space="preserve"> </w:t>
      </w:r>
      <w:r w:rsidR="00E37EF4" w:rsidRPr="009871A0">
        <w:rPr>
          <w:sz w:val="22"/>
        </w:rPr>
        <w:t>of</w:t>
      </w:r>
      <w:r w:rsidR="007C164D" w:rsidRPr="009871A0">
        <w:rPr>
          <w:sz w:val="22"/>
        </w:rPr>
        <w:t xml:space="preserve"> physical liberty,</w:t>
      </w:r>
      <w:r w:rsidR="007C164D" w:rsidRPr="009871A0">
        <w:rPr>
          <w:rStyle w:val="FootnoteReference"/>
          <w:sz w:val="22"/>
        </w:rPr>
        <w:footnoteReference w:id="27"/>
      </w:r>
      <w:r w:rsidR="007C164D" w:rsidRPr="009871A0">
        <w:rPr>
          <w:sz w:val="22"/>
        </w:rPr>
        <w:t xml:space="preserve"> </w:t>
      </w:r>
      <w:r w:rsidRPr="009871A0">
        <w:rPr>
          <w:sz w:val="22"/>
        </w:rPr>
        <w:t>and</w:t>
      </w:r>
      <w:r w:rsidR="005675E9">
        <w:rPr>
          <w:sz w:val="22"/>
        </w:rPr>
        <w:t xml:space="preserve"> does not confer</w:t>
      </w:r>
      <w:r w:rsidR="007109E0">
        <w:rPr>
          <w:sz w:val="22"/>
        </w:rPr>
        <w:t xml:space="preserve"> </w:t>
      </w:r>
      <w:r w:rsidR="001442FD" w:rsidRPr="009871A0">
        <w:rPr>
          <w:sz w:val="22"/>
        </w:rPr>
        <w:t>“</w:t>
      </w:r>
      <w:r w:rsidRPr="009871A0">
        <w:rPr>
          <w:sz w:val="22"/>
        </w:rPr>
        <w:t>a right</w:t>
      </w:r>
      <w:r w:rsidR="00C8514B" w:rsidRPr="009871A0">
        <w:rPr>
          <w:sz w:val="22"/>
        </w:rPr>
        <w:t xml:space="preserve"> to </w:t>
      </w:r>
      <w:r w:rsidR="00D75E3D" w:rsidRPr="009871A0">
        <w:rPr>
          <w:sz w:val="22"/>
        </w:rPr>
        <w:t xml:space="preserve">do [what] or to </w:t>
      </w:r>
      <w:r w:rsidR="00C8514B" w:rsidRPr="009871A0">
        <w:rPr>
          <w:sz w:val="22"/>
        </w:rPr>
        <w:t xml:space="preserve">go </w:t>
      </w:r>
      <w:r w:rsidR="00D75E3D" w:rsidRPr="009871A0">
        <w:rPr>
          <w:sz w:val="22"/>
        </w:rPr>
        <w:t>where</w:t>
      </w:r>
      <w:r w:rsidR="00C8514B" w:rsidRPr="009871A0">
        <w:rPr>
          <w:sz w:val="22"/>
        </w:rPr>
        <w:t xml:space="preserve"> one pleases</w:t>
      </w:r>
      <w:r w:rsidR="001442FD" w:rsidRPr="009871A0">
        <w:rPr>
          <w:sz w:val="22"/>
        </w:rPr>
        <w:t>”</w:t>
      </w:r>
      <w:r w:rsidRPr="009871A0">
        <w:rPr>
          <w:sz w:val="22"/>
        </w:rPr>
        <w:t>.</w:t>
      </w:r>
      <w:r w:rsidR="00637188" w:rsidRPr="009871A0">
        <w:rPr>
          <w:rStyle w:val="FootnoteReference"/>
          <w:sz w:val="22"/>
        </w:rPr>
        <w:footnoteReference w:id="28"/>
      </w:r>
      <w:r w:rsidR="00975102" w:rsidRPr="009871A0">
        <w:rPr>
          <w:sz w:val="22"/>
        </w:rPr>
        <w:t xml:space="preserve"> </w:t>
      </w:r>
      <w:r w:rsidR="005675E9">
        <w:rPr>
          <w:sz w:val="22"/>
        </w:rPr>
        <w:t>But liberty in the narrow a</w:t>
      </w:r>
      <w:r w:rsidRPr="009871A0">
        <w:rPr>
          <w:sz w:val="22"/>
        </w:rPr>
        <w:t xml:space="preserve">rticle 5 sense cannot be entirely separated from liberty in the wider social or civil sense. </w:t>
      </w:r>
      <w:r w:rsidR="008C4E96" w:rsidRPr="009871A0">
        <w:rPr>
          <w:sz w:val="22"/>
        </w:rPr>
        <w:t xml:space="preserve">Because </w:t>
      </w:r>
      <w:r w:rsidR="007C164D" w:rsidRPr="009871A0">
        <w:rPr>
          <w:sz w:val="22"/>
        </w:rPr>
        <w:t xml:space="preserve">liberty </w:t>
      </w:r>
      <w:r w:rsidR="008A4794" w:rsidRPr="009871A0">
        <w:rPr>
          <w:sz w:val="22"/>
        </w:rPr>
        <w:t>is a pre-requisite for full enjoyment of</w:t>
      </w:r>
      <w:r w:rsidR="007C164D" w:rsidRPr="009871A0">
        <w:rPr>
          <w:sz w:val="22"/>
        </w:rPr>
        <w:t xml:space="preserve"> </w:t>
      </w:r>
      <w:r w:rsidR="00AA0A53" w:rsidRPr="009871A0">
        <w:rPr>
          <w:sz w:val="22"/>
        </w:rPr>
        <w:t>many</w:t>
      </w:r>
      <w:r w:rsidR="007C164D" w:rsidRPr="009871A0">
        <w:rPr>
          <w:sz w:val="22"/>
        </w:rPr>
        <w:t xml:space="preserve"> other Convention rights</w:t>
      </w:r>
      <w:r w:rsidR="008C4E96" w:rsidRPr="009871A0">
        <w:rPr>
          <w:sz w:val="22"/>
        </w:rPr>
        <w:t xml:space="preserve">, liberty is </w:t>
      </w:r>
      <w:r w:rsidR="000A79DF" w:rsidRPr="009871A0">
        <w:rPr>
          <w:sz w:val="22"/>
        </w:rPr>
        <w:t>important in order</w:t>
      </w:r>
      <w:r w:rsidR="00774F3C" w:rsidRPr="009871A0">
        <w:rPr>
          <w:sz w:val="22"/>
        </w:rPr>
        <w:t xml:space="preserve"> </w:t>
      </w:r>
      <w:r w:rsidR="00AA0A53" w:rsidRPr="009871A0">
        <w:rPr>
          <w:sz w:val="22"/>
        </w:rPr>
        <w:t xml:space="preserve">to </w:t>
      </w:r>
      <w:r w:rsidR="00B26C31" w:rsidRPr="009871A0">
        <w:rPr>
          <w:sz w:val="22"/>
        </w:rPr>
        <w:t xml:space="preserve">be fully able to </w:t>
      </w:r>
      <w:r w:rsidR="00774F3C" w:rsidRPr="009871A0">
        <w:rPr>
          <w:sz w:val="22"/>
        </w:rPr>
        <w:t xml:space="preserve">pursue one’s </w:t>
      </w:r>
      <w:r w:rsidR="001442FD" w:rsidRPr="009871A0">
        <w:rPr>
          <w:sz w:val="22"/>
        </w:rPr>
        <w:t>“</w:t>
      </w:r>
      <w:r w:rsidR="00774F3C" w:rsidRPr="009871A0">
        <w:rPr>
          <w:sz w:val="22"/>
        </w:rPr>
        <w:t>tastes and pursuits</w:t>
      </w:r>
      <w:r w:rsidR="001442FD" w:rsidRPr="009871A0">
        <w:rPr>
          <w:sz w:val="22"/>
        </w:rPr>
        <w:t>”</w:t>
      </w:r>
      <w:r w:rsidR="00774F3C" w:rsidRPr="009871A0">
        <w:rPr>
          <w:sz w:val="22"/>
        </w:rPr>
        <w:t xml:space="preserve"> and to combine with others in order to do so</w:t>
      </w:r>
      <w:r w:rsidR="00AA0A53" w:rsidRPr="009871A0">
        <w:rPr>
          <w:sz w:val="22"/>
        </w:rPr>
        <w:t>.</w:t>
      </w:r>
      <w:r w:rsidR="00774F3C" w:rsidRPr="009871A0">
        <w:rPr>
          <w:rStyle w:val="FootnoteReference"/>
          <w:sz w:val="22"/>
        </w:rPr>
        <w:footnoteReference w:id="29"/>
      </w:r>
      <w:r w:rsidR="00AA0A53" w:rsidRPr="009871A0">
        <w:rPr>
          <w:sz w:val="22"/>
        </w:rPr>
        <w:t xml:space="preserve"> </w:t>
      </w:r>
      <w:r w:rsidR="005675E9">
        <w:rPr>
          <w:sz w:val="22"/>
        </w:rPr>
        <w:t>For example, in the a</w:t>
      </w:r>
      <w:r w:rsidR="00637188" w:rsidRPr="009871A0">
        <w:rPr>
          <w:sz w:val="22"/>
        </w:rPr>
        <w:t xml:space="preserve">rticle 5 </w:t>
      </w:r>
      <w:r w:rsidR="00637188" w:rsidRPr="009871A0">
        <w:rPr>
          <w:sz w:val="22"/>
        </w:rPr>
        <w:lastRenderedPageBreak/>
        <w:t xml:space="preserve">jurisprudence, the courts have </w:t>
      </w:r>
      <w:r w:rsidR="00F34A14" w:rsidRPr="009871A0">
        <w:rPr>
          <w:sz w:val="22"/>
        </w:rPr>
        <w:t>discussed</w:t>
      </w:r>
      <w:r w:rsidR="00637188" w:rsidRPr="009871A0">
        <w:rPr>
          <w:sz w:val="22"/>
        </w:rPr>
        <w:t xml:space="preserve"> </w:t>
      </w:r>
      <w:r w:rsidR="00F34A14" w:rsidRPr="009871A0">
        <w:rPr>
          <w:sz w:val="22"/>
        </w:rPr>
        <w:t>whether the applican</w:t>
      </w:r>
      <w:r w:rsidR="00774F3C" w:rsidRPr="009871A0">
        <w:rPr>
          <w:sz w:val="22"/>
        </w:rPr>
        <w:t xml:space="preserve">t can pursue a social life and </w:t>
      </w:r>
      <w:r w:rsidR="00B26C31" w:rsidRPr="009871A0">
        <w:rPr>
          <w:sz w:val="22"/>
        </w:rPr>
        <w:t>her</w:t>
      </w:r>
      <w:r w:rsidR="00F34A14" w:rsidRPr="009871A0">
        <w:rPr>
          <w:sz w:val="22"/>
        </w:rPr>
        <w:t xml:space="preserve"> hobbies</w:t>
      </w:r>
      <w:r w:rsidR="00AA0A53" w:rsidRPr="009871A0">
        <w:rPr>
          <w:sz w:val="22"/>
        </w:rPr>
        <w:t>;</w:t>
      </w:r>
      <w:r w:rsidR="00637188" w:rsidRPr="009871A0">
        <w:rPr>
          <w:rStyle w:val="FootnoteReference"/>
          <w:sz w:val="22"/>
        </w:rPr>
        <w:footnoteReference w:id="30"/>
      </w:r>
      <w:r w:rsidR="00637188" w:rsidRPr="009871A0">
        <w:rPr>
          <w:sz w:val="22"/>
        </w:rPr>
        <w:t xml:space="preserve"> </w:t>
      </w:r>
      <w:r w:rsidR="00975102" w:rsidRPr="009871A0">
        <w:rPr>
          <w:sz w:val="22"/>
        </w:rPr>
        <w:t xml:space="preserve">choose the foods </w:t>
      </w:r>
      <w:r w:rsidR="00B26C31" w:rsidRPr="009871A0">
        <w:rPr>
          <w:sz w:val="22"/>
        </w:rPr>
        <w:t>she</w:t>
      </w:r>
      <w:r w:rsidR="00975102" w:rsidRPr="009871A0">
        <w:rPr>
          <w:sz w:val="22"/>
        </w:rPr>
        <w:t xml:space="preserve"> eat</w:t>
      </w:r>
      <w:r w:rsidR="00B26C31" w:rsidRPr="009871A0">
        <w:rPr>
          <w:sz w:val="22"/>
        </w:rPr>
        <w:t>s</w:t>
      </w:r>
      <w:r w:rsidR="00AA0A53" w:rsidRPr="009871A0">
        <w:rPr>
          <w:sz w:val="22"/>
        </w:rPr>
        <w:t>;</w:t>
      </w:r>
      <w:r w:rsidR="00975102" w:rsidRPr="009871A0">
        <w:rPr>
          <w:rStyle w:val="FootnoteReference"/>
          <w:sz w:val="22"/>
        </w:rPr>
        <w:footnoteReference w:id="31"/>
      </w:r>
      <w:r w:rsidR="00975102" w:rsidRPr="009871A0">
        <w:rPr>
          <w:sz w:val="22"/>
        </w:rPr>
        <w:t xml:space="preserve"> </w:t>
      </w:r>
      <w:r w:rsidR="00F34A14" w:rsidRPr="009871A0">
        <w:rPr>
          <w:sz w:val="22"/>
        </w:rPr>
        <w:t>practic</w:t>
      </w:r>
      <w:r w:rsidR="00637188" w:rsidRPr="009871A0">
        <w:rPr>
          <w:sz w:val="22"/>
        </w:rPr>
        <w:t xml:space="preserve">e </w:t>
      </w:r>
      <w:r w:rsidR="00B26C31" w:rsidRPr="009871A0">
        <w:rPr>
          <w:sz w:val="22"/>
        </w:rPr>
        <w:t>her</w:t>
      </w:r>
      <w:r w:rsidR="00637188" w:rsidRPr="009871A0">
        <w:rPr>
          <w:sz w:val="22"/>
        </w:rPr>
        <w:t xml:space="preserve"> religion</w:t>
      </w:r>
      <w:r w:rsidR="00AA0A53" w:rsidRPr="009871A0">
        <w:rPr>
          <w:sz w:val="22"/>
        </w:rPr>
        <w:t>;</w:t>
      </w:r>
      <w:r w:rsidR="00637188" w:rsidRPr="009871A0">
        <w:rPr>
          <w:rStyle w:val="FootnoteReference"/>
          <w:sz w:val="22"/>
        </w:rPr>
        <w:footnoteReference w:id="32"/>
      </w:r>
      <w:r w:rsidR="00637188" w:rsidRPr="009871A0">
        <w:rPr>
          <w:sz w:val="22"/>
        </w:rPr>
        <w:t xml:space="preserve"> </w:t>
      </w:r>
      <w:r w:rsidR="000A79DF" w:rsidRPr="009871A0">
        <w:rPr>
          <w:sz w:val="22"/>
        </w:rPr>
        <w:t>or</w:t>
      </w:r>
      <w:r w:rsidR="00637188" w:rsidRPr="009871A0">
        <w:rPr>
          <w:sz w:val="22"/>
        </w:rPr>
        <w:t xml:space="preserve"> pursue a profession or education.</w:t>
      </w:r>
      <w:r w:rsidR="00637188" w:rsidRPr="009871A0">
        <w:rPr>
          <w:rStyle w:val="FootnoteReference"/>
          <w:sz w:val="22"/>
        </w:rPr>
        <w:footnoteReference w:id="33"/>
      </w:r>
      <w:r w:rsidR="00637188" w:rsidRPr="009871A0">
        <w:rPr>
          <w:sz w:val="22"/>
        </w:rPr>
        <w:t xml:space="preserve"> Without physical liberty, such wider </w:t>
      </w:r>
      <w:r w:rsidR="00F34A14" w:rsidRPr="009871A0">
        <w:rPr>
          <w:sz w:val="22"/>
        </w:rPr>
        <w:t>liberty may be</w:t>
      </w:r>
      <w:r w:rsidR="00637188" w:rsidRPr="009871A0">
        <w:rPr>
          <w:sz w:val="22"/>
        </w:rPr>
        <w:t xml:space="preserve"> dif</w:t>
      </w:r>
      <w:r w:rsidR="00F34A14" w:rsidRPr="009871A0">
        <w:rPr>
          <w:sz w:val="22"/>
        </w:rPr>
        <w:t>f</w:t>
      </w:r>
      <w:r w:rsidR="00671A5E" w:rsidRPr="009871A0">
        <w:rPr>
          <w:sz w:val="22"/>
        </w:rPr>
        <w:t>icult or impossible to achieve, but a</w:t>
      </w:r>
      <w:r w:rsidR="00F34A14" w:rsidRPr="009871A0">
        <w:rPr>
          <w:sz w:val="22"/>
        </w:rPr>
        <w:t xml:space="preserve">n ability to </w:t>
      </w:r>
      <w:r w:rsidR="00E844D2" w:rsidRPr="009871A0">
        <w:rPr>
          <w:sz w:val="22"/>
        </w:rPr>
        <w:t>enjoy this</w:t>
      </w:r>
      <w:r w:rsidR="00C23A89" w:rsidRPr="009871A0">
        <w:rPr>
          <w:sz w:val="22"/>
        </w:rPr>
        <w:t xml:space="preserve"> wider concept</w:t>
      </w:r>
      <w:r w:rsidR="00F34A14" w:rsidRPr="009871A0">
        <w:rPr>
          <w:sz w:val="22"/>
        </w:rPr>
        <w:t xml:space="preserve"> of liberty </w:t>
      </w:r>
      <w:r w:rsidR="005306F8" w:rsidRPr="009871A0">
        <w:rPr>
          <w:sz w:val="22"/>
        </w:rPr>
        <w:t xml:space="preserve">to </w:t>
      </w:r>
      <w:r w:rsidR="00A544E4">
        <w:rPr>
          <w:sz w:val="22"/>
        </w:rPr>
        <w:t xml:space="preserve">a certain </w:t>
      </w:r>
      <w:r w:rsidR="005306F8" w:rsidRPr="009871A0">
        <w:rPr>
          <w:sz w:val="22"/>
        </w:rPr>
        <w:t xml:space="preserve">extent </w:t>
      </w:r>
      <w:r w:rsidR="00F34A14" w:rsidRPr="009871A0">
        <w:rPr>
          <w:sz w:val="22"/>
        </w:rPr>
        <w:t xml:space="preserve">does not </w:t>
      </w:r>
      <w:r w:rsidR="00774F3C" w:rsidRPr="009871A0">
        <w:rPr>
          <w:sz w:val="22"/>
        </w:rPr>
        <w:t xml:space="preserve">necessarily </w:t>
      </w:r>
      <w:r w:rsidR="00F34A14" w:rsidRPr="009871A0">
        <w:rPr>
          <w:sz w:val="22"/>
        </w:rPr>
        <w:t xml:space="preserve">mean there has been no deprivation </w:t>
      </w:r>
      <w:r w:rsidR="00671A5E" w:rsidRPr="009871A0">
        <w:rPr>
          <w:sz w:val="22"/>
        </w:rPr>
        <w:t>of liberty</w:t>
      </w:r>
      <w:r w:rsidR="00F34A14" w:rsidRPr="009871A0">
        <w:rPr>
          <w:sz w:val="22"/>
        </w:rPr>
        <w:t xml:space="preserve">. </w:t>
      </w:r>
      <w:r w:rsidR="00671A5E" w:rsidRPr="009871A0">
        <w:rPr>
          <w:sz w:val="22"/>
        </w:rPr>
        <w:t xml:space="preserve">For example, although the applicants in </w:t>
      </w:r>
      <w:r w:rsidR="00671A5E" w:rsidRPr="009871A0">
        <w:rPr>
          <w:i/>
          <w:sz w:val="22"/>
        </w:rPr>
        <w:t>Cheshire West</w:t>
      </w:r>
      <w:r w:rsidR="00671A5E" w:rsidRPr="009871A0">
        <w:rPr>
          <w:sz w:val="22"/>
        </w:rPr>
        <w:t xml:space="preserve">, </w:t>
      </w:r>
      <w:r w:rsidR="002A473D" w:rsidRPr="009871A0">
        <w:rPr>
          <w:i/>
          <w:sz w:val="22"/>
        </w:rPr>
        <w:t>JJ</w:t>
      </w:r>
      <w:r w:rsidR="00671A5E" w:rsidRPr="009871A0">
        <w:rPr>
          <w:sz w:val="22"/>
        </w:rPr>
        <w:t xml:space="preserve"> and </w:t>
      </w:r>
      <w:r w:rsidR="00671A5E" w:rsidRPr="009871A0">
        <w:rPr>
          <w:i/>
          <w:sz w:val="22"/>
        </w:rPr>
        <w:t>Guzzardi</w:t>
      </w:r>
      <w:r w:rsidR="00671A5E" w:rsidRPr="009871A0">
        <w:rPr>
          <w:sz w:val="22"/>
        </w:rPr>
        <w:t xml:space="preserve"> were able to enjoy </w:t>
      </w:r>
      <w:r w:rsidR="00774F3C" w:rsidRPr="009871A0">
        <w:rPr>
          <w:sz w:val="22"/>
        </w:rPr>
        <w:t xml:space="preserve">some or </w:t>
      </w:r>
      <w:r w:rsidR="00C23A89" w:rsidRPr="009871A0">
        <w:rPr>
          <w:sz w:val="22"/>
        </w:rPr>
        <w:t>all of the wider notion</w:t>
      </w:r>
      <w:r w:rsidR="00671A5E" w:rsidRPr="009871A0">
        <w:rPr>
          <w:sz w:val="22"/>
        </w:rPr>
        <w:t xml:space="preserve"> of liberty, it wa</w:t>
      </w:r>
      <w:r w:rsidR="00E844D2" w:rsidRPr="009871A0">
        <w:rPr>
          <w:sz w:val="22"/>
        </w:rPr>
        <w:t>s in some senses curtailed</w:t>
      </w:r>
      <w:r w:rsidR="00671A5E" w:rsidRPr="009871A0">
        <w:rPr>
          <w:sz w:val="22"/>
        </w:rPr>
        <w:t>,</w:t>
      </w:r>
      <w:r w:rsidR="00671A5E" w:rsidRPr="009871A0">
        <w:rPr>
          <w:rStyle w:val="FootnoteReference"/>
          <w:sz w:val="22"/>
        </w:rPr>
        <w:footnoteReference w:id="34"/>
      </w:r>
      <w:r w:rsidR="004C47A4" w:rsidRPr="009871A0">
        <w:rPr>
          <w:sz w:val="22"/>
        </w:rPr>
        <w:t xml:space="preserve"> </w:t>
      </w:r>
      <w:r w:rsidR="00671A5E" w:rsidRPr="009871A0">
        <w:rPr>
          <w:sz w:val="22"/>
        </w:rPr>
        <w:t>or at least subj</w:t>
      </w:r>
      <w:r w:rsidR="00E844D2" w:rsidRPr="009871A0">
        <w:rPr>
          <w:sz w:val="22"/>
        </w:rPr>
        <w:t>ect to someone else’s approval</w:t>
      </w:r>
      <w:r w:rsidR="00671A5E" w:rsidRPr="009871A0">
        <w:rPr>
          <w:sz w:val="22"/>
        </w:rPr>
        <w:t>.</w:t>
      </w:r>
      <w:r w:rsidR="00671A5E" w:rsidRPr="009871A0">
        <w:rPr>
          <w:rStyle w:val="FootnoteReference"/>
          <w:sz w:val="22"/>
        </w:rPr>
        <w:footnoteReference w:id="35"/>
      </w:r>
      <w:r w:rsidR="00671A5E" w:rsidRPr="009871A0">
        <w:rPr>
          <w:sz w:val="22"/>
        </w:rPr>
        <w:t xml:space="preserve"> </w:t>
      </w:r>
      <w:r w:rsidR="00975102" w:rsidRPr="009871A0">
        <w:rPr>
          <w:sz w:val="22"/>
        </w:rPr>
        <w:t xml:space="preserve">A person cannot be </w:t>
      </w:r>
      <w:r w:rsidR="00671A5E" w:rsidRPr="009871A0">
        <w:rPr>
          <w:sz w:val="22"/>
        </w:rPr>
        <w:t xml:space="preserve">truly </w:t>
      </w:r>
      <w:r w:rsidR="001442FD" w:rsidRPr="009871A0">
        <w:rPr>
          <w:sz w:val="22"/>
        </w:rPr>
        <w:t>“</w:t>
      </w:r>
      <w:r w:rsidR="00975102" w:rsidRPr="009871A0">
        <w:rPr>
          <w:sz w:val="22"/>
        </w:rPr>
        <w:t>sovereign</w:t>
      </w:r>
      <w:r w:rsidR="001442FD" w:rsidRPr="009871A0">
        <w:rPr>
          <w:sz w:val="22"/>
        </w:rPr>
        <w:t>”</w:t>
      </w:r>
      <w:r w:rsidR="00975102" w:rsidRPr="009871A0">
        <w:rPr>
          <w:sz w:val="22"/>
        </w:rPr>
        <w:t xml:space="preserve"> </w:t>
      </w:r>
      <w:r w:rsidR="001442FD" w:rsidRPr="009871A0">
        <w:rPr>
          <w:sz w:val="22"/>
        </w:rPr>
        <w:t>“</w:t>
      </w:r>
      <w:r w:rsidR="00975102" w:rsidRPr="009871A0">
        <w:rPr>
          <w:sz w:val="22"/>
        </w:rPr>
        <w:t>[o]ver himself, over his own body and mind</w:t>
      </w:r>
      <w:r w:rsidR="001442FD" w:rsidRPr="009871A0">
        <w:rPr>
          <w:sz w:val="22"/>
        </w:rPr>
        <w:t>”</w:t>
      </w:r>
      <w:r w:rsidR="00975102" w:rsidRPr="009871A0">
        <w:rPr>
          <w:sz w:val="22"/>
        </w:rPr>
        <w:t xml:space="preserve"> if he is not physically at liberty</w:t>
      </w:r>
      <w:r w:rsidR="00EB36A6">
        <w:rPr>
          <w:sz w:val="22"/>
        </w:rPr>
        <w:t>.</w:t>
      </w:r>
      <w:r w:rsidR="00975102" w:rsidRPr="009871A0">
        <w:rPr>
          <w:rStyle w:val="FootnoteReference"/>
          <w:sz w:val="22"/>
        </w:rPr>
        <w:footnoteReference w:id="36"/>
      </w:r>
      <w:r w:rsidR="00975102" w:rsidRPr="009871A0">
        <w:rPr>
          <w:sz w:val="22"/>
        </w:rPr>
        <w:t xml:space="preserve"> </w:t>
      </w:r>
      <w:r w:rsidR="00E4590A" w:rsidRPr="009871A0">
        <w:rPr>
          <w:sz w:val="22"/>
        </w:rPr>
        <w:t>Again,</w:t>
      </w:r>
      <w:r w:rsidR="00F3650D" w:rsidRPr="009871A0">
        <w:rPr>
          <w:sz w:val="22"/>
        </w:rPr>
        <w:t xml:space="preserve"> the fixation on the paradigm case is problematic – the threshold for what constitutes </w:t>
      </w:r>
      <w:r w:rsidR="005675E9">
        <w:rPr>
          <w:sz w:val="22"/>
        </w:rPr>
        <w:t>a deprivation of liberty under a</w:t>
      </w:r>
      <w:r w:rsidR="00F3650D" w:rsidRPr="009871A0">
        <w:rPr>
          <w:sz w:val="22"/>
        </w:rPr>
        <w:t xml:space="preserve">rticle 5 is </w:t>
      </w:r>
      <w:r w:rsidR="00E37EF4" w:rsidRPr="009871A0">
        <w:rPr>
          <w:sz w:val="22"/>
        </w:rPr>
        <w:t xml:space="preserve">linked to a general notion of autonomy and is </w:t>
      </w:r>
      <w:r w:rsidR="00F3650D" w:rsidRPr="009871A0">
        <w:rPr>
          <w:sz w:val="22"/>
        </w:rPr>
        <w:t>actually much lower than the almost total so</w:t>
      </w:r>
      <w:r w:rsidR="00E37EF4" w:rsidRPr="009871A0">
        <w:rPr>
          <w:sz w:val="22"/>
        </w:rPr>
        <w:t>cial isolation of incarceration</w:t>
      </w:r>
      <w:r w:rsidR="001C6D95" w:rsidRPr="009871A0">
        <w:rPr>
          <w:sz w:val="22"/>
        </w:rPr>
        <w:t>.</w:t>
      </w:r>
    </w:p>
    <w:p w14:paraId="712961EF" w14:textId="087263A7" w:rsidR="000308C1" w:rsidRDefault="00F17D45" w:rsidP="004929FB">
      <w:pPr>
        <w:spacing w:line="480" w:lineRule="auto"/>
        <w:ind w:firstLine="720"/>
        <w:jc w:val="both"/>
        <w:rPr>
          <w:sz w:val="22"/>
        </w:rPr>
      </w:pPr>
      <w:r w:rsidRPr="009871A0">
        <w:rPr>
          <w:sz w:val="22"/>
        </w:rPr>
        <w:t xml:space="preserve">Although we have seen that cases such as </w:t>
      </w:r>
      <w:r w:rsidRPr="009871A0">
        <w:rPr>
          <w:i/>
          <w:sz w:val="22"/>
        </w:rPr>
        <w:t>Cheshire West</w:t>
      </w:r>
      <w:r w:rsidRPr="009871A0">
        <w:rPr>
          <w:sz w:val="22"/>
        </w:rPr>
        <w:t xml:space="preserve">, </w:t>
      </w:r>
      <w:r w:rsidRPr="009871A0">
        <w:rPr>
          <w:i/>
          <w:sz w:val="22"/>
        </w:rPr>
        <w:t>Guzzardi</w:t>
      </w:r>
      <w:r w:rsidRPr="009871A0">
        <w:rPr>
          <w:sz w:val="22"/>
        </w:rPr>
        <w:t xml:space="preserve"> and </w:t>
      </w:r>
      <w:r w:rsidR="002A473D" w:rsidRPr="009871A0">
        <w:rPr>
          <w:i/>
          <w:sz w:val="22"/>
        </w:rPr>
        <w:t>JJ</w:t>
      </w:r>
      <w:r w:rsidRPr="009871A0">
        <w:rPr>
          <w:sz w:val="22"/>
        </w:rPr>
        <w:t xml:space="preserve"> constituted deprivations of liberty despite the applicants </w:t>
      </w:r>
      <w:r w:rsidR="00C23A89" w:rsidRPr="009871A0">
        <w:rPr>
          <w:sz w:val="22"/>
        </w:rPr>
        <w:t>enjoying</w:t>
      </w:r>
      <w:r w:rsidRPr="009871A0">
        <w:rPr>
          <w:sz w:val="22"/>
        </w:rPr>
        <w:t xml:space="preserve"> </w:t>
      </w:r>
      <w:r w:rsidR="00C23A89" w:rsidRPr="009871A0">
        <w:rPr>
          <w:sz w:val="22"/>
        </w:rPr>
        <w:t>a limited</w:t>
      </w:r>
      <w:r w:rsidRPr="009871A0">
        <w:rPr>
          <w:sz w:val="22"/>
        </w:rPr>
        <w:t xml:space="preserve"> right to liberty in the wider sense, the </w:t>
      </w:r>
      <w:r w:rsidRPr="009871A0">
        <w:rPr>
          <w:i/>
          <w:sz w:val="22"/>
        </w:rPr>
        <w:t>Austin</w:t>
      </w:r>
      <w:r w:rsidRPr="009871A0">
        <w:rPr>
          <w:sz w:val="22"/>
        </w:rPr>
        <w:t xml:space="preserve"> applicants </w:t>
      </w:r>
      <w:r w:rsidR="00E4590A" w:rsidRPr="009871A0">
        <w:rPr>
          <w:sz w:val="22"/>
        </w:rPr>
        <w:t>enjoye</w:t>
      </w:r>
      <w:r w:rsidRPr="009871A0">
        <w:rPr>
          <w:sz w:val="22"/>
        </w:rPr>
        <w:t>d neither the wide n</w:t>
      </w:r>
      <w:r w:rsidR="00A5197A" w:rsidRPr="009871A0">
        <w:rPr>
          <w:sz w:val="22"/>
        </w:rPr>
        <w:t xml:space="preserve">or the narrow sense of liberty for the </w:t>
      </w:r>
      <w:r w:rsidRPr="009871A0">
        <w:rPr>
          <w:sz w:val="22"/>
        </w:rPr>
        <w:t>seven hours</w:t>
      </w:r>
      <w:r w:rsidR="00A5197A" w:rsidRPr="009871A0">
        <w:rPr>
          <w:sz w:val="22"/>
        </w:rPr>
        <w:t xml:space="preserve"> they were contained</w:t>
      </w:r>
      <w:r w:rsidR="007C164D" w:rsidRPr="009871A0">
        <w:rPr>
          <w:sz w:val="22"/>
        </w:rPr>
        <w:t xml:space="preserve">. </w:t>
      </w:r>
      <w:r w:rsidR="00C23A89" w:rsidRPr="009871A0">
        <w:rPr>
          <w:sz w:val="22"/>
        </w:rPr>
        <w:t>O</w:t>
      </w:r>
      <w:r w:rsidR="00A5197A" w:rsidRPr="009871A0">
        <w:rPr>
          <w:sz w:val="22"/>
        </w:rPr>
        <w:t>ne</w:t>
      </w:r>
      <w:r w:rsidR="00CB4E79" w:rsidRPr="009871A0">
        <w:rPr>
          <w:sz w:val="22"/>
        </w:rPr>
        <w:t xml:space="preserve"> difference between </w:t>
      </w:r>
      <w:r w:rsidR="00CB4E79" w:rsidRPr="009871A0">
        <w:rPr>
          <w:i/>
          <w:sz w:val="22"/>
        </w:rPr>
        <w:t>Austin</w:t>
      </w:r>
      <w:r w:rsidR="00E844D2" w:rsidRPr="009871A0">
        <w:rPr>
          <w:sz w:val="22"/>
        </w:rPr>
        <w:t xml:space="preserve"> and those</w:t>
      </w:r>
      <w:r w:rsidR="00CB4E79" w:rsidRPr="009871A0">
        <w:rPr>
          <w:sz w:val="22"/>
        </w:rPr>
        <w:t xml:space="preserve"> cases</w:t>
      </w:r>
      <w:r w:rsidR="00C23A89" w:rsidRPr="009871A0">
        <w:rPr>
          <w:sz w:val="22"/>
        </w:rPr>
        <w:t>, however,</w:t>
      </w:r>
      <w:r w:rsidR="00CB4E79" w:rsidRPr="009871A0">
        <w:rPr>
          <w:sz w:val="22"/>
        </w:rPr>
        <w:t xml:space="preserve"> is that </w:t>
      </w:r>
      <w:r w:rsidR="00CB4E79" w:rsidRPr="009871A0">
        <w:rPr>
          <w:i/>
          <w:sz w:val="22"/>
        </w:rPr>
        <w:t>Austin</w:t>
      </w:r>
      <w:r w:rsidR="00CB4E79" w:rsidRPr="009871A0">
        <w:rPr>
          <w:sz w:val="22"/>
        </w:rPr>
        <w:t xml:space="preserve"> was not of an ongoing nature. </w:t>
      </w:r>
      <w:r w:rsidR="00E844D2" w:rsidRPr="009871A0">
        <w:rPr>
          <w:sz w:val="22"/>
        </w:rPr>
        <w:t>O</w:t>
      </w:r>
      <w:r w:rsidR="00CB4E79" w:rsidRPr="009871A0">
        <w:rPr>
          <w:sz w:val="22"/>
        </w:rPr>
        <w:t xml:space="preserve">nce the seven hours </w:t>
      </w:r>
      <w:r w:rsidR="00E4590A" w:rsidRPr="009871A0">
        <w:rPr>
          <w:sz w:val="22"/>
        </w:rPr>
        <w:t>had passed</w:t>
      </w:r>
      <w:r w:rsidR="00CB4E79" w:rsidRPr="009871A0">
        <w:rPr>
          <w:sz w:val="22"/>
        </w:rPr>
        <w:t xml:space="preserve">, the applicants were completely at liberty whereas the applicants in </w:t>
      </w:r>
      <w:r w:rsidR="00CB4E79" w:rsidRPr="009871A0">
        <w:rPr>
          <w:i/>
          <w:sz w:val="22"/>
        </w:rPr>
        <w:t>Cheshire West</w:t>
      </w:r>
      <w:r w:rsidR="00CB4E79" w:rsidRPr="009871A0">
        <w:rPr>
          <w:sz w:val="22"/>
        </w:rPr>
        <w:t xml:space="preserve">, for example, would be deprived of their liberty for their entire lives. </w:t>
      </w:r>
      <w:r w:rsidR="00E844D2" w:rsidRPr="009871A0">
        <w:rPr>
          <w:sz w:val="22"/>
        </w:rPr>
        <w:t>A</w:t>
      </w:r>
      <w:r w:rsidRPr="009871A0">
        <w:rPr>
          <w:sz w:val="22"/>
        </w:rPr>
        <w:t xml:space="preserve">s we shall see, </w:t>
      </w:r>
      <w:r w:rsidR="00E844D2" w:rsidRPr="009871A0">
        <w:rPr>
          <w:sz w:val="22"/>
        </w:rPr>
        <w:t xml:space="preserve">however, </w:t>
      </w:r>
      <w:r w:rsidRPr="009871A0">
        <w:rPr>
          <w:sz w:val="22"/>
        </w:rPr>
        <w:t xml:space="preserve">duration </w:t>
      </w:r>
      <w:r w:rsidR="00E844D2" w:rsidRPr="009871A0">
        <w:rPr>
          <w:sz w:val="22"/>
        </w:rPr>
        <w:t xml:space="preserve">alone </w:t>
      </w:r>
      <w:r w:rsidRPr="009871A0">
        <w:rPr>
          <w:sz w:val="22"/>
        </w:rPr>
        <w:t xml:space="preserve">is </w:t>
      </w:r>
      <w:r w:rsidR="007C164D" w:rsidRPr="009871A0">
        <w:rPr>
          <w:sz w:val="22"/>
        </w:rPr>
        <w:t>not determinative</w:t>
      </w:r>
      <w:r w:rsidRPr="009871A0">
        <w:rPr>
          <w:sz w:val="22"/>
        </w:rPr>
        <w:t xml:space="preserve"> of a deprivation of liberty</w:t>
      </w:r>
      <w:r w:rsidR="007C164D" w:rsidRPr="009871A0">
        <w:rPr>
          <w:sz w:val="22"/>
        </w:rPr>
        <w:t xml:space="preserve">. </w:t>
      </w:r>
      <w:r w:rsidR="00090E44" w:rsidRPr="009871A0">
        <w:rPr>
          <w:sz w:val="22"/>
        </w:rPr>
        <w:t xml:space="preserve">Although the ability to enjoy (at least partially) the wider notion of liberty is not necessarily indicative of a person </w:t>
      </w:r>
      <w:r w:rsidR="00090E44" w:rsidRPr="009871A0">
        <w:rPr>
          <w:i/>
          <w:sz w:val="22"/>
        </w:rPr>
        <w:lastRenderedPageBreak/>
        <w:t xml:space="preserve">not </w:t>
      </w:r>
      <w:r w:rsidR="00090E44" w:rsidRPr="009871A0">
        <w:rPr>
          <w:sz w:val="22"/>
        </w:rPr>
        <w:t xml:space="preserve">being deprived of her liberty, an </w:t>
      </w:r>
      <w:r w:rsidR="00090E44" w:rsidRPr="009871A0">
        <w:rPr>
          <w:i/>
          <w:sz w:val="22"/>
        </w:rPr>
        <w:t xml:space="preserve">inability </w:t>
      </w:r>
      <w:r w:rsidR="00090E44" w:rsidRPr="009871A0">
        <w:rPr>
          <w:sz w:val="22"/>
        </w:rPr>
        <w:t xml:space="preserve">to enjoy the wider notion of liberty for a non-negligible length of time </w:t>
      </w:r>
      <w:r w:rsidR="00090E44" w:rsidRPr="009871A0">
        <w:rPr>
          <w:i/>
          <w:sz w:val="22"/>
        </w:rPr>
        <w:t>is</w:t>
      </w:r>
      <w:r w:rsidR="00090E44" w:rsidRPr="009871A0">
        <w:rPr>
          <w:sz w:val="22"/>
        </w:rPr>
        <w:t xml:space="preserve"> indicative of a deprivation.</w:t>
      </w:r>
    </w:p>
    <w:p w14:paraId="2765BF62" w14:textId="77777777" w:rsidR="004929FB" w:rsidRPr="004929FB" w:rsidRDefault="004929FB" w:rsidP="004929FB">
      <w:pPr>
        <w:spacing w:line="480" w:lineRule="auto"/>
        <w:ind w:firstLine="720"/>
        <w:jc w:val="both"/>
        <w:rPr>
          <w:sz w:val="22"/>
        </w:rPr>
      </w:pPr>
    </w:p>
    <w:p w14:paraId="18D35507" w14:textId="4D126029" w:rsidR="0032799E" w:rsidRPr="004929FB" w:rsidRDefault="00F61609" w:rsidP="004929FB">
      <w:pPr>
        <w:pStyle w:val="Heading2"/>
      </w:pPr>
      <w:r w:rsidRPr="004929FB">
        <w:t>The</w:t>
      </w:r>
      <w:r w:rsidR="007E5CA0" w:rsidRPr="004929FB">
        <w:t xml:space="preserve"> </w:t>
      </w:r>
      <w:r w:rsidR="007E5CA0" w:rsidRPr="004929FB">
        <w:rPr>
          <w:i/>
        </w:rPr>
        <w:t>Cheshire West</w:t>
      </w:r>
      <w:r w:rsidR="007E5CA0" w:rsidRPr="004929FB">
        <w:t xml:space="preserve"> t</w:t>
      </w:r>
      <w:r w:rsidR="0032799E" w:rsidRPr="004929FB">
        <w:t>est</w:t>
      </w:r>
    </w:p>
    <w:p w14:paraId="48A39D3B" w14:textId="55D1A958" w:rsidR="008A6DDC" w:rsidRPr="009871A0" w:rsidRDefault="008A6DDC" w:rsidP="008A6DDC">
      <w:pPr>
        <w:widowControl w:val="0"/>
        <w:spacing w:line="480" w:lineRule="auto"/>
        <w:jc w:val="both"/>
        <w:rPr>
          <w:sz w:val="22"/>
        </w:rPr>
      </w:pPr>
      <w:r w:rsidRPr="009871A0">
        <w:rPr>
          <w:sz w:val="22"/>
        </w:rPr>
        <w:t xml:space="preserve">As Lady Hale said in </w:t>
      </w:r>
      <w:r w:rsidRPr="009871A0">
        <w:rPr>
          <w:i/>
          <w:sz w:val="22"/>
        </w:rPr>
        <w:t>Cheshire West</w:t>
      </w:r>
      <w:r w:rsidRPr="009871A0">
        <w:rPr>
          <w:sz w:val="22"/>
        </w:rPr>
        <w:t>, “human rights are for everyone”,</w:t>
      </w:r>
      <w:r w:rsidRPr="009871A0">
        <w:rPr>
          <w:rStyle w:val="FootnoteReference"/>
          <w:sz w:val="22"/>
        </w:rPr>
        <w:footnoteReference w:id="37"/>
      </w:r>
      <w:r w:rsidR="00CF3906">
        <w:rPr>
          <w:sz w:val="22"/>
        </w:rPr>
        <w:t xml:space="preserve"> thus “w</w:t>
      </w:r>
      <w:r w:rsidRPr="009871A0">
        <w:rPr>
          <w:sz w:val="22"/>
        </w:rPr>
        <w:t>hat it means to be deprived of liberty must be the same for everyone”.</w:t>
      </w:r>
      <w:r w:rsidRPr="009871A0">
        <w:rPr>
          <w:rStyle w:val="FootnoteReference"/>
          <w:sz w:val="22"/>
        </w:rPr>
        <w:footnoteReference w:id="38"/>
      </w:r>
      <w:r w:rsidRPr="009871A0">
        <w:rPr>
          <w:sz w:val="22"/>
        </w:rPr>
        <w:t xml:space="preserve"> That conclusion flows inexorably from the Convention – </w:t>
      </w:r>
      <w:r>
        <w:rPr>
          <w:sz w:val="22"/>
        </w:rPr>
        <w:t>a</w:t>
      </w:r>
      <w:r w:rsidRPr="009871A0">
        <w:rPr>
          <w:sz w:val="22"/>
        </w:rPr>
        <w:t xml:space="preserve">rticle 1 </w:t>
      </w:r>
      <w:r w:rsidR="00EB36A6">
        <w:rPr>
          <w:sz w:val="22"/>
        </w:rPr>
        <w:t>mandates</w:t>
      </w:r>
      <w:r w:rsidRPr="009871A0">
        <w:rPr>
          <w:sz w:val="22"/>
        </w:rPr>
        <w:t xml:space="preserve"> that everyone should enjoy the rights and freedoms it provides and </w:t>
      </w:r>
      <w:r>
        <w:rPr>
          <w:sz w:val="22"/>
        </w:rPr>
        <w:t>a</w:t>
      </w:r>
      <w:r w:rsidRPr="009871A0">
        <w:rPr>
          <w:sz w:val="22"/>
        </w:rPr>
        <w:t>rticle 14 provides for non-discrimination in that enjoyment. When the Court of Appeal in the same case said that “[w]hat may be a deprivation of liberty for one person may not be for another”,</w:t>
      </w:r>
      <w:r w:rsidRPr="009871A0">
        <w:rPr>
          <w:rStyle w:val="FootnoteReference"/>
          <w:sz w:val="22"/>
        </w:rPr>
        <w:footnoteReference w:id="39"/>
      </w:r>
      <w:r w:rsidRPr="009871A0">
        <w:rPr>
          <w:sz w:val="22"/>
        </w:rPr>
        <w:t xml:space="preserve"> they confused the </w:t>
      </w:r>
      <w:r w:rsidRPr="009871A0">
        <w:rPr>
          <w:i/>
          <w:sz w:val="22"/>
        </w:rPr>
        <w:t>concept</w:t>
      </w:r>
      <w:r w:rsidRPr="009871A0">
        <w:rPr>
          <w:sz w:val="22"/>
        </w:rPr>
        <w:t xml:space="preserve"> of a deprivation of liberty with the </w:t>
      </w:r>
      <w:r w:rsidRPr="009871A0">
        <w:rPr>
          <w:i/>
          <w:sz w:val="22"/>
        </w:rPr>
        <w:t>justification</w:t>
      </w:r>
      <w:r w:rsidRPr="009871A0">
        <w:rPr>
          <w:sz w:val="22"/>
        </w:rPr>
        <w:t xml:space="preserve"> for its imposition.</w:t>
      </w:r>
      <w:r w:rsidRPr="009871A0">
        <w:rPr>
          <w:rStyle w:val="FootnoteReference"/>
          <w:sz w:val="22"/>
        </w:rPr>
        <w:footnoteReference w:id="40"/>
      </w:r>
      <w:r w:rsidRPr="009871A0">
        <w:rPr>
          <w:sz w:val="22"/>
        </w:rPr>
        <w:t xml:space="preserve"> By comparing a disabled person with another person of the same capacity to evoke a relative normality test, the Court of Appeal erred in a dangerous way. Given that equality is at the heart of the Convention, creating a separate rights threshold for disabled (or gay, black, Muslim etc.) people subjects them to a different standard of rights protection than non-disabled (or straight, white, Christian etc.) people. Thus the appellants in </w:t>
      </w:r>
      <w:r w:rsidRPr="009871A0">
        <w:rPr>
          <w:i/>
          <w:sz w:val="22"/>
        </w:rPr>
        <w:t>Cheshire West</w:t>
      </w:r>
      <w:r w:rsidRPr="009871A0">
        <w:rPr>
          <w:sz w:val="22"/>
        </w:rPr>
        <w:t xml:space="preserve"> had to be compared with the ordinary person, not with people who shared their characteristics.</w:t>
      </w:r>
    </w:p>
    <w:p w14:paraId="7AEF183D" w14:textId="76D8D9E6" w:rsidR="005D6A8E" w:rsidRDefault="00E92613" w:rsidP="008A6DDC">
      <w:pPr>
        <w:keepNext/>
        <w:widowControl w:val="0"/>
        <w:spacing w:line="480" w:lineRule="auto"/>
        <w:ind w:firstLine="720"/>
        <w:jc w:val="both"/>
        <w:rPr>
          <w:sz w:val="22"/>
        </w:rPr>
      </w:pPr>
      <w:r w:rsidRPr="009871A0">
        <w:rPr>
          <w:sz w:val="22"/>
        </w:rPr>
        <w:t xml:space="preserve">The dissentients in </w:t>
      </w:r>
      <w:r w:rsidRPr="009871A0">
        <w:rPr>
          <w:i/>
          <w:sz w:val="22"/>
        </w:rPr>
        <w:t>Cheshire West</w:t>
      </w:r>
      <w:r w:rsidRPr="009871A0">
        <w:rPr>
          <w:sz w:val="22"/>
        </w:rPr>
        <w:t xml:space="preserve"> were concerned that no-one in everyday language would consider </w:t>
      </w:r>
      <w:r w:rsidR="008B4E46" w:rsidRPr="009871A0">
        <w:rPr>
          <w:sz w:val="22"/>
        </w:rPr>
        <w:t>certain of the appellants</w:t>
      </w:r>
      <w:r w:rsidRPr="009871A0">
        <w:rPr>
          <w:sz w:val="22"/>
        </w:rPr>
        <w:t xml:space="preserve"> to have been deprived of their liberty given their </w:t>
      </w:r>
      <w:r w:rsidR="008B4E46" w:rsidRPr="009871A0">
        <w:rPr>
          <w:sz w:val="22"/>
        </w:rPr>
        <w:t xml:space="preserve">comfortable </w:t>
      </w:r>
      <w:r w:rsidR="0036346E" w:rsidRPr="009871A0">
        <w:rPr>
          <w:sz w:val="22"/>
        </w:rPr>
        <w:t>living conditions, social lives and daily activities</w:t>
      </w:r>
      <w:r w:rsidRPr="009871A0">
        <w:rPr>
          <w:sz w:val="22"/>
        </w:rPr>
        <w:t>.</w:t>
      </w:r>
      <w:r w:rsidR="00084F19" w:rsidRPr="009871A0">
        <w:rPr>
          <w:rStyle w:val="FootnoteReference"/>
          <w:sz w:val="22"/>
        </w:rPr>
        <w:footnoteReference w:id="41"/>
      </w:r>
      <w:r w:rsidRPr="009871A0">
        <w:rPr>
          <w:sz w:val="22"/>
        </w:rPr>
        <w:t xml:space="preserve"> </w:t>
      </w:r>
      <w:r w:rsidR="004929FB" w:rsidRPr="009871A0">
        <w:rPr>
          <w:sz w:val="22"/>
        </w:rPr>
        <w:t>“Deprivation of liberty” has</w:t>
      </w:r>
      <w:r w:rsidR="004675D7">
        <w:rPr>
          <w:sz w:val="22"/>
        </w:rPr>
        <w:t>, however,</w:t>
      </w:r>
      <w:r w:rsidR="004929FB" w:rsidRPr="009871A0">
        <w:rPr>
          <w:sz w:val="22"/>
        </w:rPr>
        <w:t xml:space="preserve"> an autonomous meaning under the Convention</w:t>
      </w:r>
      <w:r w:rsidR="004675D7">
        <w:rPr>
          <w:sz w:val="22"/>
        </w:rPr>
        <w:t>,</w:t>
      </w:r>
      <w:r w:rsidR="004929FB" w:rsidRPr="009871A0">
        <w:rPr>
          <w:rStyle w:val="FootnoteReference"/>
          <w:sz w:val="22"/>
        </w:rPr>
        <w:footnoteReference w:id="42"/>
      </w:r>
      <w:r w:rsidR="004929FB" w:rsidRPr="009871A0">
        <w:rPr>
          <w:sz w:val="22"/>
        </w:rPr>
        <w:t xml:space="preserve"> </w:t>
      </w:r>
      <w:r w:rsidR="004675D7">
        <w:rPr>
          <w:sz w:val="22"/>
        </w:rPr>
        <w:t>and c</w:t>
      </w:r>
      <w:r w:rsidR="004675D7" w:rsidRPr="00EB36A6">
        <w:rPr>
          <w:sz w:val="22"/>
        </w:rPr>
        <w:t xml:space="preserve">ases such as </w:t>
      </w:r>
      <w:r w:rsidR="004675D7" w:rsidRPr="00EB36A6">
        <w:rPr>
          <w:i/>
          <w:sz w:val="22"/>
        </w:rPr>
        <w:t>JJ</w:t>
      </w:r>
      <w:r w:rsidR="004675D7" w:rsidRPr="00EB36A6">
        <w:rPr>
          <w:sz w:val="22"/>
        </w:rPr>
        <w:t xml:space="preserve"> and </w:t>
      </w:r>
      <w:r w:rsidR="004675D7" w:rsidRPr="00EB36A6">
        <w:rPr>
          <w:i/>
          <w:sz w:val="22"/>
        </w:rPr>
        <w:t>Guzzardi</w:t>
      </w:r>
      <w:r w:rsidR="004675D7" w:rsidRPr="00EB36A6">
        <w:rPr>
          <w:sz w:val="22"/>
        </w:rPr>
        <w:t xml:space="preserve"> had</w:t>
      </w:r>
      <w:r w:rsidR="004675D7">
        <w:rPr>
          <w:sz w:val="22"/>
        </w:rPr>
        <w:t xml:space="preserve"> </w:t>
      </w:r>
      <w:r w:rsidR="004675D7" w:rsidRPr="00EB36A6">
        <w:rPr>
          <w:sz w:val="22"/>
        </w:rPr>
        <w:t xml:space="preserve">already established that </w:t>
      </w:r>
      <w:r w:rsidR="004675D7" w:rsidRPr="00EB36A6">
        <w:rPr>
          <w:sz w:val="22"/>
        </w:rPr>
        <w:lastRenderedPageBreak/>
        <w:t xml:space="preserve">deprivations of liberty could take place in a residential setting with people enjoying aspects of a normal life. </w:t>
      </w:r>
      <w:r w:rsidR="004929FB" w:rsidRPr="009871A0">
        <w:rPr>
          <w:sz w:val="22"/>
        </w:rPr>
        <w:t>But laws lose their authority and alienate citizens if their meaning is so different from their everyday use as to be nonsensical.</w:t>
      </w:r>
      <w:r w:rsidR="004929FB" w:rsidRPr="009871A0">
        <w:rPr>
          <w:rStyle w:val="FootnoteReference"/>
          <w:sz w:val="22"/>
        </w:rPr>
        <w:footnoteReference w:id="43"/>
      </w:r>
      <w:r w:rsidR="004929FB" w:rsidRPr="009871A0">
        <w:rPr>
          <w:sz w:val="22"/>
        </w:rPr>
        <w:t xml:space="preserve"> Furthermore, the Convention’s grounding in the rule of law</w:t>
      </w:r>
      <w:r w:rsidR="004929FB" w:rsidRPr="009871A0">
        <w:rPr>
          <w:rStyle w:val="FootnoteReference"/>
          <w:sz w:val="22"/>
        </w:rPr>
        <w:footnoteReference w:id="44"/>
      </w:r>
      <w:r w:rsidR="004929FB" w:rsidRPr="009871A0">
        <w:rPr>
          <w:sz w:val="22"/>
        </w:rPr>
        <w:t xml:space="preserve"> requires accessibility. </w:t>
      </w:r>
      <w:r w:rsidR="005D6A8E">
        <w:rPr>
          <w:sz w:val="22"/>
        </w:rPr>
        <w:t>So</w:t>
      </w:r>
      <w:r w:rsidR="004929FB" w:rsidRPr="009871A0">
        <w:rPr>
          <w:sz w:val="22"/>
        </w:rPr>
        <w:t xml:space="preserve"> there should be at least </w:t>
      </w:r>
      <w:r w:rsidR="004929FB" w:rsidRPr="009871A0">
        <w:rPr>
          <w:i/>
          <w:sz w:val="22"/>
        </w:rPr>
        <w:t>some</w:t>
      </w:r>
      <w:r w:rsidR="004929FB" w:rsidRPr="009871A0">
        <w:rPr>
          <w:sz w:val="22"/>
        </w:rPr>
        <w:t xml:space="preserve"> coincidence between every</w:t>
      </w:r>
      <w:r w:rsidR="005D6A8E">
        <w:rPr>
          <w:sz w:val="22"/>
        </w:rPr>
        <w:t>day meanings and legal meanings</w:t>
      </w:r>
      <w:r w:rsidR="004929FB">
        <w:rPr>
          <w:sz w:val="22"/>
        </w:rPr>
        <w:t xml:space="preserve">. </w:t>
      </w:r>
    </w:p>
    <w:p w14:paraId="408167C8" w14:textId="7C3CAC0D" w:rsidR="00234BCA" w:rsidRPr="009871A0" w:rsidRDefault="00C60957" w:rsidP="00665706">
      <w:pPr>
        <w:widowControl w:val="0"/>
        <w:spacing w:line="480" w:lineRule="auto"/>
        <w:ind w:firstLine="720"/>
        <w:jc w:val="both"/>
        <w:rPr>
          <w:sz w:val="22"/>
        </w:rPr>
      </w:pPr>
      <w:r w:rsidRPr="009871A0">
        <w:rPr>
          <w:sz w:val="22"/>
        </w:rPr>
        <w:t xml:space="preserve">Although the </w:t>
      </w:r>
      <w:r w:rsidRPr="009871A0">
        <w:rPr>
          <w:i/>
          <w:sz w:val="22"/>
        </w:rPr>
        <w:t>Cheshire West</w:t>
      </w:r>
      <w:r w:rsidRPr="009871A0">
        <w:rPr>
          <w:sz w:val="22"/>
        </w:rPr>
        <w:t xml:space="preserve"> </w:t>
      </w:r>
      <w:r w:rsidR="008B4E46" w:rsidRPr="009871A0">
        <w:rPr>
          <w:sz w:val="22"/>
        </w:rPr>
        <w:t>appellants’ situations were</w:t>
      </w:r>
      <w:r w:rsidRPr="009871A0">
        <w:rPr>
          <w:sz w:val="22"/>
        </w:rPr>
        <w:t xml:space="preserve"> far removed from the paradigm case, </w:t>
      </w:r>
      <w:r w:rsidR="00711965" w:rsidRPr="009871A0">
        <w:rPr>
          <w:sz w:val="22"/>
        </w:rPr>
        <w:t>we have already establishe</w:t>
      </w:r>
      <w:r w:rsidR="004C2D54" w:rsidRPr="009871A0">
        <w:rPr>
          <w:sz w:val="22"/>
        </w:rPr>
        <w:t>d that such comparisons are un</w:t>
      </w:r>
      <w:r w:rsidR="00711965" w:rsidRPr="009871A0">
        <w:rPr>
          <w:sz w:val="22"/>
        </w:rPr>
        <w:t xml:space="preserve">helpful. Furthermore, </w:t>
      </w:r>
      <w:r w:rsidRPr="009871A0">
        <w:rPr>
          <w:sz w:val="22"/>
        </w:rPr>
        <w:t>t</w:t>
      </w:r>
      <w:r w:rsidR="009C37F7" w:rsidRPr="009871A0">
        <w:rPr>
          <w:sz w:val="22"/>
        </w:rPr>
        <w:t>he t</w:t>
      </w:r>
      <w:r w:rsidR="00E92613" w:rsidRPr="009871A0">
        <w:rPr>
          <w:sz w:val="22"/>
        </w:rPr>
        <w:t xml:space="preserve">est the </w:t>
      </w:r>
      <w:r w:rsidR="009C37F7" w:rsidRPr="009871A0">
        <w:rPr>
          <w:sz w:val="22"/>
        </w:rPr>
        <w:t>C</w:t>
      </w:r>
      <w:r w:rsidR="00E92613" w:rsidRPr="009871A0">
        <w:rPr>
          <w:sz w:val="22"/>
        </w:rPr>
        <w:t xml:space="preserve">ourt established </w:t>
      </w:r>
      <w:r w:rsidR="0036346E" w:rsidRPr="009871A0">
        <w:rPr>
          <w:sz w:val="22"/>
        </w:rPr>
        <w:t>(</w:t>
      </w:r>
      <w:r w:rsidR="00080EFB" w:rsidRPr="009871A0">
        <w:rPr>
          <w:sz w:val="22"/>
        </w:rPr>
        <w:t>derived from</w:t>
      </w:r>
      <w:r w:rsidR="0036346E" w:rsidRPr="009871A0">
        <w:rPr>
          <w:sz w:val="22"/>
        </w:rPr>
        <w:t xml:space="preserve"> Strasbourg jurisprudence) </w:t>
      </w:r>
      <w:r w:rsidR="008B4E46" w:rsidRPr="009871A0">
        <w:rPr>
          <w:sz w:val="22"/>
        </w:rPr>
        <w:t>in fact</w:t>
      </w:r>
      <w:r w:rsidRPr="009871A0">
        <w:rPr>
          <w:sz w:val="22"/>
        </w:rPr>
        <w:t xml:space="preserve"> a</w:t>
      </w:r>
      <w:r w:rsidR="008B4E46" w:rsidRPr="009871A0">
        <w:rPr>
          <w:sz w:val="22"/>
        </w:rPr>
        <w:t>ligns</w:t>
      </w:r>
      <w:r w:rsidRPr="009871A0">
        <w:rPr>
          <w:sz w:val="22"/>
        </w:rPr>
        <w:t xml:space="preserve"> very closely with an</w:t>
      </w:r>
      <w:r w:rsidR="00E92613" w:rsidRPr="009871A0">
        <w:rPr>
          <w:sz w:val="22"/>
        </w:rPr>
        <w:t xml:space="preserve"> everyday </w:t>
      </w:r>
      <w:r w:rsidRPr="009871A0">
        <w:rPr>
          <w:sz w:val="22"/>
        </w:rPr>
        <w:t xml:space="preserve">or common sense </w:t>
      </w:r>
      <w:r w:rsidR="00E92613" w:rsidRPr="009871A0">
        <w:rPr>
          <w:sz w:val="22"/>
        </w:rPr>
        <w:t xml:space="preserve">notion of </w:t>
      </w:r>
      <w:r w:rsidRPr="009871A0">
        <w:rPr>
          <w:sz w:val="22"/>
        </w:rPr>
        <w:t xml:space="preserve">a </w:t>
      </w:r>
      <w:r w:rsidR="0036346E" w:rsidRPr="009871A0">
        <w:rPr>
          <w:sz w:val="22"/>
        </w:rPr>
        <w:t>deprivation of liberty: t</w:t>
      </w:r>
      <w:r w:rsidR="00E27ABE" w:rsidRPr="009871A0">
        <w:rPr>
          <w:sz w:val="22"/>
        </w:rPr>
        <w:t xml:space="preserve">o be under continuous supervision and control and not free to leave. </w:t>
      </w:r>
      <w:r w:rsidR="000F07CC" w:rsidRPr="009871A0">
        <w:rPr>
          <w:sz w:val="22"/>
        </w:rPr>
        <w:t xml:space="preserve">The fact that it was in the </w:t>
      </w:r>
      <w:r w:rsidR="008B4E46" w:rsidRPr="009871A0">
        <w:rPr>
          <w:sz w:val="22"/>
        </w:rPr>
        <w:t>appellant</w:t>
      </w:r>
      <w:r w:rsidR="000F07CC" w:rsidRPr="009871A0">
        <w:rPr>
          <w:sz w:val="22"/>
        </w:rPr>
        <w:t xml:space="preserve">s’ own best interests to detain them was not </w:t>
      </w:r>
      <w:r w:rsidR="00D302D7" w:rsidRPr="009871A0">
        <w:rPr>
          <w:sz w:val="22"/>
        </w:rPr>
        <w:t>relevant</w:t>
      </w:r>
      <w:r w:rsidRPr="009871A0">
        <w:rPr>
          <w:sz w:val="22"/>
        </w:rPr>
        <w:t>, nor was their compliance, nor the relative normality of their situation</w:t>
      </w:r>
      <w:r w:rsidRPr="009871A0">
        <w:rPr>
          <w:rStyle w:val="FootnoteReference"/>
          <w:sz w:val="22"/>
          <w:vertAlign w:val="baseline"/>
        </w:rPr>
        <w:t>.</w:t>
      </w:r>
      <w:r w:rsidR="00637188" w:rsidRPr="009871A0">
        <w:rPr>
          <w:rStyle w:val="FootnoteReference"/>
          <w:sz w:val="22"/>
        </w:rPr>
        <w:footnoteReference w:id="45"/>
      </w:r>
      <w:r w:rsidR="000F07CC" w:rsidRPr="009871A0">
        <w:rPr>
          <w:sz w:val="22"/>
        </w:rPr>
        <w:t xml:space="preserve"> </w:t>
      </w:r>
      <w:r w:rsidR="00CD2901" w:rsidRPr="009871A0">
        <w:rPr>
          <w:sz w:val="22"/>
        </w:rPr>
        <w:t>A person’s</w:t>
      </w:r>
      <w:r w:rsidR="00D302D7" w:rsidRPr="009871A0">
        <w:rPr>
          <w:sz w:val="22"/>
        </w:rPr>
        <w:t xml:space="preserve"> </w:t>
      </w:r>
      <w:r w:rsidR="001442FD" w:rsidRPr="009871A0">
        <w:rPr>
          <w:sz w:val="22"/>
        </w:rPr>
        <w:t>“</w:t>
      </w:r>
      <w:r w:rsidR="00D302D7" w:rsidRPr="009871A0">
        <w:rPr>
          <w:sz w:val="22"/>
        </w:rPr>
        <w:t>best interests</w:t>
      </w:r>
      <w:r w:rsidR="001442FD" w:rsidRPr="009871A0">
        <w:rPr>
          <w:sz w:val="22"/>
        </w:rPr>
        <w:t>”</w:t>
      </w:r>
      <w:r w:rsidR="00D302D7" w:rsidRPr="009871A0">
        <w:rPr>
          <w:sz w:val="22"/>
        </w:rPr>
        <w:t xml:space="preserve"> </w:t>
      </w:r>
      <w:r w:rsidR="00CD2901" w:rsidRPr="009871A0">
        <w:rPr>
          <w:sz w:val="22"/>
        </w:rPr>
        <w:t>are</w:t>
      </w:r>
      <w:r w:rsidR="00D302D7" w:rsidRPr="009871A0">
        <w:rPr>
          <w:sz w:val="22"/>
        </w:rPr>
        <w:t xml:space="preserve"> already taken into account </w:t>
      </w:r>
      <w:r w:rsidR="00121C9B">
        <w:rPr>
          <w:sz w:val="22"/>
        </w:rPr>
        <w:t>in justifying</w:t>
      </w:r>
      <w:r w:rsidR="00D302D7" w:rsidRPr="009871A0">
        <w:rPr>
          <w:sz w:val="22"/>
        </w:rPr>
        <w:t xml:space="preserve"> </w:t>
      </w:r>
      <w:r w:rsidR="004C2D54" w:rsidRPr="009871A0">
        <w:rPr>
          <w:sz w:val="22"/>
        </w:rPr>
        <w:t>a</w:t>
      </w:r>
      <w:r w:rsidR="00D302D7" w:rsidRPr="009871A0">
        <w:rPr>
          <w:sz w:val="22"/>
        </w:rPr>
        <w:t xml:space="preserve"> deprivation of </w:t>
      </w:r>
      <w:r w:rsidR="004C2D54" w:rsidRPr="009871A0">
        <w:rPr>
          <w:sz w:val="22"/>
        </w:rPr>
        <w:t xml:space="preserve">their </w:t>
      </w:r>
      <w:r w:rsidR="00DC18FF" w:rsidRPr="009871A0">
        <w:rPr>
          <w:sz w:val="22"/>
        </w:rPr>
        <w:t xml:space="preserve">liberty </w:t>
      </w:r>
      <w:r w:rsidR="00CD2901" w:rsidRPr="009871A0">
        <w:rPr>
          <w:sz w:val="22"/>
        </w:rPr>
        <w:t xml:space="preserve">for their own safety under </w:t>
      </w:r>
      <w:r w:rsidR="001E20FB">
        <w:rPr>
          <w:sz w:val="22"/>
        </w:rPr>
        <w:t>a</w:t>
      </w:r>
      <w:r w:rsidR="00CD2901" w:rsidRPr="009871A0">
        <w:rPr>
          <w:sz w:val="22"/>
        </w:rPr>
        <w:t>rticle 5(1)(e)</w:t>
      </w:r>
      <w:r w:rsidR="00DC18FF" w:rsidRPr="009871A0">
        <w:rPr>
          <w:sz w:val="22"/>
        </w:rPr>
        <w:t xml:space="preserve">. </w:t>
      </w:r>
      <w:r w:rsidR="000F07CC" w:rsidRPr="009871A0">
        <w:rPr>
          <w:sz w:val="22"/>
        </w:rPr>
        <w:t xml:space="preserve">Therefore the </w:t>
      </w:r>
      <w:r w:rsidR="008B4E46" w:rsidRPr="009871A0">
        <w:rPr>
          <w:sz w:val="22"/>
        </w:rPr>
        <w:t>argument</w:t>
      </w:r>
      <w:r w:rsidR="000F07CC" w:rsidRPr="009871A0">
        <w:rPr>
          <w:sz w:val="22"/>
        </w:rPr>
        <w:t xml:space="preserve"> in </w:t>
      </w:r>
      <w:r w:rsidR="000F07CC" w:rsidRPr="009871A0">
        <w:rPr>
          <w:i/>
          <w:sz w:val="22"/>
        </w:rPr>
        <w:t>Austin</w:t>
      </w:r>
      <w:r w:rsidR="000F07CC" w:rsidRPr="009871A0">
        <w:rPr>
          <w:sz w:val="22"/>
        </w:rPr>
        <w:t xml:space="preserve"> that the </w:t>
      </w:r>
      <w:r w:rsidR="00DC18FF" w:rsidRPr="009871A0">
        <w:rPr>
          <w:sz w:val="22"/>
        </w:rPr>
        <w:t>applicants</w:t>
      </w:r>
      <w:r w:rsidR="000F07CC" w:rsidRPr="009871A0">
        <w:rPr>
          <w:sz w:val="22"/>
        </w:rPr>
        <w:t xml:space="preserve"> were detained </w:t>
      </w:r>
      <w:r w:rsidR="007C40E4" w:rsidRPr="009871A0">
        <w:rPr>
          <w:sz w:val="22"/>
        </w:rPr>
        <w:t xml:space="preserve">partially </w:t>
      </w:r>
      <w:r w:rsidR="000F07CC" w:rsidRPr="009871A0">
        <w:rPr>
          <w:sz w:val="22"/>
        </w:rPr>
        <w:t>for their</w:t>
      </w:r>
      <w:r w:rsidR="003E31D8" w:rsidRPr="009871A0">
        <w:rPr>
          <w:sz w:val="22"/>
        </w:rPr>
        <w:t xml:space="preserve"> own good </w:t>
      </w:r>
      <w:r w:rsidR="00A22F18" w:rsidRPr="009871A0">
        <w:rPr>
          <w:sz w:val="22"/>
        </w:rPr>
        <w:t xml:space="preserve">(because of the violence outside the cordon) </w:t>
      </w:r>
      <w:r w:rsidR="007109E0">
        <w:rPr>
          <w:sz w:val="22"/>
        </w:rPr>
        <w:t>should</w:t>
      </w:r>
      <w:r w:rsidR="000F07CC" w:rsidRPr="009871A0">
        <w:rPr>
          <w:sz w:val="22"/>
        </w:rPr>
        <w:t xml:space="preserve"> fail post-</w:t>
      </w:r>
      <w:r w:rsidR="000F07CC" w:rsidRPr="009871A0">
        <w:rPr>
          <w:i/>
          <w:sz w:val="22"/>
        </w:rPr>
        <w:t>Cheshire West</w:t>
      </w:r>
      <w:r w:rsidR="000F07CC" w:rsidRPr="009871A0">
        <w:rPr>
          <w:sz w:val="22"/>
        </w:rPr>
        <w:t>.</w:t>
      </w:r>
      <w:r w:rsidRPr="009871A0">
        <w:rPr>
          <w:rStyle w:val="FootnoteReference"/>
          <w:sz w:val="22"/>
        </w:rPr>
        <w:footnoteReference w:id="46"/>
      </w:r>
      <w:r w:rsidR="004C2D54" w:rsidRPr="009871A0">
        <w:rPr>
          <w:sz w:val="22"/>
        </w:rPr>
        <w:t xml:space="preserve"> </w:t>
      </w:r>
      <w:r w:rsidR="00DE2895" w:rsidRPr="009871A0">
        <w:rPr>
          <w:sz w:val="22"/>
        </w:rPr>
        <w:t>Furthermore, t</w:t>
      </w:r>
      <w:r w:rsidR="00440DFE" w:rsidRPr="009871A0">
        <w:rPr>
          <w:sz w:val="22"/>
        </w:rPr>
        <w:t xml:space="preserve">he fact that </w:t>
      </w:r>
      <w:r w:rsidR="00DD690C" w:rsidRPr="009871A0">
        <w:rPr>
          <w:sz w:val="22"/>
        </w:rPr>
        <w:t xml:space="preserve">protestors have </w:t>
      </w:r>
      <w:r w:rsidR="00440DFE" w:rsidRPr="009871A0">
        <w:rPr>
          <w:sz w:val="22"/>
        </w:rPr>
        <w:t>expressed no desire</w:t>
      </w:r>
      <w:r w:rsidR="00DD690C" w:rsidRPr="009871A0">
        <w:rPr>
          <w:sz w:val="22"/>
        </w:rPr>
        <w:t xml:space="preserve"> to leave </w:t>
      </w:r>
      <w:r w:rsidR="00440DFE" w:rsidRPr="009871A0">
        <w:rPr>
          <w:sz w:val="22"/>
        </w:rPr>
        <w:t>a cordon can</w:t>
      </w:r>
      <w:r w:rsidR="00DD690C" w:rsidRPr="009871A0">
        <w:rPr>
          <w:sz w:val="22"/>
        </w:rPr>
        <w:t>no</w:t>
      </w:r>
      <w:r w:rsidR="00440DFE" w:rsidRPr="009871A0">
        <w:rPr>
          <w:sz w:val="22"/>
        </w:rPr>
        <w:t>t</w:t>
      </w:r>
      <w:r w:rsidR="00DD690C" w:rsidRPr="009871A0">
        <w:rPr>
          <w:sz w:val="22"/>
        </w:rPr>
        <w:t xml:space="preserve"> </w:t>
      </w:r>
      <w:r w:rsidR="00244D26" w:rsidRPr="009871A0">
        <w:rPr>
          <w:sz w:val="22"/>
        </w:rPr>
        <w:t xml:space="preserve">be determinative of there being no </w:t>
      </w:r>
      <w:r w:rsidR="00244D26" w:rsidRPr="008160A2">
        <w:rPr>
          <w:sz w:val="22"/>
        </w:rPr>
        <w:t>deprivation of liberty</w:t>
      </w:r>
      <w:r w:rsidR="00DD690C" w:rsidRPr="008160A2">
        <w:rPr>
          <w:sz w:val="22"/>
        </w:rPr>
        <w:t xml:space="preserve"> post-</w:t>
      </w:r>
      <w:r w:rsidR="00DD690C" w:rsidRPr="008160A2">
        <w:rPr>
          <w:i/>
          <w:sz w:val="22"/>
        </w:rPr>
        <w:t>Cheshire West</w:t>
      </w:r>
      <w:r w:rsidR="00DD690C" w:rsidRPr="008160A2">
        <w:rPr>
          <w:sz w:val="22"/>
        </w:rPr>
        <w:t>.</w:t>
      </w:r>
      <w:r w:rsidR="00DD690C" w:rsidRPr="008160A2">
        <w:rPr>
          <w:rStyle w:val="FootnoteReference"/>
          <w:sz w:val="22"/>
        </w:rPr>
        <w:footnoteReference w:id="47"/>
      </w:r>
      <w:r w:rsidR="00DD690C" w:rsidRPr="008160A2">
        <w:rPr>
          <w:sz w:val="22"/>
        </w:rPr>
        <w:t xml:space="preserve"> The key question to ask in such cases is: </w:t>
      </w:r>
      <w:r w:rsidR="00DD690C" w:rsidRPr="008160A2">
        <w:rPr>
          <w:i/>
          <w:sz w:val="22"/>
        </w:rPr>
        <w:t>If</w:t>
      </w:r>
      <w:r w:rsidR="00DD690C" w:rsidRPr="008160A2">
        <w:rPr>
          <w:sz w:val="22"/>
        </w:rPr>
        <w:t xml:space="preserve"> they asked to leave, w</w:t>
      </w:r>
      <w:r w:rsidR="00244D26" w:rsidRPr="008160A2">
        <w:rPr>
          <w:sz w:val="22"/>
        </w:rPr>
        <w:t>ould they be allowed to do so?</w:t>
      </w:r>
      <w:r w:rsidR="00244D26" w:rsidRPr="008160A2">
        <w:rPr>
          <w:rStyle w:val="FootnoteReference"/>
          <w:sz w:val="22"/>
        </w:rPr>
        <w:footnoteReference w:id="48"/>
      </w:r>
    </w:p>
    <w:p w14:paraId="6AB92C6A" w14:textId="70640AC2" w:rsidR="00180BB8" w:rsidRPr="009871A0" w:rsidRDefault="00626B8C" w:rsidP="00665706">
      <w:pPr>
        <w:widowControl w:val="0"/>
        <w:spacing w:line="480" w:lineRule="auto"/>
        <w:ind w:firstLine="720"/>
        <w:jc w:val="both"/>
        <w:rPr>
          <w:sz w:val="22"/>
        </w:rPr>
      </w:pPr>
      <w:r w:rsidRPr="009871A0">
        <w:rPr>
          <w:sz w:val="22"/>
        </w:rPr>
        <w:lastRenderedPageBreak/>
        <w:t>T</w:t>
      </w:r>
      <w:r w:rsidR="009C37F7" w:rsidRPr="009871A0">
        <w:rPr>
          <w:sz w:val="22"/>
        </w:rPr>
        <w:t xml:space="preserve">he </w:t>
      </w:r>
      <w:r w:rsidR="009C37F7" w:rsidRPr="009871A0">
        <w:rPr>
          <w:i/>
          <w:sz w:val="22"/>
        </w:rPr>
        <w:t>Austin</w:t>
      </w:r>
      <w:r w:rsidR="009C37F7" w:rsidRPr="009871A0">
        <w:rPr>
          <w:sz w:val="22"/>
        </w:rPr>
        <w:t xml:space="preserve"> </w:t>
      </w:r>
      <w:r w:rsidR="005D6A8E">
        <w:rPr>
          <w:sz w:val="22"/>
        </w:rPr>
        <w:t xml:space="preserve">applicants </w:t>
      </w:r>
      <w:r w:rsidR="009C37F7" w:rsidRPr="009871A0">
        <w:rPr>
          <w:sz w:val="22"/>
        </w:rPr>
        <w:t>we</w:t>
      </w:r>
      <w:r w:rsidRPr="009871A0">
        <w:rPr>
          <w:sz w:val="22"/>
        </w:rPr>
        <w:t xml:space="preserve">re certainly deprived of their liberty </w:t>
      </w:r>
      <w:r w:rsidR="009C37F7" w:rsidRPr="009871A0">
        <w:rPr>
          <w:sz w:val="22"/>
        </w:rPr>
        <w:t xml:space="preserve">in </w:t>
      </w:r>
      <w:r w:rsidR="00DB4959" w:rsidRPr="009871A0">
        <w:rPr>
          <w:sz w:val="22"/>
        </w:rPr>
        <w:t>“</w:t>
      </w:r>
      <w:r w:rsidR="009C37F7" w:rsidRPr="009871A0">
        <w:rPr>
          <w:sz w:val="22"/>
        </w:rPr>
        <w:t>common parlance</w:t>
      </w:r>
      <w:r w:rsidR="00DB4959" w:rsidRPr="009871A0">
        <w:rPr>
          <w:sz w:val="22"/>
        </w:rPr>
        <w:t>”</w:t>
      </w:r>
      <w:r w:rsidR="009C37F7" w:rsidRPr="009871A0">
        <w:rPr>
          <w:sz w:val="22"/>
        </w:rPr>
        <w:t>.</w:t>
      </w:r>
      <w:r w:rsidR="009C37F7" w:rsidRPr="009871A0">
        <w:rPr>
          <w:rStyle w:val="FootnoteReference"/>
          <w:sz w:val="22"/>
        </w:rPr>
        <w:footnoteReference w:id="49"/>
      </w:r>
      <w:r w:rsidR="000F663B" w:rsidRPr="009871A0">
        <w:rPr>
          <w:sz w:val="22"/>
        </w:rPr>
        <w:t xml:space="preserve"> A</w:t>
      </w:r>
      <w:r w:rsidR="00D841B8" w:rsidRPr="009871A0">
        <w:rPr>
          <w:sz w:val="22"/>
        </w:rPr>
        <w:t xml:space="preserve">s </w:t>
      </w:r>
      <w:r w:rsidR="000F663B" w:rsidRPr="009871A0">
        <w:rPr>
          <w:sz w:val="22"/>
        </w:rPr>
        <w:t xml:space="preserve">the </w:t>
      </w:r>
      <w:r w:rsidR="00C677B0" w:rsidRPr="009871A0">
        <w:rPr>
          <w:sz w:val="22"/>
        </w:rPr>
        <w:t>UKHL</w:t>
      </w:r>
      <w:r w:rsidR="000F663B" w:rsidRPr="009871A0">
        <w:rPr>
          <w:sz w:val="22"/>
        </w:rPr>
        <w:t xml:space="preserve"> </w:t>
      </w:r>
      <w:r w:rsidR="00A22F18" w:rsidRPr="009871A0">
        <w:rPr>
          <w:sz w:val="22"/>
        </w:rPr>
        <w:t>put it, however</w:t>
      </w:r>
      <w:r w:rsidR="000F663B" w:rsidRPr="009871A0">
        <w:rPr>
          <w:sz w:val="22"/>
        </w:rPr>
        <w:t>, it wa</w:t>
      </w:r>
      <w:r w:rsidR="009C37F7" w:rsidRPr="009871A0">
        <w:rPr>
          <w:sz w:val="22"/>
        </w:rPr>
        <w:t xml:space="preserve">s </w:t>
      </w:r>
      <w:r w:rsidR="001442FD" w:rsidRPr="009871A0">
        <w:rPr>
          <w:sz w:val="22"/>
        </w:rPr>
        <w:t>“</w:t>
      </w:r>
      <w:r w:rsidR="009C37F7" w:rsidRPr="009871A0">
        <w:rPr>
          <w:sz w:val="22"/>
        </w:rPr>
        <w:t>not enough that what was done could be said in general or colloquial terms to have amounted to a deprivation of liberty</w:t>
      </w:r>
      <w:r w:rsidR="001442FD" w:rsidRPr="009871A0">
        <w:rPr>
          <w:sz w:val="22"/>
        </w:rPr>
        <w:t>”</w:t>
      </w:r>
      <w:r w:rsidR="009C37F7" w:rsidRPr="009871A0">
        <w:rPr>
          <w:sz w:val="22"/>
        </w:rPr>
        <w:t>.</w:t>
      </w:r>
      <w:r w:rsidR="009C37F7" w:rsidRPr="009871A0">
        <w:rPr>
          <w:rStyle w:val="FootnoteReference"/>
          <w:sz w:val="22"/>
        </w:rPr>
        <w:footnoteReference w:id="50"/>
      </w:r>
      <w:r w:rsidR="009C37F7" w:rsidRPr="009871A0">
        <w:rPr>
          <w:sz w:val="22"/>
        </w:rPr>
        <w:t xml:space="preserve"> </w:t>
      </w:r>
      <w:r w:rsidR="00A22F18" w:rsidRPr="009871A0">
        <w:rPr>
          <w:sz w:val="22"/>
        </w:rPr>
        <w:t>But applying</w:t>
      </w:r>
      <w:r w:rsidR="00FE7900" w:rsidRPr="009871A0">
        <w:rPr>
          <w:sz w:val="22"/>
        </w:rPr>
        <w:t xml:space="preserve"> </w:t>
      </w:r>
      <w:r w:rsidRPr="009871A0">
        <w:rPr>
          <w:sz w:val="22"/>
        </w:rPr>
        <w:t xml:space="preserve">the </w:t>
      </w:r>
      <w:r w:rsidRPr="009871A0">
        <w:rPr>
          <w:i/>
          <w:sz w:val="22"/>
        </w:rPr>
        <w:t>Cheshire West</w:t>
      </w:r>
      <w:r w:rsidRPr="009871A0">
        <w:rPr>
          <w:sz w:val="22"/>
        </w:rPr>
        <w:t xml:space="preserve"> test, </w:t>
      </w:r>
      <w:r w:rsidR="00FE7900" w:rsidRPr="009871A0">
        <w:rPr>
          <w:sz w:val="22"/>
        </w:rPr>
        <w:t xml:space="preserve">the </w:t>
      </w:r>
      <w:r w:rsidRPr="009871A0">
        <w:rPr>
          <w:i/>
          <w:sz w:val="22"/>
        </w:rPr>
        <w:t>Austin</w:t>
      </w:r>
      <w:r w:rsidRPr="009871A0">
        <w:rPr>
          <w:sz w:val="22"/>
        </w:rPr>
        <w:t xml:space="preserve"> applicants w</w:t>
      </w:r>
      <w:r w:rsidR="00B83106" w:rsidRPr="009871A0">
        <w:rPr>
          <w:sz w:val="22"/>
        </w:rPr>
        <w:t>ere evidently not free to leave</w:t>
      </w:r>
      <w:r w:rsidRPr="009871A0">
        <w:rPr>
          <w:sz w:val="22"/>
        </w:rPr>
        <w:t xml:space="preserve"> and were under the constant supervision and control of the police while contained. </w:t>
      </w:r>
      <w:r w:rsidR="00180BB8" w:rsidRPr="008160A2">
        <w:rPr>
          <w:sz w:val="22"/>
        </w:rPr>
        <w:t xml:space="preserve">The dissentients in </w:t>
      </w:r>
      <w:r w:rsidR="00180BB8" w:rsidRPr="008160A2">
        <w:rPr>
          <w:i/>
          <w:sz w:val="22"/>
        </w:rPr>
        <w:t>Cheshire West</w:t>
      </w:r>
      <w:r w:rsidR="00180BB8" w:rsidRPr="008160A2">
        <w:rPr>
          <w:sz w:val="22"/>
        </w:rPr>
        <w:t xml:space="preserve"> worried that </w:t>
      </w:r>
      <w:r w:rsidR="00F12A15" w:rsidRPr="008160A2">
        <w:rPr>
          <w:sz w:val="22"/>
        </w:rPr>
        <w:t>the majority’s</w:t>
      </w:r>
      <w:r w:rsidR="00180BB8" w:rsidRPr="008160A2">
        <w:rPr>
          <w:sz w:val="22"/>
        </w:rPr>
        <w:t xml:space="preserve"> definition went too far,</w:t>
      </w:r>
      <w:r w:rsidR="00D421AE" w:rsidRPr="008160A2">
        <w:rPr>
          <w:rStyle w:val="FootnoteReference"/>
          <w:sz w:val="22"/>
        </w:rPr>
        <w:footnoteReference w:id="51"/>
      </w:r>
      <w:r w:rsidR="00180BB8" w:rsidRPr="009871A0">
        <w:rPr>
          <w:sz w:val="22"/>
        </w:rPr>
        <w:t xml:space="preserve"> but we should be more concerned that the judgment in </w:t>
      </w:r>
      <w:r w:rsidR="00180BB8" w:rsidRPr="009871A0">
        <w:rPr>
          <w:i/>
          <w:sz w:val="22"/>
        </w:rPr>
        <w:t>Austin</w:t>
      </w:r>
      <w:r w:rsidR="00180BB8" w:rsidRPr="009871A0">
        <w:rPr>
          <w:sz w:val="22"/>
        </w:rPr>
        <w:t xml:space="preserve"> </w:t>
      </w:r>
      <w:r w:rsidR="00B83106" w:rsidRPr="009871A0">
        <w:rPr>
          <w:sz w:val="22"/>
        </w:rPr>
        <w:t>did not go far enough</w:t>
      </w:r>
      <w:r w:rsidR="00D841B8" w:rsidRPr="009871A0">
        <w:rPr>
          <w:sz w:val="22"/>
        </w:rPr>
        <w:t xml:space="preserve"> and </w:t>
      </w:r>
      <w:r w:rsidR="00180BB8" w:rsidRPr="009871A0">
        <w:rPr>
          <w:sz w:val="22"/>
        </w:rPr>
        <w:t xml:space="preserve">is </w:t>
      </w:r>
      <w:r w:rsidR="00711965" w:rsidRPr="009871A0">
        <w:rPr>
          <w:sz w:val="22"/>
        </w:rPr>
        <w:t xml:space="preserve">explicitly not </w:t>
      </w:r>
      <w:r w:rsidR="00180BB8" w:rsidRPr="009871A0">
        <w:rPr>
          <w:sz w:val="22"/>
        </w:rPr>
        <w:t xml:space="preserve">in line with everyday language. </w:t>
      </w:r>
    </w:p>
    <w:p w14:paraId="156AE60F" w14:textId="0825903F" w:rsidR="000308C1" w:rsidRPr="009871A0" w:rsidRDefault="00180BB8" w:rsidP="00984782">
      <w:pPr>
        <w:spacing w:line="480" w:lineRule="auto"/>
        <w:ind w:firstLine="720"/>
        <w:jc w:val="both"/>
        <w:rPr>
          <w:sz w:val="22"/>
        </w:rPr>
      </w:pPr>
      <w:r w:rsidRPr="009871A0">
        <w:rPr>
          <w:sz w:val="22"/>
        </w:rPr>
        <w:t>A</w:t>
      </w:r>
      <w:r w:rsidR="00626B8C" w:rsidRPr="009871A0">
        <w:rPr>
          <w:sz w:val="22"/>
        </w:rPr>
        <w:t xml:space="preserve">pplicants in </w:t>
      </w:r>
      <w:r w:rsidR="009C37F7" w:rsidRPr="009871A0">
        <w:rPr>
          <w:sz w:val="22"/>
        </w:rPr>
        <w:t xml:space="preserve">cases such as </w:t>
      </w:r>
      <w:r w:rsidR="00234BCA" w:rsidRPr="009871A0">
        <w:rPr>
          <w:i/>
          <w:sz w:val="22"/>
        </w:rPr>
        <w:t>Cheshire West</w:t>
      </w:r>
      <w:r w:rsidR="00234BCA" w:rsidRPr="009871A0">
        <w:rPr>
          <w:sz w:val="22"/>
        </w:rPr>
        <w:t xml:space="preserve"> or </w:t>
      </w:r>
      <w:r w:rsidR="002A473D" w:rsidRPr="009871A0">
        <w:rPr>
          <w:i/>
          <w:sz w:val="22"/>
        </w:rPr>
        <w:t>JJ</w:t>
      </w:r>
      <w:r w:rsidR="009C37F7" w:rsidRPr="009871A0">
        <w:rPr>
          <w:sz w:val="22"/>
        </w:rPr>
        <w:t xml:space="preserve"> or </w:t>
      </w:r>
      <w:r w:rsidR="009C37F7" w:rsidRPr="009871A0">
        <w:rPr>
          <w:i/>
          <w:sz w:val="22"/>
        </w:rPr>
        <w:t>Guzzardi</w:t>
      </w:r>
      <w:r w:rsidR="009C37F7" w:rsidRPr="009871A0">
        <w:rPr>
          <w:sz w:val="22"/>
        </w:rPr>
        <w:t xml:space="preserve"> </w:t>
      </w:r>
      <w:r w:rsidR="00626B8C" w:rsidRPr="009871A0">
        <w:rPr>
          <w:sz w:val="22"/>
        </w:rPr>
        <w:t xml:space="preserve">– </w:t>
      </w:r>
      <w:r w:rsidR="004B02C5" w:rsidRPr="009871A0">
        <w:rPr>
          <w:sz w:val="22"/>
        </w:rPr>
        <w:t xml:space="preserve">all of </w:t>
      </w:r>
      <w:r w:rsidR="00626B8C" w:rsidRPr="009871A0">
        <w:rPr>
          <w:sz w:val="22"/>
        </w:rPr>
        <w:t>who</w:t>
      </w:r>
      <w:r w:rsidR="004B02C5" w:rsidRPr="009871A0">
        <w:rPr>
          <w:sz w:val="22"/>
        </w:rPr>
        <w:t xml:space="preserve">m had </w:t>
      </w:r>
      <w:r w:rsidR="00626B8C" w:rsidRPr="009871A0">
        <w:rPr>
          <w:sz w:val="22"/>
        </w:rPr>
        <w:t xml:space="preserve">been deprived of their liberty in law – </w:t>
      </w:r>
      <w:r w:rsidR="009C37F7" w:rsidRPr="009871A0">
        <w:rPr>
          <w:sz w:val="22"/>
        </w:rPr>
        <w:t xml:space="preserve">might be unlikely, at first sight, to be described as having their liberty deprived in the ordinary meaning of the expression. </w:t>
      </w:r>
      <w:r w:rsidRPr="009871A0">
        <w:rPr>
          <w:sz w:val="22"/>
        </w:rPr>
        <w:t>But t</w:t>
      </w:r>
      <w:r w:rsidR="009C37F7" w:rsidRPr="009871A0">
        <w:rPr>
          <w:sz w:val="22"/>
        </w:rPr>
        <w:t xml:space="preserve">his </w:t>
      </w:r>
      <w:r w:rsidRPr="009871A0">
        <w:rPr>
          <w:sz w:val="22"/>
        </w:rPr>
        <w:t>apparent problem</w:t>
      </w:r>
      <w:r w:rsidR="00626B8C" w:rsidRPr="009871A0">
        <w:rPr>
          <w:sz w:val="22"/>
        </w:rPr>
        <w:t xml:space="preserve"> can be resolved by departing with</w:t>
      </w:r>
      <w:r w:rsidR="009C37F7" w:rsidRPr="009871A0">
        <w:rPr>
          <w:sz w:val="22"/>
        </w:rPr>
        <w:t xml:space="preserve"> the fixation on the so-called paradigm case, which</w:t>
      </w:r>
      <w:r w:rsidRPr="009871A0">
        <w:rPr>
          <w:sz w:val="22"/>
        </w:rPr>
        <w:t xml:space="preserve">, as </w:t>
      </w:r>
      <w:r w:rsidR="00711965" w:rsidRPr="009871A0">
        <w:rPr>
          <w:sz w:val="22"/>
        </w:rPr>
        <w:t>will by now be clear</w:t>
      </w:r>
      <w:r w:rsidRPr="009871A0">
        <w:rPr>
          <w:sz w:val="22"/>
        </w:rPr>
        <w:t xml:space="preserve">, is not </w:t>
      </w:r>
      <w:r w:rsidR="00F12A15" w:rsidRPr="009871A0">
        <w:rPr>
          <w:sz w:val="22"/>
        </w:rPr>
        <w:t>reflective of</w:t>
      </w:r>
      <w:r w:rsidRPr="009871A0">
        <w:rPr>
          <w:sz w:val="22"/>
        </w:rPr>
        <w:t xml:space="preserve"> the </w:t>
      </w:r>
      <w:r w:rsidR="001D556F">
        <w:rPr>
          <w:sz w:val="22"/>
        </w:rPr>
        <w:t>essence of a</w:t>
      </w:r>
      <w:r w:rsidRPr="009871A0">
        <w:rPr>
          <w:sz w:val="22"/>
        </w:rPr>
        <w:t>rticle 5</w:t>
      </w:r>
      <w:r w:rsidR="009C37F7" w:rsidRPr="009871A0">
        <w:rPr>
          <w:sz w:val="22"/>
        </w:rPr>
        <w:t xml:space="preserve">. </w:t>
      </w:r>
      <w:r w:rsidR="00F12A15" w:rsidRPr="009871A0">
        <w:rPr>
          <w:sz w:val="22"/>
        </w:rPr>
        <w:t>Contrary to what the C</w:t>
      </w:r>
      <w:r w:rsidR="009C37F7" w:rsidRPr="009871A0">
        <w:rPr>
          <w:sz w:val="22"/>
        </w:rPr>
        <w:t xml:space="preserve">ourt said, for example, in </w:t>
      </w:r>
      <w:r w:rsidR="002A473D" w:rsidRPr="009871A0">
        <w:rPr>
          <w:i/>
          <w:sz w:val="22"/>
        </w:rPr>
        <w:t>JJ</w:t>
      </w:r>
      <w:r w:rsidR="009C37F7" w:rsidRPr="009871A0">
        <w:rPr>
          <w:sz w:val="22"/>
        </w:rPr>
        <w:t xml:space="preserve">, </w:t>
      </w:r>
      <w:r w:rsidR="001442FD" w:rsidRPr="009871A0">
        <w:rPr>
          <w:sz w:val="22"/>
        </w:rPr>
        <w:t>“</w:t>
      </w:r>
      <w:r w:rsidR="009C37F7" w:rsidRPr="009871A0">
        <w:rPr>
          <w:sz w:val="22"/>
        </w:rPr>
        <w:t>ordinary parlance</w:t>
      </w:r>
      <w:r w:rsidR="001442FD" w:rsidRPr="009871A0">
        <w:rPr>
          <w:sz w:val="22"/>
        </w:rPr>
        <w:t>”</w:t>
      </w:r>
      <w:r w:rsidR="009C37F7" w:rsidRPr="009871A0">
        <w:rPr>
          <w:sz w:val="22"/>
        </w:rPr>
        <w:t xml:space="preserve"> does not only suggest that a deprivation of liberty takes place in a locked cell.</w:t>
      </w:r>
      <w:r w:rsidR="009C37F7" w:rsidRPr="009871A0">
        <w:rPr>
          <w:rStyle w:val="FootnoteReference"/>
          <w:sz w:val="22"/>
        </w:rPr>
        <w:footnoteReference w:id="52"/>
      </w:r>
      <w:r w:rsidR="009C37F7" w:rsidRPr="009871A0">
        <w:rPr>
          <w:sz w:val="22"/>
        </w:rPr>
        <w:t xml:space="preserve"> In everyday parlance, deprivations of liberty could take place in, for example, an unlocked room </w:t>
      </w:r>
      <w:r w:rsidR="00A308FD" w:rsidRPr="009871A0">
        <w:rPr>
          <w:sz w:val="22"/>
        </w:rPr>
        <w:t>(</w:t>
      </w:r>
      <w:r w:rsidR="009810E1" w:rsidRPr="009871A0">
        <w:rPr>
          <w:sz w:val="22"/>
        </w:rPr>
        <w:t>e</w:t>
      </w:r>
      <w:r w:rsidR="008277A4" w:rsidRPr="009871A0">
        <w:rPr>
          <w:sz w:val="22"/>
        </w:rPr>
        <w:t>.</w:t>
      </w:r>
      <w:r w:rsidR="009810E1" w:rsidRPr="009871A0">
        <w:rPr>
          <w:sz w:val="22"/>
        </w:rPr>
        <w:t>g</w:t>
      </w:r>
      <w:r w:rsidR="008277A4" w:rsidRPr="009871A0">
        <w:rPr>
          <w:sz w:val="22"/>
        </w:rPr>
        <w:t>.</w:t>
      </w:r>
      <w:r w:rsidR="00A308FD" w:rsidRPr="009871A0">
        <w:rPr>
          <w:sz w:val="22"/>
        </w:rPr>
        <w:t xml:space="preserve"> </w:t>
      </w:r>
      <w:r w:rsidR="005D6A8E">
        <w:rPr>
          <w:sz w:val="22"/>
        </w:rPr>
        <w:t>an armed guard stands at the door</w:t>
      </w:r>
      <w:r w:rsidR="00A308FD" w:rsidRPr="009871A0">
        <w:rPr>
          <w:sz w:val="22"/>
        </w:rPr>
        <w:t>),</w:t>
      </w:r>
      <w:r w:rsidR="009C37F7" w:rsidRPr="009871A0">
        <w:rPr>
          <w:sz w:val="22"/>
        </w:rPr>
        <w:t xml:space="preserve"> or in </w:t>
      </w:r>
      <w:r w:rsidR="00A308FD" w:rsidRPr="009871A0">
        <w:rPr>
          <w:sz w:val="22"/>
        </w:rPr>
        <w:t>the open air (</w:t>
      </w:r>
      <w:r w:rsidR="009810E1" w:rsidRPr="009871A0">
        <w:rPr>
          <w:sz w:val="22"/>
        </w:rPr>
        <w:t>e</w:t>
      </w:r>
      <w:r w:rsidR="005F0CDE" w:rsidRPr="009871A0">
        <w:rPr>
          <w:sz w:val="22"/>
        </w:rPr>
        <w:t>.</w:t>
      </w:r>
      <w:r w:rsidR="009810E1" w:rsidRPr="009871A0">
        <w:rPr>
          <w:sz w:val="22"/>
        </w:rPr>
        <w:t>g</w:t>
      </w:r>
      <w:r w:rsidR="005F0CDE" w:rsidRPr="009871A0">
        <w:rPr>
          <w:sz w:val="22"/>
        </w:rPr>
        <w:t>.</w:t>
      </w:r>
      <w:r w:rsidR="00A308FD" w:rsidRPr="009871A0">
        <w:rPr>
          <w:sz w:val="22"/>
        </w:rPr>
        <w:t xml:space="preserve"> </w:t>
      </w:r>
      <w:r w:rsidR="005D6A8E">
        <w:rPr>
          <w:sz w:val="22"/>
        </w:rPr>
        <w:t>a physical barrier is erected around a person</w:t>
      </w:r>
      <w:r w:rsidR="00A308FD" w:rsidRPr="009871A0">
        <w:rPr>
          <w:sz w:val="22"/>
        </w:rPr>
        <w:t>)</w:t>
      </w:r>
      <w:r w:rsidR="009C37F7" w:rsidRPr="009871A0">
        <w:rPr>
          <w:sz w:val="22"/>
        </w:rPr>
        <w:t>.</w:t>
      </w:r>
      <w:r w:rsidR="00626B8C" w:rsidRPr="009871A0">
        <w:rPr>
          <w:sz w:val="22"/>
        </w:rPr>
        <w:t xml:space="preserve"> In all of these scenarios, the common thread is the </w:t>
      </w:r>
      <w:r w:rsidR="00626B8C" w:rsidRPr="009871A0">
        <w:rPr>
          <w:i/>
          <w:sz w:val="22"/>
        </w:rPr>
        <w:t>Cheshire West</w:t>
      </w:r>
      <w:r w:rsidR="00626B8C" w:rsidRPr="009871A0">
        <w:rPr>
          <w:sz w:val="22"/>
        </w:rPr>
        <w:t xml:space="preserve"> test – a deprivation of liberty has occurred if a person is under continuous supervision and control and not free to leave. That test </w:t>
      </w:r>
      <w:r w:rsidR="00A308FD" w:rsidRPr="009871A0">
        <w:rPr>
          <w:sz w:val="22"/>
        </w:rPr>
        <w:t xml:space="preserve">should therefore </w:t>
      </w:r>
      <w:r w:rsidR="00626B8C" w:rsidRPr="009871A0">
        <w:rPr>
          <w:sz w:val="22"/>
        </w:rPr>
        <w:t>be our starting point for establishing whether a deprivation of liberty has occurred. Its benefit is that it does, despite the dissentients</w:t>
      </w:r>
      <w:r w:rsidRPr="009871A0">
        <w:rPr>
          <w:sz w:val="22"/>
        </w:rPr>
        <w:t>’</w:t>
      </w:r>
      <w:r w:rsidR="00626B8C" w:rsidRPr="009871A0">
        <w:rPr>
          <w:sz w:val="22"/>
        </w:rPr>
        <w:t xml:space="preserve"> doubts, accord with the everyday language notion of a deprivation of liberty. Some questions remain which we need to resolve, however. In particular, how long does a </w:t>
      </w:r>
      <w:r w:rsidR="00626B8C" w:rsidRPr="009871A0">
        <w:rPr>
          <w:sz w:val="22"/>
        </w:rPr>
        <w:lastRenderedPageBreak/>
        <w:t xml:space="preserve">deprivation of liberty have to be to be </w:t>
      </w:r>
      <w:r w:rsidR="001442FD" w:rsidRPr="009871A0">
        <w:rPr>
          <w:sz w:val="22"/>
        </w:rPr>
        <w:t>“</w:t>
      </w:r>
      <w:r w:rsidR="00B04B47" w:rsidRPr="009871A0">
        <w:rPr>
          <w:sz w:val="22"/>
        </w:rPr>
        <w:t>continuous</w:t>
      </w:r>
      <w:r w:rsidR="001442FD" w:rsidRPr="009871A0">
        <w:rPr>
          <w:sz w:val="22"/>
        </w:rPr>
        <w:t>”</w:t>
      </w:r>
      <w:r w:rsidR="00B04B47" w:rsidRPr="009871A0">
        <w:rPr>
          <w:sz w:val="22"/>
        </w:rPr>
        <w:t xml:space="preserve">? The test </w:t>
      </w:r>
      <w:r w:rsidR="00F12A15" w:rsidRPr="009871A0">
        <w:rPr>
          <w:sz w:val="22"/>
        </w:rPr>
        <w:t>established</w:t>
      </w:r>
      <w:r w:rsidR="00B04B47" w:rsidRPr="009871A0">
        <w:rPr>
          <w:sz w:val="22"/>
        </w:rPr>
        <w:t xml:space="preserve"> by the ECtHR </w:t>
      </w:r>
      <w:r w:rsidR="00F12A15" w:rsidRPr="009871A0">
        <w:rPr>
          <w:sz w:val="22"/>
        </w:rPr>
        <w:t>for</w:t>
      </w:r>
      <w:r w:rsidR="00B04B47" w:rsidRPr="009871A0">
        <w:rPr>
          <w:sz w:val="22"/>
        </w:rPr>
        <w:t xml:space="preserve"> </w:t>
      </w:r>
      <w:r w:rsidR="00F12A15" w:rsidRPr="009871A0">
        <w:rPr>
          <w:sz w:val="22"/>
        </w:rPr>
        <w:t xml:space="preserve">non-paradigm </w:t>
      </w:r>
      <w:r w:rsidR="00B04B47" w:rsidRPr="009871A0">
        <w:rPr>
          <w:sz w:val="22"/>
        </w:rPr>
        <w:t>deprivations of liberty provide</w:t>
      </w:r>
      <w:r w:rsidR="00F12A15" w:rsidRPr="009871A0">
        <w:rPr>
          <w:sz w:val="22"/>
        </w:rPr>
        <w:t>s</w:t>
      </w:r>
      <w:r w:rsidR="00B04B47" w:rsidRPr="009871A0">
        <w:rPr>
          <w:sz w:val="22"/>
        </w:rPr>
        <w:t xml:space="preserve"> some assistance.</w:t>
      </w:r>
    </w:p>
    <w:p w14:paraId="1DFC3FD4" w14:textId="77777777" w:rsidR="000308C1" w:rsidRDefault="000308C1" w:rsidP="00984782">
      <w:pPr>
        <w:spacing w:line="480" w:lineRule="auto"/>
        <w:jc w:val="both"/>
      </w:pPr>
    </w:p>
    <w:p w14:paraId="7ABDBFDF" w14:textId="54FFD18C" w:rsidR="0032799E" w:rsidRPr="003A4051" w:rsidRDefault="00B04B47" w:rsidP="004929FB">
      <w:pPr>
        <w:pStyle w:val="Heading2"/>
      </w:pPr>
      <w:r w:rsidRPr="003A4051">
        <w:t xml:space="preserve">The </w:t>
      </w:r>
      <w:r w:rsidR="007E5CA0" w:rsidRPr="003A4051">
        <w:t>f</w:t>
      </w:r>
      <w:r w:rsidR="00741DCB" w:rsidRPr="003A4051">
        <w:t xml:space="preserve">our-part </w:t>
      </w:r>
      <w:r w:rsidR="007E5CA0" w:rsidRPr="003A4051">
        <w:t>ECtHR t</w:t>
      </w:r>
      <w:r w:rsidRPr="003A4051">
        <w:t>est</w:t>
      </w:r>
    </w:p>
    <w:p w14:paraId="3E6591C7" w14:textId="0610BF2E" w:rsidR="00D319C5" w:rsidRDefault="00897D40" w:rsidP="00984782">
      <w:pPr>
        <w:keepNext/>
        <w:widowControl w:val="0"/>
        <w:spacing w:line="480" w:lineRule="auto"/>
        <w:jc w:val="both"/>
        <w:rPr>
          <w:sz w:val="22"/>
        </w:rPr>
      </w:pPr>
      <w:r w:rsidRPr="009871A0">
        <w:rPr>
          <w:sz w:val="22"/>
        </w:rPr>
        <w:t xml:space="preserve">The ECtHR has </w:t>
      </w:r>
      <w:r w:rsidR="00CB355A" w:rsidRPr="009871A0">
        <w:rPr>
          <w:sz w:val="22"/>
        </w:rPr>
        <w:t>devised</w:t>
      </w:r>
      <w:r w:rsidRPr="009871A0">
        <w:rPr>
          <w:sz w:val="22"/>
        </w:rPr>
        <w:t xml:space="preserve"> a four-part test to determine whether a non-paradigm </w:t>
      </w:r>
      <w:r w:rsidR="00CB355A" w:rsidRPr="009871A0">
        <w:rPr>
          <w:sz w:val="22"/>
        </w:rPr>
        <w:t xml:space="preserve">detention </w:t>
      </w:r>
      <w:r w:rsidRPr="009871A0">
        <w:rPr>
          <w:sz w:val="22"/>
        </w:rPr>
        <w:t xml:space="preserve">constitutes a deprivation of liberty: </w:t>
      </w:r>
      <w:r w:rsidR="00D25C21" w:rsidRPr="009871A0">
        <w:rPr>
          <w:sz w:val="22"/>
        </w:rPr>
        <w:t>the duration of the measure;</w:t>
      </w:r>
      <w:r w:rsidR="00CA009A" w:rsidRPr="009871A0">
        <w:rPr>
          <w:sz w:val="22"/>
        </w:rPr>
        <w:t xml:space="preserve"> </w:t>
      </w:r>
      <w:r w:rsidR="00D25C21" w:rsidRPr="009871A0">
        <w:rPr>
          <w:sz w:val="22"/>
        </w:rPr>
        <w:t>its effects</w:t>
      </w:r>
      <w:r w:rsidR="00CA009A" w:rsidRPr="009871A0">
        <w:rPr>
          <w:sz w:val="22"/>
        </w:rPr>
        <w:t>; the type (or nature) of the measure; and the manner of its implementation (or execution)</w:t>
      </w:r>
      <w:r w:rsidRPr="009871A0">
        <w:rPr>
          <w:sz w:val="22"/>
        </w:rPr>
        <w:t>.</w:t>
      </w:r>
      <w:r w:rsidR="00D319C5" w:rsidRPr="009871A0">
        <w:rPr>
          <w:sz w:val="22"/>
        </w:rPr>
        <w:t xml:space="preserve"> </w:t>
      </w:r>
      <w:r w:rsidR="00015AEC">
        <w:rPr>
          <w:sz w:val="22"/>
        </w:rPr>
        <w:t xml:space="preserve">The first mention of the test appears to be in </w:t>
      </w:r>
      <w:r w:rsidR="00015AEC" w:rsidRPr="00015AEC">
        <w:rPr>
          <w:i/>
          <w:sz w:val="22"/>
        </w:rPr>
        <w:t>Engel</w:t>
      </w:r>
      <w:r w:rsidR="00086F5C">
        <w:rPr>
          <w:sz w:val="22"/>
        </w:rPr>
        <w:t>, and it was</w:t>
      </w:r>
      <w:r w:rsidR="00032550">
        <w:rPr>
          <w:sz w:val="22"/>
        </w:rPr>
        <w:t xml:space="preserve"> confirmed in</w:t>
      </w:r>
      <w:r w:rsidR="00015AEC">
        <w:rPr>
          <w:sz w:val="22"/>
        </w:rPr>
        <w:t xml:space="preserve"> </w:t>
      </w:r>
      <w:r w:rsidR="00015AEC" w:rsidRPr="00015AEC">
        <w:rPr>
          <w:i/>
          <w:sz w:val="22"/>
        </w:rPr>
        <w:t>Guzzardi</w:t>
      </w:r>
      <w:r w:rsidR="00015AEC">
        <w:rPr>
          <w:sz w:val="22"/>
        </w:rPr>
        <w:t>.</w:t>
      </w:r>
      <w:r w:rsidR="00015AEC" w:rsidRPr="009871A0">
        <w:rPr>
          <w:rStyle w:val="FootnoteReference"/>
          <w:sz w:val="22"/>
        </w:rPr>
        <w:footnoteReference w:id="53"/>
      </w:r>
      <w:r w:rsidR="00015AEC">
        <w:rPr>
          <w:sz w:val="22"/>
        </w:rPr>
        <w:t xml:space="preserve"> </w:t>
      </w:r>
      <w:r w:rsidR="00F60D2A" w:rsidRPr="009871A0">
        <w:rPr>
          <w:sz w:val="22"/>
        </w:rPr>
        <w:t>Although</w:t>
      </w:r>
      <w:r w:rsidR="00F82241" w:rsidRPr="009871A0">
        <w:rPr>
          <w:sz w:val="22"/>
        </w:rPr>
        <w:t xml:space="preserve"> the test has been used </w:t>
      </w:r>
      <w:r w:rsidR="00F60D2A" w:rsidRPr="009871A0">
        <w:rPr>
          <w:sz w:val="22"/>
        </w:rPr>
        <w:t xml:space="preserve">routinely </w:t>
      </w:r>
      <w:r w:rsidR="00F82241" w:rsidRPr="009871A0">
        <w:rPr>
          <w:sz w:val="22"/>
        </w:rPr>
        <w:t xml:space="preserve">for </w:t>
      </w:r>
      <w:r w:rsidR="004675D7">
        <w:rPr>
          <w:sz w:val="22"/>
        </w:rPr>
        <w:t>over 40 years</w:t>
      </w:r>
      <w:r w:rsidR="00F82241" w:rsidRPr="009871A0">
        <w:rPr>
          <w:sz w:val="22"/>
        </w:rPr>
        <w:t>, there is little discussion in the case</w:t>
      </w:r>
      <w:r w:rsidR="00B83106" w:rsidRPr="009871A0">
        <w:rPr>
          <w:sz w:val="22"/>
        </w:rPr>
        <w:t xml:space="preserve"> </w:t>
      </w:r>
      <w:r w:rsidR="00F82241" w:rsidRPr="009871A0">
        <w:rPr>
          <w:sz w:val="22"/>
        </w:rPr>
        <w:t>law as to the meanings of each of its parts</w:t>
      </w:r>
      <w:r w:rsidR="00165BD5" w:rsidRPr="009871A0">
        <w:rPr>
          <w:sz w:val="22"/>
        </w:rPr>
        <w:t>, certain of which are unclear</w:t>
      </w:r>
      <w:r w:rsidR="00121C9B">
        <w:rPr>
          <w:sz w:val="22"/>
        </w:rPr>
        <w:t xml:space="preserve">, and it could be applied more </w:t>
      </w:r>
      <w:r w:rsidR="000F663B" w:rsidRPr="009871A0">
        <w:rPr>
          <w:sz w:val="22"/>
        </w:rPr>
        <w:t>systematically.</w:t>
      </w:r>
    </w:p>
    <w:p w14:paraId="4664654F" w14:textId="77777777" w:rsidR="0029303F" w:rsidRPr="009871A0" w:rsidRDefault="0029303F" w:rsidP="00984782">
      <w:pPr>
        <w:keepNext/>
        <w:widowControl w:val="0"/>
        <w:spacing w:line="480" w:lineRule="auto"/>
        <w:jc w:val="both"/>
        <w:rPr>
          <w:sz w:val="22"/>
        </w:rPr>
      </w:pPr>
    </w:p>
    <w:p w14:paraId="28736706" w14:textId="6E441EF4" w:rsidR="0029303F" w:rsidRPr="0029303F" w:rsidRDefault="0029303F" w:rsidP="004929FB">
      <w:pPr>
        <w:pStyle w:val="Heading3"/>
      </w:pPr>
      <w:r w:rsidRPr="0029303F">
        <w:t>Duration</w:t>
      </w:r>
    </w:p>
    <w:p w14:paraId="42323FFD" w14:textId="2541FEDD" w:rsidR="002A7634" w:rsidRPr="009871A0" w:rsidRDefault="00B94A35" w:rsidP="0029303F">
      <w:pPr>
        <w:spacing w:line="480" w:lineRule="auto"/>
        <w:jc w:val="both"/>
        <w:rPr>
          <w:sz w:val="22"/>
        </w:rPr>
      </w:pPr>
      <w:r w:rsidRPr="009871A0">
        <w:rPr>
          <w:sz w:val="22"/>
        </w:rPr>
        <w:t>The fact that duration is only one component of the test tells us that it alone is not determinative. A person may be detained for a long time and not be deprived of her liberty, whereas a very short detention may constitute a dep</w:t>
      </w:r>
      <w:r w:rsidR="00930C98" w:rsidRPr="009871A0">
        <w:rPr>
          <w:sz w:val="22"/>
        </w:rPr>
        <w:t>rivation of liberty. That said</w:t>
      </w:r>
      <w:r w:rsidRPr="009871A0">
        <w:rPr>
          <w:sz w:val="22"/>
        </w:rPr>
        <w:t xml:space="preserve">, the longer a detention lasts, </w:t>
      </w:r>
      <w:r w:rsidR="00121C9B">
        <w:rPr>
          <w:sz w:val="22"/>
        </w:rPr>
        <w:t xml:space="preserve">the stronger the case for </w:t>
      </w:r>
      <w:r w:rsidR="00665706">
        <w:rPr>
          <w:sz w:val="22"/>
        </w:rPr>
        <w:t>finding</w:t>
      </w:r>
      <w:r w:rsidR="00121C9B">
        <w:rPr>
          <w:sz w:val="22"/>
        </w:rPr>
        <w:t xml:space="preserve"> that a deprivation has taken place</w:t>
      </w:r>
      <w:r w:rsidR="00771C28" w:rsidRPr="009871A0">
        <w:rPr>
          <w:sz w:val="22"/>
        </w:rPr>
        <w:t xml:space="preserve">; </w:t>
      </w:r>
      <w:r w:rsidRPr="009871A0">
        <w:rPr>
          <w:sz w:val="22"/>
        </w:rPr>
        <w:t xml:space="preserve">a shorter period will require more proof in </w:t>
      </w:r>
      <w:r w:rsidR="00771C28" w:rsidRPr="009871A0">
        <w:rPr>
          <w:sz w:val="22"/>
        </w:rPr>
        <w:t xml:space="preserve">the </w:t>
      </w:r>
      <w:r w:rsidRPr="009871A0">
        <w:rPr>
          <w:sz w:val="22"/>
        </w:rPr>
        <w:t xml:space="preserve">other elements </w:t>
      </w:r>
      <w:r w:rsidR="00771C28" w:rsidRPr="009871A0">
        <w:rPr>
          <w:sz w:val="22"/>
        </w:rPr>
        <w:t>of the test</w:t>
      </w:r>
      <w:r w:rsidRPr="009871A0">
        <w:rPr>
          <w:sz w:val="22"/>
        </w:rPr>
        <w:t xml:space="preserve">. The </w:t>
      </w:r>
      <w:r w:rsidRPr="009871A0">
        <w:rPr>
          <w:i/>
          <w:sz w:val="22"/>
        </w:rPr>
        <w:t>Austin</w:t>
      </w:r>
      <w:r w:rsidRPr="009871A0">
        <w:rPr>
          <w:sz w:val="22"/>
        </w:rPr>
        <w:t xml:space="preserve"> </w:t>
      </w:r>
      <w:r w:rsidR="007E1CDB">
        <w:rPr>
          <w:sz w:val="22"/>
        </w:rPr>
        <w:t xml:space="preserve">applicants </w:t>
      </w:r>
      <w:r w:rsidRPr="009871A0">
        <w:rPr>
          <w:sz w:val="22"/>
        </w:rPr>
        <w:t>were contained for over seven hours. That alone is not enough to cons</w:t>
      </w:r>
      <w:r w:rsidR="00771C28" w:rsidRPr="009871A0">
        <w:rPr>
          <w:sz w:val="22"/>
        </w:rPr>
        <w:t>titute a deprivation of liberty,</w:t>
      </w:r>
      <w:r w:rsidRPr="009871A0">
        <w:rPr>
          <w:sz w:val="22"/>
        </w:rPr>
        <w:t xml:space="preserve"> although, as the </w:t>
      </w:r>
      <w:r w:rsidR="00930C98" w:rsidRPr="009871A0">
        <w:rPr>
          <w:sz w:val="22"/>
        </w:rPr>
        <w:t>ECtHR</w:t>
      </w:r>
      <w:r w:rsidRPr="009871A0">
        <w:rPr>
          <w:sz w:val="22"/>
        </w:rPr>
        <w:t xml:space="preserve"> pointed out, it is indicative of one.</w:t>
      </w:r>
      <w:r w:rsidR="00771C28" w:rsidRPr="009871A0">
        <w:rPr>
          <w:rStyle w:val="FootnoteReference"/>
          <w:sz w:val="22"/>
        </w:rPr>
        <w:footnoteReference w:id="54"/>
      </w:r>
      <w:r w:rsidRPr="009871A0">
        <w:rPr>
          <w:sz w:val="22"/>
        </w:rPr>
        <w:t xml:space="preserve"> </w:t>
      </w:r>
      <w:r w:rsidR="007C72D2" w:rsidRPr="009871A0">
        <w:rPr>
          <w:sz w:val="22"/>
        </w:rPr>
        <w:t>At the other end of the spectrum</w:t>
      </w:r>
      <w:r w:rsidRPr="009871A0">
        <w:rPr>
          <w:sz w:val="22"/>
        </w:rPr>
        <w:t xml:space="preserve">, the </w:t>
      </w:r>
      <w:r w:rsidR="007C72D2" w:rsidRPr="009871A0">
        <w:rPr>
          <w:sz w:val="22"/>
        </w:rPr>
        <w:t>applicants</w:t>
      </w:r>
      <w:r w:rsidRPr="009871A0">
        <w:rPr>
          <w:sz w:val="22"/>
        </w:rPr>
        <w:t xml:space="preserve"> in </w:t>
      </w:r>
      <w:r w:rsidRPr="009871A0">
        <w:rPr>
          <w:i/>
          <w:sz w:val="22"/>
        </w:rPr>
        <w:t>Gillan</w:t>
      </w:r>
      <w:r w:rsidRPr="009871A0">
        <w:rPr>
          <w:sz w:val="22"/>
        </w:rPr>
        <w:t xml:space="preserve"> were only held for a maximum of 30 minutes, yet the ECtHR </w:t>
      </w:r>
      <w:r w:rsidR="002644CC" w:rsidRPr="009871A0">
        <w:rPr>
          <w:sz w:val="22"/>
        </w:rPr>
        <w:t>strongly suggested</w:t>
      </w:r>
      <w:r w:rsidRPr="009871A0">
        <w:rPr>
          <w:sz w:val="22"/>
        </w:rPr>
        <w:t xml:space="preserve"> that a deprivation of liberty had occurred (despite not ruling </w:t>
      </w:r>
      <w:r w:rsidR="005306F8" w:rsidRPr="009871A0">
        <w:rPr>
          <w:sz w:val="22"/>
        </w:rPr>
        <w:t xml:space="preserve">definitively </w:t>
      </w:r>
      <w:r w:rsidRPr="009871A0">
        <w:rPr>
          <w:sz w:val="22"/>
        </w:rPr>
        <w:t>on the issue).</w:t>
      </w:r>
      <w:r w:rsidRPr="009871A0">
        <w:rPr>
          <w:rStyle w:val="FootnoteReference"/>
          <w:sz w:val="22"/>
        </w:rPr>
        <w:footnoteReference w:id="55"/>
      </w:r>
      <w:r w:rsidRPr="009871A0">
        <w:rPr>
          <w:sz w:val="22"/>
        </w:rPr>
        <w:t xml:space="preserve"> </w:t>
      </w:r>
      <w:r w:rsidR="002A7634" w:rsidRPr="009871A0">
        <w:rPr>
          <w:sz w:val="22"/>
        </w:rPr>
        <w:t xml:space="preserve">The coercive nature of the </w:t>
      </w:r>
      <w:r w:rsidR="008C3A14" w:rsidRPr="009871A0">
        <w:rPr>
          <w:sz w:val="22"/>
        </w:rPr>
        <w:t xml:space="preserve">police’s </w:t>
      </w:r>
      <w:r w:rsidR="002A7634" w:rsidRPr="009871A0">
        <w:rPr>
          <w:sz w:val="22"/>
        </w:rPr>
        <w:t xml:space="preserve">stop </w:t>
      </w:r>
      <w:r w:rsidR="002644CC" w:rsidRPr="009871A0">
        <w:rPr>
          <w:sz w:val="22"/>
        </w:rPr>
        <w:t xml:space="preserve">and search (which required no reasonable suspicion) </w:t>
      </w:r>
      <w:r w:rsidR="002A7634" w:rsidRPr="009871A0">
        <w:rPr>
          <w:sz w:val="22"/>
        </w:rPr>
        <w:t xml:space="preserve">was </w:t>
      </w:r>
      <w:r w:rsidR="005306F8" w:rsidRPr="009871A0">
        <w:rPr>
          <w:sz w:val="22"/>
        </w:rPr>
        <w:t>c</w:t>
      </w:r>
      <w:r w:rsidR="003B524D" w:rsidRPr="009871A0">
        <w:rPr>
          <w:sz w:val="22"/>
        </w:rPr>
        <w:t>entral</w:t>
      </w:r>
      <w:r w:rsidR="005306F8" w:rsidRPr="009871A0">
        <w:rPr>
          <w:sz w:val="22"/>
        </w:rPr>
        <w:t xml:space="preserve"> </w:t>
      </w:r>
      <w:r w:rsidR="003B524D" w:rsidRPr="009871A0">
        <w:rPr>
          <w:sz w:val="22"/>
        </w:rPr>
        <w:t>to</w:t>
      </w:r>
      <w:r w:rsidR="005306F8" w:rsidRPr="009871A0">
        <w:rPr>
          <w:sz w:val="22"/>
        </w:rPr>
        <w:t xml:space="preserve"> that suggestion</w:t>
      </w:r>
      <w:r w:rsidR="002A7634" w:rsidRPr="009871A0">
        <w:rPr>
          <w:sz w:val="22"/>
        </w:rPr>
        <w:t>.</w:t>
      </w:r>
      <w:r w:rsidR="002A7634" w:rsidRPr="009871A0">
        <w:rPr>
          <w:rStyle w:val="FootnoteReference"/>
          <w:sz w:val="22"/>
        </w:rPr>
        <w:footnoteReference w:id="56"/>
      </w:r>
      <w:r w:rsidR="002A7634" w:rsidRPr="009871A0">
        <w:rPr>
          <w:sz w:val="22"/>
        </w:rPr>
        <w:t xml:space="preserve"> </w:t>
      </w:r>
      <w:r w:rsidR="00250DF3" w:rsidRPr="009871A0">
        <w:rPr>
          <w:sz w:val="22"/>
        </w:rPr>
        <w:t xml:space="preserve">Although the </w:t>
      </w:r>
      <w:r w:rsidR="007E1CDB" w:rsidRPr="007E1CDB">
        <w:rPr>
          <w:i/>
          <w:sz w:val="22"/>
        </w:rPr>
        <w:t>Gillan</w:t>
      </w:r>
      <w:r w:rsidR="007E1CDB">
        <w:rPr>
          <w:sz w:val="22"/>
        </w:rPr>
        <w:t xml:space="preserve"> </w:t>
      </w:r>
      <w:r w:rsidR="00250DF3" w:rsidRPr="009871A0">
        <w:rPr>
          <w:sz w:val="22"/>
        </w:rPr>
        <w:t>applicants we</w:t>
      </w:r>
      <w:r w:rsidR="00734718" w:rsidRPr="009871A0">
        <w:rPr>
          <w:sz w:val="22"/>
        </w:rPr>
        <w:t>re not formally arrested</w:t>
      </w:r>
      <w:r w:rsidR="00250DF3" w:rsidRPr="009871A0">
        <w:rPr>
          <w:sz w:val="22"/>
        </w:rPr>
        <w:t xml:space="preserve">, </w:t>
      </w:r>
      <w:r w:rsidR="00250DF3" w:rsidRPr="009871A0">
        <w:rPr>
          <w:sz w:val="22"/>
        </w:rPr>
        <w:lastRenderedPageBreak/>
        <w:t xml:space="preserve">their treatment was </w:t>
      </w:r>
      <w:r w:rsidR="002644CC" w:rsidRPr="009871A0">
        <w:rPr>
          <w:sz w:val="22"/>
        </w:rPr>
        <w:t xml:space="preserve">sufficiently </w:t>
      </w:r>
      <w:r w:rsidR="00734718" w:rsidRPr="009871A0">
        <w:rPr>
          <w:sz w:val="22"/>
        </w:rPr>
        <w:t>similar to a</w:t>
      </w:r>
      <w:r w:rsidR="002644CC" w:rsidRPr="009871A0">
        <w:rPr>
          <w:sz w:val="22"/>
        </w:rPr>
        <w:t>r</w:t>
      </w:r>
      <w:r w:rsidR="00734718" w:rsidRPr="009871A0">
        <w:rPr>
          <w:sz w:val="22"/>
        </w:rPr>
        <w:t>rest</w:t>
      </w:r>
      <w:r w:rsidR="002644CC" w:rsidRPr="009871A0">
        <w:rPr>
          <w:sz w:val="22"/>
        </w:rPr>
        <w:t xml:space="preserve"> that the</w:t>
      </w:r>
      <w:r w:rsidR="00250DF3" w:rsidRPr="009871A0">
        <w:rPr>
          <w:sz w:val="22"/>
        </w:rPr>
        <w:t xml:space="preserve"> short period </w:t>
      </w:r>
      <w:r w:rsidR="00E30826" w:rsidRPr="009871A0">
        <w:rPr>
          <w:sz w:val="22"/>
        </w:rPr>
        <w:t xml:space="preserve">likely </w:t>
      </w:r>
      <w:r w:rsidR="00734718" w:rsidRPr="009871A0">
        <w:rPr>
          <w:sz w:val="22"/>
        </w:rPr>
        <w:t>constituted</w:t>
      </w:r>
      <w:r w:rsidR="00250DF3" w:rsidRPr="009871A0">
        <w:rPr>
          <w:sz w:val="22"/>
        </w:rPr>
        <w:t xml:space="preserve"> </w:t>
      </w:r>
      <w:r w:rsidR="005306F8" w:rsidRPr="009871A0">
        <w:rPr>
          <w:sz w:val="22"/>
        </w:rPr>
        <w:t xml:space="preserve">a </w:t>
      </w:r>
      <w:r w:rsidR="00250DF3" w:rsidRPr="009871A0">
        <w:rPr>
          <w:sz w:val="22"/>
        </w:rPr>
        <w:t>deprivation of liberty.</w:t>
      </w:r>
      <w:r w:rsidR="00250DF3" w:rsidRPr="009871A0">
        <w:rPr>
          <w:rStyle w:val="FootnoteReference"/>
          <w:sz w:val="22"/>
        </w:rPr>
        <w:footnoteReference w:id="57"/>
      </w:r>
      <w:r w:rsidR="00250DF3" w:rsidRPr="009871A0">
        <w:rPr>
          <w:sz w:val="22"/>
        </w:rPr>
        <w:t xml:space="preserve"> </w:t>
      </w:r>
      <w:r w:rsidR="007E1CDB">
        <w:rPr>
          <w:sz w:val="22"/>
        </w:rPr>
        <w:t>But</w:t>
      </w:r>
      <w:r w:rsidR="00423C76" w:rsidRPr="009871A0">
        <w:rPr>
          <w:sz w:val="22"/>
        </w:rPr>
        <w:t xml:space="preserve"> not all measures of such short duration will be deprivations of liberty. Brief</w:t>
      </w:r>
      <w:r w:rsidR="002A7634" w:rsidRPr="009871A0">
        <w:rPr>
          <w:sz w:val="22"/>
        </w:rPr>
        <w:t xml:space="preserve"> stops</w:t>
      </w:r>
      <w:r w:rsidR="00423C76" w:rsidRPr="009871A0">
        <w:rPr>
          <w:sz w:val="22"/>
        </w:rPr>
        <w:t xml:space="preserve"> </w:t>
      </w:r>
      <w:r w:rsidR="005306F8" w:rsidRPr="009871A0">
        <w:rPr>
          <w:sz w:val="22"/>
        </w:rPr>
        <w:t>with</w:t>
      </w:r>
      <w:r w:rsidR="00423C76" w:rsidRPr="009871A0">
        <w:rPr>
          <w:sz w:val="22"/>
        </w:rPr>
        <w:t xml:space="preserve"> a </w:t>
      </w:r>
      <w:r w:rsidR="005306F8" w:rsidRPr="009871A0">
        <w:rPr>
          <w:sz w:val="22"/>
        </w:rPr>
        <w:t xml:space="preserve">less </w:t>
      </w:r>
      <w:r w:rsidR="00423C76" w:rsidRPr="009871A0">
        <w:rPr>
          <w:sz w:val="22"/>
        </w:rPr>
        <w:t>coercive element</w:t>
      </w:r>
      <w:r w:rsidR="006E0C18" w:rsidRPr="009871A0">
        <w:rPr>
          <w:sz w:val="22"/>
        </w:rPr>
        <w:t xml:space="preserve"> (sometimes described as </w:t>
      </w:r>
      <w:r w:rsidR="001442FD" w:rsidRPr="009871A0">
        <w:rPr>
          <w:sz w:val="22"/>
        </w:rPr>
        <w:t>“</w:t>
      </w:r>
      <w:r w:rsidR="002A7634" w:rsidRPr="009871A0">
        <w:rPr>
          <w:sz w:val="22"/>
        </w:rPr>
        <w:t>transitory detention[s]</w:t>
      </w:r>
      <w:r w:rsidR="001442FD" w:rsidRPr="009871A0">
        <w:rPr>
          <w:sz w:val="22"/>
        </w:rPr>
        <w:t>”</w:t>
      </w:r>
      <w:r w:rsidR="002A7634" w:rsidRPr="009871A0">
        <w:rPr>
          <w:rStyle w:val="FootnoteReference"/>
          <w:sz w:val="22"/>
        </w:rPr>
        <w:footnoteReference w:id="58"/>
      </w:r>
      <w:r w:rsidR="002644CC" w:rsidRPr="009871A0">
        <w:rPr>
          <w:sz w:val="22"/>
        </w:rPr>
        <w:t>) are mere restrictions of</w:t>
      </w:r>
      <w:r w:rsidR="00423C76" w:rsidRPr="009871A0">
        <w:rPr>
          <w:sz w:val="22"/>
        </w:rPr>
        <w:t xml:space="preserve"> (or interferences with)</w:t>
      </w:r>
      <w:r w:rsidR="002644CC" w:rsidRPr="009871A0">
        <w:rPr>
          <w:sz w:val="22"/>
        </w:rPr>
        <w:t xml:space="preserve"> liberty and not deprivations of</w:t>
      </w:r>
      <w:r w:rsidR="002A7634" w:rsidRPr="009871A0">
        <w:rPr>
          <w:sz w:val="22"/>
        </w:rPr>
        <w:t xml:space="preserve"> liberty </w:t>
      </w:r>
      <w:r w:rsidR="004C2D54" w:rsidRPr="009871A0">
        <w:rPr>
          <w:sz w:val="22"/>
        </w:rPr>
        <w:t>according to the four-part test, as we shall see later.</w:t>
      </w:r>
    </w:p>
    <w:p w14:paraId="2BF0EDBE" w14:textId="7E7C96D1" w:rsidR="00B94A35" w:rsidRDefault="00B94A35" w:rsidP="00984782">
      <w:pPr>
        <w:spacing w:line="480" w:lineRule="auto"/>
        <w:ind w:firstLine="720"/>
        <w:jc w:val="both"/>
        <w:rPr>
          <w:sz w:val="22"/>
        </w:rPr>
      </w:pPr>
      <w:r w:rsidRPr="009871A0">
        <w:rPr>
          <w:sz w:val="22"/>
        </w:rPr>
        <w:t>Setting a firm time</w:t>
      </w:r>
      <w:r w:rsidR="00750DC5" w:rsidRPr="009871A0">
        <w:rPr>
          <w:sz w:val="22"/>
        </w:rPr>
        <w:t xml:space="preserve"> be</w:t>
      </w:r>
      <w:r w:rsidR="003A71D8" w:rsidRPr="009871A0">
        <w:rPr>
          <w:sz w:val="22"/>
        </w:rPr>
        <w:t>low</w:t>
      </w:r>
      <w:r w:rsidR="00750DC5" w:rsidRPr="009871A0">
        <w:rPr>
          <w:sz w:val="22"/>
        </w:rPr>
        <w:t xml:space="preserve"> which a deprivation could never occur or above which a deprivation will always occur</w:t>
      </w:r>
      <w:r w:rsidRPr="009871A0">
        <w:rPr>
          <w:sz w:val="22"/>
        </w:rPr>
        <w:t xml:space="preserve"> is impossible given the holistic nature of the </w:t>
      </w:r>
      <w:r w:rsidR="002644CC" w:rsidRPr="009871A0">
        <w:rPr>
          <w:sz w:val="22"/>
        </w:rPr>
        <w:t xml:space="preserve">four-part </w:t>
      </w:r>
      <w:r w:rsidRPr="009871A0">
        <w:rPr>
          <w:sz w:val="22"/>
        </w:rPr>
        <w:t xml:space="preserve">test. The </w:t>
      </w:r>
      <w:r w:rsidR="00C677B0" w:rsidRPr="009871A0">
        <w:rPr>
          <w:sz w:val="22"/>
        </w:rPr>
        <w:t>UKHL</w:t>
      </w:r>
      <w:r w:rsidRPr="009871A0">
        <w:rPr>
          <w:sz w:val="22"/>
        </w:rPr>
        <w:t xml:space="preserve"> in </w:t>
      </w:r>
      <w:r w:rsidRPr="009871A0">
        <w:rPr>
          <w:i/>
          <w:sz w:val="22"/>
        </w:rPr>
        <w:t>Austin</w:t>
      </w:r>
      <w:r w:rsidRPr="009871A0">
        <w:rPr>
          <w:sz w:val="22"/>
        </w:rPr>
        <w:t xml:space="preserve"> </w:t>
      </w:r>
      <w:r w:rsidR="00750DC5" w:rsidRPr="009871A0">
        <w:rPr>
          <w:sz w:val="22"/>
        </w:rPr>
        <w:t>therefore erred in</w:t>
      </w:r>
      <w:r w:rsidRPr="009871A0">
        <w:rPr>
          <w:sz w:val="22"/>
        </w:rPr>
        <w:t xml:space="preserve"> holding that there could be </w:t>
      </w:r>
      <w:r w:rsidR="00DB4959" w:rsidRPr="009871A0">
        <w:rPr>
          <w:sz w:val="22"/>
        </w:rPr>
        <w:t>“</w:t>
      </w:r>
      <w:r w:rsidRPr="009871A0">
        <w:rPr>
          <w:sz w:val="22"/>
        </w:rPr>
        <w:t>no question</w:t>
      </w:r>
      <w:r w:rsidR="00DB4959" w:rsidRPr="009871A0">
        <w:rPr>
          <w:sz w:val="22"/>
        </w:rPr>
        <w:t>”</w:t>
      </w:r>
      <w:r w:rsidRPr="009871A0">
        <w:rPr>
          <w:sz w:val="22"/>
        </w:rPr>
        <w:t xml:space="preserve"> of there being a deprivation if the </w:t>
      </w:r>
      <w:r w:rsidR="00750DC5" w:rsidRPr="009871A0">
        <w:rPr>
          <w:sz w:val="22"/>
        </w:rPr>
        <w:t>app</w:t>
      </w:r>
      <w:r w:rsidR="002644CC" w:rsidRPr="009871A0">
        <w:rPr>
          <w:sz w:val="22"/>
        </w:rPr>
        <w:t>ellants</w:t>
      </w:r>
      <w:r w:rsidRPr="009871A0">
        <w:rPr>
          <w:sz w:val="22"/>
        </w:rPr>
        <w:t xml:space="preserve"> </w:t>
      </w:r>
      <w:r w:rsidR="00750DC5" w:rsidRPr="009871A0">
        <w:rPr>
          <w:sz w:val="22"/>
        </w:rPr>
        <w:t>had only been</w:t>
      </w:r>
      <w:r w:rsidRPr="009871A0">
        <w:rPr>
          <w:sz w:val="22"/>
        </w:rPr>
        <w:t xml:space="preserve"> held for 20 minutes.</w:t>
      </w:r>
      <w:r w:rsidRPr="009871A0">
        <w:rPr>
          <w:rStyle w:val="FootnoteReference"/>
          <w:sz w:val="22"/>
        </w:rPr>
        <w:footnoteReference w:id="59"/>
      </w:r>
      <w:r w:rsidRPr="009871A0">
        <w:rPr>
          <w:sz w:val="22"/>
        </w:rPr>
        <w:t xml:space="preserve"> </w:t>
      </w:r>
      <w:r w:rsidR="00750DC5" w:rsidRPr="009871A0">
        <w:rPr>
          <w:sz w:val="22"/>
        </w:rPr>
        <w:t>T</w:t>
      </w:r>
      <w:r w:rsidRPr="009871A0">
        <w:rPr>
          <w:sz w:val="22"/>
        </w:rPr>
        <w:t xml:space="preserve">hat </w:t>
      </w:r>
      <w:r w:rsidR="00E30826" w:rsidRPr="009871A0">
        <w:rPr>
          <w:sz w:val="22"/>
        </w:rPr>
        <w:t>conclusion</w:t>
      </w:r>
      <w:r w:rsidR="00750DC5" w:rsidRPr="009871A0">
        <w:rPr>
          <w:sz w:val="22"/>
        </w:rPr>
        <w:t xml:space="preserve"> f</w:t>
      </w:r>
      <w:r w:rsidRPr="009871A0">
        <w:rPr>
          <w:sz w:val="22"/>
        </w:rPr>
        <w:t>ollow</w:t>
      </w:r>
      <w:r w:rsidR="00750DC5" w:rsidRPr="009871A0">
        <w:rPr>
          <w:sz w:val="22"/>
        </w:rPr>
        <w:t>s neither from the ECtHR test</w:t>
      </w:r>
      <w:r w:rsidR="0054302B" w:rsidRPr="009871A0">
        <w:rPr>
          <w:sz w:val="22"/>
        </w:rPr>
        <w:t>, nor</w:t>
      </w:r>
      <w:r w:rsidRPr="009871A0">
        <w:rPr>
          <w:sz w:val="22"/>
        </w:rPr>
        <w:t xml:space="preserve"> from the </w:t>
      </w:r>
      <w:r w:rsidR="00E3315D" w:rsidRPr="009871A0">
        <w:rPr>
          <w:sz w:val="22"/>
        </w:rPr>
        <w:t>UK</w:t>
      </w:r>
      <w:r w:rsidR="00C677B0" w:rsidRPr="009871A0">
        <w:rPr>
          <w:sz w:val="22"/>
        </w:rPr>
        <w:t>HL</w:t>
      </w:r>
      <w:r w:rsidR="0054302B" w:rsidRPr="009871A0">
        <w:rPr>
          <w:sz w:val="22"/>
        </w:rPr>
        <w:t>’</w:t>
      </w:r>
      <w:r w:rsidR="00C677B0" w:rsidRPr="009871A0">
        <w:rPr>
          <w:sz w:val="22"/>
        </w:rPr>
        <w:t>s</w:t>
      </w:r>
      <w:r w:rsidRPr="009871A0">
        <w:rPr>
          <w:sz w:val="22"/>
        </w:rPr>
        <w:t xml:space="preserve"> own reasoning. If the lengthy deprivation in </w:t>
      </w:r>
      <w:r w:rsidRPr="009871A0">
        <w:rPr>
          <w:i/>
          <w:sz w:val="22"/>
        </w:rPr>
        <w:t xml:space="preserve">Austin </w:t>
      </w:r>
      <w:r w:rsidRPr="009871A0">
        <w:rPr>
          <w:sz w:val="22"/>
        </w:rPr>
        <w:t xml:space="preserve">was lawful because it was not arbitrary (which, as </w:t>
      </w:r>
      <w:r w:rsidR="00CA009A" w:rsidRPr="009871A0">
        <w:rPr>
          <w:sz w:val="22"/>
        </w:rPr>
        <w:t>we have already seen</w:t>
      </w:r>
      <w:r w:rsidRPr="009871A0">
        <w:rPr>
          <w:sz w:val="22"/>
        </w:rPr>
        <w:t>, is based on</w:t>
      </w:r>
      <w:r w:rsidR="00CA009A" w:rsidRPr="009871A0">
        <w:rPr>
          <w:sz w:val="22"/>
        </w:rPr>
        <w:t xml:space="preserve"> flawed reasoning), then </w:t>
      </w:r>
      <w:r w:rsidRPr="009871A0">
        <w:rPr>
          <w:sz w:val="22"/>
        </w:rPr>
        <w:t xml:space="preserve">an arbitrary detention of any </w:t>
      </w:r>
      <w:r w:rsidR="001442FD" w:rsidRPr="009871A0">
        <w:rPr>
          <w:sz w:val="22"/>
        </w:rPr>
        <w:t>“</w:t>
      </w:r>
      <w:r w:rsidR="00CA009A" w:rsidRPr="009871A0">
        <w:rPr>
          <w:sz w:val="22"/>
        </w:rPr>
        <w:t>not negligible</w:t>
      </w:r>
      <w:r w:rsidR="001442FD" w:rsidRPr="009871A0">
        <w:rPr>
          <w:sz w:val="22"/>
        </w:rPr>
        <w:t>”</w:t>
      </w:r>
      <w:r w:rsidR="00CA009A" w:rsidRPr="009871A0">
        <w:rPr>
          <w:rStyle w:val="FootnoteReference"/>
          <w:sz w:val="22"/>
        </w:rPr>
        <w:footnoteReference w:id="60"/>
      </w:r>
      <w:r w:rsidR="00CA009A" w:rsidRPr="009871A0">
        <w:rPr>
          <w:sz w:val="22"/>
        </w:rPr>
        <w:t xml:space="preserve"> </w:t>
      </w:r>
      <w:r w:rsidRPr="009871A0">
        <w:rPr>
          <w:sz w:val="22"/>
        </w:rPr>
        <w:t>length (even 20 minutes</w:t>
      </w:r>
      <w:r w:rsidR="00CA009A" w:rsidRPr="009871A0">
        <w:rPr>
          <w:sz w:val="22"/>
        </w:rPr>
        <w:t xml:space="preserve">) </w:t>
      </w:r>
      <w:r w:rsidRPr="009871A0">
        <w:rPr>
          <w:sz w:val="22"/>
        </w:rPr>
        <w:t xml:space="preserve">would </w:t>
      </w:r>
      <w:r w:rsidR="0054302B" w:rsidRPr="009871A0">
        <w:rPr>
          <w:sz w:val="22"/>
        </w:rPr>
        <w:t xml:space="preserve">have </w:t>
      </w:r>
      <w:r w:rsidRPr="009871A0">
        <w:rPr>
          <w:sz w:val="22"/>
        </w:rPr>
        <w:t>be</w:t>
      </w:r>
      <w:r w:rsidR="0054302B" w:rsidRPr="009871A0">
        <w:rPr>
          <w:sz w:val="22"/>
        </w:rPr>
        <w:t>en</w:t>
      </w:r>
      <w:r w:rsidR="002644CC" w:rsidRPr="009871A0">
        <w:rPr>
          <w:sz w:val="22"/>
        </w:rPr>
        <w:t xml:space="preserve"> a deprivation of liberty.</w:t>
      </w:r>
    </w:p>
    <w:p w14:paraId="31896843" w14:textId="77777777" w:rsidR="0029303F" w:rsidRPr="009871A0" w:rsidRDefault="0029303F" w:rsidP="00984782">
      <w:pPr>
        <w:spacing w:line="480" w:lineRule="auto"/>
        <w:ind w:firstLine="720"/>
        <w:jc w:val="both"/>
        <w:rPr>
          <w:sz w:val="22"/>
        </w:rPr>
      </w:pPr>
    </w:p>
    <w:p w14:paraId="148F6C7B" w14:textId="218F851A" w:rsidR="0029303F" w:rsidRPr="0029303F" w:rsidRDefault="0029303F" w:rsidP="004929FB">
      <w:pPr>
        <w:pStyle w:val="Heading3"/>
      </w:pPr>
      <w:r w:rsidRPr="0029303F">
        <w:t>Effect</w:t>
      </w:r>
      <w:r w:rsidR="00EB36A6">
        <w:t>s</w:t>
      </w:r>
    </w:p>
    <w:p w14:paraId="0D721E84" w14:textId="1033B95B" w:rsidR="00651BC4" w:rsidRPr="009871A0" w:rsidRDefault="0054302B" w:rsidP="0029303F">
      <w:pPr>
        <w:spacing w:line="480" w:lineRule="auto"/>
        <w:jc w:val="both"/>
        <w:rPr>
          <w:sz w:val="22"/>
        </w:rPr>
      </w:pPr>
      <w:r w:rsidRPr="009871A0">
        <w:rPr>
          <w:sz w:val="22"/>
        </w:rPr>
        <w:t>T</w:t>
      </w:r>
      <w:r w:rsidR="00B94A35" w:rsidRPr="009871A0">
        <w:rPr>
          <w:sz w:val="22"/>
        </w:rPr>
        <w:t xml:space="preserve">he </w:t>
      </w:r>
      <w:r w:rsidR="001442FD" w:rsidRPr="009871A0">
        <w:rPr>
          <w:sz w:val="22"/>
        </w:rPr>
        <w:t>“</w:t>
      </w:r>
      <w:r w:rsidR="00B94A35" w:rsidRPr="009871A0">
        <w:rPr>
          <w:sz w:val="22"/>
        </w:rPr>
        <w:t>effect</w:t>
      </w:r>
      <w:r w:rsidR="001442FD" w:rsidRPr="009871A0">
        <w:rPr>
          <w:sz w:val="22"/>
        </w:rPr>
        <w:t>”</w:t>
      </w:r>
      <w:r w:rsidRPr="009871A0">
        <w:rPr>
          <w:sz w:val="22"/>
        </w:rPr>
        <w:t xml:space="preserve"> part of the test was also easily satisfied</w:t>
      </w:r>
      <w:r w:rsidR="002644CC" w:rsidRPr="009871A0">
        <w:rPr>
          <w:sz w:val="22"/>
        </w:rPr>
        <w:t xml:space="preserve"> in </w:t>
      </w:r>
      <w:r w:rsidR="002644CC" w:rsidRPr="009871A0">
        <w:rPr>
          <w:i/>
          <w:sz w:val="22"/>
        </w:rPr>
        <w:t>Austin</w:t>
      </w:r>
      <w:r w:rsidR="00B94A35" w:rsidRPr="009871A0">
        <w:rPr>
          <w:sz w:val="22"/>
        </w:rPr>
        <w:t>.</w:t>
      </w:r>
      <w:r w:rsidR="00771C28" w:rsidRPr="009871A0">
        <w:rPr>
          <w:rStyle w:val="FootnoteReference"/>
          <w:sz w:val="22"/>
        </w:rPr>
        <w:footnoteReference w:id="61"/>
      </w:r>
      <w:r w:rsidR="00B94A35" w:rsidRPr="009871A0">
        <w:rPr>
          <w:sz w:val="22"/>
        </w:rPr>
        <w:t xml:space="preserve"> </w:t>
      </w:r>
      <w:r w:rsidR="005B51FA" w:rsidRPr="009871A0">
        <w:rPr>
          <w:sz w:val="22"/>
        </w:rPr>
        <w:t>As the</w:t>
      </w:r>
      <w:r w:rsidR="00032550">
        <w:rPr>
          <w:sz w:val="22"/>
        </w:rPr>
        <w:t xml:space="preserve"> first instance</w:t>
      </w:r>
      <w:r w:rsidR="005B51FA" w:rsidRPr="009871A0">
        <w:rPr>
          <w:sz w:val="22"/>
        </w:rPr>
        <w:t xml:space="preserve"> judge noted, there had been a </w:t>
      </w:r>
      <w:r w:rsidR="001442FD" w:rsidRPr="009871A0">
        <w:rPr>
          <w:sz w:val="22"/>
        </w:rPr>
        <w:t>“</w:t>
      </w:r>
      <w:r w:rsidR="005B51FA" w:rsidRPr="009871A0">
        <w:rPr>
          <w:sz w:val="22"/>
        </w:rPr>
        <w:t>serious interference with human dignity</w:t>
      </w:r>
      <w:r w:rsidR="001442FD" w:rsidRPr="009871A0">
        <w:rPr>
          <w:sz w:val="22"/>
        </w:rPr>
        <w:t>”</w:t>
      </w:r>
      <w:r w:rsidR="005B51FA" w:rsidRPr="009871A0">
        <w:rPr>
          <w:sz w:val="22"/>
        </w:rPr>
        <w:t>.</w:t>
      </w:r>
      <w:r w:rsidR="005B51FA" w:rsidRPr="009871A0">
        <w:rPr>
          <w:rStyle w:val="FootnoteReference"/>
          <w:sz w:val="22"/>
        </w:rPr>
        <w:footnoteReference w:id="62"/>
      </w:r>
      <w:r w:rsidR="005B51FA" w:rsidRPr="009871A0">
        <w:rPr>
          <w:sz w:val="22"/>
        </w:rPr>
        <w:t xml:space="preserve"> </w:t>
      </w:r>
      <w:r w:rsidR="00B94A35" w:rsidRPr="009871A0">
        <w:rPr>
          <w:sz w:val="22"/>
        </w:rPr>
        <w:t xml:space="preserve">The </w:t>
      </w:r>
      <w:r w:rsidRPr="009871A0">
        <w:rPr>
          <w:sz w:val="22"/>
        </w:rPr>
        <w:t xml:space="preserve">conditions </w:t>
      </w:r>
      <w:r w:rsidR="005B51FA" w:rsidRPr="009871A0">
        <w:rPr>
          <w:sz w:val="22"/>
        </w:rPr>
        <w:t xml:space="preserve">were particularly uncomfortable, </w:t>
      </w:r>
      <w:r w:rsidRPr="009871A0">
        <w:rPr>
          <w:sz w:val="22"/>
        </w:rPr>
        <w:t xml:space="preserve">including </w:t>
      </w:r>
      <w:r w:rsidR="005B51FA" w:rsidRPr="009871A0">
        <w:rPr>
          <w:sz w:val="22"/>
        </w:rPr>
        <w:t>a</w:t>
      </w:r>
      <w:r w:rsidR="00E30826" w:rsidRPr="009871A0">
        <w:rPr>
          <w:sz w:val="22"/>
        </w:rPr>
        <w:t xml:space="preserve">n absence </w:t>
      </w:r>
      <w:r w:rsidRPr="009871A0">
        <w:rPr>
          <w:sz w:val="22"/>
        </w:rPr>
        <w:t xml:space="preserve">of </w:t>
      </w:r>
      <w:r w:rsidR="005B51FA" w:rsidRPr="009871A0">
        <w:rPr>
          <w:sz w:val="22"/>
        </w:rPr>
        <w:t>toilets, water, food and shelter (when it was cold and raining)</w:t>
      </w:r>
      <w:r w:rsidR="00750DC5" w:rsidRPr="009871A0">
        <w:rPr>
          <w:sz w:val="22"/>
        </w:rPr>
        <w:t xml:space="preserve">. </w:t>
      </w:r>
      <w:r w:rsidR="00A22F18" w:rsidRPr="009871A0">
        <w:rPr>
          <w:sz w:val="22"/>
        </w:rPr>
        <w:t xml:space="preserve">But </w:t>
      </w:r>
      <w:r w:rsidR="008B257E" w:rsidRPr="009871A0">
        <w:rPr>
          <w:sz w:val="22"/>
        </w:rPr>
        <w:t>t</w:t>
      </w:r>
      <w:r w:rsidR="00C36278" w:rsidRPr="009871A0">
        <w:rPr>
          <w:sz w:val="22"/>
        </w:rPr>
        <w:t xml:space="preserve">he </w:t>
      </w:r>
      <w:r w:rsidR="00C36278" w:rsidRPr="009871A0">
        <w:rPr>
          <w:i/>
          <w:sz w:val="22"/>
        </w:rPr>
        <w:t>Austin</w:t>
      </w:r>
      <w:r w:rsidR="00C36278" w:rsidRPr="009871A0">
        <w:rPr>
          <w:sz w:val="22"/>
        </w:rPr>
        <w:t xml:space="preserve"> </w:t>
      </w:r>
      <w:r w:rsidR="00382B66">
        <w:rPr>
          <w:sz w:val="22"/>
        </w:rPr>
        <w:t xml:space="preserve">courts </w:t>
      </w:r>
      <w:r w:rsidR="00C36278" w:rsidRPr="009871A0">
        <w:rPr>
          <w:sz w:val="22"/>
        </w:rPr>
        <w:t xml:space="preserve">erred </w:t>
      </w:r>
      <w:r w:rsidR="002644CC" w:rsidRPr="009871A0">
        <w:rPr>
          <w:sz w:val="22"/>
        </w:rPr>
        <w:t xml:space="preserve">in comparing the effects on the applicants to various </w:t>
      </w:r>
      <w:r w:rsidR="00C36278" w:rsidRPr="009871A0">
        <w:rPr>
          <w:sz w:val="22"/>
        </w:rPr>
        <w:t>hypotheticals</w:t>
      </w:r>
      <w:r w:rsidR="008B257E" w:rsidRPr="009871A0">
        <w:rPr>
          <w:sz w:val="22"/>
        </w:rPr>
        <w:t xml:space="preserve"> of lesser </w:t>
      </w:r>
      <w:r w:rsidR="001442FD" w:rsidRPr="009871A0">
        <w:rPr>
          <w:sz w:val="22"/>
        </w:rPr>
        <w:t>“</w:t>
      </w:r>
      <w:r w:rsidR="008B257E" w:rsidRPr="009871A0">
        <w:rPr>
          <w:sz w:val="22"/>
        </w:rPr>
        <w:t>effect</w:t>
      </w:r>
      <w:r w:rsidR="001442FD" w:rsidRPr="009871A0">
        <w:rPr>
          <w:sz w:val="22"/>
        </w:rPr>
        <w:t>”</w:t>
      </w:r>
      <w:r w:rsidR="008B257E" w:rsidRPr="009871A0">
        <w:rPr>
          <w:sz w:val="22"/>
        </w:rPr>
        <w:t xml:space="preserve">, thus undermining the </w:t>
      </w:r>
      <w:r w:rsidR="005B51FA" w:rsidRPr="009871A0">
        <w:rPr>
          <w:sz w:val="22"/>
        </w:rPr>
        <w:t>actual conditions endured</w:t>
      </w:r>
      <w:r w:rsidR="00C36278" w:rsidRPr="009871A0">
        <w:rPr>
          <w:sz w:val="22"/>
        </w:rPr>
        <w:t>. At first instance, for example, Tugendhat J</w:t>
      </w:r>
      <w:r w:rsidR="002F40B8">
        <w:rPr>
          <w:sz w:val="22"/>
        </w:rPr>
        <w:t>.</w:t>
      </w:r>
      <w:r w:rsidR="00C36278" w:rsidRPr="009871A0">
        <w:rPr>
          <w:sz w:val="22"/>
        </w:rPr>
        <w:t xml:space="preserve"> </w:t>
      </w:r>
      <w:r w:rsidR="00C36278" w:rsidRPr="009871A0">
        <w:rPr>
          <w:sz w:val="22"/>
        </w:rPr>
        <w:lastRenderedPageBreak/>
        <w:t xml:space="preserve">compared the </w:t>
      </w:r>
      <w:r w:rsidR="00E764C3" w:rsidRPr="009871A0">
        <w:rPr>
          <w:sz w:val="22"/>
        </w:rPr>
        <w:t>claimants’</w:t>
      </w:r>
      <w:r w:rsidR="00C36278" w:rsidRPr="009871A0">
        <w:rPr>
          <w:sz w:val="22"/>
        </w:rPr>
        <w:t xml:space="preserve"> </w:t>
      </w:r>
      <w:r w:rsidR="00FF1DA3" w:rsidRPr="009871A0">
        <w:rPr>
          <w:sz w:val="22"/>
        </w:rPr>
        <w:t>situation to</w:t>
      </w:r>
      <w:r w:rsidR="00C36278" w:rsidRPr="009871A0">
        <w:rPr>
          <w:sz w:val="22"/>
        </w:rPr>
        <w:t xml:space="preserve"> </w:t>
      </w:r>
      <w:r w:rsidR="00E764C3" w:rsidRPr="009871A0">
        <w:rPr>
          <w:sz w:val="22"/>
        </w:rPr>
        <w:t>a flight cancellation</w:t>
      </w:r>
      <w:r w:rsidR="00FF1DA3" w:rsidRPr="009871A0">
        <w:rPr>
          <w:sz w:val="22"/>
        </w:rPr>
        <w:t xml:space="preserve"> at an airport</w:t>
      </w:r>
      <w:r w:rsidR="00C36278" w:rsidRPr="009871A0">
        <w:rPr>
          <w:sz w:val="22"/>
        </w:rPr>
        <w:t>.</w:t>
      </w:r>
      <w:r w:rsidR="00E764C3" w:rsidRPr="009871A0">
        <w:rPr>
          <w:rStyle w:val="FootnoteReference"/>
          <w:sz w:val="22"/>
        </w:rPr>
        <w:footnoteReference w:id="63"/>
      </w:r>
      <w:r w:rsidR="00C36278" w:rsidRPr="009871A0">
        <w:rPr>
          <w:sz w:val="22"/>
        </w:rPr>
        <w:t xml:space="preserve"> </w:t>
      </w:r>
      <w:r w:rsidR="00E764C3" w:rsidRPr="009871A0">
        <w:rPr>
          <w:sz w:val="22"/>
        </w:rPr>
        <w:t xml:space="preserve">Other comparisons drawn </w:t>
      </w:r>
      <w:r w:rsidR="00D715BA" w:rsidRPr="009871A0">
        <w:rPr>
          <w:sz w:val="22"/>
        </w:rPr>
        <w:t>included</w:t>
      </w:r>
      <w:r w:rsidR="00C36278" w:rsidRPr="009871A0">
        <w:rPr>
          <w:sz w:val="22"/>
        </w:rPr>
        <w:t xml:space="preserve"> </w:t>
      </w:r>
      <w:r w:rsidR="00E764C3" w:rsidRPr="009871A0">
        <w:rPr>
          <w:sz w:val="22"/>
        </w:rPr>
        <w:t>the detention of</w:t>
      </w:r>
      <w:r w:rsidR="00C36278" w:rsidRPr="009871A0">
        <w:rPr>
          <w:sz w:val="22"/>
        </w:rPr>
        <w:t xml:space="preserve"> </w:t>
      </w:r>
      <w:r w:rsidR="00D715BA" w:rsidRPr="009871A0">
        <w:rPr>
          <w:sz w:val="22"/>
        </w:rPr>
        <w:t>rival fans</w:t>
      </w:r>
      <w:r w:rsidR="00C36278" w:rsidRPr="009871A0">
        <w:rPr>
          <w:sz w:val="22"/>
        </w:rPr>
        <w:t xml:space="preserve"> at football matches </w:t>
      </w:r>
      <w:r w:rsidR="006E2428" w:rsidRPr="009871A0">
        <w:rPr>
          <w:sz w:val="22"/>
        </w:rPr>
        <w:t xml:space="preserve">to prevent violence, </w:t>
      </w:r>
      <w:r w:rsidR="00C36278" w:rsidRPr="009871A0">
        <w:rPr>
          <w:sz w:val="22"/>
        </w:rPr>
        <w:t xml:space="preserve">or </w:t>
      </w:r>
      <w:r w:rsidR="00FF1DA3" w:rsidRPr="009871A0">
        <w:rPr>
          <w:sz w:val="22"/>
        </w:rPr>
        <w:t>of motorists when</w:t>
      </w:r>
      <w:r w:rsidR="00C36278" w:rsidRPr="009871A0">
        <w:rPr>
          <w:sz w:val="22"/>
        </w:rPr>
        <w:t xml:space="preserve"> there has been a road traffic accident.</w:t>
      </w:r>
      <w:r w:rsidR="00E764C3" w:rsidRPr="009871A0">
        <w:rPr>
          <w:rStyle w:val="FootnoteReference"/>
          <w:sz w:val="22"/>
        </w:rPr>
        <w:footnoteReference w:id="64"/>
      </w:r>
      <w:r w:rsidR="00C36278" w:rsidRPr="009871A0">
        <w:rPr>
          <w:sz w:val="22"/>
        </w:rPr>
        <w:t xml:space="preserve"> </w:t>
      </w:r>
      <w:r w:rsidR="00676220">
        <w:rPr>
          <w:sz w:val="22"/>
        </w:rPr>
        <w:t>As others including David Mead have pointed out, t</w:t>
      </w:r>
      <w:r w:rsidR="00C36278" w:rsidRPr="009871A0">
        <w:rPr>
          <w:sz w:val="22"/>
        </w:rPr>
        <w:t>hese hypotheticals</w:t>
      </w:r>
      <w:r w:rsidR="006E2428" w:rsidRPr="009871A0">
        <w:rPr>
          <w:sz w:val="22"/>
        </w:rPr>
        <w:t xml:space="preserve">, particularly the </w:t>
      </w:r>
      <w:r w:rsidR="00FF1DA3" w:rsidRPr="009871A0">
        <w:rPr>
          <w:sz w:val="22"/>
        </w:rPr>
        <w:t xml:space="preserve">airport </w:t>
      </w:r>
      <w:r w:rsidR="00D715BA" w:rsidRPr="009871A0">
        <w:rPr>
          <w:sz w:val="22"/>
        </w:rPr>
        <w:t xml:space="preserve">and motorway </w:t>
      </w:r>
      <w:r w:rsidR="006E2428" w:rsidRPr="009871A0">
        <w:rPr>
          <w:sz w:val="22"/>
        </w:rPr>
        <w:t>example</w:t>
      </w:r>
      <w:r w:rsidR="00FF1DA3" w:rsidRPr="009871A0">
        <w:rPr>
          <w:sz w:val="22"/>
        </w:rPr>
        <w:t>s</w:t>
      </w:r>
      <w:r w:rsidR="006E2428" w:rsidRPr="009871A0">
        <w:rPr>
          <w:sz w:val="22"/>
        </w:rPr>
        <w:t>,</w:t>
      </w:r>
      <w:r w:rsidR="00C36278" w:rsidRPr="009871A0">
        <w:rPr>
          <w:sz w:val="22"/>
        </w:rPr>
        <w:t xml:space="preserve"> </w:t>
      </w:r>
      <w:r w:rsidR="00D715BA" w:rsidRPr="009871A0">
        <w:rPr>
          <w:sz w:val="22"/>
        </w:rPr>
        <w:t>are not appropriate</w:t>
      </w:r>
      <w:r w:rsidR="008B257E" w:rsidRPr="009871A0">
        <w:rPr>
          <w:sz w:val="22"/>
        </w:rPr>
        <w:t xml:space="preserve">, for various reasons. First and most problematically, the people in the airport and motorway situations are unable to proceed </w:t>
      </w:r>
      <w:r w:rsidR="008B257E" w:rsidRPr="00586434">
        <w:rPr>
          <w:i/>
          <w:sz w:val="22"/>
        </w:rPr>
        <w:t>because of</w:t>
      </w:r>
      <w:r w:rsidR="008B257E" w:rsidRPr="009871A0">
        <w:rPr>
          <w:sz w:val="22"/>
        </w:rPr>
        <w:t xml:space="preserve"> the delay or the crash respectively, not directly </w:t>
      </w:r>
      <w:r w:rsidR="008B257E" w:rsidRPr="00586434">
        <w:rPr>
          <w:i/>
          <w:sz w:val="22"/>
        </w:rPr>
        <w:t>because of</w:t>
      </w:r>
      <w:r w:rsidR="008B257E" w:rsidRPr="009871A0">
        <w:rPr>
          <w:sz w:val="22"/>
        </w:rPr>
        <w:t xml:space="preserve"> police action as the </w:t>
      </w:r>
      <w:r w:rsidR="00225F5C" w:rsidRPr="009871A0">
        <w:rPr>
          <w:i/>
          <w:sz w:val="22"/>
        </w:rPr>
        <w:t>Austin</w:t>
      </w:r>
      <w:r w:rsidR="00225F5C" w:rsidRPr="009871A0">
        <w:rPr>
          <w:sz w:val="22"/>
        </w:rPr>
        <w:t xml:space="preserve"> </w:t>
      </w:r>
      <w:r w:rsidR="008B257E" w:rsidRPr="009871A0">
        <w:rPr>
          <w:sz w:val="22"/>
        </w:rPr>
        <w:t>applicants were.</w:t>
      </w:r>
      <w:r w:rsidR="00D62F9E">
        <w:rPr>
          <w:rStyle w:val="FootnoteReference"/>
          <w:sz w:val="22"/>
        </w:rPr>
        <w:footnoteReference w:id="65"/>
      </w:r>
      <w:r w:rsidR="008B257E" w:rsidRPr="009871A0">
        <w:rPr>
          <w:sz w:val="22"/>
        </w:rPr>
        <w:t xml:space="preserve"> Indeed </w:t>
      </w:r>
      <w:r w:rsidR="00E30826" w:rsidRPr="009871A0">
        <w:rPr>
          <w:sz w:val="22"/>
        </w:rPr>
        <w:t>they</w:t>
      </w:r>
      <w:r w:rsidR="008B257E" w:rsidRPr="009871A0">
        <w:rPr>
          <w:sz w:val="22"/>
        </w:rPr>
        <w:t xml:space="preserve"> are not even under con</w:t>
      </w:r>
      <w:r w:rsidR="00B83106" w:rsidRPr="009871A0">
        <w:rPr>
          <w:sz w:val="22"/>
        </w:rPr>
        <w:t>tinuous supervision and control</w:t>
      </w:r>
      <w:r w:rsidR="008B257E" w:rsidRPr="009871A0">
        <w:rPr>
          <w:sz w:val="22"/>
        </w:rPr>
        <w:t xml:space="preserve"> and they are free to leave if they choose</w:t>
      </w:r>
      <w:r w:rsidR="002F40B8">
        <w:rPr>
          <w:sz w:val="22"/>
        </w:rPr>
        <w:t xml:space="preserve"> (although a</w:t>
      </w:r>
      <w:r w:rsidR="002F40B8" w:rsidRPr="002F40B8">
        <w:rPr>
          <w:sz w:val="22"/>
        </w:rPr>
        <w:t>dmittedly leaving may not be a practical option, especially for the peo</w:t>
      </w:r>
      <w:r w:rsidR="007E1CDB">
        <w:rPr>
          <w:sz w:val="22"/>
        </w:rPr>
        <w:t>ple in cars who could only proceed</w:t>
      </w:r>
      <w:r w:rsidR="002F40B8" w:rsidRPr="002F40B8">
        <w:rPr>
          <w:sz w:val="22"/>
        </w:rPr>
        <w:t xml:space="preserve"> on foot</w:t>
      </w:r>
      <w:r w:rsidR="004675D7">
        <w:rPr>
          <w:sz w:val="22"/>
        </w:rPr>
        <w:t>).</w:t>
      </w:r>
      <w:r w:rsidR="008B257E" w:rsidRPr="009871A0">
        <w:rPr>
          <w:rStyle w:val="FootnoteReference"/>
          <w:sz w:val="22"/>
        </w:rPr>
        <w:footnoteReference w:id="66"/>
      </w:r>
      <w:r w:rsidR="008B257E" w:rsidRPr="009871A0">
        <w:rPr>
          <w:sz w:val="22"/>
        </w:rPr>
        <w:t xml:space="preserve"> Second</w:t>
      </w:r>
      <w:r w:rsidR="000F663B" w:rsidRPr="009871A0">
        <w:rPr>
          <w:sz w:val="22"/>
        </w:rPr>
        <w:t>ly</w:t>
      </w:r>
      <w:r w:rsidR="008B257E" w:rsidRPr="009871A0">
        <w:rPr>
          <w:sz w:val="22"/>
        </w:rPr>
        <w:t xml:space="preserve">, </w:t>
      </w:r>
      <w:r w:rsidR="00E30826" w:rsidRPr="009871A0">
        <w:rPr>
          <w:sz w:val="22"/>
        </w:rPr>
        <w:t>air passengers and motorists</w:t>
      </w:r>
      <w:r w:rsidR="00C36278" w:rsidRPr="009871A0">
        <w:rPr>
          <w:sz w:val="22"/>
        </w:rPr>
        <w:t xml:space="preserve"> are not stigmatised in the same way the </w:t>
      </w:r>
      <w:r w:rsidR="00C36278" w:rsidRPr="009871A0">
        <w:rPr>
          <w:i/>
          <w:sz w:val="22"/>
        </w:rPr>
        <w:t>Austin</w:t>
      </w:r>
      <w:r w:rsidR="00C36278" w:rsidRPr="009871A0">
        <w:rPr>
          <w:sz w:val="22"/>
        </w:rPr>
        <w:t xml:space="preserve"> </w:t>
      </w:r>
      <w:r w:rsidR="006E2428" w:rsidRPr="009871A0">
        <w:rPr>
          <w:sz w:val="22"/>
        </w:rPr>
        <w:t>applicants</w:t>
      </w:r>
      <w:r w:rsidR="00736147" w:rsidRPr="009871A0">
        <w:rPr>
          <w:sz w:val="22"/>
        </w:rPr>
        <w:t xml:space="preserve"> were. </w:t>
      </w:r>
      <w:r w:rsidR="008C3A14" w:rsidRPr="009871A0">
        <w:rPr>
          <w:sz w:val="22"/>
        </w:rPr>
        <w:t>N</w:t>
      </w:r>
      <w:r w:rsidR="00C36278" w:rsidRPr="009871A0">
        <w:rPr>
          <w:sz w:val="22"/>
        </w:rPr>
        <w:t>on-protestor</w:t>
      </w:r>
      <w:r w:rsidR="00FF1DA3" w:rsidRPr="009871A0">
        <w:rPr>
          <w:sz w:val="22"/>
        </w:rPr>
        <w:t xml:space="preserve">, Geoffrey </w:t>
      </w:r>
      <w:r w:rsidR="006E2428" w:rsidRPr="009871A0">
        <w:rPr>
          <w:sz w:val="22"/>
        </w:rPr>
        <w:t>Saxby,</w:t>
      </w:r>
      <w:r w:rsidR="00C36278" w:rsidRPr="009871A0">
        <w:rPr>
          <w:sz w:val="22"/>
        </w:rPr>
        <w:t xml:space="preserve"> said that he found the police’s loudhailer message that the</w:t>
      </w:r>
      <w:r w:rsidR="00FF1DA3" w:rsidRPr="009871A0">
        <w:rPr>
          <w:sz w:val="22"/>
        </w:rPr>
        <w:t xml:space="preserve"> crowd was </w:t>
      </w:r>
      <w:r w:rsidR="00C36278" w:rsidRPr="009871A0">
        <w:rPr>
          <w:sz w:val="22"/>
        </w:rPr>
        <w:t xml:space="preserve">being detained to prevent a breach of the peace and property damage to be </w:t>
      </w:r>
      <w:r w:rsidR="001442FD" w:rsidRPr="009871A0">
        <w:rPr>
          <w:sz w:val="22"/>
        </w:rPr>
        <w:t>“</w:t>
      </w:r>
      <w:r w:rsidR="00C36278" w:rsidRPr="009871A0">
        <w:rPr>
          <w:sz w:val="22"/>
        </w:rPr>
        <w:t>insulting in the extreme</w:t>
      </w:r>
      <w:r w:rsidR="001442FD" w:rsidRPr="009871A0">
        <w:rPr>
          <w:sz w:val="22"/>
        </w:rPr>
        <w:t>”</w:t>
      </w:r>
      <w:r w:rsidR="00C36278" w:rsidRPr="009871A0">
        <w:rPr>
          <w:sz w:val="22"/>
        </w:rPr>
        <w:t>.</w:t>
      </w:r>
      <w:r w:rsidR="00C36278" w:rsidRPr="009871A0">
        <w:rPr>
          <w:rStyle w:val="FootnoteReference"/>
          <w:sz w:val="22"/>
        </w:rPr>
        <w:footnoteReference w:id="67"/>
      </w:r>
      <w:r w:rsidR="00C36278" w:rsidRPr="009871A0">
        <w:rPr>
          <w:sz w:val="22"/>
        </w:rPr>
        <w:t xml:space="preserve"> </w:t>
      </w:r>
      <w:r w:rsidR="008B257E" w:rsidRPr="009871A0">
        <w:rPr>
          <w:sz w:val="22"/>
        </w:rPr>
        <w:t>Third</w:t>
      </w:r>
      <w:r w:rsidR="000F663B" w:rsidRPr="009871A0">
        <w:rPr>
          <w:sz w:val="22"/>
        </w:rPr>
        <w:t>ly</w:t>
      </w:r>
      <w:r w:rsidR="00C36278" w:rsidRPr="009871A0">
        <w:rPr>
          <w:sz w:val="22"/>
        </w:rPr>
        <w:t xml:space="preserve">, the people in cars </w:t>
      </w:r>
      <w:r w:rsidR="006E2428" w:rsidRPr="009871A0">
        <w:rPr>
          <w:sz w:val="22"/>
        </w:rPr>
        <w:t xml:space="preserve">and in the airport </w:t>
      </w:r>
      <w:r w:rsidR="00D715BA" w:rsidRPr="009871A0">
        <w:rPr>
          <w:sz w:val="22"/>
        </w:rPr>
        <w:t>would be</w:t>
      </w:r>
      <w:r w:rsidR="00C36278" w:rsidRPr="009871A0">
        <w:rPr>
          <w:sz w:val="22"/>
        </w:rPr>
        <w:t xml:space="preserve"> </w:t>
      </w:r>
      <w:r w:rsidR="006E2428" w:rsidRPr="009871A0">
        <w:rPr>
          <w:sz w:val="22"/>
        </w:rPr>
        <w:t>much</w:t>
      </w:r>
      <w:r w:rsidR="00C36278" w:rsidRPr="009871A0">
        <w:rPr>
          <w:sz w:val="22"/>
        </w:rPr>
        <w:t xml:space="preserve"> more comfortable than the </w:t>
      </w:r>
      <w:r w:rsidR="00C36278" w:rsidRPr="009871A0">
        <w:rPr>
          <w:i/>
          <w:sz w:val="22"/>
        </w:rPr>
        <w:t>Austin</w:t>
      </w:r>
      <w:r w:rsidR="00C36278" w:rsidRPr="009871A0">
        <w:rPr>
          <w:sz w:val="22"/>
        </w:rPr>
        <w:t xml:space="preserve"> </w:t>
      </w:r>
      <w:r w:rsidR="00D715BA" w:rsidRPr="009871A0">
        <w:rPr>
          <w:sz w:val="22"/>
        </w:rPr>
        <w:t>applicants</w:t>
      </w:r>
      <w:r w:rsidR="00C36278" w:rsidRPr="009871A0">
        <w:rPr>
          <w:sz w:val="22"/>
        </w:rPr>
        <w:t xml:space="preserve">. </w:t>
      </w:r>
      <w:r w:rsidR="006E2428" w:rsidRPr="009871A0">
        <w:rPr>
          <w:sz w:val="22"/>
        </w:rPr>
        <w:t xml:space="preserve">One would also hope that none of the hypothetical scenarios would go on for as long as seven hours such that the conditions </w:t>
      </w:r>
      <w:r w:rsidR="00423C76" w:rsidRPr="009871A0">
        <w:rPr>
          <w:sz w:val="22"/>
        </w:rPr>
        <w:t>would</w:t>
      </w:r>
      <w:r w:rsidR="006E2428" w:rsidRPr="009871A0">
        <w:rPr>
          <w:sz w:val="22"/>
        </w:rPr>
        <w:t xml:space="preserve"> become as unsanitary and uncomfortable as those in </w:t>
      </w:r>
      <w:r w:rsidR="006E2428" w:rsidRPr="009871A0">
        <w:rPr>
          <w:i/>
          <w:sz w:val="22"/>
        </w:rPr>
        <w:t>Austin</w:t>
      </w:r>
      <w:r w:rsidR="006E2428" w:rsidRPr="009871A0">
        <w:rPr>
          <w:sz w:val="22"/>
        </w:rPr>
        <w:t xml:space="preserve">. </w:t>
      </w:r>
      <w:r w:rsidR="008B257E" w:rsidRPr="009871A0">
        <w:rPr>
          <w:sz w:val="22"/>
        </w:rPr>
        <w:t>Fourth</w:t>
      </w:r>
      <w:r w:rsidR="000F663B" w:rsidRPr="009871A0">
        <w:rPr>
          <w:sz w:val="22"/>
        </w:rPr>
        <w:t>ly</w:t>
      </w:r>
      <w:r w:rsidR="00C36278" w:rsidRPr="009871A0">
        <w:rPr>
          <w:sz w:val="22"/>
        </w:rPr>
        <w:t xml:space="preserve">, </w:t>
      </w:r>
      <w:r w:rsidR="00BA2A41" w:rsidRPr="009871A0">
        <w:rPr>
          <w:sz w:val="22"/>
        </w:rPr>
        <w:t>those contained in police cordons may be</w:t>
      </w:r>
      <w:r w:rsidR="00FF1DA3" w:rsidRPr="009871A0">
        <w:rPr>
          <w:sz w:val="22"/>
        </w:rPr>
        <w:t xml:space="preserve"> questioned, searched and </w:t>
      </w:r>
      <w:r w:rsidR="00BA2A41" w:rsidRPr="009871A0">
        <w:rPr>
          <w:sz w:val="22"/>
        </w:rPr>
        <w:t>photographed as they leave</w:t>
      </w:r>
      <w:r w:rsidR="00C36278" w:rsidRPr="009871A0">
        <w:rPr>
          <w:sz w:val="22"/>
        </w:rPr>
        <w:t xml:space="preserve">, which is very different to the treatment in the motorway </w:t>
      </w:r>
      <w:r w:rsidR="006E2428" w:rsidRPr="009871A0">
        <w:rPr>
          <w:sz w:val="22"/>
        </w:rPr>
        <w:t xml:space="preserve">or airport </w:t>
      </w:r>
      <w:r w:rsidR="00C36278" w:rsidRPr="009871A0">
        <w:rPr>
          <w:sz w:val="22"/>
        </w:rPr>
        <w:t>situation</w:t>
      </w:r>
      <w:r w:rsidR="006E2428" w:rsidRPr="009871A0">
        <w:rPr>
          <w:sz w:val="22"/>
        </w:rPr>
        <w:t>s</w:t>
      </w:r>
      <w:r w:rsidR="00C36278" w:rsidRPr="009871A0">
        <w:rPr>
          <w:sz w:val="22"/>
        </w:rPr>
        <w:t>.</w:t>
      </w:r>
      <w:r w:rsidR="00C36278" w:rsidRPr="009871A0">
        <w:rPr>
          <w:rStyle w:val="FootnoteReference"/>
          <w:sz w:val="22"/>
        </w:rPr>
        <w:footnoteReference w:id="68"/>
      </w:r>
      <w:r w:rsidR="00C36278" w:rsidRPr="009871A0">
        <w:rPr>
          <w:sz w:val="22"/>
        </w:rPr>
        <w:t xml:space="preserve"> </w:t>
      </w:r>
      <w:r w:rsidR="00931C91" w:rsidRPr="009871A0">
        <w:rPr>
          <w:sz w:val="22"/>
        </w:rPr>
        <w:t>F</w:t>
      </w:r>
      <w:r w:rsidR="008B257E" w:rsidRPr="009871A0">
        <w:rPr>
          <w:sz w:val="22"/>
        </w:rPr>
        <w:t>ifth</w:t>
      </w:r>
      <w:r w:rsidR="000F663B" w:rsidRPr="009871A0">
        <w:rPr>
          <w:sz w:val="22"/>
        </w:rPr>
        <w:t>ly</w:t>
      </w:r>
      <w:r w:rsidR="008B257E" w:rsidRPr="009871A0">
        <w:rPr>
          <w:sz w:val="22"/>
        </w:rPr>
        <w:t xml:space="preserve"> and finally</w:t>
      </w:r>
      <w:r w:rsidR="00BA2A41" w:rsidRPr="009871A0">
        <w:rPr>
          <w:sz w:val="22"/>
        </w:rPr>
        <w:t>, neither</w:t>
      </w:r>
      <w:r w:rsidR="00C36278" w:rsidRPr="009871A0">
        <w:rPr>
          <w:sz w:val="22"/>
        </w:rPr>
        <w:t xml:space="preserve"> </w:t>
      </w:r>
      <w:r w:rsidR="00E30826" w:rsidRPr="009871A0">
        <w:rPr>
          <w:sz w:val="22"/>
        </w:rPr>
        <w:t>air</w:t>
      </w:r>
      <w:r w:rsidR="00931C91" w:rsidRPr="009871A0">
        <w:rPr>
          <w:sz w:val="22"/>
        </w:rPr>
        <w:t xml:space="preserve"> </w:t>
      </w:r>
      <w:r w:rsidR="00E30826" w:rsidRPr="009871A0">
        <w:rPr>
          <w:sz w:val="22"/>
        </w:rPr>
        <w:t>passengers</w:t>
      </w:r>
      <w:r w:rsidR="00931C91" w:rsidRPr="009871A0">
        <w:rPr>
          <w:sz w:val="22"/>
        </w:rPr>
        <w:t xml:space="preserve">, </w:t>
      </w:r>
      <w:r w:rsidR="00FF1DA3" w:rsidRPr="009871A0">
        <w:rPr>
          <w:sz w:val="22"/>
        </w:rPr>
        <w:t xml:space="preserve">nor </w:t>
      </w:r>
      <w:r w:rsidR="00C36278" w:rsidRPr="009871A0">
        <w:rPr>
          <w:sz w:val="22"/>
        </w:rPr>
        <w:t>motorists</w:t>
      </w:r>
      <w:r w:rsidR="00931C91" w:rsidRPr="009871A0">
        <w:rPr>
          <w:sz w:val="22"/>
        </w:rPr>
        <w:t>,</w:t>
      </w:r>
      <w:r w:rsidR="00BA2A41" w:rsidRPr="009871A0">
        <w:rPr>
          <w:sz w:val="22"/>
        </w:rPr>
        <w:t xml:space="preserve"> nor </w:t>
      </w:r>
      <w:r w:rsidR="00FF1DA3" w:rsidRPr="009871A0">
        <w:rPr>
          <w:sz w:val="22"/>
        </w:rPr>
        <w:lastRenderedPageBreak/>
        <w:t>football fans</w:t>
      </w:r>
      <w:r w:rsidR="005306F8" w:rsidRPr="009871A0">
        <w:rPr>
          <w:sz w:val="22"/>
        </w:rPr>
        <w:t xml:space="preserve"> </w:t>
      </w:r>
      <w:r w:rsidR="00D14B1B" w:rsidRPr="009871A0">
        <w:rPr>
          <w:sz w:val="22"/>
        </w:rPr>
        <w:t>gather</w:t>
      </w:r>
      <w:r w:rsidR="00C36278" w:rsidRPr="009871A0">
        <w:rPr>
          <w:sz w:val="22"/>
        </w:rPr>
        <w:t xml:space="preserve"> to </w:t>
      </w:r>
      <w:r w:rsidR="00D14B1B" w:rsidRPr="009871A0">
        <w:rPr>
          <w:sz w:val="22"/>
        </w:rPr>
        <w:t>exercise their freedom</w:t>
      </w:r>
      <w:r w:rsidR="00BA2A41" w:rsidRPr="009871A0">
        <w:rPr>
          <w:sz w:val="22"/>
        </w:rPr>
        <w:t xml:space="preserve"> of expression</w:t>
      </w:r>
      <w:r w:rsidR="00C36278" w:rsidRPr="009871A0">
        <w:rPr>
          <w:sz w:val="22"/>
        </w:rPr>
        <w:t>.</w:t>
      </w:r>
      <w:r w:rsidR="00C36278" w:rsidRPr="009871A0">
        <w:rPr>
          <w:rStyle w:val="FootnoteReference"/>
          <w:sz w:val="22"/>
        </w:rPr>
        <w:footnoteReference w:id="69"/>
      </w:r>
      <w:r w:rsidR="00FF1DA3" w:rsidRPr="009871A0">
        <w:rPr>
          <w:sz w:val="22"/>
        </w:rPr>
        <w:t xml:space="preserve"> </w:t>
      </w:r>
      <w:r w:rsidR="00225F5C" w:rsidRPr="009871A0">
        <w:rPr>
          <w:sz w:val="22"/>
        </w:rPr>
        <w:t>M</w:t>
      </w:r>
      <w:r w:rsidR="00BA2A41" w:rsidRPr="009871A0">
        <w:rPr>
          <w:sz w:val="22"/>
        </w:rPr>
        <w:t>ore account should be taken of other potential Convention rights which are implicated</w:t>
      </w:r>
      <w:r w:rsidR="00F22145">
        <w:rPr>
          <w:sz w:val="22"/>
        </w:rPr>
        <w:t xml:space="preserve">, as </w:t>
      </w:r>
      <w:r w:rsidR="007E1CDB">
        <w:rPr>
          <w:sz w:val="22"/>
        </w:rPr>
        <w:t xml:space="preserve">will be </w:t>
      </w:r>
      <w:r w:rsidR="008A6DDC">
        <w:rPr>
          <w:sz w:val="22"/>
        </w:rPr>
        <w:t>argued</w:t>
      </w:r>
      <w:r w:rsidR="00F22145">
        <w:rPr>
          <w:sz w:val="22"/>
        </w:rPr>
        <w:t xml:space="preserve"> below.</w:t>
      </w:r>
      <w:r w:rsidR="00C36278" w:rsidRPr="009871A0">
        <w:rPr>
          <w:sz w:val="22"/>
        </w:rPr>
        <w:t xml:space="preserve"> </w:t>
      </w:r>
      <w:r w:rsidR="008B257E" w:rsidRPr="009871A0">
        <w:rPr>
          <w:sz w:val="22"/>
        </w:rPr>
        <w:t xml:space="preserve">Given all of those differences, the people </w:t>
      </w:r>
      <w:r w:rsidR="005F4E59" w:rsidRPr="009871A0">
        <w:rPr>
          <w:sz w:val="22"/>
        </w:rPr>
        <w:t>in the hypothetical scenarios a</w:t>
      </w:r>
      <w:r w:rsidR="008B257E" w:rsidRPr="009871A0">
        <w:rPr>
          <w:sz w:val="22"/>
        </w:rPr>
        <w:t xml:space="preserve">re </w:t>
      </w:r>
      <w:r w:rsidR="00E30826" w:rsidRPr="009871A0">
        <w:rPr>
          <w:sz w:val="22"/>
        </w:rPr>
        <w:t xml:space="preserve">far </w:t>
      </w:r>
      <w:r w:rsidR="00BA2A41" w:rsidRPr="009871A0">
        <w:rPr>
          <w:sz w:val="22"/>
        </w:rPr>
        <w:t>less likely t</w:t>
      </w:r>
      <w:r w:rsidR="008B257E" w:rsidRPr="009871A0">
        <w:rPr>
          <w:sz w:val="22"/>
        </w:rPr>
        <w:t>o have been deprived of the</w:t>
      </w:r>
      <w:r w:rsidR="00423C76" w:rsidRPr="009871A0">
        <w:rPr>
          <w:sz w:val="22"/>
        </w:rPr>
        <w:t>ir</w:t>
      </w:r>
      <w:r w:rsidR="008B257E" w:rsidRPr="009871A0">
        <w:rPr>
          <w:sz w:val="22"/>
        </w:rPr>
        <w:t xml:space="preserve"> liberty </w:t>
      </w:r>
      <w:r w:rsidR="00BA2A41" w:rsidRPr="009871A0">
        <w:rPr>
          <w:sz w:val="22"/>
        </w:rPr>
        <w:t xml:space="preserve">than the </w:t>
      </w:r>
      <w:r w:rsidR="00BA2A41" w:rsidRPr="009871A0">
        <w:rPr>
          <w:i/>
          <w:sz w:val="22"/>
        </w:rPr>
        <w:t>Austin</w:t>
      </w:r>
      <w:r w:rsidR="00BA2A41" w:rsidRPr="009871A0">
        <w:rPr>
          <w:sz w:val="22"/>
        </w:rPr>
        <w:t xml:space="preserve"> applicants</w:t>
      </w:r>
      <w:r w:rsidR="008B257E" w:rsidRPr="009871A0">
        <w:rPr>
          <w:sz w:val="22"/>
        </w:rPr>
        <w:t>.</w:t>
      </w:r>
      <w:r w:rsidR="00D56AAA">
        <w:rPr>
          <w:sz w:val="22"/>
        </w:rPr>
        <w:t xml:space="preserve"> In </w:t>
      </w:r>
      <w:r w:rsidR="00D56AAA" w:rsidRPr="00D56AAA">
        <w:rPr>
          <w:i/>
          <w:sz w:val="22"/>
        </w:rPr>
        <w:t>Austin ECtHR</w:t>
      </w:r>
      <w:r w:rsidR="00D56AAA">
        <w:rPr>
          <w:sz w:val="22"/>
        </w:rPr>
        <w:t xml:space="preserve"> it is noted that “commonly occurring” scenarios such as the motorway or football examples cannot be considered “‘deprivations of liberty’ within the meaning of art.5(1)”.</w:t>
      </w:r>
      <w:r w:rsidR="00D56AAA">
        <w:rPr>
          <w:rStyle w:val="FootnoteReference"/>
          <w:sz w:val="22"/>
        </w:rPr>
        <w:footnoteReference w:id="70"/>
      </w:r>
      <w:r w:rsidR="00D56AAA">
        <w:rPr>
          <w:sz w:val="22"/>
        </w:rPr>
        <w:t xml:space="preserve"> But </w:t>
      </w:r>
      <w:r w:rsidR="00826809">
        <w:rPr>
          <w:sz w:val="22"/>
        </w:rPr>
        <w:t>the Court failed to consider</w:t>
      </w:r>
      <w:r w:rsidR="00D56AAA">
        <w:rPr>
          <w:sz w:val="22"/>
        </w:rPr>
        <w:t xml:space="preserve"> that </w:t>
      </w:r>
      <w:r w:rsidR="00826809">
        <w:rPr>
          <w:sz w:val="22"/>
        </w:rPr>
        <w:t xml:space="preserve">the facts of </w:t>
      </w:r>
      <w:r w:rsidR="00D56AAA" w:rsidRPr="00D56AAA">
        <w:rPr>
          <w:i/>
          <w:sz w:val="22"/>
        </w:rPr>
        <w:t>Austin</w:t>
      </w:r>
      <w:r w:rsidR="00D56AAA">
        <w:rPr>
          <w:sz w:val="22"/>
        </w:rPr>
        <w:t xml:space="preserve"> w</w:t>
      </w:r>
      <w:r w:rsidR="00826809">
        <w:rPr>
          <w:sz w:val="22"/>
        </w:rPr>
        <w:t>ere</w:t>
      </w:r>
      <w:r w:rsidR="00D56AAA">
        <w:rPr>
          <w:sz w:val="22"/>
        </w:rPr>
        <w:t xml:space="preserve"> n</w:t>
      </w:r>
      <w:r w:rsidR="008160A2">
        <w:rPr>
          <w:sz w:val="22"/>
        </w:rPr>
        <w:t>either</w:t>
      </w:r>
      <w:r w:rsidR="00D56AAA">
        <w:rPr>
          <w:sz w:val="22"/>
        </w:rPr>
        <w:t xml:space="preserve"> comparable</w:t>
      </w:r>
      <w:r w:rsidR="008160A2">
        <w:rPr>
          <w:sz w:val="22"/>
        </w:rPr>
        <w:t xml:space="preserve"> with those situations nor</w:t>
      </w:r>
      <w:r w:rsidR="00D56AAA">
        <w:rPr>
          <w:sz w:val="22"/>
        </w:rPr>
        <w:t xml:space="preserve"> “commonly occurring”.</w:t>
      </w:r>
    </w:p>
    <w:p w14:paraId="41C9BBDA" w14:textId="04A73FA1" w:rsidR="00B94A35" w:rsidRPr="009871A0" w:rsidRDefault="00C36278" w:rsidP="00984782">
      <w:pPr>
        <w:spacing w:line="480" w:lineRule="auto"/>
        <w:ind w:firstLine="720"/>
        <w:jc w:val="both"/>
        <w:rPr>
          <w:sz w:val="22"/>
        </w:rPr>
      </w:pPr>
      <w:r w:rsidRPr="009871A0">
        <w:rPr>
          <w:sz w:val="22"/>
        </w:rPr>
        <w:t xml:space="preserve">Lord Neuberger claimed that any </w:t>
      </w:r>
      <w:r w:rsidR="009C0D9A">
        <w:rPr>
          <w:sz w:val="22"/>
        </w:rPr>
        <w:t>“</w:t>
      </w:r>
      <w:r w:rsidRPr="009871A0">
        <w:rPr>
          <w:sz w:val="22"/>
        </w:rPr>
        <w:t>sensible person</w:t>
      </w:r>
      <w:r w:rsidR="009C0D9A">
        <w:rPr>
          <w:sz w:val="22"/>
        </w:rPr>
        <w:t>”</w:t>
      </w:r>
      <w:r w:rsidRPr="009871A0">
        <w:rPr>
          <w:sz w:val="22"/>
        </w:rPr>
        <w:t xml:space="preserve"> would reasonably expect to be confined in a situation such as </w:t>
      </w:r>
      <w:r w:rsidRPr="009871A0">
        <w:rPr>
          <w:i/>
          <w:sz w:val="22"/>
        </w:rPr>
        <w:t>Austin</w:t>
      </w:r>
      <w:r w:rsidRPr="009871A0">
        <w:rPr>
          <w:sz w:val="22"/>
        </w:rPr>
        <w:t>.</w:t>
      </w:r>
      <w:r w:rsidRPr="009871A0">
        <w:rPr>
          <w:rStyle w:val="FootnoteReference"/>
          <w:sz w:val="22"/>
        </w:rPr>
        <w:footnoteReference w:id="71"/>
      </w:r>
      <w:r w:rsidRPr="009871A0">
        <w:rPr>
          <w:sz w:val="22"/>
        </w:rPr>
        <w:t xml:space="preserve"> </w:t>
      </w:r>
      <w:r w:rsidR="00651BC4" w:rsidRPr="009871A0">
        <w:rPr>
          <w:sz w:val="22"/>
        </w:rPr>
        <w:t>T</w:t>
      </w:r>
      <w:r w:rsidRPr="009871A0">
        <w:rPr>
          <w:sz w:val="22"/>
        </w:rPr>
        <w:t xml:space="preserve">hat is </w:t>
      </w:r>
      <w:r w:rsidR="00651BC4" w:rsidRPr="009871A0">
        <w:rPr>
          <w:sz w:val="22"/>
        </w:rPr>
        <w:t>perhaps</w:t>
      </w:r>
      <w:r w:rsidRPr="009871A0">
        <w:rPr>
          <w:sz w:val="22"/>
        </w:rPr>
        <w:t xml:space="preserve"> unlikely. To be </w:t>
      </w:r>
      <w:r w:rsidR="00931C91" w:rsidRPr="009871A0">
        <w:rPr>
          <w:sz w:val="22"/>
        </w:rPr>
        <w:t xml:space="preserve">held </w:t>
      </w:r>
      <w:r w:rsidRPr="009871A0">
        <w:rPr>
          <w:sz w:val="22"/>
        </w:rPr>
        <w:t>for such a length of tim</w:t>
      </w:r>
      <w:r w:rsidR="00015AEC">
        <w:rPr>
          <w:sz w:val="22"/>
        </w:rPr>
        <w:t xml:space="preserve">e in </w:t>
      </w:r>
      <w:r w:rsidR="007E1CDB">
        <w:rPr>
          <w:sz w:val="22"/>
        </w:rPr>
        <w:t xml:space="preserve">unpleasant </w:t>
      </w:r>
      <w:r w:rsidR="00015AEC">
        <w:rPr>
          <w:sz w:val="22"/>
        </w:rPr>
        <w:t>conditions, branded a danger to the Queen’s peace</w:t>
      </w:r>
      <w:r w:rsidR="007109E0">
        <w:rPr>
          <w:sz w:val="22"/>
        </w:rPr>
        <w:t>,</w:t>
      </w:r>
      <w:r w:rsidR="00015AEC">
        <w:rPr>
          <w:sz w:val="22"/>
        </w:rPr>
        <w:t xml:space="preserve"> </w:t>
      </w:r>
      <w:r w:rsidRPr="009871A0">
        <w:rPr>
          <w:sz w:val="22"/>
        </w:rPr>
        <w:t>and</w:t>
      </w:r>
      <w:r w:rsidR="00225F5C" w:rsidRPr="009871A0">
        <w:rPr>
          <w:sz w:val="22"/>
        </w:rPr>
        <w:t xml:space="preserve"> to be</w:t>
      </w:r>
      <w:r w:rsidRPr="009871A0">
        <w:rPr>
          <w:sz w:val="22"/>
        </w:rPr>
        <w:t xml:space="preserve"> </w:t>
      </w:r>
      <w:r w:rsidR="00225F5C" w:rsidRPr="009871A0">
        <w:rPr>
          <w:sz w:val="22"/>
        </w:rPr>
        <w:t>confined</w:t>
      </w:r>
      <w:r w:rsidRPr="009871A0">
        <w:rPr>
          <w:sz w:val="22"/>
        </w:rPr>
        <w:t xml:space="preserve"> with </w:t>
      </w:r>
      <w:r w:rsidR="00225F5C" w:rsidRPr="009871A0">
        <w:rPr>
          <w:sz w:val="22"/>
        </w:rPr>
        <w:t xml:space="preserve">some of those who were being violent (albeit to be protected from other violence outside the cordon) </w:t>
      </w:r>
      <w:r w:rsidRPr="009871A0">
        <w:rPr>
          <w:sz w:val="22"/>
        </w:rPr>
        <w:t xml:space="preserve">does not sound like something most people would agree to. </w:t>
      </w:r>
      <w:r w:rsidR="00651BC4" w:rsidRPr="009871A0">
        <w:rPr>
          <w:sz w:val="22"/>
        </w:rPr>
        <w:t xml:space="preserve">Although the </w:t>
      </w:r>
      <w:r w:rsidR="002E7A5E" w:rsidRPr="009871A0">
        <w:rPr>
          <w:i/>
          <w:sz w:val="22"/>
        </w:rPr>
        <w:t>Austin</w:t>
      </w:r>
      <w:r w:rsidR="002E7A5E" w:rsidRPr="009871A0">
        <w:rPr>
          <w:sz w:val="22"/>
        </w:rPr>
        <w:t xml:space="preserve"> </w:t>
      </w:r>
      <w:r w:rsidR="00651BC4" w:rsidRPr="009871A0">
        <w:rPr>
          <w:sz w:val="22"/>
        </w:rPr>
        <w:t xml:space="preserve">courts </w:t>
      </w:r>
      <w:r w:rsidR="00395020" w:rsidRPr="009871A0">
        <w:rPr>
          <w:sz w:val="22"/>
        </w:rPr>
        <w:t>recognise</w:t>
      </w:r>
      <w:r w:rsidR="002E7A5E" w:rsidRPr="009871A0">
        <w:rPr>
          <w:sz w:val="22"/>
        </w:rPr>
        <w:t>d</w:t>
      </w:r>
      <w:r w:rsidR="00395020" w:rsidRPr="009871A0">
        <w:rPr>
          <w:sz w:val="22"/>
        </w:rPr>
        <w:t xml:space="preserve"> that</w:t>
      </w:r>
      <w:r w:rsidR="002E7A5E" w:rsidRPr="009871A0">
        <w:rPr>
          <w:sz w:val="22"/>
        </w:rPr>
        <w:t xml:space="preserve"> the effect of the containment wa</w:t>
      </w:r>
      <w:r w:rsidR="00395020" w:rsidRPr="009871A0">
        <w:rPr>
          <w:sz w:val="22"/>
        </w:rPr>
        <w:t>s suggestive of a depriv</w:t>
      </w:r>
      <w:r w:rsidR="00513297" w:rsidRPr="009871A0">
        <w:rPr>
          <w:sz w:val="22"/>
        </w:rPr>
        <w:t>ation of liberty, they then sought</w:t>
      </w:r>
      <w:r w:rsidR="00395020" w:rsidRPr="009871A0">
        <w:rPr>
          <w:sz w:val="22"/>
        </w:rPr>
        <w:t xml:space="preserve"> to undermine that effect</w:t>
      </w:r>
      <w:r w:rsidR="002658C4" w:rsidRPr="009871A0">
        <w:rPr>
          <w:sz w:val="22"/>
        </w:rPr>
        <w:t>, seemingly worried</w:t>
      </w:r>
      <w:r w:rsidR="00651BC4" w:rsidRPr="009871A0">
        <w:rPr>
          <w:sz w:val="22"/>
        </w:rPr>
        <w:t xml:space="preserve"> that if they ruled this instance of containment to be a deprivation of liberty then all of their hypotheticals would also be deprivations. But this </w:t>
      </w:r>
      <w:r w:rsidR="00741DCB" w:rsidRPr="009871A0">
        <w:rPr>
          <w:sz w:val="22"/>
        </w:rPr>
        <w:t>makes insufficient use of</w:t>
      </w:r>
      <w:r w:rsidR="00651BC4" w:rsidRPr="009871A0">
        <w:rPr>
          <w:sz w:val="22"/>
        </w:rPr>
        <w:t xml:space="preserve"> the four-part test which is designed to exclude de minimis cases as we have already seen in terms of </w:t>
      </w:r>
      <w:r w:rsidR="00651BC4" w:rsidRPr="009871A0">
        <w:rPr>
          <w:i/>
          <w:sz w:val="22"/>
        </w:rPr>
        <w:t>duration</w:t>
      </w:r>
      <w:r w:rsidR="00651BC4" w:rsidRPr="009871A0">
        <w:rPr>
          <w:sz w:val="22"/>
        </w:rPr>
        <w:t xml:space="preserve"> and to which we may now add cases which are de minimis in terms of </w:t>
      </w:r>
      <w:r w:rsidR="00651BC4" w:rsidRPr="009871A0">
        <w:rPr>
          <w:i/>
          <w:sz w:val="22"/>
        </w:rPr>
        <w:t>effect</w:t>
      </w:r>
      <w:r w:rsidR="00651BC4" w:rsidRPr="009871A0">
        <w:rPr>
          <w:sz w:val="22"/>
        </w:rPr>
        <w:t>.</w:t>
      </w:r>
    </w:p>
    <w:p w14:paraId="3F5E462A" w14:textId="730B868C" w:rsidR="0029303F" w:rsidRPr="009871A0" w:rsidRDefault="008A6DDC" w:rsidP="0029303F">
      <w:pPr>
        <w:widowControl w:val="0"/>
        <w:spacing w:line="480" w:lineRule="auto"/>
        <w:ind w:firstLine="720"/>
        <w:jc w:val="both"/>
        <w:rPr>
          <w:sz w:val="22"/>
        </w:rPr>
      </w:pPr>
      <w:r>
        <w:rPr>
          <w:sz w:val="22"/>
        </w:rPr>
        <w:t>Furthermore, t</w:t>
      </w:r>
      <w:r w:rsidR="0029303F" w:rsidRPr="009871A0">
        <w:rPr>
          <w:sz w:val="22"/>
        </w:rPr>
        <w:t>he “effect” p</w:t>
      </w:r>
      <w:r>
        <w:rPr>
          <w:sz w:val="22"/>
        </w:rPr>
        <w:t xml:space="preserve">art of the four-part test must </w:t>
      </w:r>
      <w:r w:rsidR="0029303F" w:rsidRPr="009871A0">
        <w:rPr>
          <w:sz w:val="22"/>
        </w:rPr>
        <w:t xml:space="preserve">be applied carefully so as not to set different standards of liberty between different people. The courts have not always shown such care. When courts discuss the particular effects on a person they create the possibility that certain other people would not be deprived of their liberty if the “effects” were not great enough. For example, in </w:t>
      </w:r>
      <w:r w:rsidR="0029303F" w:rsidRPr="009871A0">
        <w:rPr>
          <w:i/>
          <w:sz w:val="22"/>
        </w:rPr>
        <w:t>Austin</w:t>
      </w:r>
      <w:r w:rsidR="0029303F" w:rsidRPr="009871A0">
        <w:rPr>
          <w:sz w:val="22"/>
        </w:rPr>
        <w:t>, Lois Austin is described as “an anguished mother”, unable to collect her daughter from childcare.</w:t>
      </w:r>
      <w:r w:rsidR="0029303F" w:rsidRPr="009871A0">
        <w:rPr>
          <w:rStyle w:val="FootnoteReference"/>
          <w:sz w:val="22"/>
        </w:rPr>
        <w:footnoteReference w:id="72"/>
      </w:r>
      <w:r w:rsidR="0029303F" w:rsidRPr="009871A0">
        <w:rPr>
          <w:sz w:val="22"/>
        </w:rPr>
        <w:t xml:space="preserve"> </w:t>
      </w:r>
      <w:r w:rsidR="0029303F" w:rsidRPr="009871A0">
        <w:rPr>
          <w:sz w:val="22"/>
        </w:rPr>
        <w:lastRenderedPageBreak/>
        <w:t>Tugendhat J</w:t>
      </w:r>
      <w:r w:rsidR="002F40B8">
        <w:rPr>
          <w:sz w:val="22"/>
        </w:rPr>
        <w:t>.</w:t>
      </w:r>
      <w:r w:rsidR="0029303F" w:rsidRPr="009871A0">
        <w:rPr>
          <w:sz w:val="22"/>
        </w:rPr>
        <w:t xml:space="preserve"> also noted that the absence of toilets “bore particularly hard on some of the women” in the crowd.</w:t>
      </w:r>
      <w:r w:rsidR="0029303F" w:rsidRPr="009871A0">
        <w:rPr>
          <w:rStyle w:val="FootnoteReference"/>
          <w:sz w:val="22"/>
        </w:rPr>
        <w:footnoteReference w:id="73"/>
      </w:r>
      <w:r w:rsidR="0029303F" w:rsidRPr="009871A0">
        <w:rPr>
          <w:sz w:val="22"/>
        </w:rPr>
        <w:t xml:space="preserve"> In </w:t>
      </w:r>
      <w:r w:rsidR="0029303F" w:rsidRPr="009871A0">
        <w:rPr>
          <w:i/>
          <w:sz w:val="22"/>
        </w:rPr>
        <w:t>ZH</w:t>
      </w:r>
      <w:r w:rsidR="0029303F" w:rsidRPr="009871A0">
        <w:rPr>
          <w:sz w:val="22"/>
        </w:rPr>
        <w:t xml:space="preserve"> we are told that the 16-year-old respondent was particularly harmed by being </w:t>
      </w:r>
      <w:r w:rsidR="002F40B8" w:rsidRPr="002F40B8">
        <w:rPr>
          <w:sz w:val="22"/>
        </w:rPr>
        <w:t xml:space="preserve">physically restrained by five to seven police officers and placed in handcuffs and leg restraints in the back of a police van for a total of 40 </w:t>
      </w:r>
      <w:r w:rsidR="002F40B8">
        <w:rPr>
          <w:sz w:val="22"/>
        </w:rPr>
        <w:t>minutes</w:t>
      </w:r>
      <w:r w:rsidR="002F40B8" w:rsidRPr="002F40B8">
        <w:rPr>
          <w:sz w:val="22"/>
        </w:rPr>
        <w:t xml:space="preserve"> </w:t>
      </w:r>
      <w:r w:rsidR="0029303F" w:rsidRPr="009871A0">
        <w:rPr>
          <w:sz w:val="22"/>
        </w:rPr>
        <w:t>because of his autism and learning disability.</w:t>
      </w:r>
      <w:r w:rsidR="0029303F" w:rsidRPr="009871A0">
        <w:rPr>
          <w:rStyle w:val="FootnoteReference"/>
          <w:sz w:val="22"/>
        </w:rPr>
        <w:footnoteReference w:id="74"/>
      </w:r>
      <w:r w:rsidR="0029303F" w:rsidRPr="009871A0">
        <w:rPr>
          <w:sz w:val="22"/>
        </w:rPr>
        <w:t xml:space="preserve"> Such discussion makes it sound like mothers, women or disabled people are more easily deprived of their liberty than non-parents, men or non-disabled people. </w:t>
      </w:r>
      <w:r w:rsidR="002F40B8">
        <w:rPr>
          <w:sz w:val="22"/>
        </w:rPr>
        <w:t>But, as we saw earlier, the concept of liberty is the same for everyone.</w:t>
      </w:r>
    </w:p>
    <w:p w14:paraId="1EB6974C" w14:textId="543B586D" w:rsidR="0029303F" w:rsidRPr="009871A0" w:rsidRDefault="0029303F" w:rsidP="0029303F">
      <w:pPr>
        <w:spacing w:line="480" w:lineRule="auto"/>
        <w:ind w:firstLine="720"/>
        <w:jc w:val="both"/>
        <w:rPr>
          <w:sz w:val="22"/>
        </w:rPr>
      </w:pPr>
      <w:r w:rsidRPr="009871A0">
        <w:rPr>
          <w:sz w:val="22"/>
        </w:rPr>
        <w:t xml:space="preserve">Personal characteristics are only of relevance in deciding whether a deprivation of liberty was </w:t>
      </w:r>
      <w:r w:rsidRPr="009871A0">
        <w:rPr>
          <w:i/>
          <w:sz w:val="22"/>
        </w:rPr>
        <w:t>justified</w:t>
      </w:r>
      <w:r w:rsidRPr="009871A0">
        <w:rPr>
          <w:sz w:val="22"/>
        </w:rPr>
        <w:t xml:space="preserve"> (for example, because of a need to protect that person, or to protect others from her), not whether a deprivation occurred in the first place. Personal characteristics may also make a measure arbitrary.</w:t>
      </w:r>
      <w:r w:rsidR="002F40B8" w:rsidRPr="002F40B8">
        <w:t xml:space="preserve"> </w:t>
      </w:r>
      <w:r w:rsidR="002F40B8">
        <w:rPr>
          <w:sz w:val="22"/>
        </w:rPr>
        <w:t xml:space="preserve">For example, in </w:t>
      </w:r>
      <w:r w:rsidR="002F40B8" w:rsidRPr="002F40B8">
        <w:rPr>
          <w:i/>
          <w:sz w:val="22"/>
        </w:rPr>
        <w:t>Litwa</w:t>
      </w:r>
      <w:r w:rsidR="002F40B8">
        <w:rPr>
          <w:sz w:val="22"/>
        </w:rPr>
        <w:t xml:space="preserve">, </w:t>
      </w:r>
      <w:r w:rsidR="002F40B8" w:rsidRPr="002F40B8">
        <w:rPr>
          <w:sz w:val="22"/>
        </w:rPr>
        <w:t>the fact that the applicant was almost blind was relevant in deciding that his detention in a sobering up centre was disproportionate given the lack of danger he posed to the public</w:t>
      </w:r>
      <w:r w:rsidR="002F40B8">
        <w:rPr>
          <w:sz w:val="22"/>
        </w:rPr>
        <w:t>.</w:t>
      </w:r>
      <w:r w:rsidRPr="009871A0">
        <w:rPr>
          <w:rStyle w:val="FootnoteReference"/>
          <w:sz w:val="22"/>
        </w:rPr>
        <w:footnoteReference w:id="75"/>
      </w:r>
      <w:r w:rsidRPr="009871A0">
        <w:rPr>
          <w:sz w:val="22"/>
        </w:rPr>
        <w:t xml:space="preserve"> </w:t>
      </w:r>
      <w:r w:rsidR="002F40B8">
        <w:rPr>
          <w:sz w:val="22"/>
        </w:rPr>
        <w:t>A</w:t>
      </w:r>
      <w:r w:rsidRPr="009871A0">
        <w:rPr>
          <w:sz w:val="22"/>
        </w:rPr>
        <w:t xml:space="preserve">n otherwise lawful stop and search is unlawful if it is motivated only by racism, but its unlawfulness is because of the arbitrariness, not because of the personal characteristics of the applicant per se. Thus Guzzardi’s status as a Mafioso could not be taken into </w:t>
      </w:r>
      <w:r w:rsidR="001D556F">
        <w:rPr>
          <w:sz w:val="22"/>
        </w:rPr>
        <w:t>account in determining whether a</w:t>
      </w:r>
      <w:r w:rsidRPr="009871A0">
        <w:rPr>
          <w:sz w:val="22"/>
        </w:rPr>
        <w:t>rticle 5 had been breached.</w:t>
      </w:r>
      <w:r w:rsidRPr="009871A0">
        <w:rPr>
          <w:rStyle w:val="FootnoteReference"/>
          <w:sz w:val="22"/>
        </w:rPr>
        <w:footnoteReference w:id="76"/>
      </w:r>
      <w:r w:rsidRPr="009871A0">
        <w:rPr>
          <w:sz w:val="22"/>
        </w:rPr>
        <w:t xml:space="preserve"> The fact that there was a good reason to monitor Guzzardi meant that the measures were not, for that reason, arbitrary as they would have been if a person of good character had been so treated. But, as we have seen, non-arbitrariness cannot render what is otherwise unlawful lawful (whereas arbitrariness can render the otherwise lawful unlawful).</w:t>
      </w:r>
    </w:p>
    <w:p w14:paraId="5DD6F083" w14:textId="4469323C" w:rsidR="0029303F" w:rsidRPr="009871A0" w:rsidRDefault="0029303F" w:rsidP="0029303F">
      <w:pPr>
        <w:spacing w:line="480" w:lineRule="auto"/>
        <w:ind w:firstLine="720"/>
        <w:jc w:val="both"/>
        <w:rPr>
          <w:sz w:val="22"/>
        </w:rPr>
      </w:pPr>
      <w:r w:rsidRPr="009871A0">
        <w:rPr>
          <w:sz w:val="22"/>
        </w:rPr>
        <w:t xml:space="preserve">Courts should </w:t>
      </w:r>
      <w:r w:rsidR="002F40B8">
        <w:rPr>
          <w:sz w:val="22"/>
        </w:rPr>
        <w:t xml:space="preserve">therefore </w:t>
      </w:r>
      <w:r w:rsidRPr="009871A0">
        <w:rPr>
          <w:sz w:val="22"/>
        </w:rPr>
        <w:t xml:space="preserve">be careful, when discussing the particular hardships a person encountered, to clarify that the finding of whether or not she was deprived of her liberty is not conditional on her personal characteristics. Such care is needed because just as some features may make </w:t>
      </w:r>
      <w:r w:rsidRPr="009871A0">
        <w:rPr>
          <w:sz w:val="22"/>
        </w:rPr>
        <w:lastRenderedPageBreak/>
        <w:t>it easier to find that a person has been deprived of her liberty, others will make it harder. For example, if an agoraphobic is subject to control order-type measures with little impact, she is just as deprived of her liberty as someone with a hectic social calendar. Liberty is objective,</w:t>
      </w:r>
      <w:r w:rsidRPr="009871A0">
        <w:rPr>
          <w:rStyle w:val="FootnoteReference"/>
          <w:sz w:val="22"/>
        </w:rPr>
        <w:footnoteReference w:id="77"/>
      </w:r>
      <w:r w:rsidRPr="009871A0">
        <w:rPr>
          <w:sz w:val="22"/>
        </w:rPr>
        <w:t xml:space="preserve"> therefore the “effects” part of the test must be construed objectively. Different conceptions of liberty for different people threatens the very heart of the Convention – the rule of law.</w:t>
      </w:r>
    </w:p>
    <w:p w14:paraId="19D5AA62" w14:textId="5F60D14A" w:rsidR="0029303F" w:rsidRPr="009871A0" w:rsidRDefault="0029303F" w:rsidP="0029303F">
      <w:pPr>
        <w:spacing w:line="480" w:lineRule="auto"/>
        <w:ind w:firstLine="720"/>
        <w:jc w:val="both"/>
        <w:rPr>
          <w:sz w:val="22"/>
        </w:rPr>
      </w:pPr>
      <w:r w:rsidRPr="009871A0">
        <w:rPr>
          <w:sz w:val="22"/>
        </w:rPr>
        <w:t>We must also be careful about arguments based on people having accepted the risk of being in a certain situation.</w:t>
      </w:r>
      <w:r w:rsidRPr="009871A0">
        <w:rPr>
          <w:sz w:val="22"/>
          <w:vertAlign w:val="superscript"/>
        </w:rPr>
        <w:footnoteReference w:id="78"/>
      </w:r>
      <w:r w:rsidRPr="009871A0">
        <w:rPr>
          <w:sz w:val="22"/>
        </w:rPr>
        <w:t xml:space="preserve"> By this logic, a distinction could be made between the protestors and non-protestors in </w:t>
      </w:r>
      <w:r w:rsidRPr="009871A0">
        <w:rPr>
          <w:i/>
          <w:sz w:val="22"/>
        </w:rPr>
        <w:t>Austin</w:t>
      </w:r>
      <w:r w:rsidR="007E1CDB">
        <w:rPr>
          <w:sz w:val="22"/>
        </w:rPr>
        <w:t xml:space="preserve">, </w:t>
      </w:r>
      <w:r w:rsidRPr="009871A0">
        <w:rPr>
          <w:sz w:val="22"/>
        </w:rPr>
        <w:t>perhaps finding that Saxby (a non-protestor) was deprived of his liberty while Austin (a peaceful protestor) was not. It has been said that it is “obvious” that those detained did not consent to their treatment, but perhaps a brief defence is necessary.</w:t>
      </w:r>
      <w:r w:rsidRPr="009871A0">
        <w:rPr>
          <w:sz w:val="22"/>
          <w:vertAlign w:val="superscript"/>
        </w:rPr>
        <w:footnoteReference w:id="79"/>
      </w:r>
      <w:r w:rsidRPr="009871A0">
        <w:rPr>
          <w:sz w:val="22"/>
        </w:rPr>
        <w:t xml:space="preserve"> Protestors may anticipate being contained by police whereas commuters, shoppers etc., presumably do not. Regardless, should containment occur, both groups are entitled to expect that they will not, for example, be handled forcefully or that their plans will not be disrupted for too long. The duration and conditions of the </w:t>
      </w:r>
      <w:r w:rsidRPr="009871A0">
        <w:rPr>
          <w:i/>
          <w:sz w:val="22"/>
        </w:rPr>
        <w:t>Austin</w:t>
      </w:r>
      <w:r w:rsidRPr="009871A0">
        <w:rPr>
          <w:sz w:val="22"/>
        </w:rPr>
        <w:t xml:space="preserve"> containment were more than either a protestor or a bystander should be expected to bear. It is thus pleasing that the ECtHR found that the difference in the applicants’ circumstances </w:t>
      </w:r>
      <w:r w:rsidR="007E1CDB">
        <w:rPr>
          <w:sz w:val="22"/>
        </w:rPr>
        <w:t>was irrelevant</w:t>
      </w:r>
      <w:r w:rsidRPr="009871A0">
        <w:rPr>
          <w:sz w:val="22"/>
        </w:rPr>
        <w:t xml:space="preserve"> as to whether or not they had been deprived of their liberty.</w:t>
      </w:r>
      <w:r w:rsidRPr="009871A0">
        <w:rPr>
          <w:sz w:val="22"/>
          <w:vertAlign w:val="superscript"/>
        </w:rPr>
        <w:footnoteReference w:id="80"/>
      </w:r>
      <w:r w:rsidRPr="009871A0">
        <w:rPr>
          <w:sz w:val="22"/>
        </w:rPr>
        <w:t xml:space="preserve"> We should avoid focussing on acceptance of risk so as not to create liberty hierarchies and instead concentrate on what an ordinary person may be </w:t>
      </w:r>
      <w:r w:rsidRPr="009871A0">
        <w:rPr>
          <w:i/>
          <w:sz w:val="22"/>
        </w:rPr>
        <w:t>entitled to</w:t>
      </w:r>
      <w:r w:rsidRPr="009871A0">
        <w:rPr>
          <w:sz w:val="22"/>
        </w:rPr>
        <w:t xml:space="preserve"> </w:t>
      </w:r>
      <w:r w:rsidRPr="009871A0">
        <w:rPr>
          <w:i/>
          <w:sz w:val="22"/>
        </w:rPr>
        <w:t>expect</w:t>
      </w:r>
      <w:r w:rsidRPr="009871A0">
        <w:rPr>
          <w:sz w:val="22"/>
        </w:rPr>
        <w:t xml:space="preserve"> in a given scenario.</w:t>
      </w:r>
      <w:r w:rsidR="002F40B8">
        <w:rPr>
          <w:rStyle w:val="FootnoteReference"/>
          <w:sz w:val="22"/>
        </w:rPr>
        <w:footnoteReference w:id="81"/>
      </w:r>
    </w:p>
    <w:p w14:paraId="479C4A3C" w14:textId="77777777" w:rsidR="0029303F" w:rsidRDefault="0029303F" w:rsidP="0029303F">
      <w:pPr>
        <w:spacing w:line="480" w:lineRule="auto"/>
        <w:jc w:val="both"/>
        <w:rPr>
          <w:sz w:val="22"/>
        </w:rPr>
      </w:pPr>
    </w:p>
    <w:p w14:paraId="51D8C22D" w14:textId="23661D57" w:rsidR="0029303F" w:rsidRPr="0029303F" w:rsidRDefault="0029303F" w:rsidP="004929FB">
      <w:pPr>
        <w:pStyle w:val="Heading3"/>
      </w:pPr>
      <w:r w:rsidRPr="0029303F">
        <w:t xml:space="preserve">Type </w:t>
      </w:r>
      <w:r w:rsidR="009A6E50">
        <w:t xml:space="preserve">of measure </w:t>
      </w:r>
      <w:r w:rsidRPr="0029303F">
        <w:t>and manner of implementation</w:t>
      </w:r>
    </w:p>
    <w:p w14:paraId="6C656802" w14:textId="083C3DA0" w:rsidR="001E5EC4" w:rsidRPr="009871A0" w:rsidRDefault="0029303F" w:rsidP="009D3687">
      <w:pPr>
        <w:widowControl w:val="0"/>
        <w:spacing w:line="480" w:lineRule="auto"/>
        <w:jc w:val="both"/>
        <w:rPr>
          <w:sz w:val="22"/>
        </w:rPr>
      </w:pPr>
      <w:r>
        <w:rPr>
          <w:sz w:val="22"/>
        </w:rPr>
        <w:t>I</w:t>
      </w:r>
      <w:r w:rsidRPr="009871A0">
        <w:rPr>
          <w:sz w:val="22"/>
        </w:rPr>
        <w:t xml:space="preserve">n </w:t>
      </w:r>
      <w:r w:rsidRPr="009871A0">
        <w:rPr>
          <w:i/>
          <w:sz w:val="22"/>
        </w:rPr>
        <w:t>Austin</w:t>
      </w:r>
      <w:r>
        <w:rPr>
          <w:sz w:val="22"/>
        </w:rPr>
        <w:t xml:space="preserve">, the UKHL </w:t>
      </w:r>
      <w:r w:rsidRPr="009871A0">
        <w:rPr>
          <w:sz w:val="22"/>
        </w:rPr>
        <w:t xml:space="preserve">emphasised the purpose of the containment. The police’s decision was lawful </w:t>
      </w:r>
      <w:r w:rsidRPr="009871A0">
        <w:rPr>
          <w:sz w:val="22"/>
        </w:rPr>
        <w:lastRenderedPageBreak/>
        <w:t>because it had been taken in good faith, was proportionate to prevent serious disorder and was enforced for no longer than reasonably necessary.</w:t>
      </w:r>
      <w:r w:rsidRPr="009871A0">
        <w:rPr>
          <w:rStyle w:val="FootnoteReference"/>
          <w:sz w:val="22"/>
        </w:rPr>
        <w:footnoteReference w:id="82"/>
      </w:r>
      <w:r w:rsidRPr="009871A0">
        <w:rPr>
          <w:sz w:val="22"/>
        </w:rPr>
        <w:t xml:space="preserve"> The ECtHR, on the other hand, concluded that purpose was irrelevant, but undermined that conclusion by interpreting the “type” and “manner of implementation” parts of the four-part test to include “the specific context and circumstances”.</w:t>
      </w:r>
      <w:r w:rsidRPr="009871A0">
        <w:rPr>
          <w:rStyle w:val="FootnoteReference"/>
          <w:sz w:val="22"/>
        </w:rPr>
        <w:footnoteReference w:id="83"/>
      </w:r>
      <w:r w:rsidRPr="009871A0">
        <w:rPr>
          <w:sz w:val="22"/>
        </w:rPr>
        <w:t xml:space="preserve"> </w:t>
      </w:r>
      <w:r w:rsidR="001E5EC4" w:rsidRPr="009871A0">
        <w:rPr>
          <w:sz w:val="22"/>
        </w:rPr>
        <w:t>It was therefore held that because there was no alternative to avoid a real risk of serious injury or damage</w:t>
      </w:r>
      <w:r w:rsidR="007E1CDB">
        <w:rPr>
          <w:sz w:val="22"/>
        </w:rPr>
        <w:t>,</w:t>
      </w:r>
      <w:r w:rsidR="001E5EC4" w:rsidRPr="009871A0">
        <w:rPr>
          <w:sz w:val="22"/>
        </w:rPr>
        <w:t xml:space="preserve"> and because the measures were kept to a minimum, there was no deprivation of liberty, despite the duration and effects of the measure.</w:t>
      </w:r>
      <w:r w:rsidR="001E5EC4" w:rsidRPr="009871A0">
        <w:rPr>
          <w:rStyle w:val="FootnoteReference"/>
          <w:sz w:val="22"/>
        </w:rPr>
        <w:footnoteReference w:id="84"/>
      </w:r>
      <w:r w:rsidR="001E5EC4" w:rsidRPr="009871A0">
        <w:rPr>
          <w:sz w:val="22"/>
        </w:rPr>
        <w:t xml:space="preserve"> The applicants’ treatment was a mere </w:t>
      </w:r>
      <w:r w:rsidR="001E5EC4" w:rsidRPr="009871A0">
        <w:rPr>
          <w:i/>
          <w:sz w:val="22"/>
        </w:rPr>
        <w:t>interference with</w:t>
      </w:r>
      <w:r w:rsidR="001E5EC4" w:rsidRPr="009871A0">
        <w:rPr>
          <w:sz w:val="22"/>
        </w:rPr>
        <w:t xml:space="preserve">, or </w:t>
      </w:r>
      <w:r w:rsidR="001E5EC4" w:rsidRPr="009871A0">
        <w:rPr>
          <w:i/>
          <w:sz w:val="22"/>
        </w:rPr>
        <w:t>restriction of</w:t>
      </w:r>
      <w:r w:rsidR="001E5EC4" w:rsidRPr="009871A0">
        <w:rPr>
          <w:sz w:val="22"/>
        </w:rPr>
        <w:t xml:space="preserve">, their liberty rather than a </w:t>
      </w:r>
      <w:r w:rsidR="001E5EC4" w:rsidRPr="009871A0">
        <w:rPr>
          <w:i/>
          <w:sz w:val="22"/>
        </w:rPr>
        <w:t>deprivation</w:t>
      </w:r>
      <w:r w:rsidR="001E5EC4" w:rsidRPr="009871A0">
        <w:rPr>
          <w:sz w:val="22"/>
        </w:rPr>
        <w:t xml:space="preserve"> of their liberty. </w:t>
      </w:r>
      <w:r w:rsidR="001E5EC4">
        <w:rPr>
          <w:sz w:val="22"/>
        </w:rPr>
        <w:t>The context</w:t>
      </w:r>
      <w:r w:rsidR="00BB44A1">
        <w:rPr>
          <w:sz w:val="22"/>
        </w:rPr>
        <w:t>ual argument</w:t>
      </w:r>
      <w:r w:rsidR="001E5EC4">
        <w:rPr>
          <w:sz w:val="22"/>
        </w:rPr>
        <w:t>, however, give</w:t>
      </w:r>
      <w:r w:rsidR="00BB44A1">
        <w:rPr>
          <w:sz w:val="22"/>
        </w:rPr>
        <w:t>s</w:t>
      </w:r>
      <w:r w:rsidR="001E5EC4">
        <w:rPr>
          <w:sz w:val="22"/>
        </w:rPr>
        <w:t xml:space="preserve"> insufficient weight to the applicants’ article 10 and 11 rights.</w:t>
      </w:r>
      <w:r w:rsidR="001E5EC4" w:rsidRPr="00440766">
        <w:rPr>
          <w:sz w:val="22"/>
        </w:rPr>
        <w:t xml:space="preserve"> </w:t>
      </w:r>
      <w:r w:rsidR="001E5EC4" w:rsidRPr="009871A0">
        <w:rPr>
          <w:sz w:val="22"/>
        </w:rPr>
        <w:t>If context worked to the police’s advantage, it ought to have been taken into account in the applicants’ favour too.</w:t>
      </w:r>
      <w:r w:rsidR="001E5EC4" w:rsidRPr="009871A0">
        <w:rPr>
          <w:rStyle w:val="FootnoteReference"/>
          <w:sz w:val="22"/>
        </w:rPr>
        <w:footnoteReference w:id="85"/>
      </w:r>
      <w:r w:rsidR="001E5EC4" w:rsidRPr="009871A0">
        <w:rPr>
          <w:sz w:val="22"/>
        </w:rPr>
        <w:t xml:space="preserve"> Indeed in the breach of the peace case of </w:t>
      </w:r>
      <w:r w:rsidR="001E5EC4" w:rsidRPr="009871A0">
        <w:rPr>
          <w:i/>
          <w:sz w:val="22"/>
        </w:rPr>
        <w:t>Laporte</w:t>
      </w:r>
      <w:r w:rsidR="001E5EC4" w:rsidRPr="009871A0">
        <w:rPr>
          <w:sz w:val="22"/>
        </w:rPr>
        <w:t xml:space="preserve">, Lord Brown noted that the protest scenario made it all the more important that the police should take all possible steps to </w:t>
      </w:r>
      <w:r w:rsidR="00EB58F2">
        <w:rPr>
          <w:sz w:val="22"/>
        </w:rPr>
        <w:t>“advance</w:t>
      </w:r>
      <w:r w:rsidR="001E5EC4" w:rsidRPr="009871A0">
        <w:rPr>
          <w:sz w:val="22"/>
        </w:rPr>
        <w:t xml:space="preserve"> rather than thwart</w:t>
      </w:r>
      <w:r w:rsidR="00EB58F2">
        <w:rPr>
          <w:sz w:val="22"/>
        </w:rPr>
        <w:t>”</w:t>
      </w:r>
      <w:r w:rsidR="001E5EC4" w:rsidRPr="009871A0">
        <w:rPr>
          <w:sz w:val="22"/>
        </w:rPr>
        <w:t>, the appellants’ rights.</w:t>
      </w:r>
      <w:r w:rsidR="001E5EC4" w:rsidRPr="009871A0">
        <w:rPr>
          <w:rStyle w:val="FootnoteReference"/>
          <w:sz w:val="22"/>
        </w:rPr>
        <w:footnoteReference w:id="86"/>
      </w:r>
    </w:p>
    <w:p w14:paraId="02AC0EB4" w14:textId="1701D644" w:rsidR="0029303F" w:rsidRPr="009871A0" w:rsidRDefault="0029303F" w:rsidP="009D3687">
      <w:pPr>
        <w:widowControl w:val="0"/>
        <w:spacing w:line="480" w:lineRule="auto"/>
        <w:ind w:firstLine="720"/>
        <w:jc w:val="both"/>
        <w:rPr>
          <w:sz w:val="22"/>
        </w:rPr>
      </w:pPr>
      <w:r w:rsidRPr="009871A0">
        <w:rPr>
          <w:sz w:val="22"/>
        </w:rPr>
        <w:t xml:space="preserve">The UKSC was quite clear in </w:t>
      </w:r>
      <w:r w:rsidRPr="009871A0">
        <w:rPr>
          <w:i/>
          <w:sz w:val="22"/>
        </w:rPr>
        <w:t>Cheshire West</w:t>
      </w:r>
      <w:r w:rsidRPr="009871A0">
        <w:rPr>
          <w:sz w:val="22"/>
        </w:rPr>
        <w:t xml:space="preserve"> that the benevolent purpose of the deprivation was irrelevant. Indeed, the Court was able to cite </w:t>
      </w:r>
      <w:r w:rsidRPr="009871A0">
        <w:rPr>
          <w:i/>
          <w:sz w:val="22"/>
        </w:rPr>
        <w:t>Austin ECtHR</w:t>
      </w:r>
      <w:r w:rsidRPr="009871A0">
        <w:rPr>
          <w:sz w:val="22"/>
        </w:rPr>
        <w:t xml:space="preserve"> as authority.</w:t>
      </w:r>
      <w:r w:rsidRPr="009871A0">
        <w:rPr>
          <w:rStyle w:val="FootnoteReference"/>
          <w:sz w:val="22"/>
        </w:rPr>
        <w:footnoteReference w:id="87"/>
      </w:r>
      <w:r w:rsidRPr="009871A0">
        <w:rPr>
          <w:sz w:val="22"/>
        </w:rPr>
        <w:t xml:space="preserve"> As the UKSC held, benevolence of purpose can potentially </w:t>
      </w:r>
      <w:r w:rsidRPr="009871A0">
        <w:rPr>
          <w:i/>
          <w:sz w:val="22"/>
        </w:rPr>
        <w:t>justify</w:t>
      </w:r>
      <w:r w:rsidRPr="009871A0">
        <w:rPr>
          <w:sz w:val="22"/>
        </w:rPr>
        <w:t xml:space="preserve"> a deprivation of liberty, but it does not prevent a deprivation of liberty from occurring in the first place.</w:t>
      </w:r>
      <w:r w:rsidRPr="009871A0">
        <w:rPr>
          <w:rStyle w:val="FootnoteReference"/>
          <w:sz w:val="22"/>
        </w:rPr>
        <w:footnoteReference w:id="88"/>
      </w:r>
      <w:r w:rsidR="001E5EC4">
        <w:rPr>
          <w:sz w:val="22"/>
        </w:rPr>
        <w:t xml:space="preserve"> </w:t>
      </w:r>
      <w:r w:rsidRPr="009871A0">
        <w:rPr>
          <w:sz w:val="22"/>
        </w:rPr>
        <w:t xml:space="preserve">We cannot say that purpose is irrelevant because, without a good purpose, an otherwise lawful measure will be arbitrary and thus unlawful. But good motivations cannot breathe life into otherwise unlawful conduct. Purpose is therefore only relevant insofar as an </w:t>
      </w:r>
      <w:r w:rsidRPr="009871A0">
        <w:rPr>
          <w:i/>
          <w:sz w:val="22"/>
        </w:rPr>
        <w:t>absence</w:t>
      </w:r>
      <w:r w:rsidRPr="009871A0">
        <w:rPr>
          <w:sz w:val="22"/>
        </w:rPr>
        <w:t xml:space="preserve"> of good purpose will render an action unlawful, but the </w:t>
      </w:r>
      <w:r w:rsidRPr="009871A0">
        <w:rPr>
          <w:i/>
          <w:sz w:val="22"/>
        </w:rPr>
        <w:t>presence</w:t>
      </w:r>
      <w:r w:rsidRPr="009871A0">
        <w:rPr>
          <w:sz w:val="22"/>
        </w:rPr>
        <w:t xml:space="preserve"> of good </w:t>
      </w:r>
      <w:r w:rsidRPr="009871A0">
        <w:rPr>
          <w:sz w:val="22"/>
        </w:rPr>
        <w:lastRenderedPageBreak/>
        <w:t>purpose does not necessarily mean that an action is lawful.</w:t>
      </w:r>
    </w:p>
    <w:p w14:paraId="1DBCC019" w14:textId="3B64A4C5" w:rsidR="0029303F" w:rsidRPr="009871A0" w:rsidRDefault="0029303F" w:rsidP="0029303F">
      <w:pPr>
        <w:keepNext/>
        <w:widowControl w:val="0"/>
        <w:spacing w:line="480" w:lineRule="auto"/>
        <w:ind w:firstLine="720"/>
        <w:jc w:val="both"/>
        <w:rPr>
          <w:sz w:val="22"/>
        </w:rPr>
      </w:pPr>
      <w:r w:rsidRPr="009871A0">
        <w:rPr>
          <w:sz w:val="22"/>
        </w:rPr>
        <w:t>As Feldman has observed, “[f]undamental rights and pragmatism often … pull in opposite directions”.</w:t>
      </w:r>
      <w:r w:rsidRPr="009871A0">
        <w:rPr>
          <w:rStyle w:val="FootnoteReference"/>
          <w:sz w:val="22"/>
        </w:rPr>
        <w:footnoteReference w:id="89"/>
      </w:r>
      <w:r w:rsidRPr="009871A0">
        <w:rPr>
          <w:sz w:val="22"/>
        </w:rPr>
        <w:t xml:space="preserve"> </w:t>
      </w:r>
      <w:r w:rsidRPr="009871A0">
        <w:rPr>
          <w:i/>
          <w:sz w:val="22"/>
        </w:rPr>
        <w:t>Austin</w:t>
      </w:r>
      <w:r w:rsidRPr="009871A0">
        <w:rPr>
          <w:sz w:val="22"/>
        </w:rPr>
        <w:t xml:space="preserve"> was explicitly decided on the basis of pragmatism,</w:t>
      </w:r>
      <w:r w:rsidRPr="009871A0">
        <w:rPr>
          <w:rStyle w:val="FootnoteReference"/>
          <w:sz w:val="22"/>
        </w:rPr>
        <w:footnoteReference w:id="90"/>
      </w:r>
      <w:r w:rsidRPr="009871A0">
        <w:rPr>
          <w:sz w:val="22"/>
        </w:rPr>
        <w:t xml:space="preserve"> whereas </w:t>
      </w:r>
      <w:r w:rsidRPr="009871A0">
        <w:rPr>
          <w:i/>
          <w:sz w:val="22"/>
        </w:rPr>
        <w:t>Cheshire West</w:t>
      </w:r>
      <w:r w:rsidRPr="009871A0">
        <w:rPr>
          <w:sz w:val="22"/>
        </w:rPr>
        <w:t xml:space="preserve"> threw the relevant authorities into chaos, with a tenfold increase in the number of patients in need of assessment.</w:t>
      </w:r>
      <w:r w:rsidRPr="009871A0">
        <w:rPr>
          <w:rStyle w:val="FootnoteReference"/>
          <w:sz w:val="22"/>
        </w:rPr>
        <w:footnoteReference w:id="91"/>
      </w:r>
      <w:r w:rsidRPr="009871A0">
        <w:rPr>
          <w:sz w:val="22"/>
        </w:rPr>
        <w:t xml:space="preserve"> Although courts may of course be mindful of practicalities, most problems have a solution – the Law Commission of England and Wales, for example, published a </w:t>
      </w:r>
      <w:r w:rsidR="00032550">
        <w:rPr>
          <w:sz w:val="22"/>
        </w:rPr>
        <w:t>proposal</w:t>
      </w:r>
      <w:r w:rsidRPr="009871A0">
        <w:rPr>
          <w:sz w:val="22"/>
        </w:rPr>
        <w:t xml:space="preserve"> to deal with impact of </w:t>
      </w:r>
      <w:r w:rsidRPr="009871A0">
        <w:rPr>
          <w:i/>
          <w:sz w:val="22"/>
        </w:rPr>
        <w:t>Cheshire West</w:t>
      </w:r>
      <w:r w:rsidRPr="009871A0">
        <w:rPr>
          <w:sz w:val="22"/>
        </w:rPr>
        <w:t>,</w:t>
      </w:r>
      <w:r w:rsidRPr="009871A0">
        <w:rPr>
          <w:rStyle w:val="FootnoteReference"/>
          <w:sz w:val="22"/>
        </w:rPr>
        <w:footnoteReference w:id="92"/>
      </w:r>
      <w:r w:rsidRPr="009871A0">
        <w:rPr>
          <w:sz w:val="22"/>
        </w:rPr>
        <w:t xml:space="preserve"> which the Government has broadly accepted.</w:t>
      </w:r>
      <w:r w:rsidRPr="009871A0">
        <w:rPr>
          <w:rStyle w:val="FootnoteReference"/>
          <w:sz w:val="22"/>
        </w:rPr>
        <w:footnoteReference w:id="93"/>
      </w:r>
      <w:r w:rsidRPr="009871A0">
        <w:rPr>
          <w:sz w:val="22"/>
        </w:rPr>
        <w:t xml:space="preserve"> The </w:t>
      </w:r>
      <w:r w:rsidRPr="009871A0">
        <w:rPr>
          <w:i/>
          <w:sz w:val="22"/>
        </w:rPr>
        <w:t>Cheshire West</w:t>
      </w:r>
      <w:r w:rsidRPr="009871A0">
        <w:rPr>
          <w:sz w:val="22"/>
        </w:rPr>
        <w:t xml:space="preserve"> </w:t>
      </w:r>
      <w:r w:rsidR="009A6E50">
        <w:rPr>
          <w:sz w:val="22"/>
        </w:rPr>
        <w:t xml:space="preserve">Court </w:t>
      </w:r>
      <w:r w:rsidRPr="009871A0">
        <w:rPr>
          <w:sz w:val="22"/>
        </w:rPr>
        <w:t>was keen to introduce a clear test because those practising in the area “need, and are entitled to, as much in the way of clear guidance as it is possible for the courts to give”</w:t>
      </w:r>
      <w:r w:rsidRPr="009871A0">
        <w:rPr>
          <w:rStyle w:val="FootnoteReference"/>
          <w:sz w:val="22"/>
        </w:rPr>
        <w:footnoteReference w:id="94"/>
      </w:r>
      <w:r w:rsidRPr="009871A0">
        <w:rPr>
          <w:sz w:val="22"/>
        </w:rPr>
        <w:t xml:space="preserve"> – the same can be said about the need to provide similar clarity for the police. </w:t>
      </w:r>
    </w:p>
    <w:p w14:paraId="6D22351B" w14:textId="278525C8" w:rsidR="0029303F" w:rsidRPr="009871A0" w:rsidRDefault="0029303F" w:rsidP="0029303F">
      <w:pPr>
        <w:widowControl w:val="0"/>
        <w:spacing w:line="480" w:lineRule="auto"/>
        <w:ind w:firstLine="720"/>
        <w:jc w:val="both"/>
        <w:rPr>
          <w:sz w:val="22"/>
        </w:rPr>
      </w:pPr>
      <w:r w:rsidRPr="009871A0">
        <w:rPr>
          <w:sz w:val="22"/>
        </w:rPr>
        <w:t xml:space="preserve">Cases dealing with police operational discretion admittedly pose a dilemma. Unlike </w:t>
      </w:r>
      <w:r w:rsidRPr="009871A0">
        <w:rPr>
          <w:i/>
          <w:sz w:val="22"/>
        </w:rPr>
        <w:t>Cheshire West</w:t>
      </w:r>
      <w:r w:rsidRPr="009871A0">
        <w:rPr>
          <w:sz w:val="22"/>
        </w:rPr>
        <w:t>, operational policing involves making decisions quickly and it is necessary to “avoid the wisdom of hindsight”.</w:t>
      </w:r>
      <w:r w:rsidRPr="009871A0">
        <w:rPr>
          <w:rStyle w:val="FootnoteReference"/>
          <w:sz w:val="22"/>
        </w:rPr>
        <w:footnoteReference w:id="95"/>
      </w:r>
      <w:r w:rsidRPr="009871A0">
        <w:rPr>
          <w:sz w:val="22"/>
        </w:rPr>
        <w:t xml:space="preserve"> Difficult decisions must be made in the heat of the moment and the court must consider only whether the </w:t>
      </w:r>
      <w:r w:rsidRPr="009871A0">
        <w:rPr>
          <w:i/>
          <w:sz w:val="22"/>
        </w:rPr>
        <w:t>police’s</w:t>
      </w:r>
      <w:r w:rsidRPr="009871A0">
        <w:rPr>
          <w:sz w:val="22"/>
        </w:rPr>
        <w:t xml:space="preserve"> decision was reasonable and not substitute its own verdict of what </w:t>
      </w:r>
      <w:r w:rsidRPr="009871A0">
        <w:rPr>
          <w:i/>
          <w:sz w:val="22"/>
        </w:rPr>
        <w:t xml:space="preserve">it </w:t>
      </w:r>
      <w:r w:rsidRPr="009871A0">
        <w:rPr>
          <w:sz w:val="22"/>
        </w:rPr>
        <w:t xml:space="preserve">thinks </w:t>
      </w:r>
      <w:r w:rsidRPr="009871A0">
        <w:rPr>
          <w:sz w:val="22"/>
        </w:rPr>
        <w:lastRenderedPageBreak/>
        <w:t>would have been reasonable.</w:t>
      </w:r>
      <w:r w:rsidRPr="009871A0">
        <w:rPr>
          <w:rStyle w:val="FootnoteReference"/>
          <w:sz w:val="22"/>
        </w:rPr>
        <w:footnoteReference w:id="96"/>
      </w:r>
      <w:r w:rsidRPr="009871A0">
        <w:rPr>
          <w:sz w:val="22"/>
        </w:rPr>
        <w:t xml:space="preserve"> But even if we accept that the police genuinely had no alternative, that alo</w:t>
      </w:r>
      <w:r w:rsidR="001D556F">
        <w:rPr>
          <w:sz w:val="22"/>
        </w:rPr>
        <w:t>ne does not make their actions a</w:t>
      </w:r>
      <w:r w:rsidRPr="009871A0">
        <w:rPr>
          <w:sz w:val="22"/>
        </w:rPr>
        <w:t xml:space="preserve">rticle 5 compliant. Instead of providing a judgment to clarify how the police might act in subsequent scenarios, the </w:t>
      </w:r>
      <w:r w:rsidRPr="009871A0">
        <w:rPr>
          <w:i/>
          <w:sz w:val="22"/>
        </w:rPr>
        <w:t xml:space="preserve">Austin </w:t>
      </w:r>
      <w:r w:rsidRPr="009871A0">
        <w:rPr>
          <w:sz w:val="22"/>
        </w:rPr>
        <w:t>courts showed “the worst strains of excessive judicial deference”.</w:t>
      </w:r>
      <w:r w:rsidRPr="009871A0">
        <w:rPr>
          <w:rStyle w:val="FootnoteReference"/>
          <w:sz w:val="22"/>
        </w:rPr>
        <w:footnoteReference w:id="97"/>
      </w:r>
      <w:r w:rsidRPr="009871A0">
        <w:rPr>
          <w:sz w:val="22"/>
        </w:rPr>
        <w:t xml:space="preserve"> The police tread a fine line and make difficult decisions in emergency situations. If they stray onto the wrong side of that line, the court may express sympathy for the decision reached,</w:t>
      </w:r>
      <w:r w:rsidRPr="009871A0">
        <w:rPr>
          <w:rStyle w:val="FootnoteReference"/>
          <w:sz w:val="22"/>
        </w:rPr>
        <w:footnoteReference w:id="98"/>
      </w:r>
      <w:r w:rsidRPr="009871A0">
        <w:rPr>
          <w:sz w:val="22"/>
        </w:rPr>
        <w:t xml:space="preserve"> but should exercise a checking function to encourage more c</w:t>
      </w:r>
      <w:r w:rsidR="009A6E50">
        <w:rPr>
          <w:sz w:val="22"/>
        </w:rPr>
        <w:t>areful deliberation in future. M</w:t>
      </w:r>
      <w:r w:rsidRPr="009871A0">
        <w:rPr>
          <w:sz w:val="22"/>
        </w:rPr>
        <w:t xml:space="preserve">aking a decision in the heat of the moment may explain why a course of action was taken, but it does not necessarily justify it. The courts are right to give </w:t>
      </w:r>
      <w:r w:rsidR="0029797A">
        <w:rPr>
          <w:sz w:val="22"/>
        </w:rPr>
        <w:t>“</w:t>
      </w:r>
      <w:r w:rsidRPr="009871A0">
        <w:rPr>
          <w:sz w:val="22"/>
        </w:rPr>
        <w:t>a high degree of respect</w:t>
      </w:r>
      <w:r w:rsidR="0029797A">
        <w:rPr>
          <w:sz w:val="22"/>
        </w:rPr>
        <w:t>”</w:t>
      </w:r>
      <w:r w:rsidRPr="009871A0">
        <w:rPr>
          <w:sz w:val="22"/>
        </w:rPr>
        <w:t xml:space="preserve"> to police decisions,</w:t>
      </w:r>
      <w:r w:rsidRPr="009871A0">
        <w:rPr>
          <w:rStyle w:val="FootnoteReference"/>
          <w:sz w:val="22"/>
        </w:rPr>
        <w:footnoteReference w:id="99"/>
      </w:r>
      <w:r w:rsidRPr="009871A0">
        <w:rPr>
          <w:sz w:val="22"/>
        </w:rPr>
        <w:t xml:space="preserve"> but they are not sacrosanct.</w:t>
      </w:r>
      <w:r w:rsidRPr="009871A0">
        <w:rPr>
          <w:rStyle w:val="FootnoteReference"/>
          <w:sz w:val="22"/>
        </w:rPr>
        <w:footnoteReference w:id="100"/>
      </w:r>
    </w:p>
    <w:p w14:paraId="545C3C3A" w14:textId="523B54FD" w:rsidR="0029303F" w:rsidRDefault="0029303F" w:rsidP="0029303F">
      <w:pPr>
        <w:spacing w:line="480" w:lineRule="auto"/>
        <w:ind w:firstLine="720"/>
        <w:jc w:val="both"/>
        <w:rPr>
          <w:sz w:val="22"/>
        </w:rPr>
      </w:pPr>
      <w:r w:rsidRPr="009871A0">
        <w:rPr>
          <w:sz w:val="22"/>
        </w:rPr>
        <w:t xml:space="preserve">We may instinctively want the police to err on the side of caution to avoid the potential harmful outcome of scenarios like </w:t>
      </w:r>
      <w:r w:rsidRPr="009871A0">
        <w:rPr>
          <w:i/>
          <w:sz w:val="22"/>
        </w:rPr>
        <w:t>Austin</w:t>
      </w:r>
      <w:r w:rsidRPr="009871A0">
        <w:rPr>
          <w:sz w:val="22"/>
        </w:rPr>
        <w:t>. But although it is true that “[f]or the police to do nothing can be as dangerous as to do the wrong thing”,</w:t>
      </w:r>
      <w:r w:rsidRPr="009871A0">
        <w:rPr>
          <w:rStyle w:val="FootnoteReference"/>
          <w:sz w:val="22"/>
        </w:rPr>
        <w:footnoteReference w:id="101"/>
      </w:r>
      <w:r w:rsidRPr="009871A0">
        <w:rPr>
          <w:sz w:val="22"/>
        </w:rPr>
        <w:t xml:space="preserve"> the opposite may also hold true: sometimes the police doing the wrong thing may be as dangerous as doing nothing. As Tugendhat J</w:t>
      </w:r>
      <w:r w:rsidR="002F40B8">
        <w:rPr>
          <w:sz w:val="22"/>
        </w:rPr>
        <w:t>.</w:t>
      </w:r>
      <w:r w:rsidRPr="009871A0">
        <w:rPr>
          <w:sz w:val="22"/>
        </w:rPr>
        <w:t xml:space="preserve"> admitted, when the police use “strong tactics” “[o]therwise peaceful people can become annoyed”.</w:t>
      </w:r>
      <w:r w:rsidRPr="009871A0">
        <w:rPr>
          <w:rStyle w:val="FootnoteReference"/>
          <w:sz w:val="22"/>
        </w:rPr>
        <w:footnoteReference w:id="102"/>
      </w:r>
      <w:r w:rsidRPr="009871A0">
        <w:rPr>
          <w:sz w:val="22"/>
        </w:rPr>
        <w:t xml:space="preserve"> In </w:t>
      </w:r>
      <w:r w:rsidRPr="009871A0">
        <w:rPr>
          <w:i/>
          <w:sz w:val="22"/>
        </w:rPr>
        <w:t>Austin</w:t>
      </w:r>
      <w:r w:rsidRPr="009871A0">
        <w:rPr>
          <w:sz w:val="22"/>
        </w:rPr>
        <w:t>, the crowd was not wholly peaceful – some objects had been thrown</w:t>
      </w:r>
      <w:r w:rsidRPr="009871A0">
        <w:rPr>
          <w:rStyle w:val="FootnoteReference"/>
          <w:sz w:val="22"/>
        </w:rPr>
        <w:footnoteReference w:id="103"/>
      </w:r>
      <w:r w:rsidRPr="009871A0">
        <w:rPr>
          <w:sz w:val="22"/>
        </w:rPr>
        <w:t xml:space="preserve"> – but the worst of the violence started </w:t>
      </w:r>
      <w:r w:rsidRPr="009871A0">
        <w:rPr>
          <w:i/>
          <w:sz w:val="22"/>
        </w:rPr>
        <w:t>after</w:t>
      </w:r>
      <w:r w:rsidRPr="009871A0">
        <w:rPr>
          <w:sz w:val="22"/>
        </w:rPr>
        <w:t xml:space="preserve"> the cordon had been put in place. The police have accepted in other cases that containment “can actually escalate what is already going on”.</w:t>
      </w:r>
      <w:r w:rsidRPr="009871A0">
        <w:rPr>
          <w:rStyle w:val="FootnoteReference"/>
          <w:sz w:val="22"/>
        </w:rPr>
        <w:footnoteReference w:id="104"/>
      </w:r>
      <w:r w:rsidRPr="009871A0">
        <w:rPr>
          <w:sz w:val="22"/>
        </w:rPr>
        <w:t xml:space="preserve"> Psychological research too has shown that when the police treat </w:t>
      </w:r>
      <w:r w:rsidRPr="009871A0">
        <w:rPr>
          <w:sz w:val="22"/>
        </w:rPr>
        <w:lastRenderedPageBreak/>
        <w:t>crowds as homogenous, non-violent members can “reconceptulize themselves” as violent, which “empower[s] crowd members to resist the police” thus “setting up a cycle of tension and escalating conflict”.</w:t>
      </w:r>
      <w:r w:rsidRPr="009871A0">
        <w:rPr>
          <w:rStyle w:val="FootnoteReference"/>
          <w:sz w:val="22"/>
        </w:rPr>
        <w:footnoteReference w:id="105"/>
      </w:r>
      <w:r w:rsidRPr="009871A0">
        <w:rPr>
          <w:sz w:val="22"/>
        </w:rPr>
        <w:t xml:space="preserve"> Innocent bystanders should be “regarded as potential allies of the police”.</w:t>
      </w:r>
      <w:r w:rsidRPr="009871A0">
        <w:rPr>
          <w:rStyle w:val="FootnoteReference"/>
          <w:sz w:val="22"/>
        </w:rPr>
        <w:footnoteReference w:id="106"/>
      </w:r>
      <w:r w:rsidRPr="009871A0">
        <w:rPr>
          <w:sz w:val="22"/>
        </w:rPr>
        <w:t xml:space="preserve"> That potential benefit is squandered if they are treated harshly and their goodwill is lost. Best guidance for crowd control suggests that the police must do more to differentiate between (a) </w:t>
      </w:r>
      <w:r w:rsidR="000C0185">
        <w:rPr>
          <w:sz w:val="22"/>
        </w:rPr>
        <w:t>protestors</w:t>
      </w:r>
      <w:r w:rsidRPr="009871A0">
        <w:rPr>
          <w:sz w:val="22"/>
        </w:rPr>
        <w:t xml:space="preserve"> and non-</w:t>
      </w:r>
      <w:r w:rsidR="000C0185">
        <w:rPr>
          <w:sz w:val="22"/>
        </w:rPr>
        <w:t>protestors</w:t>
      </w:r>
      <w:r w:rsidRPr="009871A0">
        <w:rPr>
          <w:sz w:val="22"/>
        </w:rPr>
        <w:t xml:space="preserve">, and (b) peaceful and non-peaceful </w:t>
      </w:r>
      <w:r w:rsidR="000C0185">
        <w:rPr>
          <w:sz w:val="22"/>
        </w:rPr>
        <w:t>protestors</w:t>
      </w:r>
      <w:r w:rsidRPr="009871A0">
        <w:rPr>
          <w:sz w:val="22"/>
        </w:rPr>
        <w:t>.</w:t>
      </w:r>
      <w:r w:rsidRPr="009871A0">
        <w:rPr>
          <w:rStyle w:val="FootnoteReference"/>
          <w:sz w:val="22"/>
        </w:rPr>
        <w:footnoteReference w:id="107"/>
      </w:r>
      <w:r w:rsidRPr="009871A0">
        <w:rPr>
          <w:sz w:val="22"/>
        </w:rPr>
        <w:t xml:space="preserve"> Kettling, therefore, “must only be used exceptionally” because of the inability to make both of those distinctions and its propensity to thus “exacerbate tensions”.</w:t>
      </w:r>
      <w:r w:rsidRPr="009871A0">
        <w:rPr>
          <w:rStyle w:val="FootnoteReference"/>
          <w:sz w:val="22"/>
        </w:rPr>
        <w:footnoteReference w:id="108"/>
      </w:r>
      <w:r w:rsidRPr="009871A0">
        <w:rPr>
          <w:sz w:val="22"/>
        </w:rPr>
        <w:t xml:space="preserve"> </w:t>
      </w:r>
      <w:r w:rsidR="00145A20">
        <w:rPr>
          <w:sz w:val="22"/>
        </w:rPr>
        <w:t>In sum, t</w:t>
      </w:r>
      <w:r w:rsidR="00BE325F">
        <w:rPr>
          <w:sz w:val="22"/>
        </w:rPr>
        <w:t xml:space="preserve">he </w:t>
      </w:r>
      <w:r w:rsidR="00145A20">
        <w:rPr>
          <w:sz w:val="22"/>
        </w:rPr>
        <w:t xml:space="preserve">type and manner of implementation of the measure in </w:t>
      </w:r>
      <w:r w:rsidR="00145A20" w:rsidRPr="00145A20">
        <w:rPr>
          <w:i/>
          <w:sz w:val="22"/>
        </w:rPr>
        <w:t>Austin</w:t>
      </w:r>
      <w:r w:rsidR="00145A20">
        <w:rPr>
          <w:sz w:val="22"/>
        </w:rPr>
        <w:t xml:space="preserve"> tend to support a deprivation of liberty havin</w:t>
      </w:r>
      <w:r w:rsidR="000C0185">
        <w:rPr>
          <w:sz w:val="22"/>
        </w:rPr>
        <w:t>g taken place, rather than the court</w:t>
      </w:r>
      <w:r w:rsidR="00145A20">
        <w:rPr>
          <w:sz w:val="22"/>
        </w:rPr>
        <w:t>s</w:t>
      </w:r>
      <w:r w:rsidR="000C0185">
        <w:rPr>
          <w:sz w:val="22"/>
        </w:rPr>
        <w:t>’</w:t>
      </w:r>
      <w:r w:rsidR="00145A20">
        <w:rPr>
          <w:sz w:val="22"/>
        </w:rPr>
        <w:t xml:space="preserve"> conclusion to the contrary.</w:t>
      </w:r>
    </w:p>
    <w:p w14:paraId="707E7191" w14:textId="77777777" w:rsidR="001E5EC4" w:rsidRPr="009871A0" w:rsidRDefault="001E5EC4" w:rsidP="0029303F">
      <w:pPr>
        <w:spacing w:line="480" w:lineRule="auto"/>
        <w:ind w:firstLine="720"/>
        <w:jc w:val="both"/>
        <w:rPr>
          <w:sz w:val="22"/>
        </w:rPr>
      </w:pPr>
    </w:p>
    <w:p w14:paraId="6C98DE7E" w14:textId="272612EA" w:rsidR="001E5EC4" w:rsidRPr="001E5EC4" w:rsidRDefault="001E5EC4" w:rsidP="004929FB">
      <w:pPr>
        <w:pStyle w:val="Heading3"/>
      </w:pPr>
      <w:r w:rsidRPr="001E5EC4">
        <w:t>Conclusions on the four-part test</w:t>
      </w:r>
      <w:r w:rsidR="00145A20">
        <w:t xml:space="preserve">: </w:t>
      </w:r>
      <w:r w:rsidR="00145A20" w:rsidRPr="00145A20">
        <w:rPr>
          <w:i w:val="0"/>
        </w:rPr>
        <w:t xml:space="preserve">Austin’s </w:t>
      </w:r>
      <w:r w:rsidR="00145A20">
        <w:t>legacy</w:t>
      </w:r>
    </w:p>
    <w:p w14:paraId="717F5ACE" w14:textId="7FC45B7F" w:rsidR="0029303F" w:rsidRPr="009871A0" w:rsidRDefault="0029303F" w:rsidP="001E5EC4">
      <w:pPr>
        <w:spacing w:line="480" w:lineRule="auto"/>
        <w:jc w:val="both"/>
        <w:rPr>
          <w:sz w:val="22"/>
        </w:rPr>
      </w:pPr>
      <w:r w:rsidRPr="009871A0">
        <w:rPr>
          <w:sz w:val="22"/>
        </w:rPr>
        <w:t xml:space="preserve">In </w:t>
      </w:r>
      <w:r w:rsidRPr="009871A0">
        <w:rPr>
          <w:i/>
          <w:sz w:val="22"/>
        </w:rPr>
        <w:t>Austin</w:t>
      </w:r>
      <w:r w:rsidR="00EB58F2">
        <w:rPr>
          <w:sz w:val="22"/>
        </w:rPr>
        <w:t xml:space="preserve">, the </w:t>
      </w:r>
      <w:r w:rsidRPr="009871A0">
        <w:rPr>
          <w:sz w:val="22"/>
        </w:rPr>
        <w:t>government suggested that if the police’s actions were ruled unlawful, more draconian crowd control tactics such as tear gas or rubber bullets would be needed in future.</w:t>
      </w:r>
      <w:r w:rsidRPr="009871A0">
        <w:rPr>
          <w:rStyle w:val="FootnoteReference"/>
          <w:sz w:val="22"/>
        </w:rPr>
        <w:footnoteReference w:id="109"/>
      </w:r>
      <w:r w:rsidRPr="009871A0">
        <w:rPr>
          <w:sz w:val="22"/>
        </w:rPr>
        <w:t xml:space="preserve"> But such statements are scaremongering. Finding a deprivation of liberty in </w:t>
      </w:r>
      <w:r w:rsidRPr="009871A0">
        <w:rPr>
          <w:i/>
          <w:sz w:val="22"/>
        </w:rPr>
        <w:t>Austin</w:t>
      </w:r>
      <w:r w:rsidRPr="009871A0">
        <w:rPr>
          <w:sz w:val="22"/>
        </w:rPr>
        <w:t xml:space="preserve"> would not have ruled kettling unlawful as a tactic, just as decisions that rule that an arrest was unlawful do not suggest that the police can no longer arrest people. They simply rule that </w:t>
      </w:r>
      <w:r w:rsidRPr="009871A0">
        <w:rPr>
          <w:i/>
          <w:sz w:val="22"/>
        </w:rPr>
        <w:t>this</w:t>
      </w:r>
      <w:r w:rsidRPr="009871A0">
        <w:rPr>
          <w:sz w:val="22"/>
        </w:rPr>
        <w:t xml:space="preserve"> arrest, or </w:t>
      </w:r>
      <w:r w:rsidRPr="009871A0">
        <w:rPr>
          <w:i/>
          <w:sz w:val="22"/>
        </w:rPr>
        <w:t>this</w:t>
      </w:r>
      <w:r w:rsidRPr="009871A0">
        <w:rPr>
          <w:sz w:val="22"/>
        </w:rPr>
        <w:t xml:space="preserve"> cordon was unlawful. </w:t>
      </w:r>
      <w:r w:rsidRPr="009871A0">
        <w:rPr>
          <w:i/>
          <w:sz w:val="22"/>
        </w:rPr>
        <w:t>Austin</w:t>
      </w:r>
      <w:r w:rsidR="00032550">
        <w:rPr>
          <w:sz w:val="22"/>
        </w:rPr>
        <w:t xml:space="preserve"> did</w:t>
      </w:r>
      <w:r w:rsidRPr="009871A0">
        <w:rPr>
          <w:sz w:val="22"/>
        </w:rPr>
        <w:t xml:space="preserve"> not give the green light for the police to kettle all protestors in all circumstances.</w:t>
      </w:r>
      <w:r w:rsidRPr="009871A0">
        <w:rPr>
          <w:rStyle w:val="FootnoteReference"/>
          <w:sz w:val="22"/>
        </w:rPr>
        <w:footnoteReference w:id="110"/>
      </w:r>
      <w:r w:rsidRPr="009871A0">
        <w:rPr>
          <w:sz w:val="22"/>
        </w:rPr>
        <w:t xml:space="preserve"> Given the circumstances of </w:t>
      </w:r>
      <w:r w:rsidRPr="009871A0">
        <w:rPr>
          <w:i/>
          <w:sz w:val="22"/>
        </w:rPr>
        <w:t>Austin</w:t>
      </w:r>
      <w:r w:rsidRPr="009871A0">
        <w:rPr>
          <w:sz w:val="22"/>
        </w:rPr>
        <w:t xml:space="preserve"> (including particularly the duration and conditions of the confinement) it would have been better </w:t>
      </w:r>
      <w:r w:rsidRPr="009871A0">
        <w:rPr>
          <w:sz w:val="22"/>
        </w:rPr>
        <w:lastRenderedPageBreak/>
        <w:t xml:space="preserve">to hold that </w:t>
      </w:r>
      <w:r w:rsidRPr="009871A0">
        <w:rPr>
          <w:i/>
          <w:sz w:val="22"/>
        </w:rPr>
        <w:t>this</w:t>
      </w:r>
      <w:r w:rsidRPr="009871A0">
        <w:rPr>
          <w:sz w:val="22"/>
        </w:rPr>
        <w:t xml:space="preserve"> cordon was unlawful, but that other instances could be envisaged where it would be lawful according to the four-part test if, for example, it were for a shorter period of time.</w:t>
      </w:r>
    </w:p>
    <w:p w14:paraId="6C093D84" w14:textId="0F47E0E0" w:rsidR="001E5EC4" w:rsidRDefault="0029303F" w:rsidP="001E5EC4">
      <w:pPr>
        <w:spacing w:line="480" w:lineRule="auto"/>
        <w:ind w:firstLine="720"/>
        <w:jc w:val="both"/>
        <w:rPr>
          <w:sz w:val="22"/>
        </w:rPr>
      </w:pPr>
      <w:r w:rsidRPr="009871A0">
        <w:rPr>
          <w:sz w:val="22"/>
        </w:rPr>
        <w:t xml:space="preserve">Instead, </w:t>
      </w:r>
      <w:r w:rsidRPr="009871A0">
        <w:rPr>
          <w:i/>
          <w:sz w:val="22"/>
        </w:rPr>
        <w:t>Austin</w:t>
      </w:r>
      <w:r w:rsidRPr="009871A0">
        <w:rPr>
          <w:sz w:val="22"/>
        </w:rPr>
        <w:t xml:space="preserve"> has been linked to the police taking a more robust approach at the London G20 protests in 2009 with tragic consequences,</w:t>
      </w:r>
      <w:r w:rsidRPr="009871A0">
        <w:rPr>
          <w:rStyle w:val="FootnoteReference"/>
          <w:sz w:val="22"/>
        </w:rPr>
        <w:footnoteReference w:id="111"/>
      </w:r>
      <w:r w:rsidRPr="009871A0">
        <w:rPr>
          <w:sz w:val="22"/>
        </w:rPr>
        <w:t xml:space="preserve"> and has been “perceived by the police to sanction a much wider use” of kettling.</w:t>
      </w:r>
      <w:r w:rsidRPr="009871A0">
        <w:rPr>
          <w:rStyle w:val="FootnoteReference"/>
          <w:sz w:val="22"/>
        </w:rPr>
        <w:footnoteReference w:id="112"/>
      </w:r>
      <w:r w:rsidRPr="009871A0">
        <w:rPr>
          <w:sz w:val="22"/>
        </w:rPr>
        <w:t xml:space="preserve"> In </w:t>
      </w:r>
      <w:r w:rsidRPr="009871A0">
        <w:rPr>
          <w:i/>
          <w:sz w:val="22"/>
        </w:rPr>
        <w:t>Austin</w:t>
      </w:r>
      <w:r w:rsidRPr="009871A0">
        <w:rPr>
          <w:sz w:val="22"/>
        </w:rPr>
        <w:t>, even the police admitted that kettling was “fairly draconian” and so should “always be as quick and transitory as possible”.</w:t>
      </w:r>
      <w:r w:rsidRPr="009871A0">
        <w:rPr>
          <w:rStyle w:val="FootnoteReference"/>
          <w:sz w:val="22"/>
        </w:rPr>
        <w:footnoteReference w:id="113"/>
      </w:r>
      <w:r w:rsidRPr="009871A0">
        <w:rPr>
          <w:sz w:val="22"/>
        </w:rPr>
        <w:t xml:space="preserve"> But subsequent cases have found kettling to be lawful in even less compelling circumstances than in </w:t>
      </w:r>
      <w:r w:rsidRPr="009871A0">
        <w:rPr>
          <w:i/>
          <w:sz w:val="22"/>
        </w:rPr>
        <w:t>Austin</w:t>
      </w:r>
      <w:r w:rsidRPr="009871A0">
        <w:rPr>
          <w:sz w:val="22"/>
        </w:rPr>
        <w:t xml:space="preserve">. For example, in </w:t>
      </w:r>
      <w:r w:rsidRPr="009871A0">
        <w:rPr>
          <w:i/>
          <w:sz w:val="22"/>
        </w:rPr>
        <w:t xml:space="preserve">Moos </w:t>
      </w:r>
      <w:r w:rsidRPr="009871A0">
        <w:rPr>
          <w:sz w:val="22"/>
        </w:rPr>
        <w:t xml:space="preserve">(2012), a peaceful protest was kettled so that a violent protest, which had earlier been kettled, could be released without risking the violence re-erupting. That case went beyond </w:t>
      </w:r>
      <w:r w:rsidRPr="009871A0">
        <w:rPr>
          <w:i/>
          <w:sz w:val="22"/>
        </w:rPr>
        <w:t>Austin</w:t>
      </w:r>
      <w:r w:rsidRPr="009871A0">
        <w:rPr>
          <w:sz w:val="22"/>
        </w:rPr>
        <w:t xml:space="preserve"> in sanctioning kettling even where the imminence of the breach of the peace was questionable. The Court should have held, as it did in the case of </w:t>
      </w:r>
      <w:r w:rsidRPr="009871A0">
        <w:rPr>
          <w:i/>
          <w:sz w:val="22"/>
        </w:rPr>
        <w:t xml:space="preserve">ZH </w:t>
      </w:r>
      <w:r w:rsidRPr="009871A0">
        <w:rPr>
          <w:sz w:val="22"/>
        </w:rPr>
        <w:t>(2013), that the police “behaved as if they were faced with an emergency when there was no emergency”.</w:t>
      </w:r>
      <w:r w:rsidRPr="009871A0">
        <w:rPr>
          <w:rStyle w:val="FootnoteReference"/>
          <w:sz w:val="22"/>
        </w:rPr>
        <w:footnoteReference w:id="114"/>
      </w:r>
      <w:r w:rsidRPr="009871A0">
        <w:rPr>
          <w:sz w:val="22"/>
        </w:rPr>
        <w:t xml:space="preserve"> If the courts in </w:t>
      </w:r>
      <w:r w:rsidRPr="009871A0">
        <w:rPr>
          <w:i/>
          <w:sz w:val="22"/>
        </w:rPr>
        <w:t>Austin</w:t>
      </w:r>
      <w:r w:rsidRPr="009871A0">
        <w:rPr>
          <w:sz w:val="22"/>
        </w:rPr>
        <w:t xml:space="preserve"> had applied the four-part test more methodically, they </w:t>
      </w:r>
      <w:r w:rsidR="000C0185">
        <w:rPr>
          <w:sz w:val="22"/>
        </w:rPr>
        <w:t xml:space="preserve">might </w:t>
      </w:r>
      <w:r w:rsidRPr="009871A0">
        <w:rPr>
          <w:sz w:val="22"/>
        </w:rPr>
        <w:t>have recognised that police operational discretion would only have been structured for the better, no</w:t>
      </w:r>
      <w:r w:rsidR="00145A20">
        <w:rPr>
          <w:sz w:val="22"/>
        </w:rPr>
        <w:t>t to choke off certain options.</w:t>
      </w:r>
    </w:p>
    <w:p w14:paraId="4FDC153B" w14:textId="3DD7CB66" w:rsidR="0029303F" w:rsidRPr="001E5EC4" w:rsidRDefault="001E5EC4" w:rsidP="001E5EC4">
      <w:pPr>
        <w:spacing w:line="480" w:lineRule="auto"/>
        <w:ind w:firstLine="720"/>
        <w:jc w:val="both"/>
        <w:rPr>
          <w:rFonts w:eastAsia="Times New Roman"/>
          <w:sz w:val="22"/>
        </w:rPr>
      </w:pPr>
      <w:r w:rsidRPr="009871A0">
        <w:rPr>
          <w:sz w:val="22"/>
        </w:rPr>
        <w:t xml:space="preserve">The </w:t>
      </w:r>
      <w:r w:rsidRPr="009871A0">
        <w:rPr>
          <w:i/>
          <w:sz w:val="22"/>
        </w:rPr>
        <w:t>Austin</w:t>
      </w:r>
      <w:r w:rsidRPr="009871A0">
        <w:rPr>
          <w:sz w:val="22"/>
        </w:rPr>
        <w:t xml:space="preserve"> courts have been accused of reasoning backwards from the lack of relevant justification in </w:t>
      </w:r>
      <w:r>
        <w:rPr>
          <w:sz w:val="22"/>
        </w:rPr>
        <w:t>a</w:t>
      </w:r>
      <w:r w:rsidRPr="009871A0">
        <w:rPr>
          <w:sz w:val="22"/>
        </w:rPr>
        <w:t>rticle 5(1).</w:t>
      </w:r>
      <w:r w:rsidRPr="009871A0">
        <w:rPr>
          <w:rStyle w:val="FootnoteReference"/>
          <w:sz w:val="22"/>
        </w:rPr>
        <w:footnoteReference w:id="115"/>
      </w:r>
      <w:r w:rsidRPr="009871A0">
        <w:rPr>
          <w:sz w:val="22"/>
        </w:rPr>
        <w:t xml:space="preserve"> It would be possible to add a new “public interest” or “security” exception to </w:t>
      </w:r>
      <w:r>
        <w:rPr>
          <w:sz w:val="22"/>
        </w:rPr>
        <w:t>a</w:t>
      </w:r>
      <w:r w:rsidRPr="009871A0">
        <w:rPr>
          <w:sz w:val="22"/>
        </w:rPr>
        <w:t>rticle 5(1) to deal with such scenarios,</w:t>
      </w:r>
      <w:r w:rsidRPr="009871A0">
        <w:rPr>
          <w:rStyle w:val="FootnoteReference"/>
          <w:sz w:val="22"/>
        </w:rPr>
        <w:footnoteReference w:id="116"/>
      </w:r>
      <w:r w:rsidRPr="009871A0">
        <w:rPr>
          <w:sz w:val="22"/>
        </w:rPr>
        <w:t xml:space="preserve"> despite </w:t>
      </w:r>
      <w:r>
        <w:rPr>
          <w:sz w:val="22"/>
        </w:rPr>
        <w:t>a</w:t>
      </w:r>
      <w:r w:rsidRPr="009871A0">
        <w:rPr>
          <w:sz w:val="22"/>
        </w:rPr>
        <w:t xml:space="preserve"> clear intention to the contrary in the travaux </w:t>
      </w:r>
      <w:r w:rsidRPr="009871A0">
        <w:rPr>
          <w:sz w:val="22"/>
        </w:rPr>
        <w:lastRenderedPageBreak/>
        <w:t>préparatoires.</w:t>
      </w:r>
      <w:r>
        <w:rPr>
          <w:rStyle w:val="FootnoteReference"/>
          <w:sz w:val="22"/>
        </w:rPr>
        <w:footnoteReference w:id="117"/>
      </w:r>
      <w:r w:rsidRPr="009871A0">
        <w:rPr>
          <w:sz w:val="22"/>
        </w:rPr>
        <w:t xml:space="preserve"> But</w:t>
      </w:r>
      <w:r w:rsidRPr="009871A0">
        <w:rPr>
          <w:rFonts w:eastAsia="Times New Roman"/>
          <w:sz w:val="22"/>
        </w:rPr>
        <w:t xml:space="preserve"> such a drastic measure is neither necessary nor desirable. </w:t>
      </w:r>
      <w:r w:rsidRPr="009871A0">
        <w:rPr>
          <w:sz w:val="22"/>
        </w:rPr>
        <w:t>Although the police have a duty to keep the peace, the State also has a positive obligation to protect liberty.</w:t>
      </w:r>
      <w:r w:rsidRPr="009871A0">
        <w:rPr>
          <w:rStyle w:val="FootnoteReference"/>
          <w:sz w:val="22"/>
        </w:rPr>
        <w:footnoteReference w:id="118"/>
      </w:r>
      <w:r w:rsidRPr="009871A0">
        <w:rPr>
          <w:sz w:val="22"/>
        </w:rPr>
        <w:t xml:space="preserve"> </w:t>
      </w:r>
      <w:r w:rsidRPr="009871A0">
        <w:rPr>
          <w:rFonts w:eastAsia="Times New Roman"/>
          <w:sz w:val="22"/>
        </w:rPr>
        <w:t xml:space="preserve">A better (and more practical) solution can be found in proper application of the four-part test. If the courts had applied that test properly, they could have found that a deprivation of liberty had occurred in </w:t>
      </w:r>
      <w:r w:rsidRPr="009871A0">
        <w:rPr>
          <w:rFonts w:eastAsia="Times New Roman"/>
          <w:i/>
          <w:sz w:val="22"/>
        </w:rPr>
        <w:t>Austin</w:t>
      </w:r>
      <w:r w:rsidRPr="009871A0">
        <w:rPr>
          <w:rFonts w:eastAsia="Times New Roman"/>
          <w:sz w:val="22"/>
        </w:rPr>
        <w:t>, without necessarily rendering future measures deprivations too.</w:t>
      </w:r>
    </w:p>
    <w:p w14:paraId="531212CF" w14:textId="77777777" w:rsidR="0032799E" w:rsidRPr="00C17C36" w:rsidRDefault="0032799E" w:rsidP="00984782">
      <w:pPr>
        <w:spacing w:line="480" w:lineRule="auto"/>
        <w:jc w:val="both"/>
      </w:pPr>
    </w:p>
    <w:p w14:paraId="785B61A1" w14:textId="659F802C" w:rsidR="00E25C93" w:rsidRPr="003A4051" w:rsidRDefault="007530DE" w:rsidP="004929FB">
      <w:pPr>
        <w:pStyle w:val="Heading2"/>
      </w:pPr>
      <w:r>
        <w:t>Deprivat</w:t>
      </w:r>
      <w:r w:rsidR="001E445E">
        <w:t>ions and restrictions; liberty and movement</w:t>
      </w:r>
    </w:p>
    <w:p w14:paraId="75ED30DD" w14:textId="4B82FF3C" w:rsidR="004C54EB" w:rsidRPr="009871A0" w:rsidRDefault="00032550" w:rsidP="00032550">
      <w:pPr>
        <w:widowControl w:val="0"/>
        <w:spacing w:line="480" w:lineRule="auto"/>
        <w:jc w:val="both"/>
        <w:rPr>
          <w:sz w:val="22"/>
        </w:rPr>
      </w:pPr>
      <w:r>
        <w:rPr>
          <w:sz w:val="22"/>
        </w:rPr>
        <w:t xml:space="preserve">In order to define “deprivation of liberty”, we must consider not only what “liberty” means, but also what it means to be “deprived” of one’s liberty, as opposed to liberty being merely restricted. </w:t>
      </w:r>
      <w:r w:rsidR="00E25C93" w:rsidRPr="009871A0">
        <w:rPr>
          <w:sz w:val="22"/>
        </w:rPr>
        <w:t xml:space="preserve">Article 5 </w:t>
      </w:r>
      <w:r w:rsidR="00D149C8" w:rsidRPr="009871A0">
        <w:rPr>
          <w:sz w:val="22"/>
        </w:rPr>
        <w:t xml:space="preserve">must </w:t>
      </w:r>
      <w:r w:rsidR="00086F5C">
        <w:rPr>
          <w:sz w:val="22"/>
        </w:rPr>
        <w:t xml:space="preserve">also </w:t>
      </w:r>
      <w:r w:rsidR="00D149C8" w:rsidRPr="009871A0">
        <w:rPr>
          <w:sz w:val="22"/>
        </w:rPr>
        <w:t xml:space="preserve">be carefully distinguished </w:t>
      </w:r>
      <w:r w:rsidR="00E25C93" w:rsidRPr="009871A0">
        <w:rPr>
          <w:sz w:val="22"/>
        </w:rPr>
        <w:t xml:space="preserve">from freedom of movement as guaranteed by </w:t>
      </w:r>
      <w:r w:rsidR="00F834D4">
        <w:rPr>
          <w:sz w:val="22"/>
        </w:rPr>
        <w:t>a</w:t>
      </w:r>
      <w:r w:rsidR="003E7490" w:rsidRPr="009871A0">
        <w:rPr>
          <w:sz w:val="22"/>
        </w:rPr>
        <w:t xml:space="preserve">rticle 2 of </w:t>
      </w:r>
      <w:r w:rsidR="00F834D4">
        <w:rPr>
          <w:sz w:val="22"/>
        </w:rPr>
        <w:t>p</w:t>
      </w:r>
      <w:r w:rsidR="003E7490" w:rsidRPr="009871A0">
        <w:rPr>
          <w:sz w:val="22"/>
        </w:rPr>
        <w:t>rotocol 4 (A2P4)</w:t>
      </w:r>
      <w:r w:rsidR="008C6FFB" w:rsidRPr="009871A0">
        <w:rPr>
          <w:sz w:val="22"/>
        </w:rPr>
        <w:t>.</w:t>
      </w:r>
      <w:r w:rsidR="00BD68CF" w:rsidRPr="009871A0">
        <w:rPr>
          <w:rStyle w:val="FootnoteReference"/>
          <w:sz w:val="22"/>
        </w:rPr>
        <w:footnoteReference w:id="119"/>
      </w:r>
      <w:r w:rsidR="008C6FFB" w:rsidRPr="009871A0">
        <w:rPr>
          <w:sz w:val="22"/>
        </w:rPr>
        <w:t xml:space="preserve"> T</w:t>
      </w:r>
      <w:r w:rsidR="00E25C93" w:rsidRPr="009871A0">
        <w:rPr>
          <w:sz w:val="22"/>
        </w:rPr>
        <w:t xml:space="preserve">he </w:t>
      </w:r>
      <w:r w:rsidR="004C54EB" w:rsidRPr="009871A0">
        <w:rPr>
          <w:sz w:val="22"/>
        </w:rPr>
        <w:t>ECtHR</w:t>
      </w:r>
      <w:r w:rsidR="00E25C93" w:rsidRPr="009871A0">
        <w:rPr>
          <w:sz w:val="22"/>
        </w:rPr>
        <w:t xml:space="preserve"> has held that the difference</w:t>
      </w:r>
      <w:r w:rsidR="004C54EB" w:rsidRPr="009871A0">
        <w:rPr>
          <w:sz w:val="22"/>
        </w:rPr>
        <w:t xml:space="preserve"> between the two provisions</w:t>
      </w:r>
      <w:r w:rsidR="00E25C93" w:rsidRPr="009871A0">
        <w:rPr>
          <w:sz w:val="22"/>
        </w:rPr>
        <w:t xml:space="preserve"> is one of </w:t>
      </w:r>
      <w:r w:rsidR="001442FD" w:rsidRPr="009871A0">
        <w:rPr>
          <w:sz w:val="22"/>
        </w:rPr>
        <w:t>“</w:t>
      </w:r>
      <w:r w:rsidR="00E25C93" w:rsidRPr="009871A0">
        <w:rPr>
          <w:sz w:val="22"/>
        </w:rPr>
        <w:t>degree or intensity</w:t>
      </w:r>
      <w:r w:rsidR="001442FD" w:rsidRPr="009871A0">
        <w:rPr>
          <w:sz w:val="22"/>
        </w:rPr>
        <w:t>”</w:t>
      </w:r>
      <w:r w:rsidR="00E25C93" w:rsidRPr="009871A0">
        <w:rPr>
          <w:sz w:val="22"/>
        </w:rPr>
        <w:t xml:space="preserve"> and not </w:t>
      </w:r>
      <w:r w:rsidR="001442FD" w:rsidRPr="009871A0">
        <w:rPr>
          <w:sz w:val="22"/>
        </w:rPr>
        <w:t>“</w:t>
      </w:r>
      <w:r w:rsidR="00E25C93" w:rsidRPr="009871A0">
        <w:rPr>
          <w:sz w:val="22"/>
        </w:rPr>
        <w:t>nature or substance</w:t>
      </w:r>
      <w:r w:rsidR="001442FD" w:rsidRPr="009871A0">
        <w:rPr>
          <w:sz w:val="22"/>
        </w:rPr>
        <w:t>”</w:t>
      </w:r>
      <w:r w:rsidR="00E25C93" w:rsidRPr="009871A0">
        <w:rPr>
          <w:sz w:val="22"/>
        </w:rPr>
        <w:t>.</w:t>
      </w:r>
      <w:r w:rsidR="00E25C93" w:rsidRPr="009871A0">
        <w:rPr>
          <w:rStyle w:val="FootnoteReference"/>
          <w:sz w:val="22"/>
        </w:rPr>
        <w:footnoteReference w:id="120"/>
      </w:r>
      <w:r w:rsidR="00E25C93" w:rsidRPr="009871A0">
        <w:rPr>
          <w:sz w:val="22"/>
        </w:rPr>
        <w:t xml:space="preserve"> </w:t>
      </w:r>
      <w:r w:rsidR="004C54EB" w:rsidRPr="009871A0">
        <w:rPr>
          <w:sz w:val="22"/>
        </w:rPr>
        <w:t xml:space="preserve">But </w:t>
      </w:r>
      <w:r w:rsidR="00416FB5" w:rsidRPr="009871A0">
        <w:rPr>
          <w:sz w:val="22"/>
        </w:rPr>
        <w:t>rather</w:t>
      </w:r>
      <w:r w:rsidR="004C54EB" w:rsidRPr="009871A0">
        <w:rPr>
          <w:sz w:val="22"/>
        </w:rPr>
        <w:t xml:space="preserve"> than being </w:t>
      </w:r>
      <w:r w:rsidR="00416FB5" w:rsidRPr="009871A0">
        <w:rPr>
          <w:sz w:val="22"/>
        </w:rPr>
        <w:t xml:space="preserve">viewed as </w:t>
      </w:r>
      <w:r w:rsidR="004C54EB" w:rsidRPr="009871A0">
        <w:rPr>
          <w:sz w:val="22"/>
        </w:rPr>
        <w:t>two points on a spectrum (</w:t>
      </w:r>
      <w:r w:rsidR="005306F8" w:rsidRPr="009871A0">
        <w:rPr>
          <w:sz w:val="22"/>
        </w:rPr>
        <w:t>similar to</w:t>
      </w:r>
      <w:r w:rsidR="004C54EB" w:rsidRPr="009871A0">
        <w:rPr>
          <w:sz w:val="22"/>
        </w:rPr>
        <w:t xml:space="preserve"> figure 1 below)</w:t>
      </w:r>
      <w:r w:rsidR="007E1CDB">
        <w:rPr>
          <w:sz w:val="22"/>
        </w:rPr>
        <w:t>,</w:t>
      </w:r>
      <w:r w:rsidR="004C54EB" w:rsidRPr="009871A0">
        <w:rPr>
          <w:sz w:val="22"/>
        </w:rPr>
        <w:t xml:space="preserve"> </w:t>
      </w:r>
      <w:r w:rsidR="00F834D4">
        <w:rPr>
          <w:sz w:val="22"/>
        </w:rPr>
        <w:t>a</w:t>
      </w:r>
      <w:r w:rsidR="00416FB5" w:rsidRPr="009871A0">
        <w:rPr>
          <w:sz w:val="22"/>
        </w:rPr>
        <w:t xml:space="preserve">rticle 5 and A2P4 </w:t>
      </w:r>
      <w:r w:rsidR="004C54EB" w:rsidRPr="009871A0">
        <w:rPr>
          <w:sz w:val="22"/>
        </w:rPr>
        <w:t>are better seen as overlapping but independen</w:t>
      </w:r>
      <w:r w:rsidR="00416FB5" w:rsidRPr="009871A0">
        <w:rPr>
          <w:sz w:val="22"/>
        </w:rPr>
        <w:t>t rights (as</w:t>
      </w:r>
      <w:r w:rsidR="004C54EB" w:rsidRPr="009871A0">
        <w:rPr>
          <w:sz w:val="22"/>
        </w:rPr>
        <w:t xml:space="preserve"> in figure 2 below). </w:t>
      </w:r>
    </w:p>
    <w:p w14:paraId="293AA963" w14:textId="532F7E4D" w:rsidR="00D90A40" w:rsidRPr="009871A0" w:rsidRDefault="004C54EB" w:rsidP="009871A0">
      <w:pPr>
        <w:spacing w:line="480" w:lineRule="auto"/>
        <w:ind w:firstLine="720"/>
        <w:jc w:val="both"/>
        <w:rPr>
          <w:sz w:val="22"/>
        </w:rPr>
      </w:pPr>
      <w:r w:rsidRPr="009871A0">
        <w:rPr>
          <w:sz w:val="22"/>
        </w:rPr>
        <w:t>A2P4</w:t>
      </w:r>
      <w:r w:rsidR="00E25C93" w:rsidRPr="009871A0">
        <w:rPr>
          <w:sz w:val="22"/>
        </w:rPr>
        <w:t xml:space="preserve"> </w:t>
      </w:r>
      <w:r w:rsidR="00D20556" w:rsidRPr="009871A0">
        <w:rPr>
          <w:sz w:val="22"/>
        </w:rPr>
        <w:t>is relevant</w:t>
      </w:r>
      <w:r w:rsidR="00E25C93" w:rsidRPr="009871A0">
        <w:rPr>
          <w:sz w:val="22"/>
        </w:rPr>
        <w:t xml:space="preserve"> in </w:t>
      </w:r>
      <w:r w:rsidR="00D20556" w:rsidRPr="009871A0">
        <w:rPr>
          <w:sz w:val="22"/>
        </w:rPr>
        <w:t xml:space="preserve">a </w:t>
      </w:r>
      <w:r w:rsidR="0011387E" w:rsidRPr="009871A0">
        <w:rPr>
          <w:sz w:val="22"/>
        </w:rPr>
        <w:t xml:space="preserve">banishment </w:t>
      </w:r>
      <w:r w:rsidR="00D20556" w:rsidRPr="009871A0">
        <w:rPr>
          <w:sz w:val="22"/>
        </w:rPr>
        <w:t xml:space="preserve">case like </w:t>
      </w:r>
      <w:r w:rsidRPr="009871A0">
        <w:rPr>
          <w:i/>
          <w:sz w:val="22"/>
        </w:rPr>
        <w:t>Guzzardi</w:t>
      </w:r>
      <w:r w:rsidR="00E25C93" w:rsidRPr="009871A0">
        <w:rPr>
          <w:sz w:val="22"/>
        </w:rPr>
        <w:t>,</w:t>
      </w:r>
      <w:r w:rsidR="00D20556" w:rsidRPr="009871A0">
        <w:rPr>
          <w:rStyle w:val="FootnoteReference"/>
          <w:sz w:val="22"/>
        </w:rPr>
        <w:footnoteReference w:id="121"/>
      </w:r>
      <w:r w:rsidR="007E1CDB">
        <w:rPr>
          <w:sz w:val="22"/>
        </w:rPr>
        <w:t xml:space="preserve"> but </w:t>
      </w:r>
      <w:r w:rsidR="00E25C93" w:rsidRPr="009871A0">
        <w:rPr>
          <w:sz w:val="22"/>
        </w:rPr>
        <w:t xml:space="preserve">is of </w:t>
      </w:r>
      <w:r w:rsidR="0066702C" w:rsidRPr="009871A0">
        <w:rPr>
          <w:sz w:val="22"/>
        </w:rPr>
        <w:t xml:space="preserve">questionable </w:t>
      </w:r>
      <w:r w:rsidR="00E25C93" w:rsidRPr="009871A0">
        <w:rPr>
          <w:sz w:val="22"/>
        </w:rPr>
        <w:t xml:space="preserve">relevance in cases such as </w:t>
      </w:r>
      <w:r w:rsidR="00E25C93" w:rsidRPr="009871A0">
        <w:rPr>
          <w:i/>
          <w:sz w:val="22"/>
        </w:rPr>
        <w:t>Austin</w:t>
      </w:r>
      <w:r w:rsidR="00E25C93" w:rsidRPr="009871A0">
        <w:rPr>
          <w:sz w:val="22"/>
        </w:rPr>
        <w:t xml:space="preserve">. </w:t>
      </w:r>
      <w:r w:rsidR="00F834D4">
        <w:rPr>
          <w:sz w:val="22"/>
        </w:rPr>
        <w:t>The difference between a</w:t>
      </w:r>
      <w:r w:rsidR="0082240C" w:rsidRPr="009871A0">
        <w:rPr>
          <w:sz w:val="22"/>
        </w:rPr>
        <w:t>rticle 5 and A2P4 is the difference between</w:t>
      </w:r>
      <w:r w:rsidR="009705D4" w:rsidRPr="009871A0">
        <w:rPr>
          <w:sz w:val="22"/>
        </w:rPr>
        <w:t xml:space="preserve"> a </w:t>
      </w:r>
      <w:r w:rsidR="009705D4" w:rsidRPr="009871A0">
        <w:rPr>
          <w:i/>
          <w:sz w:val="22"/>
        </w:rPr>
        <w:t>deprivation of liberty</w:t>
      </w:r>
      <w:r w:rsidR="009705D4" w:rsidRPr="009871A0">
        <w:rPr>
          <w:sz w:val="22"/>
        </w:rPr>
        <w:t xml:space="preserve"> and a </w:t>
      </w:r>
      <w:r w:rsidR="009705D4" w:rsidRPr="009871A0">
        <w:rPr>
          <w:i/>
          <w:sz w:val="22"/>
        </w:rPr>
        <w:t>restriction of movement</w:t>
      </w:r>
      <w:r w:rsidR="009705D4" w:rsidRPr="009871A0">
        <w:rPr>
          <w:sz w:val="22"/>
        </w:rPr>
        <w:t xml:space="preserve">. A distinction may also be drawn between a </w:t>
      </w:r>
      <w:r w:rsidR="009705D4" w:rsidRPr="009871A0">
        <w:rPr>
          <w:i/>
          <w:sz w:val="22"/>
        </w:rPr>
        <w:t>deprivation</w:t>
      </w:r>
      <w:r w:rsidR="009705D4" w:rsidRPr="009871A0">
        <w:rPr>
          <w:sz w:val="22"/>
        </w:rPr>
        <w:t xml:space="preserve"> of liberty and a </w:t>
      </w:r>
      <w:r w:rsidR="009705D4" w:rsidRPr="009871A0">
        <w:rPr>
          <w:i/>
          <w:sz w:val="22"/>
        </w:rPr>
        <w:t>restriction</w:t>
      </w:r>
      <w:r w:rsidR="009705D4" w:rsidRPr="009871A0">
        <w:rPr>
          <w:sz w:val="22"/>
        </w:rPr>
        <w:t xml:space="preserve"> of liberty. That is to say that an action</w:t>
      </w:r>
      <w:r w:rsidR="0082240C" w:rsidRPr="009871A0">
        <w:rPr>
          <w:sz w:val="22"/>
        </w:rPr>
        <w:t>, when judged against the four-part test above,</w:t>
      </w:r>
      <w:r w:rsidR="009705D4" w:rsidRPr="009871A0">
        <w:rPr>
          <w:sz w:val="22"/>
        </w:rPr>
        <w:t xml:space="preserve"> may </w:t>
      </w:r>
      <w:r w:rsidR="0082240C" w:rsidRPr="009871A0">
        <w:rPr>
          <w:sz w:val="22"/>
        </w:rPr>
        <w:t>n</w:t>
      </w:r>
      <w:r w:rsidR="009705D4" w:rsidRPr="009871A0">
        <w:rPr>
          <w:sz w:val="22"/>
        </w:rPr>
        <w:t>ot constitut</w:t>
      </w:r>
      <w:r w:rsidR="0082240C" w:rsidRPr="009871A0">
        <w:rPr>
          <w:sz w:val="22"/>
        </w:rPr>
        <w:t>e</w:t>
      </w:r>
      <w:r w:rsidR="009705D4" w:rsidRPr="009871A0">
        <w:rPr>
          <w:sz w:val="22"/>
        </w:rPr>
        <w:t xml:space="preserve"> a </w:t>
      </w:r>
      <w:r w:rsidR="009705D4" w:rsidRPr="009871A0">
        <w:rPr>
          <w:i/>
          <w:sz w:val="22"/>
        </w:rPr>
        <w:t>deprivation</w:t>
      </w:r>
      <w:r w:rsidR="009705D4" w:rsidRPr="009871A0">
        <w:rPr>
          <w:sz w:val="22"/>
        </w:rPr>
        <w:t xml:space="preserve"> of liberty</w:t>
      </w:r>
      <w:r w:rsidR="008A3E22" w:rsidRPr="009871A0">
        <w:rPr>
          <w:sz w:val="22"/>
        </w:rPr>
        <w:t xml:space="preserve"> (</w:t>
      </w:r>
      <w:r w:rsidR="0082240C" w:rsidRPr="009871A0">
        <w:rPr>
          <w:sz w:val="22"/>
        </w:rPr>
        <w:t>because</w:t>
      </w:r>
      <w:r w:rsidR="008A3E22" w:rsidRPr="009871A0">
        <w:rPr>
          <w:sz w:val="22"/>
        </w:rPr>
        <w:t>, for example,</w:t>
      </w:r>
      <w:r w:rsidR="0082240C" w:rsidRPr="009871A0">
        <w:rPr>
          <w:sz w:val="22"/>
        </w:rPr>
        <w:t xml:space="preserve"> it is of a very short duration</w:t>
      </w:r>
      <w:r w:rsidR="008A3E22" w:rsidRPr="009871A0">
        <w:rPr>
          <w:sz w:val="22"/>
        </w:rPr>
        <w:t xml:space="preserve"> and</w:t>
      </w:r>
      <w:r w:rsidR="00DB50D7" w:rsidRPr="009871A0">
        <w:rPr>
          <w:sz w:val="22"/>
        </w:rPr>
        <w:t xml:space="preserve"> has </w:t>
      </w:r>
      <w:r w:rsidR="00DB50D7" w:rsidRPr="009871A0">
        <w:rPr>
          <w:sz w:val="22"/>
        </w:rPr>
        <w:lastRenderedPageBreak/>
        <w:t>minimal effect</w:t>
      </w:r>
      <w:r w:rsidR="0082240C" w:rsidRPr="009871A0">
        <w:rPr>
          <w:sz w:val="22"/>
        </w:rPr>
        <w:t>)</w:t>
      </w:r>
      <w:r w:rsidR="009705D4" w:rsidRPr="009871A0">
        <w:rPr>
          <w:sz w:val="22"/>
        </w:rPr>
        <w:t xml:space="preserve">, but may well </w:t>
      </w:r>
      <w:r w:rsidR="0082240C" w:rsidRPr="009871A0">
        <w:rPr>
          <w:sz w:val="22"/>
        </w:rPr>
        <w:t xml:space="preserve">be a </w:t>
      </w:r>
      <w:r w:rsidR="0082240C" w:rsidRPr="009871A0">
        <w:rPr>
          <w:i/>
          <w:sz w:val="22"/>
        </w:rPr>
        <w:t>restriction</w:t>
      </w:r>
      <w:r w:rsidR="00DB50D7" w:rsidRPr="009871A0">
        <w:rPr>
          <w:sz w:val="22"/>
        </w:rPr>
        <w:t xml:space="preserve"> because a person </w:t>
      </w:r>
      <w:r w:rsidR="008A3E22" w:rsidRPr="009871A0">
        <w:rPr>
          <w:sz w:val="22"/>
        </w:rPr>
        <w:t xml:space="preserve">was </w:t>
      </w:r>
      <w:r w:rsidR="00DB50D7" w:rsidRPr="009871A0">
        <w:rPr>
          <w:sz w:val="22"/>
        </w:rPr>
        <w:t xml:space="preserve">not </w:t>
      </w:r>
      <w:r w:rsidR="00DB50D7" w:rsidRPr="009871A0">
        <w:rPr>
          <w:i/>
          <w:sz w:val="22"/>
        </w:rPr>
        <w:t>completely</w:t>
      </w:r>
      <w:r w:rsidR="00DB50D7" w:rsidRPr="009871A0">
        <w:rPr>
          <w:sz w:val="22"/>
        </w:rPr>
        <w:t xml:space="preserve"> at liberty</w:t>
      </w:r>
      <w:r w:rsidR="008A3E22" w:rsidRPr="009871A0">
        <w:rPr>
          <w:sz w:val="22"/>
        </w:rPr>
        <w:t xml:space="preserve"> during that time</w:t>
      </w:r>
      <w:r w:rsidR="009705D4" w:rsidRPr="009871A0">
        <w:rPr>
          <w:sz w:val="22"/>
        </w:rPr>
        <w:t xml:space="preserve">. </w:t>
      </w:r>
      <w:r w:rsidR="00FB776F" w:rsidRPr="009871A0">
        <w:rPr>
          <w:sz w:val="22"/>
        </w:rPr>
        <w:t>Indeed</w:t>
      </w:r>
      <w:r w:rsidR="0082240C" w:rsidRPr="009871A0">
        <w:rPr>
          <w:sz w:val="22"/>
        </w:rPr>
        <w:t>, when dis</w:t>
      </w:r>
      <w:r w:rsidR="00F834D4">
        <w:rPr>
          <w:sz w:val="22"/>
        </w:rPr>
        <w:t>cussing the difference between a</w:t>
      </w:r>
      <w:r w:rsidR="0082240C" w:rsidRPr="009871A0">
        <w:rPr>
          <w:sz w:val="22"/>
        </w:rPr>
        <w:t>rticle 5 and A2P4,</w:t>
      </w:r>
      <w:r w:rsidR="00FB776F" w:rsidRPr="009871A0">
        <w:rPr>
          <w:sz w:val="22"/>
        </w:rPr>
        <w:t xml:space="preserve"> the courts sometimes </w:t>
      </w:r>
      <w:r w:rsidR="007915DF" w:rsidRPr="009871A0">
        <w:rPr>
          <w:sz w:val="22"/>
        </w:rPr>
        <w:t>use such language</w:t>
      </w:r>
      <w:r w:rsidR="00DB50D7" w:rsidRPr="009871A0">
        <w:rPr>
          <w:sz w:val="22"/>
        </w:rPr>
        <w:t>.</w:t>
      </w:r>
      <w:r w:rsidR="007915DF" w:rsidRPr="009871A0">
        <w:rPr>
          <w:sz w:val="22"/>
        </w:rPr>
        <w:t xml:space="preserve"> </w:t>
      </w:r>
      <w:r w:rsidR="0082240C" w:rsidRPr="009871A0">
        <w:rPr>
          <w:sz w:val="22"/>
        </w:rPr>
        <w:t>F</w:t>
      </w:r>
      <w:r w:rsidR="007915DF" w:rsidRPr="009871A0">
        <w:rPr>
          <w:sz w:val="22"/>
        </w:rPr>
        <w:t>or example</w:t>
      </w:r>
      <w:r w:rsidR="00DB50D7" w:rsidRPr="009871A0">
        <w:rPr>
          <w:sz w:val="22"/>
        </w:rPr>
        <w:t>, in</w:t>
      </w:r>
      <w:r w:rsidR="007915DF" w:rsidRPr="009871A0">
        <w:rPr>
          <w:sz w:val="22"/>
        </w:rPr>
        <w:t xml:space="preserve"> </w:t>
      </w:r>
      <w:r w:rsidR="007915DF" w:rsidRPr="009871A0">
        <w:rPr>
          <w:i/>
          <w:sz w:val="22"/>
        </w:rPr>
        <w:t>Austin</w:t>
      </w:r>
      <w:r w:rsidR="0082240C" w:rsidRPr="009871A0">
        <w:rPr>
          <w:sz w:val="22"/>
        </w:rPr>
        <w:t xml:space="preserve">, </w:t>
      </w:r>
      <w:r w:rsidR="008C6FFB" w:rsidRPr="009871A0">
        <w:rPr>
          <w:sz w:val="22"/>
        </w:rPr>
        <w:t xml:space="preserve">the </w:t>
      </w:r>
      <w:r w:rsidR="001670D0" w:rsidRPr="009871A0">
        <w:rPr>
          <w:sz w:val="22"/>
        </w:rPr>
        <w:t>ECtHR</w:t>
      </w:r>
      <w:r w:rsidR="000F663B" w:rsidRPr="009871A0">
        <w:rPr>
          <w:sz w:val="22"/>
        </w:rPr>
        <w:t xml:space="preserve"> said</w:t>
      </w:r>
      <w:r w:rsidR="008C6FFB" w:rsidRPr="009871A0">
        <w:rPr>
          <w:sz w:val="22"/>
        </w:rPr>
        <w:t xml:space="preserve"> that the </w:t>
      </w:r>
      <w:r w:rsidR="001442FD" w:rsidRPr="009871A0">
        <w:rPr>
          <w:sz w:val="22"/>
        </w:rPr>
        <w:t>“</w:t>
      </w:r>
      <w:r w:rsidR="008C6FFB" w:rsidRPr="009871A0">
        <w:rPr>
          <w:sz w:val="22"/>
        </w:rPr>
        <w:t xml:space="preserve">difference between </w:t>
      </w:r>
      <w:r w:rsidR="008C6FFB" w:rsidRPr="009871A0">
        <w:rPr>
          <w:i/>
          <w:sz w:val="22"/>
        </w:rPr>
        <w:t>deprivation of</w:t>
      </w:r>
      <w:r w:rsidR="008C6FFB" w:rsidRPr="009871A0">
        <w:rPr>
          <w:sz w:val="22"/>
        </w:rPr>
        <w:t xml:space="preserve"> and </w:t>
      </w:r>
      <w:r w:rsidR="008C6FFB" w:rsidRPr="009871A0">
        <w:rPr>
          <w:i/>
          <w:sz w:val="22"/>
        </w:rPr>
        <w:t>restriction upon</w:t>
      </w:r>
      <w:r w:rsidR="008C6FFB" w:rsidRPr="009871A0">
        <w:rPr>
          <w:sz w:val="22"/>
        </w:rPr>
        <w:t xml:space="preserve"> libert</w:t>
      </w:r>
      <w:r w:rsidR="00B83106" w:rsidRPr="009871A0">
        <w:rPr>
          <w:sz w:val="22"/>
        </w:rPr>
        <w:t>y is one of degree or intensity</w:t>
      </w:r>
      <w:r w:rsidR="008506A9">
        <w:rPr>
          <w:sz w:val="22"/>
        </w:rPr>
        <w:t>,</w:t>
      </w:r>
      <w:r w:rsidR="008C6FFB" w:rsidRPr="009871A0">
        <w:rPr>
          <w:sz w:val="22"/>
        </w:rPr>
        <w:t xml:space="preserve"> and not of nature or substance</w:t>
      </w:r>
      <w:r w:rsidR="001442FD" w:rsidRPr="009871A0">
        <w:rPr>
          <w:sz w:val="22"/>
        </w:rPr>
        <w:t>”</w:t>
      </w:r>
      <w:r w:rsidR="008C6FFB" w:rsidRPr="009871A0">
        <w:rPr>
          <w:sz w:val="22"/>
        </w:rPr>
        <w:t>.</w:t>
      </w:r>
      <w:r w:rsidR="007F4D42" w:rsidRPr="009871A0">
        <w:rPr>
          <w:rStyle w:val="FootnoteReference"/>
          <w:sz w:val="22"/>
        </w:rPr>
        <w:footnoteReference w:id="122"/>
      </w:r>
      <w:r w:rsidR="007915DF" w:rsidRPr="009871A0">
        <w:rPr>
          <w:sz w:val="22"/>
        </w:rPr>
        <w:t xml:space="preserve"> </w:t>
      </w:r>
      <w:r w:rsidR="000F663B" w:rsidRPr="009871A0">
        <w:rPr>
          <w:sz w:val="22"/>
        </w:rPr>
        <w:t>That</w:t>
      </w:r>
      <w:r w:rsidR="007F4D42" w:rsidRPr="009871A0">
        <w:rPr>
          <w:sz w:val="22"/>
        </w:rPr>
        <w:t xml:space="preserve"> </w:t>
      </w:r>
      <w:r w:rsidR="007E1CDB">
        <w:rPr>
          <w:sz w:val="22"/>
        </w:rPr>
        <w:t xml:space="preserve">difference </w:t>
      </w:r>
      <w:r w:rsidR="008A3E22" w:rsidRPr="009871A0">
        <w:rPr>
          <w:sz w:val="22"/>
        </w:rPr>
        <w:t>reflects the four-part test establishing</w:t>
      </w:r>
      <w:r w:rsidR="00F834D4">
        <w:rPr>
          <w:sz w:val="22"/>
        </w:rPr>
        <w:t xml:space="preserve"> deprivations of liberty under a</w:t>
      </w:r>
      <w:r w:rsidR="008A3E22" w:rsidRPr="009871A0">
        <w:rPr>
          <w:sz w:val="22"/>
        </w:rPr>
        <w:t xml:space="preserve">rticle 5, </w:t>
      </w:r>
      <w:r w:rsidR="001C6860" w:rsidRPr="009871A0">
        <w:rPr>
          <w:sz w:val="22"/>
        </w:rPr>
        <w:t>which is different from</w:t>
      </w:r>
      <w:r w:rsidR="008A3E22" w:rsidRPr="009871A0">
        <w:rPr>
          <w:sz w:val="22"/>
        </w:rPr>
        <w:t xml:space="preserve"> </w:t>
      </w:r>
      <w:r w:rsidR="00F834D4">
        <w:rPr>
          <w:sz w:val="22"/>
        </w:rPr>
        <w:t>a</w:t>
      </w:r>
      <w:r w:rsidR="004D1BA3" w:rsidRPr="009871A0">
        <w:rPr>
          <w:sz w:val="22"/>
        </w:rPr>
        <w:t xml:space="preserve">rticle 5’s relationship </w:t>
      </w:r>
      <w:r w:rsidR="008A3E22" w:rsidRPr="009871A0">
        <w:rPr>
          <w:sz w:val="22"/>
        </w:rPr>
        <w:t xml:space="preserve">with restrictions of </w:t>
      </w:r>
      <w:r w:rsidR="008A3E22" w:rsidRPr="009871A0">
        <w:rPr>
          <w:i/>
          <w:sz w:val="22"/>
        </w:rPr>
        <w:t>movement</w:t>
      </w:r>
      <w:r w:rsidR="008A3E22" w:rsidRPr="009871A0">
        <w:rPr>
          <w:sz w:val="22"/>
        </w:rPr>
        <w:t xml:space="preserve"> under A2P4</w:t>
      </w:r>
      <w:r w:rsidR="007F4D42" w:rsidRPr="009871A0">
        <w:rPr>
          <w:sz w:val="22"/>
        </w:rPr>
        <w:t xml:space="preserve">. </w:t>
      </w:r>
      <w:r w:rsidR="008D5C91">
        <w:rPr>
          <w:sz w:val="22"/>
        </w:rPr>
        <w:t xml:space="preserve">But the courts are not always careful to </w:t>
      </w:r>
      <w:r w:rsidR="007E1CDB">
        <w:rPr>
          <w:sz w:val="22"/>
        </w:rPr>
        <w:t>articulate clearly the</w:t>
      </w:r>
      <w:r w:rsidR="001C6860" w:rsidRPr="009871A0">
        <w:rPr>
          <w:sz w:val="22"/>
        </w:rPr>
        <w:t xml:space="preserve"> t</w:t>
      </w:r>
      <w:r w:rsidR="007915DF" w:rsidRPr="009871A0">
        <w:rPr>
          <w:sz w:val="22"/>
        </w:rPr>
        <w:t>wo different distinctions</w:t>
      </w:r>
      <w:r w:rsidR="00B91E16" w:rsidRPr="009871A0">
        <w:rPr>
          <w:sz w:val="22"/>
        </w:rPr>
        <w:t xml:space="preserve"> which can be illustrated as follows</w:t>
      </w:r>
      <w:r w:rsidR="00DB50D7" w:rsidRPr="009871A0">
        <w:rPr>
          <w:sz w:val="22"/>
        </w:rPr>
        <w:t>:</w:t>
      </w:r>
    </w:p>
    <w:p w14:paraId="26C7B919" w14:textId="4CBB4F17" w:rsidR="00983D79" w:rsidRPr="009871A0" w:rsidRDefault="00E16DAC" w:rsidP="00984782">
      <w:pPr>
        <w:keepLines/>
        <w:widowControl w:val="0"/>
        <w:tabs>
          <w:tab w:val="left" w:pos="2790"/>
        </w:tabs>
        <w:spacing w:line="480" w:lineRule="auto"/>
        <w:jc w:val="both"/>
        <w:rPr>
          <w:b/>
          <w:sz w:val="22"/>
        </w:rPr>
      </w:pPr>
      <w:r w:rsidRPr="009871A0">
        <w:rPr>
          <w:noProof/>
          <w:sz w:val="22"/>
        </w:rPr>
        <mc:AlternateContent>
          <mc:Choice Requires="wps">
            <w:drawing>
              <wp:anchor distT="0" distB="0" distL="114300" distR="114300" simplePos="0" relativeHeight="251662336" behindDoc="0" locked="0" layoutInCell="1" allowOverlap="1" wp14:anchorId="45D85A91" wp14:editId="52F9EDD7">
                <wp:simplePos x="0" y="0"/>
                <wp:positionH relativeFrom="column">
                  <wp:posOffset>1765300</wp:posOffset>
                </wp:positionH>
                <wp:positionV relativeFrom="paragraph">
                  <wp:posOffset>242570</wp:posOffset>
                </wp:positionV>
                <wp:extent cx="3888740" cy="845185"/>
                <wp:effectExtent l="0" t="0" r="22860" b="18415"/>
                <wp:wrapSquare wrapText="bothSides"/>
                <wp:docPr id="6" name="Text Box 6"/>
                <wp:cNvGraphicFramePr/>
                <a:graphic xmlns:a="http://schemas.openxmlformats.org/drawingml/2006/main">
                  <a:graphicData uri="http://schemas.microsoft.com/office/word/2010/wordprocessingShape">
                    <wps:wsp>
                      <wps:cNvSpPr txBox="1"/>
                      <wps:spPr>
                        <a:xfrm>
                          <a:off x="0" y="0"/>
                          <a:ext cx="3888740" cy="845185"/>
                        </a:xfrm>
                        <a:prstGeom prst="rect">
                          <a:avLst/>
                        </a:prstGeom>
                        <a:gradFill>
                          <a:gsLst>
                            <a:gs pos="0">
                              <a:schemeClr val="bg1">
                                <a:lumMod val="77000"/>
                              </a:schemeClr>
                            </a:gs>
                            <a:gs pos="0">
                              <a:schemeClr val="bg1">
                                <a:lumMod val="50000"/>
                              </a:schemeClr>
                            </a:gs>
                            <a:gs pos="0">
                              <a:schemeClr val="bg1">
                                <a:lumMod val="85000"/>
                              </a:schemeClr>
                            </a:gs>
                            <a:gs pos="0">
                              <a:srgbClr val="B5B5B5"/>
                            </a:gs>
                            <a:gs pos="35000">
                              <a:schemeClr val="bg1">
                                <a:lumMod val="85000"/>
                              </a:schemeClr>
                            </a:gs>
                            <a:gs pos="80000">
                              <a:schemeClr val="bg1"/>
                            </a:gs>
                          </a:gsLst>
                          <a:lin ang="0" scaled="0"/>
                        </a:gradFill>
                        <a:ln>
                          <a:solidFill>
                            <a:schemeClr val="tx1"/>
                          </a:solidFill>
                        </a:ln>
                        <a:effectLst/>
                      </wps:spPr>
                      <wps:style>
                        <a:lnRef idx="0">
                          <a:schemeClr val="accent1"/>
                        </a:lnRef>
                        <a:fillRef idx="0">
                          <a:schemeClr val="accent1"/>
                        </a:fillRef>
                        <a:effectRef idx="0">
                          <a:schemeClr val="accent1"/>
                        </a:effectRef>
                        <a:fontRef idx="minor">
                          <a:schemeClr val="dk1"/>
                        </a:fontRef>
                      </wps:style>
                      <wps:txbx id="1">
                        <w:txbxContent>
                          <w:p w14:paraId="4DCE4096" w14:textId="64EC5D9F" w:rsidR="00E55A55" w:rsidRDefault="00E55A55" w:rsidP="004D3A19">
                            <w:pPr>
                              <w:tabs>
                                <w:tab w:val="left" w:pos="4770"/>
                                <w:tab w:val="left" w:pos="5040"/>
                              </w:tabs>
                              <w:rPr>
                                <w:b/>
                                <w:color w:val="000000" w:themeColor="text1"/>
                                <w14:shadow w14:blurRad="50800" w14:dist="50800" w14:dir="5400000" w14:sx="0" w14:sy="0" w14:kx="0" w14:ky="0" w14:algn="ctr">
                                  <w14:schemeClr w14:val="tx1"/>
                                </w14:shadow>
                              </w:rPr>
                            </w:pPr>
                            <w:r w:rsidRPr="004D3A19">
                              <w:rPr>
                                <w:b/>
                                <w:color w:val="000000" w:themeColor="text1"/>
                                <w14:shadow w14:blurRad="50800" w14:dist="50800" w14:dir="5400000" w14:sx="0" w14:sy="0" w14:kx="0" w14:ky="0" w14:algn="ctr">
                                  <w14:schemeClr w14:val="tx1"/>
                                </w14:shadow>
                              </w:rPr>
                              <w:t>Restriction of/interference with liberty</w:t>
                            </w:r>
                            <w:r w:rsidRPr="004D3A19">
                              <w:rPr>
                                <w:b/>
                                <w:color w:val="000000" w:themeColor="text1"/>
                                <w14:shadow w14:blurRad="50800" w14:dist="50800" w14:dir="5400000" w14:sx="0" w14:sy="0" w14:kx="0" w14:ky="0" w14:algn="ctr">
                                  <w14:schemeClr w14:val="tx1"/>
                                </w14:shadow>
                              </w:rPr>
                              <w:tab/>
                              <w:t>At liberty</w:t>
                            </w:r>
                          </w:p>
                          <w:p w14:paraId="6401BBF8" w14:textId="77777777" w:rsidR="00E55A55" w:rsidRDefault="00E55A55" w:rsidP="004D3A19">
                            <w:pPr>
                              <w:tabs>
                                <w:tab w:val="left" w:pos="4770"/>
                                <w:tab w:val="left" w:pos="5040"/>
                              </w:tabs>
                              <w:rPr>
                                <w:b/>
                                <w:color w:val="000000" w:themeColor="text1"/>
                                <w14:shadow w14:blurRad="50800" w14:dist="50800" w14:dir="5400000" w14:sx="0" w14:sy="0" w14:kx="0" w14:ky="0" w14:algn="ctr">
                                  <w14:schemeClr w14:val="tx1"/>
                                </w14:shadow>
                              </w:rPr>
                            </w:pPr>
                          </w:p>
                          <w:p w14:paraId="3195079D" w14:textId="3D51E8CD" w:rsidR="00E55A55" w:rsidRPr="004D3A19" w:rsidRDefault="00E55A55" w:rsidP="004D3A19">
                            <w:pPr>
                              <w:tabs>
                                <w:tab w:val="left" w:pos="4770"/>
                                <w:tab w:val="left" w:pos="5040"/>
                              </w:tabs>
                              <w:jc w:val="center"/>
                              <w:rPr>
                                <w:color w:val="000000" w:themeColor="text1"/>
                                <w14:shadow w14:blurRad="50800" w14:dist="50800" w14:dir="5400000" w14:sx="0" w14:sy="0" w14:kx="0" w14:ky="0" w14:algn="ctr">
                                  <w14:schemeClr w14:val="tx1"/>
                                </w14:shadow>
                              </w:rPr>
                            </w:pPr>
                            <w:r w:rsidRPr="004D3A19">
                              <w:rPr>
                                <w:color w:val="000000" w:themeColor="text1"/>
                                <w14:shadow w14:blurRad="50800" w14:dist="50800" w14:dir="5400000" w14:sx="0" w14:sy="0" w14:kx="0" w14:ky="0" w14:algn="ctr">
                                  <w14:schemeClr w14:val="tx1"/>
                                </w14:shadow>
                              </w:rPr>
                              <w:t>(Lawful)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5A91" id="_x0000_t202" coordsize="21600,21600" o:spt="202" path="m0,0l0,21600,21600,21600,21600,0xe">
                <v:stroke joinstyle="miter"/>
                <v:path gradientshapeok="t" o:connecttype="rect"/>
              </v:shapetype>
              <v:shape id="Text Box 6" o:spid="_x0000_s1026" type="#_x0000_t202" style="position:absolute;left:0;text-align:left;margin-left:139pt;margin-top:19.1pt;width:306.2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" fillcolor="#c4c4c4 [2476]" strokecolor="black [3213]">
                <v:fill color2="white [3212]" angle="-90" colors="0 #c4c4c4;0 #7f7f7f;0 #d9d9d9;0 #b5b5b5;22938f #d9d9d9;52429f white" focus="100%" type="gradient">
                  <o:fill v:ext="view" type="gradientUnscaled"/>
                </v:fill>
                <v:textbox style="mso-next-textbox:#Text Box 1">
                  <w:txbxContent>
                    <w:p w14:paraId="4DCE4096" w14:textId="64EC5D9F" w:rsidR="00E55A55" w:rsidRDefault="00E55A55" w:rsidP="004D3A19">
                      <w:pPr>
                        <w:tabs>
                          <w:tab w:val="left" w:pos="4770"/>
                          <w:tab w:val="left" w:pos="5040"/>
                        </w:tabs>
                        <w:rPr>
                          <w:b/>
                          <w:color w:val="000000" w:themeColor="text1"/>
                          <w14:shadow w14:blurRad="50800" w14:dist="50800" w14:dir="5400000" w14:sx="0" w14:sy="0" w14:kx="0" w14:ky="0" w14:algn="ctr">
                            <w14:schemeClr w14:val="tx1"/>
                          </w14:shadow>
                        </w:rPr>
                      </w:pPr>
                      <w:r w:rsidRPr="004D3A19">
                        <w:rPr>
                          <w:b/>
                          <w:color w:val="000000" w:themeColor="text1"/>
                          <w14:shadow w14:blurRad="50800" w14:dist="50800" w14:dir="5400000" w14:sx="0" w14:sy="0" w14:kx="0" w14:ky="0" w14:algn="ctr">
                            <w14:schemeClr w14:val="tx1"/>
                          </w14:shadow>
                        </w:rPr>
                        <w:t>Restriction of/interference with liberty</w:t>
                      </w:r>
                      <w:r w:rsidRPr="004D3A19">
                        <w:rPr>
                          <w:b/>
                          <w:color w:val="000000" w:themeColor="text1"/>
                          <w14:shadow w14:blurRad="50800" w14:dist="50800" w14:dir="5400000" w14:sx="0" w14:sy="0" w14:kx="0" w14:ky="0" w14:algn="ctr">
                            <w14:schemeClr w14:val="tx1"/>
                          </w14:shadow>
                        </w:rPr>
                        <w:tab/>
                      </w:r>
                      <w:proofErr w:type="gramStart"/>
                      <w:r w:rsidRPr="004D3A19">
                        <w:rPr>
                          <w:b/>
                          <w:color w:val="000000" w:themeColor="text1"/>
                          <w14:shadow w14:blurRad="50800" w14:dist="50800" w14:dir="5400000" w14:sx="0" w14:sy="0" w14:kx="0" w14:ky="0" w14:algn="ctr">
                            <w14:schemeClr w14:val="tx1"/>
                          </w14:shadow>
                        </w:rPr>
                        <w:t>At</w:t>
                      </w:r>
                      <w:proofErr w:type="gramEnd"/>
                      <w:r w:rsidRPr="004D3A19">
                        <w:rPr>
                          <w:b/>
                          <w:color w:val="000000" w:themeColor="text1"/>
                          <w14:shadow w14:blurRad="50800" w14:dist="50800" w14:dir="5400000" w14:sx="0" w14:sy="0" w14:kx="0" w14:ky="0" w14:algn="ctr">
                            <w14:schemeClr w14:val="tx1"/>
                          </w14:shadow>
                        </w:rPr>
                        <w:t xml:space="preserve"> liberty</w:t>
                      </w:r>
                    </w:p>
                    <w:p w14:paraId="6401BBF8" w14:textId="77777777" w:rsidR="00E55A55" w:rsidRDefault="00E55A55" w:rsidP="004D3A19">
                      <w:pPr>
                        <w:tabs>
                          <w:tab w:val="left" w:pos="4770"/>
                          <w:tab w:val="left" w:pos="5040"/>
                        </w:tabs>
                        <w:rPr>
                          <w:b/>
                          <w:color w:val="000000" w:themeColor="text1"/>
                          <w14:shadow w14:blurRad="50800" w14:dist="50800" w14:dir="5400000" w14:sx="0" w14:sy="0" w14:kx="0" w14:ky="0" w14:algn="ctr">
                            <w14:schemeClr w14:val="tx1"/>
                          </w14:shadow>
                        </w:rPr>
                      </w:pPr>
                    </w:p>
                    <w:p w14:paraId="3195079D" w14:textId="3D51E8CD" w:rsidR="00E55A55" w:rsidRPr="004D3A19" w:rsidRDefault="00E55A55" w:rsidP="004D3A19">
                      <w:pPr>
                        <w:tabs>
                          <w:tab w:val="left" w:pos="4770"/>
                          <w:tab w:val="left" w:pos="5040"/>
                        </w:tabs>
                        <w:jc w:val="center"/>
                        <w:rPr>
                          <w:color w:val="000000" w:themeColor="text1"/>
                          <w14:shadow w14:blurRad="50800" w14:dist="50800" w14:dir="5400000" w14:sx="0" w14:sy="0" w14:kx="0" w14:ky="0" w14:algn="ctr">
                            <w14:schemeClr w14:val="tx1"/>
                          </w14:shadow>
                        </w:rPr>
                      </w:pPr>
                      <w:r w:rsidRPr="004D3A19">
                        <w:rPr>
                          <w:color w:val="000000" w:themeColor="text1"/>
                          <w14:shadow w14:blurRad="50800" w14:dist="50800" w14:dir="5400000" w14:sx="0" w14:sy="0" w14:kx="0" w14:ky="0" w14:algn="ctr">
                            <w14:schemeClr w14:val="tx1"/>
                          </w14:shadow>
                        </w:rPr>
                        <w:t>(Lawful)</w:t>
                      </w:r>
                    </w:p>
                  </w:txbxContent>
                </v:textbox>
                <w10:wrap type="square"/>
              </v:shape>
            </w:pict>
          </mc:Fallback>
        </mc:AlternateContent>
      </w:r>
      <w:r w:rsidRPr="009871A0">
        <w:rPr>
          <w:noProof/>
          <w:sz w:val="22"/>
        </w:rPr>
        <mc:AlternateContent>
          <mc:Choice Requires="wps">
            <w:drawing>
              <wp:anchor distT="0" distB="0" distL="114300" distR="114300" simplePos="0" relativeHeight="251661312" behindDoc="0" locked="0" layoutInCell="1" allowOverlap="1" wp14:anchorId="2C325CA0" wp14:editId="4352ECBC">
                <wp:simplePos x="0" y="0"/>
                <wp:positionH relativeFrom="column">
                  <wp:posOffset>53975</wp:posOffset>
                </wp:positionH>
                <wp:positionV relativeFrom="paragraph">
                  <wp:posOffset>242570</wp:posOffset>
                </wp:positionV>
                <wp:extent cx="1714500" cy="845185"/>
                <wp:effectExtent l="0" t="0" r="38100" b="18415"/>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845185"/>
                        </a:xfrm>
                        <a:prstGeom prst="rect">
                          <a:avLst/>
                        </a:prstGeom>
                        <a:solidFill>
                          <a:schemeClr val="bg1">
                            <a:lumMod val="6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57D9E0" w14:textId="0BC8DD7D" w:rsidR="00E55A55" w:rsidRPr="004D3A19" w:rsidRDefault="00E55A55">
                            <w:pPr>
                              <w:rPr>
                                <w:b/>
                                <w:color w:val="000000" w:themeColor="text1"/>
                              </w:rPr>
                            </w:pPr>
                            <w:r w:rsidRPr="004D3A19">
                              <w:rPr>
                                <w:b/>
                                <w:color w:val="000000" w:themeColor="text1"/>
                              </w:rPr>
                              <w:t>Deprivation of liberty</w:t>
                            </w:r>
                          </w:p>
                          <w:p w14:paraId="073B5F6F" w14:textId="77777777" w:rsidR="00E55A55" w:rsidRDefault="00E55A55">
                            <w:pPr>
                              <w:rPr>
                                <w:color w:val="000000" w:themeColor="text1"/>
                              </w:rPr>
                            </w:pPr>
                          </w:p>
                          <w:p w14:paraId="33E5AA10" w14:textId="0DA73DFD" w:rsidR="00E55A55" w:rsidRPr="004D3A19" w:rsidRDefault="00E55A55">
                            <w:pPr>
                              <w:rPr>
                                <w:color w:val="000000" w:themeColor="text1"/>
                              </w:rPr>
                            </w:pPr>
                            <w:r>
                              <w:rPr>
                                <w:color w:val="000000" w:themeColor="text1"/>
                              </w:rPr>
                              <w:t>(Unlawful, subject to limited exceptions)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25CA0" id="Text Box 4" o:spid="_x0000_s1027" type="#_x0000_t202" style="position:absolute;left:0;text-align:left;margin-left:4.25pt;margin-top:19.1pt;width:135pt;height: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" fillcolor="#a5a5a5 [2092]" strokecolor="black [3213]">
                <v:textbox>
                  <w:txbxContent>
                    <w:p w14:paraId="7357D9E0" w14:textId="0BC8DD7D" w:rsidR="00E55A55" w:rsidRPr="004D3A19" w:rsidRDefault="00E55A55">
                      <w:pPr>
                        <w:rPr>
                          <w:b/>
                          <w:color w:val="000000" w:themeColor="text1"/>
                        </w:rPr>
                      </w:pPr>
                      <w:r w:rsidRPr="004D3A19">
                        <w:rPr>
                          <w:b/>
                          <w:color w:val="000000" w:themeColor="text1"/>
                        </w:rPr>
                        <w:t>Deprivation of liberty</w:t>
                      </w:r>
                    </w:p>
                    <w:p w14:paraId="073B5F6F" w14:textId="77777777" w:rsidR="00E55A55" w:rsidRDefault="00E55A55">
                      <w:pPr>
                        <w:rPr>
                          <w:color w:val="000000" w:themeColor="text1"/>
                        </w:rPr>
                      </w:pPr>
                    </w:p>
                    <w:p w14:paraId="33E5AA10" w14:textId="0DA73DFD" w:rsidR="00E55A55" w:rsidRPr="004D3A19" w:rsidRDefault="00E55A55">
                      <w:pPr>
                        <w:rPr>
                          <w:color w:val="000000" w:themeColor="text1"/>
                        </w:rPr>
                      </w:pPr>
                      <w:r>
                        <w:rPr>
                          <w:color w:val="000000" w:themeColor="text1"/>
                        </w:rPr>
                        <w:t>(Unlawful, subject to limited exceptions)</w:t>
                      </w:r>
                    </w:p>
                  </w:txbxContent>
                </v:textbox>
                <w10:wrap type="square"/>
              </v:shape>
            </w:pict>
          </mc:Fallback>
        </mc:AlternateContent>
      </w:r>
      <w:r w:rsidR="00DB50D7" w:rsidRPr="009871A0">
        <w:rPr>
          <w:noProof/>
          <w:sz w:val="22"/>
        </w:rPr>
        <mc:AlternateContent>
          <mc:Choice Requires="wps">
            <w:drawing>
              <wp:anchor distT="0" distB="0" distL="114300" distR="114300" simplePos="0" relativeHeight="251663360" behindDoc="0" locked="0" layoutInCell="1" allowOverlap="1" wp14:anchorId="67DE35A6" wp14:editId="48D5F5C1">
                <wp:simplePos x="0" y="0"/>
                <wp:positionH relativeFrom="column">
                  <wp:posOffset>5652135</wp:posOffset>
                </wp:positionH>
                <wp:positionV relativeFrom="paragraph">
                  <wp:posOffset>1100455</wp:posOffset>
                </wp:positionV>
                <wp:extent cx="45719" cy="114300"/>
                <wp:effectExtent l="50800" t="0" r="56515"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E35A6" id="Text Box 1" o:spid="_x0000_s1028" type="#_x0000_t202" style="position:absolute;left:0;text-align:left;margin-left:445.05pt;margin-top:86.65pt;width:3.6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" filled="f" stroked="f">
                <v:textbox>
                  <w:txbxContent/>
                </v:textbox>
                <w10:wrap type="square"/>
              </v:shape>
            </w:pict>
          </mc:Fallback>
        </mc:AlternateContent>
      </w:r>
    </w:p>
    <w:p w14:paraId="389AD41A" w14:textId="44812FD7" w:rsidR="00983D79" w:rsidRPr="009871A0" w:rsidRDefault="00983D79" w:rsidP="00984782">
      <w:pPr>
        <w:keepLines/>
        <w:widowControl w:val="0"/>
        <w:tabs>
          <w:tab w:val="left" w:pos="2790"/>
        </w:tabs>
        <w:spacing w:line="480" w:lineRule="auto"/>
        <w:jc w:val="both"/>
        <w:rPr>
          <w:b/>
          <w:sz w:val="22"/>
        </w:rPr>
      </w:pPr>
    </w:p>
    <w:p w14:paraId="4E5F9966" w14:textId="12A6BBCE" w:rsidR="002A2FA0" w:rsidRPr="009871A0" w:rsidRDefault="002A2FA0" w:rsidP="00984782">
      <w:pPr>
        <w:keepLines/>
        <w:widowControl w:val="0"/>
        <w:tabs>
          <w:tab w:val="left" w:pos="2790"/>
        </w:tabs>
        <w:spacing w:line="480" w:lineRule="auto"/>
        <w:jc w:val="both"/>
        <w:rPr>
          <w:b/>
          <w:sz w:val="22"/>
        </w:rPr>
      </w:pPr>
      <w:r w:rsidRPr="009871A0">
        <w:rPr>
          <w:b/>
          <w:sz w:val="22"/>
        </w:rPr>
        <w:t>Fig</w:t>
      </w:r>
      <w:r w:rsidR="00571321" w:rsidRPr="009871A0">
        <w:rPr>
          <w:b/>
          <w:sz w:val="22"/>
        </w:rPr>
        <w:t>ure</w:t>
      </w:r>
      <w:r w:rsidRPr="009871A0">
        <w:rPr>
          <w:b/>
          <w:sz w:val="22"/>
        </w:rPr>
        <w:t xml:space="preserve"> 1: </w:t>
      </w:r>
      <w:r w:rsidR="00536BED" w:rsidRPr="009871A0">
        <w:rPr>
          <w:b/>
          <w:sz w:val="22"/>
        </w:rPr>
        <w:t xml:space="preserve">Article 5 </w:t>
      </w:r>
      <w:r w:rsidRPr="009871A0">
        <w:rPr>
          <w:b/>
          <w:sz w:val="22"/>
        </w:rPr>
        <w:t>Deprivation of liberty spectrum</w:t>
      </w:r>
      <w:r w:rsidR="00DB50D7" w:rsidRPr="009871A0">
        <w:rPr>
          <w:b/>
          <w:sz w:val="22"/>
        </w:rPr>
        <w:t xml:space="preserve"> (applying the four-part ECtHR test)</w:t>
      </w:r>
    </w:p>
    <w:p w14:paraId="51F6E443" w14:textId="77777777" w:rsidR="00DB50D7" w:rsidRPr="009871A0" w:rsidRDefault="00DB50D7" w:rsidP="00984782">
      <w:pPr>
        <w:keepLines/>
        <w:widowControl w:val="0"/>
        <w:tabs>
          <w:tab w:val="left" w:pos="2790"/>
        </w:tabs>
        <w:spacing w:line="480" w:lineRule="auto"/>
        <w:jc w:val="both"/>
        <w:rPr>
          <w:sz w:val="22"/>
        </w:rPr>
      </w:pPr>
    </w:p>
    <w:p w14:paraId="376A92E0" w14:textId="7DAF2C1F" w:rsidR="007915DF" w:rsidRPr="009871A0" w:rsidRDefault="007915DF" w:rsidP="00984782">
      <w:pPr>
        <w:spacing w:line="480" w:lineRule="auto"/>
        <w:jc w:val="both"/>
        <w:rPr>
          <w:sz w:val="22"/>
        </w:rPr>
      </w:pPr>
      <w:r w:rsidRPr="009871A0">
        <w:rPr>
          <w:noProof/>
          <w:sz w:val="22"/>
        </w:rPr>
        <w:drawing>
          <wp:inline distT="0" distB="0" distL="0" distR="0" wp14:anchorId="443CAA3B" wp14:editId="6345161E">
            <wp:extent cx="5434965" cy="1259840"/>
            <wp:effectExtent l="0" t="0" r="0" b="101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2D3086C" w14:textId="73BE1A53" w:rsidR="00907FAD" w:rsidRPr="009871A0" w:rsidRDefault="002A2FA0" w:rsidP="00984782">
      <w:pPr>
        <w:spacing w:line="480" w:lineRule="auto"/>
        <w:jc w:val="both"/>
        <w:rPr>
          <w:b/>
          <w:sz w:val="22"/>
        </w:rPr>
      </w:pPr>
      <w:r w:rsidRPr="009871A0">
        <w:rPr>
          <w:b/>
          <w:sz w:val="22"/>
        </w:rPr>
        <w:t>Fig</w:t>
      </w:r>
      <w:r w:rsidR="00571321" w:rsidRPr="009871A0">
        <w:rPr>
          <w:b/>
          <w:sz w:val="22"/>
        </w:rPr>
        <w:t>ure</w:t>
      </w:r>
      <w:r w:rsidR="00F834D4">
        <w:rPr>
          <w:b/>
          <w:sz w:val="22"/>
        </w:rPr>
        <w:t xml:space="preserve"> 2: Relationship between a</w:t>
      </w:r>
      <w:r w:rsidRPr="009871A0">
        <w:rPr>
          <w:b/>
          <w:sz w:val="22"/>
        </w:rPr>
        <w:t>rticle 5</w:t>
      </w:r>
      <w:r w:rsidR="004D1BA3" w:rsidRPr="009871A0">
        <w:rPr>
          <w:b/>
          <w:sz w:val="22"/>
        </w:rPr>
        <w:t xml:space="preserve"> (right to liberty)</w:t>
      </w:r>
      <w:r w:rsidRPr="009871A0">
        <w:rPr>
          <w:b/>
          <w:sz w:val="22"/>
        </w:rPr>
        <w:t xml:space="preserve"> and A2P4</w:t>
      </w:r>
      <w:r w:rsidR="004D1BA3" w:rsidRPr="009871A0">
        <w:rPr>
          <w:b/>
          <w:sz w:val="22"/>
        </w:rPr>
        <w:t xml:space="preserve"> (freedom of movement)</w:t>
      </w:r>
    </w:p>
    <w:p w14:paraId="2B5DF3C6" w14:textId="77777777" w:rsidR="00D90A40" w:rsidRPr="009871A0" w:rsidRDefault="00D90A40" w:rsidP="00984782">
      <w:pPr>
        <w:spacing w:line="480" w:lineRule="auto"/>
        <w:jc w:val="both"/>
        <w:rPr>
          <w:sz w:val="22"/>
        </w:rPr>
      </w:pPr>
    </w:p>
    <w:p w14:paraId="1BEE20D2" w14:textId="79FD7E3B" w:rsidR="004755E9" w:rsidRPr="009871A0" w:rsidRDefault="004755E9" w:rsidP="004755E9">
      <w:pPr>
        <w:spacing w:line="480" w:lineRule="auto"/>
        <w:ind w:firstLine="720"/>
        <w:jc w:val="both"/>
        <w:rPr>
          <w:sz w:val="22"/>
        </w:rPr>
      </w:pPr>
      <w:r w:rsidRPr="009871A0">
        <w:rPr>
          <w:sz w:val="22"/>
        </w:rPr>
        <w:t>The spirit of A2P4 is to allow people to move freely within and between countries and to set up a residence of their choosing, not to inquire as to whether someone can quite literally walk down a public street or move around within a cordon.</w:t>
      </w:r>
      <w:r w:rsidRPr="009871A0">
        <w:rPr>
          <w:rStyle w:val="FootnoteReference"/>
          <w:sz w:val="22"/>
        </w:rPr>
        <w:footnoteReference w:id="123"/>
      </w:r>
      <w:r w:rsidRPr="009871A0">
        <w:rPr>
          <w:sz w:val="22"/>
        </w:rPr>
        <w:t xml:space="preserve"> The jurisprudence on A2P4 supports that fact, with </w:t>
      </w:r>
      <w:r w:rsidRPr="009871A0">
        <w:rPr>
          <w:sz w:val="22"/>
        </w:rPr>
        <w:lastRenderedPageBreak/>
        <w:t>cases on applicants being forced to remain in a certain city,</w:t>
      </w:r>
      <w:r w:rsidRPr="009871A0">
        <w:rPr>
          <w:rStyle w:val="FootnoteReference"/>
          <w:sz w:val="22"/>
        </w:rPr>
        <w:footnoteReference w:id="124"/>
      </w:r>
      <w:r w:rsidRPr="009871A0">
        <w:rPr>
          <w:sz w:val="22"/>
        </w:rPr>
        <w:t xml:space="preserve"> or country,</w:t>
      </w:r>
      <w:r w:rsidRPr="009871A0">
        <w:rPr>
          <w:rStyle w:val="FootnoteReference"/>
          <w:sz w:val="22"/>
        </w:rPr>
        <w:footnoteReference w:id="125"/>
      </w:r>
      <w:r w:rsidRPr="009871A0">
        <w:rPr>
          <w:sz w:val="22"/>
        </w:rPr>
        <w:t xml:space="preserve"> or having their passports seized.</w:t>
      </w:r>
      <w:r w:rsidRPr="009871A0">
        <w:rPr>
          <w:rStyle w:val="FootnoteReference"/>
          <w:sz w:val="22"/>
        </w:rPr>
        <w:footnoteReference w:id="126"/>
      </w:r>
      <w:r w:rsidRPr="009871A0">
        <w:rPr>
          <w:sz w:val="22"/>
        </w:rPr>
        <w:t xml:space="preserve"> By contrast, cases which have been held not to engage A2P4 have included security controls at an airport.</w:t>
      </w:r>
      <w:r w:rsidRPr="009871A0">
        <w:rPr>
          <w:rStyle w:val="FootnoteReference"/>
          <w:sz w:val="22"/>
        </w:rPr>
        <w:footnoteReference w:id="127"/>
      </w:r>
      <w:r w:rsidRPr="009871A0">
        <w:rPr>
          <w:sz w:val="22"/>
        </w:rPr>
        <w:t xml:space="preserve"> A brief stop of that nature would likely not infringe </w:t>
      </w:r>
      <w:r>
        <w:rPr>
          <w:sz w:val="22"/>
        </w:rPr>
        <w:t>a</w:t>
      </w:r>
      <w:r w:rsidRPr="009871A0">
        <w:rPr>
          <w:sz w:val="22"/>
        </w:rPr>
        <w:t>rticle 5 either, but such cases should be decided on the deprivation of liberty spectrum</w:t>
      </w:r>
      <w:r>
        <w:rPr>
          <w:sz w:val="22"/>
        </w:rPr>
        <w:t>.</w:t>
      </w:r>
      <w:r w:rsidRPr="009871A0">
        <w:rPr>
          <w:rStyle w:val="FootnoteReference"/>
          <w:sz w:val="22"/>
        </w:rPr>
        <w:footnoteReference w:id="128"/>
      </w:r>
      <w:r>
        <w:rPr>
          <w:sz w:val="22"/>
        </w:rPr>
        <w:t xml:space="preserve"> Because</w:t>
      </w:r>
      <w:r w:rsidRPr="009871A0">
        <w:rPr>
          <w:sz w:val="22"/>
        </w:rPr>
        <w:t xml:space="preserve"> the right to liberty is not a right to simply move around as one wishes, to be stopped momentarily to have our bags searched is not prima</w:t>
      </w:r>
      <w:r w:rsidR="00CF3121">
        <w:rPr>
          <w:sz w:val="22"/>
        </w:rPr>
        <w:t xml:space="preserve"> facie a deprivation of liberty. O</w:t>
      </w:r>
      <w:r w:rsidRPr="009871A0">
        <w:rPr>
          <w:sz w:val="22"/>
        </w:rPr>
        <w:t>ne is under supervision and control and not free to leave</w:t>
      </w:r>
      <w:r w:rsidR="00CF3121">
        <w:rPr>
          <w:sz w:val="22"/>
        </w:rPr>
        <w:t xml:space="preserve">, but </w:t>
      </w:r>
      <w:r w:rsidR="007E1CDB">
        <w:rPr>
          <w:sz w:val="22"/>
        </w:rPr>
        <w:t>for a “negligible” time</w:t>
      </w:r>
      <w:r w:rsidRPr="009871A0">
        <w:rPr>
          <w:sz w:val="22"/>
        </w:rPr>
        <w:t>.</w:t>
      </w:r>
      <w:r w:rsidR="007E1CDB">
        <w:rPr>
          <w:rStyle w:val="FootnoteReference"/>
          <w:sz w:val="22"/>
        </w:rPr>
        <w:footnoteReference w:id="129"/>
      </w:r>
      <w:r w:rsidRPr="009871A0">
        <w:rPr>
          <w:sz w:val="22"/>
        </w:rPr>
        <w:t xml:space="preserve"> </w:t>
      </w:r>
      <w:r w:rsidR="007E1CDB">
        <w:rPr>
          <w:sz w:val="22"/>
        </w:rPr>
        <w:t>W</w:t>
      </w:r>
      <w:r w:rsidR="007E1CDB" w:rsidRPr="009871A0">
        <w:rPr>
          <w:sz w:val="22"/>
        </w:rPr>
        <w:t>e are merely “kept waiting” – our liberty is restricted, but we are not deprived of it.</w:t>
      </w:r>
      <w:r w:rsidR="007E1CDB" w:rsidRPr="009871A0">
        <w:rPr>
          <w:rStyle w:val="FootnoteReference"/>
          <w:sz w:val="22"/>
        </w:rPr>
        <w:footnoteReference w:id="130"/>
      </w:r>
      <w:r w:rsidR="007E1CDB" w:rsidRPr="009871A0">
        <w:rPr>
          <w:sz w:val="22"/>
        </w:rPr>
        <w:t xml:space="preserve"> </w:t>
      </w:r>
      <w:r w:rsidRPr="009871A0">
        <w:rPr>
          <w:sz w:val="22"/>
        </w:rPr>
        <w:t>If, however, that stop is arbitrary (for example, motivated by racism</w:t>
      </w:r>
      <w:r w:rsidR="007E1CDB">
        <w:rPr>
          <w:sz w:val="22"/>
        </w:rPr>
        <w:t>, or</w:t>
      </w:r>
      <w:r w:rsidR="007E1CDB" w:rsidRPr="007E1CDB">
        <w:rPr>
          <w:sz w:val="22"/>
        </w:rPr>
        <w:t xml:space="preserve"> </w:t>
      </w:r>
      <w:r w:rsidR="007E1CDB" w:rsidRPr="009871A0">
        <w:rPr>
          <w:sz w:val="22"/>
        </w:rPr>
        <w:t xml:space="preserve">it </w:t>
      </w:r>
      <w:r w:rsidR="007E1CDB">
        <w:rPr>
          <w:sz w:val="22"/>
        </w:rPr>
        <w:t>continues</w:t>
      </w:r>
      <w:r w:rsidR="007E1CDB" w:rsidRPr="009871A0">
        <w:rPr>
          <w:sz w:val="22"/>
        </w:rPr>
        <w:t xml:space="preserve"> for longer than </w:t>
      </w:r>
      <w:r w:rsidR="007E1CDB">
        <w:rPr>
          <w:sz w:val="22"/>
        </w:rPr>
        <w:t>necessary),</w:t>
      </w:r>
      <w:r w:rsidR="007E1CDB" w:rsidRPr="009871A0">
        <w:rPr>
          <w:rStyle w:val="FootnoteReference"/>
          <w:sz w:val="22"/>
        </w:rPr>
        <w:footnoteReference w:id="131"/>
      </w:r>
      <w:r w:rsidRPr="009871A0">
        <w:rPr>
          <w:sz w:val="22"/>
        </w:rPr>
        <w:t xml:space="preserve"> it may become a deprivation of liberty. But assuming it is not arbitrary, is brief and the effects on the ordinary person would be mini</w:t>
      </w:r>
      <w:r w:rsidR="00CF3121">
        <w:rPr>
          <w:sz w:val="22"/>
        </w:rPr>
        <w:t>mal, it is a mere restriction of</w:t>
      </w:r>
      <w:r w:rsidRPr="009871A0">
        <w:rPr>
          <w:sz w:val="22"/>
        </w:rPr>
        <w:t xml:space="preserve"> liberty not engaging </w:t>
      </w:r>
      <w:r>
        <w:rPr>
          <w:sz w:val="22"/>
        </w:rPr>
        <w:t>a</w:t>
      </w:r>
      <w:r w:rsidRPr="009871A0">
        <w:rPr>
          <w:sz w:val="22"/>
        </w:rPr>
        <w:t xml:space="preserve">rticle 5. The four-part test allows us to see where on the </w:t>
      </w:r>
      <w:r>
        <w:rPr>
          <w:sz w:val="22"/>
        </w:rPr>
        <w:t>ar</w:t>
      </w:r>
      <w:r w:rsidRPr="009871A0">
        <w:rPr>
          <w:sz w:val="22"/>
        </w:rPr>
        <w:t xml:space="preserve">ticle 5 </w:t>
      </w:r>
      <w:r>
        <w:rPr>
          <w:sz w:val="22"/>
        </w:rPr>
        <w:t>d</w:t>
      </w:r>
      <w:r w:rsidRPr="009871A0">
        <w:rPr>
          <w:sz w:val="22"/>
        </w:rPr>
        <w:t xml:space="preserve">eprivation of </w:t>
      </w:r>
      <w:r>
        <w:rPr>
          <w:sz w:val="22"/>
        </w:rPr>
        <w:t>li</w:t>
      </w:r>
      <w:r w:rsidRPr="009871A0">
        <w:rPr>
          <w:sz w:val="22"/>
        </w:rPr>
        <w:t>berty spectrum a measure falls.</w:t>
      </w:r>
      <w:r w:rsidRPr="009871A0">
        <w:rPr>
          <w:rStyle w:val="FootnoteReference"/>
          <w:sz w:val="22"/>
        </w:rPr>
        <w:footnoteReference w:id="132"/>
      </w:r>
      <w:r w:rsidRPr="009871A0">
        <w:rPr>
          <w:sz w:val="22"/>
        </w:rPr>
        <w:t xml:space="preserve"> That </w:t>
      </w:r>
      <w:r w:rsidR="007E1CDB">
        <w:rPr>
          <w:sz w:val="22"/>
        </w:rPr>
        <w:t>conclusion</w:t>
      </w:r>
      <w:r w:rsidRPr="009871A0">
        <w:rPr>
          <w:sz w:val="22"/>
        </w:rPr>
        <w:t xml:space="preserve"> accords with the ordinary language test – we would not ordinarily think that we have been deprived of our liberty if we are kept waiting for five minutes, or even an hour in a busy airport. But we might say we had been so deprived if we are, for example, told to come to a separate room for a more thorough search and unable to leave. In </w:t>
      </w:r>
      <w:r w:rsidRPr="009871A0">
        <w:rPr>
          <w:i/>
          <w:sz w:val="22"/>
        </w:rPr>
        <w:t>Gahramanov</w:t>
      </w:r>
      <w:r w:rsidRPr="009871A0">
        <w:rPr>
          <w:sz w:val="22"/>
        </w:rPr>
        <w:t>,</w:t>
      </w:r>
      <w:r w:rsidRPr="009871A0">
        <w:rPr>
          <w:rStyle w:val="FootnoteReference"/>
          <w:sz w:val="22"/>
        </w:rPr>
        <w:footnoteReference w:id="133"/>
      </w:r>
      <w:r w:rsidRPr="009871A0">
        <w:rPr>
          <w:sz w:val="22"/>
        </w:rPr>
        <w:t xml:space="preserve"> the ECtHR declared </w:t>
      </w:r>
      <w:r w:rsidRPr="009871A0">
        <w:rPr>
          <w:sz w:val="22"/>
        </w:rPr>
        <w:lastRenderedPageBreak/>
        <w:t>inadmissible a complaint regarding several hours’ detention in an airport.</w:t>
      </w:r>
      <w:r w:rsidRPr="009871A0">
        <w:rPr>
          <w:rStyle w:val="FootnoteReference"/>
          <w:sz w:val="22"/>
        </w:rPr>
        <w:footnoteReference w:id="134"/>
      </w:r>
      <w:r w:rsidRPr="009871A0">
        <w:rPr>
          <w:sz w:val="22"/>
        </w:rPr>
        <w:t xml:space="preserve"> In the Court’s view, there was no deprivation of liberty, despite the length of time and the fact that he was not free to leave the examination room because the search took place for no longer than was necessary. Again, the Court misapplied the arbitrariness test. Allowing non-arbitrariness to make lawful all potential deprivations of liberty risks hollowing out </w:t>
      </w:r>
      <w:r>
        <w:rPr>
          <w:sz w:val="22"/>
        </w:rPr>
        <w:t>a</w:t>
      </w:r>
      <w:r w:rsidRPr="009871A0">
        <w:rPr>
          <w:sz w:val="22"/>
        </w:rPr>
        <w:t xml:space="preserve">rticle 5’s protections since the State </w:t>
      </w:r>
      <w:r w:rsidR="001C3853">
        <w:rPr>
          <w:sz w:val="22"/>
        </w:rPr>
        <w:t xml:space="preserve">can </w:t>
      </w:r>
      <w:r w:rsidRPr="009871A0">
        <w:rPr>
          <w:sz w:val="22"/>
        </w:rPr>
        <w:t xml:space="preserve">always </w:t>
      </w:r>
      <w:r w:rsidR="001C3853">
        <w:rPr>
          <w:sz w:val="22"/>
        </w:rPr>
        <w:t>attempt</w:t>
      </w:r>
      <w:r w:rsidRPr="009871A0">
        <w:rPr>
          <w:sz w:val="22"/>
        </w:rPr>
        <w:t xml:space="preserve"> to argue that the deprivation lasted no longer than necessary. Applying the four-part test, </w:t>
      </w:r>
      <w:r w:rsidRPr="009871A0">
        <w:rPr>
          <w:i/>
          <w:sz w:val="22"/>
        </w:rPr>
        <w:t>Gahmramanov</w:t>
      </w:r>
      <w:r w:rsidRPr="009871A0">
        <w:rPr>
          <w:sz w:val="22"/>
        </w:rPr>
        <w:t xml:space="preserve"> is a borderline case. We may expect to have our bag searched and to be delayed for a short time, but to be held up for several hours due to an administrative mistake (his name wrongly appeared on a list of people to be stopped) is less likely to be something the average person would be entitled to expect. </w:t>
      </w:r>
      <w:r>
        <w:rPr>
          <w:sz w:val="22"/>
        </w:rPr>
        <w:t xml:space="preserve">By contrast, five hours’ detention in an airport room </w:t>
      </w:r>
      <w:r w:rsidR="001C3853">
        <w:rPr>
          <w:sz w:val="22"/>
        </w:rPr>
        <w:t>with</w:t>
      </w:r>
      <w:r>
        <w:rPr>
          <w:sz w:val="22"/>
        </w:rPr>
        <w:t xml:space="preserve"> an armed guard </w:t>
      </w:r>
      <w:r w:rsidR="001C3853">
        <w:rPr>
          <w:sz w:val="22"/>
        </w:rPr>
        <w:t xml:space="preserve">on the door </w:t>
      </w:r>
      <w:r>
        <w:rPr>
          <w:sz w:val="22"/>
        </w:rPr>
        <w:t xml:space="preserve">constituted a breach of article 5 in </w:t>
      </w:r>
      <w:r w:rsidRPr="0014659F">
        <w:rPr>
          <w:i/>
          <w:sz w:val="22"/>
        </w:rPr>
        <w:t>Kasparov</w:t>
      </w:r>
      <w:r>
        <w:rPr>
          <w:sz w:val="22"/>
        </w:rPr>
        <w:t xml:space="preserve">. </w:t>
      </w:r>
      <w:r w:rsidRPr="00D37EE8">
        <w:rPr>
          <w:i/>
          <w:sz w:val="22"/>
        </w:rPr>
        <w:t>Gahramanov</w:t>
      </w:r>
      <w:r>
        <w:rPr>
          <w:sz w:val="22"/>
        </w:rPr>
        <w:t xml:space="preserve"> was distinguished because th</w:t>
      </w:r>
      <w:r w:rsidR="00032550">
        <w:rPr>
          <w:sz w:val="22"/>
        </w:rPr>
        <w:t xml:space="preserve">e detention was longer than </w:t>
      </w:r>
      <w:r>
        <w:rPr>
          <w:sz w:val="22"/>
        </w:rPr>
        <w:t>necessary and was “not the normal situation that anyone travelling through an airport can be expected to endure”.</w:t>
      </w:r>
      <w:r>
        <w:rPr>
          <w:rStyle w:val="FootnoteReference"/>
          <w:sz w:val="22"/>
        </w:rPr>
        <w:footnoteReference w:id="135"/>
      </w:r>
    </w:p>
    <w:p w14:paraId="0D849A1E" w14:textId="32053AA1" w:rsidR="00F85A42" w:rsidRDefault="00505143" w:rsidP="004755E9">
      <w:pPr>
        <w:spacing w:line="480" w:lineRule="auto"/>
        <w:ind w:firstLine="720"/>
        <w:jc w:val="both"/>
        <w:rPr>
          <w:sz w:val="22"/>
        </w:rPr>
      </w:pPr>
      <w:r>
        <w:rPr>
          <w:sz w:val="22"/>
        </w:rPr>
        <w:t xml:space="preserve">Article 5 and A2P4, </w:t>
      </w:r>
      <w:r w:rsidR="00DB50D7" w:rsidRPr="009871A0">
        <w:rPr>
          <w:sz w:val="22"/>
        </w:rPr>
        <w:t>although overlapping,</w:t>
      </w:r>
      <w:r w:rsidR="00BB5C76" w:rsidRPr="009871A0">
        <w:rPr>
          <w:sz w:val="22"/>
        </w:rPr>
        <w:t xml:space="preserve"> </w:t>
      </w:r>
      <w:r>
        <w:rPr>
          <w:sz w:val="22"/>
        </w:rPr>
        <w:t xml:space="preserve">are </w:t>
      </w:r>
      <w:r w:rsidR="00BB5C76" w:rsidRPr="009871A0">
        <w:rPr>
          <w:sz w:val="22"/>
        </w:rPr>
        <w:t>different</w:t>
      </w:r>
      <w:r w:rsidR="002B21B8" w:rsidRPr="009871A0">
        <w:rPr>
          <w:sz w:val="22"/>
        </w:rPr>
        <w:t xml:space="preserve"> </w:t>
      </w:r>
      <w:r w:rsidR="00B83106" w:rsidRPr="009871A0">
        <w:rPr>
          <w:sz w:val="22"/>
        </w:rPr>
        <w:t>in substance</w:t>
      </w:r>
      <w:r w:rsidR="00BB5C76" w:rsidRPr="009871A0">
        <w:rPr>
          <w:sz w:val="22"/>
        </w:rPr>
        <w:t xml:space="preserve"> and not merely different </w:t>
      </w:r>
      <w:r w:rsidR="006A1B0F" w:rsidRPr="009871A0">
        <w:rPr>
          <w:sz w:val="22"/>
        </w:rPr>
        <w:t>points</w:t>
      </w:r>
      <w:r w:rsidR="00BB5C76" w:rsidRPr="009871A0">
        <w:rPr>
          <w:sz w:val="22"/>
        </w:rPr>
        <w:t xml:space="preserve"> of the same spectrum. </w:t>
      </w:r>
      <w:r w:rsidR="00F834D4">
        <w:rPr>
          <w:sz w:val="22"/>
        </w:rPr>
        <w:t>Just as a</w:t>
      </w:r>
      <w:r w:rsidR="001443C9" w:rsidRPr="009871A0">
        <w:rPr>
          <w:sz w:val="22"/>
        </w:rPr>
        <w:t xml:space="preserve">rticle 5 should be given a meaning which accords with everyday language, so too must A2P4. </w:t>
      </w:r>
      <w:r w:rsidR="001442FD" w:rsidRPr="009871A0">
        <w:rPr>
          <w:sz w:val="22"/>
        </w:rPr>
        <w:t>“</w:t>
      </w:r>
      <w:r w:rsidR="00DB50D7" w:rsidRPr="009871A0">
        <w:rPr>
          <w:sz w:val="22"/>
        </w:rPr>
        <w:t>F</w:t>
      </w:r>
      <w:r w:rsidR="001443C9" w:rsidRPr="009871A0">
        <w:rPr>
          <w:sz w:val="22"/>
        </w:rPr>
        <w:t>reedom of movement</w:t>
      </w:r>
      <w:r w:rsidR="001442FD" w:rsidRPr="009871A0">
        <w:rPr>
          <w:sz w:val="22"/>
        </w:rPr>
        <w:t>”</w:t>
      </w:r>
      <w:r w:rsidR="001443C9" w:rsidRPr="009871A0">
        <w:rPr>
          <w:sz w:val="22"/>
        </w:rPr>
        <w:t xml:space="preserve"> in everyday speech connotes </w:t>
      </w:r>
      <w:r w:rsidR="00AE39FB" w:rsidRPr="009871A0">
        <w:rPr>
          <w:sz w:val="22"/>
        </w:rPr>
        <w:t>changing one’s place of residence</w:t>
      </w:r>
      <w:r w:rsidR="00DB50D7" w:rsidRPr="009871A0">
        <w:rPr>
          <w:sz w:val="22"/>
        </w:rPr>
        <w:t xml:space="preserve"> or travel more broadly than </w:t>
      </w:r>
      <w:r w:rsidR="001443C9" w:rsidRPr="009871A0">
        <w:rPr>
          <w:sz w:val="22"/>
        </w:rPr>
        <w:t xml:space="preserve">the </w:t>
      </w:r>
      <w:r w:rsidR="00AE39FB" w:rsidRPr="009871A0">
        <w:rPr>
          <w:sz w:val="22"/>
        </w:rPr>
        <w:t>mere use of public roads</w:t>
      </w:r>
      <w:r w:rsidR="001443C9" w:rsidRPr="009871A0">
        <w:rPr>
          <w:sz w:val="22"/>
        </w:rPr>
        <w:t>.</w:t>
      </w:r>
      <w:r w:rsidR="00DA4DF5" w:rsidRPr="009871A0">
        <w:rPr>
          <w:rStyle w:val="FootnoteReference"/>
          <w:sz w:val="22"/>
        </w:rPr>
        <w:footnoteReference w:id="136"/>
      </w:r>
      <w:r w:rsidR="00125E5A" w:rsidRPr="009871A0">
        <w:rPr>
          <w:sz w:val="22"/>
        </w:rPr>
        <w:t xml:space="preserve"> </w:t>
      </w:r>
      <w:r w:rsidR="007835A2" w:rsidRPr="009871A0">
        <w:rPr>
          <w:sz w:val="22"/>
        </w:rPr>
        <w:t xml:space="preserve">Someone deprived of her liberty </w:t>
      </w:r>
      <w:r w:rsidR="005527A4" w:rsidRPr="009871A0">
        <w:rPr>
          <w:sz w:val="22"/>
        </w:rPr>
        <w:t>may</w:t>
      </w:r>
      <w:r w:rsidR="007835A2" w:rsidRPr="009871A0">
        <w:rPr>
          <w:sz w:val="22"/>
        </w:rPr>
        <w:t xml:space="preserve"> also lack freedom of movement, just as various other Convention rights m</w:t>
      </w:r>
      <w:r w:rsidR="001735DB" w:rsidRPr="009871A0">
        <w:rPr>
          <w:sz w:val="22"/>
        </w:rPr>
        <w:t xml:space="preserve">ay be affected, but the relationship is not as the ECtHR </w:t>
      </w:r>
      <w:r w:rsidR="001C7E5B" w:rsidRPr="009871A0">
        <w:rPr>
          <w:sz w:val="22"/>
        </w:rPr>
        <w:t xml:space="preserve">has </w:t>
      </w:r>
      <w:r w:rsidR="00150AFC">
        <w:rPr>
          <w:sz w:val="22"/>
        </w:rPr>
        <w:t xml:space="preserve">sometimes </w:t>
      </w:r>
      <w:r w:rsidR="001C7E5B" w:rsidRPr="009871A0">
        <w:rPr>
          <w:sz w:val="22"/>
        </w:rPr>
        <w:t>suggested</w:t>
      </w:r>
      <w:r w:rsidR="001735DB" w:rsidRPr="009871A0">
        <w:rPr>
          <w:sz w:val="22"/>
        </w:rPr>
        <w:t>.</w:t>
      </w:r>
      <w:r w:rsidR="00F529F5" w:rsidRPr="00F529F5">
        <w:rPr>
          <w:sz w:val="22"/>
        </w:rPr>
        <w:t xml:space="preserve"> </w:t>
      </w:r>
      <w:r w:rsidR="00F529F5">
        <w:rPr>
          <w:sz w:val="22"/>
        </w:rPr>
        <w:t xml:space="preserve">If the Court finds a breach of article 5, it </w:t>
      </w:r>
      <w:r w:rsidR="00032550">
        <w:rPr>
          <w:sz w:val="22"/>
        </w:rPr>
        <w:t>consider</w:t>
      </w:r>
      <w:r w:rsidR="00523270">
        <w:rPr>
          <w:sz w:val="22"/>
        </w:rPr>
        <w:t>s</w:t>
      </w:r>
      <w:r w:rsidR="00F529F5">
        <w:rPr>
          <w:sz w:val="22"/>
        </w:rPr>
        <w:t xml:space="preserve"> it unnecessary to reach a conclusion on A2P4.</w:t>
      </w:r>
      <w:r w:rsidR="00F529F5">
        <w:rPr>
          <w:rStyle w:val="FootnoteReference"/>
          <w:sz w:val="22"/>
        </w:rPr>
        <w:footnoteReference w:id="137"/>
      </w:r>
      <w:r w:rsidR="00F529F5">
        <w:rPr>
          <w:sz w:val="22"/>
        </w:rPr>
        <w:t xml:space="preserve"> </w:t>
      </w:r>
      <w:r w:rsidR="001C3853">
        <w:rPr>
          <w:sz w:val="22"/>
        </w:rPr>
        <w:t>Because,</w:t>
      </w:r>
      <w:r w:rsidR="00F529F5">
        <w:rPr>
          <w:sz w:val="22"/>
        </w:rPr>
        <w:t xml:space="preserve"> however, the rights are overlapping rather than interchangeable, there is no reason that a breach of article 5 could not also give </w:t>
      </w:r>
      <w:r w:rsidR="00F529F5">
        <w:rPr>
          <w:sz w:val="22"/>
        </w:rPr>
        <w:lastRenderedPageBreak/>
        <w:t xml:space="preserve">rise to a separate breach </w:t>
      </w:r>
      <w:r w:rsidR="001C3853">
        <w:rPr>
          <w:sz w:val="22"/>
        </w:rPr>
        <w:t xml:space="preserve">of </w:t>
      </w:r>
      <w:r w:rsidR="00F529F5">
        <w:rPr>
          <w:sz w:val="22"/>
        </w:rPr>
        <w:t>A2P4,</w:t>
      </w:r>
      <w:r w:rsidR="00F529F5" w:rsidRPr="00111300">
        <w:rPr>
          <w:sz w:val="22"/>
        </w:rPr>
        <w:t xml:space="preserve"> </w:t>
      </w:r>
      <w:r w:rsidR="00F529F5">
        <w:rPr>
          <w:sz w:val="22"/>
        </w:rPr>
        <w:t xml:space="preserve">just as </w:t>
      </w:r>
      <w:r w:rsidR="001C3853">
        <w:rPr>
          <w:sz w:val="22"/>
        </w:rPr>
        <w:t>a breach of article 5 can lead to a breach</w:t>
      </w:r>
      <w:r w:rsidR="00F529F5">
        <w:rPr>
          <w:sz w:val="22"/>
        </w:rPr>
        <w:t xml:space="preserve"> </w:t>
      </w:r>
      <w:r w:rsidR="00634987">
        <w:rPr>
          <w:sz w:val="22"/>
        </w:rPr>
        <w:t xml:space="preserve">of other </w:t>
      </w:r>
      <w:r w:rsidR="00F529F5">
        <w:rPr>
          <w:sz w:val="22"/>
        </w:rPr>
        <w:t>Convention rights.</w:t>
      </w:r>
      <w:r w:rsidR="00F529F5">
        <w:rPr>
          <w:rStyle w:val="FootnoteReference"/>
          <w:sz w:val="22"/>
        </w:rPr>
        <w:footnoteReference w:id="138"/>
      </w:r>
      <w:r w:rsidR="00F529F5">
        <w:rPr>
          <w:sz w:val="22"/>
        </w:rPr>
        <w:t xml:space="preserve"> A breach of article 5 </w:t>
      </w:r>
      <w:r w:rsidR="004755E9">
        <w:rPr>
          <w:sz w:val="22"/>
        </w:rPr>
        <w:t>can concern</w:t>
      </w:r>
      <w:r w:rsidR="00F529F5">
        <w:rPr>
          <w:sz w:val="22"/>
        </w:rPr>
        <w:t xml:space="preserve"> a distinct part of the applicant’s case (</w:t>
      </w:r>
      <w:r w:rsidR="004755E9">
        <w:rPr>
          <w:sz w:val="22"/>
        </w:rPr>
        <w:t>e.g. detention in an</w:t>
      </w:r>
      <w:r w:rsidR="00F529F5">
        <w:rPr>
          <w:sz w:val="22"/>
        </w:rPr>
        <w:t xml:space="preserve"> airport) from </w:t>
      </w:r>
      <w:r w:rsidR="004755E9">
        <w:rPr>
          <w:sz w:val="22"/>
        </w:rPr>
        <w:t>an</w:t>
      </w:r>
      <w:r w:rsidR="00F529F5">
        <w:rPr>
          <w:sz w:val="22"/>
        </w:rPr>
        <w:t xml:space="preserve"> A2P4 breach (</w:t>
      </w:r>
      <w:r w:rsidR="004755E9">
        <w:rPr>
          <w:sz w:val="22"/>
        </w:rPr>
        <w:t xml:space="preserve">e.g. </w:t>
      </w:r>
      <w:r w:rsidR="00F529F5">
        <w:rPr>
          <w:sz w:val="22"/>
        </w:rPr>
        <w:t>the prevention of onward travel).</w:t>
      </w:r>
      <w:r w:rsidR="00D971CF">
        <w:rPr>
          <w:sz w:val="22"/>
        </w:rPr>
        <w:t xml:space="preserve"> It would equally be possible for a person to suffer a breach of A2P4 without a breach of article 5 (if they are </w:t>
      </w:r>
      <w:r w:rsidR="00D24CA0">
        <w:rPr>
          <w:sz w:val="22"/>
        </w:rPr>
        <w:t xml:space="preserve">not otherwise under continuous supervision and control e.g. </w:t>
      </w:r>
      <w:r w:rsidR="00D24CA0" w:rsidRPr="00D24CA0">
        <w:rPr>
          <w:i/>
          <w:sz w:val="22"/>
        </w:rPr>
        <w:t>Riener</w:t>
      </w:r>
      <w:r w:rsidR="00D24CA0">
        <w:rPr>
          <w:sz w:val="22"/>
        </w:rPr>
        <w:t xml:space="preserve">), or a breach of article 5 without a breach of A2P4 (e.g. </w:t>
      </w:r>
      <w:r w:rsidR="00D24CA0" w:rsidRPr="00D24CA0">
        <w:rPr>
          <w:i/>
          <w:sz w:val="22"/>
        </w:rPr>
        <w:t>ZH</w:t>
      </w:r>
      <w:r w:rsidR="00D24CA0">
        <w:rPr>
          <w:sz w:val="22"/>
        </w:rPr>
        <w:t>).</w:t>
      </w:r>
      <w:r w:rsidR="00A71FDE">
        <w:rPr>
          <w:sz w:val="22"/>
        </w:rPr>
        <w:t xml:space="preserve"> A2P4 </w:t>
      </w:r>
      <w:r w:rsidR="0015365C">
        <w:rPr>
          <w:sz w:val="22"/>
        </w:rPr>
        <w:t xml:space="preserve">should be considered in addition to, not instead of, </w:t>
      </w:r>
      <w:r w:rsidR="00787126">
        <w:rPr>
          <w:sz w:val="22"/>
        </w:rPr>
        <w:t>a</w:t>
      </w:r>
      <w:r w:rsidR="00A71FDE">
        <w:rPr>
          <w:sz w:val="22"/>
        </w:rPr>
        <w:t xml:space="preserve">rticle 5 not only because of its different nature, but also because of the more limited protection it affords, </w:t>
      </w:r>
      <w:r w:rsidR="00826809">
        <w:rPr>
          <w:sz w:val="22"/>
        </w:rPr>
        <w:t>given its</w:t>
      </w:r>
      <w:r w:rsidR="00A71FDE">
        <w:rPr>
          <w:sz w:val="22"/>
        </w:rPr>
        <w:t xml:space="preserve"> qualified </w:t>
      </w:r>
      <w:r w:rsidR="00826809">
        <w:rPr>
          <w:sz w:val="22"/>
        </w:rPr>
        <w:t>nature</w:t>
      </w:r>
      <w:r w:rsidR="00A71FDE">
        <w:rPr>
          <w:sz w:val="22"/>
        </w:rPr>
        <w:t>.</w:t>
      </w:r>
      <w:r w:rsidR="00A71FDE">
        <w:rPr>
          <w:rStyle w:val="FootnoteReference"/>
          <w:sz w:val="22"/>
        </w:rPr>
        <w:footnoteReference w:id="139"/>
      </w:r>
    </w:p>
    <w:p w14:paraId="26462D46" w14:textId="77777777" w:rsidR="00644187" w:rsidRDefault="00644187" w:rsidP="00984782">
      <w:pPr>
        <w:spacing w:line="480" w:lineRule="auto"/>
        <w:jc w:val="both"/>
      </w:pPr>
    </w:p>
    <w:p w14:paraId="38F462CE" w14:textId="36F6CB7D" w:rsidR="00F02273" w:rsidRPr="005D42FA" w:rsidRDefault="005D42FA" w:rsidP="009871A0">
      <w:pPr>
        <w:pStyle w:val="Heading2"/>
      </w:pPr>
      <w:r w:rsidRPr="005D42FA">
        <w:t xml:space="preserve">A </w:t>
      </w:r>
      <w:r w:rsidR="000A211B">
        <w:t>merging of tests</w:t>
      </w:r>
    </w:p>
    <w:p w14:paraId="7D4D0AB6" w14:textId="7160A46A" w:rsidR="009E4B23" w:rsidRPr="009871A0" w:rsidRDefault="009E4B23" w:rsidP="00984782">
      <w:pPr>
        <w:keepNext/>
        <w:widowControl w:val="0"/>
        <w:spacing w:line="480" w:lineRule="auto"/>
        <w:jc w:val="both"/>
        <w:rPr>
          <w:sz w:val="22"/>
        </w:rPr>
      </w:pPr>
      <w:r w:rsidRPr="009871A0">
        <w:rPr>
          <w:sz w:val="22"/>
        </w:rPr>
        <w:t xml:space="preserve">The </w:t>
      </w:r>
      <w:r w:rsidR="00C677B0" w:rsidRPr="009871A0">
        <w:rPr>
          <w:sz w:val="22"/>
        </w:rPr>
        <w:t>UKHL</w:t>
      </w:r>
      <w:r w:rsidRPr="009871A0">
        <w:rPr>
          <w:sz w:val="22"/>
        </w:rPr>
        <w:t xml:space="preserve"> in </w:t>
      </w:r>
      <w:r w:rsidRPr="009871A0">
        <w:rPr>
          <w:i/>
          <w:sz w:val="22"/>
        </w:rPr>
        <w:t>Austin</w:t>
      </w:r>
      <w:r w:rsidR="0020054E" w:rsidRPr="009871A0">
        <w:rPr>
          <w:sz w:val="22"/>
        </w:rPr>
        <w:t>, f</w:t>
      </w:r>
      <w:r w:rsidRPr="009871A0">
        <w:rPr>
          <w:sz w:val="22"/>
        </w:rPr>
        <w:t xml:space="preserve">inding no direct </w:t>
      </w:r>
      <w:r w:rsidR="0020054E" w:rsidRPr="009871A0">
        <w:rPr>
          <w:sz w:val="22"/>
        </w:rPr>
        <w:t xml:space="preserve">Strasbourg </w:t>
      </w:r>
      <w:r w:rsidRPr="009871A0">
        <w:rPr>
          <w:sz w:val="22"/>
        </w:rPr>
        <w:t>authorit</w:t>
      </w:r>
      <w:r w:rsidR="0020054E" w:rsidRPr="009871A0">
        <w:rPr>
          <w:sz w:val="22"/>
        </w:rPr>
        <w:t xml:space="preserve">y on </w:t>
      </w:r>
      <w:r w:rsidR="001F7EF3">
        <w:rPr>
          <w:sz w:val="22"/>
        </w:rPr>
        <w:t>crowd contro</w:t>
      </w:r>
      <w:r w:rsidR="006400C9">
        <w:rPr>
          <w:sz w:val="22"/>
        </w:rPr>
        <w:t>l</w:t>
      </w:r>
      <w:r w:rsidR="0020054E" w:rsidRPr="009871A0">
        <w:rPr>
          <w:sz w:val="22"/>
        </w:rPr>
        <w:t>,</w:t>
      </w:r>
      <w:r w:rsidR="0020054E" w:rsidRPr="009871A0">
        <w:rPr>
          <w:rStyle w:val="FootnoteReference"/>
          <w:sz w:val="22"/>
        </w:rPr>
        <w:footnoteReference w:id="140"/>
      </w:r>
      <w:r w:rsidR="0020054E" w:rsidRPr="009871A0">
        <w:rPr>
          <w:sz w:val="22"/>
        </w:rPr>
        <w:t xml:space="preserve"> </w:t>
      </w:r>
      <w:r w:rsidRPr="009871A0">
        <w:rPr>
          <w:sz w:val="22"/>
        </w:rPr>
        <w:t>looked to cases on medical detention.</w:t>
      </w:r>
      <w:r w:rsidRPr="009871A0">
        <w:rPr>
          <w:rStyle w:val="FootnoteReference"/>
          <w:sz w:val="22"/>
        </w:rPr>
        <w:footnoteReference w:id="141"/>
      </w:r>
      <w:r w:rsidR="00C35C16" w:rsidRPr="009871A0">
        <w:rPr>
          <w:sz w:val="22"/>
        </w:rPr>
        <w:t xml:space="preserve"> It </w:t>
      </w:r>
      <w:r w:rsidR="0020054E" w:rsidRPr="009871A0">
        <w:rPr>
          <w:sz w:val="22"/>
        </w:rPr>
        <w:t>logically follows</w:t>
      </w:r>
      <w:r w:rsidR="00C35C16" w:rsidRPr="009871A0">
        <w:rPr>
          <w:sz w:val="22"/>
        </w:rPr>
        <w:t xml:space="preserve"> that</w:t>
      </w:r>
      <w:r w:rsidRPr="009871A0">
        <w:rPr>
          <w:sz w:val="22"/>
        </w:rPr>
        <w:t xml:space="preserve"> </w:t>
      </w:r>
      <w:r w:rsidRPr="009871A0">
        <w:rPr>
          <w:i/>
          <w:sz w:val="22"/>
        </w:rPr>
        <w:t>Cheshire West</w:t>
      </w:r>
      <w:r w:rsidRPr="009871A0">
        <w:rPr>
          <w:sz w:val="22"/>
        </w:rPr>
        <w:t xml:space="preserve"> could </w:t>
      </w:r>
      <w:r w:rsidR="0020054E" w:rsidRPr="009871A0">
        <w:rPr>
          <w:sz w:val="22"/>
        </w:rPr>
        <w:t xml:space="preserve">therefore </w:t>
      </w:r>
      <w:r w:rsidRPr="009871A0">
        <w:rPr>
          <w:sz w:val="22"/>
        </w:rPr>
        <w:t xml:space="preserve">be </w:t>
      </w:r>
      <w:r w:rsidR="00C35C16" w:rsidRPr="009871A0">
        <w:rPr>
          <w:sz w:val="22"/>
        </w:rPr>
        <w:t>referred</w:t>
      </w:r>
      <w:r w:rsidRPr="009871A0">
        <w:rPr>
          <w:sz w:val="22"/>
        </w:rPr>
        <w:t xml:space="preserve"> to</w:t>
      </w:r>
      <w:r w:rsidR="00E3315D" w:rsidRPr="009871A0">
        <w:rPr>
          <w:sz w:val="22"/>
        </w:rPr>
        <w:t xml:space="preserve">, in addition to </w:t>
      </w:r>
      <w:r w:rsidR="00E3315D" w:rsidRPr="009871A0">
        <w:rPr>
          <w:i/>
          <w:sz w:val="22"/>
        </w:rPr>
        <w:t>Austin</w:t>
      </w:r>
      <w:r w:rsidR="00E3315D" w:rsidRPr="009871A0">
        <w:rPr>
          <w:sz w:val="22"/>
        </w:rPr>
        <w:t>,</w:t>
      </w:r>
      <w:r w:rsidRPr="009871A0">
        <w:rPr>
          <w:sz w:val="22"/>
        </w:rPr>
        <w:t xml:space="preserve"> in future kettling cases. </w:t>
      </w:r>
      <w:r w:rsidR="00D42963" w:rsidRPr="009871A0">
        <w:rPr>
          <w:sz w:val="22"/>
        </w:rPr>
        <w:t>G</w:t>
      </w:r>
      <w:r w:rsidRPr="009871A0">
        <w:rPr>
          <w:sz w:val="22"/>
        </w:rPr>
        <w:t xml:space="preserve">iven the assistance that the ECtHR found from the domestic courts in </w:t>
      </w:r>
      <w:r w:rsidRPr="009871A0">
        <w:rPr>
          <w:i/>
          <w:sz w:val="22"/>
        </w:rPr>
        <w:t>Austin</w:t>
      </w:r>
      <w:r w:rsidRPr="009871A0">
        <w:rPr>
          <w:sz w:val="22"/>
        </w:rPr>
        <w:t>, explicitly refer</w:t>
      </w:r>
      <w:r w:rsidR="007B01A7" w:rsidRPr="009871A0">
        <w:rPr>
          <w:sz w:val="22"/>
        </w:rPr>
        <w:t>ring to the importance</w:t>
      </w:r>
      <w:r w:rsidRPr="009871A0">
        <w:rPr>
          <w:sz w:val="22"/>
        </w:rPr>
        <w:t xml:space="preserve"> of subsidiarity,</w:t>
      </w:r>
      <w:r w:rsidRPr="009871A0">
        <w:rPr>
          <w:rStyle w:val="FootnoteReference"/>
          <w:sz w:val="22"/>
        </w:rPr>
        <w:footnoteReference w:id="142"/>
      </w:r>
      <w:r w:rsidRPr="009871A0">
        <w:rPr>
          <w:sz w:val="22"/>
        </w:rPr>
        <w:t xml:space="preserve"> perhaps </w:t>
      </w:r>
      <w:r w:rsidRPr="009871A0">
        <w:rPr>
          <w:i/>
          <w:sz w:val="22"/>
        </w:rPr>
        <w:t>Cheshire West</w:t>
      </w:r>
      <w:r w:rsidRPr="009871A0">
        <w:rPr>
          <w:sz w:val="22"/>
        </w:rPr>
        <w:t xml:space="preserve"> could have influence at Strasbourg too, particularly </w:t>
      </w:r>
      <w:r w:rsidR="00A63D3B" w:rsidRPr="009871A0">
        <w:rPr>
          <w:sz w:val="22"/>
        </w:rPr>
        <w:t>because of</w:t>
      </w:r>
      <w:r w:rsidRPr="009871A0">
        <w:rPr>
          <w:sz w:val="22"/>
        </w:rPr>
        <w:t xml:space="preserve"> the heavy </w:t>
      </w:r>
      <w:r w:rsidR="00E3315D" w:rsidRPr="009871A0">
        <w:rPr>
          <w:sz w:val="22"/>
        </w:rPr>
        <w:t>reliance on</w:t>
      </w:r>
      <w:r w:rsidRPr="009871A0">
        <w:rPr>
          <w:sz w:val="22"/>
        </w:rPr>
        <w:t xml:space="preserve"> Strasbourg authority in that case.</w:t>
      </w:r>
      <w:r w:rsidRPr="009871A0">
        <w:rPr>
          <w:rStyle w:val="FootnoteReference"/>
          <w:sz w:val="22"/>
        </w:rPr>
        <w:footnoteReference w:id="143"/>
      </w:r>
      <w:r w:rsidRPr="009871A0">
        <w:rPr>
          <w:sz w:val="22"/>
        </w:rPr>
        <w:t xml:space="preserve"> Thus we can see the symbiotic relationship between the courts – the domestic courts learn from </w:t>
      </w:r>
      <w:r w:rsidRPr="009871A0">
        <w:rPr>
          <w:sz w:val="22"/>
        </w:rPr>
        <w:lastRenderedPageBreak/>
        <w:t xml:space="preserve">Strasbourg, but Strasbourg too learns from the domestic courts. </w:t>
      </w:r>
    </w:p>
    <w:p w14:paraId="0AD6E729" w14:textId="67B1EA6C" w:rsidR="00501A5D" w:rsidRPr="009871A0" w:rsidRDefault="00501A5D" w:rsidP="00984782">
      <w:pPr>
        <w:spacing w:line="480" w:lineRule="auto"/>
        <w:jc w:val="both"/>
        <w:rPr>
          <w:sz w:val="22"/>
        </w:rPr>
      </w:pPr>
      <w:r w:rsidRPr="009871A0">
        <w:rPr>
          <w:sz w:val="22"/>
        </w:rPr>
        <w:tab/>
        <w:t xml:space="preserve">With that in mind, the </w:t>
      </w:r>
      <w:r w:rsidRPr="009871A0">
        <w:rPr>
          <w:i/>
          <w:sz w:val="22"/>
        </w:rPr>
        <w:t>Cheshire West</w:t>
      </w:r>
      <w:r w:rsidRPr="009871A0">
        <w:rPr>
          <w:sz w:val="22"/>
        </w:rPr>
        <w:t xml:space="preserve"> and ECtHR tests can be combined and elaborated on to clarify what const</w:t>
      </w:r>
      <w:r w:rsidR="00EF79D9" w:rsidRPr="009871A0">
        <w:rPr>
          <w:sz w:val="22"/>
        </w:rPr>
        <w:t>itutes a</w:t>
      </w:r>
      <w:r w:rsidR="007E1CDB">
        <w:rPr>
          <w:sz w:val="22"/>
        </w:rPr>
        <w:t xml:space="preserve"> non-paradigm</w:t>
      </w:r>
      <w:r w:rsidR="00EF79D9" w:rsidRPr="009871A0">
        <w:rPr>
          <w:sz w:val="22"/>
        </w:rPr>
        <w:t xml:space="preserve"> deprivation of liberty</w:t>
      </w:r>
      <w:r w:rsidR="007B01A7" w:rsidRPr="009871A0">
        <w:rPr>
          <w:sz w:val="22"/>
        </w:rPr>
        <w:t xml:space="preserve"> as follows</w:t>
      </w:r>
      <w:r w:rsidRPr="009871A0">
        <w:rPr>
          <w:sz w:val="22"/>
        </w:rPr>
        <w:t>:</w:t>
      </w:r>
    </w:p>
    <w:p w14:paraId="44212477" w14:textId="77777777" w:rsidR="00501A5D" w:rsidRPr="009871A0" w:rsidRDefault="00501A5D" w:rsidP="00984782">
      <w:pPr>
        <w:spacing w:line="480" w:lineRule="auto"/>
        <w:jc w:val="both"/>
        <w:rPr>
          <w:sz w:val="22"/>
        </w:rPr>
      </w:pPr>
    </w:p>
    <w:p w14:paraId="5C42BC52" w14:textId="2D28C7AA" w:rsidR="00693A40" w:rsidRPr="009871A0" w:rsidRDefault="00501A5D" w:rsidP="00984782">
      <w:pPr>
        <w:pStyle w:val="ListParagraph"/>
        <w:numPr>
          <w:ilvl w:val="0"/>
          <w:numId w:val="5"/>
        </w:numPr>
        <w:spacing w:line="480" w:lineRule="auto"/>
        <w:jc w:val="both"/>
        <w:rPr>
          <w:rFonts w:ascii="Times New Roman" w:hAnsi="Times New Roman"/>
          <w:sz w:val="22"/>
          <w:lang w:val="en-GB"/>
        </w:rPr>
      </w:pPr>
      <w:r w:rsidRPr="009871A0">
        <w:rPr>
          <w:rFonts w:ascii="Times New Roman" w:hAnsi="Times New Roman"/>
          <w:i/>
          <w:sz w:val="22"/>
          <w:lang w:val="en-GB"/>
        </w:rPr>
        <w:t>What was the t</w:t>
      </w:r>
      <w:r w:rsidR="00693A40" w:rsidRPr="009871A0">
        <w:rPr>
          <w:rFonts w:ascii="Times New Roman" w:hAnsi="Times New Roman"/>
          <w:i/>
          <w:sz w:val="22"/>
          <w:lang w:val="en-GB"/>
        </w:rPr>
        <w:t>ype</w:t>
      </w:r>
      <w:r w:rsidRPr="009871A0">
        <w:rPr>
          <w:rFonts w:ascii="Times New Roman" w:hAnsi="Times New Roman"/>
          <w:i/>
          <w:sz w:val="22"/>
          <w:lang w:val="en-GB"/>
        </w:rPr>
        <w:t xml:space="preserve"> o</w:t>
      </w:r>
      <w:r w:rsidR="002020C3" w:rsidRPr="009871A0">
        <w:rPr>
          <w:rFonts w:ascii="Times New Roman" w:hAnsi="Times New Roman"/>
          <w:i/>
          <w:sz w:val="22"/>
          <w:lang w:val="en-GB"/>
        </w:rPr>
        <w:t xml:space="preserve">f </w:t>
      </w:r>
      <w:r w:rsidRPr="009871A0">
        <w:rPr>
          <w:rFonts w:ascii="Times New Roman" w:hAnsi="Times New Roman"/>
          <w:i/>
          <w:sz w:val="22"/>
          <w:lang w:val="en-GB"/>
        </w:rPr>
        <w:t>measure?</w:t>
      </w:r>
      <w:r w:rsidR="00693A40" w:rsidRPr="009871A0">
        <w:rPr>
          <w:rFonts w:ascii="Times New Roman" w:hAnsi="Times New Roman"/>
          <w:sz w:val="22"/>
          <w:lang w:val="en-GB"/>
        </w:rPr>
        <w:t xml:space="preserve"> </w:t>
      </w:r>
      <w:r w:rsidR="000060F4" w:rsidRPr="009871A0">
        <w:rPr>
          <w:rFonts w:ascii="Times New Roman" w:hAnsi="Times New Roman"/>
          <w:sz w:val="22"/>
          <w:lang w:val="en-GB"/>
        </w:rPr>
        <w:t xml:space="preserve">Logically, consideration of the type of measure imposed should be the first question the Court looks at, although at present it does not consider the </w:t>
      </w:r>
      <w:r w:rsidR="00557618" w:rsidRPr="009871A0">
        <w:rPr>
          <w:rFonts w:ascii="Times New Roman" w:hAnsi="Times New Roman"/>
          <w:sz w:val="22"/>
          <w:lang w:val="en-GB"/>
        </w:rPr>
        <w:t>parts</w:t>
      </w:r>
      <w:r w:rsidR="000060F4" w:rsidRPr="009871A0">
        <w:rPr>
          <w:rFonts w:ascii="Times New Roman" w:hAnsi="Times New Roman"/>
          <w:sz w:val="22"/>
          <w:lang w:val="en-GB"/>
        </w:rPr>
        <w:t xml:space="preserve"> of the test in any particular order. Furthermore, the Court</w:t>
      </w:r>
      <w:r w:rsidR="002020C3" w:rsidRPr="009871A0">
        <w:rPr>
          <w:rFonts w:ascii="Times New Roman" w:hAnsi="Times New Roman"/>
          <w:sz w:val="22"/>
          <w:lang w:val="en-GB"/>
        </w:rPr>
        <w:t xml:space="preserve"> </w:t>
      </w:r>
      <w:r w:rsidR="000060F4" w:rsidRPr="009871A0">
        <w:rPr>
          <w:rFonts w:ascii="Times New Roman" w:hAnsi="Times New Roman"/>
          <w:sz w:val="22"/>
          <w:lang w:val="en-GB"/>
        </w:rPr>
        <w:t xml:space="preserve">has never explained what it is looking for when applying this stage of the test. </w:t>
      </w:r>
      <w:r w:rsidR="0020054E" w:rsidRPr="009871A0">
        <w:rPr>
          <w:rFonts w:ascii="Times New Roman" w:hAnsi="Times New Roman"/>
          <w:sz w:val="22"/>
          <w:lang w:val="en-GB"/>
        </w:rPr>
        <w:t>I</w:t>
      </w:r>
      <w:r w:rsidR="009776B5" w:rsidRPr="009871A0">
        <w:rPr>
          <w:rFonts w:ascii="Times New Roman" w:hAnsi="Times New Roman"/>
          <w:sz w:val="22"/>
          <w:lang w:val="en-GB"/>
        </w:rPr>
        <w:t>ncorporation of</w:t>
      </w:r>
      <w:r w:rsidR="002020C3" w:rsidRPr="009871A0">
        <w:rPr>
          <w:rFonts w:ascii="Times New Roman" w:hAnsi="Times New Roman"/>
          <w:sz w:val="22"/>
          <w:lang w:val="en-GB"/>
        </w:rPr>
        <w:t xml:space="preserve"> the </w:t>
      </w:r>
      <w:r w:rsidR="002020C3" w:rsidRPr="009871A0">
        <w:rPr>
          <w:rFonts w:ascii="Times New Roman" w:hAnsi="Times New Roman"/>
          <w:i/>
          <w:sz w:val="22"/>
          <w:lang w:val="en-GB"/>
        </w:rPr>
        <w:t>Cheshire West</w:t>
      </w:r>
      <w:r w:rsidR="000060F4" w:rsidRPr="009871A0">
        <w:rPr>
          <w:rFonts w:ascii="Times New Roman" w:hAnsi="Times New Roman"/>
          <w:sz w:val="22"/>
          <w:lang w:val="en-GB"/>
        </w:rPr>
        <w:t xml:space="preserve"> test</w:t>
      </w:r>
      <w:r w:rsidR="0020054E" w:rsidRPr="009871A0">
        <w:rPr>
          <w:rFonts w:ascii="Times New Roman" w:hAnsi="Times New Roman"/>
          <w:sz w:val="22"/>
          <w:lang w:val="en-GB"/>
        </w:rPr>
        <w:t xml:space="preserve"> would clarify matters</w:t>
      </w:r>
      <w:r w:rsidR="002020C3" w:rsidRPr="009871A0">
        <w:rPr>
          <w:rFonts w:ascii="Times New Roman" w:hAnsi="Times New Roman"/>
          <w:sz w:val="22"/>
          <w:lang w:val="en-GB"/>
        </w:rPr>
        <w:t>:</w:t>
      </w:r>
      <w:r w:rsidRPr="009871A0">
        <w:rPr>
          <w:rFonts w:ascii="Times New Roman" w:hAnsi="Times New Roman"/>
          <w:sz w:val="22"/>
          <w:lang w:val="en-GB"/>
        </w:rPr>
        <w:t xml:space="preserve"> </w:t>
      </w:r>
      <w:r w:rsidR="00693A40" w:rsidRPr="009871A0">
        <w:rPr>
          <w:rFonts w:ascii="Times New Roman" w:hAnsi="Times New Roman"/>
          <w:sz w:val="22"/>
          <w:lang w:val="en-GB"/>
        </w:rPr>
        <w:t xml:space="preserve">was </w:t>
      </w:r>
      <w:r w:rsidR="009776B5" w:rsidRPr="009871A0">
        <w:rPr>
          <w:rFonts w:ascii="Times New Roman" w:hAnsi="Times New Roman"/>
          <w:sz w:val="22"/>
          <w:lang w:val="en-GB"/>
        </w:rPr>
        <w:t xml:space="preserve">the </w:t>
      </w:r>
      <w:r w:rsidR="002020C3" w:rsidRPr="009871A0">
        <w:rPr>
          <w:rFonts w:ascii="Times New Roman" w:hAnsi="Times New Roman"/>
          <w:sz w:val="22"/>
          <w:lang w:val="en-GB"/>
        </w:rPr>
        <w:t>applicant</w:t>
      </w:r>
      <w:r w:rsidR="00693A40" w:rsidRPr="009871A0">
        <w:rPr>
          <w:rFonts w:ascii="Times New Roman" w:hAnsi="Times New Roman"/>
          <w:sz w:val="22"/>
          <w:lang w:val="en-GB"/>
        </w:rPr>
        <w:t xml:space="preserve"> under continuous supervision and control and not free to leave? If no</w:t>
      </w:r>
      <w:r w:rsidR="0020054E" w:rsidRPr="009871A0">
        <w:rPr>
          <w:rFonts w:ascii="Times New Roman" w:hAnsi="Times New Roman"/>
          <w:sz w:val="22"/>
          <w:lang w:val="en-GB"/>
        </w:rPr>
        <w:t>t</w:t>
      </w:r>
      <w:r w:rsidR="00693A40" w:rsidRPr="009871A0">
        <w:rPr>
          <w:rFonts w:ascii="Times New Roman" w:hAnsi="Times New Roman"/>
          <w:sz w:val="22"/>
          <w:lang w:val="en-GB"/>
        </w:rPr>
        <w:t xml:space="preserve">, </w:t>
      </w:r>
      <w:r w:rsidRPr="009871A0">
        <w:rPr>
          <w:rFonts w:ascii="Times New Roman" w:hAnsi="Times New Roman"/>
          <w:sz w:val="22"/>
          <w:lang w:val="en-GB"/>
        </w:rPr>
        <w:t xml:space="preserve">there is </w:t>
      </w:r>
      <w:r w:rsidR="00693A40" w:rsidRPr="009871A0">
        <w:rPr>
          <w:rFonts w:ascii="Times New Roman" w:hAnsi="Times New Roman"/>
          <w:sz w:val="22"/>
          <w:lang w:val="en-GB"/>
        </w:rPr>
        <w:t xml:space="preserve">no deprivation of liberty. If yes, </w:t>
      </w:r>
      <w:r w:rsidRPr="009871A0">
        <w:rPr>
          <w:rFonts w:ascii="Times New Roman" w:hAnsi="Times New Roman"/>
          <w:sz w:val="22"/>
          <w:lang w:val="en-GB"/>
        </w:rPr>
        <w:t xml:space="preserve">a </w:t>
      </w:r>
      <w:r w:rsidR="00693A40" w:rsidRPr="009871A0">
        <w:rPr>
          <w:rFonts w:ascii="Times New Roman" w:hAnsi="Times New Roman"/>
          <w:sz w:val="22"/>
          <w:lang w:val="en-GB"/>
        </w:rPr>
        <w:t xml:space="preserve">presumption </w:t>
      </w:r>
      <w:r w:rsidRPr="009871A0">
        <w:rPr>
          <w:rFonts w:ascii="Times New Roman" w:hAnsi="Times New Roman"/>
          <w:sz w:val="22"/>
          <w:lang w:val="en-GB"/>
        </w:rPr>
        <w:t xml:space="preserve">arises </w:t>
      </w:r>
      <w:r w:rsidR="00693A40" w:rsidRPr="009871A0">
        <w:rPr>
          <w:rFonts w:ascii="Times New Roman" w:hAnsi="Times New Roman"/>
          <w:sz w:val="22"/>
          <w:lang w:val="en-GB"/>
        </w:rPr>
        <w:t xml:space="preserve">that a deprivation has </w:t>
      </w:r>
      <w:r w:rsidR="009776B5" w:rsidRPr="009871A0">
        <w:rPr>
          <w:rFonts w:ascii="Times New Roman" w:hAnsi="Times New Roman"/>
          <w:sz w:val="22"/>
          <w:lang w:val="en-GB"/>
        </w:rPr>
        <w:t>occurred</w:t>
      </w:r>
      <w:r w:rsidR="00693A40" w:rsidRPr="009871A0">
        <w:rPr>
          <w:rFonts w:ascii="Times New Roman" w:hAnsi="Times New Roman"/>
          <w:sz w:val="22"/>
          <w:lang w:val="en-GB"/>
        </w:rPr>
        <w:t xml:space="preserve">, subject to </w:t>
      </w:r>
      <w:r w:rsidRPr="009871A0">
        <w:rPr>
          <w:rFonts w:ascii="Times New Roman" w:hAnsi="Times New Roman"/>
          <w:sz w:val="22"/>
          <w:lang w:val="en-GB"/>
        </w:rPr>
        <w:t xml:space="preserve">the application of parts </w:t>
      </w:r>
      <w:r w:rsidR="002B2736" w:rsidRPr="009871A0">
        <w:rPr>
          <w:rFonts w:ascii="Times New Roman" w:hAnsi="Times New Roman"/>
          <w:sz w:val="22"/>
          <w:lang w:val="en-GB"/>
        </w:rPr>
        <w:t>(</w:t>
      </w:r>
      <w:r w:rsidR="002020C3" w:rsidRPr="009871A0">
        <w:rPr>
          <w:rFonts w:ascii="Times New Roman" w:hAnsi="Times New Roman"/>
          <w:sz w:val="22"/>
          <w:lang w:val="en-GB"/>
        </w:rPr>
        <w:t>2</w:t>
      </w:r>
      <w:r w:rsidR="002B2736" w:rsidRPr="009871A0">
        <w:rPr>
          <w:rFonts w:ascii="Times New Roman" w:hAnsi="Times New Roman"/>
          <w:sz w:val="22"/>
          <w:lang w:val="en-GB"/>
        </w:rPr>
        <w:t>)</w:t>
      </w:r>
      <w:r w:rsidR="00EC656F" w:rsidRPr="009871A0">
        <w:rPr>
          <w:rFonts w:ascii="Times New Roman" w:hAnsi="Times New Roman"/>
          <w:sz w:val="22"/>
          <w:lang w:val="en-GB"/>
        </w:rPr>
        <w:t>–</w:t>
      </w:r>
      <w:r w:rsidR="002B2736" w:rsidRPr="009871A0">
        <w:rPr>
          <w:rFonts w:ascii="Times New Roman" w:hAnsi="Times New Roman"/>
          <w:sz w:val="22"/>
          <w:lang w:val="en-GB"/>
        </w:rPr>
        <w:t>(</w:t>
      </w:r>
      <w:r w:rsidR="002020C3" w:rsidRPr="009871A0">
        <w:rPr>
          <w:rFonts w:ascii="Times New Roman" w:hAnsi="Times New Roman"/>
          <w:sz w:val="22"/>
          <w:lang w:val="en-GB"/>
        </w:rPr>
        <w:t>4</w:t>
      </w:r>
      <w:r w:rsidR="002B2736" w:rsidRPr="009871A0">
        <w:rPr>
          <w:rFonts w:ascii="Times New Roman" w:hAnsi="Times New Roman"/>
          <w:sz w:val="22"/>
          <w:lang w:val="en-GB"/>
        </w:rPr>
        <w:t>)</w:t>
      </w:r>
      <w:r w:rsidRPr="009871A0">
        <w:rPr>
          <w:rFonts w:ascii="Times New Roman" w:hAnsi="Times New Roman"/>
          <w:sz w:val="22"/>
          <w:lang w:val="en-GB"/>
        </w:rPr>
        <w:t xml:space="preserve"> of the test</w:t>
      </w:r>
      <w:r w:rsidR="00693A40" w:rsidRPr="009871A0">
        <w:rPr>
          <w:rFonts w:ascii="Times New Roman" w:hAnsi="Times New Roman"/>
          <w:sz w:val="22"/>
          <w:lang w:val="en-GB"/>
        </w:rPr>
        <w:t>.</w:t>
      </w:r>
      <w:r w:rsidR="00E53878" w:rsidRPr="009871A0">
        <w:rPr>
          <w:rFonts w:ascii="Times New Roman" w:hAnsi="Times New Roman"/>
          <w:sz w:val="22"/>
          <w:lang w:val="en-GB" w:eastAsia="en-GB"/>
        </w:rPr>
        <w:t xml:space="preserve"> </w:t>
      </w:r>
      <w:r w:rsidR="002020C3" w:rsidRPr="009871A0">
        <w:rPr>
          <w:rFonts w:ascii="Times New Roman" w:hAnsi="Times New Roman"/>
          <w:sz w:val="22"/>
          <w:lang w:val="en-GB"/>
        </w:rPr>
        <w:t>C</w:t>
      </w:r>
      <w:r w:rsidR="00E53878" w:rsidRPr="009871A0">
        <w:rPr>
          <w:rFonts w:ascii="Times New Roman" w:hAnsi="Times New Roman"/>
          <w:sz w:val="22"/>
          <w:lang w:val="en-GB"/>
        </w:rPr>
        <w:t xml:space="preserve">ontinuity can be established even if, as in </w:t>
      </w:r>
      <w:r w:rsidR="002A473D" w:rsidRPr="009871A0">
        <w:rPr>
          <w:rFonts w:ascii="Times New Roman" w:hAnsi="Times New Roman"/>
          <w:i/>
          <w:sz w:val="22"/>
          <w:lang w:val="en-GB"/>
        </w:rPr>
        <w:t>JJ</w:t>
      </w:r>
      <w:r w:rsidR="00E53878" w:rsidRPr="009871A0">
        <w:rPr>
          <w:rFonts w:ascii="Times New Roman" w:hAnsi="Times New Roman"/>
          <w:i/>
          <w:sz w:val="22"/>
          <w:lang w:val="en-GB"/>
        </w:rPr>
        <w:t xml:space="preserve"> </w:t>
      </w:r>
      <w:r w:rsidR="00E53878" w:rsidRPr="009871A0">
        <w:rPr>
          <w:rFonts w:ascii="Times New Roman" w:hAnsi="Times New Roman"/>
          <w:sz w:val="22"/>
          <w:lang w:val="en-GB"/>
        </w:rPr>
        <w:t xml:space="preserve">and </w:t>
      </w:r>
      <w:r w:rsidR="00E53878" w:rsidRPr="009871A0">
        <w:rPr>
          <w:rFonts w:ascii="Times New Roman" w:hAnsi="Times New Roman"/>
          <w:i/>
          <w:sz w:val="22"/>
          <w:lang w:val="en-GB"/>
        </w:rPr>
        <w:t>Guzzardi</w:t>
      </w:r>
      <w:r w:rsidR="00E53878" w:rsidRPr="009871A0">
        <w:rPr>
          <w:rFonts w:ascii="Times New Roman" w:hAnsi="Times New Roman"/>
          <w:sz w:val="22"/>
          <w:lang w:val="en-GB"/>
        </w:rPr>
        <w:t xml:space="preserve">, there are periods of the day when </w:t>
      </w:r>
      <w:r w:rsidR="002020C3" w:rsidRPr="009871A0">
        <w:rPr>
          <w:rFonts w:ascii="Times New Roman" w:hAnsi="Times New Roman"/>
          <w:sz w:val="22"/>
          <w:lang w:val="en-GB"/>
        </w:rPr>
        <w:t xml:space="preserve">a </w:t>
      </w:r>
      <w:r w:rsidR="00E53878" w:rsidRPr="009871A0">
        <w:rPr>
          <w:rFonts w:ascii="Times New Roman" w:hAnsi="Times New Roman"/>
          <w:sz w:val="22"/>
          <w:lang w:val="en-GB"/>
        </w:rPr>
        <w:t>person is free to go about h</w:t>
      </w:r>
      <w:r w:rsidR="002020C3" w:rsidRPr="009871A0">
        <w:rPr>
          <w:rFonts w:ascii="Times New Roman" w:hAnsi="Times New Roman"/>
          <w:sz w:val="22"/>
          <w:lang w:val="en-GB"/>
        </w:rPr>
        <w:t>er</w:t>
      </w:r>
      <w:r w:rsidR="00E53878" w:rsidRPr="009871A0">
        <w:rPr>
          <w:rFonts w:ascii="Times New Roman" w:hAnsi="Times New Roman"/>
          <w:sz w:val="22"/>
          <w:lang w:val="en-GB"/>
        </w:rPr>
        <w:t xml:space="preserve"> business, </w:t>
      </w:r>
      <w:r w:rsidR="002020C3" w:rsidRPr="009871A0">
        <w:rPr>
          <w:rFonts w:ascii="Times New Roman" w:hAnsi="Times New Roman"/>
          <w:sz w:val="22"/>
          <w:lang w:val="en-GB"/>
        </w:rPr>
        <w:t>because</w:t>
      </w:r>
      <w:r w:rsidR="00E53878" w:rsidRPr="009871A0">
        <w:rPr>
          <w:rFonts w:ascii="Times New Roman" w:hAnsi="Times New Roman"/>
          <w:sz w:val="22"/>
          <w:lang w:val="en-GB"/>
        </w:rPr>
        <w:t xml:space="preserve"> there is al</w:t>
      </w:r>
      <w:r w:rsidR="009776B5" w:rsidRPr="009871A0">
        <w:rPr>
          <w:rFonts w:ascii="Times New Roman" w:hAnsi="Times New Roman"/>
          <w:sz w:val="22"/>
          <w:lang w:val="en-GB"/>
        </w:rPr>
        <w:t>ways an overriding supervision</w:t>
      </w:r>
      <w:r w:rsidR="001C3853" w:rsidRPr="001C3853">
        <w:rPr>
          <w:rFonts w:ascii="Times New Roman" w:hAnsi="Times New Roman"/>
          <w:lang w:val="en-GB" w:eastAsia="en-GB"/>
        </w:rPr>
        <w:t xml:space="preserve"> </w:t>
      </w:r>
      <w:r w:rsidR="00634987">
        <w:rPr>
          <w:rFonts w:ascii="Times New Roman" w:hAnsi="Times New Roman"/>
          <w:lang w:val="en-GB" w:eastAsia="en-GB"/>
        </w:rPr>
        <w:t>(</w:t>
      </w:r>
      <w:r w:rsidR="007E1CDB">
        <w:rPr>
          <w:rFonts w:ascii="Times New Roman" w:hAnsi="Times New Roman"/>
          <w:sz w:val="22"/>
          <w:lang w:val="en-GB"/>
        </w:rPr>
        <w:t>t</w:t>
      </w:r>
      <w:r w:rsidR="001C3853" w:rsidRPr="001C3853">
        <w:rPr>
          <w:rFonts w:ascii="Times New Roman" w:hAnsi="Times New Roman"/>
          <w:sz w:val="22"/>
          <w:lang w:val="en-GB"/>
        </w:rPr>
        <w:t xml:space="preserve">he phrase “almost constant” supervision </w:t>
      </w:r>
      <w:r w:rsidR="007E1CDB">
        <w:rPr>
          <w:rFonts w:ascii="Times New Roman" w:hAnsi="Times New Roman"/>
          <w:sz w:val="22"/>
          <w:lang w:val="en-GB"/>
        </w:rPr>
        <w:t xml:space="preserve">is inaccurate and </w:t>
      </w:r>
      <w:r w:rsidR="001C3853" w:rsidRPr="001C3853">
        <w:rPr>
          <w:rFonts w:ascii="Times New Roman" w:hAnsi="Times New Roman"/>
          <w:sz w:val="22"/>
          <w:lang w:val="en-GB"/>
        </w:rPr>
        <w:t>should be avoided</w:t>
      </w:r>
      <w:r w:rsidR="001C3853">
        <w:rPr>
          <w:rFonts w:ascii="Times New Roman" w:hAnsi="Times New Roman"/>
          <w:sz w:val="22"/>
          <w:lang w:val="en-GB"/>
        </w:rPr>
        <w:t>.</w:t>
      </w:r>
      <w:r w:rsidR="00634987">
        <w:rPr>
          <w:rFonts w:ascii="Times New Roman" w:hAnsi="Times New Roman"/>
          <w:sz w:val="22"/>
          <w:lang w:val="en-GB"/>
        </w:rPr>
        <w:t>)</w:t>
      </w:r>
      <w:r w:rsidR="00E53878" w:rsidRPr="009871A0">
        <w:rPr>
          <w:rFonts w:ascii="Times New Roman" w:hAnsi="Times New Roman"/>
          <w:sz w:val="22"/>
          <w:vertAlign w:val="superscript"/>
          <w:lang w:val="en-GB"/>
        </w:rPr>
        <w:footnoteReference w:id="144"/>
      </w:r>
      <w:r w:rsidR="002D1037" w:rsidRPr="009871A0">
        <w:rPr>
          <w:rFonts w:ascii="Times New Roman" w:hAnsi="Times New Roman"/>
          <w:sz w:val="22"/>
          <w:lang w:val="en-GB"/>
        </w:rPr>
        <w:t xml:space="preserve"> Reframing the test in this manner </w:t>
      </w:r>
      <w:r w:rsidR="006D786A" w:rsidRPr="009871A0">
        <w:rPr>
          <w:rFonts w:ascii="Times New Roman" w:hAnsi="Times New Roman"/>
          <w:sz w:val="22"/>
          <w:lang w:val="en-GB"/>
        </w:rPr>
        <w:t xml:space="preserve">would </w:t>
      </w:r>
      <w:r w:rsidR="00EA2814">
        <w:rPr>
          <w:rFonts w:ascii="Times New Roman" w:hAnsi="Times New Roman"/>
          <w:sz w:val="22"/>
          <w:lang w:val="en-GB"/>
        </w:rPr>
        <w:t>discourage</w:t>
      </w:r>
      <w:r w:rsidR="002D1037" w:rsidRPr="009871A0">
        <w:rPr>
          <w:rFonts w:ascii="Times New Roman" w:hAnsi="Times New Roman"/>
          <w:sz w:val="22"/>
          <w:lang w:val="en-GB"/>
        </w:rPr>
        <w:t xml:space="preserve"> </w:t>
      </w:r>
      <w:r w:rsidR="006D786A" w:rsidRPr="009871A0">
        <w:rPr>
          <w:rFonts w:ascii="Times New Roman" w:hAnsi="Times New Roman"/>
          <w:sz w:val="22"/>
          <w:lang w:val="en-GB"/>
        </w:rPr>
        <w:t>drawing comparisons with the so-called</w:t>
      </w:r>
      <w:r w:rsidR="00B169E7" w:rsidRPr="009871A0">
        <w:rPr>
          <w:rFonts w:ascii="Times New Roman" w:hAnsi="Times New Roman"/>
          <w:sz w:val="22"/>
          <w:lang w:val="en-GB"/>
        </w:rPr>
        <w:t xml:space="preserve"> paradigm case of deprivation in a cell</w:t>
      </w:r>
      <w:r w:rsidR="00D27892" w:rsidRPr="009871A0">
        <w:rPr>
          <w:rFonts w:ascii="Times New Roman" w:hAnsi="Times New Roman"/>
          <w:sz w:val="22"/>
          <w:lang w:val="en-GB"/>
        </w:rPr>
        <w:t>.</w:t>
      </w:r>
    </w:p>
    <w:p w14:paraId="398CD0AB" w14:textId="77777777" w:rsidR="000A04B1" w:rsidRPr="009871A0" w:rsidRDefault="000A04B1" w:rsidP="00984782">
      <w:pPr>
        <w:pStyle w:val="ListParagraph"/>
        <w:spacing w:line="480" w:lineRule="auto"/>
        <w:ind w:left="1080"/>
        <w:jc w:val="both"/>
        <w:rPr>
          <w:rFonts w:ascii="Times New Roman" w:hAnsi="Times New Roman"/>
          <w:sz w:val="22"/>
          <w:lang w:val="en-GB"/>
        </w:rPr>
      </w:pPr>
    </w:p>
    <w:p w14:paraId="073F7241" w14:textId="6A171D8E" w:rsidR="00693A40" w:rsidRPr="009871A0" w:rsidRDefault="00F72CE7" w:rsidP="00984782">
      <w:pPr>
        <w:pStyle w:val="ListParagraph"/>
        <w:numPr>
          <w:ilvl w:val="0"/>
          <w:numId w:val="5"/>
        </w:numPr>
        <w:spacing w:line="480" w:lineRule="auto"/>
        <w:jc w:val="both"/>
        <w:rPr>
          <w:rFonts w:ascii="Times New Roman" w:hAnsi="Times New Roman"/>
          <w:sz w:val="22"/>
          <w:lang w:val="en-GB"/>
        </w:rPr>
      </w:pPr>
      <w:r w:rsidRPr="009871A0">
        <w:rPr>
          <w:rFonts w:ascii="Times New Roman" w:hAnsi="Times New Roman"/>
          <w:i/>
          <w:sz w:val="22"/>
          <w:lang w:val="en-GB"/>
        </w:rPr>
        <w:t>What was the m</w:t>
      </w:r>
      <w:r w:rsidR="00693A40" w:rsidRPr="009871A0">
        <w:rPr>
          <w:rFonts w:ascii="Times New Roman" w:hAnsi="Times New Roman"/>
          <w:i/>
          <w:sz w:val="22"/>
          <w:lang w:val="en-GB"/>
        </w:rPr>
        <w:t>anner of implementation</w:t>
      </w:r>
      <w:r w:rsidR="002B2736" w:rsidRPr="009871A0">
        <w:rPr>
          <w:rFonts w:ascii="Times New Roman" w:hAnsi="Times New Roman"/>
          <w:i/>
          <w:sz w:val="22"/>
          <w:lang w:val="en-GB"/>
        </w:rPr>
        <w:t xml:space="preserve"> of the measure</w:t>
      </w:r>
      <w:r w:rsidRPr="009871A0">
        <w:rPr>
          <w:rFonts w:ascii="Times New Roman" w:hAnsi="Times New Roman"/>
          <w:i/>
          <w:sz w:val="22"/>
          <w:lang w:val="en-GB"/>
        </w:rPr>
        <w:t>?</w:t>
      </w:r>
      <w:r w:rsidR="00693A40" w:rsidRPr="009871A0">
        <w:rPr>
          <w:rFonts w:ascii="Times New Roman" w:hAnsi="Times New Roman"/>
          <w:sz w:val="22"/>
          <w:lang w:val="en-GB"/>
        </w:rPr>
        <w:t xml:space="preserve"> </w:t>
      </w:r>
      <w:r w:rsidR="002020C3" w:rsidRPr="009871A0">
        <w:rPr>
          <w:rFonts w:ascii="Times New Roman" w:hAnsi="Times New Roman"/>
          <w:sz w:val="22"/>
          <w:lang w:val="en-GB"/>
        </w:rPr>
        <w:t>The second</w:t>
      </w:r>
      <w:r w:rsidRPr="009871A0">
        <w:rPr>
          <w:rFonts w:ascii="Times New Roman" w:hAnsi="Times New Roman"/>
          <w:sz w:val="22"/>
          <w:lang w:val="en-GB"/>
        </w:rPr>
        <w:t xml:space="preserve"> part of the test </w:t>
      </w:r>
      <w:r w:rsidR="007835A2" w:rsidRPr="009871A0">
        <w:rPr>
          <w:rFonts w:ascii="Times New Roman" w:hAnsi="Times New Roman"/>
          <w:sz w:val="22"/>
          <w:lang w:val="en-GB"/>
        </w:rPr>
        <w:t>is, at present, in danger of b</w:t>
      </w:r>
      <w:r w:rsidR="007B01A7" w:rsidRPr="009871A0">
        <w:rPr>
          <w:rFonts w:ascii="Times New Roman" w:hAnsi="Times New Roman"/>
          <w:sz w:val="22"/>
          <w:lang w:val="en-GB"/>
        </w:rPr>
        <w:t xml:space="preserve">eing indistinct from either </w:t>
      </w:r>
      <w:r w:rsidR="007835A2" w:rsidRPr="009871A0">
        <w:rPr>
          <w:rFonts w:ascii="Times New Roman" w:hAnsi="Times New Roman"/>
          <w:sz w:val="22"/>
          <w:lang w:val="en-GB"/>
        </w:rPr>
        <w:t>part (1)</w:t>
      </w:r>
      <w:r w:rsidR="007835A2" w:rsidRPr="009871A0">
        <w:rPr>
          <w:rStyle w:val="FootnoteReference"/>
          <w:rFonts w:ascii="Times New Roman" w:hAnsi="Times New Roman"/>
          <w:sz w:val="22"/>
          <w:lang w:val="en-GB"/>
        </w:rPr>
        <w:footnoteReference w:id="145"/>
      </w:r>
      <w:r w:rsidR="007835A2" w:rsidRPr="009871A0">
        <w:rPr>
          <w:rFonts w:ascii="Times New Roman" w:hAnsi="Times New Roman"/>
          <w:sz w:val="22"/>
          <w:lang w:val="en-GB"/>
        </w:rPr>
        <w:t xml:space="preserve"> or part (4) of the test.</w:t>
      </w:r>
      <w:r w:rsidR="007835A2" w:rsidRPr="009871A0">
        <w:rPr>
          <w:rStyle w:val="FootnoteReference"/>
          <w:rFonts w:ascii="Times New Roman" w:hAnsi="Times New Roman"/>
          <w:sz w:val="22"/>
          <w:lang w:val="en-GB"/>
        </w:rPr>
        <w:footnoteReference w:id="146"/>
      </w:r>
      <w:r w:rsidR="007835A2" w:rsidRPr="009871A0">
        <w:rPr>
          <w:rFonts w:ascii="Times New Roman" w:hAnsi="Times New Roman"/>
          <w:sz w:val="22"/>
          <w:lang w:val="en-GB"/>
        </w:rPr>
        <w:t xml:space="preserve"> </w:t>
      </w:r>
      <w:r w:rsidR="000060F4" w:rsidRPr="009871A0">
        <w:rPr>
          <w:rFonts w:ascii="Times New Roman" w:hAnsi="Times New Roman"/>
          <w:sz w:val="22"/>
          <w:lang w:val="en-GB"/>
        </w:rPr>
        <w:t>One solution would therefore be to get rid of it entirely. We need not be wedded to the four-part test, although it is tempting to see if it can be salvage</w:t>
      </w:r>
      <w:r w:rsidR="00650724" w:rsidRPr="009871A0">
        <w:rPr>
          <w:rFonts w:ascii="Times New Roman" w:hAnsi="Times New Roman"/>
          <w:sz w:val="22"/>
          <w:lang w:val="en-GB"/>
        </w:rPr>
        <w:t>d in order to make a realistic suggestion to improve the Court’s jurisprudence that does not depart radically from current practice. In order to maintain the four-part test, therefore, but t</w:t>
      </w:r>
      <w:r w:rsidR="00790B9D" w:rsidRPr="009871A0">
        <w:rPr>
          <w:rFonts w:ascii="Times New Roman" w:hAnsi="Times New Roman"/>
          <w:sz w:val="22"/>
          <w:lang w:val="en-GB"/>
        </w:rPr>
        <w:t xml:space="preserve">o </w:t>
      </w:r>
      <w:r w:rsidR="00650724" w:rsidRPr="009871A0">
        <w:rPr>
          <w:rFonts w:ascii="Times New Roman" w:hAnsi="Times New Roman"/>
          <w:sz w:val="22"/>
          <w:lang w:val="en-GB"/>
        </w:rPr>
        <w:t xml:space="preserve">allow </w:t>
      </w:r>
      <w:r w:rsidR="00DB4959" w:rsidRPr="009871A0">
        <w:rPr>
          <w:rFonts w:ascii="Times New Roman" w:hAnsi="Times New Roman"/>
          <w:sz w:val="22"/>
          <w:lang w:val="en-GB"/>
        </w:rPr>
        <w:t>“</w:t>
      </w:r>
      <w:r w:rsidR="00650724" w:rsidRPr="009871A0">
        <w:rPr>
          <w:rFonts w:ascii="Times New Roman" w:hAnsi="Times New Roman"/>
          <w:sz w:val="22"/>
          <w:lang w:val="en-GB"/>
        </w:rPr>
        <w:t>manner of implementation</w:t>
      </w:r>
      <w:r w:rsidR="00DB4959" w:rsidRPr="009871A0">
        <w:rPr>
          <w:rFonts w:ascii="Times New Roman" w:hAnsi="Times New Roman"/>
          <w:sz w:val="22"/>
          <w:lang w:val="en-GB"/>
        </w:rPr>
        <w:t>”</w:t>
      </w:r>
      <w:r w:rsidR="00557618" w:rsidRPr="009871A0">
        <w:rPr>
          <w:rFonts w:ascii="Times New Roman" w:hAnsi="Times New Roman"/>
          <w:sz w:val="22"/>
          <w:lang w:val="en-GB"/>
        </w:rPr>
        <w:t xml:space="preserve"> </w:t>
      </w:r>
      <w:r w:rsidR="00650724" w:rsidRPr="009871A0">
        <w:rPr>
          <w:rFonts w:ascii="Times New Roman" w:hAnsi="Times New Roman"/>
          <w:sz w:val="22"/>
          <w:lang w:val="en-GB"/>
        </w:rPr>
        <w:t xml:space="preserve">to play a </w:t>
      </w:r>
      <w:r w:rsidR="00790B9D" w:rsidRPr="009871A0">
        <w:rPr>
          <w:rFonts w:ascii="Times New Roman" w:hAnsi="Times New Roman"/>
          <w:sz w:val="22"/>
          <w:lang w:val="en-GB"/>
        </w:rPr>
        <w:t xml:space="preserve">distinctive </w:t>
      </w:r>
      <w:r w:rsidR="00650724" w:rsidRPr="009871A0">
        <w:rPr>
          <w:rFonts w:ascii="Times New Roman" w:hAnsi="Times New Roman"/>
          <w:sz w:val="22"/>
          <w:lang w:val="en-GB"/>
        </w:rPr>
        <w:t>role, it c</w:t>
      </w:r>
      <w:r w:rsidR="00790B9D" w:rsidRPr="009871A0">
        <w:rPr>
          <w:rFonts w:ascii="Times New Roman" w:hAnsi="Times New Roman"/>
          <w:sz w:val="22"/>
          <w:lang w:val="en-GB"/>
        </w:rPr>
        <w:t>ould focus on</w:t>
      </w:r>
      <w:r w:rsidRPr="009871A0">
        <w:rPr>
          <w:rFonts w:ascii="Times New Roman" w:hAnsi="Times New Roman"/>
          <w:sz w:val="22"/>
          <w:lang w:val="en-GB"/>
        </w:rPr>
        <w:t xml:space="preserve"> a</w:t>
      </w:r>
      <w:r w:rsidR="00693A40" w:rsidRPr="009871A0">
        <w:rPr>
          <w:rFonts w:ascii="Times New Roman" w:hAnsi="Times New Roman"/>
          <w:sz w:val="22"/>
          <w:lang w:val="en-GB"/>
        </w:rPr>
        <w:t>rbitrariness</w:t>
      </w:r>
      <w:r w:rsidR="00650724" w:rsidRPr="009871A0">
        <w:rPr>
          <w:rFonts w:ascii="Times New Roman" w:hAnsi="Times New Roman"/>
          <w:sz w:val="22"/>
          <w:lang w:val="en-GB"/>
        </w:rPr>
        <w:t xml:space="preserve">. The Court could therefore ask </w:t>
      </w:r>
      <w:r w:rsidR="00650724" w:rsidRPr="009871A0">
        <w:rPr>
          <w:rFonts w:ascii="Times New Roman" w:hAnsi="Times New Roman"/>
          <w:sz w:val="22"/>
          <w:lang w:val="en-GB"/>
        </w:rPr>
        <w:lastRenderedPageBreak/>
        <w:t>whether:</w:t>
      </w:r>
      <w:r w:rsidR="002020C3" w:rsidRPr="009871A0">
        <w:rPr>
          <w:rFonts w:ascii="Times New Roman" w:hAnsi="Times New Roman"/>
          <w:sz w:val="22"/>
          <w:lang w:val="en-GB"/>
        </w:rPr>
        <w:t xml:space="preserve"> </w:t>
      </w:r>
      <w:r w:rsidRPr="009871A0">
        <w:rPr>
          <w:rFonts w:ascii="Times New Roman" w:hAnsi="Times New Roman"/>
          <w:sz w:val="22"/>
          <w:lang w:val="en-GB"/>
        </w:rPr>
        <w:t xml:space="preserve">the measure </w:t>
      </w:r>
      <w:r w:rsidR="00650724" w:rsidRPr="009871A0">
        <w:rPr>
          <w:rFonts w:ascii="Times New Roman" w:hAnsi="Times New Roman"/>
          <w:sz w:val="22"/>
          <w:lang w:val="en-GB"/>
        </w:rPr>
        <w:t>was implemented</w:t>
      </w:r>
      <w:r w:rsidRPr="009871A0">
        <w:rPr>
          <w:rFonts w:ascii="Times New Roman" w:hAnsi="Times New Roman"/>
          <w:sz w:val="22"/>
          <w:lang w:val="en-GB"/>
        </w:rPr>
        <w:t xml:space="preserve"> in bad faith or through deceit; there </w:t>
      </w:r>
      <w:r w:rsidR="00650724" w:rsidRPr="009871A0">
        <w:rPr>
          <w:rFonts w:ascii="Times New Roman" w:hAnsi="Times New Roman"/>
          <w:sz w:val="22"/>
          <w:lang w:val="en-GB"/>
        </w:rPr>
        <w:t xml:space="preserve">was </w:t>
      </w:r>
      <w:r w:rsidRPr="009871A0">
        <w:rPr>
          <w:rFonts w:ascii="Times New Roman" w:hAnsi="Times New Roman"/>
          <w:sz w:val="22"/>
          <w:lang w:val="en-GB"/>
        </w:rPr>
        <w:t xml:space="preserve">a lack of close connection to the relevant purpose under </w:t>
      </w:r>
      <w:r w:rsidR="00596900">
        <w:rPr>
          <w:rFonts w:ascii="Times New Roman" w:hAnsi="Times New Roman"/>
          <w:sz w:val="22"/>
          <w:lang w:val="en-GB"/>
        </w:rPr>
        <w:t>a</w:t>
      </w:r>
      <w:r w:rsidRPr="009871A0">
        <w:rPr>
          <w:rFonts w:ascii="Times New Roman" w:hAnsi="Times New Roman"/>
          <w:sz w:val="22"/>
          <w:lang w:val="en-GB"/>
        </w:rPr>
        <w:t xml:space="preserve">rticle 5(1); </w:t>
      </w:r>
      <w:r w:rsidR="00650724" w:rsidRPr="009871A0">
        <w:rPr>
          <w:rFonts w:ascii="Times New Roman" w:hAnsi="Times New Roman"/>
          <w:sz w:val="22"/>
          <w:lang w:val="en-GB"/>
        </w:rPr>
        <w:t>the deprivation took</w:t>
      </w:r>
      <w:r w:rsidRPr="009871A0">
        <w:rPr>
          <w:rFonts w:ascii="Times New Roman" w:hAnsi="Times New Roman"/>
          <w:sz w:val="22"/>
          <w:lang w:val="en-GB"/>
        </w:rPr>
        <w:t xml:space="preserve"> place in an inappropriate place or under inappropriate conditions; </w:t>
      </w:r>
      <w:r w:rsidR="00650724" w:rsidRPr="009871A0">
        <w:rPr>
          <w:rFonts w:ascii="Times New Roman" w:hAnsi="Times New Roman"/>
          <w:sz w:val="22"/>
          <w:lang w:val="en-GB"/>
        </w:rPr>
        <w:t>or</w:t>
      </w:r>
      <w:r w:rsidRPr="009871A0">
        <w:rPr>
          <w:rFonts w:ascii="Times New Roman" w:hAnsi="Times New Roman"/>
          <w:sz w:val="22"/>
          <w:lang w:val="en-GB"/>
        </w:rPr>
        <w:t xml:space="preserve"> the deprivation continue</w:t>
      </w:r>
      <w:r w:rsidR="00650724" w:rsidRPr="009871A0">
        <w:rPr>
          <w:rFonts w:ascii="Times New Roman" w:hAnsi="Times New Roman"/>
          <w:sz w:val="22"/>
          <w:lang w:val="en-GB"/>
        </w:rPr>
        <w:t>d</w:t>
      </w:r>
      <w:r w:rsidRPr="009871A0">
        <w:rPr>
          <w:rFonts w:ascii="Times New Roman" w:hAnsi="Times New Roman"/>
          <w:sz w:val="22"/>
          <w:lang w:val="en-GB"/>
        </w:rPr>
        <w:t xml:space="preserve"> for longer than necessary</w:t>
      </w:r>
      <w:r w:rsidR="00650724" w:rsidRPr="009871A0">
        <w:rPr>
          <w:rFonts w:ascii="Times New Roman" w:hAnsi="Times New Roman"/>
          <w:sz w:val="22"/>
          <w:lang w:val="en-GB"/>
        </w:rPr>
        <w:t>.</w:t>
      </w:r>
      <w:r w:rsidRPr="009871A0">
        <w:rPr>
          <w:rFonts w:ascii="Times New Roman" w:hAnsi="Times New Roman"/>
          <w:sz w:val="22"/>
          <w:lang w:val="en-GB"/>
        </w:rPr>
        <w:t xml:space="preserve"> If the answer to any of those question</w:t>
      </w:r>
      <w:r w:rsidR="002B2736" w:rsidRPr="009871A0">
        <w:rPr>
          <w:rFonts w:ascii="Times New Roman" w:hAnsi="Times New Roman"/>
          <w:sz w:val="22"/>
          <w:lang w:val="en-GB"/>
        </w:rPr>
        <w:t>s</w:t>
      </w:r>
      <w:r w:rsidRPr="009871A0">
        <w:rPr>
          <w:rFonts w:ascii="Times New Roman" w:hAnsi="Times New Roman"/>
          <w:sz w:val="22"/>
          <w:lang w:val="en-GB"/>
        </w:rPr>
        <w:t xml:space="preserve"> is </w:t>
      </w:r>
      <w:r w:rsidR="00DB4959" w:rsidRPr="009871A0">
        <w:rPr>
          <w:rFonts w:ascii="Times New Roman" w:hAnsi="Times New Roman"/>
          <w:sz w:val="22"/>
          <w:lang w:val="en-GB"/>
        </w:rPr>
        <w:t>“</w:t>
      </w:r>
      <w:r w:rsidRPr="009871A0">
        <w:rPr>
          <w:rFonts w:ascii="Times New Roman" w:hAnsi="Times New Roman"/>
          <w:sz w:val="22"/>
          <w:lang w:val="en-GB"/>
        </w:rPr>
        <w:t>yes</w:t>
      </w:r>
      <w:r w:rsidR="00DB4959" w:rsidRPr="009871A0">
        <w:rPr>
          <w:rFonts w:ascii="Times New Roman" w:hAnsi="Times New Roman"/>
          <w:sz w:val="22"/>
          <w:lang w:val="en-GB"/>
        </w:rPr>
        <w:t>”</w:t>
      </w:r>
      <w:r w:rsidRPr="009871A0">
        <w:rPr>
          <w:rFonts w:ascii="Times New Roman" w:hAnsi="Times New Roman"/>
          <w:sz w:val="22"/>
          <w:lang w:val="en-GB"/>
        </w:rPr>
        <w:t xml:space="preserve"> the measure </w:t>
      </w:r>
      <w:r w:rsidR="00823C2F" w:rsidRPr="009871A0">
        <w:rPr>
          <w:rFonts w:ascii="Times New Roman" w:hAnsi="Times New Roman"/>
          <w:sz w:val="22"/>
          <w:lang w:val="en-GB"/>
        </w:rPr>
        <w:t xml:space="preserve">will </w:t>
      </w:r>
      <w:r w:rsidRPr="009871A0">
        <w:rPr>
          <w:rFonts w:ascii="Times New Roman" w:hAnsi="Times New Roman"/>
          <w:sz w:val="22"/>
          <w:lang w:val="en-GB"/>
        </w:rPr>
        <w:t>constitute a deprivation</w:t>
      </w:r>
      <w:r w:rsidR="00823C2F" w:rsidRPr="009871A0">
        <w:rPr>
          <w:rFonts w:ascii="Times New Roman" w:hAnsi="Times New Roman"/>
          <w:sz w:val="22"/>
          <w:lang w:val="en-GB"/>
        </w:rPr>
        <w:t xml:space="preserve"> of liberty</w:t>
      </w:r>
      <w:r w:rsidRPr="009871A0">
        <w:rPr>
          <w:rFonts w:ascii="Times New Roman" w:hAnsi="Times New Roman"/>
          <w:sz w:val="22"/>
          <w:lang w:val="en-GB"/>
        </w:rPr>
        <w:t>. If</w:t>
      </w:r>
      <w:r w:rsidR="00823C2F" w:rsidRPr="009871A0">
        <w:rPr>
          <w:rFonts w:ascii="Times New Roman" w:hAnsi="Times New Roman"/>
          <w:sz w:val="22"/>
          <w:lang w:val="en-GB"/>
        </w:rPr>
        <w:t>, however,</w:t>
      </w:r>
      <w:r w:rsidRPr="009871A0">
        <w:rPr>
          <w:rFonts w:ascii="Times New Roman" w:hAnsi="Times New Roman"/>
          <w:sz w:val="22"/>
          <w:lang w:val="en-GB"/>
        </w:rPr>
        <w:t xml:space="preserve"> </w:t>
      </w:r>
      <w:r w:rsidR="00823C2F" w:rsidRPr="009871A0">
        <w:rPr>
          <w:rFonts w:ascii="Times New Roman" w:hAnsi="Times New Roman"/>
          <w:sz w:val="22"/>
          <w:lang w:val="en-GB"/>
        </w:rPr>
        <w:t>all those questions are answered in the negative,</w:t>
      </w:r>
      <w:r w:rsidR="002B2736" w:rsidRPr="009871A0">
        <w:rPr>
          <w:rFonts w:ascii="Times New Roman" w:hAnsi="Times New Roman"/>
          <w:sz w:val="22"/>
          <w:lang w:val="en-GB"/>
        </w:rPr>
        <w:t xml:space="preserve"> parts (3) and (4) of the test must be applied – n</w:t>
      </w:r>
      <w:r w:rsidR="00693A40" w:rsidRPr="009871A0">
        <w:rPr>
          <w:rFonts w:ascii="Times New Roman" w:hAnsi="Times New Roman"/>
          <w:sz w:val="22"/>
          <w:lang w:val="en-GB"/>
        </w:rPr>
        <w:t xml:space="preserve">on-arbitrariness </w:t>
      </w:r>
      <w:r w:rsidR="002B2736" w:rsidRPr="009871A0">
        <w:rPr>
          <w:rFonts w:ascii="Times New Roman" w:hAnsi="Times New Roman"/>
          <w:sz w:val="22"/>
          <w:lang w:val="en-GB"/>
        </w:rPr>
        <w:t>does not rebut the part (1) presumption</w:t>
      </w:r>
      <w:r w:rsidR="00693A40" w:rsidRPr="009871A0">
        <w:rPr>
          <w:rFonts w:ascii="Times New Roman" w:hAnsi="Times New Roman"/>
          <w:sz w:val="22"/>
          <w:lang w:val="en-GB"/>
        </w:rPr>
        <w:t>.</w:t>
      </w:r>
    </w:p>
    <w:p w14:paraId="1BF2B6B5" w14:textId="77777777" w:rsidR="000A04B1" w:rsidRPr="009871A0" w:rsidRDefault="000A04B1" w:rsidP="00984782">
      <w:pPr>
        <w:pStyle w:val="ListParagraph"/>
        <w:spacing w:line="480" w:lineRule="auto"/>
        <w:ind w:left="1080"/>
        <w:jc w:val="both"/>
        <w:rPr>
          <w:rFonts w:ascii="Times New Roman" w:hAnsi="Times New Roman"/>
          <w:sz w:val="22"/>
          <w:lang w:val="en-GB"/>
        </w:rPr>
      </w:pPr>
    </w:p>
    <w:p w14:paraId="280EE0A3" w14:textId="6FDB325C" w:rsidR="00693A40" w:rsidRPr="009871A0" w:rsidRDefault="00F72CE7" w:rsidP="00984782">
      <w:pPr>
        <w:pStyle w:val="ListParagraph"/>
        <w:numPr>
          <w:ilvl w:val="0"/>
          <w:numId w:val="5"/>
        </w:numPr>
        <w:spacing w:line="480" w:lineRule="auto"/>
        <w:jc w:val="both"/>
        <w:rPr>
          <w:rFonts w:ascii="Times New Roman" w:hAnsi="Times New Roman"/>
          <w:sz w:val="22"/>
          <w:lang w:val="en-GB"/>
        </w:rPr>
      </w:pPr>
      <w:r w:rsidRPr="009871A0">
        <w:rPr>
          <w:rFonts w:ascii="Times New Roman" w:hAnsi="Times New Roman"/>
          <w:i/>
          <w:sz w:val="22"/>
          <w:lang w:val="en-GB"/>
        </w:rPr>
        <w:t>What was the d</w:t>
      </w:r>
      <w:r w:rsidR="00693A40" w:rsidRPr="009871A0">
        <w:rPr>
          <w:rFonts w:ascii="Times New Roman" w:hAnsi="Times New Roman"/>
          <w:i/>
          <w:sz w:val="22"/>
          <w:lang w:val="en-GB"/>
        </w:rPr>
        <w:t>uration</w:t>
      </w:r>
      <w:r w:rsidRPr="009871A0">
        <w:rPr>
          <w:rFonts w:ascii="Times New Roman" w:hAnsi="Times New Roman"/>
          <w:i/>
          <w:sz w:val="22"/>
          <w:lang w:val="en-GB"/>
        </w:rPr>
        <w:t xml:space="preserve"> of the measure?</w:t>
      </w:r>
      <w:r w:rsidR="00693A40" w:rsidRPr="009871A0">
        <w:rPr>
          <w:rFonts w:ascii="Times New Roman" w:hAnsi="Times New Roman"/>
          <w:sz w:val="22"/>
          <w:lang w:val="en-GB"/>
        </w:rPr>
        <w:t xml:space="preserve"> </w:t>
      </w:r>
      <w:r w:rsidRPr="009871A0">
        <w:rPr>
          <w:rFonts w:ascii="Times New Roman" w:hAnsi="Times New Roman"/>
          <w:sz w:val="22"/>
          <w:lang w:val="en-GB"/>
        </w:rPr>
        <w:t>A</w:t>
      </w:r>
      <w:r w:rsidR="00693A40" w:rsidRPr="009871A0">
        <w:rPr>
          <w:rFonts w:ascii="Times New Roman" w:hAnsi="Times New Roman"/>
          <w:sz w:val="22"/>
          <w:lang w:val="en-GB"/>
        </w:rPr>
        <w:t xml:space="preserve">s well as </w:t>
      </w:r>
      <w:r w:rsidR="002B2736" w:rsidRPr="009871A0">
        <w:rPr>
          <w:rFonts w:ascii="Times New Roman" w:hAnsi="Times New Roman"/>
          <w:sz w:val="22"/>
          <w:lang w:val="en-GB"/>
        </w:rPr>
        <w:t>the time that passed,</w:t>
      </w:r>
      <w:r w:rsidR="00823C2F" w:rsidRPr="009871A0">
        <w:rPr>
          <w:rFonts w:ascii="Times New Roman" w:hAnsi="Times New Roman"/>
          <w:sz w:val="22"/>
          <w:lang w:val="en-GB"/>
        </w:rPr>
        <w:t xml:space="preserve"> was the measure</w:t>
      </w:r>
      <w:r w:rsidR="00693A40" w:rsidRPr="009871A0">
        <w:rPr>
          <w:rFonts w:ascii="Times New Roman" w:hAnsi="Times New Roman"/>
          <w:sz w:val="22"/>
          <w:lang w:val="en-GB"/>
        </w:rPr>
        <w:t xml:space="preserve"> a one-off </w:t>
      </w:r>
      <w:r w:rsidR="002B2736" w:rsidRPr="009871A0">
        <w:rPr>
          <w:rFonts w:ascii="Times New Roman" w:hAnsi="Times New Roman"/>
          <w:sz w:val="22"/>
          <w:lang w:val="en-GB"/>
        </w:rPr>
        <w:t>(</w:t>
      </w:r>
      <w:r w:rsidRPr="009871A0">
        <w:rPr>
          <w:rFonts w:ascii="Times New Roman" w:hAnsi="Times New Roman"/>
          <w:sz w:val="22"/>
          <w:lang w:val="en-GB"/>
        </w:rPr>
        <w:t xml:space="preserve">as in </w:t>
      </w:r>
      <w:r w:rsidRPr="009871A0">
        <w:rPr>
          <w:rFonts w:ascii="Times New Roman" w:hAnsi="Times New Roman"/>
          <w:i/>
          <w:sz w:val="22"/>
          <w:lang w:val="en-GB"/>
        </w:rPr>
        <w:t>Austin</w:t>
      </w:r>
      <w:r w:rsidRPr="009871A0">
        <w:rPr>
          <w:rFonts w:ascii="Times New Roman" w:hAnsi="Times New Roman"/>
          <w:sz w:val="22"/>
          <w:lang w:val="en-GB"/>
        </w:rPr>
        <w:t xml:space="preserve">) </w:t>
      </w:r>
      <w:r w:rsidR="00693A40" w:rsidRPr="009871A0">
        <w:rPr>
          <w:rFonts w:ascii="Times New Roman" w:hAnsi="Times New Roman"/>
          <w:sz w:val="22"/>
          <w:lang w:val="en-GB"/>
        </w:rPr>
        <w:t>or is it ongoing</w:t>
      </w:r>
      <w:r w:rsidR="002B2736" w:rsidRPr="009871A0">
        <w:rPr>
          <w:rFonts w:ascii="Times New Roman" w:hAnsi="Times New Roman"/>
          <w:sz w:val="22"/>
          <w:lang w:val="en-GB"/>
        </w:rPr>
        <w:t xml:space="preserve"> (</w:t>
      </w:r>
      <w:r w:rsidRPr="009871A0">
        <w:rPr>
          <w:rFonts w:ascii="Times New Roman" w:hAnsi="Times New Roman"/>
          <w:sz w:val="22"/>
          <w:lang w:val="en-GB"/>
        </w:rPr>
        <w:t xml:space="preserve">as in </w:t>
      </w:r>
      <w:r w:rsidRPr="009871A0">
        <w:rPr>
          <w:rFonts w:ascii="Times New Roman" w:hAnsi="Times New Roman"/>
          <w:i/>
          <w:sz w:val="22"/>
          <w:lang w:val="en-GB"/>
        </w:rPr>
        <w:t>Cheshire West</w:t>
      </w:r>
      <w:r w:rsidRPr="009871A0">
        <w:rPr>
          <w:rFonts w:ascii="Times New Roman" w:hAnsi="Times New Roman"/>
          <w:sz w:val="22"/>
          <w:lang w:val="en-GB"/>
        </w:rPr>
        <w:t>)</w:t>
      </w:r>
      <w:r w:rsidR="00693A40" w:rsidRPr="009871A0">
        <w:rPr>
          <w:rFonts w:ascii="Times New Roman" w:hAnsi="Times New Roman"/>
          <w:sz w:val="22"/>
          <w:lang w:val="en-GB"/>
        </w:rPr>
        <w:t xml:space="preserve">? </w:t>
      </w:r>
      <w:r w:rsidRPr="009871A0">
        <w:rPr>
          <w:rFonts w:ascii="Times New Roman" w:hAnsi="Times New Roman"/>
          <w:sz w:val="22"/>
          <w:lang w:val="en-GB"/>
        </w:rPr>
        <w:t xml:space="preserve">As we </w:t>
      </w:r>
      <w:r w:rsidR="00823C2F" w:rsidRPr="009871A0">
        <w:rPr>
          <w:rFonts w:ascii="Times New Roman" w:hAnsi="Times New Roman"/>
          <w:sz w:val="22"/>
          <w:lang w:val="en-GB"/>
        </w:rPr>
        <w:t>have seen</w:t>
      </w:r>
      <w:r w:rsidRPr="009871A0">
        <w:rPr>
          <w:rFonts w:ascii="Times New Roman" w:hAnsi="Times New Roman"/>
          <w:sz w:val="22"/>
          <w:lang w:val="en-GB"/>
        </w:rPr>
        <w:t>, there is no set length of time above which a dep</w:t>
      </w:r>
      <w:r w:rsidR="002D1354" w:rsidRPr="009871A0">
        <w:rPr>
          <w:rFonts w:ascii="Times New Roman" w:hAnsi="Times New Roman"/>
          <w:sz w:val="22"/>
          <w:lang w:val="en-GB"/>
        </w:rPr>
        <w:t>rivation will always take place</w:t>
      </w:r>
      <w:r w:rsidRPr="009871A0">
        <w:rPr>
          <w:rFonts w:ascii="Times New Roman" w:hAnsi="Times New Roman"/>
          <w:sz w:val="22"/>
          <w:lang w:val="en-GB"/>
        </w:rPr>
        <w:t xml:space="preserve"> and no set length of time below which a deprivation will never take place</w:t>
      </w:r>
      <w:r w:rsidR="007E1CDB">
        <w:rPr>
          <w:rFonts w:ascii="Times New Roman" w:hAnsi="Times New Roman"/>
          <w:sz w:val="22"/>
          <w:lang w:val="en-GB"/>
        </w:rPr>
        <w:t>, unless it is “negligible”</w:t>
      </w:r>
      <w:r w:rsidRPr="009871A0">
        <w:rPr>
          <w:rFonts w:ascii="Times New Roman" w:hAnsi="Times New Roman"/>
          <w:sz w:val="22"/>
          <w:lang w:val="en-GB"/>
        </w:rPr>
        <w:t>.</w:t>
      </w:r>
      <w:r w:rsidR="00665706">
        <w:rPr>
          <w:rStyle w:val="FootnoteReference"/>
          <w:rFonts w:ascii="Times New Roman" w:hAnsi="Times New Roman"/>
          <w:sz w:val="22"/>
          <w:lang w:val="en-GB"/>
        </w:rPr>
        <w:footnoteReference w:id="147"/>
      </w:r>
      <w:r w:rsidRPr="009871A0">
        <w:rPr>
          <w:rFonts w:ascii="Times New Roman" w:hAnsi="Times New Roman"/>
          <w:sz w:val="22"/>
          <w:lang w:val="en-GB"/>
        </w:rPr>
        <w:t xml:space="preserve"> Duration cannot be considered in isolation from pa</w:t>
      </w:r>
      <w:r w:rsidR="002B2736" w:rsidRPr="009871A0">
        <w:rPr>
          <w:rFonts w:ascii="Times New Roman" w:hAnsi="Times New Roman"/>
          <w:sz w:val="22"/>
          <w:lang w:val="en-GB"/>
        </w:rPr>
        <w:t>rt (4)</w:t>
      </w:r>
      <w:r w:rsidRPr="009871A0">
        <w:rPr>
          <w:rFonts w:ascii="Times New Roman" w:hAnsi="Times New Roman"/>
          <w:sz w:val="22"/>
          <w:lang w:val="en-GB"/>
        </w:rPr>
        <w:t xml:space="preserve"> of the test. </w:t>
      </w:r>
      <w:r w:rsidR="00693A40" w:rsidRPr="009871A0">
        <w:rPr>
          <w:rFonts w:ascii="Times New Roman" w:hAnsi="Times New Roman"/>
          <w:sz w:val="22"/>
          <w:lang w:val="en-GB"/>
        </w:rPr>
        <w:t xml:space="preserve">A short </w:t>
      </w:r>
      <w:r w:rsidRPr="009871A0">
        <w:rPr>
          <w:rFonts w:ascii="Times New Roman" w:hAnsi="Times New Roman"/>
          <w:sz w:val="22"/>
          <w:lang w:val="en-GB"/>
        </w:rPr>
        <w:t xml:space="preserve">and/or one-off </w:t>
      </w:r>
      <w:r w:rsidR="00693A40" w:rsidRPr="009871A0">
        <w:rPr>
          <w:rFonts w:ascii="Times New Roman" w:hAnsi="Times New Roman"/>
          <w:sz w:val="22"/>
          <w:lang w:val="en-GB"/>
        </w:rPr>
        <w:t>period is not necessarily indicative of no deprivation,</w:t>
      </w:r>
      <w:r w:rsidR="00CF696D" w:rsidRPr="009871A0">
        <w:rPr>
          <w:rStyle w:val="FootnoteReference"/>
          <w:rFonts w:ascii="Times New Roman" w:hAnsi="Times New Roman"/>
          <w:sz w:val="22"/>
          <w:lang w:val="en-GB"/>
        </w:rPr>
        <w:footnoteReference w:id="148"/>
      </w:r>
      <w:r w:rsidR="00693A40" w:rsidRPr="009871A0">
        <w:rPr>
          <w:rFonts w:ascii="Times New Roman" w:hAnsi="Times New Roman"/>
          <w:sz w:val="22"/>
          <w:lang w:val="en-GB"/>
        </w:rPr>
        <w:t xml:space="preserve"> but the longer the period the harder it will be to </w:t>
      </w:r>
      <w:r w:rsidR="00A63D3B" w:rsidRPr="009871A0">
        <w:rPr>
          <w:rFonts w:ascii="Times New Roman" w:hAnsi="Times New Roman"/>
          <w:sz w:val="22"/>
          <w:lang w:val="en-GB"/>
        </w:rPr>
        <w:t>rebut</w:t>
      </w:r>
      <w:r w:rsidR="00693A40" w:rsidRPr="009871A0">
        <w:rPr>
          <w:rFonts w:ascii="Times New Roman" w:hAnsi="Times New Roman"/>
          <w:sz w:val="22"/>
          <w:lang w:val="en-GB"/>
        </w:rPr>
        <w:t xml:space="preserve"> the presumption in (1).</w:t>
      </w:r>
    </w:p>
    <w:p w14:paraId="4957ED55" w14:textId="77777777" w:rsidR="000A04B1" w:rsidRPr="009871A0" w:rsidRDefault="000A04B1" w:rsidP="00984782">
      <w:pPr>
        <w:pStyle w:val="ListParagraph"/>
        <w:spacing w:line="480" w:lineRule="auto"/>
        <w:ind w:left="1080"/>
        <w:jc w:val="both"/>
        <w:rPr>
          <w:rFonts w:ascii="Times New Roman" w:hAnsi="Times New Roman"/>
          <w:sz w:val="22"/>
          <w:lang w:val="en-GB"/>
        </w:rPr>
      </w:pPr>
    </w:p>
    <w:p w14:paraId="0AC228D8" w14:textId="0F10EC34" w:rsidR="00693A40" w:rsidRPr="009871A0" w:rsidRDefault="00F72CE7" w:rsidP="00984782">
      <w:pPr>
        <w:pStyle w:val="ListParagraph"/>
        <w:numPr>
          <w:ilvl w:val="0"/>
          <w:numId w:val="5"/>
        </w:numPr>
        <w:spacing w:line="480" w:lineRule="auto"/>
        <w:jc w:val="both"/>
        <w:rPr>
          <w:rFonts w:ascii="Times New Roman" w:hAnsi="Times New Roman"/>
          <w:sz w:val="22"/>
          <w:lang w:val="en-GB"/>
        </w:rPr>
      </w:pPr>
      <w:r w:rsidRPr="009871A0">
        <w:rPr>
          <w:rFonts w:ascii="Times New Roman" w:hAnsi="Times New Roman"/>
          <w:i/>
          <w:sz w:val="22"/>
          <w:lang w:val="en-GB"/>
        </w:rPr>
        <w:t>What was the e</w:t>
      </w:r>
      <w:r w:rsidR="00693A40" w:rsidRPr="009871A0">
        <w:rPr>
          <w:rFonts w:ascii="Times New Roman" w:hAnsi="Times New Roman"/>
          <w:i/>
          <w:sz w:val="22"/>
          <w:lang w:val="en-GB"/>
        </w:rPr>
        <w:t>ffect</w:t>
      </w:r>
      <w:r w:rsidRPr="009871A0">
        <w:rPr>
          <w:rFonts w:ascii="Times New Roman" w:hAnsi="Times New Roman"/>
          <w:i/>
          <w:sz w:val="22"/>
          <w:lang w:val="en-GB"/>
        </w:rPr>
        <w:t xml:space="preserve"> of the measure?</w:t>
      </w:r>
      <w:r w:rsidR="00693A40" w:rsidRPr="009871A0">
        <w:rPr>
          <w:rFonts w:ascii="Times New Roman" w:hAnsi="Times New Roman"/>
          <w:sz w:val="22"/>
          <w:lang w:val="en-GB"/>
        </w:rPr>
        <w:t xml:space="preserve"> </w:t>
      </w:r>
      <w:r w:rsidRPr="009871A0">
        <w:rPr>
          <w:rFonts w:ascii="Times New Roman" w:hAnsi="Times New Roman"/>
          <w:sz w:val="22"/>
          <w:lang w:val="en-GB"/>
        </w:rPr>
        <w:t xml:space="preserve">As we </w:t>
      </w:r>
      <w:r w:rsidR="007B01A7" w:rsidRPr="009871A0">
        <w:rPr>
          <w:rFonts w:ascii="Times New Roman" w:hAnsi="Times New Roman"/>
          <w:sz w:val="22"/>
          <w:lang w:val="en-GB"/>
        </w:rPr>
        <w:t>have seen</w:t>
      </w:r>
      <w:r w:rsidRPr="009871A0">
        <w:rPr>
          <w:rFonts w:ascii="Times New Roman" w:hAnsi="Times New Roman"/>
          <w:sz w:val="22"/>
          <w:lang w:val="en-GB"/>
        </w:rPr>
        <w:t xml:space="preserve">, this test must be applied objectively. </w:t>
      </w:r>
      <w:r w:rsidR="000C07D7" w:rsidRPr="009871A0">
        <w:rPr>
          <w:rFonts w:ascii="Times New Roman" w:hAnsi="Times New Roman"/>
          <w:sz w:val="22"/>
          <w:lang w:val="en-GB"/>
        </w:rPr>
        <w:t>T</w:t>
      </w:r>
      <w:r w:rsidRPr="009871A0">
        <w:rPr>
          <w:rFonts w:ascii="Times New Roman" w:hAnsi="Times New Roman"/>
          <w:sz w:val="22"/>
          <w:lang w:val="en-GB"/>
        </w:rPr>
        <w:t xml:space="preserve">he </w:t>
      </w:r>
      <w:r w:rsidR="0020054E" w:rsidRPr="009871A0">
        <w:rPr>
          <w:rFonts w:ascii="Times New Roman" w:hAnsi="Times New Roman"/>
          <w:sz w:val="22"/>
          <w:lang w:val="en-GB"/>
        </w:rPr>
        <w:t>C</w:t>
      </w:r>
      <w:r w:rsidRPr="009871A0">
        <w:rPr>
          <w:rFonts w:ascii="Times New Roman" w:hAnsi="Times New Roman"/>
          <w:sz w:val="22"/>
          <w:lang w:val="en-GB"/>
        </w:rPr>
        <w:t xml:space="preserve">ourt should </w:t>
      </w:r>
      <w:r w:rsidR="000C07D7" w:rsidRPr="009871A0">
        <w:rPr>
          <w:rFonts w:ascii="Times New Roman" w:hAnsi="Times New Roman"/>
          <w:sz w:val="22"/>
          <w:lang w:val="en-GB"/>
        </w:rPr>
        <w:t xml:space="preserve">therefore </w:t>
      </w:r>
      <w:r w:rsidRPr="009871A0">
        <w:rPr>
          <w:rFonts w:ascii="Times New Roman" w:hAnsi="Times New Roman"/>
          <w:sz w:val="22"/>
          <w:lang w:val="en-GB"/>
        </w:rPr>
        <w:t xml:space="preserve">ask what </w:t>
      </w:r>
      <w:r w:rsidR="00693A40" w:rsidRPr="009871A0">
        <w:rPr>
          <w:rFonts w:ascii="Times New Roman" w:hAnsi="Times New Roman"/>
          <w:sz w:val="22"/>
          <w:lang w:val="en-GB"/>
        </w:rPr>
        <w:t xml:space="preserve">the </w:t>
      </w:r>
      <w:r w:rsidR="000C07D7" w:rsidRPr="009871A0">
        <w:rPr>
          <w:rFonts w:ascii="Times New Roman" w:hAnsi="Times New Roman"/>
          <w:sz w:val="22"/>
          <w:lang w:val="en-GB"/>
        </w:rPr>
        <w:t>measure</w:t>
      </w:r>
      <w:r w:rsidR="00693A40" w:rsidRPr="009871A0">
        <w:rPr>
          <w:rFonts w:ascii="Times New Roman" w:hAnsi="Times New Roman"/>
          <w:sz w:val="22"/>
          <w:lang w:val="en-GB"/>
        </w:rPr>
        <w:t xml:space="preserve"> </w:t>
      </w:r>
      <w:r w:rsidRPr="009871A0">
        <w:rPr>
          <w:rFonts w:ascii="Times New Roman" w:hAnsi="Times New Roman"/>
          <w:sz w:val="22"/>
          <w:lang w:val="en-GB"/>
        </w:rPr>
        <w:t xml:space="preserve">was </w:t>
      </w:r>
      <w:r w:rsidR="000C07D7" w:rsidRPr="009871A0">
        <w:rPr>
          <w:rFonts w:ascii="Times New Roman" w:hAnsi="Times New Roman"/>
          <w:sz w:val="22"/>
          <w:lang w:val="en-GB"/>
        </w:rPr>
        <w:t>like in terms of what the ordinary</w:t>
      </w:r>
      <w:r w:rsidR="002B2736" w:rsidRPr="009871A0">
        <w:rPr>
          <w:rFonts w:ascii="Times New Roman" w:hAnsi="Times New Roman"/>
          <w:sz w:val="22"/>
          <w:lang w:val="en-GB"/>
        </w:rPr>
        <w:t xml:space="preserve"> person </w:t>
      </w:r>
      <w:r w:rsidR="0070010E" w:rsidRPr="009871A0">
        <w:rPr>
          <w:rFonts w:ascii="Times New Roman" w:hAnsi="Times New Roman"/>
          <w:sz w:val="22"/>
          <w:lang w:val="en-GB"/>
        </w:rPr>
        <w:t>is entitled to</w:t>
      </w:r>
      <w:r w:rsidR="002B2736" w:rsidRPr="009871A0">
        <w:rPr>
          <w:rFonts w:ascii="Times New Roman" w:hAnsi="Times New Roman"/>
          <w:sz w:val="22"/>
          <w:lang w:val="en-GB"/>
        </w:rPr>
        <w:t xml:space="preserve"> expect</w:t>
      </w:r>
      <w:r w:rsidR="000C07D7" w:rsidRPr="009871A0">
        <w:rPr>
          <w:rFonts w:ascii="Times New Roman" w:hAnsi="Times New Roman"/>
          <w:sz w:val="22"/>
          <w:lang w:val="en-GB"/>
        </w:rPr>
        <w:t xml:space="preserve"> in terms</w:t>
      </w:r>
      <w:r w:rsidR="002B2736" w:rsidRPr="009871A0">
        <w:rPr>
          <w:rFonts w:ascii="Times New Roman" w:hAnsi="Times New Roman"/>
          <w:sz w:val="22"/>
          <w:lang w:val="en-GB"/>
        </w:rPr>
        <w:t>, for example,</w:t>
      </w:r>
      <w:r w:rsidR="00693A40" w:rsidRPr="009871A0">
        <w:rPr>
          <w:rFonts w:ascii="Times New Roman" w:hAnsi="Times New Roman"/>
          <w:sz w:val="22"/>
          <w:lang w:val="en-GB"/>
        </w:rPr>
        <w:t xml:space="preserve"> </w:t>
      </w:r>
      <w:r w:rsidR="000C07D7" w:rsidRPr="009871A0">
        <w:rPr>
          <w:rFonts w:ascii="Times New Roman" w:hAnsi="Times New Roman"/>
          <w:sz w:val="22"/>
          <w:lang w:val="en-GB"/>
        </w:rPr>
        <w:t xml:space="preserve">of </w:t>
      </w:r>
      <w:r w:rsidR="00693A40" w:rsidRPr="009871A0">
        <w:rPr>
          <w:rFonts w:ascii="Times New Roman" w:hAnsi="Times New Roman"/>
          <w:sz w:val="22"/>
          <w:lang w:val="en-GB"/>
        </w:rPr>
        <w:t>shelter, comfort, coercion</w:t>
      </w:r>
      <w:r w:rsidR="001A36C9" w:rsidRPr="009871A0">
        <w:rPr>
          <w:rFonts w:ascii="Times New Roman" w:hAnsi="Times New Roman"/>
          <w:sz w:val="22"/>
          <w:lang w:val="en-GB"/>
        </w:rPr>
        <w:t xml:space="preserve">, </w:t>
      </w:r>
      <w:r w:rsidR="000C07D7" w:rsidRPr="009871A0">
        <w:rPr>
          <w:rFonts w:ascii="Times New Roman" w:hAnsi="Times New Roman"/>
          <w:sz w:val="22"/>
          <w:lang w:val="en-GB"/>
        </w:rPr>
        <w:t xml:space="preserve">impact on </w:t>
      </w:r>
      <w:r w:rsidR="001A36C9" w:rsidRPr="009871A0">
        <w:rPr>
          <w:rFonts w:ascii="Times New Roman" w:hAnsi="Times New Roman"/>
          <w:sz w:val="22"/>
          <w:lang w:val="en-GB"/>
        </w:rPr>
        <w:t>other rights such as expression</w:t>
      </w:r>
      <w:r w:rsidR="005F0E06" w:rsidRPr="009871A0">
        <w:rPr>
          <w:rFonts w:ascii="Times New Roman" w:hAnsi="Times New Roman"/>
          <w:sz w:val="22"/>
          <w:lang w:val="en-GB"/>
        </w:rPr>
        <w:t>, assembly or association, education, respect for private and family life</w:t>
      </w:r>
      <w:r w:rsidR="001A36C9" w:rsidRPr="009871A0">
        <w:rPr>
          <w:rFonts w:ascii="Times New Roman" w:hAnsi="Times New Roman"/>
          <w:sz w:val="22"/>
          <w:lang w:val="en-GB"/>
        </w:rPr>
        <w:t xml:space="preserve"> </w:t>
      </w:r>
      <w:r w:rsidR="000C07D7" w:rsidRPr="009871A0">
        <w:rPr>
          <w:rFonts w:ascii="Times New Roman" w:hAnsi="Times New Roman"/>
          <w:sz w:val="22"/>
          <w:lang w:val="en-GB"/>
        </w:rPr>
        <w:t>and so on</w:t>
      </w:r>
      <w:r w:rsidR="00693A40" w:rsidRPr="009871A0">
        <w:rPr>
          <w:rFonts w:ascii="Times New Roman" w:hAnsi="Times New Roman"/>
          <w:sz w:val="22"/>
          <w:lang w:val="en-GB"/>
        </w:rPr>
        <w:t xml:space="preserve">. </w:t>
      </w:r>
      <w:r w:rsidRPr="009871A0">
        <w:rPr>
          <w:rFonts w:ascii="Times New Roman" w:hAnsi="Times New Roman"/>
          <w:sz w:val="22"/>
          <w:lang w:val="en-GB"/>
        </w:rPr>
        <w:t>Minimal</w:t>
      </w:r>
      <w:r w:rsidR="00693A40" w:rsidRPr="009871A0">
        <w:rPr>
          <w:rFonts w:ascii="Times New Roman" w:hAnsi="Times New Roman"/>
          <w:sz w:val="22"/>
          <w:lang w:val="en-GB"/>
        </w:rPr>
        <w:t xml:space="preserve"> effect is not necessarily indicative of no deprivation, </w:t>
      </w:r>
      <w:r w:rsidR="002B2736" w:rsidRPr="009871A0">
        <w:rPr>
          <w:rFonts w:ascii="Times New Roman" w:hAnsi="Times New Roman"/>
          <w:sz w:val="22"/>
          <w:lang w:val="en-GB"/>
        </w:rPr>
        <w:t xml:space="preserve">especially if the duration was long, </w:t>
      </w:r>
      <w:r w:rsidR="00693A40" w:rsidRPr="009871A0">
        <w:rPr>
          <w:rFonts w:ascii="Times New Roman" w:hAnsi="Times New Roman"/>
          <w:sz w:val="22"/>
          <w:lang w:val="en-GB"/>
        </w:rPr>
        <w:t>but the greater the effect the harder it will be to displace the presumption in (1).</w:t>
      </w:r>
    </w:p>
    <w:p w14:paraId="110DD73C" w14:textId="77777777" w:rsidR="00CF696D" w:rsidRPr="009871A0" w:rsidRDefault="00CF696D" w:rsidP="00984782">
      <w:pPr>
        <w:pStyle w:val="ListParagraph"/>
        <w:spacing w:line="480" w:lineRule="auto"/>
        <w:ind w:left="1080"/>
        <w:jc w:val="both"/>
        <w:rPr>
          <w:rFonts w:ascii="Times New Roman" w:hAnsi="Times New Roman"/>
          <w:sz w:val="22"/>
          <w:lang w:val="en-GB"/>
        </w:rPr>
      </w:pPr>
    </w:p>
    <w:p w14:paraId="612DF8DA" w14:textId="6C88558B" w:rsidR="00C87154" w:rsidRDefault="00626C26" w:rsidP="00826809">
      <w:pPr>
        <w:spacing w:line="480" w:lineRule="auto"/>
        <w:jc w:val="both"/>
        <w:rPr>
          <w:sz w:val="22"/>
        </w:rPr>
      </w:pPr>
      <w:r w:rsidRPr="009871A0">
        <w:rPr>
          <w:sz w:val="22"/>
        </w:rPr>
        <w:lastRenderedPageBreak/>
        <w:t xml:space="preserve">The test set out here can apply to all </w:t>
      </w:r>
      <w:r w:rsidR="00103BC7" w:rsidRPr="009871A0">
        <w:rPr>
          <w:sz w:val="22"/>
        </w:rPr>
        <w:t xml:space="preserve">non-paradigm </w:t>
      </w:r>
      <w:r w:rsidRPr="009871A0">
        <w:rPr>
          <w:sz w:val="22"/>
        </w:rPr>
        <w:t>measures impacting on liberty. For example, control orders</w:t>
      </w:r>
      <w:r w:rsidR="006D786A" w:rsidRPr="009871A0">
        <w:rPr>
          <w:sz w:val="22"/>
        </w:rPr>
        <w:t xml:space="preserve"> </w:t>
      </w:r>
      <w:r w:rsidR="007E1CDB">
        <w:rPr>
          <w:sz w:val="22"/>
        </w:rPr>
        <w:t xml:space="preserve">(now Terrorism Prevention and Investigation Measures) </w:t>
      </w:r>
      <w:r w:rsidR="006D786A" w:rsidRPr="009871A0">
        <w:rPr>
          <w:sz w:val="22"/>
        </w:rPr>
        <w:t xml:space="preserve">or </w:t>
      </w:r>
      <w:r w:rsidR="007B01A7" w:rsidRPr="009871A0">
        <w:rPr>
          <w:sz w:val="22"/>
        </w:rPr>
        <w:t>banishment</w:t>
      </w:r>
      <w:r w:rsidRPr="009871A0">
        <w:rPr>
          <w:sz w:val="22"/>
        </w:rPr>
        <w:t>;</w:t>
      </w:r>
      <w:r w:rsidR="0020054E" w:rsidRPr="009871A0">
        <w:rPr>
          <w:rStyle w:val="FootnoteReference"/>
          <w:sz w:val="22"/>
        </w:rPr>
        <w:footnoteReference w:id="149"/>
      </w:r>
      <w:r w:rsidRPr="009871A0">
        <w:rPr>
          <w:sz w:val="22"/>
        </w:rPr>
        <w:t xml:space="preserve"> the various categories covered by </w:t>
      </w:r>
      <w:r w:rsidR="00596900">
        <w:rPr>
          <w:sz w:val="22"/>
        </w:rPr>
        <w:t>a</w:t>
      </w:r>
      <w:r w:rsidRPr="009871A0">
        <w:rPr>
          <w:sz w:val="22"/>
        </w:rPr>
        <w:t xml:space="preserve">rticle 5(1)(e); and those awaiting deportation or extradition decisions under </w:t>
      </w:r>
      <w:r w:rsidR="00596900">
        <w:rPr>
          <w:sz w:val="22"/>
        </w:rPr>
        <w:t>a</w:t>
      </w:r>
      <w:r w:rsidRPr="009871A0">
        <w:rPr>
          <w:sz w:val="22"/>
        </w:rPr>
        <w:t>rticle 5(1)(f)</w:t>
      </w:r>
      <w:r w:rsidR="001C3853" w:rsidRPr="001C3853">
        <w:t xml:space="preserve"> </w:t>
      </w:r>
      <w:r w:rsidR="001C3853">
        <w:rPr>
          <w:sz w:val="22"/>
        </w:rPr>
        <w:t>w</w:t>
      </w:r>
      <w:r w:rsidR="001C3853" w:rsidRPr="001C3853">
        <w:rPr>
          <w:sz w:val="22"/>
        </w:rPr>
        <w:t>ho are not free to leave if the choice to go back to their country of origin is not a real one (e.g. be</w:t>
      </w:r>
      <w:r w:rsidR="001C3853">
        <w:rPr>
          <w:sz w:val="22"/>
        </w:rPr>
        <w:t>cause they cannot do so safely)</w:t>
      </w:r>
      <w:r w:rsidRPr="009871A0">
        <w:rPr>
          <w:sz w:val="22"/>
        </w:rPr>
        <w:t>.</w:t>
      </w:r>
      <w:r w:rsidRPr="009871A0">
        <w:rPr>
          <w:rStyle w:val="FootnoteReference"/>
          <w:sz w:val="22"/>
        </w:rPr>
        <w:footnoteReference w:id="150"/>
      </w:r>
      <w:r w:rsidRPr="009871A0">
        <w:rPr>
          <w:sz w:val="22"/>
        </w:rPr>
        <w:t xml:space="preserve"> </w:t>
      </w:r>
      <w:r w:rsidR="00420D71" w:rsidRPr="009871A0">
        <w:rPr>
          <w:sz w:val="22"/>
        </w:rPr>
        <w:t>The four-part test must be applied in the order given, but also looked at holistically</w:t>
      </w:r>
      <w:r w:rsidR="00323484">
        <w:rPr>
          <w:sz w:val="22"/>
        </w:rPr>
        <w:t>.</w:t>
      </w:r>
      <w:r w:rsidR="005A5BA4">
        <w:rPr>
          <w:sz w:val="22"/>
        </w:rPr>
        <w:t xml:space="preserve"> </w:t>
      </w:r>
      <w:r w:rsidR="00420D71" w:rsidRPr="009871A0">
        <w:rPr>
          <w:sz w:val="22"/>
        </w:rPr>
        <w:t xml:space="preserve">Parts </w:t>
      </w:r>
      <w:r w:rsidR="005F0E06" w:rsidRPr="009871A0">
        <w:rPr>
          <w:sz w:val="22"/>
        </w:rPr>
        <w:t>(</w:t>
      </w:r>
      <w:r w:rsidR="00420D71" w:rsidRPr="009871A0">
        <w:rPr>
          <w:sz w:val="22"/>
        </w:rPr>
        <w:t xml:space="preserve">3) and </w:t>
      </w:r>
      <w:r w:rsidR="005F0E06" w:rsidRPr="009871A0">
        <w:rPr>
          <w:sz w:val="22"/>
        </w:rPr>
        <w:t>(</w:t>
      </w:r>
      <w:r w:rsidR="00420D71" w:rsidRPr="009871A0">
        <w:rPr>
          <w:sz w:val="22"/>
        </w:rPr>
        <w:t xml:space="preserve">4) of the test especially must be considered together. </w:t>
      </w:r>
      <w:r w:rsidR="00CF696D" w:rsidRPr="009871A0">
        <w:rPr>
          <w:sz w:val="22"/>
        </w:rPr>
        <w:t>T</w:t>
      </w:r>
      <w:r w:rsidR="00693A40" w:rsidRPr="009871A0">
        <w:rPr>
          <w:sz w:val="22"/>
        </w:rPr>
        <w:t xml:space="preserve">he </w:t>
      </w:r>
      <w:r w:rsidR="00693A40" w:rsidRPr="009871A0">
        <w:rPr>
          <w:i/>
          <w:sz w:val="22"/>
        </w:rPr>
        <w:t>Cheshire West</w:t>
      </w:r>
      <w:r w:rsidR="00693A40" w:rsidRPr="009871A0">
        <w:rPr>
          <w:sz w:val="22"/>
        </w:rPr>
        <w:t xml:space="preserve"> test provides a starting point which should be taken as presumptive</w:t>
      </w:r>
      <w:r w:rsidR="00E53878" w:rsidRPr="009871A0">
        <w:rPr>
          <w:sz w:val="22"/>
        </w:rPr>
        <w:t>, not merely indicative, of a deprivat</w:t>
      </w:r>
      <w:r w:rsidR="00232396" w:rsidRPr="009871A0">
        <w:rPr>
          <w:sz w:val="22"/>
        </w:rPr>
        <w:t>ion of liberty</w:t>
      </w:r>
      <w:r w:rsidR="00693A40" w:rsidRPr="009871A0">
        <w:rPr>
          <w:sz w:val="22"/>
        </w:rPr>
        <w:t>. That alone will u</w:t>
      </w:r>
      <w:r w:rsidR="00B83106" w:rsidRPr="009871A0">
        <w:rPr>
          <w:sz w:val="22"/>
        </w:rPr>
        <w:t>sually suffice</w:t>
      </w:r>
      <w:r w:rsidR="00693A40" w:rsidRPr="009871A0">
        <w:rPr>
          <w:sz w:val="22"/>
        </w:rPr>
        <w:t xml:space="preserve"> and the </w:t>
      </w:r>
      <w:r w:rsidR="00DB4959" w:rsidRPr="009871A0">
        <w:rPr>
          <w:sz w:val="22"/>
        </w:rPr>
        <w:t>“</w:t>
      </w:r>
      <w:r w:rsidR="00693A40" w:rsidRPr="009871A0">
        <w:rPr>
          <w:sz w:val="22"/>
        </w:rPr>
        <w:t>duration</w:t>
      </w:r>
      <w:r w:rsidR="00DB4959" w:rsidRPr="009871A0">
        <w:rPr>
          <w:sz w:val="22"/>
        </w:rPr>
        <w:t>”</w:t>
      </w:r>
      <w:r w:rsidR="00E53878" w:rsidRPr="009871A0">
        <w:rPr>
          <w:sz w:val="22"/>
        </w:rPr>
        <w:t xml:space="preserve"> and</w:t>
      </w:r>
      <w:r w:rsidR="00693A40" w:rsidRPr="009871A0">
        <w:rPr>
          <w:sz w:val="22"/>
        </w:rPr>
        <w:t xml:space="preserve"> </w:t>
      </w:r>
      <w:r w:rsidR="00DB4959" w:rsidRPr="009871A0">
        <w:rPr>
          <w:sz w:val="22"/>
        </w:rPr>
        <w:t>“</w:t>
      </w:r>
      <w:r w:rsidR="002B2736" w:rsidRPr="009871A0">
        <w:rPr>
          <w:sz w:val="22"/>
        </w:rPr>
        <w:t>effects</w:t>
      </w:r>
      <w:r w:rsidR="00DB4959" w:rsidRPr="009871A0">
        <w:rPr>
          <w:sz w:val="22"/>
        </w:rPr>
        <w:t>”</w:t>
      </w:r>
      <w:r w:rsidR="002B2736" w:rsidRPr="009871A0">
        <w:rPr>
          <w:sz w:val="22"/>
        </w:rPr>
        <w:t xml:space="preserve"> tests should be seen </w:t>
      </w:r>
      <w:r w:rsidR="00693A40" w:rsidRPr="009871A0">
        <w:rPr>
          <w:sz w:val="22"/>
        </w:rPr>
        <w:t xml:space="preserve">as introducing a de minimis </w:t>
      </w:r>
      <w:r w:rsidR="0025210D" w:rsidRPr="009871A0">
        <w:rPr>
          <w:sz w:val="22"/>
        </w:rPr>
        <w:t>threshold</w:t>
      </w:r>
      <w:r w:rsidR="00693A40" w:rsidRPr="009871A0">
        <w:rPr>
          <w:sz w:val="22"/>
        </w:rPr>
        <w:t xml:space="preserve"> </w:t>
      </w:r>
      <w:r w:rsidR="00E53878" w:rsidRPr="009871A0">
        <w:rPr>
          <w:sz w:val="22"/>
        </w:rPr>
        <w:t>for stops which are mere restrictions of li</w:t>
      </w:r>
      <w:r w:rsidR="001B6324" w:rsidRPr="009871A0">
        <w:rPr>
          <w:sz w:val="22"/>
        </w:rPr>
        <w:t>berty, for example, a routine identity</w:t>
      </w:r>
      <w:r w:rsidR="00E53878" w:rsidRPr="009871A0">
        <w:rPr>
          <w:sz w:val="22"/>
        </w:rPr>
        <w:t xml:space="preserve"> check</w:t>
      </w:r>
      <w:r w:rsidR="002B2736" w:rsidRPr="009871A0">
        <w:rPr>
          <w:sz w:val="22"/>
        </w:rPr>
        <w:t xml:space="preserve"> or bag search</w:t>
      </w:r>
      <w:r w:rsidR="00E53878" w:rsidRPr="009871A0">
        <w:rPr>
          <w:sz w:val="22"/>
        </w:rPr>
        <w:t xml:space="preserve">. </w:t>
      </w:r>
      <w:r w:rsidR="002B2736" w:rsidRPr="009871A0">
        <w:rPr>
          <w:sz w:val="22"/>
        </w:rPr>
        <w:t xml:space="preserve">The </w:t>
      </w:r>
      <w:r w:rsidR="00693A40" w:rsidRPr="009871A0">
        <w:rPr>
          <w:i/>
          <w:sz w:val="22"/>
        </w:rPr>
        <w:t>Cheshire West</w:t>
      </w:r>
      <w:r w:rsidR="00693A40" w:rsidRPr="009871A0">
        <w:rPr>
          <w:sz w:val="22"/>
        </w:rPr>
        <w:t xml:space="preserve"> test </w:t>
      </w:r>
      <w:r w:rsidR="002B2736" w:rsidRPr="009871A0">
        <w:rPr>
          <w:sz w:val="22"/>
        </w:rPr>
        <w:t xml:space="preserve">thus </w:t>
      </w:r>
      <w:r w:rsidR="00E53878" w:rsidRPr="009871A0">
        <w:rPr>
          <w:sz w:val="22"/>
        </w:rPr>
        <w:t>provides a logical starting point</w:t>
      </w:r>
      <w:r w:rsidR="00693A40" w:rsidRPr="009871A0">
        <w:rPr>
          <w:sz w:val="22"/>
        </w:rPr>
        <w:t xml:space="preserve"> – the </w:t>
      </w:r>
      <w:r w:rsidR="00DB4959" w:rsidRPr="009871A0">
        <w:rPr>
          <w:sz w:val="22"/>
        </w:rPr>
        <w:t>“</w:t>
      </w:r>
      <w:r w:rsidR="00693A40" w:rsidRPr="009871A0">
        <w:rPr>
          <w:sz w:val="22"/>
        </w:rPr>
        <w:t>continuous</w:t>
      </w:r>
      <w:r w:rsidR="00DB4959" w:rsidRPr="009871A0">
        <w:rPr>
          <w:sz w:val="22"/>
        </w:rPr>
        <w:t>”</w:t>
      </w:r>
      <w:r w:rsidR="00693A40" w:rsidRPr="009871A0">
        <w:rPr>
          <w:sz w:val="22"/>
        </w:rPr>
        <w:t xml:space="preserve"> part </w:t>
      </w:r>
      <w:r w:rsidR="00E53878" w:rsidRPr="009871A0">
        <w:rPr>
          <w:sz w:val="22"/>
        </w:rPr>
        <w:t xml:space="preserve">of that test </w:t>
      </w:r>
      <w:r w:rsidR="00693A40" w:rsidRPr="009871A0">
        <w:rPr>
          <w:sz w:val="22"/>
        </w:rPr>
        <w:t>connotes that a merely transitory detention will not be a deprivation of liberty</w:t>
      </w:r>
      <w:r w:rsidR="00E53878" w:rsidRPr="009871A0">
        <w:rPr>
          <w:sz w:val="22"/>
        </w:rPr>
        <w:t>, just as Strasbourg jurisprudence confirms</w:t>
      </w:r>
      <w:r w:rsidR="00DC3E2F" w:rsidRPr="009871A0">
        <w:rPr>
          <w:sz w:val="22"/>
        </w:rPr>
        <w:t xml:space="preserve"> that a deprivation of liberty </w:t>
      </w:r>
      <w:r w:rsidR="006D786A" w:rsidRPr="009871A0">
        <w:rPr>
          <w:sz w:val="22"/>
        </w:rPr>
        <w:t>must</w:t>
      </w:r>
      <w:r w:rsidR="00DC3E2F" w:rsidRPr="009871A0">
        <w:rPr>
          <w:sz w:val="22"/>
        </w:rPr>
        <w:t xml:space="preserve"> be for a </w:t>
      </w:r>
      <w:r w:rsidR="00DB4959" w:rsidRPr="009871A0">
        <w:rPr>
          <w:sz w:val="22"/>
        </w:rPr>
        <w:t>“</w:t>
      </w:r>
      <w:r w:rsidR="00DC3E2F" w:rsidRPr="009871A0">
        <w:rPr>
          <w:sz w:val="22"/>
        </w:rPr>
        <w:t>not negligible</w:t>
      </w:r>
      <w:r w:rsidR="00DB4959" w:rsidRPr="009871A0">
        <w:rPr>
          <w:sz w:val="22"/>
        </w:rPr>
        <w:t>”</w:t>
      </w:r>
      <w:r w:rsidR="00DC3E2F" w:rsidRPr="009871A0">
        <w:rPr>
          <w:sz w:val="22"/>
        </w:rPr>
        <w:t xml:space="preserve"> length of time</w:t>
      </w:r>
      <w:r w:rsidR="00693A40" w:rsidRPr="009871A0">
        <w:rPr>
          <w:sz w:val="22"/>
        </w:rPr>
        <w:t>.</w:t>
      </w:r>
      <w:r w:rsidR="00DC3E2F" w:rsidRPr="009871A0">
        <w:rPr>
          <w:rStyle w:val="FootnoteReference"/>
          <w:sz w:val="22"/>
        </w:rPr>
        <w:footnoteReference w:id="151"/>
      </w:r>
      <w:r w:rsidR="00693A40" w:rsidRPr="009871A0">
        <w:rPr>
          <w:sz w:val="22"/>
        </w:rPr>
        <w:t xml:space="preserve"> </w:t>
      </w:r>
      <w:r w:rsidR="00C87154">
        <w:rPr>
          <w:sz w:val="22"/>
        </w:rPr>
        <w:t>For example, the test could be applied in a kettling scenario as follows:</w:t>
      </w:r>
    </w:p>
    <w:p w14:paraId="2B94D5EE" w14:textId="795C305D" w:rsidR="00C87154" w:rsidRDefault="00C87154" w:rsidP="00B72197">
      <w:pPr>
        <w:spacing w:line="480" w:lineRule="auto"/>
        <w:ind w:left="720"/>
        <w:jc w:val="both"/>
        <w:rPr>
          <w:sz w:val="22"/>
        </w:rPr>
      </w:pPr>
      <w:r w:rsidRPr="008160A2">
        <w:rPr>
          <w:i/>
          <w:sz w:val="22"/>
        </w:rPr>
        <w:t>1)</w:t>
      </w:r>
      <w:r>
        <w:rPr>
          <w:sz w:val="22"/>
        </w:rPr>
        <w:t xml:space="preserve"> </w:t>
      </w:r>
      <w:r w:rsidRPr="00B72197">
        <w:rPr>
          <w:i/>
          <w:sz w:val="22"/>
        </w:rPr>
        <w:t>Were the protestors under continuous supervision and control and not free to leave</w:t>
      </w:r>
      <w:r w:rsidR="008160A2">
        <w:rPr>
          <w:i/>
          <w:sz w:val="22"/>
        </w:rPr>
        <w:t xml:space="preserve"> the cordon</w:t>
      </w:r>
      <w:r w:rsidRPr="00B72197">
        <w:rPr>
          <w:i/>
          <w:sz w:val="22"/>
        </w:rPr>
        <w:t>?</w:t>
      </w:r>
      <w:r>
        <w:rPr>
          <w:sz w:val="22"/>
        </w:rPr>
        <w:t xml:space="preserve"> One might imagine that the answer will be “yes”, but it is possible that, for example, a protestor was indeed free to leave and chose not to.</w:t>
      </w:r>
      <w:r w:rsidR="008160A2">
        <w:rPr>
          <w:sz w:val="22"/>
        </w:rPr>
        <w:t xml:space="preserve"> The key test is whether, if a person asked to leave, she would be allowed to do so.</w:t>
      </w:r>
    </w:p>
    <w:p w14:paraId="607FBFE7" w14:textId="77777777" w:rsidR="00B72197" w:rsidRDefault="00B72197" w:rsidP="00B72197">
      <w:pPr>
        <w:spacing w:line="480" w:lineRule="auto"/>
        <w:ind w:left="720"/>
        <w:jc w:val="both"/>
        <w:rPr>
          <w:sz w:val="22"/>
        </w:rPr>
      </w:pPr>
    </w:p>
    <w:p w14:paraId="34FF03D5" w14:textId="51024181" w:rsidR="00C87154" w:rsidRDefault="00C87154" w:rsidP="00B72197">
      <w:pPr>
        <w:spacing w:line="480" w:lineRule="auto"/>
        <w:ind w:left="720"/>
        <w:jc w:val="both"/>
        <w:rPr>
          <w:sz w:val="22"/>
        </w:rPr>
      </w:pPr>
      <w:r w:rsidRPr="008160A2">
        <w:rPr>
          <w:i/>
          <w:sz w:val="22"/>
        </w:rPr>
        <w:t>2)</w:t>
      </w:r>
      <w:r>
        <w:rPr>
          <w:sz w:val="22"/>
        </w:rPr>
        <w:t xml:space="preserve"> </w:t>
      </w:r>
      <w:r w:rsidRPr="00B72197">
        <w:rPr>
          <w:i/>
          <w:sz w:val="22"/>
        </w:rPr>
        <w:t>Was the kettling arbitrary?</w:t>
      </w:r>
      <w:r>
        <w:rPr>
          <w:sz w:val="22"/>
        </w:rPr>
        <w:t xml:space="preserve"> Again, we can imagine that in most scenarios, the answer will be “no”; that the police acted in good faith to stop a violent outbreak. </w:t>
      </w:r>
      <w:r w:rsidR="00826809">
        <w:rPr>
          <w:sz w:val="22"/>
        </w:rPr>
        <w:t xml:space="preserve">As noted above, lack of arbitrariness does not render the measure lawful. </w:t>
      </w:r>
      <w:r>
        <w:rPr>
          <w:sz w:val="22"/>
        </w:rPr>
        <w:t>It would be possible, however, that the measure went on for longer than was necessary, for example, or was not even necessary in the first place.</w:t>
      </w:r>
      <w:r w:rsidR="00E37DC6">
        <w:rPr>
          <w:sz w:val="22"/>
        </w:rPr>
        <w:t xml:space="preserve"> Indeed </w:t>
      </w:r>
      <w:r w:rsidR="00E37DC6" w:rsidRPr="008160A2">
        <w:rPr>
          <w:i/>
          <w:sz w:val="22"/>
        </w:rPr>
        <w:t>Austin ECtHR</w:t>
      </w:r>
      <w:r w:rsidR="00E37DC6">
        <w:rPr>
          <w:sz w:val="22"/>
        </w:rPr>
        <w:t xml:space="preserve"> is clear that had the cordon remained in place for longer than </w:t>
      </w:r>
      <w:r w:rsidR="00E37DC6">
        <w:rPr>
          <w:sz w:val="22"/>
        </w:rPr>
        <w:lastRenderedPageBreak/>
        <w:t xml:space="preserve">was necessary, the case “might” have been brought within </w:t>
      </w:r>
      <w:r w:rsidR="00787126">
        <w:rPr>
          <w:sz w:val="22"/>
        </w:rPr>
        <w:t>a</w:t>
      </w:r>
      <w:r w:rsidR="00E37DC6">
        <w:rPr>
          <w:sz w:val="22"/>
        </w:rPr>
        <w:t>rticle 5.</w:t>
      </w:r>
      <w:r w:rsidR="00E37DC6">
        <w:rPr>
          <w:rStyle w:val="FootnoteReference"/>
          <w:sz w:val="22"/>
        </w:rPr>
        <w:footnoteReference w:id="152"/>
      </w:r>
      <w:r w:rsidR="00E37DC6">
        <w:rPr>
          <w:sz w:val="22"/>
        </w:rPr>
        <w:t xml:space="preserve"> The Court considers that this would have changed the “type of the measure”. Surely the more logical placement of such a consideration is the “manner” of the implementation, the </w:t>
      </w:r>
      <w:r w:rsidR="00244D57">
        <w:rPr>
          <w:sz w:val="22"/>
        </w:rPr>
        <w:t>“</w:t>
      </w:r>
      <w:r w:rsidR="00E37DC6">
        <w:rPr>
          <w:sz w:val="22"/>
        </w:rPr>
        <w:t>type</w:t>
      </w:r>
      <w:r w:rsidR="00244D57">
        <w:rPr>
          <w:sz w:val="22"/>
        </w:rPr>
        <w:t>”</w:t>
      </w:r>
      <w:r w:rsidR="00E37DC6">
        <w:rPr>
          <w:sz w:val="22"/>
        </w:rPr>
        <w:t xml:space="preserve"> of measure remaining constant. Such separation is not unduly formalistic, but rather lends structure to aim for </w:t>
      </w:r>
      <w:r w:rsidR="00C15FC8">
        <w:rPr>
          <w:sz w:val="22"/>
        </w:rPr>
        <w:t xml:space="preserve">clearer and </w:t>
      </w:r>
      <w:r w:rsidR="00E37DC6">
        <w:rPr>
          <w:sz w:val="22"/>
        </w:rPr>
        <w:t>more consistent jurisprudence.</w:t>
      </w:r>
    </w:p>
    <w:p w14:paraId="5B93A9EE" w14:textId="77777777" w:rsidR="001661F7" w:rsidRDefault="001661F7" w:rsidP="00B72197">
      <w:pPr>
        <w:spacing w:line="480" w:lineRule="auto"/>
        <w:ind w:left="720"/>
        <w:jc w:val="both"/>
        <w:rPr>
          <w:sz w:val="22"/>
        </w:rPr>
      </w:pPr>
    </w:p>
    <w:p w14:paraId="6588BBA8" w14:textId="4263F71A" w:rsidR="00C87154" w:rsidRDefault="00C87154" w:rsidP="00B72197">
      <w:pPr>
        <w:spacing w:line="480" w:lineRule="auto"/>
        <w:ind w:left="720"/>
        <w:jc w:val="both"/>
        <w:rPr>
          <w:sz w:val="22"/>
        </w:rPr>
      </w:pPr>
      <w:r w:rsidRPr="008160A2">
        <w:rPr>
          <w:i/>
          <w:sz w:val="22"/>
        </w:rPr>
        <w:t>3)</w:t>
      </w:r>
      <w:r>
        <w:rPr>
          <w:sz w:val="22"/>
        </w:rPr>
        <w:t xml:space="preserve"> </w:t>
      </w:r>
      <w:r w:rsidRPr="001661F7">
        <w:rPr>
          <w:i/>
          <w:sz w:val="22"/>
        </w:rPr>
        <w:t>What was the duration of the kettling?</w:t>
      </w:r>
      <w:r>
        <w:rPr>
          <w:sz w:val="22"/>
        </w:rPr>
        <w:t xml:space="preserve"> There will be no fixed time below which kettling would not constitute a deprivation, except that a very transitory period of time will not constitute “continuous” supervision and control. The longer the cordon continues, the easier it will be to constitute a deprivation</w:t>
      </w:r>
      <w:r w:rsidR="00F138D9">
        <w:rPr>
          <w:sz w:val="22"/>
        </w:rPr>
        <w:t>, especially if the effects are great.</w:t>
      </w:r>
    </w:p>
    <w:p w14:paraId="3971EF3A" w14:textId="77777777" w:rsidR="001661F7" w:rsidRDefault="001661F7" w:rsidP="00B72197">
      <w:pPr>
        <w:spacing w:line="480" w:lineRule="auto"/>
        <w:ind w:left="720"/>
        <w:jc w:val="both"/>
        <w:rPr>
          <w:sz w:val="22"/>
        </w:rPr>
      </w:pPr>
    </w:p>
    <w:p w14:paraId="322C6F35" w14:textId="6986DAFF" w:rsidR="00C87154" w:rsidRDefault="00C87154" w:rsidP="00B72197">
      <w:pPr>
        <w:spacing w:line="480" w:lineRule="auto"/>
        <w:ind w:left="720"/>
        <w:jc w:val="both"/>
        <w:rPr>
          <w:sz w:val="22"/>
        </w:rPr>
      </w:pPr>
      <w:r w:rsidRPr="008160A2">
        <w:rPr>
          <w:i/>
          <w:sz w:val="22"/>
        </w:rPr>
        <w:t>4)</w:t>
      </w:r>
      <w:r>
        <w:rPr>
          <w:sz w:val="22"/>
        </w:rPr>
        <w:t xml:space="preserve"> </w:t>
      </w:r>
      <w:r w:rsidRPr="001661F7">
        <w:rPr>
          <w:i/>
          <w:sz w:val="22"/>
        </w:rPr>
        <w:t>What was the effect of the kettling?</w:t>
      </w:r>
      <w:r>
        <w:rPr>
          <w:sz w:val="22"/>
        </w:rPr>
        <w:t xml:space="preserve"> One could imagine, for example, that a scenario like </w:t>
      </w:r>
      <w:r w:rsidRPr="00C15FC8">
        <w:rPr>
          <w:i/>
          <w:sz w:val="22"/>
        </w:rPr>
        <w:t>Austin</w:t>
      </w:r>
      <w:r>
        <w:rPr>
          <w:sz w:val="22"/>
        </w:rPr>
        <w:t xml:space="preserve"> </w:t>
      </w:r>
      <w:r w:rsidR="0015365C">
        <w:rPr>
          <w:sz w:val="22"/>
        </w:rPr>
        <w:t>might have</w:t>
      </w:r>
      <w:r>
        <w:rPr>
          <w:sz w:val="22"/>
        </w:rPr>
        <w:t xml:space="preserve"> greater “effect” on a person than if </w:t>
      </w:r>
      <w:r w:rsidR="00C15FC8">
        <w:rPr>
          <w:sz w:val="22"/>
        </w:rPr>
        <w:t>containment</w:t>
      </w:r>
      <w:r>
        <w:rPr>
          <w:sz w:val="22"/>
        </w:rPr>
        <w:t xml:space="preserve"> took place, for example, in a shopping centre</w:t>
      </w:r>
      <w:r w:rsidR="00C15FC8">
        <w:rPr>
          <w:sz w:val="22"/>
        </w:rPr>
        <w:t xml:space="preserve"> where the participants were at least not exposed to the elements</w:t>
      </w:r>
      <w:r>
        <w:rPr>
          <w:sz w:val="22"/>
        </w:rPr>
        <w:t>.</w:t>
      </w:r>
      <w:r w:rsidR="008160A2">
        <w:rPr>
          <w:sz w:val="22"/>
        </w:rPr>
        <w:t xml:space="preserve"> </w:t>
      </w:r>
      <w:r w:rsidR="008D19FC">
        <w:rPr>
          <w:sz w:val="22"/>
        </w:rPr>
        <w:t xml:space="preserve">This part of the test cannot, however, be decided in isolation from the duration. </w:t>
      </w:r>
      <w:r w:rsidR="008160A2">
        <w:rPr>
          <w:sz w:val="22"/>
        </w:rPr>
        <w:t xml:space="preserve">We know from cases such as </w:t>
      </w:r>
      <w:r w:rsidR="008160A2" w:rsidRPr="008160A2">
        <w:rPr>
          <w:i/>
          <w:sz w:val="22"/>
        </w:rPr>
        <w:t>Guzzardi</w:t>
      </w:r>
      <w:r w:rsidR="008160A2">
        <w:rPr>
          <w:sz w:val="22"/>
        </w:rPr>
        <w:t xml:space="preserve"> that deprivations of liberty can take place in comfortable conditions</w:t>
      </w:r>
      <w:r w:rsidR="008D19FC">
        <w:rPr>
          <w:sz w:val="22"/>
        </w:rPr>
        <w:t>. Although</w:t>
      </w:r>
      <w:r w:rsidR="008160A2">
        <w:rPr>
          <w:sz w:val="22"/>
        </w:rPr>
        <w:t xml:space="preserve"> that case was about an ongoing, rather than one-off, containment</w:t>
      </w:r>
      <w:r w:rsidR="008D19FC">
        <w:rPr>
          <w:sz w:val="22"/>
        </w:rPr>
        <w:t xml:space="preserve">, even a one-off containment </w:t>
      </w:r>
      <w:r w:rsidR="00F138D9">
        <w:rPr>
          <w:sz w:val="22"/>
        </w:rPr>
        <w:t xml:space="preserve">may </w:t>
      </w:r>
      <w:r w:rsidR="008D19FC">
        <w:rPr>
          <w:sz w:val="22"/>
        </w:rPr>
        <w:t xml:space="preserve">have sufficient “effect” if it </w:t>
      </w:r>
      <w:r w:rsidR="00B17C63">
        <w:rPr>
          <w:sz w:val="22"/>
        </w:rPr>
        <w:t>is more than the average person should be expected to endure.</w:t>
      </w:r>
    </w:p>
    <w:p w14:paraId="5EB1AE9C" w14:textId="77777777" w:rsidR="00C87154" w:rsidRDefault="00C87154" w:rsidP="00F529F5">
      <w:pPr>
        <w:spacing w:line="480" w:lineRule="auto"/>
        <w:jc w:val="both"/>
        <w:rPr>
          <w:sz w:val="22"/>
        </w:rPr>
      </w:pPr>
    </w:p>
    <w:p w14:paraId="34AE774B" w14:textId="27205399" w:rsidR="00C87154" w:rsidRDefault="001661F7" w:rsidP="0015365C">
      <w:pPr>
        <w:spacing w:line="480" w:lineRule="auto"/>
        <w:ind w:firstLine="720"/>
        <w:jc w:val="both"/>
        <w:rPr>
          <w:sz w:val="22"/>
        </w:rPr>
      </w:pPr>
      <w:r>
        <w:rPr>
          <w:sz w:val="22"/>
        </w:rPr>
        <w:t xml:space="preserve">The Joint Committee on Human Rights (JCHR) has recently recommended that Parliament should provide a statutory definition of </w:t>
      </w:r>
      <w:r w:rsidR="008160A2">
        <w:rPr>
          <w:sz w:val="22"/>
        </w:rPr>
        <w:t>“</w:t>
      </w:r>
      <w:r>
        <w:rPr>
          <w:sz w:val="22"/>
        </w:rPr>
        <w:t>deprivation of liberty</w:t>
      </w:r>
      <w:r w:rsidR="008160A2">
        <w:rPr>
          <w:sz w:val="22"/>
        </w:rPr>
        <w:t>”</w:t>
      </w:r>
      <w:r>
        <w:rPr>
          <w:sz w:val="22"/>
        </w:rPr>
        <w:t xml:space="preserve"> in the case of those who lack mental capacity.</w:t>
      </w:r>
      <w:r>
        <w:rPr>
          <w:rStyle w:val="FootnoteReference"/>
          <w:sz w:val="22"/>
        </w:rPr>
        <w:footnoteReference w:id="153"/>
      </w:r>
      <w:r>
        <w:rPr>
          <w:sz w:val="22"/>
        </w:rPr>
        <w:t xml:space="preserve"> </w:t>
      </w:r>
      <w:r w:rsidR="002E432F">
        <w:rPr>
          <w:sz w:val="22"/>
        </w:rPr>
        <w:t xml:space="preserve">Such definition is thought to be required because of </w:t>
      </w:r>
      <w:r w:rsidR="00C15FC8">
        <w:rPr>
          <w:sz w:val="22"/>
        </w:rPr>
        <w:t xml:space="preserve">concerns that </w:t>
      </w:r>
      <w:r w:rsidR="002E432F">
        <w:rPr>
          <w:sz w:val="22"/>
        </w:rPr>
        <w:t xml:space="preserve">the </w:t>
      </w:r>
      <w:r w:rsidR="002E432F" w:rsidRPr="00317324">
        <w:rPr>
          <w:i/>
          <w:sz w:val="22"/>
        </w:rPr>
        <w:t>Cheshire West</w:t>
      </w:r>
      <w:r w:rsidR="002E432F">
        <w:rPr>
          <w:sz w:val="22"/>
        </w:rPr>
        <w:t xml:space="preserve"> test </w:t>
      </w:r>
      <w:r w:rsidR="00C15FC8">
        <w:rPr>
          <w:sz w:val="22"/>
        </w:rPr>
        <w:t>is</w:t>
      </w:r>
      <w:r w:rsidR="008160A2">
        <w:rPr>
          <w:sz w:val="22"/>
        </w:rPr>
        <w:t xml:space="preserve"> </w:t>
      </w:r>
      <w:r w:rsidR="002E432F">
        <w:rPr>
          <w:sz w:val="22"/>
        </w:rPr>
        <w:t>over-</w:t>
      </w:r>
      <w:r w:rsidR="00075D46">
        <w:rPr>
          <w:sz w:val="22"/>
        </w:rPr>
        <w:t>inclusive</w:t>
      </w:r>
      <w:r w:rsidR="00C15FC8">
        <w:rPr>
          <w:sz w:val="22"/>
        </w:rPr>
        <w:t>, echoing the sentiments of the dissentients in that case</w:t>
      </w:r>
      <w:r w:rsidR="002E432F">
        <w:rPr>
          <w:sz w:val="22"/>
        </w:rPr>
        <w:t xml:space="preserve">. The task of legislative drafting </w:t>
      </w:r>
      <w:r w:rsidR="002E432F">
        <w:rPr>
          <w:sz w:val="22"/>
        </w:rPr>
        <w:lastRenderedPageBreak/>
        <w:t xml:space="preserve">would not be simple, and the JCHR does not provide much </w:t>
      </w:r>
      <w:r w:rsidR="00C15FC8">
        <w:rPr>
          <w:sz w:val="22"/>
        </w:rPr>
        <w:t>of a steer</w:t>
      </w:r>
      <w:r w:rsidR="002E432F">
        <w:rPr>
          <w:sz w:val="22"/>
        </w:rPr>
        <w:t>. A</w:t>
      </w:r>
      <w:r w:rsidR="003270BB">
        <w:rPr>
          <w:sz w:val="22"/>
        </w:rPr>
        <w:t>pplication of</w:t>
      </w:r>
      <w:r w:rsidR="00C87154">
        <w:rPr>
          <w:sz w:val="22"/>
        </w:rPr>
        <w:t xml:space="preserve"> the </w:t>
      </w:r>
      <w:r>
        <w:rPr>
          <w:sz w:val="22"/>
        </w:rPr>
        <w:t xml:space="preserve">revised four-part </w:t>
      </w:r>
      <w:r w:rsidR="00C87154">
        <w:rPr>
          <w:sz w:val="22"/>
        </w:rPr>
        <w:t xml:space="preserve">test </w:t>
      </w:r>
      <w:r w:rsidR="003270BB">
        <w:rPr>
          <w:sz w:val="22"/>
        </w:rPr>
        <w:t>could provide some nuance without the need for parliamentary intervention</w:t>
      </w:r>
      <w:r w:rsidR="00C87154">
        <w:rPr>
          <w:sz w:val="22"/>
        </w:rPr>
        <w:t>:</w:t>
      </w:r>
    </w:p>
    <w:p w14:paraId="37FB3764" w14:textId="23E181BD" w:rsidR="005C4B9F" w:rsidRDefault="00C87154" w:rsidP="001661F7">
      <w:pPr>
        <w:spacing w:line="480" w:lineRule="auto"/>
        <w:ind w:left="720"/>
        <w:jc w:val="both"/>
        <w:rPr>
          <w:sz w:val="22"/>
        </w:rPr>
      </w:pPr>
      <w:r w:rsidRPr="001661F7">
        <w:rPr>
          <w:i/>
          <w:sz w:val="22"/>
        </w:rPr>
        <w:t>1) Is the individual under continuous supervision and control and not free to leave?</w:t>
      </w:r>
      <w:r>
        <w:rPr>
          <w:sz w:val="22"/>
        </w:rPr>
        <w:t xml:space="preserve"> </w:t>
      </w:r>
      <w:r w:rsidR="00661D11">
        <w:rPr>
          <w:sz w:val="22"/>
        </w:rPr>
        <w:t xml:space="preserve">The answer will be “yes” even where excursions from the home occur if they </w:t>
      </w:r>
      <w:r w:rsidR="0015365C">
        <w:rPr>
          <w:sz w:val="22"/>
        </w:rPr>
        <w:t>are subject to controls such as asking permission and/or being accompanied</w:t>
      </w:r>
      <w:r>
        <w:rPr>
          <w:sz w:val="22"/>
        </w:rPr>
        <w:t>. But if the individual is</w:t>
      </w:r>
      <w:r w:rsidR="00A30CDA">
        <w:rPr>
          <w:sz w:val="22"/>
        </w:rPr>
        <w:t xml:space="preserve"> free to leave </w:t>
      </w:r>
      <w:r w:rsidR="00661D11">
        <w:rPr>
          <w:sz w:val="22"/>
        </w:rPr>
        <w:t xml:space="preserve">at any time, </w:t>
      </w:r>
      <w:r w:rsidR="00A30CDA">
        <w:rPr>
          <w:sz w:val="22"/>
        </w:rPr>
        <w:t>of her own free will</w:t>
      </w:r>
      <w:r w:rsidR="00D74933">
        <w:rPr>
          <w:sz w:val="22"/>
        </w:rPr>
        <w:t xml:space="preserve"> and</w:t>
      </w:r>
      <w:r w:rsidR="00661D11">
        <w:rPr>
          <w:sz w:val="22"/>
        </w:rPr>
        <w:t xml:space="preserve"> </w:t>
      </w:r>
      <w:r w:rsidR="00A30CDA">
        <w:rPr>
          <w:sz w:val="22"/>
        </w:rPr>
        <w:t>without supervision</w:t>
      </w:r>
      <w:r w:rsidR="0015365C">
        <w:rPr>
          <w:sz w:val="22"/>
        </w:rPr>
        <w:t xml:space="preserve"> or other restrictions</w:t>
      </w:r>
      <w:r>
        <w:rPr>
          <w:sz w:val="22"/>
        </w:rPr>
        <w:t xml:space="preserve">, </w:t>
      </w:r>
      <w:r w:rsidR="005C4B9F">
        <w:rPr>
          <w:sz w:val="22"/>
        </w:rPr>
        <w:t>she is not deprived of her liberty.</w:t>
      </w:r>
      <w:r w:rsidR="00383994">
        <w:rPr>
          <w:sz w:val="22"/>
        </w:rPr>
        <w:t xml:space="preserve"> Furthermore, there is the possibility of finding that someone is not d</w:t>
      </w:r>
      <w:r w:rsidR="00584C1C">
        <w:rPr>
          <w:sz w:val="22"/>
        </w:rPr>
        <w:t>eprived of their liberty on the basis that their lack of freedom to leave is because of their condition, not because of their continuous supervision and control.</w:t>
      </w:r>
      <w:r w:rsidR="00584C1C">
        <w:rPr>
          <w:rStyle w:val="FootnoteReference"/>
          <w:sz w:val="22"/>
        </w:rPr>
        <w:footnoteReference w:id="154"/>
      </w:r>
      <w:r w:rsidR="00584C1C">
        <w:rPr>
          <w:sz w:val="22"/>
        </w:rPr>
        <w:t xml:space="preserve"> The dangers of limiting </w:t>
      </w:r>
      <w:r w:rsidR="00787126">
        <w:rPr>
          <w:sz w:val="22"/>
        </w:rPr>
        <w:t>a</w:t>
      </w:r>
      <w:r w:rsidR="00584C1C">
        <w:rPr>
          <w:sz w:val="22"/>
        </w:rPr>
        <w:t>rticle 5’s protections are, however, discussed below.</w:t>
      </w:r>
    </w:p>
    <w:p w14:paraId="4B9A36CD" w14:textId="77777777" w:rsidR="001661F7" w:rsidRDefault="001661F7" w:rsidP="001661F7">
      <w:pPr>
        <w:spacing w:line="480" w:lineRule="auto"/>
        <w:ind w:left="720"/>
        <w:jc w:val="both"/>
        <w:rPr>
          <w:sz w:val="22"/>
        </w:rPr>
      </w:pPr>
    </w:p>
    <w:p w14:paraId="1CCD8981" w14:textId="5DEA7E3B" w:rsidR="00C87154" w:rsidRDefault="005C4B9F" w:rsidP="001661F7">
      <w:pPr>
        <w:spacing w:line="480" w:lineRule="auto"/>
        <w:ind w:left="720"/>
        <w:jc w:val="both"/>
        <w:rPr>
          <w:sz w:val="22"/>
        </w:rPr>
      </w:pPr>
      <w:r w:rsidRPr="001661F7">
        <w:rPr>
          <w:i/>
          <w:sz w:val="22"/>
        </w:rPr>
        <w:t>2)</w:t>
      </w:r>
      <w:r w:rsidR="00C87154" w:rsidRPr="001661F7">
        <w:rPr>
          <w:i/>
          <w:sz w:val="22"/>
        </w:rPr>
        <w:t xml:space="preserve"> </w:t>
      </w:r>
      <w:r w:rsidRPr="001661F7">
        <w:rPr>
          <w:i/>
          <w:sz w:val="22"/>
        </w:rPr>
        <w:t xml:space="preserve">Is the measure arbitrary? </w:t>
      </w:r>
      <w:r>
        <w:rPr>
          <w:sz w:val="22"/>
        </w:rPr>
        <w:t>Here we can consider, for example, if the individual’s condition is such that the measure may become unnecessary, but also whether she is subjected to the minimum supervision required – anything more will be arbitrary.</w:t>
      </w:r>
      <w:r w:rsidR="00661D11">
        <w:rPr>
          <w:sz w:val="22"/>
        </w:rPr>
        <w:t xml:space="preserve"> Once again, however, absence of arbitrariness does not make a measure lawful.</w:t>
      </w:r>
    </w:p>
    <w:p w14:paraId="524F561A" w14:textId="77777777" w:rsidR="001661F7" w:rsidRDefault="001661F7" w:rsidP="001661F7">
      <w:pPr>
        <w:spacing w:line="480" w:lineRule="auto"/>
        <w:ind w:left="720"/>
        <w:jc w:val="both"/>
        <w:rPr>
          <w:sz w:val="22"/>
        </w:rPr>
      </w:pPr>
    </w:p>
    <w:p w14:paraId="1B1EAFC0" w14:textId="1D3AE3D0" w:rsidR="005C4B9F" w:rsidRDefault="005C4B9F" w:rsidP="001661F7">
      <w:pPr>
        <w:spacing w:line="480" w:lineRule="auto"/>
        <w:ind w:left="720"/>
        <w:jc w:val="both"/>
        <w:rPr>
          <w:sz w:val="22"/>
        </w:rPr>
      </w:pPr>
      <w:r w:rsidRPr="001661F7">
        <w:rPr>
          <w:i/>
          <w:sz w:val="22"/>
        </w:rPr>
        <w:t>3) What is the duration of the measure?</w:t>
      </w:r>
      <w:r>
        <w:rPr>
          <w:sz w:val="22"/>
        </w:rPr>
        <w:t xml:space="preserve"> In most cases, th</w:t>
      </w:r>
      <w:r w:rsidR="00661D11">
        <w:rPr>
          <w:sz w:val="22"/>
        </w:rPr>
        <w:t>e duration</w:t>
      </w:r>
      <w:r>
        <w:rPr>
          <w:sz w:val="22"/>
        </w:rPr>
        <w:t xml:space="preserve"> will be long-term and in many cases for life. But this alone does not constitute a deprivation of liberty</w:t>
      </w:r>
      <w:r w:rsidR="00661D11">
        <w:rPr>
          <w:sz w:val="22"/>
        </w:rPr>
        <w:t xml:space="preserve"> if she is not under continuous supervision and control and </w:t>
      </w:r>
      <w:r w:rsidR="0015365C">
        <w:rPr>
          <w:sz w:val="22"/>
        </w:rPr>
        <w:t xml:space="preserve">if </w:t>
      </w:r>
      <w:r w:rsidR="00661D11">
        <w:rPr>
          <w:sz w:val="22"/>
        </w:rPr>
        <w:t>she is free to leave</w:t>
      </w:r>
      <w:r>
        <w:rPr>
          <w:sz w:val="22"/>
        </w:rPr>
        <w:t>.</w:t>
      </w:r>
    </w:p>
    <w:p w14:paraId="1E340111" w14:textId="77777777" w:rsidR="001661F7" w:rsidRDefault="001661F7" w:rsidP="001661F7">
      <w:pPr>
        <w:spacing w:line="480" w:lineRule="auto"/>
        <w:ind w:left="720"/>
        <w:jc w:val="both"/>
        <w:rPr>
          <w:sz w:val="22"/>
        </w:rPr>
      </w:pPr>
    </w:p>
    <w:p w14:paraId="78AE258B" w14:textId="3E40E055" w:rsidR="005C4B9F" w:rsidRDefault="005C4B9F" w:rsidP="00D421AE">
      <w:pPr>
        <w:spacing w:line="480" w:lineRule="auto"/>
        <w:ind w:left="720"/>
        <w:jc w:val="both"/>
        <w:rPr>
          <w:sz w:val="22"/>
        </w:rPr>
      </w:pPr>
      <w:r w:rsidRPr="001661F7">
        <w:rPr>
          <w:i/>
          <w:sz w:val="22"/>
        </w:rPr>
        <w:t xml:space="preserve">4) What is the effect on the individual? </w:t>
      </w:r>
      <w:r>
        <w:rPr>
          <w:sz w:val="22"/>
        </w:rPr>
        <w:t>The effect on the individual may well be minimal. She may be very happy in her living conditions</w:t>
      </w:r>
      <w:r w:rsidR="00661D11">
        <w:rPr>
          <w:sz w:val="22"/>
        </w:rPr>
        <w:t xml:space="preserve"> and may have a large amount of freedom</w:t>
      </w:r>
      <w:r>
        <w:rPr>
          <w:sz w:val="22"/>
        </w:rPr>
        <w:t xml:space="preserve">. A deprivation of liberty can still be established with minimal effect if the other conditions are satisfied. </w:t>
      </w:r>
      <w:r w:rsidR="000178FD">
        <w:rPr>
          <w:sz w:val="22"/>
        </w:rPr>
        <w:t xml:space="preserve">Many of the objections in the JCHR’s report from parents or caregivers of affected </w:t>
      </w:r>
      <w:r w:rsidR="000178FD">
        <w:rPr>
          <w:sz w:val="22"/>
        </w:rPr>
        <w:lastRenderedPageBreak/>
        <w:t>individuals objected to the language of “deprivation” or “control”</w:t>
      </w:r>
      <w:r w:rsidR="008E6934">
        <w:rPr>
          <w:sz w:val="22"/>
        </w:rPr>
        <w:t xml:space="preserve"> or “gilded cages”</w:t>
      </w:r>
      <w:r w:rsidR="000178FD">
        <w:rPr>
          <w:sz w:val="22"/>
        </w:rPr>
        <w:t xml:space="preserve">, suggesting that such terms are inappropriate when individuals </w:t>
      </w:r>
      <w:r w:rsidR="0015365C">
        <w:rPr>
          <w:sz w:val="22"/>
        </w:rPr>
        <w:t>a</w:t>
      </w:r>
      <w:r w:rsidR="000178FD">
        <w:rPr>
          <w:sz w:val="22"/>
        </w:rPr>
        <w:t>re not physically restrained</w:t>
      </w:r>
      <w:r w:rsidR="00584C1C">
        <w:rPr>
          <w:sz w:val="22"/>
        </w:rPr>
        <w:t>, placed in locked rooms</w:t>
      </w:r>
      <w:r w:rsidR="000178FD">
        <w:rPr>
          <w:sz w:val="22"/>
        </w:rPr>
        <w:t xml:space="preserve"> or medicated.</w:t>
      </w:r>
      <w:r w:rsidR="000178FD">
        <w:rPr>
          <w:rStyle w:val="FootnoteReference"/>
          <w:sz w:val="22"/>
        </w:rPr>
        <w:footnoteReference w:id="155"/>
      </w:r>
      <w:r w:rsidR="00EC7B67">
        <w:rPr>
          <w:sz w:val="22"/>
        </w:rPr>
        <w:t xml:space="preserve"> Indeed one parent </w:t>
      </w:r>
      <w:r w:rsidR="005421CE">
        <w:rPr>
          <w:vanish/>
          <w:sz w:val="22"/>
        </w:rPr>
        <w:t>of arential treatment.</w:t>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t>part of the test must be applied objectively to avoid creating differential treatment.</w:t>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vanish/>
          <w:sz w:val="22"/>
        </w:rPr>
        <w:pgNum/>
      </w:r>
      <w:r w:rsidR="005421CE">
        <w:rPr>
          <w:sz w:val="22"/>
        </w:rPr>
        <w:t>of</w:t>
      </w:r>
      <w:r w:rsidR="00763B62">
        <w:rPr>
          <w:sz w:val="22"/>
        </w:rPr>
        <w:t xml:space="preserve"> a disabled person </w:t>
      </w:r>
      <w:r w:rsidR="00EC7B67">
        <w:rPr>
          <w:sz w:val="22"/>
        </w:rPr>
        <w:t>noted the “irony” that the supervision constituting a deprivation of liberty in fact gave her daughter more freedom</w:t>
      </w:r>
      <w:r w:rsidR="00866533">
        <w:rPr>
          <w:sz w:val="22"/>
        </w:rPr>
        <w:t xml:space="preserve"> </w:t>
      </w:r>
      <w:r w:rsidR="00EC7B67">
        <w:rPr>
          <w:sz w:val="22"/>
        </w:rPr>
        <w:t>to live a full life.</w:t>
      </w:r>
      <w:r w:rsidR="00EC7B67">
        <w:rPr>
          <w:rStyle w:val="FootnoteReference"/>
          <w:sz w:val="22"/>
        </w:rPr>
        <w:footnoteReference w:id="156"/>
      </w:r>
      <w:r w:rsidR="00EC7B67">
        <w:rPr>
          <w:sz w:val="22"/>
        </w:rPr>
        <w:t xml:space="preserve"> </w:t>
      </w:r>
      <w:r w:rsidR="00866533">
        <w:rPr>
          <w:sz w:val="22"/>
        </w:rPr>
        <w:t>Such sentiments evoke sympathy</w:t>
      </w:r>
      <w:r w:rsidR="00317324">
        <w:rPr>
          <w:sz w:val="22"/>
        </w:rPr>
        <w:t>.</w:t>
      </w:r>
      <w:r w:rsidR="005A5BA4">
        <w:rPr>
          <w:rStyle w:val="FootnoteReference"/>
          <w:sz w:val="22"/>
        </w:rPr>
        <w:footnoteReference w:id="157"/>
      </w:r>
      <w:r w:rsidR="00317324">
        <w:rPr>
          <w:sz w:val="22"/>
        </w:rPr>
        <w:t xml:space="preserve"> It may be that </w:t>
      </w:r>
      <w:r w:rsidR="00787126">
        <w:rPr>
          <w:sz w:val="22"/>
        </w:rPr>
        <w:t>a</w:t>
      </w:r>
      <w:r w:rsidR="00317324">
        <w:rPr>
          <w:sz w:val="22"/>
        </w:rPr>
        <w:t>rticle 5’s protections can be viewed as paternalistic in not considering disabled peoples’ visible contentment, short of consent.</w:t>
      </w:r>
      <w:r w:rsidR="00866533">
        <w:rPr>
          <w:sz w:val="22"/>
        </w:rPr>
        <w:t xml:space="preserve"> </w:t>
      </w:r>
      <w:r w:rsidR="00D56AAA">
        <w:rPr>
          <w:sz w:val="22"/>
        </w:rPr>
        <w:t>B</w:t>
      </w:r>
      <w:r w:rsidR="00866533">
        <w:rPr>
          <w:sz w:val="22"/>
        </w:rPr>
        <w:t xml:space="preserve">ut the autonomous definition, and wide scope, of </w:t>
      </w:r>
      <w:r w:rsidR="00787126">
        <w:rPr>
          <w:sz w:val="22"/>
        </w:rPr>
        <w:t>a</w:t>
      </w:r>
      <w:r w:rsidR="00866533">
        <w:rPr>
          <w:sz w:val="22"/>
        </w:rPr>
        <w:t>rticle 5’s protections do not require such features</w:t>
      </w:r>
      <w:r w:rsidR="00A30CDA">
        <w:rPr>
          <w:sz w:val="22"/>
        </w:rPr>
        <w:t xml:space="preserve"> such as restraint, locked doors or medication</w:t>
      </w:r>
      <w:r w:rsidR="00866533">
        <w:rPr>
          <w:sz w:val="22"/>
        </w:rPr>
        <w:t xml:space="preserve"> to be present.</w:t>
      </w:r>
      <w:r w:rsidR="00584C1C">
        <w:rPr>
          <w:sz w:val="22"/>
        </w:rPr>
        <w:t xml:space="preserve"> The balance between </w:t>
      </w:r>
      <w:r w:rsidR="00D421AE">
        <w:rPr>
          <w:sz w:val="22"/>
        </w:rPr>
        <w:t>“</w:t>
      </w:r>
      <w:r w:rsidR="00584C1C">
        <w:rPr>
          <w:sz w:val="22"/>
        </w:rPr>
        <w:t>safeguarding and disproportionate intrusion</w:t>
      </w:r>
      <w:r w:rsidR="00D421AE">
        <w:rPr>
          <w:sz w:val="22"/>
        </w:rPr>
        <w:t>”</w:t>
      </w:r>
      <w:r w:rsidR="00584C1C">
        <w:rPr>
          <w:sz w:val="22"/>
        </w:rPr>
        <w:t xml:space="preserve"> is certainly important.</w:t>
      </w:r>
      <w:r w:rsidR="00584C1C">
        <w:rPr>
          <w:rStyle w:val="FootnoteReference"/>
          <w:sz w:val="22"/>
        </w:rPr>
        <w:footnoteReference w:id="158"/>
      </w:r>
      <w:r w:rsidR="00584C1C">
        <w:rPr>
          <w:sz w:val="22"/>
        </w:rPr>
        <w:t xml:space="preserve"> But, it is submitted, it is better to be over- rather than under-inclusive.</w:t>
      </w:r>
      <w:r w:rsidR="00D421AE">
        <w:rPr>
          <w:sz w:val="22"/>
        </w:rPr>
        <w:t xml:space="preserve"> </w:t>
      </w:r>
      <w:r w:rsidR="0015365C">
        <w:rPr>
          <w:sz w:val="22"/>
        </w:rPr>
        <w:t>Over-inclusion</w:t>
      </w:r>
      <w:r w:rsidR="00D421AE">
        <w:rPr>
          <w:sz w:val="22"/>
        </w:rPr>
        <w:t xml:space="preserve"> is </w:t>
      </w:r>
      <w:r w:rsidR="00763B62">
        <w:rPr>
          <w:sz w:val="22"/>
        </w:rPr>
        <w:t xml:space="preserve">preferable </w:t>
      </w:r>
      <w:r w:rsidR="00D421AE">
        <w:rPr>
          <w:sz w:val="22"/>
        </w:rPr>
        <w:t>not only because of such individuals</w:t>
      </w:r>
      <w:r w:rsidR="00A30CDA">
        <w:rPr>
          <w:sz w:val="22"/>
        </w:rPr>
        <w:t>’</w:t>
      </w:r>
      <w:r w:rsidR="00D421AE">
        <w:rPr>
          <w:sz w:val="22"/>
        </w:rPr>
        <w:t xml:space="preserve"> “extreme vulnerability” by virtue of their conditions, but because of their vulnerability in </w:t>
      </w:r>
      <w:r w:rsidR="00A30CDA">
        <w:rPr>
          <w:sz w:val="22"/>
        </w:rPr>
        <w:t>en</w:t>
      </w:r>
      <w:r w:rsidR="00D421AE">
        <w:rPr>
          <w:sz w:val="22"/>
        </w:rPr>
        <w:t xml:space="preserve">trusting the state </w:t>
      </w:r>
      <w:r w:rsidR="00A30CDA">
        <w:rPr>
          <w:sz w:val="22"/>
        </w:rPr>
        <w:t>with their</w:t>
      </w:r>
      <w:r w:rsidR="00D421AE">
        <w:rPr>
          <w:sz w:val="22"/>
        </w:rPr>
        <w:t xml:space="preserve"> care.</w:t>
      </w:r>
      <w:r w:rsidR="00763B62">
        <w:rPr>
          <w:rStyle w:val="FootnoteReference"/>
          <w:sz w:val="22"/>
        </w:rPr>
        <w:footnoteReference w:id="159"/>
      </w:r>
      <w:r w:rsidR="00584C1C">
        <w:rPr>
          <w:sz w:val="22"/>
        </w:rPr>
        <w:t xml:space="preserve"> Better that individuals in loving family environments have to endure terminology </w:t>
      </w:r>
      <w:r w:rsidR="0015365C">
        <w:rPr>
          <w:sz w:val="22"/>
        </w:rPr>
        <w:t xml:space="preserve">which </w:t>
      </w:r>
      <w:r w:rsidR="00763B62">
        <w:rPr>
          <w:sz w:val="22"/>
        </w:rPr>
        <w:t>may be considered</w:t>
      </w:r>
      <w:r w:rsidR="00584C1C">
        <w:rPr>
          <w:sz w:val="22"/>
        </w:rPr>
        <w:t xml:space="preserve"> distasteful than individuals in more institutional settings lose valuable protections.</w:t>
      </w:r>
      <w:r w:rsidR="00D421AE">
        <w:rPr>
          <w:rStyle w:val="FootnoteReference"/>
          <w:sz w:val="22"/>
        </w:rPr>
        <w:footnoteReference w:id="160"/>
      </w:r>
      <w:r w:rsidR="00584C1C">
        <w:rPr>
          <w:sz w:val="22"/>
        </w:rPr>
        <w:t xml:space="preserve"> </w:t>
      </w:r>
      <w:r w:rsidR="00E969C1">
        <w:rPr>
          <w:sz w:val="22"/>
        </w:rPr>
        <w:t xml:space="preserve">As Lady Hale noted in </w:t>
      </w:r>
      <w:r w:rsidR="00E969C1" w:rsidRPr="00A30CDA">
        <w:rPr>
          <w:i/>
          <w:sz w:val="22"/>
        </w:rPr>
        <w:t>Cheshire West</w:t>
      </w:r>
      <w:r w:rsidR="00E969C1">
        <w:rPr>
          <w:sz w:val="22"/>
        </w:rPr>
        <w:t>, we should not consider the deprivation of liberty label as “stigmatising” of individuals or their carers</w:t>
      </w:r>
      <w:r w:rsidR="00A30CDA">
        <w:rPr>
          <w:sz w:val="22"/>
        </w:rPr>
        <w:t>,</w:t>
      </w:r>
      <w:r w:rsidR="00E969C1">
        <w:rPr>
          <w:sz w:val="22"/>
        </w:rPr>
        <w:t xml:space="preserve"> but quite the contrary – as recognition of </w:t>
      </w:r>
      <w:r w:rsidR="0015365C">
        <w:rPr>
          <w:sz w:val="22"/>
        </w:rPr>
        <w:t>disabled pe</w:t>
      </w:r>
      <w:r w:rsidR="00B17C63">
        <w:rPr>
          <w:sz w:val="22"/>
        </w:rPr>
        <w:t>ople</w:t>
      </w:r>
      <w:r w:rsidR="0015365C">
        <w:rPr>
          <w:sz w:val="22"/>
        </w:rPr>
        <w:t>’</w:t>
      </w:r>
      <w:r w:rsidR="00B17C63">
        <w:rPr>
          <w:sz w:val="22"/>
        </w:rPr>
        <w:t>s</w:t>
      </w:r>
      <w:r w:rsidR="00E969C1">
        <w:rPr>
          <w:sz w:val="22"/>
        </w:rPr>
        <w:t xml:space="preserve"> “equal dignity and status as human beings like the rest of us”.</w:t>
      </w:r>
      <w:r w:rsidR="00E969C1">
        <w:rPr>
          <w:rStyle w:val="FootnoteReference"/>
          <w:sz w:val="22"/>
        </w:rPr>
        <w:footnoteReference w:id="161"/>
      </w:r>
      <w:r w:rsidR="00E969C1">
        <w:rPr>
          <w:sz w:val="22"/>
        </w:rPr>
        <w:t xml:space="preserve"> </w:t>
      </w:r>
      <w:r w:rsidR="00661D11">
        <w:rPr>
          <w:sz w:val="22"/>
        </w:rPr>
        <w:t xml:space="preserve">Although the effect on the disabled person may be negligible, the effect on a non-disabled person would be much greater – few of us would tolerate having to ask permission </w:t>
      </w:r>
      <w:r w:rsidR="0015365C">
        <w:rPr>
          <w:sz w:val="22"/>
        </w:rPr>
        <w:t>or</w:t>
      </w:r>
      <w:r w:rsidR="00661D11">
        <w:rPr>
          <w:sz w:val="22"/>
        </w:rPr>
        <w:t xml:space="preserve"> be</w:t>
      </w:r>
      <w:r w:rsidR="00B17C63">
        <w:rPr>
          <w:sz w:val="22"/>
        </w:rPr>
        <w:t>ing</w:t>
      </w:r>
      <w:r w:rsidR="00661D11">
        <w:rPr>
          <w:sz w:val="22"/>
        </w:rPr>
        <w:t xml:space="preserve"> accompanied on </w:t>
      </w:r>
      <w:r w:rsidR="00763B62">
        <w:rPr>
          <w:sz w:val="22"/>
        </w:rPr>
        <w:t xml:space="preserve">every </w:t>
      </w:r>
      <w:r w:rsidR="00661D11">
        <w:rPr>
          <w:sz w:val="22"/>
        </w:rPr>
        <w:t xml:space="preserve">trip outside our home. </w:t>
      </w:r>
      <w:r w:rsidR="00763B62">
        <w:rPr>
          <w:sz w:val="22"/>
        </w:rPr>
        <w:t>Although</w:t>
      </w:r>
      <w:r w:rsidR="00323484">
        <w:rPr>
          <w:sz w:val="22"/>
        </w:rPr>
        <w:t xml:space="preserve"> the </w:t>
      </w:r>
      <w:r w:rsidR="00323484">
        <w:rPr>
          <w:sz w:val="22"/>
        </w:rPr>
        <w:lastRenderedPageBreak/>
        <w:t>courts must assess the “concrete situation” of a person</w:t>
      </w:r>
      <w:r w:rsidR="00763B62">
        <w:rPr>
          <w:sz w:val="22"/>
        </w:rPr>
        <w:t>,</w:t>
      </w:r>
      <w:r w:rsidR="00323484">
        <w:rPr>
          <w:rStyle w:val="FootnoteReference"/>
          <w:sz w:val="22"/>
        </w:rPr>
        <w:footnoteReference w:id="162"/>
      </w:r>
      <w:r w:rsidR="00323484" w:rsidRPr="009871A0">
        <w:rPr>
          <w:sz w:val="22"/>
        </w:rPr>
        <w:t xml:space="preserve"> </w:t>
      </w:r>
      <w:r w:rsidR="00763B62">
        <w:rPr>
          <w:sz w:val="22"/>
        </w:rPr>
        <w:t>a</w:t>
      </w:r>
      <w:r w:rsidR="00661D11">
        <w:rPr>
          <w:sz w:val="22"/>
        </w:rPr>
        <w:t>s has been argued above, this part of the test must be applied objectively to avoid giving differential protection.</w:t>
      </w:r>
    </w:p>
    <w:p w14:paraId="2CDDFF30" w14:textId="77777777" w:rsidR="001661F7" w:rsidRPr="009871A0" w:rsidRDefault="001661F7" w:rsidP="00F529F5">
      <w:pPr>
        <w:spacing w:line="480" w:lineRule="auto"/>
        <w:jc w:val="both"/>
        <w:rPr>
          <w:sz w:val="22"/>
        </w:rPr>
      </w:pPr>
    </w:p>
    <w:p w14:paraId="0D5E04FC" w14:textId="62B1619C" w:rsidR="003D1470" w:rsidRDefault="001661F7" w:rsidP="00984782">
      <w:pPr>
        <w:spacing w:line="480" w:lineRule="auto"/>
        <w:jc w:val="both"/>
        <w:rPr>
          <w:sz w:val="22"/>
        </w:rPr>
      </w:pPr>
      <w:r w:rsidRPr="009871A0">
        <w:rPr>
          <w:sz w:val="22"/>
        </w:rPr>
        <w:t xml:space="preserve">Reasonable judges may differ as to their conclusions at each stage of the four-part test. But application of the test in the way set out here would go a long way to improving the consistency and transparency of </w:t>
      </w:r>
      <w:r>
        <w:rPr>
          <w:sz w:val="22"/>
        </w:rPr>
        <w:t>article 5 judgments, whilst retaining enough flexibility for the test to be applied to very different scenarios in very different Member States.</w:t>
      </w:r>
    </w:p>
    <w:p w14:paraId="49FA92C9" w14:textId="77777777" w:rsidR="001661F7" w:rsidRPr="00C17C36" w:rsidRDefault="001661F7" w:rsidP="00984782">
      <w:pPr>
        <w:spacing w:line="480" w:lineRule="auto"/>
        <w:jc w:val="both"/>
        <w:rPr>
          <w:b/>
        </w:rPr>
      </w:pPr>
    </w:p>
    <w:p w14:paraId="242206A9" w14:textId="3E023BEB" w:rsidR="00A87B0E" w:rsidRPr="005D42FA" w:rsidRDefault="00636D54" w:rsidP="009871A0">
      <w:pPr>
        <w:pStyle w:val="Heading2"/>
      </w:pPr>
      <w:r w:rsidRPr="005D42FA">
        <w:t>Conclusions</w:t>
      </w:r>
    </w:p>
    <w:p w14:paraId="1EDF4C38" w14:textId="48C081D8" w:rsidR="006C65F6" w:rsidRPr="009871A0" w:rsidRDefault="00162141" w:rsidP="00984782">
      <w:pPr>
        <w:spacing w:line="480" w:lineRule="auto"/>
        <w:jc w:val="both"/>
        <w:rPr>
          <w:sz w:val="22"/>
        </w:rPr>
      </w:pPr>
      <w:r w:rsidRPr="009871A0">
        <w:rPr>
          <w:sz w:val="22"/>
        </w:rPr>
        <w:t xml:space="preserve">It is </w:t>
      </w:r>
      <w:r w:rsidR="0060286E">
        <w:rPr>
          <w:sz w:val="22"/>
        </w:rPr>
        <w:t>now</w:t>
      </w:r>
      <w:r w:rsidRPr="009871A0">
        <w:rPr>
          <w:sz w:val="22"/>
        </w:rPr>
        <w:t xml:space="preserve"> a decade since Feldman lamented that </w:t>
      </w:r>
      <w:r w:rsidR="00521F7A" w:rsidRPr="009871A0">
        <w:rPr>
          <w:sz w:val="22"/>
        </w:rPr>
        <w:t xml:space="preserve">the test for what constitutes a deprivation of liberty under </w:t>
      </w:r>
      <w:r w:rsidR="00596900">
        <w:rPr>
          <w:sz w:val="22"/>
        </w:rPr>
        <w:t>a</w:t>
      </w:r>
      <w:r w:rsidRPr="009871A0">
        <w:rPr>
          <w:sz w:val="22"/>
        </w:rPr>
        <w:t xml:space="preserve">rticle 5 needed to be </w:t>
      </w:r>
      <w:r w:rsidR="00DB4959" w:rsidRPr="009871A0">
        <w:rPr>
          <w:sz w:val="22"/>
        </w:rPr>
        <w:t>“</w:t>
      </w:r>
      <w:r w:rsidRPr="009871A0">
        <w:rPr>
          <w:sz w:val="22"/>
        </w:rPr>
        <w:t>clearer, more rational and less relativistic</w:t>
      </w:r>
      <w:r w:rsidR="00DB4959" w:rsidRPr="009871A0">
        <w:rPr>
          <w:sz w:val="22"/>
        </w:rPr>
        <w:t>”</w:t>
      </w:r>
      <w:r w:rsidRPr="009871A0">
        <w:rPr>
          <w:sz w:val="22"/>
        </w:rPr>
        <w:t>.</w:t>
      </w:r>
      <w:r w:rsidRPr="009871A0">
        <w:rPr>
          <w:rStyle w:val="FootnoteReference"/>
          <w:sz w:val="22"/>
        </w:rPr>
        <w:footnoteReference w:id="163"/>
      </w:r>
      <w:r w:rsidR="00611763" w:rsidRPr="009871A0">
        <w:rPr>
          <w:sz w:val="22"/>
        </w:rPr>
        <w:t xml:space="preserve"> </w:t>
      </w:r>
      <w:r w:rsidR="008F54A4" w:rsidRPr="009871A0">
        <w:rPr>
          <w:sz w:val="22"/>
        </w:rPr>
        <w:t>Since then, the situation</w:t>
      </w:r>
      <w:r w:rsidR="001C3853">
        <w:rPr>
          <w:sz w:val="22"/>
        </w:rPr>
        <w:t xml:space="preserve"> for non-paradigm cases</w:t>
      </w:r>
      <w:r w:rsidR="008F54A4" w:rsidRPr="009871A0">
        <w:rPr>
          <w:sz w:val="22"/>
        </w:rPr>
        <w:t xml:space="preserve"> has </w:t>
      </w:r>
      <w:r w:rsidR="00130D48" w:rsidRPr="009871A0">
        <w:rPr>
          <w:sz w:val="22"/>
        </w:rPr>
        <w:t>w</w:t>
      </w:r>
      <w:r w:rsidR="008F54A4" w:rsidRPr="009871A0">
        <w:rPr>
          <w:sz w:val="22"/>
        </w:rPr>
        <w:t>orse</w:t>
      </w:r>
      <w:r w:rsidR="00130D48" w:rsidRPr="009871A0">
        <w:rPr>
          <w:sz w:val="22"/>
        </w:rPr>
        <w:t>ned</w:t>
      </w:r>
      <w:r w:rsidR="008F54A4" w:rsidRPr="009871A0">
        <w:rPr>
          <w:sz w:val="22"/>
        </w:rPr>
        <w:t xml:space="preserve"> rather than </w:t>
      </w:r>
      <w:r w:rsidR="00130D48" w:rsidRPr="009871A0">
        <w:rPr>
          <w:sz w:val="22"/>
        </w:rPr>
        <w:t>improved</w:t>
      </w:r>
      <w:r w:rsidR="008F54A4" w:rsidRPr="009871A0">
        <w:rPr>
          <w:sz w:val="22"/>
        </w:rPr>
        <w:t xml:space="preserve">, with the conflicting </w:t>
      </w:r>
      <w:r w:rsidR="00344983" w:rsidRPr="009871A0">
        <w:rPr>
          <w:sz w:val="22"/>
        </w:rPr>
        <w:t>tests used in</w:t>
      </w:r>
      <w:r w:rsidR="008F54A4" w:rsidRPr="009871A0">
        <w:rPr>
          <w:sz w:val="22"/>
        </w:rPr>
        <w:t xml:space="preserve"> </w:t>
      </w:r>
      <w:r w:rsidR="006C65F6" w:rsidRPr="009871A0">
        <w:rPr>
          <w:i/>
          <w:sz w:val="22"/>
        </w:rPr>
        <w:t>Austin</w:t>
      </w:r>
      <w:r w:rsidR="008F54A4" w:rsidRPr="009871A0">
        <w:rPr>
          <w:sz w:val="22"/>
        </w:rPr>
        <w:t xml:space="preserve"> and </w:t>
      </w:r>
      <w:r w:rsidR="008F54A4" w:rsidRPr="009871A0">
        <w:rPr>
          <w:i/>
          <w:sz w:val="22"/>
        </w:rPr>
        <w:t>Cheshire West</w:t>
      </w:r>
      <w:r w:rsidR="00521F7A" w:rsidRPr="009871A0">
        <w:rPr>
          <w:sz w:val="22"/>
        </w:rPr>
        <w:t xml:space="preserve">. </w:t>
      </w:r>
      <w:r w:rsidR="008F54A4" w:rsidRPr="009871A0">
        <w:rPr>
          <w:sz w:val="22"/>
        </w:rPr>
        <w:t xml:space="preserve">The analysis here has </w:t>
      </w:r>
      <w:r w:rsidR="00130D48" w:rsidRPr="009871A0">
        <w:rPr>
          <w:sz w:val="22"/>
        </w:rPr>
        <w:t>demonstrated</w:t>
      </w:r>
      <w:r w:rsidR="008F54A4" w:rsidRPr="009871A0">
        <w:rPr>
          <w:sz w:val="22"/>
        </w:rPr>
        <w:t xml:space="preserve"> that</w:t>
      </w:r>
      <w:r w:rsidR="00344983" w:rsidRPr="009871A0">
        <w:rPr>
          <w:sz w:val="22"/>
        </w:rPr>
        <w:t xml:space="preserve"> the</w:t>
      </w:r>
      <w:r w:rsidR="008F54A4" w:rsidRPr="009871A0">
        <w:rPr>
          <w:sz w:val="22"/>
        </w:rPr>
        <w:t xml:space="preserve"> </w:t>
      </w:r>
      <w:r w:rsidR="008F54A4" w:rsidRPr="009871A0">
        <w:rPr>
          <w:i/>
          <w:sz w:val="22"/>
        </w:rPr>
        <w:t>Cheshire West</w:t>
      </w:r>
      <w:r w:rsidR="008F54A4" w:rsidRPr="009871A0">
        <w:rPr>
          <w:sz w:val="22"/>
        </w:rPr>
        <w:t xml:space="preserve"> </w:t>
      </w:r>
      <w:r w:rsidR="00344983" w:rsidRPr="009871A0">
        <w:rPr>
          <w:sz w:val="22"/>
        </w:rPr>
        <w:t xml:space="preserve">test </w:t>
      </w:r>
      <w:r w:rsidR="00130D48" w:rsidRPr="009871A0">
        <w:rPr>
          <w:sz w:val="22"/>
        </w:rPr>
        <w:t>accords better</w:t>
      </w:r>
      <w:r w:rsidR="008F54A4" w:rsidRPr="009871A0">
        <w:rPr>
          <w:sz w:val="22"/>
        </w:rPr>
        <w:t xml:space="preserve"> with the essence of </w:t>
      </w:r>
      <w:r w:rsidR="00596900">
        <w:rPr>
          <w:sz w:val="22"/>
        </w:rPr>
        <w:t>a</w:t>
      </w:r>
      <w:r w:rsidR="008F54A4" w:rsidRPr="009871A0">
        <w:rPr>
          <w:sz w:val="22"/>
        </w:rPr>
        <w:t>rticle 5, the everyday notion of what it means to be deprived of one’s liberty</w:t>
      </w:r>
      <w:r w:rsidR="00A017CF" w:rsidRPr="009871A0">
        <w:rPr>
          <w:sz w:val="22"/>
        </w:rPr>
        <w:t xml:space="preserve"> and the ethos of the Convention as a whole. By concentrating too much on good purpose and pragmatism, the </w:t>
      </w:r>
      <w:r w:rsidR="00A017CF" w:rsidRPr="009871A0">
        <w:rPr>
          <w:i/>
          <w:sz w:val="22"/>
        </w:rPr>
        <w:t>Austin</w:t>
      </w:r>
      <w:r w:rsidR="00A017CF" w:rsidRPr="009871A0">
        <w:rPr>
          <w:sz w:val="22"/>
        </w:rPr>
        <w:t xml:space="preserve"> courts went against all of those more important principles. </w:t>
      </w:r>
      <w:r w:rsidR="006C0FC2" w:rsidRPr="009871A0">
        <w:rPr>
          <w:sz w:val="22"/>
        </w:rPr>
        <w:t>Police operational discretion is important. But so t</w:t>
      </w:r>
      <w:r w:rsidR="001105CD" w:rsidRPr="009871A0">
        <w:rPr>
          <w:sz w:val="22"/>
        </w:rPr>
        <w:t>oo is the judicial role in monitoring the police and other authorities</w:t>
      </w:r>
      <w:r w:rsidR="006C0FC2" w:rsidRPr="009871A0">
        <w:rPr>
          <w:sz w:val="22"/>
        </w:rPr>
        <w:t xml:space="preserve">, rather than emboldening them. </w:t>
      </w:r>
      <w:r w:rsidR="005D72F5" w:rsidRPr="009871A0">
        <w:rPr>
          <w:sz w:val="22"/>
        </w:rPr>
        <w:t xml:space="preserve">The message </w:t>
      </w:r>
      <w:r w:rsidR="005D72F5" w:rsidRPr="009871A0">
        <w:rPr>
          <w:i/>
          <w:sz w:val="22"/>
        </w:rPr>
        <w:t>Austin</w:t>
      </w:r>
      <w:r w:rsidR="005D72F5" w:rsidRPr="009871A0">
        <w:rPr>
          <w:sz w:val="22"/>
        </w:rPr>
        <w:t xml:space="preserve"> sent is </w:t>
      </w:r>
      <w:r w:rsidR="00871E52" w:rsidRPr="009871A0">
        <w:rPr>
          <w:sz w:val="22"/>
        </w:rPr>
        <w:t>especially</w:t>
      </w:r>
      <w:r w:rsidR="005D72F5" w:rsidRPr="009871A0">
        <w:rPr>
          <w:sz w:val="22"/>
        </w:rPr>
        <w:t xml:space="preserve"> worrying </w:t>
      </w:r>
      <w:r w:rsidR="00AA10D0" w:rsidRPr="009871A0">
        <w:rPr>
          <w:sz w:val="22"/>
        </w:rPr>
        <w:t>given that certain</w:t>
      </w:r>
      <w:r w:rsidR="005D72F5" w:rsidRPr="009871A0">
        <w:rPr>
          <w:sz w:val="22"/>
        </w:rPr>
        <w:t xml:space="preserve"> Council of Europe </w:t>
      </w:r>
      <w:r w:rsidR="007E5CA0" w:rsidRPr="009871A0">
        <w:rPr>
          <w:sz w:val="22"/>
        </w:rPr>
        <w:t>Member S</w:t>
      </w:r>
      <w:r w:rsidR="00AA10D0" w:rsidRPr="009871A0">
        <w:rPr>
          <w:sz w:val="22"/>
        </w:rPr>
        <w:t>tates</w:t>
      </w:r>
      <w:r w:rsidR="005D72F5" w:rsidRPr="009871A0">
        <w:rPr>
          <w:sz w:val="22"/>
        </w:rPr>
        <w:t xml:space="preserve"> </w:t>
      </w:r>
      <w:r w:rsidR="00AA10D0" w:rsidRPr="009871A0">
        <w:rPr>
          <w:sz w:val="22"/>
        </w:rPr>
        <w:t>are known to have</w:t>
      </w:r>
      <w:r w:rsidR="005D72F5" w:rsidRPr="009871A0">
        <w:rPr>
          <w:sz w:val="22"/>
        </w:rPr>
        <w:t xml:space="preserve"> police forces</w:t>
      </w:r>
      <w:r w:rsidR="00AA10D0" w:rsidRPr="009871A0">
        <w:rPr>
          <w:sz w:val="22"/>
        </w:rPr>
        <w:t xml:space="preserve"> which deal </w:t>
      </w:r>
      <w:r w:rsidR="00871E52" w:rsidRPr="009871A0">
        <w:rPr>
          <w:sz w:val="22"/>
        </w:rPr>
        <w:t xml:space="preserve">particularly </w:t>
      </w:r>
      <w:r w:rsidR="00722D0D" w:rsidRPr="009871A0">
        <w:rPr>
          <w:sz w:val="22"/>
        </w:rPr>
        <w:t xml:space="preserve">robustly </w:t>
      </w:r>
      <w:r w:rsidR="00AA10D0" w:rsidRPr="009871A0">
        <w:rPr>
          <w:sz w:val="22"/>
        </w:rPr>
        <w:t>with protests</w:t>
      </w:r>
      <w:r w:rsidR="005D72F5" w:rsidRPr="009871A0">
        <w:rPr>
          <w:sz w:val="22"/>
        </w:rPr>
        <w:t>.</w:t>
      </w:r>
      <w:r w:rsidR="00722D0D" w:rsidRPr="009871A0">
        <w:rPr>
          <w:rStyle w:val="FootnoteReference"/>
          <w:sz w:val="22"/>
        </w:rPr>
        <w:footnoteReference w:id="164"/>
      </w:r>
      <w:r w:rsidR="005D72F5" w:rsidRPr="009871A0">
        <w:rPr>
          <w:sz w:val="22"/>
        </w:rPr>
        <w:t xml:space="preserve"> </w:t>
      </w:r>
      <w:r w:rsidR="00521F7A" w:rsidRPr="009871A0">
        <w:rPr>
          <w:sz w:val="22"/>
        </w:rPr>
        <w:t xml:space="preserve">Clarification of </w:t>
      </w:r>
      <w:r w:rsidR="00521F7A" w:rsidRPr="009871A0">
        <w:rPr>
          <w:sz w:val="22"/>
        </w:rPr>
        <w:lastRenderedPageBreak/>
        <w:t>what constitutes a deprivation of liberty is, however, needed bey</w:t>
      </w:r>
      <w:r w:rsidR="00172400" w:rsidRPr="009871A0">
        <w:rPr>
          <w:sz w:val="22"/>
        </w:rPr>
        <w:t xml:space="preserve">ond the crowd control context and </w:t>
      </w:r>
      <w:r w:rsidR="00521F7A" w:rsidRPr="009871A0">
        <w:rPr>
          <w:sz w:val="22"/>
        </w:rPr>
        <w:t xml:space="preserve">the </w:t>
      </w:r>
      <w:r w:rsidR="000D61B6" w:rsidRPr="009871A0">
        <w:rPr>
          <w:sz w:val="22"/>
        </w:rPr>
        <w:t xml:space="preserve">test proposed here </w:t>
      </w:r>
      <w:r w:rsidR="00521F7A" w:rsidRPr="009871A0">
        <w:rPr>
          <w:sz w:val="22"/>
        </w:rPr>
        <w:t xml:space="preserve">can apply to </w:t>
      </w:r>
      <w:r w:rsidR="001C3853">
        <w:rPr>
          <w:sz w:val="22"/>
        </w:rPr>
        <w:t>non-paradigm cases</w:t>
      </w:r>
      <w:r w:rsidR="00521F7A" w:rsidRPr="009871A0">
        <w:rPr>
          <w:sz w:val="22"/>
        </w:rPr>
        <w:t xml:space="preserve"> more generally.</w:t>
      </w:r>
    </w:p>
    <w:p w14:paraId="6B1ED6E3" w14:textId="7EF66143" w:rsidR="007A2065" w:rsidRPr="00320FA7" w:rsidRDefault="004034DD" w:rsidP="00320FA7">
      <w:pPr>
        <w:spacing w:line="480" w:lineRule="auto"/>
        <w:ind w:firstLine="720"/>
        <w:jc w:val="both"/>
        <w:rPr>
          <w:sz w:val="22"/>
        </w:rPr>
      </w:pPr>
      <w:r>
        <w:rPr>
          <w:sz w:val="22"/>
        </w:rPr>
        <w:t>The</w:t>
      </w:r>
      <w:r w:rsidR="00CA443A" w:rsidRPr="009871A0">
        <w:rPr>
          <w:sz w:val="22"/>
        </w:rPr>
        <w:t xml:space="preserve"> relationship between the domestic courts and the ECtHR works in both directions. </w:t>
      </w:r>
      <w:r w:rsidR="00DC0468" w:rsidRPr="009871A0">
        <w:rPr>
          <w:sz w:val="22"/>
        </w:rPr>
        <w:t xml:space="preserve">The </w:t>
      </w:r>
      <w:r w:rsidR="00C677B0" w:rsidRPr="009871A0">
        <w:rPr>
          <w:sz w:val="22"/>
        </w:rPr>
        <w:t>UKHL</w:t>
      </w:r>
      <w:r w:rsidR="00DC0468" w:rsidRPr="009871A0">
        <w:rPr>
          <w:sz w:val="22"/>
        </w:rPr>
        <w:t xml:space="preserve"> led </w:t>
      </w:r>
      <w:r w:rsidR="00130D48" w:rsidRPr="009871A0">
        <w:rPr>
          <w:sz w:val="22"/>
        </w:rPr>
        <w:t xml:space="preserve">the ECtHR </w:t>
      </w:r>
      <w:r w:rsidR="00130D48" w:rsidRPr="009871A0">
        <w:rPr>
          <w:i/>
          <w:sz w:val="22"/>
        </w:rPr>
        <w:t>in Austin</w:t>
      </w:r>
      <w:r w:rsidR="00DC0468" w:rsidRPr="009871A0">
        <w:rPr>
          <w:sz w:val="22"/>
        </w:rPr>
        <w:t xml:space="preserve">. </w:t>
      </w:r>
      <w:r w:rsidR="00F856F3" w:rsidRPr="009871A0">
        <w:rPr>
          <w:sz w:val="22"/>
        </w:rPr>
        <w:t xml:space="preserve">Strasbourg did not seem keen to strain a frosty relationship further by meddling in operational policing. </w:t>
      </w:r>
      <w:r w:rsidR="006C0FC2" w:rsidRPr="009871A0">
        <w:rPr>
          <w:sz w:val="22"/>
        </w:rPr>
        <w:t xml:space="preserve">Relations are certainly no better today. </w:t>
      </w:r>
      <w:r w:rsidR="00F856F3" w:rsidRPr="009871A0">
        <w:rPr>
          <w:sz w:val="22"/>
        </w:rPr>
        <w:t xml:space="preserve">But Strasbourg could now </w:t>
      </w:r>
      <w:r w:rsidR="00080EFB" w:rsidRPr="009871A0">
        <w:rPr>
          <w:sz w:val="22"/>
        </w:rPr>
        <w:t xml:space="preserve">make use of the </w:t>
      </w:r>
      <w:r w:rsidR="00C46D79" w:rsidRPr="009871A0">
        <w:rPr>
          <w:sz w:val="22"/>
        </w:rPr>
        <w:t>UKSC</w:t>
      </w:r>
      <w:r w:rsidR="00080EFB" w:rsidRPr="009871A0">
        <w:rPr>
          <w:sz w:val="22"/>
        </w:rPr>
        <w:t xml:space="preserve">’s distillation of ECtHR jurisprudence </w:t>
      </w:r>
      <w:r w:rsidR="00F856F3" w:rsidRPr="009871A0">
        <w:rPr>
          <w:sz w:val="22"/>
        </w:rPr>
        <w:t xml:space="preserve">whilst adhering more to the spirit of </w:t>
      </w:r>
      <w:r w:rsidR="00596900">
        <w:rPr>
          <w:sz w:val="22"/>
        </w:rPr>
        <w:t>a</w:t>
      </w:r>
      <w:r w:rsidR="00F856F3" w:rsidRPr="009871A0">
        <w:rPr>
          <w:sz w:val="22"/>
        </w:rPr>
        <w:t xml:space="preserve">rticle 5 by </w:t>
      </w:r>
      <w:r w:rsidR="006C0FC2" w:rsidRPr="009871A0">
        <w:rPr>
          <w:sz w:val="22"/>
        </w:rPr>
        <w:t>incorporating the</w:t>
      </w:r>
      <w:r w:rsidR="00F856F3" w:rsidRPr="009871A0">
        <w:rPr>
          <w:sz w:val="22"/>
        </w:rPr>
        <w:t xml:space="preserve"> </w:t>
      </w:r>
      <w:r w:rsidR="00F856F3" w:rsidRPr="009871A0">
        <w:rPr>
          <w:i/>
          <w:sz w:val="22"/>
        </w:rPr>
        <w:t>Cheshire West</w:t>
      </w:r>
      <w:r w:rsidR="00F856F3" w:rsidRPr="009871A0">
        <w:rPr>
          <w:sz w:val="22"/>
        </w:rPr>
        <w:t xml:space="preserve"> </w:t>
      </w:r>
      <w:r w:rsidR="006C0FC2" w:rsidRPr="009871A0">
        <w:rPr>
          <w:sz w:val="22"/>
        </w:rPr>
        <w:t xml:space="preserve">test into their four-part test and </w:t>
      </w:r>
      <w:r w:rsidR="00172400" w:rsidRPr="009871A0">
        <w:rPr>
          <w:sz w:val="22"/>
        </w:rPr>
        <w:t xml:space="preserve">by </w:t>
      </w:r>
      <w:r w:rsidR="006C0FC2" w:rsidRPr="009871A0">
        <w:rPr>
          <w:sz w:val="22"/>
        </w:rPr>
        <w:t xml:space="preserve">applying it </w:t>
      </w:r>
      <w:r w:rsidR="00F856F3" w:rsidRPr="009871A0">
        <w:rPr>
          <w:sz w:val="22"/>
        </w:rPr>
        <w:t xml:space="preserve">to deprivations of liberty of different natures. </w:t>
      </w:r>
      <w:r w:rsidR="00F529F5">
        <w:rPr>
          <w:sz w:val="22"/>
        </w:rPr>
        <w:t xml:space="preserve">The four-part test, </w:t>
      </w:r>
      <w:r w:rsidR="006C0FC2" w:rsidRPr="009871A0">
        <w:rPr>
          <w:sz w:val="22"/>
        </w:rPr>
        <w:t xml:space="preserve">applied </w:t>
      </w:r>
      <w:r w:rsidR="00F529F5">
        <w:rPr>
          <w:sz w:val="22"/>
        </w:rPr>
        <w:t xml:space="preserve">more </w:t>
      </w:r>
      <w:r w:rsidR="006C0FC2" w:rsidRPr="009871A0">
        <w:rPr>
          <w:sz w:val="22"/>
        </w:rPr>
        <w:t xml:space="preserve">methodically and with more elaboration than at present, could </w:t>
      </w:r>
      <w:r w:rsidR="00305445" w:rsidRPr="009871A0">
        <w:rPr>
          <w:sz w:val="22"/>
        </w:rPr>
        <w:t>clarify, ration</w:t>
      </w:r>
      <w:r w:rsidR="00440886" w:rsidRPr="009871A0">
        <w:rPr>
          <w:sz w:val="22"/>
        </w:rPr>
        <w:t>alise and harmonis</w:t>
      </w:r>
      <w:r w:rsidR="00E513EE" w:rsidRPr="009871A0">
        <w:rPr>
          <w:sz w:val="22"/>
        </w:rPr>
        <w:t>e this messy area of law.</w:t>
      </w:r>
    </w:p>
    <w:sectPr w:rsidR="007A2065" w:rsidRPr="00320FA7" w:rsidSect="00DE5A78">
      <w:headerReference w:type="default" r:id="rId13"/>
      <w:footerReference w:type="even" r:id="rId14"/>
      <w:footerReference w:type="default" r:id="rId15"/>
      <w:pgSz w:w="11900"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D873C" w14:textId="77777777" w:rsidR="00936A77" w:rsidRDefault="00936A77" w:rsidP="00040887">
      <w:r>
        <w:separator/>
      </w:r>
    </w:p>
    <w:p w14:paraId="5F99E196" w14:textId="77777777" w:rsidR="00936A77" w:rsidRDefault="00936A77"/>
    <w:p w14:paraId="2D701AB3" w14:textId="77777777" w:rsidR="00936A77" w:rsidRDefault="00936A77" w:rsidP="00C17C36"/>
  </w:endnote>
  <w:endnote w:type="continuationSeparator" w:id="0">
    <w:p w14:paraId="2F6A9DF2" w14:textId="77777777" w:rsidR="00936A77" w:rsidRDefault="00936A77" w:rsidP="00040887">
      <w:r>
        <w:continuationSeparator/>
      </w:r>
    </w:p>
    <w:p w14:paraId="283A239C" w14:textId="77777777" w:rsidR="00936A77" w:rsidRDefault="00936A77"/>
    <w:p w14:paraId="5974D137" w14:textId="77777777" w:rsidR="00936A77" w:rsidRDefault="00936A77" w:rsidP="00C17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B3D4" w14:textId="77777777" w:rsidR="00E55A55" w:rsidRDefault="00E55A55" w:rsidP="00FC25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FA915" w14:textId="77777777" w:rsidR="00E55A55" w:rsidRDefault="00E55A55" w:rsidP="00040887">
    <w:pPr>
      <w:pStyle w:val="Footer"/>
      <w:ind w:right="360"/>
    </w:pPr>
  </w:p>
  <w:p w14:paraId="33A2076E" w14:textId="77777777" w:rsidR="00E55A55" w:rsidRDefault="00E55A55"/>
  <w:p w14:paraId="4EDCDA35" w14:textId="77777777" w:rsidR="00E55A55" w:rsidRDefault="00E55A55" w:rsidP="00C17C3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3E1F" w14:textId="77777777" w:rsidR="00E55A55" w:rsidRPr="00040887" w:rsidRDefault="00E55A55" w:rsidP="00FC25C1">
    <w:pPr>
      <w:pStyle w:val="Footer"/>
      <w:framePr w:wrap="none" w:vAnchor="text" w:hAnchor="margin" w:xAlign="right" w:y="1"/>
      <w:rPr>
        <w:rStyle w:val="PageNumber"/>
        <w:rFonts w:ascii="Times New Roman" w:hAnsi="Times New Roman"/>
      </w:rPr>
    </w:pPr>
    <w:r w:rsidRPr="00040887">
      <w:rPr>
        <w:rStyle w:val="PageNumber"/>
        <w:rFonts w:ascii="Times New Roman" w:hAnsi="Times New Roman"/>
      </w:rPr>
      <w:fldChar w:fldCharType="begin"/>
    </w:r>
    <w:r w:rsidRPr="00040887">
      <w:rPr>
        <w:rStyle w:val="PageNumber"/>
        <w:rFonts w:ascii="Times New Roman" w:hAnsi="Times New Roman"/>
      </w:rPr>
      <w:instrText xml:space="preserve">PAGE  </w:instrText>
    </w:r>
    <w:r w:rsidRPr="00040887">
      <w:rPr>
        <w:rStyle w:val="PageNumber"/>
        <w:rFonts w:ascii="Times New Roman" w:hAnsi="Times New Roman"/>
      </w:rPr>
      <w:fldChar w:fldCharType="separate"/>
    </w:r>
    <w:r w:rsidR="00485CBF">
      <w:rPr>
        <w:rStyle w:val="PageNumber"/>
        <w:rFonts w:ascii="Times New Roman" w:hAnsi="Times New Roman"/>
        <w:noProof/>
      </w:rPr>
      <w:t>23</w:t>
    </w:r>
    <w:r w:rsidRPr="00040887">
      <w:rPr>
        <w:rStyle w:val="PageNumber"/>
        <w:rFonts w:ascii="Times New Roman" w:hAnsi="Times New Roman"/>
      </w:rPr>
      <w:fldChar w:fldCharType="end"/>
    </w:r>
  </w:p>
  <w:p w14:paraId="00501467" w14:textId="77777777" w:rsidR="00E55A55" w:rsidRDefault="00E55A55" w:rsidP="00C17C3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4C195" w14:textId="77777777" w:rsidR="00936A77" w:rsidRDefault="00936A77" w:rsidP="00C17C36">
      <w:r>
        <w:separator/>
      </w:r>
    </w:p>
  </w:footnote>
  <w:footnote w:type="continuationSeparator" w:id="0">
    <w:p w14:paraId="700B4871" w14:textId="77777777" w:rsidR="00936A77" w:rsidRDefault="00936A77" w:rsidP="00C17C36">
      <w:r>
        <w:continuationSeparator/>
      </w:r>
    </w:p>
  </w:footnote>
  <w:footnote w:type="continuationNotice" w:id="1">
    <w:p w14:paraId="68380F9B" w14:textId="77777777" w:rsidR="00936A77" w:rsidRPr="00A12003" w:rsidRDefault="00936A77"/>
  </w:footnote>
  <w:footnote w:id="2">
    <w:p w14:paraId="669BB7B3" w14:textId="17CAE0BB" w:rsidR="00E55A55" w:rsidRPr="002B5EDF" w:rsidRDefault="00E55A55" w:rsidP="008160A2">
      <w:pPr>
        <w:pStyle w:val="FootnoteText"/>
        <w:spacing w:line="480" w:lineRule="auto"/>
        <w:rPr>
          <w:lang w:val="en-GB"/>
        </w:rPr>
      </w:pPr>
      <w:r>
        <w:rPr>
          <w:rStyle w:val="FootnoteReference"/>
        </w:rPr>
        <w:t>*</w:t>
      </w:r>
      <w:r>
        <w:t xml:space="preserve"> </w:t>
      </w:r>
      <w:r>
        <w:rPr>
          <w:i/>
        </w:rPr>
        <w:t>Fixed-Term Lecturer</w:t>
      </w:r>
      <w:r w:rsidR="00787126">
        <w:rPr>
          <w:i/>
        </w:rPr>
        <w:t xml:space="preserve"> in Public Law</w:t>
      </w:r>
      <w:r w:rsidRPr="00220536">
        <w:rPr>
          <w:i/>
        </w:rPr>
        <w:t>, Faculty of Law</w:t>
      </w:r>
      <w:r>
        <w:rPr>
          <w:i/>
        </w:rPr>
        <w:t>; Official Fellow and Director of Studies, Girton College,</w:t>
      </w:r>
      <w:r w:rsidRPr="00220536">
        <w:rPr>
          <w:i/>
        </w:rPr>
        <w:t xml:space="preserve"> University of Cambridge</w:t>
      </w:r>
      <w:r w:rsidRPr="00E10128">
        <w:t xml:space="preserve">. </w:t>
      </w:r>
      <w:r>
        <w:t xml:space="preserve">Email: </w:t>
      </w:r>
      <w:r w:rsidRPr="00E10128">
        <w:t>sw590@cam.ac.uk</w:t>
      </w:r>
      <w:r>
        <w:t xml:space="preserve">. </w:t>
      </w:r>
      <w:r w:rsidRPr="00E10128">
        <w:rPr>
          <w:lang w:val="en-GB"/>
        </w:rPr>
        <w:t>I am grateful to the participants of the Civil Liberties and Human Rights section of the Society of Legal Scholars Annual Conference held in Dublin in September 2017 for their thoughts. Special thanks to David Feldman and Alison Young for commenting on an earlier draft of this paper. Thanks also to Hayley Hooper and Findlay Stark for our useful discussions.</w:t>
      </w:r>
    </w:p>
  </w:footnote>
  <w:footnote w:id="3">
    <w:p w14:paraId="57C29735" w14:textId="6F9131F6" w:rsidR="00E55A55" w:rsidRPr="00ED09F2" w:rsidRDefault="00E55A55">
      <w:pPr>
        <w:pStyle w:val="Style1"/>
        <w:spacing w:line="480" w:lineRule="auto"/>
      </w:pPr>
      <w:r w:rsidRPr="00ED09F2">
        <w:rPr>
          <w:rStyle w:val="FootnoteReference"/>
        </w:rPr>
        <w:footnoteRef/>
      </w:r>
      <w:r w:rsidRPr="00ED09F2">
        <w:t xml:space="preserve"> </w:t>
      </w:r>
      <w:r>
        <w:t xml:space="preserve">As explained in </w:t>
      </w:r>
      <w:r w:rsidRPr="00ED09F2">
        <w:rPr>
          <w:i/>
        </w:rPr>
        <w:t>Secretary of State for the Home Department</w:t>
      </w:r>
      <w:r>
        <w:rPr>
          <w:i/>
        </w:rPr>
        <w:t xml:space="preserve"> v </w:t>
      </w:r>
      <w:r w:rsidRPr="00ED09F2">
        <w:rPr>
          <w:i/>
        </w:rPr>
        <w:t>JJ and others</w:t>
      </w:r>
      <w:r>
        <w:t xml:space="preserve"> [2007] UKHL 45;</w:t>
      </w:r>
      <w:r w:rsidRPr="00ED09F2">
        <w:t xml:space="preserve"> [2008] 1 A</w:t>
      </w:r>
      <w:r>
        <w:t>.</w:t>
      </w:r>
      <w:r w:rsidRPr="00ED09F2">
        <w:t>C</w:t>
      </w:r>
      <w:r>
        <w:t>.</w:t>
      </w:r>
      <w:r w:rsidRPr="00ED09F2">
        <w:t xml:space="preserve"> </w:t>
      </w:r>
      <w:r>
        <w:t>385 at [36]–[46]</w:t>
      </w:r>
      <w:r w:rsidRPr="00ED09F2">
        <w:t>.</w:t>
      </w:r>
    </w:p>
  </w:footnote>
  <w:footnote w:id="4">
    <w:p w14:paraId="1602F94F" w14:textId="2057363C"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and another</w:t>
      </w:r>
      <w:r>
        <w:rPr>
          <w:i/>
          <w:lang w:val="en-GB"/>
        </w:rPr>
        <w:t xml:space="preserve"> v </w:t>
      </w:r>
      <w:r w:rsidRPr="00ED09F2">
        <w:rPr>
          <w:i/>
          <w:lang w:val="en-GB"/>
        </w:rPr>
        <w:t>Commissioner of Police of the Metropolis</w:t>
      </w:r>
      <w:r>
        <w:rPr>
          <w:lang w:val="en-GB"/>
        </w:rPr>
        <w:t xml:space="preserve"> [2009] UKHL 5;</w:t>
      </w:r>
      <w:r w:rsidRPr="00ED09F2">
        <w:rPr>
          <w:lang w:val="en-GB"/>
        </w:rPr>
        <w:t xml:space="preserve"> [2009] 1 A</w:t>
      </w:r>
      <w:r>
        <w:rPr>
          <w:lang w:val="en-GB"/>
        </w:rPr>
        <w:t>.</w:t>
      </w:r>
      <w:r w:rsidRPr="00ED09F2">
        <w:rPr>
          <w:lang w:val="en-GB"/>
        </w:rPr>
        <w:t>C</w:t>
      </w:r>
      <w:r>
        <w:rPr>
          <w:lang w:val="en-GB"/>
        </w:rPr>
        <w:t>.</w:t>
      </w:r>
      <w:r w:rsidRPr="00ED09F2">
        <w:rPr>
          <w:lang w:val="en-GB"/>
        </w:rPr>
        <w:t xml:space="preserve"> 564; </w:t>
      </w:r>
      <w:r w:rsidRPr="00ED09F2">
        <w:rPr>
          <w:i/>
          <w:lang w:val="en-GB"/>
        </w:rPr>
        <w:t>Austin</w:t>
      </w:r>
      <w:r>
        <w:rPr>
          <w:i/>
          <w:lang w:val="en-GB"/>
        </w:rPr>
        <w:t xml:space="preserve"> v </w:t>
      </w:r>
      <w:r w:rsidRPr="00ED09F2">
        <w:rPr>
          <w:i/>
          <w:lang w:val="en-GB"/>
        </w:rPr>
        <w:t>U</w:t>
      </w:r>
      <w:r>
        <w:rPr>
          <w:i/>
          <w:lang w:val="en-GB"/>
        </w:rPr>
        <w:t xml:space="preserve">nited </w:t>
      </w:r>
      <w:r w:rsidRPr="00ED09F2">
        <w:rPr>
          <w:i/>
          <w:lang w:val="en-GB"/>
        </w:rPr>
        <w:t>K</w:t>
      </w:r>
      <w:r>
        <w:rPr>
          <w:i/>
          <w:lang w:val="en-GB"/>
        </w:rPr>
        <w:t>ingdom</w:t>
      </w:r>
      <w:r>
        <w:rPr>
          <w:lang w:val="en-GB"/>
        </w:rPr>
        <w:t xml:space="preserve"> </w:t>
      </w:r>
      <w:r w:rsidRPr="00220536">
        <w:rPr>
          <w:lang w:val="en-GB"/>
        </w:rPr>
        <w:t>(2012) 55 E.H.R.R. 14</w:t>
      </w:r>
      <w:r>
        <w:rPr>
          <w:lang w:val="en-GB"/>
        </w:rPr>
        <w:t xml:space="preserve"> (</w:t>
      </w:r>
      <w:r w:rsidRPr="00ED09F2">
        <w:rPr>
          <w:i/>
          <w:lang w:val="en-GB"/>
        </w:rPr>
        <w:t>Austin UKHL</w:t>
      </w:r>
      <w:r w:rsidRPr="00ED09F2">
        <w:rPr>
          <w:lang w:val="en-GB"/>
        </w:rPr>
        <w:t xml:space="preserve"> and </w:t>
      </w:r>
      <w:r w:rsidRPr="00ED09F2">
        <w:rPr>
          <w:i/>
          <w:lang w:val="en-GB"/>
        </w:rPr>
        <w:t>Austin ECtHR</w:t>
      </w:r>
      <w:r>
        <w:rPr>
          <w:lang w:val="en-GB"/>
        </w:rPr>
        <w:t xml:space="preserve"> respectively).</w:t>
      </w:r>
    </w:p>
  </w:footnote>
  <w:footnote w:id="5">
    <w:p w14:paraId="78BD59A6" w14:textId="3DDD87D9"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P</w:t>
      </w:r>
      <w:r>
        <w:rPr>
          <w:i/>
          <w:lang w:val="en-GB"/>
        </w:rPr>
        <w:t xml:space="preserve"> v </w:t>
      </w:r>
      <w:r w:rsidRPr="00ED09F2">
        <w:rPr>
          <w:i/>
          <w:lang w:val="en-GB"/>
        </w:rPr>
        <w:t>Cheshire West and Chester Council; P and Q</w:t>
      </w:r>
      <w:r>
        <w:rPr>
          <w:i/>
          <w:lang w:val="en-GB"/>
        </w:rPr>
        <w:t xml:space="preserve"> v </w:t>
      </w:r>
      <w:r w:rsidRPr="00ED09F2">
        <w:rPr>
          <w:i/>
          <w:lang w:val="en-GB"/>
        </w:rPr>
        <w:t xml:space="preserve">Surrey County Council </w:t>
      </w:r>
      <w:r>
        <w:rPr>
          <w:lang w:val="en-GB"/>
        </w:rPr>
        <w:t>[2014] UKSC 19; [2014] A.C. 896</w:t>
      </w:r>
      <w:r w:rsidRPr="00ED09F2">
        <w:rPr>
          <w:lang w:val="en-GB"/>
        </w:rPr>
        <w:t>.</w:t>
      </w:r>
    </w:p>
  </w:footnote>
  <w:footnote w:id="6">
    <w:p w14:paraId="586FEA06" w14:textId="56B8C95E" w:rsidR="005A5BA4" w:rsidRPr="008160A2" w:rsidRDefault="005A5BA4" w:rsidP="008160A2">
      <w:pPr>
        <w:pStyle w:val="FootnoteText"/>
        <w:spacing w:line="480" w:lineRule="auto"/>
        <w:rPr>
          <w:lang w:val="en-GB"/>
        </w:rPr>
      </w:pPr>
      <w:r>
        <w:rPr>
          <w:rStyle w:val="FootnoteReference"/>
        </w:rPr>
        <w:footnoteRef/>
      </w:r>
      <w:r>
        <w:t xml:space="preserve"> </w:t>
      </w:r>
      <w:r w:rsidRPr="008160A2">
        <w:rPr>
          <w:i/>
          <w:lang w:val="en-GB"/>
        </w:rPr>
        <w:t>Cheshire West</w:t>
      </w:r>
      <w:r>
        <w:rPr>
          <w:lang w:val="en-GB"/>
        </w:rPr>
        <w:t xml:space="preserve"> at [50].</w:t>
      </w:r>
    </w:p>
  </w:footnote>
  <w:footnote w:id="7">
    <w:p w14:paraId="530945FD" w14:textId="5D1C1297" w:rsidR="00E55A55" w:rsidRPr="005F4E59" w:rsidRDefault="00E55A55" w:rsidP="008160A2">
      <w:pPr>
        <w:pStyle w:val="FootnoteText"/>
        <w:spacing w:line="480" w:lineRule="auto"/>
        <w:rPr>
          <w:lang w:val="en-GB"/>
        </w:rPr>
      </w:pPr>
      <w:r>
        <w:rPr>
          <w:rStyle w:val="FootnoteReference"/>
        </w:rPr>
        <w:footnoteRef/>
      </w:r>
      <w:r>
        <w:t xml:space="preserve"> </w:t>
      </w:r>
      <w:r>
        <w:rPr>
          <w:lang w:val="en-GB"/>
        </w:rPr>
        <w:t xml:space="preserve">See </w:t>
      </w:r>
      <w:r w:rsidRPr="00320FA7">
        <w:rPr>
          <w:lang w:val="en-GB"/>
        </w:rPr>
        <w:t>also fn.1</w:t>
      </w:r>
      <w:r w:rsidR="008160A2" w:rsidRPr="00320FA7">
        <w:rPr>
          <w:lang w:val="en-GB"/>
        </w:rPr>
        <w:t>62</w:t>
      </w:r>
      <w:r w:rsidRPr="00320FA7">
        <w:rPr>
          <w:lang w:val="en-GB"/>
        </w:rPr>
        <w:t>.</w:t>
      </w:r>
    </w:p>
  </w:footnote>
  <w:footnote w:id="8">
    <w:p w14:paraId="1686178B" w14:textId="1D952DB5" w:rsidR="00E55A55" w:rsidRPr="003C5D7D" w:rsidRDefault="00E55A55">
      <w:pPr>
        <w:pStyle w:val="FootnoteText"/>
        <w:spacing w:line="480" w:lineRule="auto"/>
        <w:rPr>
          <w:lang w:val="en-GB"/>
        </w:rPr>
      </w:pPr>
      <w:r>
        <w:rPr>
          <w:rStyle w:val="FootnoteReference"/>
        </w:rPr>
        <w:footnoteRef/>
      </w:r>
      <w:r>
        <w:t xml:space="preserve"> See most recently </w:t>
      </w:r>
      <w:r w:rsidRPr="006E4ABC">
        <w:rPr>
          <w:i/>
          <w:lang w:val="en-GB"/>
        </w:rPr>
        <w:t>R. (on the application of Jollah) v Secretary of State for the Home Department</w:t>
      </w:r>
      <w:r>
        <w:rPr>
          <w:lang w:val="en-GB"/>
        </w:rPr>
        <w:t xml:space="preserve"> </w:t>
      </w:r>
      <w:r w:rsidRPr="006E4ABC">
        <w:rPr>
          <w:lang w:val="en-GB"/>
        </w:rPr>
        <w:t>[2018] EWCA Civ 1260</w:t>
      </w:r>
      <w:r>
        <w:rPr>
          <w:lang w:val="en-GB"/>
        </w:rPr>
        <w:t>.</w:t>
      </w:r>
    </w:p>
  </w:footnote>
  <w:footnote w:id="9">
    <w:p w14:paraId="358AAD66" w14:textId="0BF120B8" w:rsidR="00E55A55" w:rsidRPr="00BB335F" w:rsidRDefault="00E55A55">
      <w:pPr>
        <w:pStyle w:val="FootnoteText"/>
        <w:spacing w:line="480" w:lineRule="auto"/>
        <w:rPr>
          <w:lang w:val="en-GB"/>
        </w:rPr>
      </w:pPr>
      <w:r>
        <w:rPr>
          <w:rStyle w:val="FootnoteReference"/>
        </w:rPr>
        <w:footnoteRef/>
      </w:r>
      <w:r>
        <w:t xml:space="preserve"> </w:t>
      </w:r>
      <w:r>
        <w:rPr>
          <w:lang w:val="en-GB"/>
        </w:rPr>
        <w:t xml:space="preserve">On the meaning of “security of person” see </w:t>
      </w:r>
      <w:r>
        <w:t xml:space="preserve">R. </w:t>
      </w:r>
      <w:r>
        <w:rPr>
          <w:lang w:val="en-GB"/>
        </w:rPr>
        <w:t xml:space="preserve">Powell, “The Right to Security of Person in European Court of Human Rights Jurisprudence” (2007) 6 </w:t>
      </w:r>
      <w:r w:rsidRPr="00711897">
        <w:rPr>
          <w:lang w:val="en-GB"/>
        </w:rPr>
        <w:t>E</w:t>
      </w:r>
      <w:r>
        <w:rPr>
          <w:lang w:val="en-GB"/>
        </w:rPr>
        <w:t>.</w:t>
      </w:r>
      <w:r w:rsidRPr="00711897">
        <w:rPr>
          <w:lang w:val="en-GB"/>
        </w:rPr>
        <w:t>H</w:t>
      </w:r>
      <w:r>
        <w:rPr>
          <w:lang w:val="en-GB"/>
        </w:rPr>
        <w:t>.</w:t>
      </w:r>
      <w:r w:rsidRPr="00711897">
        <w:rPr>
          <w:lang w:val="en-GB"/>
        </w:rPr>
        <w:t>R</w:t>
      </w:r>
      <w:r>
        <w:rPr>
          <w:lang w:val="en-GB"/>
        </w:rPr>
        <w:t>.</w:t>
      </w:r>
      <w:r w:rsidRPr="00711897">
        <w:rPr>
          <w:lang w:val="en-GB"/>
        </w:rPr>
        <w:t>R</w:t>
      </w:r>
      <w:r>
        <w:rPr>
          <w:lang w:val="en-GB"/>
        </w:rPr>
        <w:t>.</w:t>
      </w:r>
      <w:r w:rsidRPr="00711897">
        <w:rPr>
          <w:lang w:val="en-GB"/>
        </w:rPr>
        <w:t xml:space="preserve"> </w:t>
      </w:r>
      <w:r>
        <w:rPr>
          <w:lang w:val="en-GB"/>
        </w:rPr>
        <w:t>649.</w:t>
      </w:r>
      <w:r w:rsidR="00061215">
        <w:rPr>
          <w:lang w:val="en-GB"/>
        </w:rPr>
        <w:t xml:space="preserve"> On </w:t>
      </w:r>
      <w:r w:rsidR="00787126">
        <w:rPr>
          <w:lang w:val="en-GB"/>
        </w:rPr>
        <w:t>art.</w:t>
      </w:r>
      <w:r w:rsidR="00061215">
        <w:rPr>
          <w:lang w:val="en-GB"/>
        </w:rPr>
        <w:t xml:space="preserve">5 generally see B. Rainey, E. Wicks and C. Ovey, </w:t>
      </w:r>
      <w:r w:rsidR="00061215" w:rsidRPr="00061215">
        <w:rPr>
          <w:i/>
          <w:lang w:val="en-GB"/>
        </w:rPr>
        <w:t>Jacobs, White and Ovey: The European Convention on Human Rights</w:t>
      </w:r>
      <w:r w:rsidR="00061215">
        <w:rPr>
          <w:lang w:val="en-GB"/>
        </w:rPr>
        <w:t xml:space="preserve">, 7th edn (Oxford: Oxford University Press, 2017), ch.11; D.J. Harris, M. O’Boyle, E.P. Bates and C.M. Buckley, </w:t>
      </w:r>
      <w:r w:rsidR="00061215" w:rsidRPr="00061215">
        <w:rPr>
          <w:i/>
          <w:lang w:val="en-GB"/>
        </w:rPr>
        <w:t>Harris, O’Boyle and Warbrick: Law of the European Convention on Human Rights</w:t>
      </w:r>
      <w:r w:rsidR="00061215">
        <w:rPr>
          <w:lang w:val="en-GB"/>
        </w:rPr>
        <w:t>, 4th edn (Oxford: Oxford University Press, 2018), ch.8.</w:t>
      </w:r>
    </w:p>
  </w:footnote>
  <w:footnote w:id="10">
    <w:p w14:paraId="478DDD38" w14:textId="561B3FAA"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Magna Carta 1215, cl.</w:t>
      </w:r>
      <w:r w:rsidRPr="00ED09F2">
        <w:rPr>
          <w:lang w:val="en-GB"/>
        </w:rPr>
        <w:t>39.</w:t>
      </w:r>
    </w:p>
  </w:footnote>
  <w:footnote w:id="11">
    <w:p w14:paraId="7135F652" w14:textId="6AEC3257" w:rsidR="00E55A55" w:rsidRPr="00ED09F2" w:rsidRDefault="00E55A55">
      <w:pPr>
        <w:pStyle w:val="FootnoteText"/>
        <w:spacing w:line="480" w:lineRule="auto"/>
        <w:rPr>
          <w:lang w:val="en-GB"/>
        </w:rPr>
      </w:pPr>
      <w:r w:rsidRPr="00ED09F2">
        <w:rPr>
          <w:rStyle w:val="FootnoteReference"/>
        </w:rPr>
        <w:footnoteRef/>
      </w:r>
      <w:r>
        <w:t xml:space="preserve"> M.</w:t>
      </w:r>
      <w:r w:rsidRPr="00ED09F2">
        <w:t xml:space="preserve"> Macovei, </w:t>
      </w:r>
      <w:r w:rsidRPr="00ED09F2">
        <w:rPr>
          <w:i/>
        </w:rPr>
        <w:t>The Right to Liberty and Security of the Person: A Guide to the Implementation of Article 5 of the European Convention on Human Rights</w:t>
      </w:r>
      <w:r w:rsidRPr="00ED09F2">
        <w:t xml:space="preserve"> </w:t>
      </w:r>
      <w:r w:rsidRPr="00ED09F2">
        <w:rPr>
          <w:lang w:val="en-GB"/>
        </w:rPr>
        <w:t>(</w:t>
      </w:r>
      <w:r>
        <w:rPr>
          <w:lang w:val="en-GB"/>
        </w:rPr>
        <w:t xml:space="preserve">Strasbourg: Council of Europe, </w:t>
      </w:r>
      <w:r w:rsidRPr="00ED09F2">
        <w:rPr>
          <w:lang w:val="en-GB"/>
        </w:rPr>
        <w:t>2004)</w:t>
      </w:r>
      <w:r>
        <w:rPr>
          <w:lang w:val="en-GB"/>
        </w:rPr>
        <w:t>, p.</w:t>
      </w:r>
      <w:r w:rsidRPr="00ED09F2">
        <w:rPr>
          <w:lang w:val="en-GB"/>
        </w:rPr>
        <w:t>6.</w:t>
      </w:r>
    </w:p>
  </w:footnote>
  <w:footnote w:id="12">
    <w:p w14:paraId="463E860B" w14:textId="1FB2785C" w:rsidR="00E55A55" w:rsidRPr="00ED09F2" w:rsidRDefault="00E55A55">
      <w:pPr>
        <w:pStyle w:val="FootnoteText"/>
        <w:spacing w:line="480" w:lineRule="auto"/>
        <w:rPr>
          <w:lang w:val="en-GB"/>
        </w:rPr>
      </w:pPr>
      <w:r w:rsidRPr="00ED09F2">
        <w:rPr>
          <w:rStyle w:val="FootnoteReference"/>
        </w:rPr>
        <w:footnoteRef/>
      </w:r>
      <w:r w:rsidRPr="00ED09F2">
        <w:t xml:space="preserve"> </w:t>
      </w:r>
      <w:r>
        <w:t xml:space="preserve">Although breach of the peace is not a crime in English law, it is categorised as such for the ECHR’s purposes: </w:t>
      </w:r>
      <w:r w:rsidRPr="00ED09F2">
        <w:rPr>
          <w:i/>
          <w:lang w:val="en-GB"/>
        </w:rPr>
        <w:t>Steel</w:t>
      </w:r>
      <w:r>
        <w:rPr>
          <w:i/>
          <w:lang w:val="en-GB"/>
        </w:rPr>
        <w:t xml:space="preserve"> v </w:t>
      </w:r>
      <w:r w:rsidRPr="00ED09F2">
        <w:rPr>
          <w:i/>
          <w:lang w:val="en-GB"/>
        </w:rPr>
        <w:t>United Kingdom</w:t>
      </w:r>
      <w:r w:rsidRPr="000D5439">
        <w:t xml:space="preserve"> </w:t>
      </w:r>
      <w:r w:rsidRPr="000D5439">
        <w:rPr>
          <w:lang w:val="en-GB"/>
        </w:rPr>
        <w:t>(1999) 28 E.H.R.R. 603</w:t>
      </w:r>
      <w:r w:rsidRPr="00ED09F2">
        <w:rPr>
          <w:lang w:val="en-GB"/>
        </w:rPr>
        <w:t>.</w:t>
      </w:r>
    </w:p>
  </w:footnote>
  <w:footnote w:id="13">
    <w:p w14:paraId="462E956F" w14:textId="161A83B3"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C</w:t>
      </w:r>
      <w:r w:rsidRPr="00ED09F2">
        <w:rPr>
          <w:lang w:val="en-GB"/>
        </w:rPr>
        <w:t>f</w:t>
      </w:r>
      <w:r>
        <w:rPr>
          <w:lang w:val="en-GB"/>
        </w:rPr>
        <w:t>.</w:t>
      </w:r>
      <w:r w:rsidRPr="00ED09F2">
        <w:rPr>
          <w:lang w:val="en-GB"/>
        </w:rPr>
        <w:t xml:space="preserve"> </w:t>
      </w:r>
      <w:r w:rsidRPr="00ED09F2">
        <w:rPr>
          <w:i/>
          <w:lang w:val="en-GB"/>
        </w:rPr>
        <w:t>Austin and Saxby</w:t>
      </w:r>
      <w:r>
        <w:rPr>
          <w:i/>
          <w:lang w:val="en-GB"/>
        </w:rPr>
        <w:t xml:space="preserve"> v </w:t>
      </w:r>
      <w:r w:rsidRPr="00ED09F2">
        <w:rPr>
          <w:i/>
          <w:lang w:val="en-GB"/>
        </w:rPr>
        <w:t>Commissioner of Police of the Metropolis</w:t>
      </w:r>
      <w:r>
        <w:rPr>
          <w:lang w:val="en-GB"/>
        </w:rPr>
        <w:t xml:space="preserve"> [2005] EWHC 480;</w:t>
      </w:r>
      <w:r w:rsidRPr="00ED09F2">
        <w:rPr>
          <w:lang w:val="en-GB"/>
        </w:rPr>
        <w:t xml:space="preserve"> [2005] H</w:t>
      </w:r>
      <w:r>
        <w:rPr>
          <w:lang w:val="en-GB"/>
        </w:rPr>
        <w:t>.</w:t>
      </w:r>
      <w:r w:rsidRPr="00ED09F2">
        <w:rPr>
          <w:lang w:val="en-GB"/>
        </w:rPr>
        <w:t>R</w:t>
      </w:r>
      <w:r>
        <w:rPr>
          <w:lang w:val="en-GB"/>
        </w:rPr>
        <w:t>.</w:t>
      </w:r>
      <w:r w:rsidRPr="00ED09F2">
        <w:rPr>
          <w:lang w:val="en-GB"/>
        </w:rPr>
        <w:t>L</w:t>
      </w:r>
      <w:r>
        <w:rPr>
          <w:lang w:val="en-GB"/>
        </w:rPr>
        <w:t>.</w:t>
      </w:r>
      <w:r w:rsidRPr="00ED09F2">
        <w:rPr>
          <w:lang w:val="en-GB"/>
        </w:rPr>
        <w:t>R</w:t>
      </w:r>
      <w:r>
        <w:rPr>
          <w:lang w:val="en-GB"/>
        </w:rPr>
        <w:t>.</w:t>
      </w:r>
      <w:r w:rsidRPr="00ED09F2">
        <w:rPr>
          <w:lang w:val="en-GB"/>
        </w:rPr>
        <w:t xml:space="preserve"> 20 (</w:t>
      </w:r>
      <w:r w:rsidRPr="00ED09F2">
        <w:rPr>
          <w:i/>
          <w:lang w:val="en-GB"/>
        </w:rPr>
        <w:t>Austin EWHC</w:t>
      </w:r>
      <w:r>
        <w:rPr>
          <w:lang w:val="en-GB"/>
        </w:rPr>
        <w:t>).</w:t>
      </w:r>
    </w:p>
  </w:footnote>
  <w:footnote w:id="14">
    <w:p w14:paraId="0EA5E7A1" w14:textId="5C1BB8FA"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ECtHR</w:t>
      </w:r>
      <w:r>
        <w:rPr>
          <w:lang w:val="en-GB"/>
        </w:rPr>
        <w:t xml:space="preserve"> at [28]</w:t>
      </w:r>
      <w:r w:rsidRPr="00ED09F2">
        <w:rPr>
          <w:lang w:val="en-GB"/>
        </w:rPr>
        <w:t>.</w:t>
      </w:r>
    </w:p>
  </w:footnote>
  <w:footnote w:id="15">
    <w:p w14:paraId="4CD00564" w14:textId="68829F20" w:rsidR="00E55A55" w:rsidRPr="00D56AAA" w:rsidRDefault="00E55A55">
      <w:pPr>
        <w:pStyle w:val="FootnoteText"/>
        <w:spacing w:line="480" w:lineRule="auto"/>
        <w:rPr>
          <w:lang w:val="en-GB"/>
        </w:rPr>
      </w:pPr>
      <w:r>
        <w:rPr>
          <w:rStyle w:val="FootnoteReference"/>
        </w:rPr>
        <w:footnoteRef/>
      </w:r>
      <w:r>
        <w:t xml:space="preserve"> </w:t>
      </w:r>
      <w:r>
        <w:rPr>
          <w:lang w:val="en-GB"/>
        </w:rPr>
        <w:t>Lord Wilson, “Our Human Rights: A Joint Effort?” (The Howard J. Trienens Lecture) (2018), p.8.</w:t>
      </w:r>
    </w:p>
  </w:footnote>
  <w:footnote w:id="16">
    <w:p w14:paraId="4B5B675C" w14:textId="4D01E0D9"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rPr>
        <w:t>A</w:t>
      </w:r>
      <w:r>
        <w:rPr>
          <w:i/>
        </w:rPr>
        <w:t xml:space="preserve"> v </w:t>
      </w:r>
      <w:r w:rsidRPr="00ED09F2">
        <w:rPr>
          <w:i/>
        </w:rPr>
        <w:t>U</w:t>
      </w:r>
      <w:r>
        <w:rPr>
          <w:i/>
        </w:rPr>
        <w:t xml:space="preserve">nited </w:t>
      </w:r>
      <w:r w:rsidRPr="00ED09F2">
        <w:rPr>
          <w:i/>
        </w:rPr>
        <w:t>K</w:t>
      </w:r>
      <w:r>
        <w:rPr>
          <w:i/>
        </w:rPr>
        <w:t>ingdom</w:t>
      </w:r>
      <w:r w:rsidRPr="00BE2D39">
        <w:t xml:space="preserve"> (2009) 49 E.H.R.R. 29 </w:t>
      </w:r>
      <w:r>
        <w:t xml:space="preserve">at </w:t>
      </w:r>
      <w:r>
        <w:rPr>
          <w:lang w:val="en-GB"/>
        </w:rPr>
        <w:t>[171]</w:t>
      </w:r>
      <w:r w:rsidRPr="00ED09F2">
        <w:rPr>
          <w:lang w:val="en-GB"/>
        </w:rPr>
        <w:t>.</w:t>
      </w:r>
    </w:p>
  </w:footnote>
  <w:footnote w:id="17">
    <w:p w14:paraId="1318A74C" w14:textId="01FB73B3"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Al-Jedda</w:t>
      </w:r>
      <w:r>
        <w:rPr>
          <w:i/>
          <w:lang w:val="en-GB"/>
        </w:rPr>
        <w:t xml:space="preserve"> v </w:t>
      </w:r>
      <w:r w:rsidRPr="00ED09F2">
        <w:rPr>
          <w:i/>
          <w:lang w:val="en-GB"/>
        </w:rPr>
        <w:t>U</w:t>
      </w:r>
      <w:r>
        <w:rPr>
          <w:i/>
          <w:lang w:val="en-GB"/>
        </w:rPr>
        <w:t xml:space="preserve">nited </w:t>
      </w:r>
      <w:r w:rsidRPr="00ED09F2">
        <w:rPr>
          <w:i/>
          <w:lang w:val="en-GB"/>
        </w:rPr>
        <w:t>K</w:t>
      </w:r>
      <w:r>
        <w:rPr>
          <w:i/>
          <w:lang w:val="en-GB"/>
        </w:rPr>
        <w:t>ingdom</w:t>
      </w:r>
      <w:r w:rsidRPr="00BE2D39">
        <w:t xml:space="preserve"> </w:t>
      </w:r>
      <w:r w:rsidRPr="00BE2D39">
        <w:rPr>
          <w:lang w:val="en-GB"/>
        </w:rPr>
        <w:t>(2011) 53 E.H.R.R. 23</w:t>
      </w:r>
      <w:r>
        <w:rPr>
          <w:lang w:val="en-GB"/>
        </w:rPr>
        <w:t xml:space="preserve"> at</w:t>
      </w:r>
      <w:r w:rsidRPr="00BE2D39">
        <w:rPr>
          <w:lang w:val="en-GB"/>
        </w:rPr>
        <w:t xml:space="preserve"> </w:t>
      </w:r>
      <w:r>
        <w:rPr>
          <w:lang w:val="en-GB"/>
        </w:rPr>
        <w:t>[99]</w:t>
      </w:r>
      <w:r w:rsidRPr="00ED09F2">
        <w:rPr>
          <w:lang w:val="en-GB"/>
        </w:rPr>
        <w:t>.</w:t>
      </w:r>
    </w:p>
  </w:footnote>
  <w:footnote w:id="18">
    <w:p w14:paraId="33D6CD7A" w14:textId="4B5E8C30"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ECtHR</w:t>
      </w:r>
      <w:r>
        <w:rPr>
          <w:lang w:val="en-GB"/>
        </w:rPr>
        <w:t xml:space="preserve"> at [53]</w:t>
      </w:r>
      <w:r w:rsidRPr="00ED09F2">
        <w:rPr>
          <w:lang w:val="en-GB"/>
        </w:rPr>
        <w:t>.</w:t>
      </w:r>
    </w:p>
  </w:footnote>
  <w:footnote w:id="19">
    <w:p w14:paraId="731958BB"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Saadi</w:t>
      </w:r>
      <w:r>
        <w:rPr>
          <w:i/>
          <w:lang w:val="en-GB"/>
        </w:rPr>
        <w:t xml:space="preserve"> v </w:t>
      </w:r>
      <w:r w:rsidRPr="00ED09F2">
        <w:rPr>
          <w:i/>
          <w:lang w:val="en-GB"/>
        </w:rPr>
        <w:t>U</w:t>
      </w:r>
      <w:r>
        <w:rPr>
          <w:i/>
          <w:lang w:val="en-GB"/>
        </w:rPr>
        <w:t xml:space="preserve">nited </w:t>
      </w:r>
      <w:r w:rsidRPr="00ED09F2">
        <w:rPr>
          <w:i/>
          <w:lang w:val="en-GB"/>
        </w:rPr>
        <w:t>K</w:t>
      </w:r>
      <w:r>
        <w:rPr>
          <w:i/>
          <w:lang w:val="en-GB"/>
        </w:rPr>
        <w:t>ingdom</w:t>
      </w:r>
      <w:r w:rsidRPr="00BE2D39">
        <w:t xml:space="preserve"> </w:t>
      </w:r>
      <w:r w:rsidRPr="00BE2D39">
        <w:rPr>
          <w:lang w:val="en-GB"/>
        </w:rPr>
        <w:t xml:space="preserve">(2008) 47 E.H.R.R. 17 </w:t>
      </w:r>
      <w:r>
        <w:rPr>
          <w:lang w:val="en-GB"/>
        </w:rPr>
        <w:t>at [68]</w:t>
      </w:r>
      <w:r w:rsidRPr="00ED09F2">
        <w:rPr>
          <w:lang w:val="en-GB"/>
        </w:rPr>
        <w:t>.</w:t>
      </w:r>
    </w:p>
  </w:footnote>
  <w:footnote w:id="20">
    <w:p w14:paraId="2E6DECFB"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BE2D39">
        <w:rPr>
          <w:i/>
          <w:lang w:val="en-GB"/>
        </w:rPr>
        <w:t>Saadi</w:t>
      </w:r>
      <w:r>
        <w:rPr>
          <w:lang w:val="en-GB"/>
        </w:rPr>
        <w:t xml:space="preserve"> at [74]</w:t>
      </w:r>
      <w:r w:rsidRPr="00ED09F2">
        <w:rPr>
          <w:lang w:val="en-GB"/>
        </w:rPr>
        <w:t>.</w:t>
      </w:r>
    </w:p>
  </w:footnote>
  <w:footnote w:id="21">
    <w:p w14:paraId="4A291427"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t xml:space="preserve">D. </w:t>
      </w:r>
      <w:r w:rsidRPr="00ED09F2">
        <w:rPr>
          <w:lang w:val="en-GB"/>
        </w:rPr>
        <w:t xml:space="preserve">Feldman, </w:t>
      </w:r>
      <w:r>
        <w:rPr>
          <w:lang w:val="en-GB"/>
        </w:rPr>
        <w:t>“</w:t>
      </w:r>
      <w:r w:rsidRPr="00ED09F2">
        <w:rPr>
          <w:lang w:val="en-GB"/>
        </w:rPr>
        <w:t>Containment, Deprivation of Liberty and Breach of the Peace</w:t>
      </w:r>
      <w:r>
        <w:rPr>
          <w:lang w:val="en-GB"/>
        </w:rPr>
        <w:t xml:space="preserve">” (2009) </w:t>
      </w:r>
      <w:r w:rsidRPr="00ED09F2">
        <w:rPr>
          <w:lang w:val="en-GB"/>
        </w:rPr>
        <w:t xml:space="preserve">68 </w:t>
      </w:r>
      <w:r w:rsidRPr="00E103DD">
        <w:rPr>
          <w:lang w:val="en-GB"/>
        </w:rPr>
        <w:t>C</w:t>
      </w:r>
      <w:r>
        <w:rPr>
          <w:lang w:val="en-GB"/>
        </w:rPr>
        <w:t>.</w:t>
      </w:r>
      <w:r w:rsidRPr="00E103DD">
        <w:rPr>
          <w:lang w:val="en-GB"/>
        </w:rPr>
        <w:t>L</w:t>
      </w:r>
      <w:r>
        <w:rPr>
          <w:lang w:val="en-GB"/>
        </w:rPr>
        <w:t>.</w:t>
      </w:r>
      <w:r w:rsidRPr="00E103DD">
        <w:rPr>
          <w:lang w:val="en-GB"/>
        </w:rPr>
        <w:t>J</w:t>
      </w:r>
      <w:r>
        <w:rPr>
          <w:lang w:val="en-GB"/>
        </w:rPr>
        <w:t>.</w:t>
      </w:r>
      <w:r w:rsidRPr="00E103DD">
        <w:rPr>
          <w:lang w:val="en-GB"/>
        </w:rPr>
        <w:t xml:space="preserve"> </w:t>
      </w:r>
      <w:r>
        <w:rPr>
          <w:lang w:val="en-GB"/>
        </w:rPr>
        <w:t>243, 243–24</w:t>
      </w:r>
      <w:r w:rsidRPr="00ED09F2">
        <w:rPr>
          <w:lang w:val="en-GB"/>
        </w:rPr>
        <w:t>4.</w:t>
      </w:r>
    </w:p>
  </w:footnote>
  <w:footnote w:id="22">
    <w:p w14:paraId="0EFC6EEF" w14:textId="183BDB73" w:rsidR="00E55A55" w:rsidRPr="00ED09F2" w:rsidRDefault="00E55A55">
      <w:pPr>
        <w:pStyle w:val="FootnoteText"/>
        <w:spacing w:line="480" w:lineRule="auto"/>
        <w:rPr>
          <w:lang w:val="en-GB"/>
        </w:rPr>
      </w:pPr>
      <w:r w:rsidRPr="00ED09F2">
        <w:rPr>
          <w:rStyle w:val="FootnoteReference"/>
        </w:rPr>
        <w:footnoteRef/>
      </w:r>
      <w:r w:rsidRPr="00ED09F2">
        <w:t xml:space="preserve"> </w:t>
      </w:r>
      <w:r>
        <w:t xml:space="preserve">M. </w:t>
      </w:r>
      <w:r w:rsidRPr="00ED09F2">
        <w:rPr>
          <w:lang w:val="en-GB"/>
        </w:rPr>
        <w:t xml:space="preserve">Hamilton, </w:t>
      </w:r>
      <w:r>
        <w:rPr>
          <w:lang w:val="en-GB"/>
        </w:rPr>
        <w:t>“‘Kettling’</w:t>
      </w:r>
      <w:r w:rsidRPr="00ED09F2">
        <w:rPr>
          <w:lang w:val="en-GB"/>
        </w:rPr>
        <w:t xml:space="preserve"> and Article 5(1) ECHR: </w:t>
      </w:r>
      <w:r>
        <w:rPr>
          <w:i/>
          <w:lang w:val="en-GB"/>
        </w:rPr>
        <w:t>Austin and o</w:t>
      </w:r>
      <w:r w:rsidRPr="00ED09F2">
        <w:rPr>
          <w:i/>
          <w:lang w:val="en-GB"/>
        </w:rPr>
        <w:t>thers</w:t>
      </w:r>
      <w:r>
        <w:rPr>
          <w:i/>
          <w:lang w:val="en-GB"/>
        </w:rPr>
        <w:t xml:space="preserve"> v </w:t>
      </w:r>
      <w:r w:rsidRPr="00ED09F2">
        <w:rPr>
          <w:i/>
          <w:lang w:val="en-GB"/>
        </w:rPr>
        <w:t>UK</w:t>
      </w:r>
      <w:r w:rsidRPr="00ED09F2">
        <w:rPr>
          <w:lang w:val="en-GB"/>
        </w:rPr>
        <w:t xml:space="preserve"> (2012)</w:t>
      </w:r>
      <w:r>
        <w:rPr>
          <w:lang w:val="en-GB"/>
        </w:rPr>
        <w:t>”</w:t>
      </w:r>
      <w:r w:rsidRPr="00ED09F2">
        <w:rPr>
          <w:lang w:val="en-GB"/>
        </w:rPr>
        <w:t xml:space="preserve"> </w:t>
      </w:r>
      <w:r w:rsidRPr="002A473D">
        <w:rPr>
          <w:lang w:val="en-GB"/>
        </w:rPr>
        <w:t>ECHR Blog</w:t>
      </w:r>
      <w:r w:rsidRPr="00ED09F2">
        <w:rPr>
          <w:lang w:val="en-GB"/>
        </w:rPr>
        <w:t xml:space="preserve"> (2012).</w:t>
      </w:r>
    </w:p>
  </w:footnote>
  <w:footnote w:id="23">
    <w:p w14:paraId="0A04E53A" w14:textId="756F6C8B"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Hamilton, “‘Kettling’ and Article 5(1) ECHR”.</w:t>
      </w:r>
    </w:p>
  </w:footnote>
  <w:footnote w:id="24">
    <w:p w14:paraId="283625E3" w14:textId="460C2BB0"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UKHL</w:t>
      </w:r>
      <w:r>
        <w:rPr>
          <w:lang w:val="en-GB"/>
        </w:rPr>
        <w:t xml:space="preserve"> at [18]</w:t>
      </w:r>
      <w:r w:rsidRPr="00ED09F2">
        <w:rPr>
          <w:lang w:val="en-GB"/>
        </w:rPr>
        <w:t>.</w:t>
      </w:r>
    </w:p>
  </w:footnote>
  <w:footnote w:id="25">
    <w:p w14:paraId="529B52A7" w14:textId="33ABE655" w:rsidR="00E55A55" w:rsidRPr="00ED09F2" w:rsidRDefault="00E55A55">
      <w:pPr>
        <w:pStyle w:val="Style1"/>
        <w:spacing w:line="480" w:lineRule="auto"/>
        <w:rPr>
          <w:lang w:val="en-GB"/>
        </w:rPr>
      </w:pPr>
      <w:r w:rsidRPr="00ED09F2">
        <w:rPr>
          <w:rStyle w:val="FootnoteReference"/>
        </w:rPr>
        <w:footnoteRef/>
      </w:r>
      <w:r w:rsidRPr="00ED09F2">
        <w:t xml:space="preserve"> </w:t>
      </w:r>
      <w:r>
        <w:t xml:space="preserve">R. </w:t>
      </w:r>
      <w:r w:rsidRPr="00ED09F2">
        <w:rPr>
          <w:lang w:val="en-GB"/>
        </w:rPr>
        <w:t xml:space="preserve">Stone, </w:t>
      </w:r>
      <w:bookmarkStart w:id="1" w:name="OLE_LINK1"/>
      <w:r>
        <w:rPr>
          <w:lang w:val="en-GB"/>
        </w:rPr>
        <w:t>“</w:t>
      </w:r>
      <w:r w:rsidRPr="00ED09F2">
        <w:rPr>
          <w:lang w:val="en-GB"/>
        </w:rPr>
        <w:t>Deprivation of Liberty</w:t>
      </w:r>
      <w:bookmarkEnd w:id="1"/>
      <w:r w:rsidRPr="00ED09F2">
        <w:rPr>
          <w:lang w:val="en-GB"/>
        </w:rPr>
        <w:t>: The Scope of Article 5 of the European Convention on</w:t>
      </w:r>
      <w:r>
        <w:rPr>
          <w:lang w:val="en-GB"/>
        </w:rPr>
        <w:t xml:space="preserve"> Human Rights” (2012) 1 </w:t>
      </w:r>
      <w:r w:rsidRPr="002A473D">
        <w:rPr>
          <w:lang w:val="en-GB"/>
        </w:rPr>
        <w:t>E</w:t>
      </w:r>
      <w:r>
        <w:rPr>
          <w:lang w:val="en-GB"/>
        </w:rPr>
        <w:t>.</w:t>
      </w:r>
      <w:r w:rsidRPr="002A473D">
        <w:rPr>
          <w:lang w:val="en-GB"/>
        </w:rPr>
        <w:t>H</w:t>
      </w:r>
      <w:r>
        <w:rPr>
          <w:lang w:val="en-GB"/>
        </w:rPr>
        <w:t>.</w:t>
      </w:r>
      <w:r w:rsidRPr="002A473D">
        <w:rPr>
          <w:lang w:val="en-GB"/>
        </w:rPr>
        <w:t>R</w:t>
      </w:r>
      <w:r>
        <w:rPr>
          <w:lang w:val="en-GB"/>
        </w:rPr>
        <w:t>.</w:t>
      </w:r>
      <w:r w:rsidRPr="002A473D">
        <w:rPr>
          <w:lang w:val="en-GB"/>
        </w:rPr>
        <w:t>L</w:t>
      </w:r>
      <w:r>
        <w:rPr>
          <w:lang w:val="en-GB"/>
        </w:rPr>
        <w:t>.</w:t>
      </w:r>
      <w:r w:rsidRPr="002A473D">
        <w:rPr>
          <w:lang w:val="en-GB"/>
        </w:rPr>
        <w:t>R</w:t>
      </w:r>
      <w:r>
        <w:rPr>
          <w:lang w:val="en-GB"/>
        </w:rPr>
        <w:t>.</w:t>
      </w:r>
      <w:r w:rsidRPr="002A473D">
        <w:rPr>
          <w:lang w:val="en-GB"/>
        </w:rPr>
        <w:t xml:space="preserve"> </w:t>
      </w:r>
      <w:r w:rsidRPr="00ED09F2">
        <w:rPr>
          <w:lang w:val="en-GB"/>
        </w:rPr>
        <w:t xml:space="preserve">46, </w:t>
      </w:r>
      <w:r>
        <w:rPr>
          <w:lang w:val="en-GB"/>
        </w:rPr>
        <w:t xml:space="preserve">52, 56; </w:t>
      </w:r>
      <w:r w:rsidRPr="00ED09F2">
        <w:rPr>
          <w:i/>
          <w:lang w:val="en-GB"/>
        </w:rPr>
        <w:t>Storck</w:t>
      </w:r>
      <w:r>
        <w:rPr>
          <w:i/>
          <w:lang w:val="en-GB"/>
        </w:rPr>
        <w:t xml:space="preserve"> v </w:t>
      </w:r>
      <w:r w:rsidRPr="00ED09F2">
        <w:rPr>
          <w:i/>
          <w:lang w:val="en-GB"/>
        </w:rPr>
        <w:t>Germany</w:t>
      </w:r>
      <w:r w:rsidRPr="006744F7">
        <w:t xml:space="preserve"> </w:t>
      </w:r>
      <w:r w:rsidRPr="006744F7">
        <w:rPr>
          <w:lang w:val="en-GB"/>
        </w:rPr>
        <w:t xml:space="preserve">(2006) 43 E.H.R.R. 6 </w:t>
      </w:r>
      <w:r>
        <w:rPr>
          <w:lang w:val="en-GB"/>
        </w:rPr>
        <w:t>at [74]</w:t>
      </w:r>
      <w:r w:rsidRPr="00ED09F2">
        <w:rPr>
          <w:lang w:val="en-GB"/>
        </w:rPr>
        <w:t>.</w:t>
      </w:r>
    </w:p>
  </w:footnote>
  <w:footnote w:id="26">
    <w:p w14:paraId="5189788D" w14:textId="061DCED1" w:rsidR="00E55A55" w:rsidRPr="009C3133" w:rsidRDefault="00E55A55">
      <w:pPr>
        <w:pStyle w:val="FootnoteText"/>
        <w:spacing w:line="480" w:lineRule="auto"/>
        <w:rPr>
          <w:lang w:val="en-GB"/>
        </w:rPr>
      </w:pPr>
      <w:r>
        <w:rPr>
          <w:rStyle w:val="FootnoteReference"/>
        </w:rPr>
        <w:footnoteRef/>
      </w:r>
      <w:r>
        <w:t xml:space="preserve"> </w:t>
      </w:r>
      <w:r w:rsidRPr="00ED09F2">
        <w:rPr>
          <w:i/>
          <w:lang w:val="en-GB"/>
        </w:rPr>
        <w:t>Guzzardi</w:t>
      </w:r>
      <w:r>
        <w:rPr>
          <w:i/>
          <w:lang w:val="en-GB"/>
        </w:rPr>
        <w:t xml:space="preserve"> v </w:t>
      </w:r>
      <w:r w:rsidRPr="00ED09F2">
        <w:rPr>
          <w:i/>
          <w:lang w:val="en-GB"/>
        </w:rPr>
        <w:t>Italy</w:t>
      </w:r>
      <w:r w:rsidRPr="00BE2D39">
        <w:t xml:space="preserve"> </w:t>
      </w:r>
      <w:r w:rsidRPr="00BE2D39">
        <w:rPr>
          <w:lang w:val="en-GB"/>
        </w:rPr>
        <w:t>(1981) 3 E.H.R.R. 333</w:t>
      </w:r>
      <w:r>
        <w:rPr>
          <w:lang w:val="en-GB"/>
        </w:rPr>
        <w:t>.</w:t>
      </w:r>
    </w:p>
  </w:footnote>
  <w:footnote w:id="27">
    <w:p w14:paraId="47F04D01" w14:textId="60391155"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Engel and others</w:t>
      </w:r>
      <w:r>
        <w:rPr>
          <w:i/>
          <w:lang w:val="en-GB"/>
        </w:rPr>
        <w:t xml:space="preserve"> v </w:t>
      </w:r>
      <w:r w:rsidRPr="00ED09F2">
        <w:rPr>
          <w:i/>
          <w:lang w:val="en-GB"/>
        </w:rPr>
        <w:t>Netherland</w:t>
      </w:r>
      <w:r>
        <w:rPr>
          <w:i/>
          <w:lang w:val="en-GB"/>
        </w:rPr>
        <w:t>s</w:t>
      </w:r>
      <w:r>
        <w:rPr>
          <w:lang w:val="en-GB"/>
        </w:rPr>
        <w:t xml:space="preserve"> (1979–</w:t>
      </w:r>
      <w:r w:rsidRPr="00C62A57">
        <w:rPr>
          <w:lang w:val="en-GB"/>
        </w:rPr>
        <w:t>80) 1 E.H.R.R. 647</w:t>
      </w:r>
      <w:r>
        <w:rPr>
          <w:lang w:val="en-GB"/>
        </w:rPr>
        <w:t xml:space="preserve"> at [58]. See also</w:t>
      </w:r>
      <w:r w:rsidRPr="00ED09F2">
        <w:rPr>
          <w:lang w:val="en-GB"/>
        </w:rPr>
        <w:t xml:space="preserve"> </w:t>
      </w:r>
      <w:r w:rsidRPr="00ED09F2">
        <w:rPr>
          <w:i/>
          <w:lang w:val="en-GB"/>
        </w:rPr>
        <w:t>Guzzardi</w:t>
      </w:r>
      <w:r>
        <w:rPr>
          <w:lang w:val="en-GB"/>
        </w:rPr>
        <w:t xml:space="preserve"> at [92]</w:t>
      </w:r>
      <w:r w:rsidRPr="00ED09F2">
        <w:rPr>
          <w:lang w:val="en-GB"/>
        </w:rPr>
        <w:t xml:space="preserve">; </w:t>
      </w:r>
      <w:r>
        <w:rPr>
          <w:i/>
          <w:lang w:val="en-GB"/>
        </w:rPr>
        <w:t>JJ</w:t>
      </w:r>
      <w:r>
        <w:rPr>
          <w:lang w:val="en-GB"/>
        </w:rPr>
        <w:t xml:space="preserve"> at [36], [57]</w:t>
      </w:r>
      <w:r w:rsidRPr="00ED09F2">
        <w:rPr>
          <w:lang w:val="en-GB"/>
        </w:rPr>
        <w:t>.</w:t>
      </w:r>
    </w:p>
  </w:footnote>
  <w:footnote w:id="28">
    <w:p w14:paraId="7470E1F3" w14:textId="681C93F5"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Cheshire West</w:t>
      </w:r>
      <w:r>
        <w:rPr>
          <w:lang w:val="en-GB"/>
        </w:rPr>
        <w:t xml:space="preserve"> at [46].</w:t>
      </w:r>
    </w:p>
  </w:footnote>
  <w:footnote w:id="29">
    <w:p w14:paraId="5A643C3B" w14:textId="752B5F15" w:rsidR="00E55A55" w:rsidRPr="00ED09F2" w:rsidRDefault="00E55A55">
      <w:pPr>
        <w:pStyle w:val="FootnoteText"/>
        <w:spacing w:line="480" w:lineRule="auto"/>
        <w:rPr>
          <w:lang w:val="en-GB"/>
        </w:rPr>
      </w:pPr>
      <w:r w:rsidRPr="00ED09F2">
        <w:rPr>
          <w:rStyle w:val="FootnoteReference"/>
        </w:rPr>
        <w:footnoteRef/>
      </w:r>
      <w:r>
        <w:t xml:space="preserve"> J.S.</w:t>
      </w:r>
      <w:r w:rsidRPr="00ED09F2">
        <w:t xml:space="preserve"> Mill, </w:t>
      </w:r>
      <w:r w:rsidRPr="00ED09F2">
        <w:rPr>
          <w:i/>
          <w:lang w:val="en-GB"/>
        </w:rPr>
        <w:t>On Liberty</w:t>
      </w:r>
      <w:r w:rsidRPr="00ED09F2">
        <w:rPr>
          <w:lang w:val="en-GB"/>
        </w:rPr>
        <w:t xml:space="preserve"> (</w:t>
      </w:r>
      <w:r>
        <w:rPr>
          <w:lang w:val="en-GB"/>
        </w:rPr>
        <w:t xml:space="preserve">Harmondsworth: Penguin, </w:t>
      </w:r>
      <w:r w:rsidRPr="00ED09F2">
        <w:rPr>
          <w:lang w:val="en-GB"/>
        </w:rPr>
        <w:t>1984)</w:t>
      </w:r>
      <w:r>
        <w:t>, p.</w:t>
      </w:r>
      <w:r w:rsidRPr="00ED09F2">
        <w:rPr>
          <w:lang w:val="en-GB"/>
        </w:rPr>
        <w:t>71.</w:t>
      </w:r>
    </w:p>
  </w:footnote>
  <w:footnote w:id="30">
    <w:p w14:paraId="082AE276" w14:textId="66E130DE"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Cheshire West</w:t>
      </w:r>
      <w:r>
        <w:rPr>
          <w:lang w:val="en-GB"/>
        </w:rPr>
        <w:t xml:space="preserve"> at [14], [17]</w:t>
      </w:r>
      <w:r w:rsidRPr="00ED09F2">
        <w:rPr>
          <w:lang w:val="en-GB"/>
        </w:rPr>
        <w:t xml:space="preserve">; </w:t>
      </w:r>
      <w:r w:rsidRPr="00ED09F2">
        <w:rPr>
          <w:i/>
          <w:lang w:val="en-GB"/>
        </w:rPr>
        <w:t xml:space="preserve">Guzzardi </w:t>
      </w:r>
      <w:r>
        <w:rPr>
          <w:lang w:val="en-GB"/>
        </w:rPr>
        <w:t>at [49]</w:t>
      </w:r>
      <w:r w:rsidRPr="00ED09F2">
        <w:rPr>
          <w:lang w:val="en-GB"/>
        </w:rPr>
        <w:t xml:space="preserve">; </w:t>
      </w:r>
      <w:r>
        <w:rPr>
          <w:i/>
          <w:lang w:val="en-GB"/>
        </w:rPr>
        <w:t>JJ</w:t>
      </w:r>
      <w:r>
        <w:rPr>
          <w:lang w:val="en-GB"/>
        </w:rPr>
        <w:t xml:space="preserve"> at [45]</w:t>
      </w:r>
      <w:r w:rsidRPr="00ED09F2">
        <w:rPr>
          <w:lang w:val="en-GB"/>
        </w:rPr>
        <w:t>.</w:t>
      </w:r>
    </w:p>
  </w:footnote>
  <w:footnote w:id="31">
    <w:p w14:paraId="21C5BB3E" w14:textId="41EEFE46" w:rsidR="00E55A55" w:rsidRPr="00ED09F2" w:rsidRDefault="00E55A55">
      <w:pPr>
        <w:pStyle w:val="FootnoteText"/>
        <w:spacing w:line="480" w:lineRule="auto"/>
        <w:rPr>
          <w:lang w:val="en-GB"/>
        </w:rPr>
      </w:pPr>
      <w:r w:rsidRPr="00ED09F2">
        <w:rPr>
          <w:rStyle w:val="FootnoteReference"/>
        </w:rPr>
        <w:footnoteRef/>
      </w:r>
      <w:r w:rsidRPr="00ED09F2">
        <w:t xml:space="preserve"> </w:t>
      </w:r>
      <w:r>
        <w:rPr>
          <w:i/>
          <w:lang w:val="en-GB"/>
        </w:rPr>
        <w:t>JJ</w:t>
      </w:r>
      <w:r>
        <w:rPr>
          <w:lang w:val="en-GB"/>
        </w:rPr>
        <w:t xml:space="preserve"> at [37], [45]</w:t>
      </w:r>
      <w:r w:rsidRPr="00ED09F2">
        <w:rPr>
          <w:lang w:val="en-GB"/>
        </w:rPr>
        <w:t>.</w:t>
      </w:r>
    </w:p>
  </w:footnote>
  <w:footnote w:id="32">
    <w:p w14:paraId="735D98DD" w14:textId="3F8A9125" w:rsidR="00E55A55" w:rsidRPr="00ED09F2" w:rsidRDefault="00E55A55">
      <w:pPr>
        <w:pStyle w:val="FootnoteText"/>
        <w:spacing w:line="480" w:lineRule="auto"/>
        <w:rPr>
          <w:lang w:val="en-GB"/>
        </w:rPr>
      </w:pPr>
      <w:r w:rsidRPr="00ED09F2">
        <w:rPr>
          <w:rStyle w:val="FootnoteReference"/>
        </w:rPr>
        <w:footnoteRef/>
      </w:r>
      <w:r w:rsidRPr="00ED09F2">
        <w:t xml:space="preserve"> </w:t>
      </w:r>
      <w:r>
        <w:rPr>
          <w:i/>
          <w:lang w:val="en-GB"/>
        </w:rPr>
        <w:t>JJ</w:t>
      </w:r>
      <w:r w:rsidRPr="00ED09F2">
        <w:rPr>
          <w:i/>
          <w:lang w:val="en-GB"/>
        </w:rPr>
        <w:t xml:space="preserve"> </w:t>
      </w:r>
      <w:r>
        <w:rPr>
          <w:lang w:val="en-GB"/>
        </w:rPr>
        <w:t>at [20]</w:t>
      </w:r>
      <w:r w:rsidRPr="00ED09F2">
        <w:rPr>
          <w:lang w:val="en-GB"/>
        </w:rPr>
        <w:t>.</w:t>
      </w:r>
    </w:p>
  </w:footnote>
  <w:footnote w:id="33">
    <w:p w14:paraId="091CAD5E" w14:textId="60CFBD12"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Guzzardi</w:t>
      </w:r>
      <w:r>
        <w:rPr>
          <w:lang w:val="en-GB"/>
        </w:rPr>
        <w:t xml:space="preserve"> at [38]</w:t>
      </w:r>
      <w:r w:rsidRPr="00ED09F2">
        <w:rPr>
          <w:lang w:val="en-GB"/>
        </w:rPr>
        <w:t xml:space="preserve">; </w:t>
      </w:r>
      <w:r>
        <w:rPr>
          <w:i/>
          <w:lang w:val="en-GB"/>
        </w:rPr>
        <w:t>JJ</w:t>
      </w:r>
      <w:r>
        <w:rPr>
          <w:lang w:val="en-GB"/>
        </w:rPr>
        <w:t xml:space="preserve"> at [20]</w:t>
      </w:r>
      <w:r w:rsidRPr="00ED09F2">
        <w:rPr>
          <w:lang w:val="en-GB"/>
        </w:rPr>
        <w:t xml:space="preserve">; </w:t>
      </w:r>
      <w:r w:rsidRPr="00ED09F2">
        <w:rPr>
          <w:i/>
          <w:lang w:val="en-GB"/>
        </w:rPr>
        <w:t>Cheshire West</w:t>
      </w:r>
      <w:r>
        <w:rPr>
          <w:lang w:val="en-GB"/>
        </w:rPr>
        <w:t xml:space="preserve"> at [14]</w:t>
      </w:r>
      <w:r w:rsidRPr="00ED09F2">
        <w:rPr>
          <w:lang w:val="en-GB"/>
        </w:rPr>
        <w:t>.</w:t>
      </w:r>
    </w:p>
  </w:footnote>
  <w:footnote w:id="34">
    <w:p w14:paraId="2EAD2308" w14:textId="6ED9153A" w:rsidR="00E55A55" w:rsidRPr="00ED09F2" w:rsidRDefault="00E55A55">
      <w:pPr>
        <w:pStyle w:val="FootnoteText"/>
        <w:spacing w:line="480" w:lineRule="auto"/>
        <w:rPr>
          <w:lang w:val="en-GB"/>
        </w:rPr>
      </w:pPr>
      <w:r w:rsidRPr="00ED09F2">
        <w:rPr>
          <w:rStyle w:val="FootnoteReference"/>
        </w:rPr>
        <w:footnoteRef/>
      </w:r>
      <w:r w:rsidRPr="00ED09F2">
        <w:t xml:space="preserve"> For example, </w:t>
      </w:r>
      <w:r>
        <w:t>JJ</w:t>
      </w:r>
      <w:r w:rsidRPr="00ED09F2">
        <w:t xml:space="preserve"> could only attend the mosque in his local area approved by the Home Office:</w:t>
      </w:r>
      <w:r w:rsidRPr="00ED09F2">
        <w:rPr>
          <w:i/>
          <w:lang w:val="en-GB"/>
        </w:rPr>
        <w:t xml:space="preserve"> </w:t>
      </w:r>
      <w:r>
        <w:rPr>
          <w:i/>
          <w:lang w:val="en-GB"/>
        </w:rPr>
        <w:t>JJ</w:t>
      </w:r>
      <w:r>
        <w:rPr>
          <w:lang w:val="en-GB"/>
        </w:rPr>
        <w:t xml:space="preserve"> at [20]</w:t>
      </w:r>
      <w:r w:rsidRPr="00ED09F2">
        <w:rPr>
          <w:lang w:val="en-GB"/>
        </w:rPr>
        <w:t>.</w:t>
      </w:r>
    </w:p>
  </w:footnote>
  <w:footnote w:id="35">
    <w:p w14:paraId="6FAB0E90" w14:textId="102B794C" w:rsidR="00E55A55" w:rsidRPr="00ED09F2" w:rsidRDefault="00E55A55">
      <w:pPr>
        <w:pStyle w:val="FootnoteText"/>
        <w:spacing w:line="480" w:lineRule="auto"/>
        <w:rPr>
          <w:lang w:val="en-GB"/>
        </w:rPr>
      </w:pPr>
      <w:r w:rsidRPr="00ED09F2">
        <w:rPr>
          <w:rStyle w:val="FootnoteReference"/>
        </w:rPr>
        <w:footnoteRef/>
      </w:r>
      <w:r w:rsidRPr="00ED09F2">
        <w:t xml:space="preserve"> For example, P could have outings from </w:t>
      </w:r>
      <w:r>
        <w:t>“</w:t>
      </w:r>
      <w:r w:rsidRPr="00ED09F2">
        <w:t>Z house</w:t>
      </w:r>
      <w:r>
        <w:t>”</w:t>
      </w:r>
      <w:r w:rsidRPr="00ED09F2">
        <w:t xml:space="preserve"> whenever he chose, so long as he was accompanied by a carer:</w:t>
      </w:r>
      <w:r w:rsidRPr="00ED09F2">
        <w:rPr>
          <w:i/>
          <w:lang w:val="en-GB"/>
        </w:rPr>
        <w:t xml:space="preserve"> Cheshire West</w:t>
      </w:r>
      <w:r>
        <w:rPr>
          <w:lang w:val="en-GB"/>
        </w:rPr>
        <w:t xml:space="preserve"> at [17]</w:t>
      </w:r>
      <w:r w:rsidRPr="00ED09F2">
        <w:rPr>
          <w:lang w:val="en-GB"/>
        </w:rPr>
        <w:t>.</w:t>
      </w:r>
    </w:p>
  </w:footnote>
  <w:footnote w:id="36">
    <w:p w14:paraId="23EA3F11" w14:textId="5E3DB8A9" w:rsidR="00E55A55" w:rsidRPr="00ED09F2" w:rsidRDefault="00E55A55">
      <w:pPr>
        <w:pStyle w:val="FootnoteText"/>
        <w:spacing w:line="480" w:lineRule="auto"/>
        <w:rPr>
          <w:lang w:val="en-GB"/>
        </w:rPr>
      </w:pPr>
      <w:r w:rsidRPr="00ED09F2">
        <w:rPr>
          <w:rStyle w:val="FootnoteReference"/>
        </w:rPr>
        <w:footnoteRef/>
      </w:r>
      <w:r>
        <w:t xml:space="preserve"> Mill, </w:t>
      </w:r>
      <w:r w:rsidRPr="00354AD7">
        <w:rPr>
          <w:i/>
        </w:rPr>
        <w:t>On Liberty</w:t>
      </w:r>
      <w:r>
        <w:t>, p.</w:t>
      </w:r>
      <w:r w:rsidRPr="00ED09F2">
        <w:rPr>
          <w:lang w:val="en-GB"/>
        </w:rPr>
        <w:t>69.</w:t>
      </w:r>
    </w:p>
  </w:footnote>
  <w:footnote w:id="37">
    <w:p w14:paraId="47D3ABF6"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Cheshire West</w:t>
      </w:r>
      <w:r w:rsidRPr="00ED09F2">
        <w:rPr>
          <w:lang w:val="en-GB"/>
        </w:rPr>
        <w:t xml:space="preserve"> </w:t>
      </w:r>
      <w:r>
        <w:rPr>
          <w:lang w:val="en-GB"/>
        </w:rPr>
        <w:t>at [1]</w:t>
      </w:r>
      <w:r w:rsidRPr="00ED09F2">
        <w:rPr>
          <w:lang w:val="en-GB"/>
        </w:rPr>
        <w:t>.</w:t>
      </w:r>
    </w:p>
  </w:footnote>
  <w:footnote w:id="38">
    <w:p w14:paraId="1E78D9CE"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Cheshire West</w:t>
      </w:r>
      <w:r>
        <w:rPr>
          <w:lang w:val="en-GB"/>
        </w:rPr>
        <w:t xml:space="preserve"> at [46].</w:t>
      </w:r>
    </w:p>
  </w:footnote>
  <w:footnote w:id="39">
    <w:p w14:paraId="1D487AB8"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P and Q</w:t>
      </w:r>
      <w:r>
        <w:rPr>
          <w:i/>
          <w:lang w:val="en-GB"/>
        </w:rPr>
        <w:t xml:space="preserve"> v </w:t>
      </w:r>
      <w:r w:rsidRPr="00ED09F2">
        <w:rPr>
          <w:i/>
          <w:lang w:val="en-GB"/>
        </w:rPr>
        <w:t>Surrey County Council</w:t>
      </w:r>
      <w:r w:rsidRPr="00ED09F2">
        <w:rPr>
          <w:lang w:val="en-GB"/>
        </w:rPr>
        <w:t xml:space="preserve"> [2011]</w:t>
      </w:r>
      <w:r>
        <w:rPr>
          <w:lang w:val="en-GB"/>
        </w:rPr>
        <w:t xml:space="preserve"> EWCA Civ 190; [2012] Fam. 170 at [40]</w:t>
      </w:r>
      <w:r w:rsidRPr="00ED09F2">
        <w:rPr>
          <w:lang w:val="en-GB"/>
        </w:rPr>
        <w:t>.</w:t>
      </w:r>
    </w:p>
  </w:footnote>
  <w:footnote w:id="40">
    <w:p w14:paraId="0098B83E"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Cheshire West</w:t>
      </w:r>
      <w:r>
        <w:rPr>
          <w:lang w:val="en-GB"/>
        </w:rPr>
        <w:t xml:space="preserve"> at [34]</w:t>
      </w:r>
      <w:r w:rsidRPr="00ED09F2">
        <w:rPr>
          <w:lang w:val="en-GB"/>
        </w:rPr>
        <w:t>.</w:t>
      </w:r>
    </w:p>
  </w:footnote>
  <w:footnote w:id="41">
    <w:p w14:paraId="09E63E50" w14:textId="3CC65E72"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Cheshire West</w:t>
      </w:r>
      <w:r>
        <w:rPr>
          <w:lang w:val="en-GB"/>
        </w:rPr>
        <w:t xml:space="preserve"> at [93], [99], [</w:t>
      </w:r>
      <w:r w:rsidRPr="00ED09F2">
        <w:rPr>
          <w:lang w:val="en-GB"/>
        </w:rPr>
        <w:t>108</w:t>
      </w:r>
      <w:r>
        <w:rPr>
          <w:lang w:val="en-GB"/>
        </w:rPr>
        <w:t xml:space="preserve">]. </w:t>
      </w:r>
    </w:p>
  </w:footnote>
  <w:footnote w:id="42">
    <w:p w14:paraId="14528B27"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Pr>
          <w:i/>
          <w:lang w:val="en-GB"/>
        </w:rPr>
        <w:t>JJ</w:t>
      </w:r>
      <w:r>
        <w:rPr>
          <w:lang w:val="en-GB"/>
        </w:rPr>
        <w:t xml:space="preserve"> at [13]; </w:t>
      </w:r>
      <w:r w:rsidRPr="00E4590A">
        <w:rPr>
          <w:i/>
          <w:lang w:val="en-GB"/>
        </w:rPr>
        <w:t>Cheshire West</w:t>
      </w:r>
      <w:r>
        <w:rPr>
          <w:lang w:val="en-GB"/>
        </w:rPr>
        <w:t xml:space="preserve"> at [</w:t>
      </w:r>
      <w:r w:rsidRPr="00E4590A">
        <w:rPr>
          <w:lang w:val="en-GB"/>
        </w:rPr>
        <w:t>99</w:t>
      </w:r>
      <w:r>
        <w:rPr>
          <w:lang w:val="en-GB"/>
        </w:rPr>
        <w:t>]</w:t>
      </w:r>
      <w:r w:rsidRPr="00E4590A">
        <w:rPr>
          <w:lang w:val="en-GB"/>
        </w:rPr>
        <w:t>.</w:t>
      </w:r>
    </w:p>
  </w:footnote>
  <w:footnote w:id="43">
    <w:p w14:paraId="3DB11FD9" w14:textId="77777777" w:rsidR="00E55A55" w:rsidRPr="00ED09F2" w:rsidRDefault="00E55A55">
      <w:pPr>
        <w:pStyle w:val="FootnoteText"/>
        <w:spacing w:line="480" w:lineRule="auto"/>
        <w:rPr>
          <w:lang w:val="en-GB"/>
        </w:rPr>
      </w:pPr>
      <w:r w:rsidRPr="00ED09F2">
        <w:rPr>
          <w:rStyle w:val="FootnoteReference"/>
        </w:rPr>
        <w:footnoteRef/>
      </w:r>
      <w:r>
        <w:t xml:space="preserve"> H. </w:t>
      </w:r>
      <w:r w:rsidRPr="00ED09F2">
        <w:rPr>
          <w:lang w:val="en-GB"/>
        </w:rPr>
        <w:t xml:space="preserve">Fenwick, </w:t>
      </w:r>
      <w:r>
        <w:rPr>
          <w:lang w:val="en-GB"/>
        </w:rPr>
        <w:t>“</w:t>
      </w:r>
      <w:r w:rsidRPr="00ED09F2">
        <w:rPr>
          <w:lang w:val="en-GB"/>
        </w:rPr>
        <w:t>Marginalising Huma</w:t>
      </w:r>
      <w:r>
        <w:rPr>
          <w:lang w:val="en-GB"/>
        </w:rPr>
        <w:t>n Rights: Breach of the Peace, ‘</w:t>
      </w:r>
      <w:r w:rsidRPr="00ED09F2">
        <w:rPr>
          <w:lang w:val="en-GB"/>
        </w:rPr>
        <w:t>Ket</w:t>
      </w:r>
      <w:r>
        <w:rPr>
          <w:lang w:val="en-GB"/>
        </w:rPr>
        <w:t>tling’</w:t>
      </w:r>
      <w:r w:rsidRPr="00ED09F2">
        <w:rPr>
          <w:lang w:val="en-GB"/>
        </w:rPr>
        <w:t>, the Human Rights Act and Public Protest</w:t>
      </w:r>
      <w:r>
        <w:rPr>
          <w:lang w:val="en-GB"/>
        </w:rPr>
        <w:t xml:space="preserve">” [2009] </w:t>
      </w:r>
      <w:r w:rsidRPr="00711897">
        <w:rPr>
          <w:lang w:val="en-GB"/>
        </w:rPr>
        <w:t>P</w:t>
      </w:r>
      <w:r>
        <w:rPr>
          <w:lang w:val="en-GB"/>
        </w:rPr>
        <w:t>.</w:t>
      </w:r>
      <w:r w:rsidRPr="00711897">
        <w:rPr>
          <w:lang w:val="en-GB"/>
        </w:rPr>
        <w:t>L</w:t>
      </w:r>
      <w:r>
        <w:rPr>
          <w:lang w:val="en-GB"/>
        </w:rPr>
        <w:t>.</w:t>
      </w:r>
      <w:r w:rsidRPr="00711897">
        <w:rPr>
          <w:lang w:val="en-GB"/>
        </w:rPr>
        <w:t xml:space="preserve"> </w:t>
      </w:r>
      <w:r w:rsidRPr="00ED09F2">
        <w:rPr>
          <w:lang w:val="en-GB"/>
        </w:rPr>
        <w:t>737,</w:t>
      </w:r>
      <w:r>
        <w:rPr>
          <w:lang w:val="en-GB"/>
        </w:rPr>
        <w:t xml:space="preserve"> </w:t>
      </w:r>
      <w:r w:rsidRPr="00ED09F2">
        <w:rPr>
          <w:lang w:val="en-GB"/>
        </w:rPr>
        <w:t>749.</w:t>
      </w:r>
    </w:p>
  </w:footnote>
  <w:footnote w:id="44">
    <w:p w14:paraId="4F1FA903"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ECHR preamble</w:t>
      </w:r>
      <w:r w:rsidRPr="00ED09F2">
        <w:rPr>
          <w:lang w:val="en-GB"/>
        </w:rPr>
        <w:t>.</w:t>
      </w:r>
    </w:p>
  </w:footnote>
  <w:footnote w:id="45">
    <w:p w14:paraId="34045FA1" w14:textId="74285DB0" w:rsidR="00E55A55" w:rsidRPr="00ED09F2" w:rsidRDefault="00E55A55">
      <w:pPr>
        <w:pStyle w:val="FootnoteText"/>
        <w:spacing w:line="480" w:lineRule="auto"/>
        <w:rPr>
          <w:lang w:val="en-GB"/>
        </w:rPr>
      </w:pPr>
      <w:r w:rsidRPr="00ED09F2">
        <w:rPr>
          <w:rStyle w:val="FootnoteReference"/>
        </w:rPr>
        <w:footnoteRef/>
      </w:r>
      <w:r w:rsidRPr="00ED09F2">
        <w:rPr>
          <w:lang w:val="en-GB"/>
        </w:rPr>
        <w:t xml:space="preserve"> </w:t>
      </w:r>
      <w:r>
        <w:rPr>
          <w:i/>
          <w:lang w:val="en-GB"/>
        </w:rPr>
        <w:t>Cheshire West</w:t>
      </w:r>
      <w:r w:rsidRPr="00ED09F2">
        <w:rPr>
          <w:lang w:val="en-GB"/>
        </w:rPr>
        <w:t xml:space="preserve"> </w:t>
      </w:r>
      <w:r>
        <w:rPr>
          <w:lang w:val="en-GB"/>
        </w:rPr>
        <w:t>at [50]</w:t>
      </w:r>
      <w:r w:rsidRPr="00ED09F2">
        <w:rPr>
          <w:lang w:val="en-GB"/>
        </w:rPr>
        <w:t>.</w:t>
      </w:r>
    </w:p>
  </w:footnote>
  <w:footnote w:id="46">
    <w:p w14:paraId="7899AC92" w14:textId="73A0A7A1"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ECtHR</w:t>
      </w:r>
      <w:r>
        <w:rPr>
          <w:lang w:val="en-GB"/>
        </w:rPr>
        <w:t xml:space="preserve"> at [28]</w:t>
      </w:r>
      <w:r w:rsidRPr="00ED09F2">
        <w:rPr>
          <w:lang w:val="en-GB"/>
        </w:rPr>
        <w:t>.</w:t>
      </w:r>
    </w:p>
  </w:footnote>
  <w:footnote w:id="47">
    <w:p w14:paraId="497148EA" w14:textId="66D9957D"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C</w:t>
      </w:r>
      <w:r w:rsidRPr="00ED09F2">
        <w:rPr>
          <w:lang w:val="en-GB"/>
        </w:rPr>
        <w:t>f</w:t>
      </w:r>
      <w:r>
        <w:rPr>
          <w:lang w:val="en-GB"/>
        </w:rPr>
        <w:t>.</w:t>
      </w:r>
      <w:r w:rsidRPr="00ED09F2">
        <w:rPr>
          <w:lang w:val="en-GB"/>
        </w:rPr>
        <w:t xml:space="preserve"> </w:t>
      </w:r>
      <w:r w:rsidRPr="00ED09F2">
        <w:rPr>
          <w:i/>
          <w:lang w:val="en-GB"/>
        </w:rPr>
        <w:t>R</w:t>
      </w:r>
      <w:r>
        <w:rPr>
          <w:i/>
          <w:lang w:val="en-GB"/>
        </w:rPr>
        <w:t>.</w:t>
      </w:r>
      <w:r w:rsidRPr="00ED09F2">
        <w:rPr>
          <w:i/>
          <w:lang w:val="en-GB"/>
        </w:rPr>
        <w:t xml:space="preserve"> (on the application of Moos and McClure)</w:t>
      </w:r>
      <w:r>
        <w:rPr>
          <w:i/>
          <w:lang w:val="en-GB"/>
        </w:rPr>
        <w:t xml:space="preserve"> v </w:t>
      </w:r>
      <w:r w:rsidRPr="00ED09F2">
        <w:rPr>
          <w:i/>
          <w:lang w:val="en-GB"/>
        </w:rPr>
        <w:t>Commissioner of Police of the Metropolis</w:t>
      </w:r>
      <w:r>
        <w:rPr>
          <w:lang w:val="en-GB"/>
        </w:rPr>
        <w:t xml:space="preserve"> [2012] EWCA Civ 12 at [97]</w:t>
      </w:r>
      <w:r w:rsidRPr="00ED09F2">
        <w:rPr>
          <w:lang w:val="en-GB"/>
        </w:rPr>
        <w:t>.</w:t>
      </w:r>
      <w:r>
        <w:rPr>
          <w:lang w:val="en-GB"/>
        </w:rPr>
        <w:t xml:space="preserve"> The applicants in </w:t>
      </w:r>
      <w:r w:rsidRPr="00105F78">
        <w:rPr>
          <w:i/>
          <w:lang w:val="en-GB"/>
        </w:rPr>
        <w:t>Austin</w:t>
      </w:r>
      <w:r>
        <w:rPr>
          <w:lang w:val="en-GB"/>
        </w:rPr>
        <w:t xml:space="preserve"> had asked to leave: </w:t>
      </w:r>
      <w:r w:rsidRPr="00ED09F2">
        <w:rPr>
          <w:i/>
          <w:lang w:val="en-GB"/>
        </w:rPr>
        <w:t>Austin ECtHR</w:t>
      </w:r>
      <w:r>
        <w:rPr>
          <w:lang w:val="en-GB"/>
        </w:rPr>
        <w:t xml:space="preserve"> at [11]–[13].</w:t>
      </w:r>
    </w:p>
  </w:footnote>
  <w:footnote w:id="48">
    <w:p w14:paraId="186FA607" w14:textId="24D9C61A" w:rsidR="00E55A55" w:rsidRPr="00ED09F2" w:rsidRDefault="00E55A55">
      <w:pPr>
        <w:pStyle w:val="FootnoteText"/>
        <w:spacing w:line="480" w:lineRule="auto"/>
        <w:rPr>
          <w:lang w:val="en-GB"/>
        </w:rPr>
      </w:pPr>
      <w:r w:rsidRPr="00ED09F2">
        <w:rPr>
          <w:rStyle w:val="FootnoteReference"/>
        </w:rPr>
        <w:footnoteRef/>
      </w:r>
      <w:r>
        <w:rPr>
          <w:lang w:val="en-GB"/>
        </w:rPr>
        <w:t xml:space="preserve"> </w:t>
      </w:r>
      <w:r w:rsidRPr="00ED09F2">
        <w:t xml:space="preserve">Admittedly a difficulty of proof occurs where an applicant has not asked to leave </w:t>
      </w:r>
      <w:r>
        <w:t xml:space="preserve">(if, for example, her route to a police officer is blocked by the crowd) </w:t>
      </w:r>
      <w:r w:rsidRPr="00ED09F2">
        <w:t xml:space="preserve">because the police may well say that she would have been allowed to leave had </w:t>
      </w:r>
      <w:r>
        <w:t xml:space="preserve">she </w:t>
      </w:r>
      <w:r w:rsidRPr="00ED09F2">
        <w:t xml:space="preserve">asked – </w:t>
      </w:r>
      <w:r w:rsidRPr="00ED09F2">
        <w:rPr>
          <w:lang w:val="en-GB"/>
        </w:rPr>
        <w:t xml:space="preserve">certain people were permitted to leave in </w:t>
      </w:r>
      <w:r w:rsidRPr="00ED09F2">
        <w:rPr>
          <w:i/>
          <w:lang w:val="en-GB"/>
        </w:rPr>
        <w:t>Austin ECtHR</w:t>
      </w:r>
      <w:r>
        <w:rPr>
          <w:lang w:val="en-GB"/>
        </w:rPr>
        <w:t xml:space="preserve"> at [25]</w:t>
      </w:r>
      <w:r w:rsidRPr="00ED09F2">
        <w:rPr>
          <w:lang w:val="en-GB"/>
        </w:rPr>
        <w:t>.</w:t>
      </w:r>
    </w:p>
  </w:footnote>
  <w:footnote w:id="49">
    <w:p w14:paraId="3B615854" w14:textId="38F828D9" w:rsidR="00E55A55" w:rsidRPr="00ED09F2" w:rsidRDefault="00E55A55">
      <w:pPr>
        <w:pStyle w:val="FootnoteText"/>
        <w:spacing w:line="480" w:lineRule="auto"/>
        <w:rPr>
          <w:lang w:val="en-GB"/>
        </w:rPr>
      </w:pPr>
      <w:r w:rsidRPr="00ED09F2">
        <w:rPr>
          <w:rStyle w:val="FootnoteReference"/>
        </w:rPr>
        <w:footnoteRef/>
      </w:r>
      <w:r>
        <w:t xml:space="preserve"> </w:t>
      </w:r>
      <w:r w:rsidRPr="00711897">
        <w:rPr>
          <w:lang w:val="en-GB"/>
        </w:rPr>
        <w:t>Fenwick</w:t>
      </w:r>
      <w:r>
        <w:rPr>
          <w:lang w:val="en-GB"/>
        </w:rPr>
        <w:t xml:space="preserve">, “Marginalising Human Rights” </w:t>
      </w:r>
      <w:r w:rsidRPr="00ED09F2">
        <w:rPr>
          <w:lang w:val="en-GB"/>
        </w:rPr>
        <w:t>748.</w:t>
      </w:r>
    </w:p>
  </w:footnote>
  <w:footnote w:id="50">
    <w:p w14:paraId="2086667C" w14:textId="0A3B6D38"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UKHL</w:t>
      </w:r>
      <w:r>
        <w:rPr>
          <w:lang w:val="en-GB"/>
        </w:rPr>
        <w:t xml:space="preserve"> at [18]</w:t>
      </w:r>
      <w:r w:rsidRPr="00ED09F2">
        <w:rPr>
          <w:lang w:val="en-GB"/>
        </w:rPr>
        <w:t>.</w:t>
      </w:r>
    </w:p>
  </w:footnote>
  <w:footnote w:id="51">
    <w:p w14:paraId="48FDB893" w14:textId="641132CE" w:rsidR="00D421AE" w:rsidRPr="008160A2" w:rsidRDefault="00D421AE" w:rsidP="008160A2">
      <w:pPr>
        <w:pStyle w:val="FootnoteText"/>
        <w:spacing w:line="480" w:lineRule="auto"/>
        <w:rPr>
          <w:lang w:val="en-GB"/>
        </w:rPr>
      </w:pPr>
      <w:r>
        <w:rPr>
          <w:rStyle w:val="FootnoteReference"/>
        </w:rPr>
        <w:footnoteRef/>
      </w:r>
      <w:r>
        <w:t xml:space="preserve"> </w:t>
      </w:r>
      <w:r w:rsidR="003336D5">
        <w:t>The dissentients’ doubts concerned not only going “too far” in terms of ordinary language, but also going beyond clear and cons</w:t>
      </w:r>
      <w:r w:rsidR="00826809">
        <w:t>tant</w:t>
      </w:r>
      <w:r w:rsidR="003336D5">
        <w:t xml:space="preserve"> Strasbourg jurisprudence, especially since the Mental Capacity Act 2005, s.64(5) states that “deprivation of liberty” is to have the same meaning as art.5, thus giving a “more closely tied”</w:t>
      </w:r>
      <w:r w:rsidR="008160A2">
        <w:t xml:space="preserve"> </w:t>
      </w:r>
      <w:r w:rsidR="003336D5">
        <w:t xml:space="preserve">link than </w:t>
      </w:r>
      <w:r w:rsidR="008160A2">
        <w:t xml:space="preserve">under </w:t>
      </w:r>
      <w:r w:rsidR="003336D5">
        <w:t>the Human Rights Act</w:t>
      </w:r>
      <w:r w:rsidR="008160A2">
        <w:t xml:space="preserve"> 1998</w:t>
      </w:r>
      <w:r w:rsidR="003336D5">
        <w:t xml:space="preserve">, s.2(1): </w:t>
      </w:r>
      <w:r w:rsidR="003336D5" w:rsidRPr="008160A2">
        <w:rPr>
          <w:i/>
        </w:rPr>
        <w:t>Cheshire West</w:t>
      </w:r>
      <w:r w:rsidR="003336D5">
        <w:t xml:space="preserve"> at [91].</w:t>
      </w:r>
    </w:p>
  </w:footnote>
  <w:footnote w:id="52">
    <w:p w14:paraId="5F165FF6" w14:textId="3F8FC9BF" w:rsidR="00E55A55" w:rsidRPr="00ED09F2" w:rsidRDefault="00E55A55" w:rsidP="008160A2">
      <w:pPr>
        <w:pStyle w:val="FootnoteText"/>
        <w:spacing w:line="480" w:lineRule="auto"/>
        <w:rPr>
          <w:lang w:val="en-GB"/>
        </w:rPr>
      </w:pPr>
      <w:r w:rsidRPr="00ED09F2">
        <w:rPr>
          <w:rStyle w:val="FootnoteReference"/>
        </w:rPr>
        <w:footnoteRef/>
      </w:r>
      <w:r w:rsidRPr="00ED09F2">
        <w:t xml:space="preserve"> </w:t>
      </w:r>
      <w:r>
        <w:rPr>
          <w:i/>
          <w:lang w:val="en-GB"/>
        </w:rPr>
        <w:t>JJ</w:t>
      </w:r>
      <w:r>
        <w:rPr>
          <w:lang w:val="en-GB"/>
        </w:rPr>
        <w:t xml:space="preserve"> at [12].</w:t>
      </w:r>
    </w:p>
  </w:footnote>
  <w:footnote w:id="53">
    <w:p w14:paraId="44183A0C" w14:textId="1B1D5A22" w:rsidR="00E55A55" w:rsidRPr="00ED09F2" w:rsidRDefault="00E55A55" w:rsidP="008160A2">
      <w:pPr>
        <w:pStyle w:val="FootnoteText"/>
        <w:spacing w:line="480" w:lineRule="auto"/>
        <w:rPr>
          <w:lang w:val="en-GB"/>
        </w:rPr>
      </w:pPr>
      <w:r w:rsidRPr="00ED09F2">
        <w:rPr>
          <w:rStyle w:val="FootnoteReference"/>
        </w:rPr>
        <w:footnoteRef/>
      </w:r>
      <w:r w:rsidRPr="00ED09F2">
        <w:t xml:space="preserve"> </w:t>
      </w:r>
      <w:r w:rsidRPr="00ED09F2">
        <w:rPr>
          <w:i/>
        </w:rPr>
        <w:t>Engel</w:t>
      </w:r>
      <w:r>
        <w:t xml:space="preserve"> at [59]; </w:t>
      </w:r>
      <w:r w:rsidRPr="00ED09F2">
        <w:rPr>
          <w:i/>
        </w:rPr>
        <w:t>Guzzardi</w:t>
      </w:r>
      <w:r>
        <w:t xml:space="preserve"> at [92]</w:t>
      </w:r>
      <w:r w:rsidRPr="00ED09F2">
        <w:t>.</w:t>
      </w:r>
    </w:p>
  </w:footnote>
  <w:footnote w:id="54">
    <w:p w14:paraId="6C7A461E" w14:textId="2EC0C01D"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ECtHR</w:t>
      </w:r>
      <w:r>
        <w:rPr>
          <w:lang w:val="en-GB"/>
        </w:rPr>
        <w:t xml:space="preserve"> at [64]</w:t>
      </w:r>
      <w:r w:rsidRPr="00ED09F2">
        <w:rPr>
          <w:lang w:val="en-GB"/>
        </w:rPr>
        <w:t>.</w:t>
      </w:r>
    </w:p>
  </w:footnote>
  <w:footnote w:id="55">
    <w:p w14:paraId="1D95A9B2" w14:textId="3A3C1A11"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Gillan and Quinton</w:t>
      </w:r>
      <w:r>
        <w:rPr>
          <w:i/>
          <w:lang w:val="en-GB"/>
        </w:rPr>
        <w:t xml:space="preserve"> v </w:t>
      </w:r>
      <w:r w:rsidRPr="00ED09F2">
        <w:rPr>
          <w:i/>
          <w:lang w:val="en-GB"/>
        </w:rPr>
        <w:t>U</w:t>
      </w:r>
      <w:r>
        <w:rPr>
          <w:i/>
          <w:lang w:val="en-GB"/>
        </w:rPr>
        <w:t xml:space="preserve">nited </w:t>
      </w:r>
      <w:r w:rsidRPr="00ED09F2">
        <w:rPr>
          <w:i/>
          <w:lang w:val="en-GB"/>
        </w:rPr>
        <w:t>K</w:t>
      </w:r>
      <w:r>
        <w:rPr>
          <w:i/>
          <w:lang w:val="en-GB"/>
        </w:rPr>
        <w:t>ingdom</w:t>
      </w:r>
      <w:r w:rsidRPr="006744F7">
        <w:t xml:space="preserve"> </w:t>
      </w:r>
      <w:r w:rsidRPr="006744F7">
        <w:rPr>
          <w:lang w:val="en-GB"/>
        </w:rPr>
        <w:t xml:space="preserve">(2010) 50 E.H.R.R. 45 </w:t>
      </w:r>
      <w:r>
        <w:rPr>
          <w:lang w:val="en-GB"/>
        </w:rPr>
        <w:t>at [57].</w:t>
      </w:r>
    </w:p>
  </w:footnote>
  <w:footnote w:id="56">
    <w:p w14:paraId="1CCD9A9D" w14:textId="18AA891D"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6744F7">
        <w:rPr>
          <w:i/>
          <w:lang w:val="en-GB"/>
        </w:rPr>
        <w:t>Gillan</w:t>
      </w:r>
      <w:r>
        <w:rPr>
          <w:lang w:val="en-GB"/>
        </w:rPr>
        <w:t xml:space="preserve"> at [57].</w:t>
      </w:r>
    </w:p>
  </w:footnote>
  <w:footnote w:id="57">
    <w:p w14:paraId="061619C2" w14:textId="141CF75F"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 xml:space="preserve">Stone, “Deprivation of Liberty” </w:t>
      </w:r>
      <w:r w:rsidRPr="00ED09F2">
        <w:rPr>
          <w:lang w:val="en-GB"/>
        </w:rPr>
        <w:t>54.</w:t>
      </w:r>
    </w:p>
  </w:footnote>
  <w:footnote w:id="58">
    <w:p w14:paraId="16B13A60" w14:textId="4F0ECD1E"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[28]</w:t>
      </w:r>
      <w:r w:rsidRPr="00ED09F2">
        <w:rPr>
          <w:lang w:val="en-GB"/>
        </w:rPr>
        <w:t>.</w:t>
      </w:r>
    </w:p>
  </w:footnote>
  <w:footnote w:id="59">
    <w:p w14:paraId="33CADA2E" w14:textId="6765FFAF"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UKHL</w:t>
      </w:r>
      <w:r>
        <w:rPr>
          <w:lang w:val="en-GB"/>
        </w:rPr>
        <w:t xml:space="preserve"> at [24]</w:t>
      </w:r>
      <w:r w:rsidRPr="00ED09F2">
        <w:rPr>
          <w:lang w:val="en-GB"/>
        </w:rPr>
        <w:t>.</w:t>
      </w:r>
    </w:p>
  </w:footnote>
  <w:footnote w:id="60">
    <w:p w14:paraId="439EC26E" w14:textId="04991A56"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Storck</w:t>
      </w:r>
      <w:r>
        <w:rPr>
          <w:i/>
          <w:lang w:val="en-GB"/>
        </w:rPr>
        <w:t xml:space="preserve"> </w:t>
      </w:r>
      <w:r>
        <w:rPr>
          <w:lang w:val="en-GB"/>
        </w:rPr>
        <w:t>at [74]</w:t>
      </w:r>
      <w:r w:rsidRPr="00ED09F2">
        <w:rPr>
          <w:lang w:val="en-GB"/>
        </w:rPr>
        <w:t>.</w:t>
      </w:r>
    </w:p>
  </w:footnote>
  <w:footnote w:id="61">
    <w:p w14:paraId="7666CEAE" w14:textId="3F6578D9"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ECtHR</w:t>
      </w:r>
      <w:r>
        <w:rPr>
          <w:lang w:val="en-GB"/>
        </w:rPr>
        <w:t xml:space="preserve"> at [64]</w:t>
      </w:r>
      <w:r w:rsidRPr="00ED09F2">
        <w:rPr>
          <w:lang w:val="en-GB"/>
        </w:rPr>
        <w:t>.</w:t>
      </w:r>
      <w:r w:rsidRPr="00ED09F2">
        <w:t xml:space="preserve"> </w:t>
      </w:r>
    </w:p>
  </w:footnote>
  <w:footnote w:id="62">
    <w:p w14:paraId="7C8FEF6D" w14:textId="58BA17D0"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rPr>
        <w:t>Austin EWHC</w:t>
      </w:r>
      <w:r w:rsidRPr="00ED09F2">
        <w:t xml:space="preserve"> </w:t>
      </w:r>
      <w:r>
        <w:t xml:space="preserve">at </w:t>
      </w:r>
      <w:r>
        <w:rPr>
          <w:lang w:val="en-GB"/>
        </w:rPr>
        <w:t>[7]</w:t>
      </w:r>
      <w:r w:rsidRPr="00ED09F2">
        <w:rPr>
          <w:lang w:val="en-GB"/>
        </w:rPr>
        <w:t xml:space="preserve">. </w:t>
      </w:r>
      <w:r>
        <w:rPr>
          <w:lang w:val="en-GB"/>
        </w:rPr>
        <w:t>Tugendhat J.</w:t>
      </w:r>
      <w:r w:rsidRPr="00ED09F2">
        <w:rPr>
          <w:lang w:val="en-GB"/>
        </w:rPr>
        <w:t xml:space="preserve"> found that there had been a deprivation of liberty, albeit one which could be justified.</w:t>
      </w:r>
    </w:p>
  </w:footnote>
  <w:footnote w:id="63">
    <w:p w14:paraId="467CCBB1" w14:textId="29FDB63C"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[594]</w:t>
      </w:r>
      <w:r w:rsidRPr="00ED09F2">
        <w:rPr>
          <w:lang w:val="en-GB"/>
        </w:rPr>
        <w:t>.</w:t>
      </w:r>
    </w:p>
  </w:footnote>
  <w:footnote w:id="64">
    <w:p w14:paraId="2CDF78E2" w14:textId="24C80F3F"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e.g.</w:t>
      </w:r>
      <w:r w:rsidRPr="00ED09F2">
        <w:rPr>
          <w:lang w:val="en-GB"/>
        </w:rPr>
        <w:t xml:space="preserve"> </w:t>
      </w:r>
      <w:r w:rsidRPr="00ED09F2">
        <w:rPr>
          <w:i/>
          <w:lang w:val="en-GB"/>
        </w:rPr>
        <w:t>Austin UKHL</w:t>
      </w:r>
      <w:r>
        <w:rPr>
          <w:lang w:val="en-GB"/>
        </w:rPr>
        <w:t xml:space="preserve"> at [23]</w:t>
      </w:r>
      <w:r w:rsidRPr="00ED09F2">
        <w:rPr>
          <w:lang w:val="en-GB"/>
        </w:rPr>
        <w:t>.</w:t>
      </w:r>
    </w:p>
  </w:footnote>
  <w:footnote w:id="65">
    <w:p w14:paraId="03CD50F0" w14:textId="734A883A" w:rsidR="00E55A55" w:rsidRPr="00E66D1D" w:rsidRDefault="00E55A55" w:rsidP="008160A2">
      <w:pPr>
        <w:pStyle w:val="FootnoteText"/>
        <w:spacing w:line="480" w:lineRule="auto"/>
        <w:rPr>
          <w:lang w:val="en-GB"/>
        </w:rPr>
      </w:pPr>
      <w:r>
        <w:rPr>
          <w:rStyle w:val="FootnoteReference"/>
        </w:rPr>
        <w:footnoteRef/>
      </w:r>
      <w:r>
        <w:t xml:space="preserve"> </w:t>
      </w:r>
      <w:r>
        <w:rPr>
          <w:lang w:val="en-GB"/>
        </w:rPr>
        <w:t xml:space="preserve">See also </w:t>
      </w:r>
      <w:r w:rsidRPr="00E66D1D">
        <w:rPr>
          <w:i/>
          <w:lang w:val="en-GB"/>
        </w:rPr>
        <w:t>R</w:t>
      </w:r>
      <w:r>
        <w:rPr>
          <w:i/>
          <w:lang w:val="en-GB"/>
        </w:rPr>
        <w:t>.</w:t>
      </w:r>
      <w:r w:rsidRPr="00E66D1D">
        <w:rPr>
          <w:i/>
          <w:lang w:val="en-GB"/>
        </w:rPr>
        <w:t xml:space="preserve"> (</w:t>
      </w:r>
      <w:r>
        <w:rPr>
          <w:i/>
          <w:lang w:val="en-GB"/>
        </w:rPr>
        <w:t xml:space="preserve">on the application of </w:t>
      </w:r>
      <w:r w:rsidRPr="00E66D1D">
        <w:rPr>
          <w:i/>
          <w:lang w:val="en-GB"/>
        </w:rPr>
        <w:t xml:space="preserve">Ferreira) v HM </w:t>
      </w:r>
      <w:r>
        <w:rPr>
          <w:i/>
          <w:lang w:val="en-GB"/>
        </w:rPr>
        <w:t xml:space="preserve">Senior </w:t>
      </w:r>
      <w:r w:rsidRPr="00E66D1D">
        <w:rPr>
          <w:i/>
          <w:lang w:val="en-GB"/>
        </w:rPr>
        <w:t>Coroner for Inner South London</w:t>
      </w:r>
      <w:r>
        <w:rPr>
          <w:lang w:val="en-GB"/>
        </w:rPr>
        <w:t xml:space="preserve"> </w:t>
      </w:r>
      <w:r w:rsidRPr="00A0093F">
        <w:rPr>
          <w:lang w:val="en-GB"/>
        </w:rPr>
        <w:t>[2017] EWCA Civ 31; [2018] Q.B. 487</w:t>
      </w:r>
      <w:r>
        <w:rPr>
          <w:lang w:val="en-GB"/>
        </w:rPr>
        <w:t xml:space="preserve">, where there was no deprivation of liberty because the patient could not leave the hospital </w:t>
      </w:r>
      <w:r w:rsidRPr="00E66D1D">
        <w:rPr>
          <w:i/>
          <w:lang w:val="en-GB"/>
        </w:rPr>
        <w:t>because of</w:t>
      </w:r>
      <w:r>
        <w:rPr>
          <w:lang w:val="en-GB"/>
        </w:rPr>
        <w:t xml:space="preserve"> her medical condition, rather than </w:t>
      </w:r>
      <w:r w:rsidRPr="00E66D1D">
        <w:rPr>
          <w:i/>
          <w:lang w:val="en-GB"/>
        </w:rPr>
        <w:t>because of</w:t>
      </w:r>
      <w:r>
        <w:rPr>
          <w:lang w:val="en-GB"/>
        </w:rPr>
        <w:t xml:space="preserve"> the actions of the hospital.</w:t>
      </w:r>
    </w:p>
  </w:footnote>
  <w:footnote w:id="66">
    <w:p w14:paraId="097A156A" w14:textId="53B36B60" w:rsidR="00E55A55" w:rsidRPr="00ED09F2" w:rsidRDefault="00E55A55" w:rsidP="008160A2">
      <w:pPr>
        <w:pStyle w:val="FootnoteText"/>
        <w:spacing w:line="480" w:lineRule="auto"/>
        <w:rPr>
          <w:lang w:val="en-GB"/>
        </w:rPr>
      </w:pPr>
      <w:r w:rsidRPr="00ED09F2">
        <w:rPr>
          <w:rStyle w:val="FootnoteReference"/>
        </w:rPr>
        <w:footnoteRef/>
      </w:r>
      <w:r w:rsidRPr="00ED09F2">
        <w:t xml:space="preserve"> </w:t>
      </w:r>
      <w:r>
        <w:t xml:space="preserve">D. </w:t>
      </w:r>
      <w:r w:rsidRPr="00ED09F2">
        <w:rPr>
          <w:lang w:val="en-GB"/>
        </w:rPr>
        <w:t xml:space="preserve">Mead, </w:t>
      </w:r>
      <w:r>
        <w:rPr>
          <w:lang w:val="en-GB"/>
        </w:rPr>
        <w:t>“</w:t>
      </w:r>
      <w:r w:rsidRPr="00ED09F2">
        <w:rPr>
          <w:lang w:val="en-GB"/>
        </w:rPr>
        <w:t xml:space="preserve">The Right to Protest Contained by Strasbourg: An Analysis of </w:t>
      </w:r>
      <w:r w:rsidRPr="00ED09F2">
        <w:rPr>
          <w:i/>
          <w:lang w:val="en-GB"/>
        </w:rPr>
        <w:t>Austin</w:t>
      </w:r>
      <w:r>
        <w:rPr>
          <w:i/>
          <w:lang w:val="en-GB"/>
        </w:rPr>
        <w:t xml:space="preserve"> v </w:t>
      </w:r>
      <w:r w:rsidRPr="00ED09F2">
        <w:rPr>
          <w:i/>
          <w:lang w:val="en-GB"/>
        </w:rPr>
        <w:t>UK</w:t>
      </w:r>
      <w:r w:rsidRPr="00ED09F2">
        <w:rPr>
          <w:lang w:val="en-GB"/>
        </w:rPr>
        <w:t xml:space="preserve"> and the Constitutional Pluralist Issues it Throws Up</w:t>
      </w:r>
      <w:r>
        <w:rPr>
          <w:lang w:val="en-GB"/>
        </w:rPr>
        <w:t>”,</w:t>
      </w:r>
      <w:r w:rsidRPr="00ED09F2">
        <w:rPr>
          <w:lang w:val="en-GB"/>
        </w:rPr>
        <w:t xml:space="preserve"> </w:t>
      </w:r>
      <w:r w:rsidRPr="00E30826">
        <w:rPr>
          <w:i/>
          <w:lang w:val="en-GB"/>
        </w:rPr>
        <w:t>UK Constitutional Law Association Blog</w:t>
      </w:r>
      <w:r>
        <w:rPr>
          <w:lang w:val="en-GB"/>
        </w:rPr>
        <w:t xml:space="preserve"> (2012); N. Oreb, “Case Comment: The Legality of ‘Kettling’ after </w:t>
      </w:r>
      <w:r w:rsidRPr="00ED11F0">
        <w:rPr>
          <w:i/>
          <w:lang w:val="en-GB"/>
        </w:rPr>
        <w:t>Austin</w:t>
      </w:r>
      <w:r>
        <w:rPr>
          <w:lang w:val="en-GB"/>
        </w:rPr>
        <w:t xml:space="preserve">” (2013) 76 </w:t>
      </w:r>
      <w:r w:rsidRPr="00711897">
        <w:rPr>
          <w:lang w:val="en-GB"/>
        </w:rPr>
        <w:t>M</w:t>
      </w:r>
      <w:r>
        <w:rPr>
          <w:lang w:val="en-GB"/>
        </w:rPr>
        <w:t>.</w:t>
      </w:r>
      <w:r w:rsidRPr="00711897">
        <w:rPr>
          <w:lang w:val="en-GB"/>
        </w:rPr>
        <w:t>L</w:t>
      </w:r>
      <w:r>
        <w:rPr>
          <w:lang w:val="en-GB"/>
        </w:rPr>
        <w:t>.</w:t>
      </w:r>
      <w:r w:rsidRPr="00711897">
        <w:rPr>
          <w:lang w:val="en-GB"/>
        </w:rPr>
        <w:t>R</w:t>
      </w:r>
      <w:r>
        <w:rPr>
          <w:lang w:val="en-GB"/>
        </w:rPr>
        <w:t>. 735, 741.</w:t>
      </w:r>
    </w:p>
  </w:footnote>
  <w:footnote w:id="67">
    <w:p w14:paraId="3E15FE1B" w14:textId="3AC0CE0D" w:rsidR="00E55A55" w:rsidRPr="00ED09F2" w:rsidRDefault="00E55A55" w:rsidP="00A30CDA">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[490]</w:t>
      </w:r>
      <w:r w:rsidRPr="00ED09F2">
        <w:rPr>
          <w:lang w:val="en-GB"/>
        </w:rPr>
        <w:t>.</w:t>
      </w:r>
    </w:p>
  </w:footnote>
  <w:footnote w:id="68">
    <w:p w14:paraId="6CC225CD" w14:textId="11AD970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[442].</w:t>
      </w:r>
    </w:p>
  </w:footnote>
  <w:footnote w:id="69">
    <w:p w14:paraId="6F311B10" w14:textId="6FA10D15" w:rsidR="00E55A55" w:rsidRPr="00711897" w:rsidRDefault="00E55A55">
      <w:pPr>
        <w:pStyle w:val="FootnoteText"/>
        <w:spacing w:line="480" w:lineRule="auto"/>
        <w:rPr>
          <w:lang w:val="en-GB"/>
        </w:rPr>
      </w:pPr>
      <w:r w:rsidRPr="00ED09F2">
        <w:rPr>
          <w:rStyle w:val="FootnoteReference"/>
        </w:rPr>
        <w:footnoteRef/>
      </w:r>
      <w:r w:rsidRPr="00ED09F2">
        <w:t xml:space="preserve"> </w:t>
      </w:r>
      <w:r w:rsidRPr="00ED09F2">
        <w:rPr>
          <w:lang w:val="en-GB"/>
        </w:rPr>
        <w:t>Hamilton</w:t>
      </w:r>
      <w:r>
        <w:rPr>
          <w:lang w:val="en-GB"/>
        </w:rPr>
        <w:t>, “‘Kettling’ and Article 5(1) ECHR”</w:t>
      </w:r>
      <w:r w:rsidRPr="00711897">
        <w:rPr>
          <w:lang w:val="en-GB"/>
        </w:rPr>
        <w:t>.</w:t>
      </w:r>
    </w:p>
  </w:footnote>
  <w:footnote w:id="70">
    <w:p w14:paraId="7B28BD56" w14:textId="2AF7788C" w:rsidR="00E55A55" w:rsidRPr="00D56AAA" w:rsidRDefault="00E55A55" w:rsidP="008160A2">
      <w:pPr>
        <w:pStyle w:val="FootnoteText"/>
        <w:spacing w:line="480" w:lineRule="auto"/>
        <w:rPr>
          <w:lang w:val="en-GB"/>
        </w:rPr>
      </w:pPr>
      <w:r>
        <w:rPr>
          <w:rStyle w:val="FootnoteReference"/>
        </w:rPr>
        <w:footnoteRef/>
      </w:r>
      <w:r>
        <w:t xml:space="preserve"> </w:t>
      </w:r>
      <w:r w:rsidRPr="00D56AAA">
        <w:rPr>
          <w:i/>
          <w:lang w:val="en-GB"/>
        </w:rPr>
        <w:t>Austin ECtHR</w:t>
      </w:r>
      <w:r>
        <w:rPr>
          <w:lang w:val="en-GB"/>
        </w:rPr>
        <w:t xml:space="preserve"> at [59].</w:t>
      </w:r>
    </w:p>
  </w:footnote>
  <w:footnote w:id="71">
    <w:p w14:paraId="68A35619" w14:textId="58816C93" w:rsidR="00E55A55" w:rsidRPr="00F74EC1" w:rsidRDefault="00E55A55" w:rsidP="008160A2">
      <w:pPr>
        <w:pStyle w:val="FootnoteText"/>
        <w:spacing w:line="480" w:lineRule="auto"/>
        <w:rPr>
          <w:i/>
          <w:lang w:val="en-GB"/>
        </w:rPr>
      </w:pPr>
      <w:r w:rsidRPr="00ED09F2">
        <w:rPr>
          <w:rStyle w:val="FootnoteReference"/>
        </w:rPr>
        <w:footnoteRef/>
      </w:r>
      <w:r w:rsidRPr="00ED09F2">
        <w:t xml:space="preserve"> </w:t>
      </w:r>
      <w:r w:rsidRPr="00ED09F2">
        <w:rPr>
          <w:i/>
          <w:lang w:val="en-GB"/>
        </w:rPr>
        <w:t>Austin UKHL</w:t>
      </w:r>
      <w:r>
        <w:rPr>
          <w:lang w:val="en-GB"/>
        </w:rPr>
        <w:t xml:space="preserve"> at [58].</w:t>
      </w:r>
    </w:p>
  </w:footnote>
  <w:footnote w:id="72">
    <w:p w14:paraId="2F3CC927" w14:textId="77777777" w:rsidR="00E55A55" w:rsidRPr="00ED09F2" w:rsidRDefault="00E55A55" w:rsidP="00A30CDA">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[436]</w:t>
      </w:r>
      <w:r w:rsidRPr="00ED09F2">
        <w:rPr>
          <w:lang w:val="en-GB"/>
        </w:rPr>
        <w:t>.</w:t>
      </w:r>
    </w:p>
  </w:footnote>
  <w:footnote w:id="73">
    <w:p w14:paraId="49FDA3D3"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i/>
          <w:lang w:val="en-GB"/>
        </w:rPr>
        <w:t xml:space="preserve"> </w:t>
      </w:r>
      <w:r>
        <w:rPr>
          <w:lang w:val="en-GB"/>
        </w:rPr>
        <w:t>at</w:t>
      </w:r>
      <w:r>
        <w:t xml:space="preserve"> [7]</w:t>
      </w:r>
      <w:r w:rsidRPr="00ED09F2">
        <w:t>.</w:t>
      </w:r>
    </w:p>
  </w:footnote>
  <w:footnote w:id="74">
    <w:p w14:paraId="2282BA82" w14:textId="490E0F00"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9810E1">
        <w:rPr>
          <w:i/>
          <w:lang w:val="en-GB"/>
        </w:rPr>
        <w:t>ZH</w:t>
      </w:r>
      <w:r>
        <w:rPr>
          <w:i/>
          <w:lang w:val="en-GB"/>
        </w:rPr>
        <w:t xml:space="preserve"> v </w:t>
      </w:r>
      <w:r w:rsidRPr="00ED09F2">
        <w:rPr>
          <w:i/>
          <w:lang w:val="en-GB"/>
        </w:rPr>
        <w:t>Commissioner of Police of the Metropolis</w:t>
      </w:r>
      <w:r>
        <w:rPr>
          <w:lang w:val="en-GB"/>
        </w:rPr>
        <w:t xml:space="preserve"> [2013] EWCA Civ 69;</w:t>
      </w:r>
      <w:r w:rsidRPr="00ED09F2">
        <w:rPr>
          <w:lang w:val="en-GB"/>
        </w:rPr>
        <w:t xml:space="preserve"> [2013] 1 W</w:t>
      </w:r>
      <w:r>
        <w:rPr>
          <w:lang w:val="en-GB"/>
        </w:rPr>
        <w:t>.</w:t>
      </w:r>
      <w:r w:rsidRPr="00ED09F2">
        <w:rPr>
          <w:lang w:val="en-GB"/>
        </w:rPr>
        <w:t>L</w:t>
      </w:r>
      <w:r>
        <w:rPr>
          <w:lang w:val="en-GB"/>
        </w:rPr>
        <w:t>.</w:t>
      </w:r>
      <w:r w:rsidRPr="00ED09F2">
        <w:rPr>
          <w:lang w:val="en-GB"/>
        </w:rPr>
        <w:t>R</w:t>
      </w:r>
      <w:r>
        <w:rPr>
          <w:lang w:val="en-GB"/>
        </w:rPr>
        <w:t>.</w:t>
      </w:r>
      <w:r w:rsidRPr="00ED09F2">
        <w:rPr>
          <w:lang w:val="en-GB"/>
        </w:rPr>
        <w:t xml:space="preserve"> 3021</w:t>
      </w:r>
      <w:r>
        <w:rPr>
          <w:lang w:val="en-GB"/>
        </w:rPr>
        <w:t xml:space="preserve"> at [21].</w:t>
      </w:r>
    </w:p>
  </w:footnote>
  <w:footnote w:id="75">
    <w:p w14:paraId="0C39D370" w14:textId="3EB78CD5"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Litwa</w:t>
      </w:r>
      <w:r>
        <w:rPr>
          <w:i/>
          <w:lang w:val="en-GB"/>
        </w:rPr>
        <w:t xml:space="preserve"> v </w:t>
      </w:r>
      <w:r w:rsidRPr="00ED09F2">
        <w:rPr>
          <w:i/>
          <w:lang w:val="en-GB"/>
        </w:rPr>
        <w:t>Poland</w:t>
      </w:r>
      <w:r w:rsidRPr="00B91467">
        <w:t xml:space="preserve"> </w:t>
      </w:r>
      <w:r w:rsidRPr="00B91467">
        <w:rPr>
          <w:lang w:val="en-GB"/>
        </w:rPr>
        <w:t>(2001) 33 E.H.R.R. 53</w:t>
      </w:r>
      <w:r>
        <w:rPr>
          <w:lang w:val="en-GB"/>
        </w:rPr>
        <w:t>.</w:t>
      </w:r>
    </w:p>
  </w:footnote>
  <w:footnote w:id="76">
    <w:p w14:paraId="21712ABC" w14:textId="77777777" w:rsidR="00E55A55" w:rsidRPr="00ED09F2" w:rsidRDefault="00E55A55">
      <w:pPr>
        <w:pStyle w:val="FootnoteText"/>
        <w:spacing w:line="480" w:lineRule="auto"/>
        <w:rPr>
          <w:lang w:val="en-GB"/>
        </w:rPr>
      </w:pPr>
      <w:r w:rsidRPr="00ED09F2">
        <w:rPr>
          <w:rStyle w:val="FootnoteReference"/>
        </w:rPr>
        <w:footnoteRef/>
      </w:r>
      <w:r>
        <w:t xml:space="preserve"> C</w:t>
      </w:r>
      <w:r w:rsidRPr="00ED09F2">
        <w:t>f</w:t>
      </w:r>
      <w:r>
        <w:t>.</w:t>
      </w:r>
      <w:r w:rsidRPr="00ED09F2">
        <w:t xml:space="preserve"> </w:t>
      </w:r>
      <w:r w:rsidRPr="00ED09F2">
        <w:rPr>
          <w:i/>
          <w:lang w:val="en-GB"/>
        </w:rPr>
        <w:t>Guzzardi</w:t>
      </w:r>
      <w:r w:rsidRPr="00ED09F2">
        <w:rPr>
          <w:lang w:val="en-GB"/>
        </w:rPr>
        <w:t>, dissenting opin</w:t>
      </w:r>
      <w:r>
        <w:rPr>
          <w:lang w:val="en-GB"/>
        </w:rPr>
        <w:t>ion of Sir Gerald Fitzmaurice at [11]</w:t>
      </w:r>
      <w:r w:rsidRPr="00ED09F2">
        <w:rPr>
          <w:lang w:val="en-GB"/>
        </w:rPr>
        <w:t>.</w:t>
      </w:r>
    </w:p>
  </w:footnote>
  <w:footnote w:id="77">
    <w:p w14:paraId="0D8126DF"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Cheshire West</w:t>
      </w:r>
      <w:r>
        <w:rPr>
          <w:lang w:val="en-GB"/>
        </w:rPr>
        <w:t xml:space="preserve"> at [76]</w:t>
      </w:r>
      <w:r w:rsidRPr="00ED09F2">
        <w:rPr>
          <w:lang w:val="en-GB"/>
        </w:rPr>
        <w:t>.</w:t>
      </w:r>
    </w:p>
  </w:footnote>
  <w:footnote w:id="78">
    <w:p w14:paraId="2EBCF1CF" w14:textId="77777777" w:rsidR="00E55A55" w:rsidRPr="008C3A14" w:rsidRDefault="00E55A55">
      <w:pPr>
        <w:pStyle w:val="FootnoteText"/>
        <w:spacing w:line="480" w:lineRule="auto"/>
        <w:rPr>
          <w:lang w:val="en-GB"/>
        </w:rPr>
      </w:pPr>
      <w:r>
        <w:rPr>
          <w:rStyle w:val="FootnoteReference"/>
        </w:rPr>
        <w:footnoteRef/>
      </w:r>
      <w:r>
        <w:t xml:space="preserve"> G. </w:t>
      </w:r>
      <w:r w:rsidRPr="00ED09F2">
        <w:rPr>
          <w:lang w:val="en-GB"/>
        </w:rPr>
        <w:t xml:space="preserve">Lennon, </w:t>
      </w:r>
      <w:r>
        <w:rPr>
          <w:lang w:val="en-GB"/>
        </w:rPr>
        <w:t>“</w:t>
      </w:r>
      <w:r w:rsidRPr="00ED09F2">
        <w:rPr>
          <w:lang w:val="en-GB"/>
        </w:rPr>
        <w:t>The Purpose of the Right to Liberty under the ECHR, Article 5</w:t>
      </w:r>
      <w:r>
        <w:rPr>
          <w:lang w:val="en-GB"/>
        </w:rPr>
        <w:t>”</w:t>
      </w:r>
      <w:r w:rsidRPr="00ED09F2">
        <w:rPr>
          <w:lang w:val="en-GB"/>
        </w:rPr>
        <w:t xml:space="preserve"> </w:t>
      </w:r>
      <w:r>
        <w:rPr>
          <w:lang w:val="en-GB"/>
        </w:rPr>
        <w:t xml:space="preserve">(2012) </w:t>
      </w:r>
      <w:r w:rsidRPr="00ED09F2">
        <w:rPr>
          <w:lang w:val="en-GB"/>
        </w:rPr>
        <w:t xml:space="preserve">3 </w:t>
      </w:r>
      <w:r w:rsidRPr="00393EC4">
        <w:rPr>
          <w:lang w:val="en-GB"/>
        </w:rPr>
        <w:t>Web J</w:t>
      </w:r>
      <w:r>
        <w:rPr>
          <w:lang w:val="en-GB"/>
        </w:rPr>
        <w:t>.</w:t>
      </w:r>
      <w:r w:rsidRPr="00393EC4">
        <w:rPr>
          <w:lang w:val="en-GB"/>
        </w:rPr>
        <w:t>C</w:t>
      </w:r>
      <w:r>
        <w:rPr>
          <w:lang w:val="en-GB"/>
        </w:rPr>
        <w:t>.</w:t>
      </w:r>
      <w:r w:rsidRPr="00393EC4">
        <w:rPr>
          <w:lang w:val="en-GB"/>
        </w:rPr>
        <w:t>L</w:t>
      </w:r>
      <w:r>
        <w:rPr>
          <w:lang w:val="en-GB"/>
        </w:rPr>
        <w:t>.</w:t>
      </w:r>
      <w:r w:rsidRPr="00393EC4">
        <w:rPr>
          <w:lang w:val="en-GB"/>
        </w:rPr>
        <w:t>I</w:t>
      </w:r>
      <w:r w:rsidRPr="00ED09F2">
        <w:rPr>
          <w:lang w:val="en-GB"/>
        </w:rPr>
        <w:t>.</w:t>
      </w:r>
    </w:p>
  </w:footnote>
  <w:footnote w:id="79">
    <w:p w14:paraId="21955FE7" w14:textId="77777777" w:rsidR="00E55A55" w:rsidRPr="00ED09F2" w:rsidRDefault="00E55A55">
      <w:pPr>
        <w:pStyle w:val="FootnoteText"/>
        <w:spacing w:line="480" w:lineRule="auto"/>
        <w:rPr>
          <w:lang w:val="en-GB"/>
        </w:rPr>
      </w:pPr>
      <w:r w:rsidRPr="00ED09F2">
        <w:rPr>
          <w:rStyle w:val="FootnoteReference"/>
        </w:rPr>
        <w:footnoteRef/>
      </w:r>
      <w:r>
        <w:t xml:space="preserve"> </w:t>
      </w:r>
      <w:r>
        <w:rPr>
          <w:lang w:val="en-GB"/>
        </w:rPr>
        <w:t xml:space="preserve">Fenwick, “Marginalising Human Rights” </w:t>
      </w:r>
      <w:r w:rsidRPr="00ED09F2">
        <w:rPr>
          <w:lang w:val="en-GB"/>
        </w:rPr>
        <w:t>750.</w:t>
      </w:r>
    </w:p>
  </w:footnote>
  <w:footnote w:id="80">
    <w:p w14:paraId="7A8CE241" w14:textId="7D87E339"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9129D2">
        <w:rPr>
          <w:i/>
        </w:rPr>
        <w:t>Austin ECtHR</w:t>
      </w:r>
      <w:r>
        <w:t xml:space="preserve"> at [63].</w:t>
      </w:r>
    </w:p>
  </w:footnote>
  <w:footnote w:id="81">
    <w:p w14:paraId="65BD3449" w14:textId="7DD56464" w:rsidR="00E55A55" w:rsidRPr="002F40B8" w:rsidRDefault="00E55A55">
      <w:pPr>
        <w:pStyle w:val="FootnoteText"/>
        <w:spacing w:line="480" w:lineRule="auto"/>
        <w:rPr>
          <w:lang w:val="en-GB"/>
        </w:rPr>
      </w:pPr>
      <w:r>
        <w:rPr>
          <w:rStyle w:val="FootnoteReference"/>
        </w:rPr>
        <w:footnoteRef/>
      </w:r>
      <w:r>
        <w:t xml:space="preserve"> </w:t>
      </w:r>
      <w:r w:rsidRPr="002F40B8">
        <w:rPr>
          <w:i/>
          <w:lang w:val="en-GB"/>
        </w:rPr>
        <w:t>ZH</w:t>
      </w:r>
      <w:r>
        <w:rPr>
          <w:lang w:val="en-GB"/>
        </w:rPr>
        <w:t xml:space="preserve"> at [87]; </w:t>
      </w:r>
      <w:r w:rsidRPr="0063280F">
        <w:rPr>
          <w:i/>
        </w:rPr>
        <w:t>Kasparov v Russia</w:t>
      </w:r>
      <w:r>
        <w:t xml:space="preserve"> </w:t>
      </w:r>
      <w:r w:rsidRPr="0063280F">
        <w:t>(2018) 66 E.H.R.R. 21</w:t>
      </w:r>
      <w:r>
        <w:t xml:space="preserve"> at [46].</w:t>
      </w:r>
    </w:p>
  </w:footnote>
  <w:footnote w:id="82">
    <w:p w14:paraId="411E5148"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UKHL</w:t>
      </w:r>
      <w:r>
        <w:rPr>
          <w:lang w:val="en-GB"/>
        </w:rPr>
        <w:t xml:space="preserve"> at [34]</w:t>
      </w:r>
      <w:r w:rsidRPr="00ED09F2">
        <w:rPr>
          <w:lang w:val="en-GB"/>
        </w:rPr>
        <w:t>.</w:t>
      </w:r>
    </w:p>
  </w:footnote>
  <w:footnote w:id="83">
    <w:p w14:paraId="43210070"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C46D79">
        <w:rPr>
          <w:i/>
          <w:lang w:val="en-GB"/>
        </w:rPr>
        <w:t>Austin ECtHR</w:t>
      </w:r>
      <w:r w:rsidRPr="00C46D79">
        <w:rPr>
          <w:lang w:val="en-GB"/>
        </w:rPr>
        <w:t xml:space="preserve"> </w:t>
      </w:r>
      <w:r>
        <w:rPr>
          <w:lang w:val="en-GB"/>
        </w:rPr>
        <w:t>at [58]–[59]</w:t>
      </w:r>
      <w:r w:rsidRPr="00ED09F2">
        <w:rPr>
          <w:lang w:val="en-GB"/>
        </w:rPr>
        <w:t>.</w:t>
      </w:r>
    </w:p>
  </w:footnote>
  <w:footnote w:id="84">
    <w:p w14:paraId="09541741"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ECtHR</w:t>
      </w:r>
      <w:r>
        <w:rPr>
          <w:lang w:val="en-GB"/>
        </w:rPr>
        <w:t xml:space="preserve"> at [59]</w:t>
      </w:r>
      <w:r w:rsidRPr="00ED09F2">
        <w:rPr>
          <w:lang w:val="en-GB"/>
        </w:rPr>
        <w:t>,</w:t>
      </w:r>
      <w:r>
        <w:rPr>
          <w:lang w:val="en-GB"/>
        </w:rPr>
        <w:t xml:space="preserve"> [65]–[68]</w:t>
      </w:r>
      <w:r w:rsidRPr="00ED09F2">
        <w:rPr>
          <w:lang w:val="en-GB"/>
        </w:rPr>
        <w:t>.</w:t>
      </w:r>
    </w:p>
  </w:footnote>
  <w:footnote w:id="85">
    <w:p w14:paraId="7A0CDC45"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Hamilton, “‘Kettling’ and Article 5(1) ECHR”</w:t>
      </w:r>
      <w:r w:rsidRPr="00ED09F2">
        <w:rPr>
          <w:lang w:val="en-GB"/>
        </w:rPr>
        <w:t>.</w:t>
      </w:r>
    </w:p>
  </w:footnote>
  <w:footnote w:id="86">
    <w:p w14:paraId="5A6B4417"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rPr>
        <w:t>R</w:t>
      </w:r>
      <w:r>
        <w:rPr>
          <w:i/>
        </w:rPr>
        <w:t>.</w:t>
      </w:r>
      <w:r w:rsidRPr="00ED09F2">
        <w:rPr>
          <w:i/>
        </w:rPr>
        <w:t xml:space="preserve"> (on the application of </w:t>
      </w:r>
      <w:r w:rsidRPr="00ED09F2">
        <w:rPr>
          <w:i/>
          <w:lang w:val="en-GB"/>
        </w:rPr>
        <w:t>Laporte)</w:t>
      </w:r>
      <w:r>
        <w:rPr>
          <w:i/>
          <w:lang w:val="en-GB"/>
        </w:rPr>
        <w:t xml:space="preserve"> v </w:t>
      </w:r>
      <w:r w:rsidRPr="00ED09F2">
        <w:rPr>
          <w:i/>
          <w:lang w:val="en-GB"/>
        </w:rPr>
        <w:t>Chief Constable of Gloucestershire</w:t>
      </w:r>
      <w:r>
        <w:rPr>
          <w:lang w:val="en-GB"/>
        </w:rPr>
        <w:t xml:space="preserve"> [2006] UKHL 55;</w:t>
      </w:r>
      <w:r w:rsidRPr="00ED09F2">
        <w:rPr>
          <w:lang w:val="en-GB"/>
        </w:rPr>
        <w:t xml:space="preserve"> [2007] 2 A</w:t>
      </w:r>
      <w:r>
        <w:rPr>
          <w:lang w:val="en-GB"/>
        </w:rPr>
        <w:t>.</w:t>
      </w:r>
      <w:r w:rsidRPr="00ED09F2">
        <w:rPr>
          <w:lang w:val="en-GB"/>
        </w:rPr>
        <w:t>C</w:t>
      </w:r>
      <w:r>
        <w:rPr>
          <w:lang w:val="en-GB"/>
        </w:rPr>
        <w:t>.</w:t>
      </w:r>
      <w:r w:rsidRPr="00ED09F2">
        <w:rPr>
          <w:lang w:val="en-GB"/>
        </w:rPr>
        <w:t xml:space="preserve"> 105</w:t>
      </w:r>
      <w:r>
        <w:rPr>
          <w:lang w:val="en-GB"/>
        </w:rPr>
        <w:t xml:space="preserve"> at [129].</w:t>
      </w:r>
    </w:p>
  </w:footnote>
  <w:footnote w:id="87">
    <w:p w14:paraId="641A94E3"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rPr>
        <w:t>Cheshire West</w:t>
      </w:r>
      <w:r>
        <w:t xml:space="preserve"> at [28]</w:t>
      </w:r>
      <w:r w:rsidRPr="00ED09F2">
        <w:t xml:space="preserve"> citing </w:t>
      </w:r>
      <w:r w:rsidRPr="00ED09F2">
        <w:rPr>
          <w:i/>
          <w:lang w:val="en-GB"/>
        </w:rPr>
        <w:t>Austin ECtHR</w:t>
      </w:r>
      <w:r>
        <w:rPr>
          <w:lang w:val="en-GB"/>
        </w:rPr>
        <w:t xml:space="preserve"> at [58]</w:t>
      </w:r>
      <w:r w:rsidRPr="00ED09F2">
        <w:rPr>
          <w:lang w:val="en-GB"/>
        </w:rPr>
        <w:t>.</w:t>
      </w:r>
    </w:p>
  </w:footnote>
  <w:footnote w:id="88">
    <w:p w14:paraId="6ACEBE40" w14:textId="050E12DE" w:rsidR="00E55A55" w:rsidRPr="00ED09F2" w:rsidRDefault="00E55A55">
      <w:pPr>
        <w:pStyle w:val="FootnoteText"/>
        <w:spacing w:line="480" w:lineRule="auto"/>
        <w:rPr>
          <w:lang w:val="en-GB"/>
        </w:rPr>
      </w:pPr>
      <w:r w:rsidRPr="00ED09F2">
        <w:rPr>
          <w:rStyle w:val="FootnoteReference"/>
        </w:rPr>
        <w:footnoteRef/>
      </w:r>
      <w:r w:rsidRPr="00ED09F2">
        <w:t xml:space="preserve"> </w:t>
      </w:r>
      <w:r>
        <w:t>e.g.</w:t>
      </w:r>
      <w:r w:rsidRPr="00ED09F2">
        <w:t xml:space="preserve"> </w:t>
      </w:r>
      <w:r w:rsidRPr="00ED09F2">
        <w:rPr>
          <w:i/>
        </w:rPr>
        <w:t>Cheshire West</w:t>
      </w:r>
      <w:r>
        <w:t xml:space="preserve"> at [82]–[83]</w:t>
      </w:r>
      <w:r w:rsidRPr="00ED09F2">
        <w:t xml:space="preserve">. </w:t>
      </w:r>
      <w:r w:rsidRPr="00ED09F2">
        <w:rPr>
          <w:lang w:val="en-GB"/>
        </w:rPr>
        <w:t xml:space="preserve">See too the dissentients in </w:t>
      </w:r>
      <w:r w:rsidRPr="00ED09F2">
        <w:rPr>
          <w:i/>
          <w:lang w:val="en-GB"/>
        </w:rPr>
        <w:t>Austin ECtHR</w:t>
      </w:r>
      <w:r w:rsidRPr="00ED09F2">
        <w:rPr>
          <w:lang w:val="en-GB"/>
        </w:rPr>
        <w:t xml:space="preserve"> </w:t>
      </w:r>
      <w:r>
        <w:rPr>
          <w:lang w:val="en-GB"/>
        </w:rPr>
        <w:t>at [4]</w:t>
      </w:r>
      <w:r w:rsidRPr="00ED09F2">
        <w:rPr>
          <w:lang w:val="en-GB"/>
        </w:rPr>
        <w:t>.</w:t>
      </w:r>
    </w:p>
  </w:footnote>
  <w:footnote w:id="89">
    <w:p w14:paraId="0AAFDB69"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Feldman, “</w:t>
      </w:r>
      <w:r w:rsidRPr="00ED09F2">
        <w:rPr>
          <w:lang w:val="en-GB"/>
        </w:rPr>
        <w:t>Containment, Deprivation of Liberty and Breach of the Peace</w:t>
      </w:r>
      <w:r>
        <w:rPr>
          <w:lang w:val="en-GB"/>
        </w:rPr>
        <w:t>”</w:t>
      </w:r>
      <w:r w:rsidRPr="00ED09F2">
        <w:rPr>
          <w:lang w:val="en-GB"/>
        </w:rPr>
        <w:t xml:space="preserve"> 244.</w:t>
      </w:r>
    </w:p>
  </w:footnote>
  <w:footnote w:id="90">
    <w:p w14:paraId="178112A1" w14:textId="1639D666"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UKHL</w:t>
      </w:r>
      <w:r>
        <w:rPr>
          <w:lang w:val="en-GB"/>
        </w:rPr>
        <w:t xml:space="preserve"> at [34]. See also</w:t>
      </w:r>
      <w:r w:rsidRPr="00ED09F2">
        <w:rPr>
          <w:lang w:val="en-GB"/>
        </w:rPr>
        <w:t xml:space="preserve"> </w:t>
      </w:r>
      <w:r w:rsidRPr="00ED09F2">
        <w:rPr>
          <w:i/>
          <w:lang w:val="en-GB"/>
        </w:rPr>
        <w:t>R</w:t>
      </w:r>
      <w:r>
        <w:rPr>
          <w:i/>
          <w:lang w:val="en-GB"/>
        </w:rPr>
        <w:t>.</w:t>
      </w:r>
      <w:r w:rsidRPr="00ED09F2">
        <w:rPr>
          <w:i/>
          <w:lang w:val="en-GB"/>
        </w:rPr>
        <w:t xml:space="preserve"> (on the application of Hicks)</w:t>
      </w:r>
      <w:r>
        <w:rPr>
          <w:i/>
          <w:lang w:val="en-GB"/>
        </w:rPr>
        <w:t xml:space="preserve"> v </w:t>
      </w:r>
      <w:r w:rsidRPr="00ED09F2">
        <w:rPr>
          <w:i/>
          <w:lang w:val="en-GB"/>
        </w:rPr>
        <w:t>Commissioner of Police of the Metropolis</w:t>
      </w:r>
      <w:r w:rsidRPr="00ED09F2">
        <w:rPr>
          <w:lang w:val="en-GB"/>
        </w:rPr>
        <w:t xml:space="preserve"> </w:t>
      </w:r>
      <w:r>
        <w:rPr>
          <w:lang w:val="en-GB"/>
        </w:rPr>
        <w:t>[2017] UKSC 9, [2017] A.C. 256 at [30]</w:t>
      </w:r>
      <w:r w:rsidRPr="00ED09F2">
        <w:rPr>
          <w:lang w:val="en-GB"/>
        </w:rPr>
        <w:t>.</w:t>
      </w:r>
    </w:p>
  </w:footnote>
  <w:footnote w:id="91">
    <w:p w14:paraId="4DB468E7"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There were 13,700 Deprivation of Liberty Safeguards applications the year before </w:t>
      </w:r>
      <w:r w:rsidRPr="006C5989">
        <w:rPr>
          <w:i/>
        </w:rPr>
        <w:t>Cheshire West</w:t>
      </w:r>
      <w:r>
        <w:t xml:space="preserve"> (2013–</w:t>
      </w:r>
      <w:r w:rsidRPr="00ED09F2">
        <w:t xml:space="preserve">14) and 137,540 the following year: Law Commission, </w:t>
      </w:r>
      <w:r w:rsidRPr="00ED09F2">
        <w:rPr>
          <w:i/>
        </w:rPr>
        <w:t>Mental Capacity and Deprivation of Liberty</w:t>
      </w:r>
      <w:r w:rsidRPr="00ED09F2">
        <w:t xml:space="preserve"> (Law Com No 372 (2017))</w:t>
      </w:r>
      <w:r>
        <w:t xml:space="preserve"> </w:t>
      </w:r>
      <w:r>
        <w:rPr>
          <w:lang w:val="en-GB"/>
        </w:rPr>
        <w:t>para.</w:t>
      </w:r>
      <w:r w:rsidRPr="00ED09F2">
        <w:rPr>
          <w:lang w:val="en-GB"/>
        </w:rPr>
        <w:t>2.22.</w:t>
      </w:r>
    </w:p>
  </w:footnote>
  <w:footnote w:id="92">
    <w:p w14:paraId="1D294B86"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Law Commission, </w:t>
      </w:r>
      <w:r w:rsidRPr="00ED09F2">
        <w:rPr>
          <w:i/>
        </w:rPr>
        <w:t>Mental Capacity and Deprivation of Liberty</w:t>
      </w:r>
      <w:r>
        <w:t>.</w:t>
      </w:r>
    </w:p>
  </w:footnote>
  <w:footnote w:id="93">
    <w:p w14:paraId="544312D8" w14:textId="51E00B48" w:rsidR="00E55A55" w:rsidRPr="004B02C5" w:rsidRDefault="00E55A55">
      <w:pPr>
        <w:pStyle w:val="FootnoteText"/>
        <w:spacing w:line="480" w:lineRule="auto"/>
        <w:rPr>
          <w:lang w:val="en-GB"/>
        </w:rPr>
      </w:pPr>
      <w:r>
        <w:rPr>
          <w:rStyle w:val="FootnoteReference"/>
        </w:rPr>
        <w:footnoteRef/>
      </w:r>
      <w:r>
        <w:t xml:space="preserve"> </w:t>
      </w:r>
      <w:r>
        <w:rPr>
          <w:lang w:val="en-GB"/>
        </w:rPr>
        <w:t>“Final Government Response to the Law Commission’s Review of Deprivation of Liberty Safeguards and Mental Capacity” HCWS542 (March 14, 2018).</w:t>
      </w:r>
    </w:p>
  </w:footnote>
  <w:footnote w:id="94">
    <w:p w14:paraId="2C36C708"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Cheshire West</w:t>
      </w:r>
      <w:r>
        <w:rPr>
          <w:lang w:val="en-GB"/>
        </w:rPr>
        <w:t xml:space="preserve"> at [60]</w:t>
      </w:r>
      <w:r w:rsidRPr="00ED09F2">
        <w:rPr>
          <w:lang w:val="en-GB"/>
        </w:rPr>
        <w:t>.</w:t>
      </w:r>
    </w:p>
  </w:footnote>
  <w:footnote w:id="95">
    <w:p w14:paraId="4C7E3A39" w14:textId="647FE5F1" w:rsidR="00E55A55" w:rsidRPr="00ED09F2" w:rsidRDefault="00E55A55">
      <w:pPr>
        <w:pStyle w:val="FootnoteText"/>
        <w:spacing w:line="480" w:lineRule="auto"/>
        <w:rPr>
          <w:lang w:val="en-GB"/>
        </w:rPr>
      </w:pPr>
      <w:r w:rsidRPr="00ED09F2">
        <w:rPr>
          <w:rStyle w:val="FootnoteReference"/>
        </w:rPr>
        <w:footnoteRef/>
      </w:r>
      <w:r w:rsidRPr="00ED09F2">
        <w:t xml:space="preserve"> </w:t>
      </w:r>
      <w:r>
        <w:rPr>
          <w:i/>
          <w:lang w:val="en-GB"/>
        </w:rPr>
        <w:t>R.</w:t>
      </w:r>
      <w:r w:rsidRPr="004C2D54">
        <w:rPr>
          <w:i/>
          <w:lang w:val="en-GB"/>
        </w:rPr>
        <w:t xml:space="preserve"> (on the application</w:t>
      </w:r>
      <w:r w:rsidRPr="004C2D54">
        <w:rPr>
          <w:lang w:val="en-GB"/>
        </w:rPr>
        <w:t xml:space="preserve"> of </w:t>
      </w:r>
      <w:r w:rsidRPr="004C2D54">
        <w:rPr>
          <w:i/>
          <w:lang w:val="en-GB"/>
        </w:rPr>
        <w:t>Castle)</w:t>
      </w:r>
      <w:r>
        <w:rPr>
          <w:i/>
          <w:lang w:val="en-GB"/>
        </w:rPr>
        <w:t xml:space="preserve"> v </w:t>
      </w:r>
      <w:r w:rsidRPr="004C2D54">
        <w:rPr>
          <w:i/>
          <w:lang w:val="en-GB"/>
        </w:rPr>
        <w:t>Commissioner of Police of the Metropolis</w:t>
      </w:r>
      <w:r w:rsidRPr="004C2D54">
        <w:rPr>
          <w:lang w:val="en-GB"/>
        </w:rPr>
        <w:t xml:space="preserve"> [2011] EWHC 2317</w:t>
      </w:r>
      <w:r>
        <w:rPr>
          <w:lang w:val="en-GB"/>
        </w:rPr>
        <w:t xml:space="preserve"> (Admin), [2012] 1 All E.R. 953 at [70]</w:t>
      </w:r>
      <w:r w:rsidRPr="00ED09F2">
        <w:rPr>
          <w:lang w:val="en-GB"/>
        </w:rPr>
        <w:t xml:space="preserve">. See also </w:t>
      </w:r>
      <w:r w:rsidRPr="00ED09F2">
        <w:rPr>
          <w:i/>
          <w:lang w:val="en-GB"/>
        </w:rPr>
        <w:t>Laporte</w:t>
      </w:r>
      <w:r>
        <w:rPr>
          <w:lang w:val="en-GB"/>
        </w:rPr>
        <w:t xml:space="preserve"> at [55], [90], [106]</w:t>
      </w:r>
      <w:r w:rsidRPr="00ED09F2">
        <w:rPr>
          <w:lang w:val="en-GB"/>
        </w:rPr>
        <w:t>.</w:t>
      </w:r>
    </w:p>
  </w:footnote>
  <w:footnote w:id="96">
    <w:p w14:paraId="218C7F04"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 xml:space="preserve">Moos </w:t>
      </w:r>
      <w:r>
        <w:rPr>
          <w:lang w:val="en-GB"/>
        </w:rPr>
        <w:t>at [68]–[76]</w:t>
      </w:r>
      <w:r w:rsidRPr="00ED09F2">
        <w:rPr>
          <w:lang w:val="en-GB"/>
        </w:rPr>
        <w:t>.</w:t>
      </w:r>
    </w:p>
  </w:footnote>
  <w:footnote w:id="97">
    <w:p w14:paraId="25F17BEB" w14:textId="77777777" w:rsidR="00E55A55" w:rsidRPr="00ED09F2" w:rsidRDefault="00E55A55">
      <w:pPr>
        <w:pStyle w:val="FootnoteText"/>
        <w:spacing w:line="480" w:lineRule="auto"/>
        <w:rPr>
          <w:lang w:val="en-GB"/>
        </w:rPr>
      </w:pPr>
      <w:r w:rsidRPr="00ED09F2">
        <w:rPr>
          <w:rStyle w:val="FootnoteReference"/>
        </w:rPr>
        <w:footnoteRef/>
      </w:r>
      <w:r>
        <w:t xml:space="preserve"> </w:t>
      </w:r>
      <w:r>
        <w:rPr>
          <w:lang w:val="en-GB"/>
        </w:rPr>
        <w:t xml:space="preserve">Fenwick, “Marginalising Human Rights” </w:t>
      </w:r>
      <w:r w:rsidRPr="00ED09F2">
        <w:rPr>
          <w:lang w:val="en-GB"/>
        </w:rPr>
        <w:t>756.</w:t>
      </w:r>
    </w:p>
  </w:footnote>
  <w:footnote w:id="98">
    <w:p w14:paraId="749C533F" w14:textId="066AA240"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e.g.</w:t>
      </w:r>
      <w:r w:rsidRPr="00ED09F2">
        <w:rPr>
          <w:lang w:val="en-GB"/>
        </w:rPr>
        <w:t xml:space="preserve"> </w:t>
      </w:r>
      <w:r w:rsidRPr="00ED09F2">
        <w:rPr>
          <w:i/>
          <w:lang w:val="en-GB"/>
        </w:rPr>
        <w:t>R</w:t>
      </w:r>
      <w:r>
        <w:rPr>
          <w:i/>
          <w:lang w:val="en-GB"/>
        </w:rPr>
        <w:t>.</w:t>
      </w:r>
      <w:r w:rsidRPr="00ED09F2">
        <w:rPr>
          <w:i/>
          <w:lang w:val="en-GB"/>
        </w:rPr>
        <w:t xml:space="preserve"> (on the application of Moos and McClure)</w:t>
      </w:r>
      <w:r>
        <w:rPr>
          <w:i/>
          <w:lang w:val="en-GB"/>
        </w:rPr>
        <w:t xml:space="preserve"> v </w:t>
      </w:r>
      <w:r w:rsidRPr="00ED09F2">
        <w:rPr>
          <w:i/>
          <w:lang w:val="en-GB"/>
        </w:rPr>
        <w:t>Commissioner of Police of the Metropolis</w:t>
      </w:r>
      <w:r w:rsidRPr="00ED09F2">
        <w:rPr>
          <w:lang w:val="en-GB"/>
        </w:rPr>
        <w:t xml:space="preserve"> [2011] EWHC 957 (Admin)</w:t>
      </w:r>
      <w:r>
        <w:rPr>
          <w:lang w:val="en-GB"/>
        </w:rPr>
        <w:t>;</w:t>
      </w:r>
      <w:r w:rsidRPr="00D218B9">
        <w:t xml:space="preserve"> </w:t>
      </w:r>
      <w:r>
        <w:rPr>
          <w:lang w:val="en-GB"/>
        </w:rPr>
        <w:t>[2011] H.R.L.R.</w:t>
      </w:r>
      <w:r w:rsidRPr="00D218B9">
        <w:rPr>
          <w:lang w:val="en-GB"/>
        </w:rPr>
        <w:t xml:space="preserve"> 24</w:t>
      </w:r>
      <w:r>
        <w:rPr>
          <w:lang w:val="en-GB"/>
        </w:rPr>
        <w:t xml:space="preserve"> at [57]; </w:t>
      </w:r>
      <w:r>
        <w:rPr>
          <w:i/>
        </w:rPr>
        <w:t>ZH</w:t>
      </w:r>
      <w:r>
        <w:rPr>
          <w:lang w:val="en-GB"/>
        </w:rPr>
        <w:t xml:space="preserve"> at [90]</w:t>
      </w:r>
      <w:r w:rsidRPr="00ED09F2">
        <w:rPr>
          <w:lang w:val="en-GB"/>
        </w:rPr>
        <w:t>.</w:t>
      </w:r>
    </w:p>
  </w:footnote>
  <w:footnote w:id="99">
    <w:p w14:paraId="2C327BB1"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[166]</w:t>
      </w:r>
      <w:r w:rsidRPr="00ED09F2">
        <w:rPr>
          <w:lang w:val="en-GB"/>
        </w:rPr>
        <w:t>.</w:t>
      </w:r>
    </w:p>
  </w:footnote>
  <w:footnote w:id="100">
    <w:p w14:paraId="27C00D0B"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Pr>
          <w:i/>
        </w:rPr>
        <w:t>ZH</w:t>
      </w:r>
      <w:r>
        <w:rPr>
          <w:lang w:val="en-GB"/>
        </w:rPr>
        <w:t xml:space="preserve"> at [90]</w:t>
      </w:r>
      <w:r w:rsidRPr="00ED09F2">
        <w:rPr>
          <w:lang w:val="en-GB"/>
        </w:rPr>
        <w:t>.</w:t>
      </w:r>
    </w:p>
  </w:footnote>
  <w:footnote w:id="101">
    <w:p w14:paraId="0DC12D60"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[16]</w:t>
      </w:r>
      <w:r w:rsidRPr="00ED09F2">
        <w:rPr>
          <w:lang w:val="en-GB"/>
        </w:rPr>
        <w:t>.</w:t>
      </w:r>
    </w:p>
  </w:footnote>
  <w:footnote w:id="102">
    <w:p w14:paraId="46F66F33"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[313]</w:t>
      </w:r>
      <w:r w:rsidRPr="00ED09F2">
        <w:rPr>
          <w:lang w:val="en-GB"/>
        </w:rPr>
        <w:t>.</w:t>
      </w:r>
    </w:p>
  </w:footnote>
  <w:footnote w:id="103">
    <w:p w14:paraId="7714E19F" w14:textId="5DA92573"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[506]</w:t>
      </w:r>
      <w:r w:rsidRPr="00ED09F2">
        <w:rPr>
          <w:lang w:val="en-GB"/>
        </w:rPr>
        <w:t>.</w:t>
      </w:r>
    </w:p>
  </w:footnote>
  <w:footnote w:id="104">
    <w:p w14:paraId="772098C1"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Moos</w:t>
      </w:r>
      <w:r>
        <w:rPr>
          <w:lang w:val="en-GB"/>
        </w:rPr>
        <w:t xml:space="preserve"> at [95]</w:t>
      </w:r>
      <w:r w:rsidRPr="00ED09F2">
        <w:rPr>
          <w:lang w:val="en-GB"/>
        </w:rPr>
        <w:t>.</w:t>
      </w:r>
    </w:p>
  </w:footnote>
  <w:footnote w:id="105">
    <w:p w14:paraId="38911807" w14:textId="77777777" w:rsidR="00E55A55" w:rsidRPr="00ED09F2" w:rsidRDefault="00E55A55">
      <w:pPr>
        <w:pStyle w:val="FootnoteText"/>
        <w:spacing w:line="480" w:lineRule="auto"/>
        <w:rPr>
          <w:lang w:val="en-GB"/>
        </w:rPr>
      </w:pPr>
      <w:r w:rsidRPr="00ED09F2">
        <w:rPr>
          <w:rStyle w:val="FootnoteReference"/>
        </w:rPr>
        <w:footnoteRef/>
      </w:r>
      <w:r>
        <w:t xml:space="preserve"> C. </w:t>
      </w:r>
      <w:r>
        <w:rPr>
          <w:lang w:val="en-GB"/>
        </w:rPr>
        <w:t xml:space="preserve">Stott and S. </w:t>
      </w:r>
      <w:r w:rsidRPr="00ED09F2">
        <w:rPr>
          <w:lang w:val="en-GB"/>
        </w:rPr>
        <w:t xml:space="preserve">Reicher, </w:t>
      </w:r>
      <w:r>
        <w:rPr>
          <w:lang w:val="en-GB"/>
        </w:rPr>
        <w:t>“</w:t>
      </w:r>
      <w:r w:rsidRPr="00ED09F2">
        <w:rPr>
          <w:lang w:val="en-GB"/>
        </w:rPr>
        <w:t>Crowd Action as Intergroup Process: Introducing the Police Perspective</w:t>
      </w:r>
      <w:r>
        <w:rPr>
          <w:lang w:val="en-GB"/>
        </w:rPr>
        <w:t>”</w:t>
      </w:r>
      <w:r w:rsidRPr="00ED09F2">
        <w:rPr>
          <w:lang w:val="en-GB"/>
        </w:rPr>
        <w:t xml:space="preserve"> </w:t>
      </w:r>
      <w:r>
        <w:rPr>
          <w:lang w:val="en-GB"/>
        </w:rPr>
        <w:t xml:space="preserve">(1998) 28 </w:t>
      </w:r>
      <w:r w:rsidRPr="0081033F">
        <w:rPr>
          <w:i/>
          <w:lang w:val="en-GB"/>
        </w:rPr>
        <w:t>European Journal of Social Psychology</w:t>
      </w:r>
      <w:r>
        <w:rPr>
          <w:lang w:val="en-GB"/>
        </w:rPr>
        <w:t xml:space="preserve"> 509, 512.</w:t>
      </w:r>
    </w:p>
  </w:footnote>
  <w:footnote w:id="106">
    <w:p w14:paraId="31539E62"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Laporte</w:t>
      </w:r>
      <w:r w:rsidRPr="00ED09F2">
        <w:rPr>
          <w:lang w:val="en-GB"/>
        </w:rPr>
        <w:t xml:space="preserve"> </w:t>
      </w:r>
      <w:r>
        <w:rPr>
          <w:lang w:val="en-GB"/>
        </w:rPr>
        <w:t>at [83]</w:t>
      </w:r>
      <w:r w:rsidRPr="00ED09F2">
        <w:rPr>
          <w:lang w:val="en-GB"/>
        </w:rPr>
        <w:t>.</w:t>
      </w:r>
    </w:p>
  </w:footnote>
  <w:footnote w:id="107">
    <w:p w14:paraId="6FEFE745" w14:textId="16DB1B7E"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lang w:val="en-GB"/>
        </w:rPr>
        <w:t xml:space="preserve">Organization for Security and Co-operation in Europe, </w:t>
      </w:r>
      <w:r w:rsidRPr="00ED09F2">
        <w:rPr>
          <w:i/>
          <w:lang w:val="en-GB"/>
        </w:rPr>
        <w:t>Guidelines on Freedom of Peaceful Assembly</w:t>
      </w:r>
      <w:r>
        <w:rPr>
          <w:lang w:val="en-GB"/>
        </w:rPr>
        <w:t xml:space="preserve">, 2nd edn (Warsaw: </w:t>
      </w:r>
      <w:r w:rsidRPr="00CB4B1A">
        <w:rPr>
          <w:lang w:val="en-GB"/>
        </w:rPr>
        <w:t>OSCE/ODIHR</w:t>
      </w:r>
      <w:r>
        <w:rPr>
          <w:lang w:val="en-GB"/>
        </w:rPr>
        <w:t>, 2010) (OSCE Guidelines)</w:t>
      </w:r>
      <w:r w:rsidRPr="00ED09F2">
        <w:rPr>
          <w:lang w:val="en-GB"/>
        </w:rPr>
        <w:t xml:space="preserve">, </w:t>
      </w:r>
      <w:r>
        <w:rPr>
          <w:lang w:val="en-GB"/>
        </w:rPr>
        <w:t>paras 158–15</w:t>
      </w:r>
      <w:r w:rsidRPr="00ED09F2">
        <w:rPr>
          <w:lang w:val="en-GB"/>
        </w:rPr>
        <w:t>9.</w:t>
      </w:r>
    </w:p>
  </w:footnote>
  <w:footnote w:id="108">
    <w:p w14:paraId="618841D1"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lang w:val="en-GB"/>
        </w:rPr>
        <w:t>OSCE Guidelines</w:t>
      </w:r>
      <w:r w:rsidRPr="00885047">
        <w:rPr>
          <w:lang w:val="en-GB"/>
        </w:rPr>
        <w:t>,</w:t>
      </w:r>
      <w:r w:rsidRPr="00ED09F2">
        <w:rPr>
          <w:lang w:val="en-GB"/>
        </w:rPr>
        <w:t xml:space="preserve"> </w:t>
      </w:r>
      <w:r>
        <w:rPr>
          <w:lang w:val="en-GB"/>
        </w:rPr>
        <w:t>para.</w:t>
      </w:r>
      <w:r w:rsidRPr="00ED09F2">
        <w:rPr>
          <w:lang w:val="en-GB"/>
        </w:rPr>
        <w:t>160.</w:t>
      </w:r>
    </w:p>
  </w:footnote>
  <w:footnote w:id="109">
    <w:p w14:paraId="4351E397"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ECtHR</w:t>
      </w:r>
      <w:r>
        <w:rPr>
          <w:lang w:val="en-GB"/>
        </w:rPr>
        <w:t xml:space="preserve"> at [42]</w:t>
      </w:r>
      <w:r w:rsidRPr="00ED09F2">
        <w:rPr>
          <w:lang w:val="en-GB"/>
        </w:rPr>
        <w:t>.</w:t>
      </w:r>
    </w:p>
  </w:footnote>
  <w:footnote w:id="110">
    <w:p w14:paraId="3794EA94"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ECtHR</w:t>
      </w:r>
      <w:r>
        <w:rPr>
          <w:i/>
          <w:lang w:val="en-GB"/>
        </w:rPr>
        <w:t xml:space="preserve"> </w:t>
      </w:r>
      <w:r>
        <w:rPr>
          <w:lang w:val="en-GB"/>
        </w:rPr>
        <w:t>at [68]</w:t>
      </w:r>
      <w:r w:rsidRPr="00ED09F2">
        <w:rPr>
          <w:lang w:val="en-GB"/>
        </w:rPr>
        <w:t>.</w:t>
      </w:r>
    </w:p>
  </w:footnote>
  <w:footnote w:id="111">
    <w:p w14:paraId="66F7F79F"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Feldman, “</w:t>
      </w:r>
      <w:r w:rsidRPr="00ED09F2">
        <w:rPr>
          <w:lang w:val="en-GB"/>
        </w:rPr>
        <w:t>Containment, Deprivation of Liberty and Breach of the Peace</w:t>
      </w:r>
      <w:r>
        <w:rPr>
          <w:lang w:val="en-GB"/>
        </w:rPr>
        <w:t>” 245; Fenwick, “Marginalising Human Rights” 753,</w:t>
      </w:r>
      <w:r w:rsidRPr="00ED09F2">
        <w:rPr>
          <w:lang w:val="en-GB"/>
        </w:rPr>
        <w:t xml:space="preserve"> 763.</w:t>
      </w:r>
    </w:p>
  </w:footnote>
  <w:footnote w:id="112">
    <w:p w14:paraId="51E37005" w14:textId="3E8085A0" w:rsidR="00E55A55" w:rsidRPr="00ED09F2" w:rsidRDefault="00E55A55">
      <w:pPr>
        <w:pStyle w:val="FootnoteText"/>
        <w:spacing w:line="480" w:lineRule="auto"/>
        <w:rPr>
          <w:lang w:val="en-GB"/>
        </w:rPr>
      </w:pPr>
      <w:r w:rsidRPr="00ED09F2">
        <w:rPr>
          <w:rStyle w:val="FootnoteReference"/>
        </w:rPr>
        <w:footnoteRef/>
      </w:r>
      <w:r>
        <w:t xml:space="preserve"> D.</w:t>
      </w:r>
      <w:r w:rsidRPr="00ED09F2">
        <w:t xml:space="preserve"> </w:t>
      </w:r>
      <w:r w:rsidRPr="00ED09F2">
        <w:rPr>
          <w:lang w:val="en-GB"/>
        </w:rPr>
        <w:t xml:space="preserve">Mead, </w:t>
      </w:r>
      <w:r w:rsidRPr="00ED09F2">
        <w:rPr>
          <w:i/>
          <w:lang w:val="en-GB"/>
        </w:rPr>
        <w:t>The New Law of Peaceful Protest</w:t>
      </w:r>
      <w:r>
        <w:rPr>
          <w:i/>
          <w:lang w:val="en-GB"/>
        </w:rPr>
        <w:t>: Rights and Regulation in the Human Rights Act Era</w:t>
      </w:r>
      <w:r w:rsidRPr="00ED09F2">
        <w:rPr>
          <w:lang w:val="en-GB"/>
        </w:rPr>
        <w:t xml:space="preserve"> (</w:t>
      </w:r>
      <w:r>
        <w:rPr>
          <w:lang w:val="en-GB"/>
        </w:rPr>
        <w:t xml:space="preserve">Oxford: Hart Publishing, </w:t>
      </w:r>
      <w:r w:rsidRPr="00ED09F2">
        <w:rPr>
          <w:lang w:val="en-GB"/>
        </w:rPr>
        <w:t>2010)</w:t>
      </w:r>
      <w:r>
        <w:rPr>
          <w:lang w:val="en-GB"/>
        </w:rPr>
        <w:t>,</w:t>
      </w:r>
      <w:r w:rsidRPr="000B124E">
        <w:rPr>
          <w:lang w:val="en-GB"/>
        </w:rPr>
        <w:t xml:space="preserve"> </w:t>
      </w:r>
      <w:r>
        <w:rPr>
          <w:lang w:val="en-GB"/>
        </w:rPr>
        <w:t>p.</w:t>
      </w:r>
      <w:r w:rsidRPr="000B124E">
        <w:rPr>
          <w:lang w:val="en-GB"/>
        </w:rPr>
        <w:t>355</w:t>
      </w:r>
      <w:r w:rsidRPr="00ED09F2">
        <w:rPr>
          <w:lang w:val="en-GB"/>
        </w:rPr>
        <w:t>.</w:t>
      </w:r>
    </w:p>
  </w:footnote>
  <w:footnote w:id="113">
    <w:p w14:paraId="1D4D40D1"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EWHC</w:t>
      </w:r>
      <w:r>
        <w:rPr>
          <w:lang w:val="en-GB"/>
        </w:rPr>
        <w:t xml:space="preserve"> at [346]</w:t>
      </w:r>
      <w:r w:rsidRPr="00ED09F2">
        <w:rPr>
          <w:lang w:val="en-GB"/>
        </w:rPr>
        <w:t>.</w:t>
      </w:r>
    </w:p>
  </w:footnote>
  <w:footnote w:id="114">
    <w:p w14:paraId="37BC52F7"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Pr>
          <w:i/>
        </w:rPr>
        <w:t>ZH</w:t>
      </w:r>
      <w:r>
        <w:rPr>
          <w:lang w:val="en-GB"/>
        </w:rPr>
        <w:t xml:space="preserve"> at [90]</w:t>
      </w:r>
      <w:r w:rsidRPr="00ED09F2">
        <w:rPr>
          <w:lang w:val="en-GB"/>
        </w:rPr>
        <w:t>.</w:t>
      </w:r>
    </w:p>
  </w:footnote>
  <w:footnote w:id="115">
    <w:p w14:paraId="14AD85E1"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Stone, “Deprivation of Liberty” 56. See especially</w:t>
      </w:r>
      <w:r w:rsidRPr="00BA1ADC">
        <w:rPr>
          <w:i/>
          <w:lang w:val="en-GB"/>
        </w:rPr>
        <w:t xml:space="preserve"> </w:t>
      </w:r>
      <w:r w:rsidRPr="00ED09F2">
        <w:rPr>
          <w:i/>
          <w:lang w:val="en-GB"/>
        </w:rPr>
        <w:t>Austin UKHL</w:t>
      </w:r>
      <w:r>
        <w:rPr>
          <w:lang w:val="en-GB"/>
        </w:rPr>
        <w:t xml:space="preserve"> at [64]</w:t>
      </w:r>
      <w:r w:rsidRPr="00ED09F2">
        <w:rPr>
          <w:lang w:val="en-GB"/>
        </w:rPr>
        <w:t>.</w:t>
      </w:r>
    </w:p>
  </w:footnote>
  <w:footnote w:id="116">
    <w:p w14:paraId="5FF5BB9D"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t xml:space="preserve">D. </w:t>
      </w:r>
      <w:r w:rsidRPr="00ED09F2">
        <w:rPr>
          <w:lang w:val="en-GB"/>
        </w:rPr>
        <w:t xml:space="preserve">Feldman, </w:t>
      </w:r>
      <w:r>
        <w:rPr>
          <w:lang w:val="en-GB"/>
        </w:rPr>
        <w:t>“</w:t>
      </w:r>
      <w:r w:rsidRPr="00ED09F2">
        <w:rPr>
          <w:lang w:val="en-GB"/>
        </w:rPr>
        <w:t>Deprivatio</w:t>
      </w:r>
      <w:r>
        <w:rPr>
          <w:lang w:val="en-GB"/>
        </w:rPr>
        <w:t>n of Liberty in Anti-terrorism L</w:t>
      </w:r>
      <w:r w:rsidRPr="00ED09F2">
        <w:rPr>
          <w:lang w:val="en-GB"/>
        </w:rPr>
        <w:t>aw</w:t>
      </w:r>
      <w:r>
        <w:rPr>
          <w:lang w:val="en-GB"/>
        </w:rPr>
        <w:t xml:space="preserve">” (2008) </w:t>
      </w:r>
      <w:r w:rsidRPr="00ED09F2">
        <w:rPr>
          <w:lang w:val="en-GB"/>
        </w:rPr>
        <w:t xml:space="preserve">67 </w:t>
      </w:r>
      <w:r w:rsidRPr="009810E1">
        <w:rPr>
          <w:lang w:val="en-GB"/>
        </w:rPr>
        <w:t>C</w:t>
      </w:r>
      <w:r>
        <w:rPr>
          <w:lang w:val="en-GB"/>
        </w:rPr>
        <w:t>.</w:t>
      </w:r>
      <w:r w:rsidRPr="009810E1">
        <w:rPr>
          <w:lang w:val="en-GB"/>
        </w:rPr>
        <w:t>L</w:t>
      </w:r>
      <w:r>
        <w:rPr>
          <w:lang w:val="en-GB"/>
        </w:rPr>
        <w:t>.</w:t>
      </w:r>
      <w:r w:rsidRPr="009810E1">
        <w:rPr>
          <w:lang w:val="en-GB"/>
        </w:rPr>
        <w:t>J</w:t>
      </w:r>
      <w:r>
        <w:rPr>
          <w:lang w:val="en-GB"/>
        </w:rPr>
        <w:t>.</w:t>
      </w:r>
      <w:r w:rsidRPr="009810E1">
        <w:rPr>
          <w:lang w:val="en-GB"/>
        </w:rPr>
        <w:t xml:space="preserve"> </w:t>
      </w:r>
      <w:r w:rsidRPr="00ED09F2">
        <w:rPr>
          <w:lang w:val="en-GB"/>
        </w:rPr>
        <w:t>4, 8.</w:t>
      </w:r>
    </w:p>
  </w:footnote>
  <w:footnote w:id="117">
    <w:p w14:paraId="712B5CAF" w14:textId="5CDDAF15" w:rsidR="00E55A55" w:rsidRPr="000A211B" w:rsidRDefault="00E55A55">
      <w:pPr>
        <w:pStyle w:val="FootnoteText"/>
        <w:spacing w:line="480" w:lineRule="auto"/>
        <w:rPr>
          <w:lang w:val="en-GB"/>
        </w:rPr>
      </w:pPr>
      <w:r>
        <w:rPr>
          <w:rStyle w:val="FootnoteReference"/>
        </w:rPr>
        <w:footnoteRef/>
      </w:r>
      <w:r>
        <w:t xml:space="preserve"> </w:t>
      </w:r>
      <w:r w:rsidRPr="00ED09F2">
        <w:t xml:space="preserve">Council of Europe, European Commission on Human Rights, </w:t>
      </w:r>
      <w:r>
        <w:t>“</w:t>
      </w:r>
      <w:r w:rsidRPr="00ED09F2">
        <w:t>Preparatory Work on Article 5 of the European Convention on Human Rights</w:t>
      </w:r>
      <w:r>
        <w:t>”</w:t>
      </w:r>
      <w:r w:rsidRPr="00ED09F2">
        <w:t xml:space="preserve"> (1956)</w:t>
      </w:r>
      <w:r>
        <w:rPr>
          <w:lang w:val="en-GB"/>
        </w:rPr>
        <w:t>, pp.10, 13.</w:t>
      </w:r>
    </w:p>
  </w:footnote>
  <w:footnote w:id="118">
    <w:p w14:paraId="278F9FEF"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Storck</w:t>
      </w:r>
      <w:r>
        <w:rPr>
          <w:i/>
          <w:lang w:val="en-GB"/>
        </w:rPr>
        <w:t xml:space="preserve"> </w:t>
      </w:r>
      <w:r>
        <w:rPr>
          <w:lang w:val="en-GB"/>
        </w:rPr>
        <w:t>at [</w:t>
      </w:r>
      <w:r w:rsidRPr="00ED09F2">
        <w:rPr>
          <w:lang w:val="en-GB"/>
        </w:rPr>
        <w:t>102</w:t>
      </w:r>
      <w:r>
        <w:rPr>
          <w:lang w:val="en-GB"/>
        </w:rPr>
        <w:t>].</w:t>
      </w:r>
    </w:p>
  </w:footnote>
  <w:footnote w:id="119">
    <w:p w14:paraId="10D3CBA0" w14:textId="0A3147E7" w:rsidR="00E55A55" w:rsidRPr="00BD68CF" w:rsidRDefault="00E55A55">
      <w:pPr>
        <w:pStyle w:val="FootnoteText"/>
        <w:spacing w:line="480" w:lineRule="auto"/>
        <w:rPr>
          <w:lang w:val="en-GB"/>
        </w:rPr>
      </w:pPr>
      <w:r>
        <w:rPr>
          <w:rStyle w:val="FootnoteReference"/>
        </w:rPr>
        <w:footnoteRef/>
      </w:r>
      <w:r>
        <w:t xml:space="preserve"> </w:t>
      </w:r>
      <w:r>
        <w:rPr>
          <w:lang w:val="en-GB"/>
        </w:rPr>
        <w:t>Which has been ratified by all Council of Europe members except Greece, Switzerland, Turkey and the United Kingdom.</w:t>
      </w:r>
    </w:p>
  </w:footnote>
  <w:footnote w:id="120">
    <w:p w14:paraId="2101AADE" w14:textId="5A634A08" w:rsidR="00E55A55" w:rsidRPr="00ED09F2" w:rsidRDefault="00E55A55">
      <w:pPr>
        <w:pStyle w:val="Style1"/>
        <w:spacing w:line="480" w:lineRule="auto"/>
        <w:rPr>
          <w:lang w:val="en-GB"/>
        </w:rPr>
      </w:pPr>
      <w:r w:rsidRPr="00ED09F2">
        <w:rPr>
          <w:rStyle w:val="FootnoteReference"/>
        </w:rPr>
        <w:footnoteRef/>
      </w:r>
      <w:r w:rsidRPr="00ED09F2">
        <w:t xml:space="preserve"> </w:t>
      </w:r>
      <w:r w:rsidRPr="00ED09F2">
        <w:rPr>
          <w:i/>
        </w:rPr>
        <w:t>Rantsev</w:t>
      </w:r>
      <w:r>
        <w:rPr>
          <w:i/>
        </w:rPr>
        <w:t xml:space="preserve"> v </w:t>
      </w:r>
      <w:r w:rsidRPr="00ED09F2">
        <w:rPr>
          <w:i/>
        </w:rPr>
        <w:t>Cyprus and Russia</w:t>
      </w:r>
      <w:r w:rsidRPr="006744F7">
        <w:t xml:space="preserve"> </w:t>
      </w:r>
      <w:r w:rsidRPr="006744F7">
        <w:rPr>
          <w:lang w:val="en-GB"/>
        </w:rPr>
        <w:t xml:space="preserve">(2010) 51 E.H.R.R. 1 </w:t>
      </w:r>
      <w:r>
        <w:rPr>
          <w:lang w:val="en-GB"/>
        </w:rPr>
        <w:t xml:space="preserve">at </w:t>
      </w:r>
      <w:r>
        <w:t>[314]</w:t>
      </w:r>
      <w:r w:rsidRPr="00ED09F2">
        <w:t xml:space="preserve">, citing </w:t>
      </w:r>
      <w:r w:rsidRPr="00ED09F2">
        <w:rPr>
          <w:i/>
          <w:lang w:val="en-GB"/>
        </w:rPr>
        <w:t>Guzzardi</w:t>
      </w:r>
      <w:r>
        <w:rPr>
          <w:lang w:val="en-GB"/>
        </w:rPr>
        <w:t xml:space="preserve"> at [93]</w:t>
      </w:r>
      <w:r w:rsidRPr="00ED09F2">
        <w:rPr>
          <w:lang w:val="en-GB"/>
        </w:rPr>
        <w:t>.</w:t>
      </w:r>
    </w:p>
  </w:footnote>
  <w:footnote w:id="121">
    <w:p w14:paraId="76ED2949" w14:textId="1E6DA4EF" w:rsidR="00E55A55" w:rsidRPr="00ED09F2" w:rsidRDefault="00E55A55">
      <w:pPr>
        <w:pStyle w:val="FootnoteText"/>
        <w:spacing w:line="480" w:lineRule="auto"/>
        <w:rPr>
          <w:lang w:val="en-GB"/>
        </w:rPr>
      </w:pPr>
      <w:r w:rsidRPr="00ED09F2">
        <w:rPr>
          <w:rStyle w:val="FootnoteReference"/>
        </w:rPr>
        <w:footnoteRef/>
      </w:r>
      <w:r w:rsidRPr="00ED09F2">
        <w:t xml:space="preserve"> A</w:t>
      </w:r>
      <w:r>
        <w:t>lthough Italy had not ratified p</w:t>
      </w:r>
      <w:r w:rsidRPr="00ED09F2">
        <w:t>roto</w:t>
      </w:r>
      <w:r>
        <w:t>col 4 at the time of that case.</w:t>
      </w:r>
    </w:p>
  </w:footnote>
  <w:footnote w:id="122">
    <w:p w14:paraId="4D963796" w14:textId="2049190B"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rPr>
        <w:t>Austin ECtHR</w:t>
      </w:r>
      <w:r>
        <w:t xml:space="preserve"> at [57] (</w:t>
      </w:r>
      <w:r w:rsidRPr="00ED09F2">
        <w:t>emphasis added</w:t>
      </w:r>
      <w:r>
        <w:t>)</w:t>
      </w:r>
      <w:r w:rsidRPr="00ED09F2">
        <w:t xml:space="preserve">. See too </w:t>
      </w:r>
      <w:r w:rsidRPr="00ED09F2">
        <w:rPr>
          <w:i/>
          <w:lang w:val="en-GB"/>
        </w:rPr>
        <w:t>Guzzardi</w:t>
      </w:r>
      <w:r>
        <w:rPr>
          <w:lang w:val="en-GB"/>
        </w:rPr>
        <w:t xml:space="preserve"> at [93]</w:t>
      </w:r>
      <w:r w:rsidRPr="00ED09F2">
        <w:rPr>
          <w:lang w:val="en-GB"/>
        </w:rPr>
        <w:t>.</w:t>
      </w:r>
    </w:p>
  </w:footnote>
  <w:footnote w:id="123">
    <w:p w14:paraId="196DC686" w14:textId="77777777" w:rsidR="00E55A55" w:rsidRPr="00ED09F2" w:rsidRDefault="00E55A55">
      <w:pPr>
        <w:pStyle w:val="FootnoteText"/>
        <w:spacing w:line="480" w:lineRule="auto"/>
        <w:rPr>
          <w:lang w:val="en-GB"/>
        </w:rPr>
      </w:pPr>
      <w:r w:rsidRPr="00ED09F2">
        <w:rPr>
          <w:rStyle w:val="FootnoteReference"/>
        </w:rPr>
        <w:footnoteRef/>
      </w:r>
      <w:r>
        <w:t xml:space="preserve"> C</w:t>
      </w:r>
      <w:r w:rsidRPr="00ED09F2">
        <w:t>f</w:t>
      </w:r>
      <w:r>
        <w:t>.</w:t>
      </w:r>
      <w:r w:rsidRPr="00ED09F2">
        <w:t xml:space="preserve"> </w:t>
      </w:r>
      <w:r w:rsidRPr="00ED09F2">
        <w:rPr>
          <w:i/>
          <w:lang w:val="en-GB"/>
        </w:rPr>
        <w:t>Austin UKHL</w:t>
      </w:r>
      <w:r>
        <w:rPr>
          <w:lang w:val="en-GB"/>
        </w:rPr>
        <w:t xml:space="preserve"> at [16], [</w:t>
      </w:r>
      <w:r w:rsidRPr="00ED09F2">
        <w:rPr>
          <w:lang w:val="en-GB"/>
        </w:rPr>
        <w:t>5</w:t>
      </w:r>
      <w:r>
        <w:rPr>
          <w:lang w:val="en-GB"/>
        </w:rPr>
        <w:t>7]</w:t>
      </w:r>
      <w:r w:rsidRPr="00ED09F2">
        <w:rPr>
          <w:lang w:val="en-GB"/>
        </w:rPr>
        <w:t>.</w:t>
      </w:r>
    </w:p>
  </w:footnote>
  <w:footnote w:id="124">
    <w:p w14:paraId="2365B8EE"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rPr>
        <w:t>Rosengren</w:t>
      </w:r>
      <w:r>
        <w:rPr>
          <w:i/>
        </w:rPr>
        <w:t xml:space="preserve"> v </w:t>
      </w:r>
      <w:r w:rsidRPr="00C73E1C">
        <w:rPr>
          <w:i/>
        </w:rPr>
        <w:t>Romania</w:t>
      </w:r>
      <w:r>
        <w:t>,</w:t>
      </w:r>
      <w:r>
        <w:rPr>
          <w:i/>
        </w:rPr>
        <w:t xml:space="preserve"> </w:t>
      </w:r>
      <w:r>
        <w:t>Application No 70786/01, Judgment of April 24, 2008</w:t>
      </w:r>
      <w:r w:rsidRPr="00ED09F2">
        <w:t>.</w:t>
      </w:r>
    </w:p>
  </w:footnote>
  <w:footnote w:id="125">
    <w:p w14:paraId="1074496C"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rPr>
        <w:t>Riener</w:t>
      </w:r>
      <w:r>
        <w:rPr>
          <w:i/>
        </w:rPr>
        <w:t xml:space="preserve"> v </w:t>
      </w:r>
      <w:r w:rsidRPr="00ED09F2">
        <w:rPr>
          <w:i/>
        </w:rPr>
        <w:t>Bulgaria</w:t>
      </w:r>
      <w:r w:rsidRPr="006744F7">
        <w:t xml:space="preserve"> (2007) 45 E.H.R.R. 32</w:t>
      </w:r>
      <w:r w:rsidRPr="00ED09F2">
        <w:t>.</w:t>
      </w:r>
    </w:p>
  </w:footnote>
  <w:footnote w:id="126">
    <w:p w14:paraId="5831683C"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rPr>
        <w:t>Baumann</w:t>
      </w:r>
      <w:r>
        <w:rPr>
          <w:i/>
        </w:rPr>
        <w:t xml:space="preserve"> v </w:t>
      </w:r>
      <w:r w:rsidRPr="00ED09F2">
        <w:rPr>
          <w:i/>
        </w:rPr>
        <w:t>France</w:t>
      </w:r>
      <w:r w:rsidRPr="006744F7">
        <w:t xml:space="preserve"> (2002) 34 E.H.R.R. 44</w:t>
      </w:r>
      <w:r w:rsidRPr="00ED09F2">
        <w:t>.</w:t>
      </w:r>
    </w:p>
  </w:footnote>
  <w:footnote w:id="127">
    <w:p w14:paraId="7A78A1E1" w14:textId="0392A0F4"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Phull</w:t>
      </w:r>
      <w:r>
        <w:rPr>
          <w:i/>
          <w:lang w:val="en-GB"/>
        </w:rPr>
        <w:t xml:space="preserve"> v </w:t>
      </w:r>
      <w:r w:rsidRPr="00ED09F2">
        <w:rPr>
          <w:i/>
          <w:lang w:val="en-GB"/>
        </w:rPr>
        <w:t>France</w:t>
      </w:r>
      <w:r>
        <w:rPr>
          <w:lang w:val="en-GB"/>
        </w:rPr>
        <w:t>, Application No 35753/03, Decision of January 11, 2005</w:t>
      </w:r>
      <w:r w:rsidRPr="00ED09F2">
        <w:rPr>
          <w:lang w:val="en-GB"/>
        </w:rPr>
        <w:t>.</w:t>
      </w:r>
    </w:p>
  </w:footnote>
  <w:footnote w:id="128">
    <w:p w14:paraId="00E73E03" w14:textId="449AC052"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F</w:t>
      </w:r>
      <w:r w:rsidRPr="00ED09F2">
        <w:rPr>
          <w:lang w:val="en-GB"/>
        </w:rPr>
        <w:t>igure 1.</w:t>
      </w:r>
    </w:p>
  </w:footnote>
  <w:footnote w:id="129">
    <w:p w14:paraId="113BD78E" w14:textId="751F75CF" w:rsidR="00E55A55" w:rsidRPr="007E1CDB" w:rsidRDefault="00E55A55">
      <w:pPr>
        <w:pStyle w:val="FootnoteText"/>
        <w:spacing w:line="480" w:lineRule="auto"/>
        <w:rPr>
          <w:lang w:val="en-GB"/>
        </w:rPr>
      </w:pPr>
      <w:r>
        <w:rPr>
          <w:rStyle w:val="FootnoteReference"/>
        </w:rPr>
        <w:footnoteRef/>
      </w:r>
      <w:r>
        <w:t xml:space="preserve"> </w:t>
      </w:r>
      <w:r w:rsidRPr="00ED09F2">
        <w:rPr>
          <w:i/>
          <w:lang w:val="en-GB"/>
        </w:rPr>
        <w:t>Storck</w:t>
      </w:r>
      <w:r>
        <w:rPr>
          <w:lang w:val="en-GB"/>
        </w:rPr>
        <w:t xml:space="preserve"> at [74]</w:t>
      </w:r>
      <w:r w:rsidRPr="00ED09F2">
        <w:rPr>
          <w:lang w:val="en-GB"/>
        </w:rPr>
        <w:t>.</w:t>
      </w:r>
    </w:p>
  </w:footnote>
  <w:footnote w:id="130">
    <w:p w14:paraId="724ED0EB"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rPr>
        <w:t>R</w:t>
      </w:r>
      <w:r>
        <w:rPr>
          <w:i/>
        </w:rPr>
        <w:t>.</w:t>
      </w:r>
      <w:r w:rsidRPr="00ED09F2">
        <w:rPr>
          <w:i/>
        </w:rPr>
        <w:t xml:space="preserve"> (on the application of </w:t>
      </w:r>
      <w:r w:rsidRPr="00ED09F2">
        <w:rPr>
          <w:i/>
          <w:lang w:val="en-GB"/>
        </w:rPr>
        <w:t>Gillan)</w:t>
      </w:r>
      <w:r>
        <w:rPr>
          <w:i/>
          <w:lang w:val="en-GB"/>
        </w:rPr>
        <w:t xml:space="preserve"> v </w:t>
      </w:r>
      <w:r w:rsidRPr="00ED09F2">
        <w:rPr>
          <w:i/>
          <w:lang w:val="en-GB"/>
        </w:rPr>
        <w:t>Commissioner of Police of the Metropolis</w:t>
      </w:r>
      <w:r w:rsidRPr="00ED09F2">
        <w:rPr>
          <w:lang w:val="en-GB"/>
        </w:rPr>
        <w:t xml:space="preserve"> [2</w:t>
      </w:r>
      <w:r>
        <w:rPr>
          <w:lang w:val="en-GB"/>
        </w:rPr>
        <w:t>006] UKHL 12; [2006] 2 A.C. 307 at [25].</w:t>
      </w:r>
    </w:p>
  </w:footnote>
  <w:footnote w:id="131">
    <w:p w14:paraId="5A2DA0C0" w14:textId="7D8FF232"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Amuur</w:t>
      </w:r>
      <w:r>
        <w:rPr>
          <w:i/>
          <w:lang w:val="en-GB"/>
        </w:rPr>
        <w:t xml:space="preserve"> v </w:t>
      </w:r>
      <w:r w:rsidRPr="00ED09F2">
        <w:rPr>
          <w:i/>
          <w:lang w:val="en-GB"/>
        </w:rPr>
        <w:t>France</w:t>
      </w:r>
      <w:r>
        <w:rPr>
          <w:lang w:val="en-GB"/>
        </w:rPr>
        <w:t xml:space="preserve"> </w:t>
      </w:r>
      <w:r w:rsidRPr="00B91467">
        <w:rPr>
          <w:lang w:val="en-GB"/>
        </w:rPr>
        <w:t>(1996) 22 E.H.R.R. 533</w:t>
      </w:r>
      <w:r>
        <w:rPr>
          <w:lang w:val="en-GB"/>
        </w:rPr>
        <w:t xml:space="preserve"> at [43]</w:t>
      </w:r>
      <w:r w:rsidRPr="00ED09F2">
        <w:rPr>
          <w:lang w:val="en-GB"/>
        </w:rPr>
        <w:t>.</w:t>
      </w:r>
    </w:p>
  </w:footnote>
  <w:footnote w:id="132">
    <w:p w14:paraId="4242A393" w14:textId="77777777" w:rsidR="00E55A55" w:rsidRPr="00393EC4" w:rsidRDefault="00E55A55">
      <w:pPr>
        <w:pStyle w:val="FootnoteText"/>
        <w:spacing w:line="480" w:lineRule="auto"/>
        <w:rPr>
          <w:lang w:val="en-GB"/>
        </w:rPr>
      </w:pPr>
      <w:r>
        <w:rPr>
          <w:rStyle w:val="FootnoteReference"/>
        </w:rPr>
        <w:footnoteRef/>
      </w:r>
      <w:r>
        <w:t xml:space="preserve"> </w:t>
      </w:r>
      <w:r w:rsidRPr="00393EC4">
        <w:t>F</w:t>
      </w:r>
      <w:r w:rsidRPr="00393EC4">
        <w:rPr>
          <w:lang w:val="en-GB"/>
        </w:rPr>
        <w:t>igure 1.</w:t>
      </w:r>
    </w:p>
  </w:footnote>
  <w:footnote w:id="133">
    <w:p w14:paraId="35C11650" w14:textId="77777777"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Gahramanov</w:t>
      </w:r>
      <w:r>
        <w:rPr>
          <w:i/>
          <w:lang w:val="en-GB"/>
        </w:rPr>
        <w:t xml:space="preserve"> v </w:t>
      </w:r>
      <w:r w:rsidRPr="00ED09F2">
        <w:rPr>
          <w:i/>
          <w:lang w:val="en-GB"/>
        </w:rPr>
        <w:t>Azerbaijan</w:t>
      </w:r>
      <w:r>
        <w:rPr>
          <w:lang w:val="en-GB"/>
        </w:rPr>
        <w:t>, Application No</w:t>
      </w:r>
      <w:r w:rsidRPr="00ED09F2">
        <w:rPr>
          <w:lang w:val="en-GB"/>
        </w:rPr>
        <w:t xml:space="preserve"> 26291/06</w:t>
      </w:r>
      <w:r>
        <w:rPr>
          <w:lang w:val="en-GB"/>
        </w:rPr>
        <w:t>, Decision of October 15, 2013.</w:t>
      </w:r>
    </w:p>
  </w:footnote>
  <w:footnote w:id="134">
    <w:p w14:paraId="4B81DD25" w14:textId="77777777" w:rsidR="00E55A55" w:rsidRPr="008A1C73" w:rsidRDefault="00E55A55">
      <w:pPr>
        <w:pStyle w:val="FootnoteText"/>
        <w:spacing w:line="480" w:lineRule="auto"/>
        <w:rPr>
          <w:lang w:val="en-GB"/>
        </w:rPr>
      </w:pPr>
      <w:r>
        <w:rPr>
          <w:rStyle w:val="FootnoteReference"/>
        </w:rPr>
        <w:footnoteRef/>
      </w:r>
      <w:r>
        <w:t xml:space="preserve"> The applicant claimed he was detained for four hours, the authorities claimed it was two: </w:t>
      </w:r>
      <w:r w:rsidRPr="00ED09F2">
        <w:rPr>
          <w:i/>
          <w:lang w:val="en-GB"/>
        </w:rPr>
        <w:t>Gahramano</w:t>
      </w:r>
      <w:r>
        <w:rPr>
          <w:i/>
          <w:lang w:val="en-GB"/>
        </w:rPr>
        <w:t>v</w:t>
      </w:r>
      <w:r>
        <w:rPr>
          <w:lang w:val="en-GB"/>
        </w:rPr>
        <w:t xml:space="preserve"> at</w:t>
      </w:r>
      <w:r>
        <w:t xml:space="preserve"> [43].</w:t>
      </w:r>
    </w:p>
  </w:footnote>
  <w:footnote w:id="135">
    <w:p w14:paraId="368DC138" w14:textId="77777777" w:rsidR="00E55A55" w:rsidRPr="00D37EE8" w:rsidRDefault="00E55A55">
      <w:pPr>
        <w:pStyle w:val="FootnoteText"/>
        <w:spacing w:line="480" w:lineRule="auto"/>
        <w:rPr>
          <w:lang w:val="en-GB"/>
        </w:rPr>
      </w:pPr>
      <w:r>
        <w:rPr>
          <w:rStyle w:val="FootnoteReference"/>
        </w:rPr>
        <w:footnoteRef/>
      </w:r>
      <w:r>
        <w:t xml:space="preserve"> </w:t>
      </w:r>
      <w:r w:rsidRPr="00D37EE8">
        <w:rPr>
          <w:i/>
          <w:lang w:val="en-GB"/>
        </w:rPr>
        <w:t xml:space="preserve">Kasparov </w:t>
      </w:r>
      <w:r>
        <w:rPr>
          <w:lang w:val="en-GB"/>
        </w:rPr>
        <w:t>at [46].</w:t>
      </w:r>
    </w:p>
  </w:footnote>
  <w:footnote w:id="136">
    <w:p w14:paraId="1697C19E" w14:textId="16E7CDD6" w:rsidR="00E55A55" w:rsidRPr="00ED09F2" w:rsidRDefault="00E55A55">
      <w:pPr>
        <w:pStyle w:val="FootnoteText"/>
        <w:spacing w:line="480" w:lineRule="auto"/>
        <w:rPr>
          <w:lang w:val="en-GB"/>
        </w:rPr>
      </w:pPr>
      <w:r w:rsidRPr="00582711">
        <w:rPr>
          <w:rStyle w:val="FootnoteReference"/>
        </w:rPr>
        <w:footnoteRef/>
      </w:r>
      <w:r w:rsidRPr="00582711">
        <w:t xml:space="preserve"> </w:t>
      </w:r>
      <w:r w:rsidRPr="00582711">
        <w:rPr>
          <w:lang w:val="en-GB"/>
        </w:rPr>
        <w:t>Mead,</w:t>
      </w:r>
      <w:r w:rsidRPr="00ED09F2">
        <w:rPr>
          <w:lang w:val="en-GB"/>
        </w:rPr>
        <w:t xml:space="preserve"> </w:t>
      </w:r>
      <w:r w:rsidRPr="00ED09F2">
        <w:rPr>
          <w:i/>
          <w:lang w:val="en-GB"/>
        </w:rPr>
        <w:t>The New Law of Peaceful Protest</w:t>
      </w:r>
      <w:r>
        <w:rPr>
          <w:lang w:val="en-GB"/>
        </w:rPr>
        <w:t>,</w:t>
      </w:r>
      <w:r w:rsidRPr="00ED09F2">
        <w:rPr>
          <w:lang w:val="en-GB"/>
        </w:rPr>
        <w:t xml:space="preserve"> </w:t>
      </w:r>
      <w:r>
        <w:rPr>
          <w:lang w:val="en-GB"/>
        </w:rPr>
        <w:t>p.</w:t>
      </w:r>
      <w:r w:rsidRPr="00ED09F2">
        <w:rPr>
          <w:lang w:val="en-GB"/>
        </w:rPr>
        <w:t xml:space="preserve">201. Mead leaves open the possibility that A2P4 may cover </w:t>
      </w:r>
      <w:r>
        <w:rPr>
          <w:lang w:val="en-GB"/>
        </w:rPr>
        <w:t>the use of public roads</w:t>
      </w:r>
      <w:r w:rsidRPr="00ED09F2">
        <w:rPr>
          <w:lang w:val="en-GB"/>
        </w:rPr>
        <w:t xml:space="preserve">, but seems sceptical. See too </w:t>
      </w:r>
      <w:r>
        <w:rPr>
          <w:lang w:val="en-GB"/>
        </w:rPr>
        <w:t>OSCE Guidelines, p.</w:t>
      </w:r>
      <w:r w:rsidRPr="00ED09F2">
        <w:rPr>
          <w:lang w:val="en-GB"/>
        </w:rPr>
        <w:t xml:space="preserve">142 </w:t>
      </w:r>
      <w:r>
        <w:rPr>
          <w:lang w:val="en-GB"/>
        </w:rPr>
        <w:t>f</w:t>
      </w:r>
      <w:r w:rsidRPr="00ED09F2">
        <w:rPr>
          <w:lang w:val="en-GB"/>
        </w:rPr>
        <w:t>n</w:t>
      </w:r>
      <w:r>
        <w:rPr>
          <w:lang w:val="en-GB"/>
        </w:rPr>
        <w:t>.</w:t>
      </w:r>
      <w:r w:rsidRPr="00ED09F2">
        <w:rPr>
          <w:lang w:val="en-GB"/>
        </w:rPr>
        <w:t>136</w:t>
      </w:r>
      <w:r>
        <w:rPr>
          <w:lang w:val="en-GB"/>
        </w:rPr>
        <w:t>. C</w:t>
      </w:r>
      <w:r w:rsidRPr="00ED09F2">
        <w:rPr>
          <w:lang w:val="en-GB"/>
        </w:rPr>
        <w:t>f</w:t>
      </w:r>
      <w:r>
        <w:rPr>
          <w:lang w:val="en-GB"/>
        </w:rPr>
        <w:t>.</w:t>
      </w:r>
      <w:r w:rsidRPr="00ED09F2">
        <w:rPr>
          <w:lang w:val="en-GB"/>
        </w:rPr>
        <w:t xml:space="preserve"> </w:t>
      </w:r>
      <w:r w:rsidRPr="00ED09F2">
        <w:rPr>
          <w:i/>
        </w:rPr>
        <w:t>Olivieira</w:t>
      </w:r>
      <w:r>
        <w:rPr>
          <w:i/>
        </w:rPr>
        <w:t xml:space="preserve"> v </w:t>
      </w:r>
      <w:r w:rsidRPr="00ED09F2">
        <w:rPr>
          <w:i/>
        </w:rPr>
        <w:t>Netherlands</w:t>
      </w:r>
      <w:r>
        <w:t xml:space="preserve"> </w:t>
      </w:r>
      <w:r w:rsidRPr="006744F7">
        <w:t>(2003) 37 E.H.R.R. 32</w:t>
      </w:r>
      <w:r>
        <w:t xml:space="preserve">, </w:t>
      </w:r>
      <w:r w:rsidRPr="00ED09F2">
        <w:rPr>
          <w:lang w:val="en-GB"/>
        </w:rPr>
        <w:t>where a ban on entering into part of the city centre engaged but did not breach A2P4.</w:t>
      </w:r>
    </w:p>
  </w:footnote>
  <w:footnote w:id="137">
    <w:p w14:paraId="44535AA8" w14:textId="60227497" w:rsidR="00E55A55" w:rsidRPr="00111300" w:rsidRDefault="00E55A55">
      <w:pPr>
        <w:pStyle w:val="FootnoteText"/>
        <w:spacing w:line="480" w:lineRule="auto"/>
        <w:rPr>
          <w:lang w:val="en-GB"/>
        </w:rPr>
      </w:pPr>
      <w:r>
        <w:rPr>
          <w:rStyle w:val="FootnoteReference"/>
        </w:rPr>
        <w:footnoteRef/>
      </w:r>
      <w:r>
        <w:t xml:space="preserve"> e.g. </w:t>
      </w:r>
      <w:r w:rsidRPr="0063280F">
        <w:rPr>
          <w:i/>
        </w:rPr>
        <w:t xml:space="preserve">Kasparov </w:t>
      </w:r>
      <w:r>
        <w:t>at [75]. A HUDOC database search reveals that Strasbourg has never found a violation of both art</w:t>
      </w:r>
      <w:r w:rsidR="00371218">
        <w:t>.</w:t>
      </w:r>
      <w:r>
        <w:t>5 and A2P4 in the same case.</w:t>
      </w:r>
    </w:p>
  </w:footnote>
  <w:footnote w:id="138">
    <w:p w14:paraId="4CC9BEB7" w14:textId="0268BD3D" w:rsidR="00E55A55" w:rsidRPr="00111300" w:rsidRDefault="00E55A55">
      <w:pPr>
        <w:pStyle w:val="FootnoteText"/>
        <w:spacing w:line="480" w:lineRule="auto"/>
        <w:rPr>
          <w:lang w:val="en-GB"/>
        </w:rPr>
      </w:pPr>
      <w:r>
        <w:rPr>
          <w:rStyle w:val="FootnoteReference"/>
        </w:rPr>
        <w:footnoteRef/>
      </w:r>
      <w:r>
        <w:t xml:space="preserve"> e.g. an art</w:t>
      </w:r>
      <w:r w:rsidR="00371218">
        <w:t>.</w:t>
      </w:r>
      <w:r>
        <w:t xml:space="preserve">5 breach </w:t>
      </w:r>
      <w:r w:rsidRPr="00145A20">
        <w:rPr>
          <w:lang w:val="en-GB"/>
        </w:rPr>
        <w:t xml:space="preserve">that prevents an applicant from attending a protest can </w:t>
      </w:r>
      <w:r>
        <w:rPr>
          <w:lang w:val="en-GB"/>
        </w:rPr>
        <w:t>also breach art</w:t>
      </w:r>
      <w:r w:rsidR="00371218">
        <w:rPr>
          <w:lang w:val="en-GB"/>
        </w:rPr>
        <w:t>.</w:t>
      </w:r>
      <w:r>
        <w:rPr>
          <w:lang w:val="en-GB"/>
        </w:rPr>
        <w:t xml:space="preserve">11: </w:t>
      </w:r>
      <w:r w:rsidRPr="0063280F">
        <w:rPr>
          <w:i/>
        </w:rPr>
        <w:t xml:space="preserve">Kasparov </w:t>
      </w:r>
      <w:r>
        <w:t>at [69].</w:t>
      </w:r>
    </w:p>
  </w:footnote>
  <w:footnote w:id="139">
    <w:p w14:paraId="15F14F0C" w14:textId="32924D2D" w:rsidR="00E55A55" w:rsidRPr="00A71FDE" w:rsidRDefault="00E55A55">
      <w:pPr>
        <w:pStyle w:val="FootnoteText"/>
        <w:spacing w:line="480" w:lineRule="auto"/>
        <w:rPr>
          <w:lang w:val="en-GB"/>
        </w:rPr>
      </w:pPr>
      <w:r>
        <w:rPr>
          <w:rStyle w:val="FootnoteReference"/>
        </w:rPr>
        <w:footnoteRef/>
      </w:r>
      <w:r>
        <w:t xml:space="preserve"> Given the link to autonomy noted above, </w:t>
      </w:r>
      <w:r>
        <w:rPr>
          <w:lang w:val="en-GB"/>
        </w:rPr>
        <w:t>potential overlap also exists between arts 5 and 8. The key test of continuous supervision and control and lack of freedom to leave should be borne in mind when trying to ascertain whether art</w:t>
      </w:r>
      <w:r w:rsidR="00A27082">
        <w:rPr>
          <w:lang w:val="en-GB"/>
        </w:rPr>
        <w:t>.</w:t>
      </w:r>
      <w:r>
        <w:rPr>
          <w:lang w:val="en-GB"/>
        </w:rPr>
        <w:t>5 can apply. Given the limited exceptions to art</w:t>
      </w:r>
      <w:r w:rsidR="00371218">
        <w:rPr>
          <w:lang w:val="en-GB"/>
        </w:rPr>
        <w:t>.</w:t>
      </w:r>
      <w:r>
        <w:rPr>
          <w:lang w:val="en-GB"/>
        </w:rPr>
        <w:t>5, that test should be applied before relying (additionally or exclusively) on art</w:t>
      </w:r>
      <w:r w:rsidR="00A27082">
        <w:rPr>
          <w:lang w:val="en-GB"/>
        </w:rPr>
        <w:t>.</w:t>
      </w:r>
      <w:r>
        <w:rPr>
          <w:lang w:val="en-GB"/>
        </w:rPr>
        <w:t>8.</w:t>
      </w:r>
    </w:p>
  </w:footnote>
  <w:footnote w:id="140">
    <w:p w14:paraId="113ED3FB" w14:textId="24D91D8E"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UKHL</w:t>
      </w:r>
      <w:r>
        <w:rPr>
          <w:lang w:val="en-GB"/>
        </w:rPr>
        <w:t xml:space="preserve"> at [23]</w:t>
      </w:r>
      <w:r w:rsidRPr="00ED09F2">
        <w:rPr>
          <w:lang w:val="en-GB"/>
        </w:rPr>
        <w:t>.</w:t>
      </w:r>
    </w:p>
  </w:footnote>
  <w:footnote w:id="141">
    <w:p w14:paraId="3F823AA4" w14:textId="2DB571BD"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e.g.</w:t>
      </w:r>
      <w:r w:rsidRPr="00ED09F2">
        <w:rPr>
          <w:lang w:val="en-GB"/>
        </w:rPr>
        <w:t xml:space="preserve"> </w:t>
      </w:r>
      <w:r w:rsidRPr="00ED09F2">
        <w:rPr>
          <w:i/>
          <w:lang w:val="en-GB"/>
        </w:rPr>
        <w:t>Nielsen</w:t>
      </w:r>
      <w:r>
        <w:rPr>
          <w:i/>
          <w:lang w:val="en-GB"/>
        </w:rPr>
        <w:t xml:space="preserve"> v </w:t>
      </w:r>
      <w:r w:rsidRPr="00ED09F2">
        <w:rPr>
          <w:i/>
          <w:lang w:val="en-GB"/>
        </w:rPr>
        <w:t>Denmark</w:t>
      </w:r>
      <w:r w:rsidRPr="00B91467">
        <w:t xml:space="preserve"> </w:t>
      </w:r>
      <w:r w:rsidRPr="00B91467">
        <w:rPr>
          <w:lang w:val="en-GB"/>
        </w:rPr>
        <w:t>(1989) 11 E.H.R.R. 175</w:t>
      </w:r>
      <w:r w:rsidRPr="00ED09F2">
        <w:rPr>
          <w:lang w:val="en-GB"/>
        </w:rPr>
        <w:t xml:space="preserve">; </w:t>
      </w:r>
      <w:r w:rsidRPr="00ED09F2">
        <w:rPr>
          <w:i/>
          <w:lang w:val="en-GB"/>
        </w:rPr>
        <w:t>HM</w:t>
      </w:r>
      <w:r>
        <w:rPr>
          <w:i/>
          <w:lang w:val="en-GB"/>
        </w:rPr>
        <w:t xml:space="preserve"> v </w:t>
      </w:r>
      <w:r w:rsidRPr="00ED09F2">
        <w:rPr>
          <w:i/>
          <w:lang w:val="en-GB"/>
        </w:rPr>
        <w:t>Switzerland</w:t>
      </w:r>
      <w:r w:rsidRPr="00B91467">
        <w:t xml:space="preserve"> </w:t>
      </w:r>
      <w:r w:rsidRPr="00B91467">
        <w:rPr>
          <w:lang w:val="en-GB"/>
        </w:rPr>
        <w:t>(2004) 38 E.H.R.R. 17</w:t>
      </w:r>
      <w:r w:rsidRPr="00ED09F2">
        <w:rPr>
          <w:lang w:val="en-GB"/>
        </w:rPr>
        <w:t>.</w:t>
      </w:r>
    </w:p>
  </w:footnote>
  <w:footnote w:id="142">
    <w:p w14:paraId="021077C7" w14:textId="1C414E68"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Austin ECtHR</w:t>
      </w:r>
      <w:r>
        <w:rPr>
          <w:lang w:val="en-GB"/>
        </w:rPr>
        <w:t xml:space="preserve"> at [61]; M. Amos, “The Value of the European Court of Human Rights to the United Kingdom” (2017) 28 </w:t>
      </w:r>
      <w:r w:rsidRPr="00393EC4">
        <w:rPr>
          <w:lang w:val="en-GB"/>
        </w:rPr>
        <w:t>E</w:t>
      </w:r>
      <w:r>
        <w:rPr>
          <w:lang w:val="en-GB"/>
        </w:rPr>
        <w:t>.</w:t>
      </w:r>
      <w:r w:rsidRPr="00393EC4">
        <w:rPr>
          <w:lang w:val="en-GB"/>
        </w:rPr>
        <w:t>J</w:t>
      </w:r>
      <w:r>
        <w:rPr>
          <w:lang w:val="en-GB"/>
        </w:rPr>
        <w:t>.</w:t>
      </w:r>
      <w:r w:rsidRPr="00393EC4">
        <w:rPr>
          <w:lang w:val="en-GB"/>
        </w:rPr>
        <w:t>I</w:t>
      </w:r>
      <w:r>
        <w:rPr>
          <w:lang w:val="en-GB"/>
        </w:rPr>
        <w:t>.</w:t>
      </w:r>
      <w:r w:rsidRPr="00393EC4">
        <w:rPr>
          <w:lang w:val="en-GB"/>
        </w:rPr>
        <w:t>L</w:t>
      </w:r>
      <w:r>
        <w:rPr>
          <w:lang w:val="en-GB"/>
        </w:rPr>
        <w:t>. 763, 779.</w:t>
      </w:r>
    </w:p>
  </w:footnote>
  <w:footnote w:id="143">
    <w:p w14:paraId="4CCFCABC" w14:textId="33984FD8"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Cheshire West</w:t>
      </w:r>
      <w:r>
        <w:rPr>
          <w:lang w:val="en-GB"/>
        </w:rPr>
        <w:t xml:space="preserve"> at [19]–[32]</w:t>
      </w:r>
      <w:r w:rsidRPr="00ED09F2">
        <w:rPr>
          <w:lang w:val="en-GB"/>
        </w:rPr>
        <w:t>.</w:t>
      </w:r>
    </w:p>
  </w:footnote>
  <w:footnote w:id="144">
    <w:p w14:paraId="7B0DC283" w14:textId="174D1F43" w:rsidR="00E55A55" w:rsidRPr="00ED09F2" w:rsidRDefault="00E55A55">
      <w:pPr>
        <w:pStyle w:val="FootnoteText"/>
        <w:spacing w:line="480" w:lineRule="auto"/>
        <w:rPr>
          <w:lang w:val="en-GB"/>
        </w:rPr>
      </w:pPr>
      <w:r w:rsidRPr="00ED09F2">
        <w:rPr>
          <w:rStyle w:val="FootnoteReference"/>
        </w:rPr>
        <w:footnoteRef/>
      </w:r>
      <w:r w:rsidRPr="00ED09F2">
        <w:t xml:space="preserve"> </w:t>
      </w:r>
      <w:r>
        <w:rPr>
          <w:lang w:val="en-GB"/>
        </w:rPr>
        <w:t xml:space="preserve">Cf. </w:t>
      </w:r>
      <w:r>
        <w:rPr>
          <w:i/>
          <w:lang w:val="en-GB"/>
        </w:rPr>
        <w:t>Guzzardi</w:t>
      </w:r>
      <w:r>
        <w:rPr>
          <w:lang w:val="en-GB"/>
        </w:rPr>
        <w:t xml:space="preserve"> at [95]</w:t>
      </w:r>
      <w:r w:rsidRPr="00ED09F2">
        <w:rPr>
          <w:lang w:val="en-GB"/>
        </w:rPr>
        <w:t>.</w:t>
      </w:r>
    </w:p>
  </w:footnote>
  <w:footnote w:id="145">
    <w:p w14:paraId="5D933B45" w14:textId="0D7E6C3F" w:rsidR="00E55A55" w:rsidRPr="007835A2" w:rsidRDefault="00E55A55">
      <w:pPr>
        <w:pStyle w:val="FootnoteText"/>
        <w:spacing w:line="480" w:lineRule="auto"/>
        <w:rPr>
          <w:lang w:val="en-GB"/>
        </w:rPr>
      </w:pPr>
      <w:r>
        <w:rPr>
          <w:rStyle w:val="FootnoteReference"/>
        </w:rPr>
        <w:footnoteRef/>
      </w:r>
      <w:r>
        <w:t xml:space="preserve"> e.g. </w:t>
      </w:r>
      <w:r w:rsidRPr="007835A2">
        <w:rPr>
          <w:i/>
        </w:rPr>
        <w:t>Austin ECtHR</w:t>
      </w:r>
      <w:r>
        <w:t xml:space="preserve"> at [59], [65].</w:t>
      </w:r>
    </w:p>
  </w:footnote>
  <w:footnote w:id="146">
    <w:p w14:paraId="46925730" w14:textId="39F5D2E4" w:rsidR="00E55A55" w:rsidRPr="007835A2" w:rsidRDefault="00E55A55">
      <w:pPr>
        <w:pStyle w:val="FootnoteText"/>
        <w:spacing w:line="480" w:lineRule="auto"/>
        <w:rPr>
          <w:lang w:val="en-GB"/>
        </w:rPr>
      </w:pPr>
      <w:r>
        <w:rPr>
          <w:rStyle w:val="FootnoteReference"/>
        </w:rPr>
        <w:footnoteRef/>
      </w:r>
      <w:r>
        <w:t xml:space="preserve"> </w:t>
      </w:r>
      <w:r>
        <w:rPr>
          <w:lang w:val="en-GB"/>
        </w:rPr>
        <w:t xml:space="preserve">e.g. </w:t>
      </w:r>
      <w:r w:rsidRPr="007835A2">
        <w:rPr>
          <w:i/>
          <w:lang w:val="en-GB"/>
        </w:rPr>
        <w:t>Guzzardi</w:t>
      </w:r>
      <w:r>
        <w:rPr>
          <w:lang w:val="en-GB"/>
        </w:rPr>
        <w:t xml:space="preserve"> at [88]–[94].</w:t>
      </w:r>
    </w:p>
  </w:footnote>
  <w:footnote w:id="147">
    <w:p w14:paraId="4727D79A" w14:textId="59339BCB" w:rsidR="00E55A55" w:rsidRPr="00665706" w:rsidRDefault="00E55A55">
      <w:pPr>
        <w:pStyle w:val="FootnoteText"/>
        <w:spacing w:line="480" w:lineRule="auto"/>
        <w:rPr>
          <w:lang w:val="en-GB"/>
        </w:rPr>
      </w:pPr>
      <w:r>
        <w:rPr>
          <w:rStyle w:val="FootnoteReference"/>
        </w:rPr>
        <w:footnoteRef/>
      </w:r>
      <w:r>
        <w:t xml:space="preserve"> </w:t>
      </w:r>
      <w:r w:rsidRPr="00ED09F2">
        <w:rPr>
          <w:i/>
          <w:lang w:val="en-GB"/>
        </w:rPr>
        <w:t>Storck</w:t>
      </w:r>
      <w:r>
        <w:rPr>
          <w:i/>
          <w:lang w:val="en-GB"/>
        </w:rPr>
        <w:t xml:space="preserve"> </w:t>
      </w:r>
      <w:r>
        <w:rPr>
          <w:lang w:val="en-GB"/>
        </w:rPr>
        <w:t>at [74]</w:t>
      </w:r>
      <w:r w:rsidRPr="00ED09F2">
        <w:rPr>
          <w:lang w:val="en-GB"/>
        </w:rPr>
        <w:t>.</w:t>
      </w:r>
    </w:p>
  </w:footnote>
  <w:footnote w:id="148">
    <w:p w14:paraId="54572E41" w14:textId="0B674251" w:rsidR="00E55A55" w:rsidRPr="00393EC4" w:rsidRDefault="00E55A55">
      <w:pPr>
        <w:pStyle w:val="FootnoteText"/>
        <w:spacing w:line="480" w:lineRule="auto"/>
        <w:rPr>
          <w:lang w:val="en-GB"/>
        </w:rPr>
      </w:pPr>
      <w:r w:rsidRPr="00ED09F2">
        <w:rPr>
          <w:rStyle w:val="FootnoteReference"/>
        </w:rPr>
        <w:footnoteRef/>
      </w:r>
      <w:r w:rsidRPr="00ED09F2">
        <w:t xml:space="preserve"> </w:t>
      </w:r>
      <w:r>
        <w:rPr>
          <w:lang w:val="en-GB"/>
        </w:rPr>
        <w:t>e.g.</w:t>
      </w:r>
      <w:r w:rsidRPr="00ED09F2">
        <w:rPr>
          <w:lang w:val="en-GB"/>
        </w:rPr>
        <w:t xml:space="preserve"> </w:t>
      </w:r>
      <w:r>
        <w:rPr>
          <w:i/>
        </w:rPr>
        <w:t>ZH</w:t>
      </w:r>
      <w:r>
        <w:t>.</w:t>
      </w:r>
    </w:p>
  </w:footnote>
  <w:footnote w:id="149">
    <w:p w14:paraId="079BD8D7" w14:textId="619B5208" w:rsidR="00E55A55" w:rsidRPr="0020054E" w:rsidRDefault="00E55A55">
      <w:pPr>
        <w:pStyle w:val="FootnoteText"/>
        <w:spacing w:line="480" w:lineRule="auto"/>
        <w:rPr>
          <w:lang w:val="en-GB"/>
        </w:rPr>
      </w:pPr>
      <w:r>
        <w:rPr>
          <w:rStyle w:val="FootnoteReference"/>
        </w:rPr>
        <w:footnoteRef/>
      </w:r>
      <w:r>
        <w:t xml:space="preserve"> e.g. </w:t>
      </w:r>
      <w:r>
        <w:rPr>
          <w:i/>
        </w:rPr>
        <w:t>JJ</w:t>
      </w:r>
      <w:r>
        <w:t xml:space="preserve">; </w:t>
      </w:r>
      <w:r w:rsidRPr="00732803">
        <w:rPr>
          <w:i/>
        </w:rPr>
        <w:t>Guzzardi</w:t>
      </w:r>
      <w:r>
        <w:t>.</w:t>
      </w:r>
    </w:p>
  </w:footnote>
  <w:footnote w:id="150">
    <w:p w14:paraId="5212364D" w14:textId="1612786D" w:rsidR="00E55A55" w:rsidRPr="00ED09F2" w:rsidRDefault="00E55A55">
      <w:pPr>
        <w:pStyle w:val="FootnoteText"/>
        <w:spacing w:line="480" w:lineRule="auto"/>
        <w:rPr>
          <w:lang w:val="en-GB"/>
        </w:rPr>
      </w:pPr>
      <w:r w:rsidRPr="00ED09F2">
        <w:rPr>
          <w:rStyle w:val="FootnoteReference"/>
        </w:rPr>
        <w:footnoteRef/>
      </w:r>
      <w:r w:rsidRPr="00ED09F2">
        <w:t xml:space="preserve"> </w:t>
      </w:r>
      <w:r w:rsidRPr="00ED09F2">
        <w:rPr>
          <w:i/>
          <w:lang w:val="en-GB"/>
        </w:rPr>
        <w:t>Amuur</w:t>
      </w:r>
      <w:r>
        <w:rPr>
          <w:lang w:val="en-GB"/>
        </w:rPr>
        <w:t>.</w:t>
      </w:r>
    </w:p>
  </w:footnote>
  <w:footnote w:id="151">
    <w:p w14:paraId="1B2B855D" w14:textId="470B71EC" w:rsidR="00E55A55" w:rsidRPr="00ED09F2" w:rsidRDefault="00E55A55" w:rsidP="008160A2">
      <w:pPr>
        <w:pStyle w:val="FootnoteText"/>
        <w:spacing w:line="480" w:lineRule="auto"/>
        <w:rPr>
          <w:lang w:val="en-GB"/>
        </w:rPr>
      </w:pPr>
      <w:r w:rsidRPr="00ED09F2">
        <w:rPr>
          <w:rStyle w:val="FootnoteReference"/>
        </w:rPr>
        <w:footnoteRef/>
      </w:r>
      <w:r w:rsidRPr="00ED09F2">
        <w:t xml:space="preserve"> </w:t>
      </w:r>
      <w:r w:rsidRPr="00ED09F2">
        <w:rPr>
          <w:i/>
          <w:lang w:val="en-GB"/>
        </w:rPr>
        <w:t>Storck</w:t>
      </w:r>
      <w:r>
        <w:rPr>
          <w:lang w:val="en-GB"/>
        </w:rPr>
        <w:t xml:space="preserve"> at [74]</w:t>
      </w:r>
      <w:r w:rsidRPr="00ED09F2">
        <w:rPr>
          <w:lang w:val="en-GB"/>
        </w:rPr>
        <w:t>.</w:t>
      </w:r>
    </w:p>
  </w:footnote>
  <w:footnote w:id="152">
    <w:p w14:paraId="4AB134CF" w14:textId="09E5EE57" w:rsidR="00E55A55" w:rsidRPr="00D56AAA" w:rsidRDefault="00E55A55" w:rsidP="008160A2">
      <w:pPr>
        <w:pStyle w:val="FootnoteText"/>
        <w:spacing w:line="480" w:lineRule="auto"/>
        <w:rPr>
          <w:lang w:val="en-GB"/>
        </w:rPr>
      </w:pPr>
      <w:r>
        <w:rPr>
          <w:rStyle w:val="FootnoteReference"/>
        </w:rPr>
        <w:footnoteRef/>
      </w:r>
      <w:r>
        <w:t xml:space="preserve"> </w:t>
      </w:r>
      <w:r w:rsidRPr="00D56AAA">
        <w:rPr>
          <w:i/>
          <w:lang w:val="en-GB"/>
        </w:rPr>
        <w:t>Austin ECtHR</w:t>
      </w:r>
      <w:r>
        <w:rPr>
          <w:lang w:val="en-GB"/>
        </w:rPr>
        <w:t xml:space="preserve"> at [68].</w:t>
      </w:r>
    </w:p>
  </w:footnote>
  <w:footnote w:id="153">
    <w:p w14:paraId="29CB0A3D" w14:textId="52C3D10F" w:rsidR="00E55A55" w:rsidRPr="0077253F" w:rsidRDefault="00E55A55" w:rsidP="008160A2">
      <w:pPr>
        <w:pStyle w:val="FootnoteText"/>
        <w:spacing w:line="480" w:lineRule="auto"/>
        <w:rPr>
          <w:lang w:val="en-GB"/>
        </w:rPr>
      </w:pPr>
      <w:r>
        <w:rPr>
          <w:rStyle w:val="FootnoteReference"/>
        </w:rPr>
        <w:footnoteRef/>
      </w:r>
      <w:r>
        <w:t xml:space="preserve"> </w:t>
      </w:r>
      <w:r>
        <w:rPr>
          <w:lang w:val="en-GB"/>
        </w:rPr>
        <w:t>JCHR, “The Right to Freedom and Safety: Reform of the Deprivation of Liberty Safeguards” (HC 890, HL 161, 2018), para.45.</w:t>
      </w:r>
    </w:p>
  </w:footnote>
  <w:footnote w:id="154">
    <w:p w14:paraId="4C1DE0E7" w14:textId="0D5920C5" w:rsidR="00E55A55" w:rsidRPr="00D56AAA" w:rsidRDefault="00E55A55" w:rsidP="008160A2">
      <w:pPr>
        <w:pStyle w:val="FootnoteText"/>
        <w:spacing w:line="480" w:lineRule="auto"/>
        <w:rPr>
          <w:lang w:val="en-GB"/>
        </w:rPr>
      </w:pPr>
      <w:r>
        <w:rPr>
          <w:rStyle w:val="FootnoteReference"/>
        </w:rPr>
        <w:footnoteRef/>
      </w:r>
      <w:r>
        <w:t xml:space="preserve"> </w:t>
      </w:r>
      <w:r w:rsidRPr="00E66D1D">
        <w:rPr>
          <w:i/>
          <w:lang w:val="en-GB"/>
        </w:rPr>
        <w:t>R</w:t>
      </w:r>
      <w:r>
        <w:rPr>
          <w:i/>
          <w:lang w:val="en-GB"/>
        </w:rPr>
        <w:t>.</w:t>
      </w:r>
      <w:r w:rsidRPr="00E66D1D">
        <w:rPr>
          <w:i/>
          <w:lang w:val="en-GB"/>
        </w:rPr>
        <w:t xml:space="preserve"> (</w:t>
      </w:r>
      <w:r>
        <w:rPr>
          <w:i/>
          <w:lang w:val="en-GB"/>
        </w:rPr>
        <w:t xml:space="preserve">on the application of </w:t>
      </w:r>
      <w:r w:rsidRPr="00E66D1D">
        <w:rPr>
          <w:i/>
          <w:lang w:val="en-GB"/>
        </w:rPr>
        <w:t xml:space="preserve">Ferreira) v HM </w:t>
      </w:r>
      <w:r>
        <w:rPr>
          <w:i/>
          <w:lang w:val="en-GB"/>
        </w:rPr>
        <w:t xml:space="preserve">Senior </w:t>
      </w:r>
      <w:r w:rsidRPr="00E66D1D">
        <w:rPr>
          <w:i/>
          <w:lang w:val="en-GB"/>
        </w:rPr>
        <w:t>Coroner for Inner South London</w:t>
      </w:r>
      <w:r>
        <w:rPr>
          <w:lang w:val="en-GB"/>
        </w:rPr>
        <w:t xml:space="preserve"> </w:t>
      </w:r>
      <w:r w:rsidRPr="00A0093F">
        <w:rPr>
          <w:lang w:val="en-GB"/>
        </w:rPr>
        <w:t>[2017] EWCA Civ 31; [2018] Q.B. 487</w:t>
      </w:r>
      <w:r>
        <w:rPr>
          <w:lang w:val="en-GB"/>
        </w:rPr>
        <w:t>.</w:t>
      </w:r>
    </w:p>
  </w:footnote>
  <w:footnote w:id="155">
    <w:p w14:paraId="5D10F72F" w14:textId="2530A84D" w:rsidR="00E55A55" w:rsidRPr="00D56AAA" w:rsidRDefault="00E55A55" w:rsidP="008160A2">
      <w:pPr>
        <w:pStyle w:val="FootnoteText"/>
        <w:spacing w:line="480" w:lineRule="auto"/>
        <w:rPr>
          <w:lang w:val="en-GB"/>
        </w:rPr>
      </w:pPr>
      <w:r>
        <w:rPr>
          <w:rStyle w:val="FootnoteReference"/>
        </w:rPr>
        <w:footnoteRef/>
      </w:r>
      <w:r>
        <w:t xml:space="preserve"> </w:t>
      </w:r>
      <w:r>
        <w:rPr>
          <w:lang w:val="en-GB"/>
        </w:rPr>
        <w:t>JCHR report, paras 38, 44 and 47</w:t>
      </w:r>
      <w:r w:rsidR="00A30CDA">
        <w:rPr>
          <w:lang w:val="en-GB"/>
        </w:rPr>
        <w:t xml:space="preserve">. See also </w:t>
      </w:r>
      <w:r w:rsidRPr="00D56AAA">
        <w:rPr>
          <w:i/>
          <w:lang w:val="en-GB"/>
        </w:rPr>
        <w:t>Cheshire West</w:t>
      </w:r>
      <w:r>
        <w:rPr>
          <w:lang w:val="en-GB"/>
        </w:rPr>
        <w:t xml:space="preserve"> at [46].</w:t>
      </w:r>
    </w:p>
  </w:footnote>
  <w:footnote w:id="156">
    <w:p w14:paraId="7DB261D1" w14:textId="793872C1" w:rsidR="00E55A55" w:rsidRPr="00D56AAA" w:rsidRDefault="00E55A55" w:rsidP="008160A2">
      <w:pPr>
        <w:pStyle w:val="FootnoteText"/>
        <w:spacing w:line="480" w:lineRule="auto"/>
        <w:rPr>
          <w:lang w:val="en-GB"/>
        </w:rPr>
      </w:pPr>
      <w:r>
        <w:rPr>
          <w:rStyle w:val="FootnoteReference"/>
        </w:rPr>
        <w:footnoteRef/>
      </w:r>
      <w:r>
        <w:t xml:space="preserve"> </w:t>
      </w:r>
      <w:r>
        <w:rPr>
          <w:lang w:val="en-GB"/>
        </w:rPr>
        <w:t>JCHR report, para.47.</w:t>
      </w:r>
    </w:p>
  </w:footnote>
  <w:footnote w:id="157">
    <w:p w14:paraId="0B49307F" w14:textId="21B4F0BA" w:rsidR="005A5BA4" w:rsidRPr="00A30CDA" w:rsidRDefault="005A5BA4" w:rsidP="008160A2">
      <w:pPr>
        <w:pStyle w:val="FootnoteText"/>
        <w:spacing w:line="480" w:lineRule="auto"/>
        <w:rPr>
          <w:lang w:val="en-GB"/>
        </w:rPr>
      </w:pPr>
      <w:r>
        <w:rPr>
          <w:rStyle w:val="FootnoteReference"/>
        </w:rPr>
        <w:footnoteRef/>
      </w:r>
      <w:r>
        <w:t xml:space="preserve"> </w:t>
      </w:r>
      <w:r w:rsidRPr="00A30CDA">
        <w:rPr>
          <w:i/>
          <w:lang w:val="en-GB"/>
        </w:rPr>
        <w:t>Cheshire West</w:t>
      </w:r>
      <w:r>
        <w:rPr>
          <w:lang w:val="en-GB"/>
        </w:rPr>
        <w:t xml:space="preserve"> at [46].</w:t>
      </w:r>
    </w:p>
  </w:footnote>
  <w:footnote w:id="158">
    <w:p w14:paraId="0E5EAEB4" w14:textId="367C7988" w:rsidR="00E55A55" w:rsidRPr="00D56AAA" w:rsidRDefault="00E55A55" w:rsidP="008160A2">
      <w:pPr>
        <w:pStyle w:val="FootnoteText"/>
        <w:spacing w:line="480" w:lineRule="auto"/>
        <w:rPr>
          <w:lang w:val="en-GB"/>
        </w:rPr>
      </w:pPr>
      <w:r>
        <w:rPr>
          <w:rStyle w:val="FootnoteReference"/>
        </w:rPr>
        <w:footnoteRef/>
      </w:r>
      <w:r>
        <w:t xml:space="preserve"> </w:t>
      </w:r>
      <w:r>
        <w:rPr>
          <w:lang w:val="en-GB"/>
        </w:rPr>
        <w:t>JCHR report, para.49.</w:t>
      </w:r>
    </w:p>
  </w:footnote>
  <w:footnote w:id="159">
    <w:p w14:paraId="61593C96" w14:textId="77777777" w:rsidR="00763B62" w:rsidRPr="00A30CDA" w:rsidRDefault="00763B62" w:rsidP="00763B62">
      <w:pPr>
        <w:pStyle w:val="FootnoteText"/>
        <w:spacing w:line="480" w:lineRule="auto"/>
        <w:rPr>
          <w:lang w:val="en-GB"/>
        </w:rPr>
      </w:pPr>
      <w:r>
        <w:rPr>
          <w:rStyle w:val="FootnoteReference"/>
        </w:rPr>
        <w:footnoteRef/>
      </w:r>
      <w:r>
        <w:t xml:space="preserve"> </w:t>
      </w:r>
      <w:r w:rsidRPr="00A30CDA">
        <w:rPr>
          <w:i/>
          <w:lang w:val="en-GB"/>
        </w:rPr>
        <w:t>Cheshire West</w:t>
      </w:r>
      <w:r>
        <w:rPr>
          <w:lang w:val="en-GB"/>
        </w:rPr>
        <w:t xml:space="preserve"> at [57].</w:t>
      </w:r>
    </w:p>
  </w:footnote>
  <w:footnote w:id="160">
    <w:p w14:paraId="45A55DCB" w14:textId="62261A05" w:rsidR="00D421AE" w:rsidRPr="00A30CDA" w:rsidRDefault="00D421AE" w:rsidP="008160A2">
      <w:pPr>
        <w:pStyle w:val="FootnoteText"/>
        <w:spacing w:line="480" w:lineRule="auto"/>
        <w:rPr>
          <w:lang w:val="en-GB"/>
        </w:rPr>
      </w:pPr>
      <w:r>
        <w:rPr>
          <w:rStyle w:val="FootnoteReference"/>
        </w:rPr>
        <w:footnoteRef/>
      </w:r>
      <w:r>
        <w:t xml:space="preserve"> </w:t>
      </w:r>
      <w:r w:rsidRPr="00A30CDA">
        <w:rPr>
          <w:i/>
          <w:lang w:val="en-GB"/>
        </w:rPr>
        <w:t>Cheshire West</w:t>
      </w:r>
      <w:r>
        <w:rPr>
          <w:lang w:val="en-GB"/>
        </w:rPr>
        <w:t xml:space="preserve"> at [56].</w:t>
      </w:r>
    </w:p>
  </w:footnote>
  <w:footnote w:id="161">
    <w:p w14:paraId="2334689B" w14:textId="6EFD4BBB" w:rsidR="00E969C1" w:rsidRPr="00A30CDA" w:rsidRDefault="00E969C1" w:rsidP="008160A2">
      <w:pPr>
        <w:pStyle w:val="FootnoteText"/>
        <w:spacing w:line="480" w:lineRule="auto"/>
        <w:rPr>
          <w:lang w:val="en-GB"/>
        </w:rPr>
      </w:pPr>
      <w:r>
        <w:rPr>
          <w:rStyle w:val="FootnoteReference"/>
        </w:rPr>
        <w:footnoteRef/>
      </w:r>
      <w:r>
        <w:t xml:space="preserve"> </w:t>
      </w:r>
      <w:r w:rsidRPr="00A30CDA">
        <w:rPr>
          <w:i/>
          <w:lang w:val="en-GB"/>
        </w:rPr>
        <w:t>Cheshire West</w:t>
      </w:r>
      <w:r>
        <w:rPr>
          <w:lang w:val="en-GB"/>
        </w:rPr>
        <w:t xml:space="preserve"> at [57].</w:t>
      </w:r>
    </w:p>
  </w:footnote>
  <w:footnote w:id="162">
    <w:p w14:paraId="1F26C285" w14:textId="77777777" w:rsidR="00323484" w:rsidRPr="008160A2" w:rsidRDefault="00323484" w:rsidP="00323484">
      <w:pPr>
        <w:pStyle w:val="FootnoteText"/>
        <w:spacing w:line="480" w:lineRule="auto"/>
        <w:rPr>
          <w:lang w:val="en-GB"/>
        </w:rPr>
      </w:pPr>
      <w:r>
        <w:rPr>
          <w:rStyle w:val="FootnoteReference"/>
        </w:rPr>
        <w:footnoteRef/>
      </w:r>
      <w:r>
        <w:t xml:space="preserve"> </w:t>
      </w:r>
      <w:r w:rsidRPr="008160A2">
        <w:rPr>
          <w:i/>
        </w:rPr>
        <w:t>Guzzardi</w:t>
      </w:r>
      <w:r>
        <w:t xml:space="preserve"> at [92]. See also </w:t>
      </w:r>
      <w:r w:rsidRPr="008160A2">
        <w:rPr>
          <w:i/>
        </w:rPr>
        <w:t>Cheshire West</w:t>
      </w:r>
      <w:r>
        <w:t xml:space="preserve"> at [51].</w:t>
      </w:r>
    </w:p>
  </w:footnote>
  <w:footnote w:id="163">
    <w:p w14:paraId="6A3DA65E" w14:textId="5BC4744F" w:rsidR="00E55A55" w:rsidRPr="00ED09F2" w:rsidRDefault="00E55A55" w:rsidP="008160A2">
      <w:pPr>
        <w:pStyle w:val="FootnoteText"/>
        <w:spacing w:line="480" w:lineRule="auto"/>
        <w:rPr>
          <w:lang w:val="en-GB"/>
        </w:rPr>
      </w:pPr>
      <w:r w:rsidRPr="00ED09F2">
        <w:rPr>
          <w:rStyle w:val="FootnoteReference"/>
        </w:rPr>
        <w:footnoteRef/>
      </w:r>
      <w:r>
        <w:t xml:space="preserve"> </w:t>
      </w:r>
      <w:r>
        <w:rPr>
          <w:lang w:val="en-GB"/>
        </w:rPr>
        <w:t>Feldman, “</w:t>
      </w:r>
      <w:r w:rsidRPr="00ED09F2">
        <w:rPr>
          <w:lang w:val="en-GB"/>
        </w:rPr>
        <w:t>Deprivatio</w:t>
      </w:r>
      <w:r>
        <w:rPr>
          <w:lang w:val="en-GB"/>
        </w:rPr>
        <w:t>n of Liberty in Anti-terrorism L</w:t>
      </w:r>
      <w:r w:rsidRPr="00ED09F2">
        <w:rPr>
          <w:lang w:val="en-GB"/>
        </w:rPr>
        <w:t>aw</w:t>
      </w:r>
      <w:r>
        <w:rPr>
          <w:lang w:val="en-GB"/>
        </w:rPr>
        <w:t>” 8</w:t>
      </w:r>
      <w:r w:rsidRPr="00ED09F2">
        <w:rPr>
          <w:lang w:val="en-GB"/>
        </w:rPr>
        <w:t>.</w:t>
      </w:r>
    </w:p>
  </w:footnote>
  <w:footnote w:id="164">
    <w:p w14:paraId="03168D69" w14:textId="6EB51214" w:rsidR="00E55A55" w:rsidRPr="00722D0D" w:rsidRDefault="00E55A55">
      <w:pPr>
        <w:pStyle w:val="FootnoteText"/>
        <w:spacing w:line="480" w:lineRule="auto"/>
        <w:rPr>
          <w:lang w:val="en-GB"/>
        </w:rPr>
      </w:pPr>
      <w:r>
        <w:rPr>
          <w:rStyle w:val="FootnoteReference"/>
        </w:rPr>
        <w:footnoteRef/>
      </w:r>
      <w:r>
        <w:t xml:space="preserve"> e.g. Turkey: A. </w:t>
      </w:r>
      <w:r w:rsidRPr="000C69FD">
        <w:t>Kucukgocmen</w:t>
      </w:r>
      <w:r>
        <w:t>,</w:t>
      </w:r>
      <w:r w:rsidRPr="000C69FD">
        <w:t xml:space="preserve"> </w:t>
      </w:r>
      <w:r>
        <w:t xml:space="preserve">“Turkish Court Releases 14 Students Bring Tried for Opposing Afrin Operation” </w:t>
      </w:r>
      <w:r w:rsidRPr="007569D3">
        <w:rPr>
          <w:i/>
        </w:rPr>
        <w:t>Reuters</w:t>
      </w:r>
      <w:r w:rsidRPr="007569D3">
        <w:t>,</w:t>
      </w:r>
      <w:r>
        <w:rPr>
          <w:i/>
        </w:rPr>
        <w:t xml:space="preserve"> </w:t>
      </w:r>
      <w:r>
        <w:t>June 6, 2018, &lt;</w:t>
      </w:r>
      <w:r w:rsidRPr="009B234C">
        <w:t>https://uk.reuters.com/article/uk-turkey-security-students/turkish-court-releases-14-students-being-tried-for-opposing-afrin-operation-cnnturk-idUKKCN1J22C8</w:t>
      </w:r>
      <w:r>
        <w:t xml:space="preserve">&gt;; and Russia: M. Tsvetkova and D. Pinchuk, “Russia’s Navalny Detained as Protestors Point to Poll Fraud Threat”, </w:t>
      </w:r>
      <w:r w:rsidRPr="007569D3">
        <w:rPr>
          <w:i/>
        </w:rPr>
        <w:t>Reuters</w:t>
      </w:r>
      <w:r>
        <w:t>, January 28, 2018, &lt;</w:t>
      </w:r>
      <w:r w:rsidRPr="00611B81">
        <w:t>https://uk.reuters.com/article/uk-russia-election-navalny-office/russias-navalny-detained-as-protesters-point-to-</w:t>
      </w:r>
      <w:r>
        <w:t>poll-fraud-threat-idUKKBN1FH04V&gt;, [Both accessed July 4,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04C7" w14:textId="02039DC5" w:rsidR="00E229CB" w:rsidRDefault="00E229CB" w:rsidP="00E229CB">
    <w:pPr>
      <w:pStyle w:val="Header"/>
      <w:tabs>
        <w:tab w:val="left" w:pos="429"/>
      </w:tabs>
      <w:rPr>
        <w:rFonts w:ascii="Times New Roman" w:hAnsi="Times New Roman"/>
        <w:b/>
        <w:lang w:val="en-GB"/>
      </w:rPr>
    </w:pPr>
    <w:r>
      <w:rPr>
        <w:rFonts w:ascii="Times New Roman" w:hAnsi="Times New Roman"/>
        <w:b/>
        <w:lang w:val="en-GB"/>
      </w:rPr>
      <w:t>[2019] Public Law forthcoming</w:t>
    </w:r>
  </w:p>
  <w:p w14:paraId="7DD0FCFE" w14:textId="673421A1" w:rsidR="00E55A55" w:rsidRPr="002D05D7" w:rsidRDefault="00E229CB" w:rsidP="00E229CB">
    <w:pPr>
      <w:pStyle w:val="Header"/>
      <w:tabs>
        <w:tab w:val="left" w:pos="429"/>
      </w:tabs>
      <w:rPr>
        <w:rFonts w:ascii="Times New Roman" w:hAnsi="Times New Roman"/>
        <w:b/>
        <w:lang w:val="en-GB"/>
      </w:rPr>
    </w:pPr>
    <w:r>
      <w:rPr>
        <w:rFonts w:ascii="Times New Roman" w:hAnsi="Times New Roman"/>
        <w:b/>
        <w:lang w:val="en-GB"/>
      </w:rPr>
      <w:pict w14:anchorId="55FB0770">
        <v:rect id="_x0000_i1025" style="width:0;height:1.5pt" o:hralign="center" o:hrstd="t" o:hr="t" fillcolor="#aaa"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65EF2"/>
    <w:multiLevelType w:val="hybridMultilevel"/>
    <w:tmpl w:val="A76695EE"/>
    <w:lvl w:ilvl="0" w:tplc="649C39B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8DF3C75"/>
    <w:multiLevelType w:val="hybridMultilevel"/>
    <w:tmpl w:val="80468212"/>
    <w:lvl w:ilvl="0" w:tplc="748214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0E0930"/>
    <w:multiLevelType w:val="hybridMultilevel"/>
    <w:tmpl w:val="9E26B758"/>
    <w:lvl w:ilvl="0" w:tplc="24BA72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87"/>
    <w:rsid w:val="00001EAF"/>
    <w:rsid w:val="00003124"/>
    <w:rsid w:val="0000357A"/>
    <w:rsid w:val="00003A7C"/>
    <w:rsid w:val="00003D94"/>
    <w:rsid w:val="00005997"/>
    <w:rsid w:val="000060F4"/>
    <w:rsid w:val="00011FB6"/>
    <w:rsid w:val="00012848"/>
    <w:rsid w:val="0001498E"/>
    <w:rsid w:val="00014A07"/>
    <w:rsid w:val="00014B08"/>
    <w:rsid w:val="0001512C"/>
    <w:rsid w:val="00015AEC"/>
    <w:rsid w:val="000178FD"/>
    <w:rsid w:val="0002088E"/>
    <w:rsid w:val="00021425"/>
    <w:rsid w:val="000229BD"/>
    <w:rsid w:val="000259B1"/>
    <w:rsid w:val="00026D99"/>
    <w:rsid w:val="00027273"/>
    <w:rsid w:val="00027FCB"/>
    <w:rsid w:val="000308C1"/>
    <w:rsid w:val="00030D3E"/>
    <w:rsid w:val="00032550"/>
    <w:rsid w:val="00036BA8"/>
    <w:rsid w:val="00040887"/>
    <w:rsid w:val="00040FE5"/>
    <w:rsid w:val="00043186"/>
    <w:rsid w:val="000442B0"/>
    <w:rsid w:val="00050CA7"/>
    <w:rsid w:val="00054C09"/>
    <w:rsid w:val="000557EB"/>
    <w:rsid w:val="00056158"/>
    <w:rsid w:val="000565B2"/>
    <w:rsid w:val="0005716D"/>
    <w:rsid w:val="00061215"/>
    <w:rsid w:val="00061DD8"/>
    <w:rsid w:val="00064194"/>
    <w:rsid w:val="000736A9"/>
    <w:rsid w:val="00075304"/>
    <w:rsid w:val="00075D46"/>
    <w:rsid w:val="000801A1"/>
    <w:rsid w:val="00080EFB"/>
    <w:rsid w:val="00084192"/>
    <w:rsid w:val="00084F19"/>
    <w:rsid w:val="000852BB"/>
    <w:rsid w:val="00086E52"/>
    <w:rsid w:val="00086F5C"/>
    <w:rsid w:val="00087A89"/>
    <w:rsid w:val="00090953"/>
    <w:rsid w:val="00090E44"/>
    <w:rsid w:val="00092191"/>
    <w:rsid w:val="00092B75"/>
    <w:rsid w:val="0009419C"/>
    <w:rsid w:val="0009511D"/>
    <w:rsid w:val="00095EEF"/>
    <w:rsid w:val="000A04B1"/>
    <w:rsid w:val="000A211B"/>
    <w:rsid w:val="000A467C"/>
    <w:rsid w:val="000A4D16"/>
    <w:rsid w:val="000A79B7"/>
    <w:rsid w:val="000A79DF"/>
    <w:rsid w:val="000A7EBE"/>
    <w:rsid w:val="000B124E"/>
    <w:rsid w:val="000B203D"/>
    <w:rsid w:val="000B216C"/>
    <w:rsid w:val="000B228A"/>
    <w:rsid w:val="000B446E"/>
    <w:rsid w:val="000C0081"/>
    <w:rsid w:val="000C0185"/>
    <w:rsid w:val="000C07D7"/>
    <w:rsid w:val="000C0AE0"/>
    <w:rsid w:val="000C170E"/>
    <w:rsid w:val="000C240C"/>
    <w:rsid w:val="000C4E07"/>
    <w:rsid w:val="000C69FD"/>
    <w:rsid w:val="000C77C4"/>
    <w:rsid w:val="000D18D8"/>
    <w:rsid w:val="000D466D"/>
    <w:rsid w:val="000D5439"/>
    <w:rsid w:val="000D61B6"/>
    <w:rsid w:val="000D750A"/>
    <w:rsid w:val="000E19F0"/>
    <w:rsid w:val="000E45A4"/>
    <w:rsid w:val="000E4C96"/>
    <w:rsid w:val="000F07CC"/>
    <w:rsid w:val="000F3629"/>
    <w:rsid w:val="000F663B"/>
    <w:rsid w:val="000F709F"/>
    <w:rsid w:val="000F794F"/>
    <w:rsid w:val="00101492"/>
    <w:rsid w:val="00103BC7"/>
    <w:rsid w:val="00104FDC"/>
    <w:rsid w:val="00105B27"/>
    <w:rsid w:val="00105F78"/>
    <w:rsid w:val="00107915"/>
    <w:rsid w:val="001100AE"/>
    <w:rsid w:val="001105CD"/>
    <w:rsid w:val="001109AB"/>
    <w:rsid w:val="00111300"/>
    <w:rsid w:val="001118CA"/>
    <w:rsid w:val="00111A72"/>
    <w:rsid w:val="0011387E"/>
    <w:rsid w:val="00114462"/>
    <w:rsid w:val="00114C31"/>
    <w:rsid w:val="00116429"/>
    <w:rsid w:val="0011710B"/>
    <w:rsid w:val="00120B2E"/>
    <w:rsid w:val="00121C9B"/>
    <w:rsid w:val="00122898"/>
    <w:rsid w:val="00125808"/>
    <w:rsid w:val="00125E5A"/>
    <w:rsid w:val="00127E3E"/>
    <w:rsid w:val="00130D48"/>
    <w:rsid w:val="0013443B"/>
    <w:rsid w:val="0013465E"/>
    <w:rsid w:val="00141542"/>
    <w:rsid w:val="00141757"/>
    <w:rsid w:val="001422D2"/>
    <w:rsid w:val="001435EE"/>
    <w:rsid w:val="001442FD"/>
    <w:rsid w:val="001443C9"/>
    <w:rsid w:val="001446DC"/>
    <w:rsid w:val="00144F6A"/>
    <w:rsid w:val="00145A20"/>
    <w:rsid w:val="0014659F"/>
    <w:rsid w:val="001471C1"/>
    <w:rsid w:val="00150AFC"/>
    <w:rsid w:val="00150D3E"/>
    <w:rsid w:val="0015365C"/>
    <w:rsid w:val="00153E38"/>
    <w:rsid w:val="00155042"/>
    <w:rsid w:val="0016170D"/>
    <w:rsid w:val="00162141"/>
    <w:rsid w:val="00163542"/>
    <w:rsid w:val="00165BD5"/>
    <w:rsid w:val="001661F7"/>
    <w:rsid w:val="001668EE"/>
    <w:rsid w:val="001670D0"/>
    <w:rsid w:val="00170A03"/>
    <w:rsid w:val="00170FC1"/>
    <w:rsid w:val="00172400"/>
    <w:rsid w:val="001735DB"/>
    <w:rsid w:val="00175C89"/>
    <w:rsid w:val="00180BB8"/>
    <w:rsid w:val="0018225E"/>
    <w:rsid w:val="00183923"/>
    <w:rsid w:val="001840EC"/>
    <w:rsid w:val="00184A7A"/>
    <w:rsid w:val="00190AB7"/>
    <w:rsid w:val="0019192F"/>
    <w:rsid w:val="001927E2"/>
    <w:rsid w:val="001927EB"/>
    <w:rsid w:val="00193C77"/>
    <w:rsid w:val="001A0A4E"/>
    <w:rsid w:val="001A3581"/>
    <w:rsid w:val="001A36C9"/>
    <w:rsid w:val="001A5791"/>
    <w:rsid w:val="001A62E0"/>
    <w:rsid w:val="001A6EBE"/>
    <w:rsid w:val="001A7B0E"/>
    <w:rsid w:val="001B5EF8"/>
    <w:rsid w:val="001B6324"/>
    <w:rsid w:val="001B6C77"/>
    <w:rsid w:val="001C0174"/>
    <w:rsid w:val="001C1B49"/>
    <w:rsid w:val="001C3853"/>
    <w:rsid w:val="001C62A2"/>
    <w:rsid w:val="001C6860"/>
    <w:rsid w:val="001C6D95"/>
    <w:rsid w:val="001C7E5B"/>
    <w:rsid w:val="001D1F37"/>
    <w:rsid w:val="001D2D30"/>
    <w:rsid w:val="001D556F"/>
    <w:rsid w:val="001E20FB"/>
    <w:rsid w:val="001E445E"/>
    <w:rsid w:val="001E5120"/>
    <w:rsid w:val="001E5EC4"/>
    <w:rsid w:val="001E703E"/>
    <w:rsid w:val="001F1BF6"/>
    <w:rsid w:val="001F291D"/>
    <w:rsid w:val="001F307B"/>
    <w:rsid w:val="001F3408"/>
    <w:rsid w:val="001F3E5B"/>
    <w:rsid w:val="001F5335"/>
    <w:rsid w:val="001F7EF3"/>
    <w:rsid w:val="0020054E"/>
    <w:rsid w:val="002020C3"/>
    <w:rsid w:val="00204516"/>
    <w:rsid w:val="00205B74"/>
    <w:rsid w:val="0020620F"/>
    <w:rsid w:val="002106BA"/>
    <w:rsid w:val="00212875"/>
    <w:rsid w:val="00212F68"/>
    <w:rsid w:val="00214261"/>
    <w:rsid w:val="00220536"/>
    <w:rsid w:val="002239AE"/>
    <w:rsid w:val="0022455A"/>
    <w:rsid w:val="00225F5C"/>
    <w:rsid w:val="00225FD8"/>
    <w:rsid w:val="00226F37"/>
    <w:rsid w:val="002271F2"/>
    <w:rsid w:val="00231CC7"/>
    <w:rsid w:val="00232396"/>
    <w:rsid w:val="00234BCA"/>
    <w:rsid w:val="00235B1B"/>
    <w:rsid w:val="0023772D"/>
    <w:rsid w:val="002400A7"/>
    <w:rsid w:val="00244D26"/>
    <w:rsid w:val="00244D57"/>
    <w:rsid w:val="00245850"/>
    <w:rsid w:val="00250DF3"/>
    <w:rsid w:val="0025210D"/>
    <w:rsid w:val="00252D6E"/>
    <w:rsid w:val="0025649D"/>
    <w:rsid w:val="00256BFE"/>
    <w:rsid w:val="00257F2B"/>
    <w:rsid w:val="00260A27"/>
    <w:rsid w:val="00261B07"/>
    <w:rsid w:val="002629AF"/>
    <w:rsid w:val="002644CC"/>
    <w:rsid w:val="002658C4"/>
    <w:rsid w:val="0026727C"/>
    <w:rsid w:val="00272F68"/>
    <w:rsid w:val="002737C4"/>
    <w:rsid w:val="002741AB"/>
    <w:rsid w:val="00282332"/>
    <w:rsid w:val="002851F7"/>
    <w:rsid w:val="00285EA6"/>
    <w:rsid w:val="00291BFE"/>
    <w:rsid w:val="002922AD"/>
    <w:rsid w:val="0029303F"/>
    <w:rsid w:val="0029386E"/>
    <w:rsid w:val="00296AE9"/>
    <w:rsid w:val="002976F2"/>
    <w:rsid w:val="0029797A"/>
    <w:rsid w:val="002A2EED"/>
    <w:rsid w:val="002A2FA0"/>
    <w:rsid w:val="002A44BB"/>
    <w:rsid w:val="002A46D7"/>
    <w:rsid w:val="002A473D"/>
    <w:rsid w:val="002A545D"/>
    <w:rsid w:val="002A7634"/>
    <w:rsid w:val="002B1B82"/>
    <w:rsid w:val="002B1F19"/>
    <w:rsid w:val="002B21B8"/>
    <w:rsid w:val="002B2736"/>
    <w:rsid w:val="002B2D94"/>
    <w:rsid w:val="002B5EDF"/>
    <w:rsid w:val="002B66FD"/>
    <w:rsid w:val="002C1856"/>
    <w:rsid w:val="002C1FDD"/>
    <w:rsid w:val="002C2DCF"/>
    <w:rsid w:val="002C5D76"/>
    <w:rsid w:val="002D05D7"/>
    <w:rsid w:val="002D1037"/>
    <w:rsid w:val="002D1354"/>
    <w:rsid w:val="002D271D"/>
    <w:rsid w:val="002D3400"/>
    <w:rsid w:val="002D5992"/>
    <w:rsid w:val="002D5A36"/>
    <w:rsid w:val="002D628E"/>
    <w:rsid w:val="002D6C2B"/>
    <w:rsid w:val="002E1F1F"/>
    <w:rsid w:val="002E3949"/>
    <w:rsid w:val="002E3A16"/>
    <w:rsid w:val="002E432F"/>
    <w:rsid w:val="002E732F"/>
    <w:rsid w:val="002E7A25"/>
    <w:rsid w:val="002E7A5E"/>
    <w:rsid w:val="002F34A1"/>
    <w:rsid w:val="002F40B8"/>
    <w:rsid w:val="002F7E70"/>
    <w:rsid w:val="00300485"/>
    <w:rsid w:val="00301A5B"/>
    <w:rsid w:val="00305445"/>
    <w:rsid w:val="00306839"/>
    <w:rsid w:val="0031012F"/>
    <w:rsid w:val="00312083"/>
    <w:rsid w:val="0031286E"/>
    <w:rsid w:val="00312D96"/>
    <w:rsid w:val="00312EEF"/>
    <w:rsid w:val="00313C08"/>
    <w:rsid w:val="00314CE2"/>
    <w:rsid w:val="00315F5D"/>
    <w:rsid w:val="003172D2"/>
    <w:rsid w:val="00317324"/>
    <w:rsid w:val="0032038A"/>
    <w:rsid w:val="00320FA7"/>
    <w:rsid w:val="00322DF0"/>
    <w:rsid w:val="00323484"/>
    <w:rsid w:val="00325C83"/>
    <w:rsid w:val="00326218"/>
    <w:rsid w:val="003270BB"/>
    <w:rsid w:val="00327994"/>
    <w:rsid w:val="0032799E"/>
    <w:rsid w:val="0033078C"/>
    <w:rsid w:val="00331995"/>
    <w:rsid w:val="003336D5"/>
    <w:rsid w:val="00335097"/>
    <w:rsid w:val="0033613A"/>
    <w:rsid w:val="003379E3"/>
    <w:rsid w:val="00340D3E"/>
    <w:rsid w:val="00342064"/>
    <w:rsid w:val="00344983"/>
    <w:rsid w:val="00344AE3"/>
    <w:rsid w:val="00350231"/>
    <w:rsid w:val="00354AD7"/>
    <w:rsid w:val="00354C89"/>
    <w:rsid w:val="00361D52"/>
    <w:rsid w:val="0036209E"/>
    <w:rsid w:val="00362CAB"/>
    <w:rsid w:val="0036346E"/>
    <w:rsid w:val="00366066"/>
    <w:rsid w:val="003663EF"/>
    <w:rsid w:val="00367E06"/>
    <w:rsid w:val="00371218"/>
    <w:rsid w:val="0037183A"/>
    <w:rsid w:val="00371A4F"/>
    <w:rsid w:val="0037516B"/>
    <w:rsid w:val="00376E57"/>
    <w:rsid w:val="00377719"/>
    <w:rsid w:val="00380C78"/>
    <w:rsid w:val="00382B66"/>
    <w:rsid w:val="0038354B"/>
    <w:rsid w:val="00383994"/>
    <w:rsid w:val="003911CE"/>
    <w:rsid w:val="00393EC4"/>
    <w:rsid w:val="00394159"/>
    <w:rsid w:val="00394F9F"/>
    <w:rsid w:val="00395020"/>
    <w:rsid w:val="00396690"/>
    <w:rsid w:val="00396CCE"/>
    <w:rsid w:val="003A4051"/>
    <w:rsid w:val="003A4E9E"/>
    <w:rsid w:val="003A5A4C"/>
    <w:rsid w:val="003A71D8"/>
    <w:rsid w:val="003A7D49"/>
    <w:rsid w:val="003B3CC6"/>
    <w:rsid w:val="003B524D"/>
    <w:rsid w:val="003C09A5"/>
    <w:rsid w:val="003C2BD9"/>
    <w:rsid w:val="003C4202"/>
    <w:rsid w:val="003C5C5C"/>
    <w:rsid w:val="003C5D10"/>
    <w:rsid w:val="003C5D7D"/>
    <w:rsid w:val="003C7B56"/>
    <w:rsid w:val="003D1470"/>
    <w:rsid w:val="003D7F72"/>
    <w:rsid w:val="003E18ED"/>
    <w:rsid w:val="003E22CD"/>
    <w:rsid w:val="003E31D8"/>
    <w:rsid w:val="003E6CE3"/>
    <w:rsid w:val="003E7490"/>
    <w:rsid w:val="003F3766"/>
    <w:rsid w:val="003F4C06"/>
    <w:rsid w:val="00400B30"/>
    <w:rsid w:val="004034DD"/>
    <w:rsid w:val="00403EC2"/>
    <w:rsid w:val="00403F20"/>
    <w:rsid w:val="00404AC3"/>
    <w:rsid w:val="004100E8"/>
    <w:rsid w:val="00412A2F"/>
    <w:rsid w:val="00416FB5"/>
    <w:rsid w:val="00420D71"/>
    <w:rsid w:val="0042162F"/>
    <w:rsid w:val="00423C76"/>
    <w:rsid w:val="0042463D"/>
    <w:rsid w:val="004259F0"/>
    <w:rsid w:val="00427CEA"/>
    <w:rsid w:val="00431F74"/>
    <w:rsid w:val="004341D4"/>
    <w:rsid w:val="00436818"/>
    <w:rsid w:val="00440766"/>
    <w:rsid w:val="00440824"/>
    <w:rsid w:val="00440886"/>
    <w:rsid w:val="00440DFE"/>
    <w:rsid w:val="00444D65"/>
    <w:rsid w:val="00444E31"/>
    <w:rsid w:val="00447479"/>
    <w:rsid w:val="00450695"/>
    <w:rsid w:val="0045184D"/>
    <w:rsid w:val="00453023"/>
    <w:rsid w:val="00454F97"/>
    <w:rsid w:val="0045615A"/>
    <w:rsid w:val="00456C97"/>
    <w:rsid w:val="00457F51"/>
    <w:rsid w:val="004601CE"/>
    <w:rsid w:val="00460FB6"/>
    <w:rsid w:val="004610D1"/>
    <w:rsid w:val="00464A6F"/>
    <w:rsid w:val="004675D7"/>
    <w:rsid w:val="00472A32"/>
    <w:rsid w:val="004755E9"/>
    <w:rsid w:val="00481568"/>
    <w:rsid w:val="00483045"/>
    <w:rsid w:val="0048489C"/>
    <w:rsid w:val="00485CBF"/>
    <w:rsid w:val="00487C46"/>
    <w:rsid w:val="00490C1F"/>
    <w:rsid w:val="00490E54"/>
    <w:rsid w:val="0049275D"/>
    <w:rsid w:val="004929FB"/>
    <w:rsid w:val="00494947"/>
    <w:rsid w:val="00497A65"/>
    <w:rsid w:val="004A55A9"/>
    <w:rsid w:val="004A7B55"/>
    <w:rsid w:val="004B02C5"/>
    <w:rsid w:val="004B3021"/>
    <w:rsid w:val="004B41D0"/>
    <w:rsid w:val="004B4EF6"/>
    <w:rsid w:val="004B50AB"/>
    <w:rsid w:val="004B79D6"/>
    <w:rsid w:val="004C222B"/>
    <w:rsid w:val="004C2701"/>
    <w:rsid w:val="004C2904"/>
    <w:rsid w:val="004C2D54"/>
    <w:rsid w:val="004C34B7"/>
    <w:rsid w:val="004C47A4"/>
    <w:rsid w:val="004C54EB"/>
    <w:rsid w:val="004D1BA3"/>
    <w:rsid w:val="004D3A19"/>
    <w:rsid w:val="004D6AC5"/>
    <w:rsid w:val="004E2D7B"/>
    <w:rsid w:val="004E35E9"/>
    <w:rsid w:val="004E3963"/>
    <w:rsid w:val="004E3D75"/>
    <w:rsid w:val="004E401F"/>
    <w:rsid w:val="004F228A"/>
    <w:rsid w:val="004F31C8"/>
    <w:rsid w:val="004F56C8"/>
    <w:rsid w:val="00501030"/>
    <w:rsid w:val="00501A5D"/>
    <w:rsid w:val="005027D0"/>
    <w:rsid w:val="00505143"/>
    <w:rsid w:val="0050598C"/>
    <w:rsid w:val="005106D7"/>
    <w:rsid w:val="00511146"/>
    <w:rsid w:val="00511B08"/>
    <w:rsid w:val="005122EF"/>
    <w:rsid w:val="00513297"/>
    <w:rsid w:val="00521257"/>
    <w:rsid w:val="00521A49"/>
    <w:rsid w:val="00521F26"/>
    <w:rsid w:val="00521F7A"/>
    <w:rsid w:val="00522925"/>
    <w:rsid w:val="00522FED"/>
    <w:rsid w:val="00523270"/>
    <w:rsid w:val="00527B2D"/>
    <w:rsid w:val="00530323"/>
    <w:rsid w:val="005306F8"/>
    <w:rsid w:val="00532ADA"/>
    <w:rsid w:val="005336AE"/>
    <w:rsid w:val="00533807"/>
    <w:rsid w:val="00536BED"/>
    <w:rsid w:val="00540BC3"/>
    <w:rsid w:val="005421CE"/>
    <w:rsid w:val="0054297F"/>
    <w:rsid w:val="0054302B"/>
    <w:rsid w:val="005435BA"/>
    <w:rsid w:val="00543CEC"/>
    <w:rsid w:val="005461A6"/>
    <w:rsid w:val="005462D0"/>
    <w:rsid w:val="005473A8"/>
    <w:rsid w:val="00550BFB"/>
    <w:rsid w:val="005527A4"/>
    <w:rsid w:val="005529B7"/>
    <w:rsid w:val="00552DB8"/>
    <w:rsid w:val="00553616"/>
    <w:rsid w:val="005538B8"/>
    <w:rsid w:val="00553DDD"/>
    <w:rsid w:val="005545BA"/>
    <w:rsid w:val="00554FBE"/>
    <w:rsid w:val="00555FF8"/>
    <w:rsid w:val="005566DA"/>
    <w:rsid w:val="00557618"/>
    <w:rsid w:val="005623C9"/>
    <w:rsid w:val="005626B6"/>
    <w:rsid w:val="005639D7"/>
    <w:rsid w:val="005675E9"/>
    <w:rsid w:val="00571321"/>
    <w:rsid w:val="0057467D"/>
    <w:rsid w:val="00574BE4"/>
    <w:rsid w:val="00574D41"/>
    <w:rsid w:val="005805D6"/>
    <w:rsid w:val="00581266"/>
    <w:rsid w:val="00581441"/>
    <w:rsid w:val="00582711"/>
    <w:rsid w:val="00584C1C"/>
    <w:rsid w:val="0058530C"/>
    <w:rsid w:val="00586434"/>
    <w:rsid w:val="00587410"/>
    <w:rsid w:val="00592218"/>
    <w:rsid w:val="00592DCA"/>
    <w:rsid w:val="005930DE"/>
    <w:rsid w:val="0059363B"/>
    <w:rsid w:val="00593CBA"/>
    <w:rsid w:val="00593E8F"/>
    <w:rsid w:val="00596900"/>
    <w:rsid w:val="00596D72"/>
    <w:rsid w:val="005A05B9"/>
    <w:rsid w:val="005A0B53"/>
    <w:rsid w:val="005A2E5F"/>
    <w:rsid w:val="005A4F87"/>
    <w:rsid w:val="005A4F8E"/>
    <w:rsid w:val="005A5BA4"/>
    <w:rsid w:val="005B09B8"/>
    <w:rsid w:val="005B4288"/>
    <w:rsid w:val="005B51FA"/>
    <w:rsid w:val="005B5BEB"/>
    <w:rsid w:val="005B6AB2"/>
    <w:rsid w:val="005B77FE"/>
    <w:rsid w:val="005C1AB0"/>
    <w:rsid w:val="005C4467"/>
    <w:rsid w:val="005C4B9F"/>
    <w:rsid w:val="005C7E8C"/>
    <w:rsid w:val="005D42FA"/>
    <w:rsid w:val="005D6A8E"/>
    <w:rsid w:val="005D6E7D"/>
    <w:rsid w:val="005D72F5"/>
    <w:rsid w:val="005D752D"/>
    <w:rsid w:val="005D7882"/>
    <w:rsid w:val="005E2A0F"/>
    <w:rsid w:val="005E2F3D"/>
    <w:rsid w:val="005E4D98"/>
    <w:rsid w:val="005E5AED"/>
    <w:rsid w:val="005E7865"/>
    <w:rsid w:val="005F0CDE"/>
    <w:rsid w:val="005F0E06"/>
    <w:rsid w:val="005F18DE"/>
    <w:rsid w:val="005F453A"/>
    <w:rsid w:val="005F4E59"/>
    <w:rsid w:val="00600B6B"/>
    <w:rsid w:val="006014B4"/>
    <w:rsid w:val="0060286E"/>
    <w:rsid w:val="00605198"/>
    <w:rsid w:val="00606C1D"/>
    <w:rsid w:val="00611168"/>
    <w:rsid w:val="00611763"/>
    <w:rsid w:val="00611B81"/>
    <w:rsid w:val="00611F18"/>
    <w:rsid w:val="00612129"/>
    <w:rsid w:val="00612207"/>
    <w:rsid w:val="0061377A"/>
    <w:rsid w:val="00617707"/>
    <w:rsid w:val="006252B3"/>
    <w:rsid w:val="006253AE"/>
    <w:rsid w:val="00626B8C"/>
    <w:rsid w:val="00626C26"/>
    <w:rsid w:val="0063280F"/>
    <w:rsid w:val="0063491D"/>
    <w:rsid w:val="00634987"/>
    <w:rsid w:val="00636701"/>
    <w:rsid w:val="00636D54"/>
    <w:rsid w:val="00637188"/>
    <w:rsid w:val="006400C9"/>
    <w:rsid w:val="00640CEE"/>
    <w:rsid w:val="0064206C"/>
    <w:rsid w:val="00644187"/>
    <w:rsid w:val="006460D7"/>
    <w:rsid w:val="00647688"/>
    <w:rsid w:val="00650724"/>
    <w:rsid w:val="00650F61"/>
    <w:rsid w:val="00650F9C"/>
    <w:rsid w:val="00651BC4"/>
    <w:rsid w:val="00652B99"/>
    <w:rsid w:val="006546E6"/>
    <w:rsid w:val="00654C8E"/>
    <w:rsid w:val="00655744"/>
    <w:rsid w:val="00655BBE"/>
    <w:rsid w:val="00661956"/>
    <w:rsid w:val="00661D11"/>
    <w:rsid w:val="00663FE8"/>
    <w:rsid w:val="00664A09"/>
    <w:rsid w:val="006651F6"/>
    <w:rsid w:val="00665706"/>
    <w:rsid w:val="0066702C"/>
    <w:rsid w:val="0066710B"/>
    <w:rsid w:val="006709DF"/>
    <w:rsid w:val="00671539"/>
    <w:rsid w:val="00671A5E"/>
    <w:rsid w:val="006744F7"/>
    <w:rsid w:val="00674B17"/>
    <w:rsid w:val="00676220"/>
    <w:rsid w:val="006877C1"/>
    <w:rsid w:val="00691FEC"/>
    <w:rsid w:val="00692129"/>
    <w:rsid w:val="00693A40"/>
    <w:rsid w:val="006940E6"/>
    <w:rsid w:val="006A105B"/>
    <w:rsid w:val="006A178B"/>
    <w:rsid w:val="006A1B0F"/>
    <w:rsid w:val="006A3B6F"/>
    <w:rsid w:val="006A4DE5"/>
    <w:rsid w:val="006A7E3F"/>
    <w:rsid w:val="006B0960"/>
    <w:rsid w:val="006B248D"/>
    <w:rsid w:val="006B349F"/>
    <w:rsid w:val="006B4026"/>
    <w:rsid w:val="006B5D15"/>
    <w:rsid w:val="006B65F8"/>
    <w:rsid w:val="006C08FC"/>
    <w:rsid w:val="006C0FC2"/>
    <w:rsid w:val="006C307A"/>
    <w:rsid w:val="006C55F9"/>
    <w:rsid w:val="006C5989"/>
    <w:rsid w:val="006C5E05"/>
    <w:rsid w:val="006C65F6"/>
    <w:rsid w:val="006D2864"/>
    <w:rsid w:val="006D3571"/>
    <w:rsid w:val="006D64F6"/>
    <w:rsid w:val="006D786A"/>
    <w:rsid w:val="006D7989"/>
    <w:rsid w:val="006E0C18"/>
    <w:rsid w:val="006E2428"/>
    <w:rsid w:val="006E248B"/>
    <w:rsid w:val="006E270E"/>
    <w:rsid w:val="006E3A98"/>
    <w:rsid w:val="006E4ABC"/>
    <w:rsid w:val="006E4B8A"/>
    <w:rsid w:val="006E4F53"/>
    <w:rsid w:val="006F06D7"/>
    <w:rsid w:val="006F2127"/>
    <w:rsid w:val="0070010E"/>
    <w:rsid w:val="00701410"/>
    <w:rsid w:val="0070306F"/>
    <w:rsid w:val="00704116"/>
    <w:rsid w:val="007048D7"/>
    <w:rsid w:val="00705640"/>
    <w:rsid w:val="007109E0"/>
    <w:rsid w:val="00710A0E"/>
    <w:rsid w:val="007115CE"/>
    <w:rsid w:val="0071182B"/>
    <w:rsid w:val="00711897"/>
    <w:rsid w:val="00711965"/>
    <w:rsid w:val="007137EC"/>
    <w:rsid w:val="00713D6F"/>
    <w:rsid w:val="00714D7D"/>
    <w:rsid w:val="00715EFE"/>
    <w:rsid w:val="007177DD"/>
    <w:rsid w:val="00717984"/>
    <w:rsid w:val="00720943"/>
    <w:rsid w:val="00722D0D"/>
    <w:rsid w:val="0073258D"/>
    <w:rsid w:val="00732803"/>
    <w:rsid w:val="00734718"/>
    <w:rsid w:val="007359C7"/>
    <w:rsid w:val="00736147"/>
    <w:rsid w:val="00736CB6"/>
    <w:rsid w:val="00741D98"/>
    <w:rsid w:val="00741DCB"/>
    <w:rsid w:val="00750B78"/>
    <w:rsid w:val="00750DC5"/>
    <w:rsid w:val="007530DE"/>
    <w:rsid w:val="007569D3"/>
    <w:rsid w:val="0076335A"/>
    <w:rsid w:val="00763B62"/>
    <w:rsid w:val="00765429"/>
    <w:rsid w:val="0077139C"/>
    <w:rsid w:val="00771C28"/>
    <w:rsid w:val="0077253F"/>
    <w:rsid w:val="00774F3C"/>
    <w:rsid w:val="007766D4"/>
    <w:rsid w:val="007834E1"/>
    <w:rsid w:val="007835A2"/>
    <w:rsid w:val="0078469C"/>
    <w:rsid w:val="00787126"/>
    <w:rsid w:val="00790B9D"/>
    <w:rsid w:val="007915DF"/>
    <w:rsid w:val="00793284"/>
    <w:rsid w:val="0079423F"/>
    <w:rsid w:val="00794398"/>
    <w:rsid w:val="007A18A8"/>
    <w:rsid w:val="007A2065"/>
    <w:rsid w:val="007A2CCB"/>
    <w:rsid w:val="007A4362"/>
    <w:rsid w:val="007A6EFA"/>
    <w:rsid w:val="007B01A7"/>
    <w:rsid w:val="007B0988"/>
    <w:rsid w:val="007B2796"/>
    <w:rsid w:val="007B3EBB"/>
    <w:rsid w:val="007B4703"/>
    <w:rsid w:val="007B4FF7"/>
    <w:rsid w:val="007B6026"/>
    <w:rsid w:val="007B6E2E"/>
    <w:rsid w:val="007C164D"/>
    <w:rsid w:val="007C1B44"/>
    <w:rsid w:val="007C33BE"/>
    <w:rsid w:val="007C3E20"/>
    <w:rsid w:val="007C40E4"/>
    <w:rsid w:val="007C5FA3"/>
    <w:rsid w:val="007C6906"/>
    <w:rsid w:val="007C72D2"/>
    <w:rsid w:val="007D3270"/>
    <w:rsid w:val="007E1CDB"/>
    <w:rsid w:val="007E2B48"/>
    <w:rsid w:val="007E3EC9"/>
    <w:rsid w:val="007E5CA0"/>
    <w:rsid w:val="007E63B0"/>
    <w:rsid w:val="007E6802"/>
    <w:rsid w:val="007E7164"/>
    <w:rsid w:val="007F0FD2"/>
    <w:rsid w:val="007F13E2"/>
    <w:rsid w:val="007F3214"/>
    <w:rsid w:val="007F3FAD"/>
    <w:rsid w:val="007F4A01"/>
    <w:rsid w:val="007F4D42"/>
    <w:rsid w:val="00801345"/>
    <w:rsid w:val="008013D2"/>
    <w:rsid w:val="008029FA"/>
    <w:rsid w:val="00802D2E"/>
    <w:rsid w:val="00803426"/>
    <w:rsid w:val="00804E16"/>
    <w:rsid w:val="0081033F"/>
    <w:rsid w:val="00811795"/>
    <w:rsid w:val="00812B2E"/>
    <w:rsid w:val="00812CF5"/>
    <w:rsid w:val="00812E25"/>
    <w:rsid w:val="00812FDA"/>
    <w:rsid w:val="00814892"/>
    <w:rsid w:val="008160A2"/>
    <w:rsid w:val="00817768"/>
    <w:rsid w:val="00821E89"/>
    <w:rsid w:val="0082240C"/>
    <w:rsid w:val="00822F67"/>
    <w:rsid w:val="00823266"/>
    <w:rsid w:val="00823C2F"/>
    <w:rsid w:val="008252A0"/>
    <w:rsid w:val="00826809"/>
    <w:rsid w:val="008277A4"/>
    <w:rsid w:val="008321EE"/>
    <w:rsid w:val="00833CCB"/>
    <w:rsid w:val="008347FD"/>
    <w:rsid w:val="00844588"/>
    <w:rsid w:val="00844C32"/>
    <w:rsid w:val="00846492"/>
    <w:rsid w:val="008506A9"/>
    <w:rsid w:val="008524B4"/>
    <w:rsid w:val="00853752"/>
    <w:rsid w:val="0085749D"/>
    <w:rsid w:val="00863A36"/>
    <w:rsid w:val="00866533"/>
    <w:rsid w:val="00866C0C"/>
    <w:rsid w:val="00867C1C"/>
    <w:rsid w:val="00871E52"/>
    <w:rsid w:val="00872B69"/>
    <w:rsid w:val="00872E55"/>
    <w:rsid w:val="00883402"/>
    <w:rsid w:val="00885047"/>
    <w:rsid w:val="00885DC3"/>
    <w:rsid w:val="00886A2A"/>
    <w:rsid w:val="00890120"/>
    <w:rsid w:val="008914DB"/>
    <w:rsid w:val="0089498B"/>
    <w:rsid w:val="00895121"/>
    <w:rsid w:val="00897D40"/>
    <w:rsid w:val="008A1C48"/>
    <w:rsid w:val="008A1C73"/>
    <w:rsid w:val="008A3E22"/>
    <w:rsid w:val="008A4794"/>
    <w:rsid w:val="008A5641"/>
    <w:rsid w:val="008A5CFE"/>
    <w:rsid w:val="008A6DDC"/>
    <w:rsid w:val="008B257E"/>
    <w:rsid w:val="008B4E46"/>
    <w:rsid w:val="008B5F04"/>
    <w:rsid w:val="008B778A"/>
    <w:rsid w:val="008B7AA6"/>
    <w:rsid w:val="008C3A14"/>
    <w:rsid w:val="008C42C3"/>
    <w:rsid w:val="008C4E96"/>
    <w:rsid w:val="008C5060"/>
    <w:rsid w:val="008C57A8"/>
    <w:rsid w:val="008C66FB"/>
    <w:rsid w:val="008C6FFB"/>
    <w:rsid w:val="008C7C1A"/>
    <w:rsid w:val="008D0996"/>
    <w:rsid w:val="008D1781"/>
    <w:rsid w:val="008D19FC"/>
    <w:rsid w:val="008D1F1B"/>
    <w:rsid w:val="008D38F6"/>
    <w:rsid w:val="008D39A5"/>
    <w:rsid w:val="008D3D6A"/>
    <w:rsid w:val="008D5C91"/>
    <w:rsid w:val="008D638B"/>
    <w:rsid w:val="008E1A28"/>
    <w:rsid w:val="008E3FFB"/>
    <w:rsid w:val="008E6934"/>
    <w:rsid w:val="008F13A2"/>
    <w:rsid w:val="008F3CE2"/>
    <w:rsid w:val="008F54A4"/>
    <w:rsid w:val="008F7197"/>
    <w:rsid w:val="00902E8F"/>
    <w:rsid w:val="009038E7"/>
    <w:rsid w:val="0090711E"/>
    <w:rsid w:val="00907FAD"/>
    <w:rsid w:val="009129D2"/>
    <w:rsid w:val="0091628D"/>
    <w:rsid w:val="009222B7"/>
    <w:rsid w:val="00923A82"/>
    <w:rsid w:val="009261F4"/>
    <w:rsid w:val="009279A2"/>
    <w:rsid w:val="0093051F"/>
    <w:rsid w:val="00930C98"/>
    <w:rsid w:val="00931C91"/>
    <w:rsid w:val="009329D7"/>
    <w:rsid w:val="00936A77"/>
    <w:rsid w:val="009378AD"/>
    <w:rsid w:val="00941C51"/>
    <w:rsid w:val="0094236C"/>
    <w:rsid w:val="00945364"/>
    <w:rsid w:val="00947697"/>
    <w:rsid w:val="00947C86"/>
    <w:rsid w:val="00950756"/>
    <w:rsid w:val="00955430"/>
    <w:rsid w:val="009556E5"/>
    <w:rsid w:val="009616C1"/>
    <w:rsid w:val="00962723"/>
    <w:rsid w:val="00962DBA"/>
    <w:rsid w:val="00963D4A"/>
    <w:rsid w:val="00966647"/>
    <w:rsid w:val="00967315"/>
    <w:rsid w:val="009705D4"/>
    <w:rsid w:val="00971AAF"/>
    <w:rsid w:val="00972D6E"/>
    <w:rsid w:val="00972D9B"/>
    <w:rsid w:val="00974AE7"/>
    <w:rsid w:val="00975102"/>
    <w:rsid w:val="009776B5"/>
    <w:rsid w:val="009810E1"/>
    <w:rsid w:val="00981F33"/>
    <w:rsid w:val="00983D79"/>
    <w:rsid w:val="00984782"/>
    <w:rsid w:val="00984C9F"/>
    <w:rsid w:val="009871A0"/>
    <w:rsid w:val="009910BE"/>
    <w:rsid w:val="00991D97"/>
    <w:rsid w:val="00997AD8"/>
    <w:rsid w:val="009A6E50"/>
    <w:rsid w:val="009A7F25"/>
    <w:rsid w:val="009B0335"/>
    <w:rsid w:val="009B114B"/>
    <w:rsid w:val="009B234C"/>
    <w:rsid w:val="009B23A6"/>
    <w:rsid w:val="009B2DF6"/>
    <w:rsid w:val="009B4568"/>
    <w:rsid w:val="009B4ACE"/>
    <w:rsid w:val="009B6772"/>
    <w:rsid w:val="009C0D9A"/>
    <w:rsid w:val="009C3133"/>
    <w:rsid w:val="009C37F7"/>
    <w:rsid w:val="009C610F"/>
    <w:rsid w:val="009C7790"/>
    <w:rsid w:val="009D0441"/>
    <w:rsid w:val="009D3687"/>
    <w:rsid w:val="009D6A85"/>
    <w:rsid w:val="009E44BD"/>
    <w:rsid w:val="009E4B23"/>
    <w:rsid w:val="009E52F4"/>
    <w:rsid w:val="009F30EB"/>
    <w:rsid w:val="009F4EAC"/>
    <w:rsid w:val="009F66D6"/>
    <w:rsid w:val="00A0093F"/>
    <w:rsid w:val="00A017CF"/>
    <w:rsid w:val="00A022DC"/>
    <w:rsid w:val="00A03228"/>
    <w:rsid w:val="00A064D1"/>
    <w:rsid w:val="00A1120D"/>
    <w:rsid w:val="00A12003"/>
    <w:rsid w:val="00A12260"/>
    <w:rsid w:val="00A15242"/>
    <w:rsid w:val="00A15268"/>
    <w:rsid w:val="00A16599"/>
    <w:rsid w:val="00A20BB0"/>
    <w:rsid w:val="00A21709"/>
    <w:rsid w:val="00A22F18"/>
    <w:rsid w:val="00A23F04"/>
    <w:rsid w:val="00A27082"/>
    <w:rsid w:val="00A27F3C"/>
    <w:rsid w:val="00A308FD"/>
    <w:rsid w:val="00A30AF4"/>
    <w:rsid w:val="00A30CDA"/>
    <w:rsid w:val="00A3157D"/>
    <w:rsid w:val="00A317D5"/>
    <w:rsid w:val="00A317E2"/>
    <w:rsid w:val="00A322E4"/>
    <w:rsid w:val="00A33C14"/>
    <w:rsid w:val="00A37ACB"/>
    <w:rsid w:val="00A50016"/>
    <w:rsid w:val="00A5197A"/>
    <w:rsid w:val="00A519F8"/>
    <w:rsid w:val="00A51FD5"/>
    <w:rsid w:val="00A52315"/>
    <w:rsid w:val="00A52B60"/>
    <w:rsid w:val="00A544E4"/>
    <w:rsid w:val="00A568E7"/>
    <w:rsid w:val="00A57347"/>
    <w:rsid w:val="00A573FE"/>
    <w:rsid w:val="00A603DA"/>
    <w:rsid w:val="00A60DF8"/>
    <w:rsid w:val="00A63D3B"/>
    <w:rsid w:val="00A6462A"/>
    <w:rsid w:val="00A663DA"/>
    <w:rsid w:val="00A70E87"/>
    <w:rsid w:val="00A71FDE"/>
    <w:rsid w:val="00A7578C"/>
    <w:rsid w:val="00A76099"/>
    <w:rsid w:val="00A76F5F"/>
    <w:rsid w:val="00A81134"/>
    <w:rsid w:val="00A832AF"/>
    <w:rsid w:val="00A855BE"/>
    <w:rsid w:val="00A87B0E"/>
    <w:rsid w:val="00A90533"/>
    <w:rsid w:val="00A91C88"/>
    <w:rsid w:val="00A924D2"/>
    <w:rsid w:val="00A94563"/>
    <w:rsid w:val="00AA0A53"/>
    <w:rsid w:val="00AA0E5E"/>
    <w:rsid w:val="00AA10D0"/>
    <w:rsid w:val="00AA127B"/>
    <w:rsid w:val="00AA17FB"/>
    <w:rsid w:val="00AA32C7"/>
    <w:rsid w:val="00AA55B9"/>
    <w:rsid w:val="00AA59D6"/>
    <w:rsid w:val="00AB161B"/>
    <w:rsid w:val="00AB1BAF"/>
    <w:rsid w:val="00AB4009"/>
    <w:rsid w:val="00AB4650"/>
    <w:rsid w:val="00AC0732"/>
    <w:rsid w:val="00AC1088"/>
    <w:rsid w:val="00AC2027"/>
    <w:rsid w:val="00AC3CAD"/>
    <w:rsid w:val="00AC5757"/>
    <w:rsid w:val="00AC5F31"/>
    <w:rsid w:val="00AC635C"/>
    <w:rsid w:val="00AC6CA0"/>
    <w:rsid w:val="00AD0472"/>
    <w:rsid w:val="00AD3672"/>
    <w:rsid w:val="00AD6521"/>
    <w:rsid w:val="00AE311D"/>
    <w:rsid w:val="00AE39FB"/>
    <w:rsid w:val="00AE53BB"/>
    <w:rsid w:val="00AF232C"/>
    <w:rsid w:val="00B01190"/>
    <w:rsid w:val="00B02A22"/>
    <w:rsid w:val="00B03D5E"/>
    <w:rsid w:val="00B04B47"/>
    <w:rsid w:val="00B06115"/>
    <w:rsid w:val="00B068AD"/>
    <w:rsid w:val="00B06999"/>
    <w:rsid w:val="00B11AA6"/>
    <w:rsid w:val="00B14D15"/>
    <w:rsid w:val="00B16698"/>
    <w:rsid w:val="00B169E7"/>
    <w:rsid w:val="00B17C63"/>
    <w:rsid w:val="00B17E3F"/>
    <w:rsid w:val="00B17E4E"/>
    <w:rsid w:val="00B202FF"/>
    <w:rsid w:val="00B205F8"/>
    <w:rsid w:val="00B20FA2"/>
    <w:rsid w:val="00B21E85"/>
    <w:rsid w:val="00B26C31"/>
    <w:rsid w:val="00B304E0"/>
    <w:rsid w:val="00B3110F"/>
    <w:rsid w:val="00B32BC3"/>
    <w:rsid w:val="00B35825"/>
    <w:rsid w:val="00B412E5"/>
    <w:rsid w:val="00B41F9D"/>
    <w:rsid w:val="00B42094"/>
    <w:rsid w:val="00B43D88"/>
    <w:rsid w:val="00B44EBC"/>
    <w:rsid w:val="00B44F32"/>
    <w:rsid w:val="00B46458"/>
    <w:rsid w:val="00B4705B"/>
    <w:rsid w:val="00B558ED"/>
    <w:rsid w:val="00B6025B"/>
    <w:rsid w:val="00B61360"/>
    <w:rsid w:val="00B67452"/>
    <w:rsid w:val="00B70978"/>
    <w:rsid w:val="00B715C7"/>
    <w:rsid w:val="00B719FF"/>
    <w:rsid w:val="00B72197"/>
    <w:rsid w:val="00B7344C"/>
    <w:rsid w:val="00B7475E"/>
    <w:rsid w:val="00B74C87"/>
    <w:rsid w:val="00B83106"/>
    <w:rsid w:val="00B8495E"/>
    <w:rsid w:val="00B867A0"/>
    <w:rsid w:val="00B9141B"/>
    <w:rsid w:val="00B91467"/>
    <w:rsid w:val="00B91DD6"/>
    <w:rsid w:val="00B91E16"/>
    <w:rsid w:val="00B94A35"/>
    <w:rsid w:val="00B9770B"/>
    <w:rsid w:val="00B97864"/>
    <w:rsid w:val="00BA1180"/>
    <w:rsid w:val="00BA1ADC"/>
    <w:rsid w:val="00BA2A41"/>
    <w:rsid w:val="00BB1C9F"/>
    <w:rsid w:val="00BB1E4B"/>
    <w:rsid w:val="00BB335F"/>
    <w:rsid w:val="00BB44A1"/>
    <w:rsid w:val="00BB5C76"/>
    <w:rsid w:val="00BC56A8"/>
    <w:rsid w:val="00BC5860"/>
    <w:rsid w:val="00BC6DFD"/>
    <w:rsid w:val="00BD1B75"/>
    <w:rsid w:val="00BD1B9B"/>
    <w:rsid w:val="00BD308F"/>
    <w:rsid w:val="00BD43ED"/>
    <w:rsid w:val="00BD5A6D"/>
    <w:rsid w:val="00BD68CF"/>
    <w:rsid w:val="00BD6B5D"/>
    <w:rsid w:val="00BD761C"/>
    <w:rsid w:val="00BE20EE"/>
    <w:rsid w:val="00BE2D39"/>
    <w:rsid w:val="00BE325F"/>
    <w:rsid w:val="00BE43C8"/>
    <w:rsid w:val="00BE4525"/>
    <w:rsid w:val="00BE610D"/>
    <w:rsid w:val="00BE7423"/>
    <w:rsid w:val="00BE76E9"/>
    <w:rsid w:val="00BF0236"/>
    <w:rsid w:val="00BF1DA3"/>
    <w:rsid w:val="00BF2098"/>
    <w:rsid w:val="00BF5B7A"/>
    <w:rsid w:val="00BF6192"/>
    <w:rsid w:val="00C0024F"/>
    <w:rsid w:val="00C061D2"/>
    <w:rsid w:val="00C0631F"/>
    <w:rsid w:val="00C122DF"/>
    <w:rsid w:val="00C13131"/>
    <w:rsid w:val="00C14990"/>
    <w:rsid w:val="00C15FC8"/>
    <w:rsid w:val="00C16AC4"/>
    <w:rsid w:val="00C1724F"/>
    <w:rsid w:val="00C17C36"/>
    <w:rsid w:val="00C21456"/>
    <w:rsid w:val="00C23A89"/>
    <w:rsid w:val="00C246B1"/>
    <w:rsid w:val="00C248B1"/>
    <w:rsid w:val="00C31007"/>
    <w:rsid w:val="00C3577A"/>
    <w:rsid w:val="00C35C16"/>
    <w:rsid w:val="00C36278"/>
    <w:rsid w:val="00C37525"/>
    <w:rsid w:val="00C43F21"/>
    <w:rsid w:val="00C46252"/>
    <w:rsid w:val="00C46D79"/>
    <w:rsid w:val="00C506E9"/>
    <w:rsid w:val="00C53CA3"/>
    <w:rsid w:val="00C5607B"/>
    <w:rsid w:val="00C60957"/>
    <w:rsid w:val="00C62A57"/>
    <w:rsid w:val="00C6456B"/>
    <w:rsid w:val="00C653BE"/>
    <w:rsid w:val="00C66523"/>
    <w:rsid w:val="00C66C83"/>
    <w:rsid w:val="00C677B0"/>
    <w:rsid w:val="00C710F3"/>
    <w:rsid w:val="00C73756"/>
    <w:rsid w:val="00C73E1C"/>
    <w:rsid w:val="00C775A6"/>
    <w:rsid w:val="00C777CD"/>
    <w:rsid w:val="00C82A4B"/>
    <w:rsid w:val="00C83321"/>
    <w:rsid w:val="00C8403D"/>
    <w:rsid w:val="00C84DE7"/>
    <w:rsid w:val="00C8514B"/>
    <w:rsid w:val="00C87154"/>
    <w:rsid w:val="00C8761A"/>
    <w:rsid w:val="00C9033B"/>
    <w:rsid w:val="00C926E4"/>
    <w:rsid w:val="00C92FCE"/>
    <w:rsid w:val="00C95C74"/>
    <w:rsid w:val="00C95D57"/>
    <w:rsid w:val="00C97519"/>
    <w:rsid w:val="00CA009A"/>
    <w:rsid w:val="00CA0B83"/>
    <w:rsid w:val="00CA1CA7"/>
    <w:rsid w:val="00CA1E27"/>
    <w:rsid w:val="00CA23D6"/>
    <w:rsid w:val="00CA36F8"/>
    <w:rsid w:val="00CA3A60"/>
    <w:rsid w:val="00CA443A"/>
    <w:rsid w:val="00CA6E59"/>
    <w:rsid w:val="00CA6ED1"/>
    <w:rsid w:val="00CA7B9C"/>
    <w:rsid w:val="00CB02E1"/>
    <w:rsid w:val="00CB1089"/>
    <w:rsid w:val="00CB1D40"/>
    <w:rsid w:val="00CB26E1"/>
    <w:rsid w:val="00CB2AFA"/>
    <w:rsid w:val="00CB355A"/>
    <w:rsid w:val="00CB4B1A"/>
    <w:rsid w:val="00CB4E79"/>
    <w:rsid w:val="00CC53FD"/>
    <w:rsid w:val="00CC5FD1"/>
    <w:rsid w:val="00CD2901"/>
    <w:rsid w:val="00CD67BA"/>
    <w:rsid w:val="00CE025F"/>
    <w:rsid w:val="00CE0E23"/>
    <w:rsid w:val="00CE1A43"/>
    <w:rsid w:val="00CE1EDB"/>
    <w:rsid w:val="00CE2B7B"/>
    <w:rsid w:val="00CE50CA"/>
    <w:rsid w:val="00CE6238"/>
    <w:rsid w:val="00CE65E0"/>
    <w:rsid w:val="00CF1190"/>
    <w:rsid w:val="00CF3121"/>
    <w:rsid w:val="00CF3906"/>
    <w:rsid w:val="00CF5235"/>
    <w:rsid w:val="00CF696D"/>
    <w:rsid w:val="00CF7888"/>
    <w:rsid w:val="00CF78E4"/>
    <w:rsid w:val="00D02217"/>
    <w:rsid w:val="00D030B3"/>
    <w:rsid w:val="00D03127"/>
    <w:rsid w:val="00D07796"/>
    <w:rsid w:val="00D078AA"/>
    <w:rsid w:val="00D10337"/>
    <w:rsid w:val="00D119FE"/>
    <w:rsid w:val="00D122F4"/>
    <w:rsid w:val="00D149C8"/>
    <w:rsid w:val="00D14B1B"/>
    <w:rsid w:val="00D17F00"/>
    <w:rsid w:val="00D20236"/>
    <w:rsid w:val="00D20556"/>
    <w:rsid w:val="00D218B9"/>
    <w:rsid w:val="00D21C6F"/>
    <w:rsid w:val="00D24CA0"/>
    <w:rsid w:val="00D2518D"/>
    <w:rsid w:val="00D25C21"/>
    <w:rsid w:val="00D27892"/>
    <w:rsid w:val="00D302D7"/>
    <w:rsid w:val="00D318DA"/>
    <w:rsid w:val="00D319C5"/>
    <w:rsid w:val="00D333C7"/>
    <w:rsid w:val="00D33B31"/>
    <w:rsid w:val="00D3654E"/>
    <w:rsid w:val="00D36D50"/>
    <w:rsid w:val="00D371C7"/>
    <w:rsid w:val="00D37EE8"/>
    <w:rsid w:val="00D40E5D"/>
    <w:rsid w:val="00D421AE"/>
    <w:rsid w:val="00D427A9"/>
    <w:rsid w:val="00D42963"/>
    <w:rsid w:val="00D43B2D"/>
    <w:rsid w:val="00D457A8"/>
    <w:rsid w:val="00D45C08"/>
    <w:rsid w:val="00D469AA"/>
    <w:rsid w:val="00D46E6E"/>
    <w:rsid w:val="00D47BED"/>
    <w:rsid w:val="00D5106A"/>
    <w:rsid w:val="00D518A0"/>
    <w:rsid w:val="00D55E8C"/>
    <w:rsid w:val="00D565E0"/>
    <w:rsid w:val="00D56AAA"/>
    <w:rsid w:val="00D60443"/>
    <w:rsid w:val="00D6201D"/>
    <w:rsid w:val="00D62F9E"/>
    <w:rsid w:val="00D6754B"/>
    <w:rsid w:val="00D70F72"/>
    <w:rsid w:val="00D715BA"/>
    <w:rsid w:val="00D74933"/>
    <w:rsid w:val="00D74B3D"/>
    <w:rsid w:val="00D75E3D"/>
    <w:rsid w:val="00D75F69"/>
    <w:rsid w:val="00D82772"/>
    <w:rsid w:val="00D841B8"/>
    <w:rsid w:val="00D84F5B"/>
    <w:rsid w:val="00D854E5"/>
    <w:rsid w:val="00D85A24"/>
    <w:rsid w:val="00D90A40"/>
    <w:rsid w:val="00D90BC7"/>
    <w:rsid w:val="00D90EB1"/>
    <w:rsid w:val="00D90EDB"/>
    <w:rsid w:val="00D90FC5"/>
    <w:rsid w:val="00D9278C"/>
    <w:rsid w:val="00D95356"/>
    <w:rsid w:val="00D971CF"/>
    <w:rsid w:val="00DA0CD9"/>
    <w:rsid w:val="00DA249C"/>
    <w:rsid w:val="00DA4DF5"/>
    <w:rsid w:val="00DA6A67"/>
    <w:rsid w:val="00DA76C8"/>
    <w:rsid w:val="00DB12DB"/>
    <w:rsid w:val="00DB198A"/>
    <w:rsid w:val="00DB2B87"/>
    <w:rsid w:val="00DB3924"/>
    <w:rsid w:val="00DB3A2C"/>
    <w:rsid w:val="00DB4959"/>
    <w:rsid w:val="00DB4E9A"/>
    <w:rsid w:val="00DB4F05"/>
    <w:rsid w:val="00DB50D7"/>
    <w:rsid w:val="00DB5287"/>
    <w:rsid w:val="00DB5474"/>
    <w:rsid w:val="00DC0468"/>
    <w:rsid w:val="00DC08D0"/>
    <w:rsid w:val="00DC18FF"/>
    <w:rsid w:val="00DC1AE0"/>
    <w:rsid w:val="00DC2BF2"/>
    <w:rsid w:val="00DC3E2F"/>
    <w:rsid w:val="00DC4123"/>
    <w:rsid w:val="00DC4B07"/>
    <w:rsid w:val="00DC4E00"/>
    <w:rsid w:val="00DC5069"/>
    <w:rsid w:val="00DC6C46"/>
    <w:rsid w:val="00DD3146"/>
    <w:rsid w:val="00DD690C"/>
    <w:rsid w:val="00DD7A93"/>
    <w:rsid w:val="00DE04C8"/>
    <w:rsid w:val="00DE18B5"/>
    <w:rsid w:val="00DE2895"/>
    <w:rsid w:val="00DE5A78"/>
    <w:rsid w:val="00DE5CEB"/>
    <w:rsid w:val="00DE6DF4"/>
    <w:rsid w:val="00DF0A97"/>
    <w:rsid w:val="00DF2C48"/>
    <w:rsid w:val="00DF4E5A"/>
    <w:rsid w:val="00DF4EB4"/>
    <w:rsid w:val="00DF6AEF"/>
    <w:rsid w:val="00DF7DCA"/>
    <w:rsid w:val="00DF7E0F"/>
    <w:rsid w:val="00E00F87"/>
    <w:rsid w:val="00E01F05"/>
    <w:rsid w:val="00E0212C"/>
    <w:rsid w:val="00E058C4"/>
    <w:rsid w:val="00E103DD"/>
    <w:rsid w:val="00E125AB"/>
    <w:rsid w:val="00E12DA0"/>
    <w:rsid w:val="00E15D3A"/>
    <w:rsid w:val="00E16DAC"/>
    <w:rsid w:val="00E177F0"/>
    <w:rsid w:val="00E20E53"/>
    <w:rsid w:val="00E2228C"/>
    <w:rsid w:val="00E229CB"/>
    <w:rsid w:val="00E237B7"/>
    <w:rsid w:val="00E24E3C"/>
    <w:rsid w:val="00E25C93"/>
    <w:rsid w:val="00E25EE3"/>
    <w:rsid w:val="00E2769C"/>
    <w:rsid w:val="00E27ABE"/>
    <w:rsid w:val="00E303BB"/>
    <w:rsid w:val="00E30826"/>
    <w:rsid w:val="00E3315D"/>
    <w:rsid w:val="00E35858"/>
    <w:rsid w:val="00E3706C"/>
    <w:rsid w:val="00E37DC6"/>
    <w:rsid w:val="00E37EF4"/>
    <w:rsid w:val="00E4077C"/>
    <w:rsid w:val="00E4160C"/>
    <w:rsid w:val="00E4590A"/>
    <w:rsid w:val="00E45CEA"/>
    <w:rsid w:val="00E513EE"/>
    <w:rsid w:val="00E53440"/>
    <w:rsid w:val="00E53878"/>
    <w:rsid w:val="00E55A55"/>
    <w:rsid w:val="00E56807"/>
    <w:rsid w:val="00E617F8"/>
    <w:rsid w:val="00E62FD9"/>
    <w:rsid w:val="00E63D8D"/>
    <w:rsid w:val="00E65E6F"/>
    <w:rsid w:val="00E66D1D"/>
    <w:rsid w:val="00E7344D"/>
    <w:rsid w:val="00E75BFF"/>
    <w:rsid w:val="00E760CF"/>
    <w:rsid w:val="00E764C3"/>
    <w:rsid w:val="00E77C4D"/>
    <w:rsid w:val="00E8358A"/>
    <w:rsid w:val="00E844D2"/>
    <w:rsid w:val="00E87320"/>
    <w:rsid w:val="00E90F7B"/>
    <w:rsid w:val="00E92613"/>
    <w:rsid w:val="00E92C70"/>
    <w:rsid w:val="00E93BEE"/>
    <w:rsid w:val="00E969C1"/>
    <w:rsid w:val="00E96FA1"/>
    <w:rsid w:val="00EA2814"/>
    <w:rsid w:val="00EA3551"/>
    <w:rsid w:val="00EA3D9B"/>
    <w:rsid w:val="00EB36A6"/>
    <w:rsid w:val="00EB58F2"/>
    <w:rsid w:val="00EC0E31"/>
    <w:rsid w:val="00EC1079"/>
    <w:rsid w:val="00EC656F"/>
    <w:rsid w:val="00EC755F"/>
    <w:rsid w:val="00EC7B67"/>
    <w:rsid w:val="00ED039B"/>
    <w:rsid w:val="00ED09F2"/>
    <w:rsid w:val="00ED11F0"/>
    <w:rsid w:val="00ED3845"/>
    <w:rsid w:val="00EE0C9D"/>
    <w:rsid w:val="00EE109E"/>
    <w:rsid w:val="00EE1F2E"/>
    <w:rsid w:val="00EE2665"/>
    <w:rsid w:val="00EE429E"/>
    <w:rsid w:val="00EE43D6"/>
    <w:rsid w:val="00EF01DA"/>
    <w:rsid w:val="00EF1C21"/>
    <w:rsid w:val="00EF29FB"/>
    <w:rsid w:val="00EF44A0"/>
    <w:rsid w:val="00EF5993"/>
    <w:rsid w:val="00EF7041"/>
    <w:rsid w:val="00EF70B5"/>
    <w:rsid w:val="00EF79D9"/>
    <w:rsid w:val="00F0118D"/>
    <w:rsid w:val="00F01329"/>
    <w:rsid w:val="00F02273"/>
    <w:rsid w:val="00F04A2D"/>
    <w:rsid w:val="00F1042E"/>
    <w:rsid w:val="00F12A15"/>
    <w:rsid w:val="00F12E04"/>
    <w:rsid w:val="00F138D9"/>
    <w:rsid w:val="00F1479F"/>
    <w:rsid w:val="00F16273"/>
    <w:rsid w:val="00F17BB5"/>
    <w:rsid w:val="00F17D45"/>
    <w:rsid w:val="00F20620"/>
    <w:rsid w:val="00F21455"/>
    <w:rsid w:val="00F22145"/>
    <w:rsid w:val="00F224CB"/>
    <w:rsid w:val="00F22559"/>
    <w:rsid w:val="00F23E66"/>
    <w:rsid w:val="00F277A0"/>
    <w:rsid w:val="00F31392"/>
    <w:rsid w:val="00F34A14"/>
    <w:rsid w:val="00F34BED"/>
    <w:rsid w:val="00F3650D"/>
    <w:rsid w:val="00F37CBA"/>
    <w:rsid w:val="00F4004A"/>
    <w:rsid w:val="00F426A0"/>
    <w:rsid w:val="00F43D2F"/>
    <w:rsid w:val="00F44A55"/>
    <w:rsid w:val="00F529F5"/>
    <w:rsid w:val="00F5599A"/>
    <w:rsid w:val="00F5661D"/>
    <w:rsid w:val="00F60D2A"/>
    <w:rsid w:val="00F61609"/>
    <w:rsid w:val="00F64610"/>
    <w:rsid w:val="00F64D05"/>
    <w:rsid w:val="00F65E9B"/>
    <w:rsid w:val="00F6728E"/>
    <w:rsid w:val="00F70070"/>
    <w:rsid w:val="00F71FA9"/>
    <w:rsid w:val="00F72CE7"/>
    <w:rsid w:val="00F73844"/>
    <w:rsid w:val="00F74EC1"/>
    <w:rsid w:val="00F75218"/>
    <w:rsid w:val="00F8108D"/>
    <w:rsid w:val="00F82241"/>
    <w:rsid w:val="00F834D4"/>
    <w:rsid w:val="00F843F4"/>
    <w:rsid w:val="00F856F3"/>
    <w:rsid w:val="00F8584E"/>
    <w:rsid w:val="00F85A42"/>
    <w:rsid w:val="00F8620F"/>
    <w:rsid w:val="00F90039"/>
    <w:rsid w:val="00F90B53"/>
    <w:rsid w:val="00F91807"/>
    <w:rsid w:val="00F95EF7"/>
    <w:rsid w:val="00F974ED"/>
    <w:rsid w:val="00F97B3D"/>
    <w:rsid w:val="00FA1206"/>
    <w:rsid w:val="00FA2C6E"/>
    <w:rsid w:val="00FB0097"/>
    <w:rsid w:val="00FB156A"/>
    <w:rsid w:val="00FB1784"/>
    <w:rsid w:val="00FB776F"/>
    <w:rsid w:val="00FC08DE"/>
    <w:rsid w:val="00FC1C42"/>
    <w:rsid w:val="00FC25C1"/>
    <w:rsid w:val="00FC29C3"/>
    <w:rsid w:val="00FC5768"/>
    <w:rsid w:val="00FC698B"/>
    <w:rsid w:val="00FD1619"/>
    <w:rsid w:val="00FD3784"/>
    <w:rsid w:val="00FD3B16"/>
    <w:rsid w:val="00FD46E7"/>
    <w:rsid w:val="00FD7851"/>
    <w:rsid w:val="00FE20ED"/>
    <w:rsid w:val="00FE7900"/>
    <w:rsid w:val="00FF0DA2"/>
    <w:rsid w:val="00FF1DA3"/>
    <w:rsid w:val="00FF2113"/>
    <w:rsid w:val="00FF43CF"/>
    <w:rsid w:val="00FF45BC"/>
    <w:rsid w:val="00FF4CE1"/>
    <w:rsid w:val="00FF5BAA"/>
    <w:rsid w:val="00FF611D"/>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8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vertAlign w:val="superscript"/>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FA"/>
    <w:rPr>
      <w:vertAlign w:val="baseline"/>
      <w:lang w:val="en-GB" w:eastAsia="en-GB"/>
    </w:rPr>
  </w:style>
  <w:style w:type="paragraph" w:styleId="Heading1">
    <w:name w:val="heading 1"/>
    <w:basedOn w:val="Heading4"/>
    <w:next w:val="Normal"/>
    <w:link w:val="Heading1Char"/>
    <w:uiPriority w:val="9"/>
    <w:qFormat/>
    <w:rsid w:val="003A4051"/>
    <w:pPr>
      <w:ind w:left="720" w:hanging="720"/>
      <w:outlineLvl w:val="0"/>
    </w:pPr>
    <w:rPr>
      <w:i/>
    </w:rPr>
  </w:style>
  <w:style w:type="paragraph" w:styleId="Heading2">
    <w:name w:val="heading 2"/>
    <w:basedOn w:val="Normal"/>
    <w:next w:val="Normal"/>
    <w:link w:val="Heading2Char"/>
    <w:uiPriority w:val="9"/>
    <w:unhideWhenUsed/>
    <w:qFormat/>
    <w:rsid w:val="009871A0"/>
    <w:pPr>
      <w:keepNext/>
      <w:widowControl w:val="0"/>
      <w:spacing w:line="480" w:lineRule="auto"/>
      <w:jc w:val="both"/>
      <w:outlineLvl w:val="1"/>
    </w:pPr>
    <w:rPr>
      <w:b/>
      <w:sz w:val="28"/>
    </w:rPr>
  </w:style>
  <w:style w:type="paragraph" w:styleId="Heading3">
    <w:name w:val="heading 3"/>
    <w:basedOn w:val="Heading2"/>
    <w:next w:val="Normal"/>
    <w:link w:val="Heading3Char"/>
    <w:uiPriority w:val="9"/>
    <w:unhideWhenUsed/>
    <w:qFormat/>
    <w:rsid w:val="002C1856"/>
    <w:pPr>
      <w:outlineLvl w:val="2"/>
    </w:pPr>
    <w:rPr>
      <w:b w:val="0"/>
      <w:i/>
    </w:rPr>
  </w:style>
  <w:style w:type="paragraph" w:styleId="Heading4">
    <w:name w:val="heading 4"/>
    <w:basedOn w:val="Normal"/>
    <w:next w:val="Normal"/>
    <w:link w:val="Heading4Char"/>
    <w:uiPriority w:val="9"/>
    <w:unhideWhenUsed/>
    <w:qFormat/>
    <w:rsid w:val="0029303F"/>
    <w:pPr>
      <w:spacing w:line="480" w:lineRule="auto"/>
      <w:jc w:val="both"/>
      <w:outlineLvl w:val="3"/>
    </w:pPr>
    <w:rPr>
      <w:sz w:val="28"/>
    </w:rPr>
  </w:style>
  <w:style w:type="paragraph" w:styleId="Heading5">
    <w:name w:val="heading 5"/>
    <w:basedOn w:val="Normal"/>
    <w:next w:val="Normal"/>
    <w:link w:val="Heading5Char"/>
    <w:uiPriority w:val="9"/>
    <w:unhideWhenUsed/>
    <w:qFormat/>
    <w:rsid w:val="006A178B"/>
    <w:pPr>
      <w:keepNext/>
      <w:keepLines/>
      <w:spacing w:before="40"/>
      <w:outlineLvl w:val="4"/>
    </w:pPr>
    <w:rPr>
      <w:rFonts w:asciiTheme="majorHAnsi" w:eastAsiaTheme="majorEastAsia" w:hAnsiTheme="majorHAnsi" w:cstheme="majorBidi"/>
      <w:color w:val="2E74B5" w:themeColor="accent1" w:themeShade="BF"/>
      <w:lang w:val="en-US" w:eastAsia="en-US"/>
    </w:rPr>
  </w:style>
  <w:style w:type="paragraph" w:styleId="Heading6">
    <w:name w:val="heading 6"/>
    <w:basedOn w:val="Normal"/>
    <w:next w:val="Normal"/>
    <w:link w:val="Heading6Char"/>
    <w:uiPriority w:val="9"/>
    <w:unhideWhenUsed/>
    <w:qFormat/>
    <w:rsid w:val="000308C1"/>
    <w:pPr>
      <w:keepNext/>
      <w:keepLines/>
      <w:spacing w:before="40"/>
      <w:outlineLvl w:val="5"/>
    </w:pPr>
    <w:rPr>
      <w:rFonts w:asciiTheme="majorHAnsi" w:eastAsiaTheme="majorEastAsia" w:hAnsiTheme="majorHAnsi" w:cstheme="majorBidi"/>
      <w:color w:val="1F4D78"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0887"/>
    <w:pPr>
      <w:tabs>
        <w:tab w:val="center" w:pos="4513"/>
        <w:tab w:val="right" w:pos="9026"/>
      </w:tabs>
    </w:pPr>
    <w:rPr>
      <w:rFonts w:asciiTheme="minorHAnsi" w:hAnsiTheme="minorHAnsi"/>
      <w:lang w:val="en-US" w:eastAsia="en-US"/>
    </w:rPr>
  </w:style>
  <w:style w:type="character" w:customStyle="1" w:styleId="FooterChar">
    <w:name w:val="Footer Char"/>
    <w:basedOn w:val="DefaultParagraphFont"/>
    <w:link w:val="Footer"/>
    <w:uiPriority w:val="99"/>
    <w:rsid w:val="00040887"/>
    <w:rPr>
      <w:rFonts w:asciiTheme="minorHAnsi" w:hAnsiTheme="minorHAnsi"/>
      <w:vertAlign w:val="baseline"/>
    </w:rPr>
  </w:style>
  <w:style w:type="character" w:styleId="PageNumber">
    <w:name w:val="page number"/>
    <w:basedOn w:val="DefaultParagraphFont"/>
    <w:uiPriority w:val="99"/>
    <w:semiHidden/>
    <w:unhideWhenUsed/>
    <w:rsid w:val="00040887"/>
  </w:style>
  <w:style w:type="paragraph" w:styleId="Header">
    <w:name w:val="header"/>
    <w:basedOn w:val="Normal"/>
    <w:link w:val="HeaderChar"/>
    <w:uiPriority w:val="99"/>
    <w:unhideWhenUsed/>
    <w:rsid w:val="00040887"/>
    <w:pPr>
      <w:tabs>
        <w:tab w:val="center" w:pos="4513"/>
        <w:tab w:val="right" w:pos="9026"/>
      </w:tabs>
    </w:pPr>
    <w:rPr>
      <w:rFonts w:asciiTheme="minorHAnsi" w:hAnsiTheme="minorHAnsi"/>
      <w:lang w:val="en-US" w:eastAsia="en-US"/>
    </w:rPr>
  </w:style>
  <w:style w:type="character" w:customStyle="1" w:styleId="HeaderChar">
    <w:name w:val="Header Char"/>
    <w:basedOn w:val="DefaultParagraphFont"/>
    <w:link w:val="Header"/>
    <w:uiPriority w:val="99"/>
    <w:rsid w:val="00040887"/>
    <w:rPr>
      <w:rFonts w:asciiTheme="minorHAnsi" w:hAnsiTheme="minorHAnsi"/>
      <w:vertAlign w:val="baseline"/>
    </w:rPr>
  </w:style>
  <w:style w:type="paragraph" w:styleId="FootnoteText">
    <w:name w:val="footnote text"/>
    <w:basedOn w:val="Style1"/>
    <w:link w:val="FootnoteTextChar"/>
    <w:uiPriority w:val="99"/>
    <w:unhideWhenUsed/>
    <w:rsid w:val="00014B08"/>
  </w:style>
  <w:style w:type="character" w:customStyle="1" w:styleId="FootnoteTextChar">
    <w:name w:val="Footnote Text Char"/>
    <w:basedOn w:val="DefaultParagraphFont"/>
    <w:link w:val="FootnoteText"/>
    <w:uiPriority w:val="99"/>
    <w:rsid w:val="00014B08"/>
    <w:rPr>
      <w:sz w:val="20"/>
      <w:szCs w:val="20"/>
      <w:vertAlign w:val="baseline"/>
    </w:rPr>
  </w:style>
  <w:style w:type="character" w:styleId="FootnoteReference">
    <w:name w:val="footnote reference"/>
    <w:basedOn w:val="DefaultParagraphFont"/>
    <w:uiPriority w:val="99"/>
    <w:unhideWhenUsed/>
    <w:rsid w:val="00F02273"/>
    <w:rPr>
      <w:vertAlign w:val="superscript"/>
    </w:rPr>
  </w:style>
  <w:style w:type="paragraph" w:customStyle="1" w:styleId="Style2">
    <w:name w:val="Style2"/>
    <w:basedOn w:val="Style1"/>
    <w:autoRedefine/>
    <w:qFormat/>
    <w:rsid w:val="00155042"/>
  </w:style>
  <w:style w:type="paragraph" w:customStyle="1" w:styleId="Style1">
    <w:name w:val="Style1"/>
    <w:basedOn w:val="Normal"/>
    <w:link w:val="Style1Char"/>
    <w:qFormat/>
    <w:rsid w:val="00155042"/>
    <w:pPr>
      <w:jc w:val="both"/>
    </w:pPr>
    <w:rPr>
      <w:sz w:val="20"/>
      <w:szCs w:val="20"/>
      <w:lang w:val="en-US" w:eastAsia="en-US"/>
    </w:rPr>
  </w:style>
  <w:style w:type="character" w:customStyle="1" w:styleId="Style1Char">
    <w:name w:val="Style1 Char"/>
    <w:basedOn w:val="DefaultParagraphFont"/>
    <w:link w:val="Style1"/>
    <w:rsid w:val="00155042"/>
    <w:rPr>
      <w:sz w:val="20"/>
      <w:szCs w:val="20"/>
      <w:vertAlign w:val="baseline"/>
    </w:rPr>
  </w:style>
  <w:style w:type="paragraph" w:customStyle="1" w:styleId="Style3">
    <w:name w:val="Style3"/>
    <w:basedOn w:val="Normal"/>
    <w:qFormat/>
    <w:rsid w:val="00155042"/>
    <w:pPr>
      <w:jc w:val="both"/>
    </w:pPr>
    <w:rPr>
      <w:sz w:val="20"/>
      <w:szCs w:val="20"/>
      <w:lang w:val="en-US" w:eastAsia="en-US"/>
    </w:rPr>
  </w:style>
  <w:style w:type="paragraph" w:styleId="BalloonText">
    <w:name w:val="Balloon Text"/>
    <w:basedOn w:val="Normal"/>
    <w:link w:val="BalloonTextChar"/>
    <w:uiPriority w:val="99"/>
    <w:semiHidden/>
    <w:unhideWhenUsed/>
    <w:rsid w:val="00574D41"/>
    <w:rPr>
      <w:sz w:val="18"/>
      <w:szCs w:val="18"/>
      <w:lang w:val="en-US" w:eastAsia="en-US"/>
    </w:rPr>
  </w:style>
  <w:style w:type="character" w:customStyle="1" w:styleId="BalloonTextChar">
    <w:name w:val="Balloon Text Char"/>
    <w:basedOn w:val="DefaultParagraphFont"/>
    <w:link w:val="BalloonText"/>
    <w:uiPriority w:val="99"/>
    <w:semiHidden/>
    <w:rsid w:val="00574D41"/>
    <w:rPr>
      <w:sz w:val="18"/>
      <w:szCs w:val="18"/>
      <w:vertAlign w:val="baseline"/>
    </w:rPr>
  </w:style>
  <w:style w:type="character" w:styleId="CommentReference">
    <w:name w:val="annotation reference"/>
    <w:basedOn w:val="DefaultParagraphFont"/>
    <w:uiPriority w:val="99"/>
    <w:semiHidden/>
    <w:unhideWhenUsed/>
    <w:rsid w:val="00D75F69"/>
    <w:rPr>
      <w:sz w:val="18"/>
      <w:szCs w:val="18"/>
    </w:rPr>
  </w:style>
  <w:style w:type="paragraph" w:styleId="CommentText">
    <w:name w:val="annotation text"/>
    <w:basedOn w:val="Normal"/>
    <w:link w:val="CommentTextChar"/>
    <w:uiPriority w:val="99"/>
    <w:semiHidden/>
    <w:unhideWhenUsed/>
    <w:rsid w:val="00D75F69"/>
    <w:rPr>
      <w:rFonts w:asciiTheme="minorHAnsi" w:hAnsiTheme="minorHAnsi"/>
      <w:lang w:val="en-US" w:eastAsia="en-US"/>
    </w:rPr>
  </w:style>
  <w:style w:type="character" w:customStyle="1" w:styleId="CommentTextChar">
    <w:name w:val="Comment Text Char"/>
    <w:basedOn w:val="DefaultParagraphFont"/>
    <w:link w:val="CommentText"/>
    <w:uiPriority w:val="99"/>
    <w:semiHidden/>
    <w:rsid w:val="00D75F69"/>
    <w:rPr>
      <w:rFonts w:asciiTheme="minorHAnsi" w:hAnsiTheme="minorHAnsi"/>
      <w:vertAlign w:val="baseline"/>
    </w:rPr>
  </w:style>
  <w:style w:type="paragraph" w:styleId="CommentSubject">
    <w:name w:val="annotation subject"/>
    <w:basedOn w:val="CommentText"/>
    <w:next w:val="CommentText"/>
    <w:link w:val="CommentSubjectChar"/>
    <w:uiPriority w:val="99"/>
    <w:semiHidden/>
    <w:unhideWhenUsed/>
    <w:rsid w:val="00D75F69"/>
    <w:rPr>
      <w:b/>
      <w:bCs/>
      <w:sz w:val="20"/>
      <w:szCs w:val="20"/>
    </w:rPr>
  </w:style>
  <w:style w:type="character" w:customStyle="1" w:styleId="CommentSubjectChar">
    <w:name w:val="Comment Subject Char"/>
    <w:basedOn w:val="CommentTextChar"/>
    <w:link w:val="CommentSubject"/>
    <w:uiPriority w:val="99"/>
    <w:semiHidden/>
    <w:rsid w:val="00D75F69"/>
    <w:rPr>
      <w:rFonts w:asciiTheme="minorHAnsi" w:hAnsiTheme="minorHAnsi"/>
      <w:b/>
      <w:bCs/>
      <w:sz w:val="20"/>
      <w:szCs w:val="20"/>
      <w:vertAlign w:val="baseline"/>
    </w:rPr>
  </w:style>
  <w:style w:type="paragraph" w:styleId="DocumentMap">
    <w:name w:val="Document Map"/>
    <w:basedOn w:val="Normal"/>
    <w:link w:val="DocumentMapChar"/>
    <w:uiPriority w:val="99"/>
    <w:semiHidden/>
    <w:unhideWhenUsed/>
    <w:rsid w:val="005639D7"/>
    <w:rPr>
      <w:lang w:val="en-US" w:eastAsia="en-US"/>
    </w:rPr>
  </w:style>
  <w:style w:type="character" w:customStyle="1" w:styleId="DocumentMapChar">
    <w:name w:val="Document Map Char"/>
    <w:basedOn w:val="DefaultParagraphFont"/>
    <w:link w:val="DocumentMap"/>
    <w:uiPriority w:val="99"/>
    <w:semiHidden/>
    <w:rsid w:val="005639D7"/>
    <w:rPr>
      <w:vertAlign w:val="baseline"/>
    </w:rPr>
  </w:style>
  <w:style w:type="character" w:customStyle="1" w:styleId="Heading1Char">
    <w:name w:val="Heading 1 Char"/>
    <w:basedOn w:val="DefaultParagraphFont"/>
    <w:link w:val="Heading1"/>
    <w:uiPriority w:val="9"/>
    <w:rsid w:val="003A4051"/>
    <w:rPr>
      <w:sz w:val="28"/>
      <w:vertAlign w:val="baseline"/>
      <w:lang w:val="en-GB"/>
    </w:rPr>
  </w:style>
  <w:style w:type="character" w:customStyle="1" w:styleId="Heading2Char">
    <w:name w:val="Heading 2 Char"/>
    <w:basedOn w:val="DefaultParagraphFont"/>
    <w:link w:val="Heading2"/>
    <w:uiPriority w:val="9"/>
    <w:rsid w:val="009871A0"/>
    <w:rPr>
      <w:b/>
      <w:sz w:val="28"/>
      <w:vertAlign w:val="baseline"/>
      <w:lang w:val="en-GB" w:eastAsia="en-GB"/>
    </w:rPr>
  </w:style>
  <w:style w:type="paragraph" w:styleId="ListParagraph">
    <w:name w:val="List Paragraph"/>
    <w:basedOn w:val="Normal"/>
    <w:uiPriority w:val="34"/>
    <w:qFormat/>
    <w:rsid w:val="00E2769C"/>
    <w:pPr>
      <w:ind w:left="720"/>
      <w:contextualSpacing/>
    </w:pPr>
    <w:rPr>
      <w:rFonts w:asciiTheme="minorHAnsi" w:hAnsiTheme="minorHAnsi"/>
      <w:lang w:val="en-US" w:eastAsia="en-US"/>
    </w:rPr>
  </w:style>
  <w:style w:type="character" w:customStyle="1" w:styleId="Heading3Char">
    <w:name w:val="Heading 3 Char"/>
    <w:basedOn w:val="DefaultParagraphFont"/>
    <w:link w:val="Heading3"/>
    <w:uiPriority w:val="9"/>
    <w:rsid w:val="002C1856"/>
    <w:rPr>
      <w:i/>
      <w:sz w:val="28"/>
      <w:vertAlign w:val="baseline"/>
      <w:lang w:val="en-GB" w:eastAsia="en-GB"/>
    </w:rPr>
  </w:style>
  <w:style w:type="character" w:customStyle="1" w:styleId="Heading4Char">
    <w:name w:val="Heading 4 Char"/>
    <w:basedOn w:val="DefaultParagraphFont"/>
    <w:link w:val="Heading4"/>
    <w:uiPriority w:val="9"/>
    <w:rsid w:val="0029303F"/>
    <w:rPr>
      <w:sz w:val="28"/>
      <w:vertAlign w:val="baseline"/>
      <w:lang w:val="en-GB" w:eastAsia="en-GB"/>
    </w:rPr>
  </w:style>
  <w:style w:type="character" w:customStyle="1" w:styleId="Heading5Char">
    <w:name w:val="Heading 5 Char"/>
    <w:basedOn w:val="DefaultParagraphFont"/>
    <w:link w:val="Heading5"/>
    <w:uiPriority w:val="9"/>
    <w:rsid w:val="006A178B"/>
    <w:rPr>
      <w:rFonts w:asciiTheme="majorHAnsi" w:eastAsiaTheme="majorEastAsia" w:hAnsiTheme="majorHAnsi" w:cstheme="majorBidi"/>
      <w:color w:val="2E74B5" w:themeColor="accent1" w:themeShade="BF"/>
      <w:vertAlign w:val="baseline"/>
    </w:rPr>
  </w:style>
  <w:style w:type="character" w:styleId="Strong">
    <w:name w:val="Strong"/>
    <w:basedOn w:val="DefaultParagraphFont"/>
    <w:uiPriority w:val="22"/>
    <w:qFormat/>
    <w:rsid w:val="0032799E"/>
    <w:rPr>
      <w:b/>
      <w:bCs/>
    </w:rPr>
  </w:style>
  <w:style w:type="character" w:customStyle="1" w:styleId="Heading6Char">
    <w:name w:val="Heading 6 Char"/>
    <w:basedOn w:val="DefaultParagraphFont"/>
    <w:link w:val="Heading6"/>
    <w:uiPriority w:val="9"/>
    <w:rsid w:val="000308C1"/>
    <w:rPr>
      <w:rFonts w:asciiTheme="majorHAnsi" w:eastAsiaTheme="majorEastAsia" w:hAnsiTheme="majorHAnsi" w:cstheme="majorBidi"/>
      <w:color w:val="1F4D78" w:themeColor="accent1" w:themeShade="7F"/>
      <w:vertAlign w:val="baseline"/>
    </w:rPr>
  </w:style>
  <w:style w:type="character" w:styleId="Hyperlink">
    <w:name w:val="Hyperlink"/>
    <w:basedOn w:val="DefaultParagraphFont"/>
    <w:uiPriority w:val="99"/>
    <w:unhideWhenUsed/>
    <w:rsid w:val="00D5106A"/>
    <w:rPr>
      <w:color w:val="0563C1" w:themeColor="hyperlink"/>
      <w:u w:val="single"/>
    </w:rPr>
  </w:style>
  <w:style w:type="character" w:styleId="FollowedHyperlink">
    <w:name w:val="FollowedHyperlink"/>
    <w:basedOn w:val="DefaultParagraphFont"/>
    <w:uiPriority w:val="99"/>
    <w:semiHidden/>
    <w:unhideWhenUsed/>
    <w:rsid w:val="00722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069">
      <w:bodyDiv w:val="1"/>
      <w:marLeft w:val="0"/>
      <w:marRight w:val="0"/>
      <w:marTop w:val="0"/>
      <w:marBottom w:val="0"/>
      <w:divBdr>
        <w:top w:val="none" w:sz="0" w:space="0" w:color="auto"/>
        <w:left w:val="none" w:sz="0" w:space="0" w:color="auto"/>
        <w:bottom w:val="none" w:sz="0" w:space="0" w:color="auto"/>
        <w:right w:val="none" w:sz="0" w:space="0" w:color="auto"/>
      </w:divBdr>
    </w:div>
    <w:div w:id="47268341">
      <w:bodyDiv w:val="1"/>
      <w:marLeft w:val="0"/>
      <w:marRight w:val="0"/>
      <w:marTop w:val="0"/>
      <w:marBottom w:val="0"/>
      <w:divBdr>
        <w:top w:val="none" w:sz="0" w:space="0" w:color="auto"/>
        <w:left w:val="none" w:sz="0" w:space="0" w:color="auto"/>
        <w:bottom w:val="none" w:sz="0" w:space="0" w:color="auto"/>
        <w:right w:val="none" w:sz="0" w:space="0" w:color="auto"/>
      </w:divBdr>
    </w:div>
    <w:div w:id="142546556">
      <w:bodyDiv w:val="1"/>
      <w:marLeft w:val="0"/>
      <w:marRight w:val="0"/>
      <w:marTop w:val="0"/>
      <w:marBottom w:val="0"/>
      <w:divBdr>
        <w:top w:val="none" w:sz="0" w:space="0" w:color="auto"/>
        <w:left w:val="none" w:sz="0" w:space="0" w:color="auto"/>
        <w:bottom w:val="none" w:sz="0" w:space="0" w:color="auto"/>
        <w:right w:val="none" w:sz="0" w:space="0" w:color="auto"/>
      </w:divBdr>
    </w:div>
    <w:div w:id="180901069">
      <w:bodyDiv w:val="1"/>
      <w:marLeft w:val="0"/>
      <w:marRight w:val="0"/>
      <w:marTop w:val="0"/>
      <w:marBottom w:val="0"/>
      <w:divBdr>
        <w:top w:val="none" w:sz="0" w:space="0" w:color="auto"/>
        <w:left w:val="none" w:sz="0" w:space="0" w:color="auto"/>
        <w:bottom w:val="none" w:sz="0" w:space="0" w:color="auto"/>
        <w:right w:val="none" w:sz="0" w:space="0" w:color="auto"/>
      </w:divBdr>
    </w:div>
    <w:div w:id="183860480">
      <w:bodyDiv w:val="1"/>
      <w:marLeft w:val="0"/>
      <w:marRight w:val="0"/>
      <w:marTop w:val="0"/>
      <w:marBottom w:val="0"/>
      <w:divBdr>
        <w:top w:val="none" w:sz="0" w:space="0" w:color="auto"/>
        <w:left w:val="none" w:sz="0" w:space="0" w:color="auto"/>
        <w:bottom w:val="none" w:sz="0" w:space="0" w:color="auto"/>
        <w:right w:val="none" w:sz="0" w:space="0" w:color="auto"/>
      </w:divBdr>
    </w:div>
    <w:div w:id="187454720">
      <w:bodyDiv w:val="1"/>
      <w:marLeft w:val="0"/>
      <w:marRight w:val="0"/>
      <w:marTop w:val="0"/>
      <w:marBottom w:val="0"/>
      <w:divBdr>
        <w:top w:val="none" w:sz="0" w:space="0" w:color="auto"/>
        <w:left w:val="none" w:sz="0" w:space="0" w:color="auto"/>
        <w:bottom w:val="none" w:sz="0" w:space="0" w:color="auto"/>
        <w:right w:val="none" w:sz="0" w:space="0" w:color="auto"/>
      </w:divBdr>
    </w:div>
    <w:div w:id="196358428">
      <w:bodyDiv w:val="1"/>
      <w:marLeft w:val="0"/>
      <w:marRight w:val="0"/>
      <w:marTop w:val="0"/>
      <w:marBottom w:val="0"/>
      <w:divBdr>
        <w:top w:val="none" w:sz="0" w:space="0" w:color="auto"/>
        <w:left w:val="none" w:sz="0" w:space="0" w:color="auto"/>
        <w:bottom w:val="none" w:sz="0" w:space="0" w:color="auto"/>
        <w:right w:val="none" w:sz="0" w:space="0" w:color="auto"/>
      </w:divBdr>
    </w:div>
    <w:div w:id="217281312">
      <w:bodyDiv w:val="1"/>
      <w:marLeft w:val="0"/>
      <w:marRight w:val="0"/>
      <w:marTop w:val="0"/>
      <w:marBottom w:val="0"/>
      <w:divBdr>
        <w:top w:val="none" w:sz="0" w:space="0" w:color="auto"/>
        <w:left w:val="none" w:sz="0" w:space="0" w:color="auto"/>
        <w:bottom w:val="none" w:sz="0" w:space="0" w:color="auto"/>
        <w:right w:val="none" w:sz="0" w:space="0" w:color="auto"/>
      </w:divBdr>
    </w:div>
    <w:div w:id="232593465">
      <w:bodyDiv w:val="1"/>
      <w:marLeft w:val="0"/>
      <w:marRight w:val="0"/>
      <w:marTop w:val="0"/>
      <w:marBottom w:val="0"/>
      <w:divBdr>
        <w:top w:val="none" w:sz="0" w:space="0" w:color="auto"/>
        <w:left w:val="none" w:sz="0" w:space="0" w:color="auto"/>
        <w:bottom w:val="none" w:sz="0" w:space="0" w:color="auto"/>
        <w:right w:val="none" w:sz="0" w:space="0" w:color="auto"/>
      </w:divBdr>
    </w:div>
    <w:div w:id="236862850">
      <w:bodyDiv w:val="1"/>
      <w:marLeft w:val="0"/>
      <w:marRight w:val="0"/>
      <w:marTop w:val="0"/>
      <w:marBottom w:val="0"/>
      <w:divBdr>
        <w:top w:val="none" w:sz="0" w:space="0" w:color="auto"/>
        <w:left w:val="none" w:sz="0" w:space="0" w:color="auto"/>
        <w:bottom w:val="none" w:sz="0" w:space="0" w:color="auto"/>
        <w:right w:val="none" w:sz="0" w:space="0" w:color="auto"/>
      </w:divBdr>
    </w:div>
    <w:div w:id="240455266">
      <w:bodyDiv w:val="1"/>
      <w:marLeft w:val="0"/>
      <w:marRight w:val="0"/>
      <w:marTop w:val="0"/>
      <w:marBottom w:val="0"/>
      <w:divBdr>
        <w:top w:val="none" w:sz="0" w:space="0" w:color="auto"/>
        <w:left w:val="none" w:sz="0" w:space="0" w:color="auto"/>
        <w:bottom w:val="none" w:sz="0" w:space="0" w:color="auto"/>
        <w:right w:val="none" w:sz="0" w:space="0" w:color="auto"/>
      </w:divBdr>
    </w:div>
    <w:div w:id="244388956">
      <w:bodyDiv w:val="1"/>
      <w:marLeft w:val="0"/>
      <w:marRight w:val="0"/>
      <w:marTop w:val="0"/>
      <w:marBottom w:val="0"/>
      <w:divBdr>
        <w:top w:val="none" w:sz="0" w:space="0" w:color="auto"/>
        <w:left w:val="none" w:sz="0" w:space="0" w:color="auto"/>
        <w:bottom w:val="none" w:sz="0" w:space="0" w:color="auto"/>
        <w:right w:val="none" w:sz="0" w:space="0" w:color="auto"/>
      </w:divBdr>
    </w:div>
    <w:div w:id="290869290">
      <w:bodyDiv w:val="1"/>
      <w:marLeft w:val="0"/>
      <w:marRight w:val="0"/>
      <w:marTop w:val="0"/>
      <w:marBottom w:val="0"/>
      <w:divBdr>
        <w:top w:val="none" w:sz="0" w:space="0" w:color="auto"/>
        <w:left w:val="none" w:sz="0" w:space="0" w:color="auto"/>
        <w:bottom w:val="none" w:sz="0" w:space="0" w:color="auto"/>
        <w:right w:val="none" w:sz="0" w:space="0" w:color="auto"/>
      </w:divBdr>
    </w:div>
    <w:div w:id="449590785">
      <w:bodyDiv w:val="1"/>
      <w:marLeft w:val="0"/>
      <w:marRight w:val="0"/>
      <w:marTop w:val="0"/>
      <w:marBottom w:val="0"/>
      <w:divBdr>
        <w:top w:val="none" w:sz="0" w:space="0" w:color="auto"/>
        <w:left w:val="none" w:sz="0" w:space="0" w:color="auto"/>
        <w:bottom w:val="none" w:sz="0" w:space="0" w:color="auto"/>
        <w:right w:val="none" w:sz="0" w:space="0" w:color="auto"/>
      </w:divBdr>
    </w:div>
    <w:div w:id="479230545">
      <w:bodyDiv w:val="1"/>
      <w:marLeft w:val="0"/>
      <w:marRight w:val="0"/>
      <w:marTop w:val="0"/>
      <w:marBottom w:val="0"/>
      <w:divBdr>
        <w:top w:val="none" w:sz="0" w:space="0" w:color="auto"/>
        <w:left w:val="none" w:sz="0" w:space="0" w:color="auto"/>
        <w:bottom w:val="none" w:sz="0" w:space="0" w:color="auto"/>
        <w:right w:val="none" w:sz="0" w:space="0" w:color="auto"/>
      </w:divBdr>
    </w:div>
    <w:div w:id="494760596">
      <w:bodyDiv w:val="1"/>
      <w:marLeft w:val="0"/>
      <w:marRight w:val="0"/>
      <w:marTop w:val="0"/>
      <w:marBottom w:val="0"/>
      <w:divBdr>
        <w:top w:val="none" w:sz="0" w:space="0" w:color="auto"/>
        <w:left w:val="none" w:sz="0" w:space="0" w:color="auto"/>
        <w:bottom w:val="none" w:sz="0" w:space="0" w:color="auto"/>
        <w:right w:val="none" w:sz="0" w:space="0" w:color="auto"/>
      </w:divBdr>
    </w:div>
    <w:div w:id="524901013">
      <w:bodyDiv w:val="1"/>
      <w:marLeft w:val="0"/>
      <w:marRight w:val="0"/>
      <w:marTop w:val="0"/>
      <w:marBottom w:val="0"/>
      <w:divBdr>
        <w:top w:val="none" w:sz="0" w:space="0" w:color="auto"/>
        <w:left w:val="none" w:sz="0" w:space="0" w:color="auto"/>
        <w:bottom w:val="none" w:sz="0" w:space="0" w:color="auto"/>
        <w:right w:val="none" w:sz="0" w:space="0" w:color="auto"/>
      </w:divBdr>
    </w:div>
    <w:div w:id="538669622">
      <w:bodyDiv w:val="1"/>
      <w:marLeft w:val="0"/>
      <w:marRight w:val="0"/>
      <w:marTop w:val="0"/>
      <w:marBottom w:val="0"/>
      <w:divBdr>
        <w:top w:val="none" w:sz="0" w:space="0" w:color="auto"/>
        <w:left w:val="none" w:sz="0" w:space="0" w:color="auto"/>
        <w:bottom w:val="none" w:sz="0" w:space="0" w:color="auto"/>
        <w:right w:val="none" w:sz="0" w:space="0" w:color="auto"/>
      </w:divBdr>
    </w:div>
    <w:div w:id="581795522">
      <w:bodyDiv w:val="1"/>
      <w:marLeft w:val="0"/>
      <w:marRight w:val="0"/>
      <w:marTop w:val="0"/>
      <w:marBottom w:val="0"/>
      <w:divBdr>
        <w:top w:val="none" w:sz="0" w:space="0" w:color="auto"/>
        <w:left w:val="none" w:sz="0" w:space="0" w:color="auto"/>
        <w:bottom w:val="none" w:sz="0" w:space="0" w:color="auto"/>
        <w:right w:val="none" w:sz="0" w:space="0" w:color="auto"/>
      </w:divBdr>
    </w:div>
    <w:div w:id="590625336">
      <w:bodyDiv w:val="1"/>
      <w:marLeft w:val="0"/>
      <w:marRight w:val="0"/>
      <w:marTop w:val="0"/>
      <w:marBottom w:val="0"/>
      <w:divBdr>
        <w:top w:val="none" w:sz="0" w:space="0" w:color="auto"/>
        <w:left w:val="none" w:sz="0" w:space="0" w:color="auto"/>
        <w:bottom w:val="none" w:sz="0" w:space="0" w:color="auto"/>
        <w:right w:val="none" w:sz="0" w:space="0" w:color="auto"/>
      </w:divBdr>
    </w:div>
    <w:div w:id="620919482">
      <w:bodyDiv w:val="1"/>
      <w:marLeft w:val="0"/>
      <w:marRight w:val="0"/>
      <w:marTop w:val="0"/>
      <w:marBottom w:val="0"/>
      <w:divBdr>
        <w:top w:val="none" w:sz="0" w:space="0" w:color="auto"/>
        <w:left w:val="none" w:sz="0" w:space="0" w:color="auto"/>
        <w:bottom w:val="none" w:sz="0" w:space="0" w:color="auto"/>
        <w:right w:val="none" w:sz="0" w:space="0" w:color="auto"/>
      </w:divBdr>
    </w:div>
    <w:div w:id="622230416">
      <w:bodyDiv w:val="1"/>
      <w:marLeft w:val="0"/>
      <w:marRight w:val="0"/>
      <w:marTop w:val="0"/>
      <w:marBottom w:val="0"/>
      <w:divBdr>
        <w:top w:val="none" w:sz="0" w:space="0" w:color="auto"/>
        <w:left w:val="none" w:sz="0" w:space="0" w:color="auto"/>
        <w:bottom w:val="none" w:sz="0" w:space="0" w:color="auto"/>
        <w:right w:val="none" w:sz="0" w:space="0" w:color="auto"/>
      </w:divBdr>
    </w:div>
    <w:div w:id="628632675">
      <w:bodyDiv w:val="1"/>
      <w:marLeft w:val="0"/>
      <w:marRight w:val="0"/>
      <w:marTop w:val="0"/>
      <w:marBottom w:val="0"/>
      <w:divBdr>
        <w:top w:val="none" w:sz="0" w:space="0" w:color="auto"/>
        <w:left w:val="none" w:sz="0" w:space="0" w:color="auto"/>
        <w:bottom w:val="none" w:sz="0" w:space="0" w:color="auto"/>
        <w:right w:val="none" w:sz="0" w:space="0" w:color="auto"/>
      </w:divBdr>
    </w:div>
    <w:div w:id="635720719">
      <w:bodyDiv w:val="1"/>
      <w:marLeft w:val="0"/>
      <w:marRight w:val="0"/>
      <w:marTop w:val="0"/>
      <w:marBottom w:val="0"/>
      <w:divBdr>
        <w:top w:val="none" w:sz="0" w:space="0" w:color="auto"/>
        <w:left w:val="none" w:sz="0" w:space="0" w:color="auto"/>
        <w:bottom w:val="none" w:sz="0" w:space="0" w:color="auto"/>
        <w:right w:val="none" w:sz="0" w:space="0" w:color="auto"/>
      </w:divBdr>
    </w:div>
    <w:div w:id="647395843">
      <w:bodyDiv w:val="1"/>
      <w:marLeft w:val="0"/>
      <w:marRight w:val="0"/>
      <w:marTop w:val="0"/>
      <w:marBottom w:val="0"/>
      <w:divBdr>
        <w:top w:val="none" w:sz="0" w:space="0" w:color="auto"/>
        <w:left w:val="none" w:sz="0" w:space="0" w:color="auto"/>
        <w:bottom w:val="none" w:sz="0" w:space="0" w:color="auto"/>
        <w:right w:val="none" w:sz="0" w:space="0" w:color="auto"/>
      </w:divBdr>
    </w:div>
    <w:div w:id="708576775">
      <w:bodyDiv w:val="1"/>
      <w:marLeft w:val="0"/>
      <w:marRight w:val="0"/>
      <w:marTop w:val="0"/>
      <w:marBottom w:val="0"/>
      <w:divBdr>
        <w:top w:val="none" w:sz="0" w:space="0" w:color="auto"/>
        <w:left w:val="none" w:sz="0" w:space="0" w:color="auto"/>
        <w:bottom w:val="none" w:sz="0" w:space="0" w:color="auto"/>
        <w:right w:val="none" w:sz="0" w:space="0" w:color="auto"/>
      </w:divBdr>
    </w:div>
    <w:div w:id="723480265">
      <w:bodyDiv w:val="1"/>
      <w:marLeft w:val="0"/>
      <w:marRight w:val="0"/>
      <w:marTop w:val="0"/>
      <w:marBottom w:val="0"/>
      <w:divBdr>
        <w:top w:val="none" w:sz="0" w:space="0" w:color="auto"/>
        <w:left w:val="none" w:sz="0" w:space="0" w:color="auto"/>
        <w:bottom w:val="none" w:sz="0" w:space="0" w:color="auto"/>
        <w:right w:val="none" w:sz="0" w:space="0" w:color="auto"/>
      </w:divBdr>
    </w:div>
    <w:div w:id="729351797">
      <w:bodyDiv w:val="1"/>
      <w:marLeft w:val="0"/>
      <w:marRight w:val="0"/>
      <w:marTop w:val="0"/>
      <w:marBottom w:val="0"/>
      <w:divBdr>
        <w:top w:val="none" w:sz="0" w:space="0" w:color="auto"/>
        <w:left w:val="none" w:sz="0" w:space="0" w:color="auto"/>
        <w:bottom w:val="none" w:sz="0" w:space="0" w:color="auto"/>
        <w:right w:val="none" w:sz="0" w:space="0" w:color="auto"/>
      </w:divBdr>
    </w:div>
    <w:div w:id="753742571">
      <w:bodyDiv w:val="1"/>
      <w:marLeft w:val="0"/>
      <w:marRight w:val="0"/>
      <w:marTop w:val="0"/>
      <w:marBottom w:val="0"/>
      <w:divBdr>
        <w:top w:val="none" w:sz="0" w:space="0" w:color="auto"/>
        <w:left w:val="none" w:sz="0" w:space="0" w:color="auto"/>
        <w:bottom w:val="none" w:sz="0" w:space="0" w:color="auto"/>
        <w:right w:val="none" w:sz="0" w:space="0" w:color="auto"/>
      </w:divBdr>
    </w:div>
    <w:div w:id="810556699">
      <w:bodyDiv w:val="1"/>
      <w:marLeft w:val="0"/>
      <w:marRight w:val="0"/>
      <w:marTop w:val="0"/>
      <w:marBottom w:val="0"/>
      <w:divBdr>
        <w:top w:val="none" w:sz="0" w:space="0" w:color="auto"/>
        <w:left w:val="none" w:sz="0" w:space="0" w:color="auto"/>
        <w:bottom w:val="none" w:sz="0" w:space="0" w:color="auto"/>
        <w:right w:val="none" w:sz="0" w:space="0" w:color="auto"/>
      </w:divBdr>
    </w:div>
    <w:div w:id="827064371">
      <w:bodyDiv w:val="1"/>
      <w:marLeft w:val="0"/>
      <w:marRight w:val="0"/>
      <w:marTop w:val="0"/>
      <w:marBottom w:val="0"/>
      <w:divBdr>
        <w:top w:val="none" w:sz="0" w:space="0" w:color="auto"/>
        <w:left w:val="none" w:sz="0" w:space="0" w:color="auto"/>
        <w:bottom w:val="none" w:sz="0" w:space="0" w:color="auto"/>
        <w:right w:val="none" w:sz="0" w:space="0" w:color="auto"/>
      </w:divBdr>
    </w:div>
    <w:div w:id="828402250">
      <w:bodyDiv w:val="1"/>
      <w:marLeft w:val="0"/>
      <w:marRight w:val="0"/>
      <w:marTop w:val="0"/>
      <w:marBottom w:val="0"/>
      <w:divBdr>
        <w:top w:val="none" w:sz="0" w:space="0" w:color="auto"/>
        <w:left w:val="none" w:sz="0" w:space="0" w:color="auto"/>
        <w:bottom w:val="none" w:sz="0" w:space="0" w:color="auto"/>
        <w:right w:val="none" w:sz="0" w:space="0" w:color="auto"/>
      </w:divBdr>
    </w:div>
    <w:div w:id="836579996">
      <w:bodyDiv w:val="1"/>
      <w:marLeft w:val="0"/>
      <w:marRight w:val="0"/>
      <w:marTop w:val="0"/>
      <w:marBottom w:val="0"/>
      <w:divBdr>
        <w:top w:val="none" w:sz="0" w:space="0" w:color="auto"/>
        <w:left w:val="none" w:sz="0" w:space="0" w:color="auto"/>
        <w:bottom w:val="none" w:sz="0" w:space="0" w:color="auto"/>
        <w:right w:val="none" w:sz="0" w:space="0" w:color="auto"/>
      </w:divBdr>
    </w:div>
    <w:div w:id="899709277">
      <w:bodyDiv w:val="1"/>
      <w:marLeft w:val="0"/>
      <w:marRight w:val="0"/>
      <w:marTop w:val="0"/>
      <w:marBottom w:val="0"/>
      <w:divBdr>
        <w:top w:val="none" w:sz="0" w:space="0" w:color="auto"/>
        <w:left w:val="none" w:sz="0" w:space="0" w:color="auto"/>
        <w:bottom w:val="none" w:sz="0" w:space="0" w:color="auto"/>
        <w:right w:val="none" w:sz="0" w:space="0" w:color="auto"/>
      </w:divBdr>
    </w:div>
    <w:div w:id="905725946">
      <w:bodyDiv w:val="1"/>
      <w:marLeft w:val="0"/>
      <w:marRight w:val="0"/>
      <w:marTop w:val="0"/>
      <w:marBottom w:val="0"/>
      <w:divBdr>
        <w:top w:val="none" w:sz="0" w:space="0" w:color="auto"/>
        <w:left w:val="none" w:sz="0" w:space="0" w:color="auto"/>
        <w:bottom w:val="none" w:sz="0" w:space="0" w:color="auto"/>
        <w:right w:val="none" w:sz="0" w:space="0" w:color="auto"/>
      </w:divBdr>
    </w:div>
    <w:div w:id="928273867">
      <w:bodyDiv w:val="1"/>
      <w:marLeft w:val="0"/>
      <w:marRight w:val="0"/>
      <w:marTop w:val="0"/>
      <w:marBottom w:val="0"/>
      <w:divBdr>
        <w:top w:val="none" w:sz="0" w:space="0" w:color="auto"/>
        <w:left w:val="none" w:sz="0" w:space="0" w:color="auto"/>
        <w:bottom w:val="none" w:sz="0" w:space="0" w:color="auto"/>
        <w:right w:val="none" w:sz="0" w:space="0" w:color="auto"/>
      </w:divBdr>
    </w:div>
    <w:div w:id="968435858">
      <w:bodyDiv w:val="1"/>
      <w:marLeft w:val="0"/>
      <w:marRight w:val="0"/>
      <w:marTop w:val="0"/>
      <w:marBottom w:val="0"/>
      <w:divBdr>
        <w:top w:val="none" w:sz="0" w:space="0" w:color="auto"/>
        <w:left w:val="none" w:sz="0" w:space="0" w:color="auto"/>
        <w:bottom w:val="none" w:sz="0" w:space="0" w:color="auto"/>
        <w:right w:val="none" w:sz="0" w:space="0" w:color="auto"/>
      </w:divBdr>
    </w:div>
    <w:div w:id="998195429">
      <w:bodyDiv w:val="1"/>
      <w:marLeft w:val="0"/>
      <w:marRight w:val="0"/>
      <w:marTop w:val="0"/>
      <w:marBottom w:val="0"/>
      <w:divBdr>
        <w:top w:val="none" w:sz="0" w:space="0" w:color="auto"/>
        <w:left w:val="none" w:sz="0" w:space="0" w:color="auto"/>
        <w:bottom w:val="none" w:sz="0" w:space="0" w:color="auto"/>
        <w:right w:val="none" w:sz="0" w:space="0" w:color="auto"/>
      </w:divBdr>
    </w:div>
    <w:div w:id="1001588964">
      <w:bodyDiv w:val="1"/>
      <w:marLeft w:val="0"/>
      <w:marRight w:val="0"/>
      <w:marTop w:val="0"/>
      <w:marBottom w:val="0"/>
      <w:divBdr>
        <w:top w:val="none" w:sz="0" w:space="0" w:color="auto"/>
        <w:left w:val="none" w:sz="0" w:space="0" w:color="auto"/>
        <w:bottom w:val="none" w:sz="0" w:space="0" w:color="auto"/>
        <w:right w:val="none" w:sz="0" w:space="0" w:color="auto"/>
      </w:divBdr>
    </w:div>
    <w:div w:id="1044401469">
      <w:bodyDiv w:val="1"/>
      <w:marLeft w:val="0"/>
      <w:marRight w:val="0"/>
      <w:marTop w:val="0"/>
      <w:marBottom w:val="0"/>
      <w:divBdr>
        <w:top w:val="none" w:sz="0" w:space="0" w:color="auto"/>
        <w:left w:val="none" w:sz="0" w:space="0" w:color="auto"/>
        <w:bottom w:val="none" w:sz="0" w:space="0" w:color="auto"/>
        <w:right w:val="none" w:sz="0" w:space="0" w:color="auto"/>
      </w:divBdr>
    </w:div>
    <w:div w:id="1157843071">
      <w:bodyDiv w:val="1"/>
      <w:marLeft w:val="0"/>
      <w:marRight w:val="0"/>
      <w:marTop w:val="0"/>
      <w:marBottom w:val="0"/>
      <w:divBdr>
        <w:top w:val="none" w:sz="0" w:space="0" w:color="auto"/>
        <w:left w:val="none" w:sz="0" w:space="0" w:color="auto"/>
        <w:bottom w:val="none" w:sz="0" w:space="0" w:color="auto"/>
        <w:right w:val="none" w:sz="0" w:space="0" w:color="auto"/>
      </w:divBdr>
    </w:div>
    <w:div w:id="1210801945">
      <w:bodyDiv w:val="1"/>
      <w:marLeft w:val="0"/>
      <w:marRight w:val="0"/>
      <w:marTop w:val="0"/>
      <w:marBottom w:val="0"/>
      <w:divBdr>
        <w:top w:val="none" w:sz="0" w:space="0" w:color="auto"/>
        <w:left w:val="none" w:sz="0" w:space="0" w:color="auto"/>
        <w:bottom w:val="none" w:sz="0" w:space="0" w:color="auto"/>
        <w:right w:val="none" w:sz="0" w:space="0" w:color="auto"/>
      </w:divBdr>
    </w:div>
    <w:div w:id="1252007357">
      <w:bodyDiv w:val="1"/>
      <w:marLeft w:val="0"/>
      <w:marRight w:val="0"/>
      <w:marTop w:val="0"/>
      <w:marBottom w:val="0"/>
      <w:divBdr>
        <w:top w:val="none" w:sz="0" w:space="0" w:color="auto"/>
        <w:left w:val="none" w:sz="0" w:space="0" w:color="auto"/>
        <w:bottom w:val="none" w:sz="0" w:space="0" w:color="auto"/>
        <w:right w:val="none" w:sz="0" w:space="0" w:color="auto"/>
      </w:divBdr>
    </w:div>
    <w:div w:id="1257447491">
      <w:bodyDiv w:val="1"/>
      <w:marLeft w:val="0"/>
      <w:marRight w:val="0"/>
      <w:marTop w:val="0"/>
      <w:marBottom w:val="0"/>
      <w:divBdr>
        <w:top w:val="none" w:sz="0" w:space="0" w:color="auto"/>
        <w:left w:val="none" w:sz="0" w:space="0" w:color="auto"/>
        <w:bottom w:val="none" w:sz="0" w:space="0" w:color="auto"/>
        <w:right w:val="none" w:sz="0" w:space="0" w:color="auto"/>
      </w:divBdr>
    </w:div>
    <w:div w:id="1307783239">
      <w:bodyDiv w:val="1"/>
      <w:marLeft w:val="0"/>
      <w:marRight w:val="0"/>
      <w:marTop w:val="0"/>
      <w:marBottom w:val="0"/>
      <w:divBdr>
        <w:top w:val="none" w:sz="0" w:space="0" w:color="auto"/>
        <w:left w:val="none" w:sz="0" w:space="0" w:color="auto"/>
        <w:bottom w:val="none" w:sz="0" w:space="0" w:color="auto"/>
        <w:right w:val="none" w:sz="0" w:space="0" w:color="auto"/>
      </w:divBdr>
    </w:div>
    <w:div w:id="1322469414">
      <w:bodyDiv w:val="1"/>
      <w:marLeft w:val="0"/>
      <w:marRight w:val="0"/>
      <w:marTop w:val="0"/>
      <w:marBottom w:val="0"/>
      <w:divBdr>
        <w:top w:val="none" w:sz="0" w:space="0" w:color="auto"/>
        <w:left w:val="none" w:sz="0" w:space="0" w:color="auto"/>
        <w:bottom w:val="none" w:sz="0" w:space="0" w:color="auto"/>
        <w:right w:val="none" w:sz="0" w:space="0" w:color="auto"/>
      </w:divBdr>
    </w:div>
    <w:div w:id="1340473826">
      <w:bodyDiv w:val="1"/>
      <w:marLeft w:val="0"/>
      <w:marRight w:val="0"/>
      <w:marTop w:val="0"/>
      <w:marBottom w:val="0"/>
      <w:divBdr>
        <w:top w:val="none" w:sz="0" w:space="0" w:color="auto"/>
        <w:left w:val="none" w:sz="0" w:space="0" w:color="auto"/>
        <w:bottom w:val="none" w:sz="0" w:space="0" w:color="auto"/>
        <w:right w:val="none" w:sz="0" w:space="0" w:color="auto"/>
      </w:divBdr>
    </w:div>
    <w:div w:id="1365206308">
      <w:bodyDiv w:val="1"/>
      <w:marLeft w:val="0"/>
      <w:marRight w:val="0"/>
      <w:marTop w:val="0"/>
      <w:marBottom w:val="0"/>
      <w:divBdr>
        <w:top w:val="none" w:sz="0" w:space="0" w:color="auto"/>
        <w:left w:val="none" w:sz="0" w:space="0" w:color="auto"/>
        <w:bottom w:val="none" w:sz="0" w:space="0" w:color="auto"/>
        <w:right w:val="none" w:sz="0" w:space="0" w:color="auto"/>
      </w:divBdr>
    </w:div>
    <w:div w:id="1367759213">
      <w:bodyDiv w:val="1"/>
      <w:marLeft w:val="0"/>
      <w:marRight w:val="0"/>
      <w:marTop w:val="0"/>
      <w:marBottom w:val="0"/>
      <w:divBdr>
        <w:top w:val="none" w:sz="0" w:space="0" w:color="auto"/>
        <w:left w:val="none" w:sz="0" w:space="0" w:color="auto"/>
        <w:bottom w:val="none" w:sz="0" w:space="0" w:color="auto"/>
        <w:right w:val="none" w:sz="0" w:space="0" w:color="auto"/>
      </w:divBdr>
    </w:div>
    <w:div w:id="1409379837">
      <w:bodyDiv w:val="1"/>
      <w:marLeft w:val="0"/>
      <w:marRight w:val="0"/>
      <w:marTop w:val="0"/>
      <w:marBottom w:val="0"/>
      <w:divBdr>
        <w:top w:val="none" w:sz="0" w:space="0" w:color="auto"/>
        <w:left w:val="none" w:sz="0" w:space="0" w:color="auto"/>
        <w:bottom w:val="none" w:sz="0" w:space="0" w:color="auto"/>
        <w:right w:val="none" w:sz="0" w:space="0" w:color="auto"/>
      </w:divBdr>
    </w:div>
    <w:div w:id="1412308441">
      <w:bodyDiv w:val="1"/>
      <w:marLeft w:val="0"/>
      <w:marRight w:val="0"/>
      <w:marTop w:val="0"/>
      <w:marBottom w:val="0"/>
      <w:divBdr>
        <w:top w:val="none" w:sz="0" w:space="0" w:color="auto"/>
        <w:left w:val="none" w:sz="0" w:space="0" w:color="auto"/>
        <w:bottom w:val="none" w:sz="0" w:space="0" w:color="auto"/>
        <w:right w:val="none" w:sz="0" w:space="0" w:color="auto"/>
      </w:divBdr>
    </w:div>
    <w:div w:id="1488400699">
      <w:bodyDiv w:val="1"/>
      <w:marLeft w:val="0"/>
      <w:marRight w:val="0"/>
      <w:marTop w:val="0"/>
      <w:marBottom w:val="0"/>
      <w:divBdr>
        <w:top w:val="none" w:sz="0" w:space="0" w:color="auto"/>
        <w:left w:val="none" w:sz="0" w:space="0" w:color="auto"/>
        <w:bottom w:val="none" w:sz="0" w:space="0" w:color="auto"/>
        <w:right w:val="none" w:sz="0" w:space="0" w:color="auto"/>
      </w:divBdr>
    </w:div>
    <w:div w:id="1488941300">
      <w:bodyDiv w:val="1"/>
      <w:marLeft w:val="0"/>
      <w:marRight w:val="0"/>
      <w:marTop w:val="0"/>
      <w:marBottom w:val="0"/>
      <w:divBdr>
        <w:top w:val="none" w:sz="0" w:space="0" w:color="auto"/>
        <w:left w:val="none" w:sz="0" w:space="0" w:color="auto"/>
        <w:bottom w:val="none" w:sz="0" w:space="0" w:color="auto"/>
        <w:right w:val="none" w:sz="0" w:space="0" w:color="auto"/>
      </w:divBdr>
    </w:div>
    <w:div w:id="1512834660">
      <w:bodyDiv w:val="1"/>
      <w:marLeft w:val="0"/>
      <w:marRight w:val="0"/>
      <w:marTop w:val="0"/>
      <w:marBottom w:val="0"/>
      <w:divBdr>
        <w:top w:val="none" w:sz="0" w:space="0" w:color="auto"/>
        <w:left w:val="none" w:sz="0" w:space="0" w:color="auto"/>
        <w:bottom w:val="none" w:sz="0" w:space="0" w:color="auto"/>
        <w:right w:val="none" w:sz="0" w:space="0" w:color="auto"/>
      </w:divBdr>
    </w:div>
    <w:div w:id="1543513396">
      <w:bodyDiv w:val="1"/>
      <w:marLeft w:val="0"/>
      <w:marRight w:val="0"/>
      <w:marTop w:val="0"/>
      <w:marBottom w:val="0"/>
      <w:divBdr>
        <w:top w:val="none" w:sz="0" w:space="0" w:color="auto"/>
        <w:left w:val="none" w:sz="0" w:space="0" w:color="auto"/>
        <w:bottom w:val="none" w:sz="0" w:space="0" w:color="auto"/>
        <w:right w:val="none" w:sz="0" w:space="0" w:color="auto"/>
      </w:divBdr>
    </w:div>
    <w:div w:id="1569606184">
      <w:bodyDiv w:val="1"/>
      <w:marLeft w:val="0"/>
      <w:marRight w:val="0"/>
      <w:marTop w:val="0"/>
      <w:marBottom w:val="0"/>
      <w:divBdr>
        <w:top w:val="none" w:sz="0" w:space="0" w:color="auto"/>
        <w:left w:val="none" w:sz="0" w:space="0" w:color="auto"/>
        <w:bottom w:val="none" w:sz="0" w:space="0" w:color="auto"/>
        <w:right w:val="none" w:sz="0" w:space="0" w:color="auto"/>
      </w:divBdr>
    </w:div>
    <w:div w:id="1588421580">
      <w:bodyDiv w:val="1"/>
      <w:marLeft w:val="0"/>
      <w:marRight w:val="0"/>
      <w:marTop w:val="0"/>
      <w:marBottom w:val="0"/>
      <w:divBdr>
        <w:top w:val="none" w:sz="0" w:space="0" w:color="auto"/>
        <w:left w:val="none" w:sz="0" w:space="0" w:color="auto"/>
        <w:bottom w:val="none" w:sz="0" w:space="0" w:color="auto"/>
        <w:right w:val="none" w:sz="0" w:space="0" w:color="auto"/>
      </w:divBdr>
    </w:div>
    <w:div w:id="1590851703">
      <w:bodyDiv w:val="1"/>
      <w:marLeft w:val="0"/>
      <w:marRight w:val="0"/>
      <w:marTop w:val="0"/>
      <w:marBottom w:val="0"/>
      <w:divBdr>
        <w:top w:val="none" w:sz="0" w:space="0" w:color="auto"/>
        <w:left w:val="none" w:sz="0" w:space="0" w:color="auto"/>
        <w:bottom w:val="none" w:sz="0" w:space="0" w:color="auto"/>
        <w:right w:val="none" w:sz="0" w:space="0" w:color="auto"/>
      </w:divBdr>
    </w:div>
    <w:div w:id="1710648358">
      <w:bodyDiv w:val="1"/>
      <w:marLeft w:val="0"/>
      <w:marRight w:val="0"/>
      <w:marTop w:val="0"/>
      <w:marBottom w:val="0"/>
      <w:divBdr>
        <w:top w:val="none" w:sz="0" w:space="0" w:color="auto"/>
        <w:left w:val="none" w:sz="0" w:space="0" w:color="auto"/>
        <w:bottom w:val="none" w:sz="0" w:space="0" w:color="auto"/>
        <w:right w:val="none" w:sz="0" w:space="0" w:color="auto"/>
      </w:divBdr>
    </w:div>
    <w:div w:id="1737431217">
      <w:bodyDiv w:val="1"/>
      <w:marLeft w:val="0"/>
      <w:marRight w:val="0"/>
      <w:marTop w:val="0"/>
      <w:marBottom w:val="0"/>
      <w:divBdr>
        <w:top w:val="none" w:sz="0" w:space="0" w:color="auto"/>
        <w:left w:val="none" w:sz="0" w:space="0" w:color="auto"/>
        <w:bottom w:val="none" w:sz="0" w:space="0" w:color="auto"/>
        <w:right w:val="none" w:sz="0" w:space="0" w:color="auto"/>
      </w:divBdr>
    </w:div>
    <w:div w:id="1737580589">
      <w:bodyDiv w:val="1"/>
      <w:marLeft w:val="0"/>
      <w:marRight w:val="0"/>
      <w:marTop w:val="0"/>
      <w:marBottom w:val="0"/>
      <w:divBdr>
        <w:top w:val="none" w:sz="0" w:space="0" w:color="auto"/>
        <w:left w:val="none" w:sz="0" w:space="0" w:color="auto"/>
        <w:bottom w:val="none" w:sz="0" w:space="0" w:color="auto"/>
        <w:right w:val="none" w:sz="0" w:space="0" w:color="auto"/>
      </w:divBdr>
    </w:div>
    <w:div w:id="1739744726">
      <w:bodyDiv w:val="1"/>
      <w:marLeft w:val="0"/>
      <w:marRight w:val="0"/>
      <w:marTop w:val="0"/>
      <w:marBottom w:val="0"/>
      <w:divBdr>
        <w:top w:val="none" w:sz="0" w:space="0" w:color="auto"/>
        <w:left w:val="none" w:sz="0" w:space="0" w:color="auto"/>
        <w:bottom w:val="none" w:sz="0" w:space="0" w:color="auto"/>
        <w:right w:val="none" w:sz="0" w:space="0" w:color="auto"/>
      </w:divBdr>
    </w:div>
    <w:div w:id="1755936830">
      <w:bodyDiv w:val="1"/>
      <w:marLeft w:val="0"/>
      <w:marRight w:val="0"/>
      <w:marTop w:val="0"/>
      <w:marBottom w:val="0"/>
      <w:divBdr>
        <w:top w:val="none" w:sz="0" w:space="0" w:color="auto"/>
        <w:left w:val="none" w:sz="0" w:space="0" w:color="auto"/>
        <w:bottom w:val="none" w:sz="0" w:space="0" w:color="auto"/>
        <w:right w:val="none" w:sz="0" w:space="0" w:color="auto"/>
      </w:divBdr>
    </w:div>
    <w:div w:id="1787042781">
      <w:bodyDiv w:val="1"/>
      <w:marLeft w:val="0"/>
      <w:marRight w:val="0"/>
      <w:marTop w:val="0"/>
      <w:marBottom w:val="0"/>
      <w:divBdr>
        <w:top w:val="none" w:sz="0" w:space="0" w:color="auto"/>
        <w:left w:val="none" w:sz="0" w:space="0" w:color="auto"/>
        <w:bottom w:val="none" w:sz="0" w:space="0" w:color="auto"/>
        <w:right w:val="none" w:sz="0" w:space="0" w:color="auto"/>
      </w:divBdr>
    </w:div>
    <w:div w:id="1797987144">
      <w:bodyDiv w:val="1"/>
      <w:marLeft w:val="0"/>
      <w:marRight w:val="0"/>
      <w:marTop w:val="0"/>
      <w:marBottom w:val="0"/>
      <w:divBdr>
        <w:top w:val="none" w:sz="0" w:space="0" w:color="auto"/>
        <w:left w:val="none" w:sz="0" w:space="0" w:color="auto"/>
        <w:bottom w:val="none" w:sz="0" w:space="0" w:color="auto"/>
        <w:right w:val="none" w:sz="0" w:space="0" w:color="auto"/>
      </w:divBdr>
    </w:div>
    <w:div w:id="1803307220">
      <w:bodyDiv w:val="1"/>
      <w:marLeft w:val="0"/>
      <w:marRight w:val="0"/>
      <w:marTop w:val="0"/>
      <w:marBottom w:val="0"/>
      <w:divBdr>
        <w:top w:val="none" w:sz="0" w:space="0" w:color="auto"/>
        <w:left w:val="none" w:sz="0" w:space="0" w:color="auto"/>
        <w:bottom w:val="none" w:sz="0" w:space="0" w:color="auto"/>
        <w:right w:val="none" w:sz="0" w:space="0" w:color="auto"/>
      </w:divBdr>
    </w:div>
    <w:div w:id="1815098032">
      <w:bodyDiv w:val="1"/>
      <w:marLeft w:val="0"/>
      <w:marRight w:val="0"/>
      <w:marTop w:val="0"/>
      <w:marBottom w:val="0"/>
      <w:divBdr>
        <w:top w:val="none" w:sz="0" w:space="0" w:color="auto"/>
        <w:left w:val="none" w:sz="0" w:space="0" w:color="auto"/>
        <w:bottom w:val="none" w:sz="0" w:space="0" w:color="auto"/>
        <w:right w:val="none" w:sz="0" w:space="0" w:color="auto"/>
      </w:divBdr>
    </w:div>
    <w:div w:id="1850026353">
      <w:bodyDiv w:val="1"/>
      <w:marLeft w:val="0"/>
      <w:marRight w:val="0"/>
      <w:marTop w:val="0"/>
      <w:marBottom w:val="0"/>
      <w:divBdr>
        <w:top w:val="none" w:sz="0" w:space="0" w:color="auto"/>
        <w:left w:val="none" w:sz="0" w:space="0" w:color="auto"/>
        <w:bottom w:val="none" w:sz="0" w:space="0" w:color="auto"/>
        <w:right w:val="none" w:sz="0" w:space="0" w:color="auto"/>
      </w:divBdr>
    </w:div>
    <w:div w:id="1886454228">
      <w:bodyDiv w:val="1"/>
      <w:marLeft w:val="0"/>
      <w:marRight w:val="0"/>
      <w:marTop w:val="0"/>
      <w:marBottom w:val="0"/>
      <w:divBdr>
        <w:top w:val="none" w:sz="0" w:space="0" w:color="auto"/>
        <w:left w:val="none" w:sz="0" w:space="0" w:color="auto"/>
        <w:bottom w:val="none" w:sz="0" w:space="0" w:color="auto"/>
        <w:right w:val="none" w:sz="0" w:space="0" w:color="auto"/>
      </w:divBdr>
    </w:div>
    <w:div w:id="2056005168">
      <w:bodyDiv w:val="1"/>
      <w:marLeft w:val="0"/>
      <w:marRight w:val="0"/>
      <w:marTop w:val="0"/>
      <w:marBottom w:val="0"/>
      <w:divBdr>
        <w:top w:val="none" w:sz="0" w:space="0" w:color="auto"/>
        <w:left w:val="none" w:sz="0" w:space="0" w:color="auto"/>
        <w:bottom w:val="none" w:sz="0" w:space="0" w:color="auto"/>
        <w:right w:val="none" w:sz="0" w:space="0" w:color="auto"/>
      </w:divBdr>
    </w:div>
    <w:div w:id="2081711067">
      <w:bodyDiv w:val="1"/>
      <w:marLeft w:val="0"/>
      <w:marRight w:val="0"/>
      <w:marTop w:val="0"/>
      <w:marBottom w:val="0"/>
      <w:divBdr>
        <w:top w:val="none" w:sz="0" w:space="0" w:color="auto"/>
        <w:left w:val="none" w:sz="0" w:space="0" w:color="auto"/>
        <w:bottom w:val="none" w:sz="0" w:space="0" w:color="auto"/>
        <w:right w:val="none" w:sz="0" w:space="0" w:color="auto"/>
      </w:divBdr>
    </w:div>
    <w:div w:id="211898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CCBECE-0698-CD45-BEF6-BC9214E44BED}" type="doc">
      <dgm:prSet loTypeId="urn:microsoft.com/office/officeart/2005/8/layout/venn1" loCatId="" qsTypeId="urn:microsoft.com/office/officeart/2005/8/quickstyle/simple4" qsCatId="simple" csTypeId="urn:microsoft.com/office/officeart/2005/8/colors/accent3_2" csCatId="accent3" phldr="1"/>
      <dgm:spPr/>
    </dgm:pt>
    <dgm:pt modelId="{F450C1BF-1FAB-2D45-85E0-32EF9C5F51E5}">
      <dgm:prSet phldrT="[Text]" custT="1"/>
      <dgm:spPr>
        <a:ln>
          <a:solidFill>
            <a:schemeClr val="tx1"/>
          </a:solidFill>
        </a:ln>
      </dgm:spPr>
      <dgm:t>
        <a:bodyPr/>
        <a:lstStyle/>
        <a:p>
          <a:r>
            <a:rPr lang="en-GB" sz="2000">
              <a:latin typeface="Times New Roman" charset="0"/>
              <a:ea typeface="Times New Roman" charset="0"/>
              <a:cs typeface="Times New Roman" charset="0"/>
            </a:rPr>
            <a:t>Art</a:t>
          </a:r>
          <a:r>
            <a:rPr lang="en-GB" sz="2000" baseline="0">
              <a:latin typeface="Times New Roman" charset="0"/>
              <a:ea typeface="Times New Roman" charset="0"/>
              <a:cs typeface="Times New Roman" charset="0"/>
            </a:rPr>
            <a:t> 5</a:t>
          </a:r>
          <a:endParaRPr lang="en-GB" sz="2000">
            <a:latin typeface="Times New Roman" charset="0"/>
            <a:ea typeface="Times New Roman" charset="0"/>
            <a:cs typeface="Times New Roman" charset="0"/>
          </a:endParaRPr>
        </a:p>
      </dgm:t>
    </dgm:pt>
    <dgm:pt modelId="{E5638A47-B7D0-A54D-A5B9-ACA78076260F}" type="parTrans" cxnId="{DD7ED350-BE31-5744-A056-A6714491DA3B}">
      <dgm:prSet/>
      <dgm:spPr/>
      <dgm:t>
        <a:bodyPr/>
        <a:lstStyle/>
        <a:p>
          <a:endParaRPr lang="en-GB"/>
        </a:p>
      </dgm:t>
    </dgm:pt>
    <dgm:pt modelId="{3BCAD586-CA92-1348-8EE3-31C0C56CF37E}" type="sibTrans" cxnId="{DD7ED350-BE31-5744-A056-A6714491DA3B}">
      <dgm:prSet/>
      <dgm:spPr/>
      <dgm:t>
        <a:bodyPr/>
        <a:lstStyle/>
        <a:p>
          <a:endParaRPr lang="en-GB"/>
        </a:p>
      </dgm:t>
    </dgm:pt>
    <dgm:pt modelId="{0656A3E1-EF6E-E746-B41E-8BF26DEB7F2C}">
      <dgm:prSet phldrT="[Text]" custT="1"/>
      <dgm:spPr>
        <a:ln>
          <a:solidFill>
            <a:schemeClr val="tx1"/>
          </a:solidFill>
        </a:ln>
      </dgm:spPr>
      <dgm:t>
        <a:bodyPr/>
        <a:lstStyle/>
        <a:p>
          <a:r>
            <a:rPr lang="en-GB" sz="2000">
              <a:latin typeface="Times New Roman" charset="0"/>
              <a:ea typeface="Times New Roman" charset="0"/>
              <a:cs typeface="Times New Roman" charset="0"/>
            </a:rPr>
            <a:t>A2P4</a:t>
          </a:r>
        </a:p>
      </dgm:t>
    </dgm:pt>
    <dgm:pt modelId="{69033C30-6A6A-DA41-871D-7AE1FCBBA672}" type="parTrans" cxnId="{9F2C1FCB-34D4-5F44-80E8-B1BEBDF6BFD4}">
      <dgm:prSet/>
      <dgm:spPr/>
      <dgm:t>
        <a:bodyPr/>
        <a:lstStyle/>
        <a:p>
          <a:endParaRPr lang="en-GB"/>
        </a:p>
      </dgm:t>
    </dgm:pt>
    <dgm:pt modelId="{AC75A5C7-3935-0544-ABC2-AD5A1FD64C4C}" type="sibTrans" cxnId="{9F2C1FCB-34D4-5F44-80E8-B1BEBDF6BFD4}">
      <dgm:prSet/>
      <dgm:spPr/>
      <dgm:t>
        <a:bodyPr/>
        <a:lstStyle/>
        <a:p>
          <a:endParaRPr lang="en-GB"/>
        </a:p>
      </dgm:t>
    </dgm:pt>
    <dgm:pt modelId="{88F67D1F-E204-BC4B-AFAE-1842A9AE326D}" type="pres">
      <dgm:prSet presAssocID="{50CCBECE-0698-CD45-BEF6-BC9214E44BED}" presName="compositeShape" presStyleCnt="0">
        <dgm:presLayoutVars>
          <dgm:chMax val="7"/>
          <dgm:dir/>
          <dgm:resizeHandles val="exact"/>
        </dgm:presLayoutVars>
      </dgm:prSet>
      <dgm:spPr/>
    </dgm:pt>
    <dgm:pt modelId="{740A4F4C-330B-7148-AF22-CDE232BA903B}" type="pres">
      <dgm:prSet presAssocID="{F450C1BF-1FAB-2D45-85E0-32EF9C5F51E5}" presName="circ1" presStyleLbl="vennNode1" presStyleIdx="0" presStyleCnt="2" custLinFactNeighborX="972" custLinFactNeighborY="-71"/>
      <dgm:spPr/>
      <dgm:t>
        <a:bodyPr/>
        <a:lstStyle/>
        <a:p>
          <a:endParaRPr lang="en-GB"/>
        </a:p>
      </dgm:t>
    </dgm:pt>
    <dgm:pt modelId="{833F9BA1-254A-CF4A-9E90-679CE44A4793}" type="pres">
      <dgm:prSet presAssocID="{F450C1BF-1FAB-2D45-85E0-32EF9C5F51E5}" presName="circ1Tx" presStyleLbl="revTx" presStyleIdx="0" presStyleCnt="0">
        <dgm:presLayoutVars>
          <dgm:chMax val="0"/>
          <dgm:chPref val="0"/>
          <dgm:bulletEnabled val="1"/>
        </dgm:presLayoutVars>
      </dgm:prSet>
      <dgm:spPr/>
      <dgm:t>
        <a:bodyPr/>
        <a:lstStyle/>
        <a:p>
          <a:endParaRPr lang="en-GB"/>
        </a:p>
      </dgm:t>
    </dgm:pt>
    <dgm:pt modelId="{138EE2E2-6735-DE4D-A436-F92F248839DF}" type="pres">
      <dgm:prSet presAssocID="{0656A3E1-EF6E-E746-B41E-8BF26DEB7F2C}" presName="circ2" presStyleLbl="vennNode1" presStyleIdx="1" presStyleCnt="2"/>
      <dgm:spPr/>
      <dgm:t>
        <a:bodyPr/>
        <a:lstStyle/>
        <a:p>
          <a:endParaRPr lang="en-GB"/>
        </a:p>
      </dgm:t>
    </dgm:pt>
    <dgm:pt modelId="{F2AA7257-D7CC-D44F-9697-9FEF4987F6D5}" type="pres">
      <dgm:prSet presAssocID="{0656A3E1-EF6E-E746-B41E-8BF26DEB7F2C}" presName="circ2Tx" presStyleLbl="revTx" presStyleIdx="0" presStyleCnt="0">
        <dgm:presLayoutVars>
          <dgm:chMax val="0"/>
          <dgm:chPref val="0"/>
          <dgm:bulletEnabled val="1"/>
        </dgm:presLayoutVars>
      </dgm:prSet>
      <dgm:spPr/>
      <dgm:t>
        <a:bodyPr/>
        <a:lstStyle/>
        <a:p>
          <a:endParaRPr lang="en-GB"/>
        </a:p>
      </dgm:t>
    </dgm:pt>
  </dgm:ptLst>
  <dgm:cxnLst>
    <dgm:cxn modelId="{9F2C1FCB-34D4-5F44-80E8-B1BEBDF6BFD4}" srcId="{50CCBECE-0698-CD45-BEF6-BC9214E44BED}" destId="{0656A3E1-EF6E-E746-B41E-8BF26DEB7F2C}" srcOrd="1" destOrd="0" parTransId="{69033C30-6A6A-DA41-871D-7AE1FCBBA672}" sibTransId="{AC75A5C7-3935-0544-ABC2-AD5A1FD64C4C}"/>
    <dgm:cxn modelId="{F370482D-8C23-444C-86AF-697F8FF94CE6}" type="presOf" srcId="{0656A3E1-EF6E-E746-B41E-8BF26DEB7F2C}" destId="{138EE2E2-6735-DE4D-A436-F92F248839DF}" srcOrd="0" destOrd="0" presId="urn:microsoft.com/office/officeart/2005/8/layout/venn1"/>
    <dgm:cxn modelId="{1D7958D1-AC15-2649-B422-DAEE4E8EC88E}" type="presOf" srcId="{F450C1BF-1FAB-2D45-85E0-32EF9C5F51E5}" destId="{833F9BA1-254A-CF4A-9E90-679CE44A4793}" srcOrd="1" destOrd="0" presId="urn:microsoft.com/office/officeart/2005/8/layout/venn1"/>
    <dgm:cxn modelId="{410B9A86-AECA-314A-AC4B-5D6C2A569E43}" type="presOf" srcId="{50CCBECE-0698-CD45-BEF6-BC9214E44BED}" destId="{88F67D1F-E204-BC4B-AFAE-1842A9AE326D}" srcOrd="0" destOrd="0" presId="urn:microsoft.com/office/officeart/2005/8/layout/venn1"/>
    <dgm:cxn modelId="{DD7ED350-BE31-5744-A056-A6714491DA3B}" srcId="{50CCBECE-0698-CD45-BEF6-BC9214E44BED}" destId="{F450C1BF-1FAB-2D45-85E0-32EF9C5F51E5}" srcOrd="0" destOrd="0" parTransId="{E5638A47-B7D0-A54D-A5B9-ACA78076260F}" sibTransId="{3BCAD586-CA92-1348-8EE3-31C0C56CF37E}"/>
    <dgm:cxn modelId="{DEDCB212-789B-CC44-82A4-F028916EE12D}" type="presOf" srcId="{0656A3E1-EF6E-E746-B41E-8BF26DEB7F2C}" destId="{F2AA7257-D7CC-D44F-9697-9FEF4987F6D5}" srcOrd="1" destOrd="0" presId="urn:microsoft.com/office/officeart/2005/8/layout/venn1"/>
    <dgm:cxn modelId="{2409C478-1761-2D4B-9682-5DB75CB360F5}" type="presOf" srcId="{F450C1BF-1FAB-2D45-85E0-32EF9C5F51E5}" destId="{740A4F4C-330B-7148-AF22-CDE232BA903B}" srcOrd="0" destOrd="0" presId="urn:microsoft.com/office/officeart/2005/8/layout/venn1"/>
    <dgm:cxn modelId="{CEA5F528-7D20-2745-B755-35B8C32B12FD}" type="presParOf" srcId="{88F67D1F-E204-BC4B-AFAE-1842A9AE326D}" destId="{740A4F4C-330B-7148-AF22-CDE232BA903B}" srcOrd="0" destOrd="0" presId="urn:microsoft.com/office/officeart/2005/8/layout/venn1"/>
    <dgm:cxn modelId="{B421E310-AB56-0548-B3C4-6B3BF5353B49}" type="presParOf" srcId="{88F67D1F-E204-BC4B-AFAE-1842A9AE326D}" destId="{833F9BA1-254A-CF4A-9E90-679CE44A4793}" srcOrd="1" destOrd="0" presId="urn:microsoft.com/office/officeart/2005/8/layout/venn1"/>
    <dgm:cxn modelId="{7B3C8DD0-176C-F34D-85E8-8D998A8039A7}" type="presParOf" srcId="{88F67D1F-E204-BC4B-AFAE-1842A9AE326D}" destId="{138EE2E2-6735-DE4D-A436-F92F248839DF}" srcOrd="2" destOrd="0" presId="urn:microsoft.com/office/officeart/2005/8/layout/venn1"/>
    <dgm:cxn modelId="{BDCF476B-C5F1-F246-B932-D96963F1FD4F}" type="presParOf" srcId="{88F67D1F-E204-BC4B-AFAE-1842A9AE326D}" destId="{F2AA7257-D7CC-D44F-9697-9FEF4987F6D5}" srcOrd="3"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A4F4C-330B-7148-AF22-CDE232BA903B}">
      <dsp:nvSpPr>
        <dsp:cNvPr id="0" name=""/>
        <dsp:cNvSpPr/>
      </dsp:nvSpPr>
      <dsp:spPr>
        <a:xfrm>
          <a:off x="1651641" y="2537"/>
          <a:ext cx="1252986" cy="1252986"/>
        </a:xfrm>
        <a:prstGeom prst="ellipse">
          <a:avLst/>
        </a:prstGeom>
        <a:gradFill rotWithShape="0">
          <a:gsLst>
            <a:gs pos="0">
              <a:schemeClr val="accent3">
                <a:alpha val="50000"/>
                <a:hueOff val="0"/>
                <a:satOff val="0"/>
                <a:lumOff val="0"/>
                <a:alphaOff val="0"/>
                <a:satMod val="103000"/>
                <a:lumMod val="102000"/>
                <a:tint val="94000"/>
              </a:schemeClr>
            </a:gs>
            <a:gs pos="50000">
              <a:schemeClr val="accent3">
                <a:alpha val="50000"/>
                <a:hueOff val="0"/>
                <a:satOff val="0"/>
                <a:lumOff val="0"/>
                <a:alphaOff val="0"/>
                <a:satMod val="110000"/>
                <a:lumMod val="100000"/>
                <a:shade val="100000"/>
              </a:schemeClr>
            </a:gs>
            <a:gs pos="100000">
              <a:schemeClr val="accent3">
                <a:alpha val="50000"/>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latin typeface="Times New Roman" charset="0"/>
              <a:ea typeface="Times New Roman" charset="0"/>
              <a:cs typeface="Times New Roman" charset="0"/>
            </a:rPr>
            <a:t>Art</a:t>
          </a:r>
          <a:r>
            <a:rPr lang="en-GB" sz="2000" kern="1200" baseline="0">
              <a:latin typeface="Times New Roman" charset="0"/>
              <a:ea typeface="Times New Roman" charset="0"/>
              <a:cs typeface="Times New Roman" charset="0"/>
            </a:rPr>
            <a:t> 5</a:t>
          </a:r>
          <a:endParaRPr lang="en-GB" sz="2000" kern="1200">
            <a:latin typeface="Times New Roman" charset="0"/>
            <a:ea typeface="Times New Roman" charset="0"/>
            <a:cs typeface="Times New Roman" charset="0"/>
          </a:endParaRPr>
        </a:p>
      </dsp:txBody>
      <dsp:txXfrm>
        <a:off x="1826608" y="150291"/>
        <a:ext cx="722442" cy="957478"/>
      </dsp:txXfrm>
    </dsp:sp>
    <dsp:sp modelId="{138EE2E2-6735-DE4D-A436-F92F248839DF}">
      <dsp:nvSpPr>
        <dsp:cNvPr id="0" name=""/>
        <dsp:cNvSpPr/>
      </dsp:nvSpPr>
      <dsp:spPr>
        <a:xfrm>
          <a:off x="2542515" y="3426"/>
          <a:ext cx="1252986" cy="1252986"/>
        </a:xfrm>
        <a:prstGeom prst="ellipse">
          <a:avLst/>
        </a:prstGeom>
        <a:gradFill rotWithShape="0">
          <a:gsLst>
            <a:gs pos="0">
              <a:schemeClr val="accent3">
                <a:alpha val="50000"/>
                <a:hueOff val="0"/>
                <a:satOff val="0"/>
                <a:lumOff val="0"/>
                <a:alphaOff val="0"/>
                <a:satMod val="103000"/>
                <a:lumMod val="102000"/>
                <a:tint val="94000"/>
              </a:schemeClr>
            </a:gs>
            <a:gs pos="50000">
              <a:schemeClr val="accent3">
                <a:alpha val="50000"/>
                <a:hueOff val="0"/>
                <a:satOff val="0"/>
                <a:lumOff val="0"/>
                <a:alphaOff val="0"/>
                <a:satMod val="110000"/>
                <a:lumMod val="100000"/>
                <a:shade val="100000"/>
              </a:schemeClr>
            </a:gs>
            <a:gs pos="100000">
              <a:schemeClr val="accent3">
                <a:alpha val="50000"/>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latin typeface="Times New Roman" charset="0"/>
              <a:ea typeface="Times New Roman" charset="0"/>
              <a:cs typeface="Times New Roman" charset="0"/>
            </a:rPr>
            <a:t>A2P4</a:t>
          </a:r>
        </a:p>
      </dsp:txBody>
      <dsp:txXfrm>
        <a:off x="2898093" y="151180"/>
        <a:ext cx="722442" cy="95747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EEADBD-A969-D148-B844-908D739A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9488</Words>
  <Characters>48579</Characters>
  <Application>Microsoft Macintosh Word</Application>
  <DocSecurity>0</DocSecurity>
  <Lines>665</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2018-01-11T17:42:00Z</cp:lastPrinted>
  <dcterms:created xsi:type="dcterms:W3CDTF">2018-10-06T17:00:00Z</dcterms:created>
  <dcterms:modified xsi:type="dcterms:W3CDTF">2018-10-06T17:00:00Z</dcterms:modified>
  <cp:category/>
</cp:coreProperties>
</file>