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CA" w:rsidRDefault="00AD7CCA" w:rsidP="00AE2AF9">
      <w:pPr>
        <w:pStyle w:val="Heading1"/>
        <w:jc w:val="center"/>
        <w:rPr>
          <w:rFonts w:ascii="Arial" w:hAnsi="Arial" w:cs="Arial"/>
          <w:b/>
          <w:bCs/>
          <w:smallCaps w:val="0"/>
          <w:color w:val="333333"/>
          <w:spacing w:val="0"/>
          <w:sz w:val="18"/>
          <w:szCs w:val="18"/>
          <w:shd w:val="clear" w:color="auto" w:fill="FFFFFF"/>
        </w:rPr>
      </w:pPr>
      <w:r w:rsidRPr="00AD7CCA">
        <w:rPr>
          <w:rFonts w:ascii="Arial" w:hAnsi="Arial" w:cs="Arial"/>
          <w:b/>
          <w:bCs/>
          <w:smallCaps w:val="0"/>
          <w:color w:val="333333"/>
          <w:spacing w:val="0"/>
          <w:sz w:val="18"/>
          <w:szCs w:val="18"/>
          <w:shd w:val="clear" w:color="auto" w:fill="FFFFFF"/>
        </w:rPr>
        <w:t>A SYSTEMATIC REVIEW OF CLINICAL STUDIES INVESTIGATING MESENCHYMAL STEM CELLS FOR FRACTURE NON-UNION AND BONE DEFECTS</w:t>
      </w:r>
    </w:p>
    <w:p w:rsidR="003848B0" w:rsidRDefault="003848B0" w:rsidP="00AE2AF9">
      <w:pPr>
        <w:pStyle w:val="Heading1"/>
        <w:jc w:val="center"/>
      </w:pPr>
      <w:bookmarkStart w:id="0" w:name="_GoBack"/>
      <w:bookmarkEnd w:id="0"/>
      <w:r>
        <w:t>A systematic review</w:t>
      </w:r>
      <w:r w:rsidR="00AD7716">
        <w:t xml:space="preserve"> of literature</w:t>
      </w:r>
    </w:p>
    <w:p w:rsidR="00AE2AF9" w:rsidRPr="00AE2AF9" w:rsidRDefault="00AE2AF9" w:rsidP="00AE2AF9">
      <w:pPr>
        <w:rPr>
          <w:sz w:val="24"/>
          <w:szCs w:val="24"/>
        </w:rPr>
      </w:pPr>
    </w:p>
    <w:p w:rsidR="00AE2AF9" w:rsidRPr="00AE2AF9" w:rsidRDefault="00AE2AF9" w:rsidP="00AE2AF9">
      <w:pPr>
        <w:rPr>
          <w:sz w:val="24"/>
          <w:szCs w:val="24"/>
        </w:rPr>
      </w:pPr>
    </w:p>
    <w:p w:rsidR="00AE2AF9" w:rsidRPr="00AE2AF9" w:rsidRDefault="00AE2AF9" w:rsidP="00AE2AF9">
      <w:pPr>
        <w:rPr>
          <w:sz w:val="24"/>
          <w:szCs w:val="24"/>
        </w:rPr>
      </w:pPr>
      <w:r w:rsidRPr="00AE2AF9">
        <w:rPr>
          <w:sz w:val="24"/>
          <w:szCs w:val="24"/>
        </w:rPr>
        <w:t xml:space="preserve">K. Killington, P. </w:t>
      </w:r>
      <w:proofErr w:type="spellStart"/>
      <w:r w:rsidRPr="00AE2AF9">
        <w:rPr>
          <w:sz w:val="24"/>
          <w:szCs w:val="24"/>
        </w:rPr>
        <w:t>Mafi</w:t>
      </w:r>
      <w:proofErr w:type="spellEnd"/>
      <w:r w:rsidRPr="00AE2AF9">
        <w:rPr>
          <w:sz w:val="24"/>
          <w:szCs w:val="24"/>
        </w:rPr>
        <w:t xml:space="preserve">, R. </w:t>
      </w:r>
      <w:proofErr w:type="spellStart"/>
      <w:r w:rsidRPr="00AE2AF9">
        <w:rPr>
          <w:sz w:val="24"/>
          <w:szCs w:val="24"/>
        </w:rPr>
        <w:t>Mafi</w:t>
      </w:r>
      <w:proofErr w:type="spellEnd"/>
      <w:r w:rsidRPr="00AE2AF9">
        <w:rPr>
          <w:sz w:val="24"/>
          <w:szCs w:val="24"/>
        </w:rPr>
        <w:t>, W</w:t>
      </w:r>
      <w:r>
        <w:rPr>
          <w:sz w:val="24"/>
          <w:szCs w:val="24"/>
        </w:rPr>
        <w:t>.</w:t>
      </w:r>
      <w:r w:rsidRPr="00AE2AF9">
        <w:rPr>
          <w:sz w:val="24"/>
          <w:szCs w:val="24"/>
        </w:rPr>
        <w:t xml:space="preserve"> Khan</w:t>
      </w:r>
    </w:p>
    <w:p w:rsidR="00AE2AF9" w:rsidRPr="00AE2AF9" w:rsidRDefault="00AE2AF9" w:rsidP="00AE2AF9">
      <w:pPr>
        <w:rPr>
          <w:sz w:val="24"/>
          <w:szCs w:val="24"/>
        </w:rPr>
      </w:pPr>
      <w:r w:rsidRPr="00AE2AF9">
        <w:rPr>
          <w:sz w:val="24"/>
          <w:szCs w:val="24"/>
        </w:rPr>
        <w:t xml:space="preserve"> Division of Trauma &amp; Orthopaedics, University of Cambridge, Cambridge, UK</w:t>
      </w:r>
    </w:p>
    <w:p w:rsidR="00AE2AF9" w:rsidRPr="00AE2AF9" w:rsidRDefault="00AE2AF9" w:rsidP="00AE2AF9">
      <w:pPr>
        <w:rPr>
          <w:sz w:val="24"/>
          <w:szCs w:val="24"/>
        </w:rPr>
      </w:pPr>
    </w:p>
    <w:p w:rsidR="00AE2AF9" w:rsidRPr="00AE2AF9" w:rsidRDefault="00AE2AF9" w:rsidP="00AE2AF9">
      <w:pPr>
        <w:rPr>
          <w:sz w:val="24"/>
          <w:szCs w:val="24"/>
        </w:rPr>
      </w:pPr>
      <w:r w:rsidRPr="00AE2AF9">
        <w:rPr>
          <w:sz w:val="24"/>
          <w:szCs w:val="24"/>
        </w:rPr>
        <w:t>Corresponding Author: Dr W.S. Khan, PhD, FRCS, Clinical Lecturer, Division of Trauma &amp; Orthopaedics, University of Cambridge, Cambridge, UK</w:t>
      </w:r>
    </w:p>
    <w:p w:rsidR="00AE2AF9" w:rsidRPr="00AE2AF9" w:rsidRDefault="00AE2AF9" w:rsidP="00AE2AF9">
      <w:pPr>
        <w:rPr>
          <w:sz w:val="24"/>
          <w:szCs w:val="24"/>
        </w:rPr>
      </w:pPr>
      <w:r w:rsidRPr="00AE2AF9">
        <w:rPr>
          <w:sz w:val="24"/>
          <w:szCs w:val="24"/>
        </w:rPr>
        <w:t>E-mail: wk280@cam.ac.uk</w:t>
      </w:r>
    </w:p>
    <w:p w:rsidR="00AE2AF9" w:rsidRPr="00AE2AF9" w:rsidRDefault="00AE2AF9" w:rsidP="00AE2AF9">
      <w:pPr>
        <w:rPr>
          <w:sz w:val="24"/>
          <w:szCs w:val="24"/>
        </w:rPr>
      </w:pPr>
      <w:r w:rsidRPr="00AE2AF9">
        <w:rPr>
          <w:sz w:val="24"/>
          <w:szCs w:val="24"/>
        </w:rPr>
        <w:t>Telephone: +44 (0) 7791 025554</w:t>
      </w:r>
    </w:p>
    <w:p w:rsidR="00AE2AF9" w:rsidRDefault="00AE2AF9">
      <w:pPr>
        <w:rPr>
          <w:smallCaps/>
          <w:spacing w:val="5"/>
          <w:sz w:val="32"/>
          <w:szCs w:val="32"/>
        </w:rPr>
      </w:pPr>
      <w:r>
        <w:br w:type="page"/>
      </w:r>
    </w:p>
    <w:p w:rsidR="00AD7716" w:rsidRDefault="00AD7716" w:rsidP="00AD7716">
      <w:pPr>
        <w:pStyle w:val="Heading1"/>
      </w:pPr>
      <w:r>
        <w:lastRenderedPageBreak/>
        <w:t xml:space="preserve">Abstract </w:t>
      </w:r>
    </w:p>
    <w:p w:rsidR="00E02181" w:rsidRDefault="00AD7716" w:rsidP="00AD7716">
      <w:r w:rsidRPr="004176A7">
        <w:rPr>
          <w:b/>
        </w:rPr>
        <w:t>Background</w:t>
      </w:r>
      <w:r>
        <w:t xml:space="preserve">: </w:t>
      </w:r>
      <w:r w:rsidR="00A53B27">
        <w:t>Fracture non-</w:t>
      </w:r>
      <w:r w:rsidR="0095035C">
        <w:t>unio</w:t>
      </w:r>
      <w:r w:rsidR="00B97A8E">
        <w:t>n is a significant problem with a wide demographic and massive economic and social elements, as well as the cli</w:t>
      </w:r>
      <w:r w:rsidR="00031FD4">
        <w:t>nical difficulties it presents. Conventi</w:t>
      </w:r>
      <w:r w:rsidR="00162136">
        <w:t>on</w:t>
      </w:r>
      <w:r w:rsidR="00031FD4">
        <w:t xml:space="preserve">al treatments with </w:t>
      </w:r>
      <w:r w:rsidR="00014B5A">
        <w:t xml:space="preserve">autograft and allograft </w:t>
      </w:r>
      <w:r w:rsidR="00162136">
        <w:t>bone grafting pose</w:t>
      </w:r>
      <w:r w:rsidR="00014B5A">
        <w:t>s</w:t>
      </w:r>
      <w:r w:rsidR="00162136">
        <w:t xml:space="preserve"> serious </w:t>
      </w:r>
      <w:r w:rsidR="00BF2186">
        <w:t xml:space="preserve">difficulties, thus, it is necessary to develop novel techniques with our ever increasing knowledge of </w:t>
      </w:r>
      <w:r w:rsidR="00E02181">
        <w:t>bioengineering using natural materials.</w:t>
      </w:r>
      <w:r w:rsidR="00014B5A">
        <w:t xml:space="preserve"> </w:t>
      </w:r>
    </w:p>
    <w:p w:rsidR="006D68DA" w:rsidRDefault="00AD7716" w:rsidP="008904FD">
      <w:r w:rsidRPr="004176A7">
        <w:rPr>
          <w:b/>
        </w:rPr>
        <w:t>Methods</w:t>
      </w:r>
      <w:r w:rsidR="00520F75">
        <w:t>:</w:t>
      </w:r>
      <w:r w:rsidR="003100B5">
        <w:t xml:space="preserve"> </w:t>
      </w:r>
      <w:r w:rsidR="0085638C">
        <w:t xml:space="preserve">Papers were searched from a variety of sources. The search was not limited to English-language studies. Unpublished papers were also searched. </w:t>
      </w:r>
      <w:r w:rsidR="008904FD">
        <w:t xml:space="preserve">Papers had to meet the definition of fracture non-union or bone defect and had to be clinical trials, using human MSCs. The individual merit of the mesenchymal stem cells needed to be noted. </w:t>
      </w:r>
    </w:p>
    <w:p w:rsidR="00AD7716" w:rsidRDefault="00AD7716" w:rsidP="00AD7716">
      <w:r w:rsidRPr="004176A7">
        <w:rPr>
          <w:b/>
        </w:rPr>
        <w:t>Results</w:t>
      </w:r>
      <w:r>
        <w:t xml:space="preserve">: </w:t>
      </w:r>
      <w:r w:rsidR="00265B72" w:rsidRPr="00265B72">
        <w:t>The results presented in this review show that the use of mesenchymal stem cells for the treatment of non-union and bone defects is optimistic. Several papers had positive outcomes to report</w:t>
      </w:r>
      <w:r w:rsidR="0099581C">
        <w:t xml:space="preserve">. </w:t>
      </w:r>
      <w:r w:rsidR="000E759D">
        <w:t>There is a need for higher level evidence.</w:t>
      </w:r>
    </w:p>
    <w:p w:rsidR="00AD7716" w:rsidRDefault="00F4282C" w:rsidP="00AD7716">
      <w:r>
        <w:rPr>
          <w:b/>
        </w:rPr>
        <w:t>Discussion</w:t>
      </w:r>
      <w:r w:rsidR="00AD7716">
        <w:t>:</w:t>
      </w:r>
      <w:r w:rsidR="0099581C">
        <w:t xml:space="preserve"> </w:t>
      </w:r>
      <w:r w:rsidR="0099581C" w:rsidRPr="0099581C">
        <w:t>A strong need of clinical results is required to further progress in cell therapy. Launched trials will hopefully provide this information in the near future. If clinical trials are positive, further development of complex tissue engineering techniques may be developed to treat large bone defects. A cost-benefit analysis and economical evaluation to identify the best indications for bone repair cell therapy as a standard procedure is vital</w:t>
      </w:r>
      <w:r w:rsidR="0099581C">
        <w:t>.</w:t>
      </w:r>
    </w:p>
    <w:p w:rsidR="00440755" w:rsidRPr="00AD7716" w:rsidRDefault="00AD7716" w:rsidP="00AD7716">
      <w:r w:rsidRPr="004176A7">
        <w:rPr>
          <w:b/>
        </w:rPr>
        <w:t>Keywords</w:t>
      </w:r>
      <w:r>
        <w:t xml:space="preserve">: </w:t>
      </w:r>
      <w:r w:rsidR="00440755">
        <w:t xml:space="preserve">Mesenchymal stem cells, MSC, treatment, fracture non-union, </w:t>
      </w:r>
      <w:proofErr w:type="spellStart"/>
      <w:r w:rsidR="00440755">
        <w:t>ununited</w:t>
      </w:r>
      <w:proofErr w:type="spellEnd"/>
      <w:r w:rsidR="00440755">
        <w:t xml:space="preserve"> fractures, </w:t>
      </w:r>
      <w:proofErr w:type="spellStart"/>
      <w:r w:rsidR="00440755">
        <w:t>pseudoarthrosis</w:t>
      </w:r>
      <w:proofErr w:type="spellEnd"/>
      <w:r w:rsidR="00440755">
        <w:t>, bone defects</w:t>
      </w:r>
    </w:p>
    <w:p w:rsidR="00AE2AF9" w:rsidRDefault="00AE2AF9">
      <w:pPr>
        <w:rPr>
          <w:smallCaps/>
          <w:spacing w:val="5"/>
          <w:sz w:val="32"/>
          <w:szCs w:val="32"/>
        </w:rPr>
      </w:pPr>
      <w:r>
        <w:br w:type="page"/>
      </w:r>
    </w:p>
    <w:p w:rsidR="00812F44" w:rsidRDefault="00107DF8" w:rsidP="00812F44">
      <w:pPr>
        <w:pStyle w:val="Heading1"/>
      </w:pPr>
      <w:r>
        <w:lastRenderedPageBreak/>
        <w:t xml:space="preserve">Introduction </w:t>
      </w:r>
    </w:p>
    <w:p w:rsidR="00107DF8" w:rsidRPr="00107DF8" w:rsidRDefault="00821EF3" w:rsidP="00107DF8">
      <w:pPr>
        <w:pStyle w:val="Heading3"/>
      </w:pPr>
      <w:r>
        <w:t>Fracture Non-union</w:t>
      </w:r>
    </w:p>
    <w:p w:rsidR="009864FB" w:rsidRDefault="009864FB" w:rsidP="009864FB">
      <w:r>
        <w:t xml:space="preserve">Fracture non-union poses a massive clinical problem as it is an outcome that is difficult to predict, and is associated with chronic pain and reduced locomotor function. Causes of fracture non-union includes </w:t>
      </w:r>
      <w:r w:rsidR="003F76E1">
        <w:t xml:space="preserve">biology associated factors (e.g. poor vascularisation), host associated factors (e.g. </w:t>
      </w:r>
      <w:r w:rsidR="00D36237">
        <w:t>vascular disease) and treatment-associated factors (e.g. improper stabilisation).</w:t>
      </w:r>
      <w:r w:rsidR="00D36237">
        <w:rPr>
          <w:rStyle w:val="EndnoteReference"/>
        </w:rPr>
        <w:endnoteReference w:id="1"/>
      </w:r>
      <w:r w:rsidR="00D36237">
        <w:t xml:space="preserve"> </w:t>
      </w:r>
      <w:r>
        <w:t>The definition of fracture non-union is not well defined. A 2007 paper defined fracture non-union as a disturbance of normal healing with the expectation that no consolidation will be achieved without focused and accurate treatment.</w:t>
      </w:r>
      <w:r>
        <w:rPr>
          <w:rStyle w:val="EndnoteReference"/>
        </w:rPr>
        <w:endnoteReference w:id="2"/>
      </w:r>
      <w:r>
        <w:t xml:space="preserve"> According to the U.S. Food and Drug Administration (FDA), non-union is defined as a fracture for which a minimum of 9 months has elapsed since the injury and for which there have been no signs of healing for 3 months.</w:t>
      </w:r>
      <w:r>
        <w:rPr>
          <w:rStyle w:val="EndnoteReference"/>
        </w:rPr>
        <w:endnoteReference w:id="3"/>
      </w:r>
      <w:r>
        <w:t xml:space="preserve"> This definition is, however, not comprehensive as some fractures experience delayed union or post-operative complications, such as infection. As there is no fully accepted definition, most clinicians rely on clinical and radiological examination.</w:t>
      </w:r>
      <w:r>
        <w:rPr>
          <w:rStyle w:val="EndnoteReference"/>
        </w:rPr>
        <w:endnoteReference w:id="4"/>
      </w:r>
      <w:r>
        <w:t xml:space="preserve"> The end stage of non-union may be the formation of pseudoarthrosis, or false joint, where a synovium is formed over the fractured bone.</w:t>
      </w:r>
      <w:r w:rsidR="00F3649B">
        <w:t xml:space="preserve"> </w:t>
      </w:r>
      <w:r>
        <w:t xml:space="preserve">Weber and </w:t>
      </w:r>
      <w:proofErr w:type="spellStart"/>
      <w:r>
        <w:t>Cech</w:t>
      </w:r>
      <w:proofErr w:type="spellEnd"/>
      <w:r>
        <w:t xml:space="preserve"> classify non-unions as either </w:t>
      </w:r>
      <w:proofErr w:type="spellStart"/>
      <w:r>
        <w:t>hypervascular</w:t>
      </w:r>
      <w:proofErr w:type="spellEnd"/>
      <w:r>
        <w:t>, which are capable of biological reaction, and avascular, which are not.</w:t>
      </w:r>
      <w:r>
        <w:rPr>
          <w:rStyle w:val="EndnoteReference"/>
        </w:rPr>
        <w:endnoteReference w:id="5"/>
      </w:r>
      <w:r>
        <w:t xml:space="preserve"> </w:t>
      </w:r>
      <w:r w:rsidR="00F3649B">
        <w:t xml:space="preserve">This classification by Weber and </w:t>
      </w:r>
      <w:proofErr w:type="spellStart"/>
      <w:r w:rsidR="00F3649B">
        <w:t>Cech</w:t>
      </w:r>
      <w:proofErr w:type="spellEnd"/>
      <w:r w:rsidR="00F3649B">
        <w:t xml:space="preserve"> was defined in 1976 and is still being used</w:t>
      </w:r>
      <w:r w:rsidR="00B35575">
        <w:t xml:space="preserve"> today, having several distinctions in the categories helps inform the likely outcomes.</w:t>
      </w:r>
    </w:p>
    <w:p w:rsidR="00BB5020" w:rsidRDefault="00812F44" w:rsidP="00F82938">
      <w:r>
        <w:t xml:space="preserve">Fractures are </w:t>
      </w:r>
      <w:r w:rsidR="00906BE7">
        <w:t>a massive economic a</w:t>
      </w:r>
      <w:r w:rsidR="004D410E">
        <w:t xml:space="preserve">nd social burden to the UK. </w:t>
      </w:r>
      <w:r w:rsidR="00596D19">
        <w:t xml:space="preserve">A 2008 paper by Donaldson et al. </w:t>
      </w:r>
      <w:r w:rsidR="00914337">
        <w:t xml:space="preserve">took a sample representative of the general UK population and </w:t>
      </w:r>
      <w:r w:rsidR="00596D19">
        <w:t xml:space="preserve">estimated the incidence of fractures to </w:t>
      </w:r>
      <w:r w:rsidR="00596D19" w:rsidRPr="006F17B9">
        <w:t>be 3.6 per 100 people per year</w:t>
      </w:r>
      <w:r w:rsidR="00596D19">
        <w:t xml:space="preserve">. </w:t>
      </w:r>
      <w:r w:rsidR="00447302" w:rsidRPr="00447302">
        <w:t>Lifetime fracture prevalence exceeds 50% in middle-aged men, and 40% in women over t</w:t>
      </w:r>
      <w:r w:rsidR="00447302">
        <w:t>he age of 75 years, with a reduced frequency in the non-white population.</w:t>
      </w:r>
      <w:r w:rsidR="00447302">
        <w:rPr>
          <w:rStyle w:val="EndnoteReference"/>
        </w:rPr>
        <w:endnoteReference w:id="6"/>
      </w:r>
      <w:r w:rsidR="00705EC5">
        <w:t xml:space="preserve"> </w:t>
      </w:r>
      <w:r w:rsidR="004D410E">
        <w:t xml:space="preserve">A 2013 </w:t>
      </w:r>
      <w:r w:rsidR="00596D19">
        <w:t xml:space="preserve">paper by Mills et al. </w:t>
      </w:r>
      <w:r w:rsidR="004D410E">
        <w:t xml:space="preserve">looked at </w:t>
      </w:r>
      <w:r w:rsidR="006F17B9">
        <w:t xml:space="preserve">the epidemiology of fracture non-union </w:t>
      </w:r>
      <w:r w:rsidR="004D410E">
        <w:t>in adults</w:t>
      </w:r>
      <w:r w:rsidR="00596D19">
        <w:t xml:space="preserve"> in the Scottish population</w:t>
      </w:r>
      <w:r w:rsidR="004D410E">
        <w:t>, expecting there to be approximately 850,00</w:t>
      </w:r>
      <w:r w:rsidR="004C7216">
        <w:t>0 new adult fractures each year and a</w:t>
      </w:r>
      <w:r w:rsidR="0039697C">
        <w:t xml:space="preserve"> retrospective analysis of this data found the overall incidence of non-unio</w:t>
      </w:r>
      <w:r w:rsidR="00E16548">
        <w:t xml:space="preserve">n to be </w:t>
      </w:r>
      <w:r w:rsidR="00E16548" w:rsidRPr="006F17B9">
        <w:t>18.4/100,000</w:t>
      </w:r>
      <w:r w:rsidR="00E16548" w:rsidRPr="006F1EA0">
        <w:rPr>
          <w:b/>
        </w:rPr>
        <w:t xml:space="preserve"> </w:t>
      </w:r>
      <w:r w:rsidR="00E16548">
        <w:t>per annum</w:t>
      </w:r>
      <w:r w:rsidR="00914337">
        <w:t>.</w:t>
      </w:r>
      <w:r w:rsidR="00914337">
        <w:rPr>
          <w:rStyle w:val="EndnoteReference"/>
        </w:rPr>
        <w:endnoteReference w:id="7"/>
      </w:r>
      <w:r w:rsidR="004A5899">
        <w:t xml:space="preserve"> </w:t>
      </w:r>
      <w:r w:rsidR="00A82952">
        <w:t>Non-union is considered a rare compl</w:t>
      </w:r>
      <w:r w:rsidR="00806F5D">
        <w:t>ication of paediatric fractures, with an estimated risk of 1 in 500 per fracture in boy’s aged under 14 and girls of all ages under 19.</w:t>
      </w:r>
      <w:r w:rsidR="00A82952">
        <w:t xml:space="preserve"> </w:t>
      </w:r>
      <w:r w:rsidR="00BE28AC">
        <w:t>The risk in boys increases to approximately 1 in 200 per fracture for those aged 15 – 19.</w:t>
      </w:r>
      <w:r w:rsidR="00910DD3">
        <w:rPr>
          <w:rStyle w:val="EndnoteReference"/>
        </w:rPr>
        <w:endnoteReference w:id="8"/>
      </w:r>
      <w:r w:rsidR="00BE28AC">
        <w:t xml:space="preserve"> </w:t>
      </w:r>
      <w:r w:rsidR="00247D8D">
        <w:t>In the United States, approximately 5-10% of the 7.9 million fractures created each year in the US fail to achieve bony union.</w:t>
      </w:r>
      <w:r w:rsidR="00247D8D">
        <w:rPr>
          <w:rStyle w:val="EndnoteReference"/>
        </w:rPr>
        <w:endnoteReference w:id="9"/>
      </w:r>
      <w:r w:rsidR="00247D8D">
        <w:t xml:space="preserve"> </w:t>
      </w:r>
      <w:r w:rsidR="004F06F0">
        <w:t>The average cost of treating a non-union is expected to be arou</w:t>
      </w:r>
      <w:r w:rsidR="009A0C7E">
        <w:t>nd £7,000 to £79,000 per person in addition to the i</w:t>
      </w:r>
      <w:r w:rsidR="004F06F0">
        <w:t xml:space="preserve">ndirect costs to the patient, such as loss of </w:t>
      </w:r>
      <w:r w:rsidR="00BD3093">
        <w:t>earnings</w:t>
      </w:r>
      <w:r w:rsidR="004F06F0">
        <w:t xml:space="preserve">, </w:t>
      </w:r>
      <w:r w:rsidR="009A0C7E">
        <w:t xml:space="preserve">which </w:t>
      </w:r>
      <w:r w:rsidR="004F06F0">
        <w:t>are hard to</w:t>
      </w:r>
      <w:r w:rsidR="00D156F7">
        <w:t xml:space="preserve"> </w:t>
      </w:r>
      <w:r w:rsidR="004F06F0">
        <w:t>quantify.</w:t>
      </w:r>
      <w:r w:rsidR="00BB5020">
        <w:rPr>
          <w:rStyle w:val="EndnoteReference"/>
        </w:rPr>
        <w:endnoteReference w:id="10"/>
      </w:r>
      <w:r w:rsidR="004F06F0">
        <w:t xml:space="preserve"> </w:t>
      </w:r>
    </w:p>
    <w:p w:rsidR="00AB52B1" w:rsidRPr="00BB5020" w:rsidRDefault="00AB52B1" w:rsidP="00F82938">
      <w:r>
        <w:t xml:space="preserve">Large non-unions </w:t>
      </w:r>
      <w:r w:rsidR="00F82938">
        <w:t xml:space="preserve">and bone defects </w:t>
      </w:r>
      <w:r>
        <w:t xml:space="preserve">(greater than four to five cm) are most frequently treated with bone grafting. </w:t>
      </w:r>
      <w:r w:rsidR="00F82938">
        <w:t>Autologous bone graft is the preferred treatment but the supply of suitable bone is limited and its collection is painful, with a risk of infection, haemorrhage, disability, nerve damage and loss of function. Therefore, it is important to turn our attention towards natural bioma</w:t>
      </w:r>
      <w:r w:rsidR="00FF3F56">
        <w:t>terials and tissue engineering.</w:t>
      </w:r>
      <w:r w:rsidR="00FF3F56">
        <w:rPr>
          <w:rStyle w:val="EndnoteReference"/>
        </w:rPr>
        <w:endnoteReference w:id="11"/>
      </w:r>
    </w:p>
    <w:p w:rsidR="00BD7B1C" w:rsidRDefault="00415D14" w:rsidP="0031183A">
      <w:r>
        <w:t xml:space="preserve">For the purpose of this paper, </w:t>
      </w:r>
      <w:r w:rsidR="002F301C">
        <w:t>I will be defining non-union as according to the FDA definition</w:t>
      </w:r>
      <w:r>
        <w:t xml:space="preserve"> and therefore this forms an inclusion criterion. </w:t>
      </w:r>
      <w:r w:rsidR="00BD7B1C">
        <w:t xml:space="preserve"> </w:t>
      </w:r>
    </w:p>
    <w:p w:rsidR="00821EF3" w:rsidRDefault="00821EF3" w:rsidP="00821EF3">
      <w:pPr>
        <w:pStyle w:val="Heading3"/>
      </w:pPr>
      <w:r>
        <w:t>Bone defects</w:t>
      </w:r>
    </w:p>
    <w:p w:rsidR="006D5CDE" w:rsidRDefault="00102D76" w:rsidP="0031183A">
      <w:r>
        <w:t xml:space="preserve">Bone defects can be defined as </w:t>
      </w:r>
      <w:r w:rsidR="00533602">
        <w:t xml:space="preserve">orthopaedic </w:t>
      </w:r>
      <w:r>
        <w:t>defect</w:t>
      </w:r>
      <w:r w:rsidR="00533602">
        <w:t>s</w:t>
      </w:r>
      <w:r>
        <w:t xml:space="preserve"> that will not heal without intervention</w:t>
      </w:r>
      <w:r w:rsidR="00533602">
        <w:t>.</w:t>
      </w:r>
      <w:r>
        <w:t xml:space="preserve"> A critical size defect </w:t>
      </w:r>
      <w:r w:rsidR="008A414A">
        <w:t xml:space="preserve">(CSD) </w:t>
      </w:r>
      <w:r>
        <w:t>is the smallest size tissue defect that will not completely heal over the</w:t>
      </w:r>
      <w:r w:rsidR="004413AE">
        <w:t xml:space="preserve"> natural lifetime</w:t>
      </w:r>
      <w:r w:rsidR="003F15B2">
        <w:t xml:space="preserve"> of an animal</w:t>
      </w:r>
      <w:r w:rsidR="004413AE">
        <w:t>.</w:t>
      </w:r>
      <w:r w:rsidR="003F15B2">
        <w:rPr>
          <w:rStyle w:val="EndnoteReference"/>
        </w:rPr>
        <w:endnoteReference w:id="12"/>
      </w:r>
      <w:r w:rsidR="004413AE">
        <w:t xml:space="preserve"> </w:t>
      </w:r>
      <w:r w:rsidR="00870CE0">
        <w:t>Another definition of this term</w:t>
      </w:r>
      <w:r w:rsidR="002A5495">
        <w:t xml:space="preserve"> was </w:t>
      </w:r>
      <w:r w:rsidR="00CA4AF1">
        <w:t>described</w:t>
      </w:r>
      <w:r w:rsidR="002A5495">
        <w:t xml:space="preserve"> as a segmental bon</w:t>
      </w:r>
      <w:r w:rsidR="00870CE0">
        <w:t xml:space="preserve">e deficiency 2 – 2.5 times longer than the diameter of the </w:t>
      </w:r>
      <w:r w:rsidR="00CA4AF1">
        <w:t>affected</w:t>
      </w:r>
      <w:r w:rsidR="00870CE0">
        <w:t xml:space="preserve"> bone. </w:t>
      </w:r>
      <w:r w:rsidR="002A5495">
        <w:t>Other cofactors, such as anatomical site, associated surrounding soft tissue and metabolic factors characterise a bone defect as critical.</w:t>
      </w:r>
      <w:r w:rsidR="00B03477">
        <w:rPr>
          <w:rStyle w:val="EndnoteReference"/>
        </w:rPr>
        <w:endnoteReference w:id="13"/>
      </w:r>
      <w:r w:rsidR="00B03477">
        <w:t xml:space="preserve"> </w:t>
      </w:r>
      <w:r w:rsidR="006D5CDE">
        <w:t xml:space="preserve">Up to now, there is no consensus on the proper definition of CSD in humans. </w:t>
      </w:r>
      <w:r w:rsidR="00C46D07">
        <w:t>Several animal-based studies have been conducted, but there are few clinical studies focused on managing critical size defects. Current definitions do not appropriately address the dimension of bone.</w:t>
      </w:r>
      <w:r w:rsidR="006A2326">
        <w:rPr>
          <w:rStyle w:val="EndnoteReference"/>
        </w:rPr>
        <w:endnoteReference w:id="14"/>
      </w:r>
      <w:r w:rsidR="00C46D07">
        <w:t xml:space="preserve"> </w:t>
      </w:r>
    </w:p>
    <w:p w:rsidR="00194869" w:rsidRDefault="00194869" w:rsidP="0031183A">
      <w:r>
        <w:t xml:space="preserve">Significant bone loss is only seen in a small minority of all fractures, but is more common in open fractures. A prospective audit of admissions to the Edinburgh Orthopaedic Trauma Unit between 1988 and 1998 showed </w:t>
      </w:r>
      <w:r>
        <w:lastRenderedPageBreak/>
        <w:t>fractures with bone loss accounted for 0.4% of all fractures in patients adm</w:t>
      </w:r>
      <w:r w:rsidR="00FF688A">
        <w:t xml:space="preserve">itted to hospital. When looking at </w:t>
      </w:r>
      <w:r>
        <w:t>open fractures</w:t>
      </w:r>
      <w:r w:rsidR="00FF688A">
        <w:t xml:space="preserve"> in isolation</w:t>
      </w:r>
      <w:r>
        <w:t>, this number jumped to 11.4%.</w:t>
      </w:r>
      <w:r w:rsidR="00F44788">
        <w:rPr>
          <w:rStyle w:val="EndnoteReference"/>
        </w:rPr>
        <w:endnoteReference w:id="15"/>
      </w:r>
      <w:r>
        <w:t xml:space="preserve"> </w:t>
      </w:r>
      <w:r w:rsidR="006A2AD8">
        <w:t xml:space="preserve">Other factors, besides trauma, capable of creating large bone defects include neoplasms, congenital defects, infection and failed arthroplasty. </w:t>
      </w:r>
    </w:p>
    <w:p w:rsidR="000705BC" w:rsidRPr="00DD7963" w:rsidRDefault="000705BC" w:rsidP="000705BC">
      <w:pPr>
        <w:rPr>
          <w:b/>
        </w:rPr>
      </w:pPr>
      <w:r>
        <w:t>Segmental defects in bone remain an ongoing challenge in musculoskeletal care. In segmental defects, the problem involves both absolute and relative size. Their absolute size can be measured and is clear. What is less clear is the impact of relative size of defects in a bone segment (e.g. a 2cm defect in the tibia would be different to a 2cm defect in a clavicle). Current options for bone defects is plentiful, including vacuum therapy, flap techniques, distraction osteogenesis, free vascularised fibula grafts and fibula-pro-tibia transfer.</w:t>
      </w:r>
      <w:r>
        <w:rPr>
          <w:rStyle w:val="EndnoteReference"/>
        </w:rPr>
        <w:endnoteReference w:id="16"/>
      </w:r>
      <w:r w:rsidRPr="000705BC">
        <w:rPr>
          <w:b/>
        </w:rPr>
        <w:t xml:space="preserve"> </w:t>
      </w:r>
    </w:p>
    <w:p w:rsidR="00B86A77" w:rsidRDefault="00C46D07" w:rsidP="00AE2AF9">
      <w:r>
        <w:t>As</w:t>
      </w:r>
      <w:r w:rsidR="00B86A77">
        <w:t xml:space="preserve"> much of the available literature treats bone defects as bone tissue that will not heal without intervention, this is the definition that I will be using for paper inclusion in this review. </w:t>
      </w:r>
    </w:p>
    <w:p w:rsidR="00821EF3" w:rsidRDefault="00821EF3" w:rsidP="00821EF3">
      <w:pPr>
        <w:pStyle w:val="Heading3"/>
      </w:pPr>
      <w:r>
        <w:t xml:space="preserve">Mesenchymal stem cells </w:t>
      </w:r>
    </w:p>
    <w:p w:rsidR="0095330A" w:rsidRDefault="005B6960" w:rsidP="0095330A">
      <w:r>
        <w:t>The International society for Cellular Therapy (ISCT) proposed a definition of mesenchymal stem cells as cells th</w:t>
      </w:r>
      <w:r w:rsidR="00353F8E">
        <w:t>at adhere to plastic, express specific surf</w:t>
      </w:r>
      <w:r w:rsidR="00C012BA">
        <w:t>ace antigens (CD105, CD73, CD90) and not express others (CD45, CD34, CD14 or CD11b, CD79a or CD19, and HLA class II),</w:t>
      </w:r>
      <w:r w:rsidR="00353F8E">
        <w:t xml:space="preserve"> and </w:t>
      </w:r>
      <w:r w:rsidR="00D10E36">
        <w:t xml:space="preserve">possess the ability to differentiate into osteoblasts, adipocytes and </w:t>
      </w:r>
      <w:proofErr w:type="spellStart"/>
      <w:r w:rsidR="00D10E36">
        <w:t>chondroblasts</w:t>
      </w:r>
      <w:proofErr w:type="spellEnd"/>
      <w:r w:rsidR="00D10E36">
        <w:t xml:space="preserve"> under standard in vitro conditions.</w:t>
      </w:r>
      <w:r w:rsidR="00D10E36">
        <w:rPr>
          <w:rStyle w:val="EndnoteReference"/>
        </w:rPr>
        <w:endnoteReference w:id="17"/>
      </w:r>
      <w:r w:rsidR="00D10E36">
        <w:t xml:space="preserve"> </w:t>
      </w:r>
      <w:r w:rsidR="0095330A">
        <w:t>M</w:t>
      </w:r>
      <w:r w:rsidR="005E220B">
        <w:t>SCs possess amazing potential; t</w:t>
      </w:r>
      <w:r w:rsidR="0095330A">
        <w:t>hey have been converted into osteoblasts in vitro by i</w:t>
      </w:r>
      <w:r w:rsidR="00BB5020">
        <w:t>ncubation with several agents.</w:t>
      </w:r>
      <w:r w:rsidR="00BB5020">
        <w:rPr>
          <w:rStyle w:val="EndnoteReference"/>
        </w:rPr>
        <w:endnoteReference w:id="18"/>
      </w:r>
      <w:r w:rsidR="0095330A">
        <w:t xml:space="preserve"> Thus forming the rationale for using them to treat fracture non-unions and bone defects. </w:t>
      </w:r>
    </w:p>
    <w:p w:rsidR="00A26203" w:rsidRDefault="00AB52B1" w:rsidP="00812F44">
      <w:r>
        <w:t xml:space="preserve">Several animal studies have been conducted. </w:t>
      </w:r>
      <w:r w:rsidR="00CF08B0">
        <w:t xml:space="preserve">Papers have long shown the benefit of MSCs to increase osteogenesis, </w:t>
      </w:r>
      <w:r w:rsidR="009465FB">
        <w:t>demonstrating</w:t>
      </w:r>
      <w:r w:rsidR="00CF08B0">
        <w:t xml:space="preserve"> that bone growth is </w:t>
      </w:r>
      <w:r w:rsidR="009465FB">
        <w:t>increased</w:t>
      </w:r>
      <w:r w:rsidR="00CF08B0">
        <w:t xml:space="preserve"> with the use of MSCs </w:t>
      </w:r>
      <w:r w:rsidR="009465FB">
        <w:t>more than with fresh bone marrow graft alone.</w:t>
      </w:r>
      <w:r w:rsidR="009465FB">
        <w:rPr>
          <w:rStyle w:val="EndnoteReference"/>
        </w:rPr>
        <w:endnoteReference w:id="19"/>
      </w:r>
      <w:r w:rsidR="009465FB">
        <w:t xml:space="preserve">  </w:t>
      </w:r>
    </w:p>
    <w:p w:rsidR="00CF671B" w:rsidRDefault="00CF671B" w:rsidP="00812F44">
      <w:r>
        <w:t>This review aims to look</w:t>
      </w:r>
      <w:r w:rsidR="00107DF8">
        <w:t xml:space="preserve"> at patients with un</w:t>
      </w:r>
      <w:r w:rsidR="00E479EE">
        <w:t>-</w:t>
      </w:r>
      <w:r w:rsidR="00107DF8">
        <w:t xml:space="preserve">united fractures or bony defects being treated with mesenchymal stem cells, to see if it results in bony union. Associated risks, complications and improvements to quality of life will also be investigated. </w:t>
      </w:r>
    </w:p>
    <w:p w:rsidR="00C579C1" w:rsidRDefault="00C579C1" w:rsidP="00C579C1">
      <w:pPr>
        <w:pStyle w:val="Heading1"/>
      </w:pPr>
      <w:r>
        <w:t xml:space="preserve">Methods </w:t>
      </w:r>
    </w:p>
    <w:p w:rsidR="00F32A96" w:rsidRDefault="00EB0EA5" w:rsidP="00F32A96">
      <w:r>
        <w:t xml:space="preserve">The search was conducted using </w:t>
      </w:r>
      <w:r w:rsidR="00DA32E5">
        <w:t xml:space="preserve">MEDLINE, PubMed, </w:t>
      </w:r>
      <w:proofErr w:type="spellStart"/>
      <w:r w:rsidR="00DA32E5">
        <w:t>Embase</w:t>
      </w:r>
      <w:proofErr w:type="spellEnd"/>
      <w:r w:rsidR="00DA32E5">
        <w:t xml:space="preserve"> and the Cochrane collaboration. </w:t>
      </w:r>
      <w:r w:rsidR="005F74F3">
        <w:t>MEDLINE s</w:t>
      </w:r>
      <w:r w:rsidR="00DA32E5">
        <w:t xml:space="preserve">earch terms included </w:t>
      </w:r>
      <w:r w:rsidR="00E41E9A">
        <w:t xml:space="preserve">“Mesenchymal Stem Cells”, “MSCs”, “Treatment”, “Fracture non-union”, “Fractures, </w:t>
      </w:r>
      <w:proofErr w:type="spellStart"/>
      <w:r w:rsidR="00E41E9A">
        <w:t>ununited</w:t>
      </w:r>
      <w:proofErr w:type="spellEnd"/>
      <w:r w:rsidR="00E41E9A">
        <w:t>”, “</w:t>
      </w:r>
      <w:proofErr w:type="spellStart"/>
      <w:r w:rsidR="00E41E9A">
        <w:t>Pseudoarthrosis</w:t>
      </w:r>
      <w:proofErr w:type="spellEnd"/>
      <w:r w:rsidR="00E41E9A">
        <w:t xml:space="preserve">” and “bone defects”. </w:t>
      </w:r>
      <w:r w:rsidR="00DA32E5">
        <w:t>Unpublished studies were searched in the clinical trials registries</w:t>
      </w:r>
      <w:r w:rsidR="006C6DF2">
        <w:rPr>
          <w:rStyle w:val="EndnoteReference"/>
        </w:rPr>
        <w:endnoteReference w:id="20"/>
      </w:r>
      <w:r w:rsidR="006C6DF2">
        <w:t xml:space="preserve"> </w:t>
      </w:r>
      <w:r w:rsidR="005A6CC4">
        <w:t xml:space="preserve"> and the </w:t>
      </w:r>
      <w:r w:rsidR="006C6DF2">
        <w:t>WHO International Clinical Trials Registry Platform (WHO ICTRP).</w:t>
      </w:r>
      <w:r w:rsidR="002F06B8">
        <w:rPr>
          <w:rStyle w:val="EndnoteReference"/>
        </w:rPr>
        <w:endnoteReference w:id="21"/>
      </w:r>
      <w:r w:rsidR="006C6DF2">
        <w:t xml:space="preserve"> An outline of these trials will be shown </w:t>
      </w:r>
      <w:r w:rsidR="00530B15">
        <w:t>in the results section (</w:t>
      </w:r>
      <w:r w:rsidR="002162A1">
        <w:t>T</w:t>
      </w:r>
      <w:r w:rsidR="006C6DF2">
        <w:t>able 1</w:t>
      </w:r>
      <w:r w:rsidR="00530B15">
        <w:t>)</w:t>
      </w:r>
      <w:r w:rsidR="006C6DF2">
        <w:t xml:space="preserve">. </w:t>
      </w:r>
    </w:p>
    <w:p w:rsidR="002962E6" w:rsidRDefault="00101851" w:rsidP="00C579C1">
      <w:r>
        <w:t>The search was not limited to English</w:t>
      </w:r>
      <w:r w:rsidR="0028500F">
        <w:t>-language</w:t>
      </w:r>
      <w:r>
        <w:t xml:space="preserve"> studies. </w:t>
      </w:r>
      <w:r w:rsidR="0089238A">
        <w:t>Furthermore</w:t>
      </w:r>
      <w:r w:rsidR="00F464B4">
        <w:t xml:space="preserve">, reference lists of relevant articles and related citations found by electronic search were </w:t>
      </w:r>
      <w:r w:rsidR="0089238A">
        <w:t>hand-</w:t>
      </w:r>
      <w:r w:rsidR="00F464B4">
        <w:t xml:space="preserve">searched </w:t>
      </w:r>
      <w:r w:rsidR="0089238A">
        <w:t>to identify</w:t>
      </w:r>
      <w:r w:rsidR="00F24120">
        <w:t xml:space="preserve"> additi</w:t>
      </w:r>
      <w:r w:rsidR="00F32A96">
        <w:t xml:space="preserve">onal relevant articles. </w:t>
      </w:r>
      <w:r w:rsidR="008D04E6">
        <w:t>Bias of the articles included was checked according to the CASP checklist and papers were excluded</w:t>
      </w:r>
      <w:r w:rsidR="00FD5E87">
        <w:t xml:space="preserve"> if they were likely</w:t>
      </w:r>
      <w:r w:rsidR="00F43EE7">
        <w:t xml:space="preserve"> to hold </w:t>
      </w:r>
      <w:r w:rsidR="00A86FCC">
        <w:t>substantial</w:t>
      </w:r>
      <w:r w:rsidR="00F43EE7">
        <w:t xml:space="preserve"> bias</w:t>
      </w:r>
      <w:r w:rsidR="00FD5E87">
        <w:t xml:space="preserve">. </w:t>
      </w:r>
    </w:p>
    <w:p w:rsidR="002962E6" w:rsidRDefault="002962E6" w:rsidP="00C579C1">
      <w:r>
        <w:t xml:space="preserve">Studies were selected based on the following criteria: </w:t>
      </w:r>
    </w:p>
    <w:p w:rsidR="00280C0F" w:rsidRDefault="002962E6" w:rsidP="002962E6">
      <w:pPr>
        <w:pStyle w:val="ListParagraph"/>
        <w:numPr>
          <w:ilvl w:val="0"/>
          <w:numId w:val="2"/>
        </w:numPr>
      </w:pPr>
      <w:r>
        <w:t xml:space="preserve">Papers had to meet the definition of </w:t>
      </w:r>
      <w:r w:rsidR="00280C0F">
        <w:t>fracture non-union or bone defect</w:t>
      </w:r>
      <w:r w:rsidR="002162A1">
        <w:t>.</w:t>
      </w:r>
    </w:p>
    <w:p w:rsidR="00C579C1" w:rsidRDefault="00886E5F" w:rsidP="002962E6">
      <w:pPr>
        <w:pStyle w:val="ListParagraph"/>
        <w:numPr>
          <w:ilvl w:val="0"/>
          <w:numId w:val="2"/>
        </w:numPr>
      </w:pPr>
      <w:r>
        <w:t xml:space="preserve">Papers had to </w:t>
      </w:r>
      <w:r w:rsidR="00C93FA4">
        <w:t xml:space="preserve">be clinical trials </w:t>
      </w:r>
      <w:r w:rsidR="005803E5">
        <w:t>(systematic review of t</w:t>
      </w:r>
      <w:r w:rsidR="00295E2A">
        <w:t>rials, RCT, observational study)</w:t>
      </w:r>
      <w:r w:rsidR="002162A1">
        <w:t>.</w:t>
      </w:r>
    </w:p>
    <w:p w:rsidR="00280C0F" w:rsidRDefault="00280C0F" w:rsidP="00C579C1">
      <w:r>
        <w:t xml:space="preserve">Papers were excluded if: </w:t>
      </w:r>
    </w:p>
    <w:p w:rsidR="00B35EDA" w:rsidRDefault="00280C0F" w:rsidP="00C579C1">
      <w:pPr>
        <w:pStyle w:val="ListParagraph"/>
        <w:numPr>
          <w:ilvl w:val="0"/>
          <w:numId w:val="3"/>
        </w:numPr>
      </w:pPr>
      <w:r>
        <w:t>They were conduct</w:t>
      </w:r>
      <w:r w:rsidR="000A710C">
        <w:t>ed on animals, with or without the use of human MSCs.</w:t>
      </w:r>
      <w:r w:rsidR="00B35EDA">
        <w:t xml:space="preserve"> </w:t>
      </w:r>
    </w:p>
    <w:p w:rsidR="00697E7E" w:rsidRDefault="00697E7E" w:rsidP="00C579C1">
      <w:pPr>
        <w:pStyle w:val="ListParagraph"/>
        <w:numPr>
          <w:ilvl w:val="0"/>
          <w:numId w:val="3"/>
        </w:numPr>
      </w:pPr>
      <w:r>
        <w:t xml:space="preserve">They focused on </w:t>
      </w:r>
      <w:r w:rsidR="00A36072">
        <w:t>scientific application</w:t>
      </w:r>
      <w:r w:rsidR="00886E5F">
        <w:t xml:space="preserve">, </w:t>
      </w:r>
      <w:r w:rsidR="00A36072">
        <w:t xml:space="preserve">but not the clinical applications of MSCs. </w:t>
      </w:r>
    </w:p>
    <w:p w:rsidR="008508FA" w:rsidRDefault="008508FA" w:rsidP="00C579C1">
      <w:pPr>
        <w:pStyle w:val="ListParagraph"/>
        <w:numPr>
          <w:ilvl w:val="0"/>
          <w:numId w:val="3"/>
        </w:numPr>
      </w:pPr>
      <w:r>
        <w:lastRenderedPageBreak/>
        <w:t>They didn’t discuss the individual merit of MSCs (e.g. focused only on marrow transplant</w:t>
      </w:r>
      <w:r w:rsidR="002162A1">
        <w:t>, without acknowledging the confounding factors associated with bone marrow grafting compared to just MSCs</w:t>
      </w:r>
      <w:r>
        <w:t>)</w:t>
      </w:r>
      <w:r w:rsidR="002162A1">
        <w:t>.</w:t>
      </w:r>
      <w:r>
        <w:t xml:space="preserve"> </w:t>
      </w:r>
    </w:p>
    <w:p w:rsidR="006B01BE" w:rsidRDefault="00CA56A3" w:rsidP="006C614D">
      <w:pPr>
        <w:pStyle w:val="Heading1"/>
      </w:pPr>
      <w:r>
        <w:t xml:space="preserve">Results </w:t>
      </w:r>
    </w:p>
    <w:p w:rsidR="006B01BE" w:rsidRPr="006B01BE" w:rsidRDefault="006B01BE" w:rsidP="006C614D">
      <w:pPr>
        <w:pStyle w:val="Heading2"/>
      </w:pPr>
      <w:r>
        <w:t xml:space="preserve">Effect of concentration of MSCs </w:t>
      </w:r>
    </w:p>
    <w:p w:rsidR="007D6594" w:rsidRPr="008825CF" w:rsidRDefault="00411A39" w:rsidP="00097B27">
      <w:r>
        <w:t xml:space="preserve">Mesenchymal Stem Cells have long shown promise in the treatment of fracture non-union and bone defects. This was first illustrated </w:t>
      </w:r>
      <w:r w:rsidR="007D6594">
        <w:t>by Healey et al., who showed promising outcomes in eight patients with primary sarcomas treated by extensive en bloc resections and reconstruction using internal fixation</w:t>
      </w:r>
      <w:r w:rsidR="009808D6">
        <w:t xml:space="preserve"> who developed delayed unions or</w:t>
      </w:r>
      <w:r w:rsidR="007D6594">
        <w:t xml:space="preserve"> non-unions. These patients were then treated with injection of autogenic bone marrow in situ. Bone formation was noted in seven patients after injection. Union was achieved in five of the patients. </w:t>
      </w:r>
      <w:r w:rsidR="00B50B7B">
        <w:t xml:space="preserve">This good outcome, </w:t>
      </w:r>
      <w:r w:rsidR="00B1105E">
        <w:t>achieved</w:t>
      </w:r>
      <w:r w:rsidR="00B50B7B">
        <w:t xml:space="preserve"> </w:t>
      </w:r>
      <w:r w:rsidR="00B1105E">
        <w:t xml:space="preserve">under difficult clinical conditions, </w:t>
      </w:r>
      <w:r w:rsidR="008825CF">
        <w:t>sparked interest among clinicians regarding autogenic bone marrow grafting as a potential treatment option.</w:t>
      </w:r>
      <w:r w:rsidR="000B7AD6">
        <w:rPr>
          <w:rStyle w:val="EndnoteReference"/>
        </w:rPr>
        <w:endnoteReference w:id="22"/>
      </w:r>
    </w:p>
    <w:p w:rsidR="00097B27" w:rsidRDefault="007D6594" w:rsidP="00097B27">
      <w:pPr>
        <w:rPr>
          <w:b/>
        </w:rPr>
      </w:pPr>
      <w:r>
        <w:t>I</w:t>
      </w:r>
      <w:r w:rsidR="005816B4">
        <w:t xml:space="preserve">n 1986, Connolly JF et al. carried out a 15-year experiment to follow up patients who had been treated using percutaneous marrow injection to fix a non-union bone defect of their tibia. The sample size was 100 patients and the study concluded that marrow graft have potential for treating this type of injury. </w:t>
      </w:r>
      <w:r w:rsidR="004342BC">
        <w:t xml:space="preserve">This method was shown to be more efficient when compared to the previous standard – open iliac crest grafting. </w:t>
      </w:r>
      <w:r w:rsidR="005816B4">
        <w:t xml:space="preserve"> </w:t>
      </w:r>
      <w:r w:rsidR="00B55760">
        <w:t>When investigated further, it was shown that the quantity of MSCs injected was positively correlated with the quality of healing.</w:t>
      </w:r>
      <w:r w:rsidR="000B7AD6">
        <w:rPr>
          <w:rStyle w:val="EndnoteReference"/>
        </w:rPr>
        <w:endnoteReference w:id="23"/>
      </w:r>
      <w:r w:rsidR="00972AA6">
        <w:rPr>
          <w:vertAlign w:val="superscript"/>
        </w:rPr>
        <w:t xml:space="preserve">, </w:t>
      </w:r>
      <w:r w:rsidR="00972AA6">
        <w:rPr>
          <w:rStyle w:val="EndnoteReference"/>
        </w:rPr>
        <w:endnoteReference w:id="24"/>
      </w:r>
      <w:r>
        <w:rPr>
          <w:b/>
        </w:rPr>
        <w:t xml:space="preserve"> </w:t>
      </w:r>
      <w:r w:rsidR="00F63A1E">
        <w:t xml:space="preserve">Patients whose fractures did not heal received fewer than 1000 MSCs per mL and fewer than 30,000 MSCs in total, whereas those whose fractures healed received significantly higher MSC concentrations and counts, with a mean of 1500MSCs per mL and 54,000MSCs </w:t>
      </w:r>
      <w:r w:rsidR="00972AA6">
        <w:t>in total, in a volume of 20 ml</w:t>
      </w:r>
      <w:r w:rsidR="00946948">
        <w:t>, demonstrating a dose-response relationship</w:t>
      </w:r>
      <w:r w:rsidR="00972AA6">
        <w:t>.</w:t>
      </w:r>
      <w:r w:rsidR="00972AA6">
        <w:rPr>
          <w:rStyle w:val="EndnoteReference"/>
        </w:rPr>
        <w:endnoteReference w:id="25"/>
      </w:r>
    </w:p>
    <w:p w:rsidR="006B01BE" w:rsidRPr="007D6594" w:rsidRDefault="006B01BE" w:rsidP="006C614D">
      <w:pPr>
        <w:pStyle w:val="Heading2"/>
      </w:pPr>
      <w:r>
        <w:t xml:space="preserve">Case reports </w:t>
      </w:r>
    </w:p>
    <w:p w:rsidR="005D51FB" w:rsidRDefault="00F63A1E" w:rsidP="00097B27">
      <w:pPr>
        <w:rPr>
          <w:b/>
        </w:rPr>
      </w:pPr>
      <w:r>
        <w:t xml:space="preserve">These results were corroborated by </w:t>
      </w:r>
      <w:proofErr w:type="spellStart"/>
      <w:r>
        <w:t>Hernigou</w:t>
      </w:r>
      <w:proofErr w:type="spellEnd"/>
      <w:r>
        <w:t xml:space="preserve"> et al. in 2005. 60 patients with </w:t>
      </w:r>
      <w:r w:rsidR="007D6594">
        <w:t>non-infected</w:t>
      </w:r>
      <w:r>
        <w:t xml:space="preserve"> atrophic non-union of the tibia</w:t>
      </w:r>
      <w:r w:rsidR="005D51FB">
        <w:t xml:space="preserve"> were evaluated</w:t>
      </w:r>
      <w:r>
        <w:t>. Marrow was aspirated, concentrated in a cell separator and roughly 20cm</w:t>
      </w:r>
      <w:r>
        <w:rPr>
          <w:vertAlign w:val="superscript"/>
        </w:rPr>
        <w:t>3</w:t>
      </w:r>
      <w:r>
        <w:t xml:space="preserve"> was injected into non-union sites. The num</w:t>
      </w:r>
      <w:r w:rsidR="000B57FC">
        <w:t>ber of progenitor cells that were</w:t>
      </w:r>
      <w:r>
        <w:t xml:space="preserve"> transplanted was estimated by counting the fibroblast colony-forming units. A positive correlation between the volume of mineralised callus at four months and the number and concentration of fibroblast CFU in the graft was observed. 7</w:t>
      </w:r>
      <w:r w:rsidR="00D05E8F">
        <w:t xml:space="preserve"> of these</w:t>
      </w:r>
      <w:r>
        <w:t xml:space="preserve"> patients did no</w:t>
      </w:r>
      <w:r w:rsidR="005D51FB">
        <w:t>t</w:t>
      </w:r>
      <w:r>
        <w:t xml:space="preserve"> achieve union. In all these cases, both the concentration and the total number of stem cells injected were significantly lower tha</w:t>
      </w:r>
      <w:r w:rsidR="00D05E8F">
        <w:t>n in patients with bony union (a</w:t>
      </w:r>
      <w:r>
        <w:t>verage of 2579 progenitors/cm</w:t>
      </w:r>
      <w:r>
        <w:rPr>
          <w:vertAlign w:val="superscript"/>
        </w:rPr>
        <w:t>3</w:t>
      </w:r>
      <w:r w:rsidR="00D05E8F">
        <w:t>).</w:t>
      </w:r>
      <w:r>
        <w:t xml:space="preserve"> In the 53 that achieved union, there was an average of &gt;1500 progenitors/cm</w:t>
      </w:r>
      <w:r>
        <w:rPr>
          <w:vertAlign w:val="superscript"/>
        </w:rPr>
        <w:t>3</w:t>
      </w:r>
      <w:r>
        <w:t>. In the 7 that did not, the concentration of progenitors was significantly (P=0.001) lower, with 634 progenitors/cm</w:t>
      </w:r>
      <w:r>
        <w:rPr>
          <w:vertAlign w:val="superscript"/>
        </w:rPr>
        <w:t>3</w:t>
      </w:r>
      <w:r>
        <w:t>.</w:t>
      </w:r>
      <w:r w:rsidR="00831B18">
        <w:t xml:space="preserve"> However</w:t>
      </w:r>
      <w:r w:rsidR="00831B18" w:rsidRPr="00831B18">
        <w:t>,</w:t>
      </w:r>
      <w:r w:rsidRPr="00831B18">
        <w:t xml:space="preserve"> </w:t>
      </w:r>
      <w:r w:rsidR="00831B18" w:rsidRPr="00831B18">
        <w:t>t</w:t>
      </w:r>
      <w:r w:rsidR="00EC5BE9">
        <w:t xml:space="preserve">he fracture gap was reduced, </w:t>
      </w:r>
      <w:r>
        <w:t xml:space="preserve">measured by radiograph and computerised tomography (CT). The effect of this paper was reduced as mesenchymal stem cells were not the only transplanted cells. There were also mononuclear cells, alongside other cells, that exhibited osteogenic and </w:t>
      </w:r>
      <w:proofErr w:type="spellStart"/>
      <w:r>
        <w:t>angiogenic</w:t>
      </w:r>
      <w:proofErr w:type="spellEnd"/>
      <w:r>
        <w:t xml:space="preserve"> properties, which would have affected the clinical outcom</w:t>
      </w:r>
      <w:r w:rsidR="00E336BD">
        <w:t>e. There was no placebo cohort.</w:t>
      </w:r>
      <w:r w:rsidR="00E336BD">
        <w:rPr>
          <w:rStyle w:val="EndnoteReference"/>
        </w:rPr>
        <w:endnoteReference w:id="26"/>
      </w:r>
    </w:p>
    <w:p w:rsidR="004E0C10" w:rsidRPr="00162E31" w:rsidRDefault="002757EF" w:rsidP="009229C6">
      <w:r>
        <w:t>A case that demonstrates the efficacy of MSCs above other therapies was shown by Bajada et al. A case report detailing a nine year tibial non-union resistant to six previous surgical interventions. They used autologous bone marrow stromal MSCs expanded to 5x106 cells after three weeks of tissue culture, followed by a combination of calcium sulphate in pellet form along with MSCs. Bony fusion occurred after two months.</w:t>
      </w:r>
      <w:r w:rsidR="00E336BD">
        <w:rPr>
          <w:rStyle w:val="EndnoteReference"/>
        </w:rPr>
        <w:endnoteReference w:id="27"/>
      </w:r>
      <w:r w:rsidR="00394973">
        <w:t xml:space="preserve"> In a similar case (where previous therapeutic interventions have not been successful), </w:t>
      </w:r>
      <w:r w:rsidR="001D14E0">
        <w:t xml:space="preserve">MSCs derived from the periosteum were injected into a patient </w:t>
      </w:r>
      <w:r>
        <w:t>with atrophic non-union of the distal fem</w:t>
      </w:r>
      <w:r w:rsidR="00162E31">
        <w:t xml:space="preserve">ur after correction osteotomy. </w:t>
      </w:r>
      <w:r>
        <w:t xml:space="preserve">The authors </w:t>
      </w:r>
      <w:r w:rsidR="00162E31">
        <w:t>established</w:t>
      </w:r>
      <w:r>
        <w:t xml:space="preserve"> </w:t>
      </w:r>
      <w:r w:rsidR="00614052">
        <w:t xml:space="preserve">that autologous MSCs </w:t>
      </w:r>
      <w:r>
        <w:t xml:space="preserve">cultivated on a three-dimensional matrix </w:t>
      </w:r>
      <w:r w:rsidR="00162E31">
        <w:t>made</w:t>
      </w:r>
      <w:r>
        <w:t xml:space="preserve"> of collagen can </w:t>
      </w:r>
      <w:r w:rsidR="00162E31">
        <w:t>encourage</w:t>
      </w:r>
      <w:r>
        <w:t xml:space="preserve"> bone regeneration in </w:t>
      </w:r>
      <w:r w:rsidR="00614052">
        <w:t>complicated case</w:t>
      </w:r>
      <w:r w:rsidR="00162E31">
        <w:t>s</w:t>
      </w:r>
      <w:r w:rsidR="00614052">
        <w:t xml:space="preserve"> of non-union. </w:t>
      </w:r>
      <w:r>
        <w:t xml:space="preserve">The </w:t>
      </w:r>
      <w:r w:rsidR="00614052">
        <w:t>advantage</w:t>
      </w:r>
      <w:r>
        <w:t xml:space="preserve"> of this </w:t>
      </w:r>
      <w:r w:rsidR="00614052">
        <w:t>method</w:t>
      </w:r>
      <w:r>
        <w:t xml:space="preserve"> is based on the </w:t>
      </w:r>
      <w:r w:rsidR="00614052">
        <w:t>boundless</w:t>
      </w:r>
      <w:r>
        <w:t xml:space="preserve"> availability of cells that produce </w:t>
      </w:r>
      <w:proofErr w:type="spellStart"/>
      <w:r>
        <w:t>osteoinductive</w:t>
      </w:r>
      <w:proofErr w:type="spellEnd"/>
      <w:r>
        <w:t xml:space="preserve"> transplants after dissection of a smal</w:t>
      </w:r>
      <w:r w:rsidR="00745975">
        <w:t>l amount of periosteal tissue.</w:t>
      </w:r>
      <w:r w:rsidR="00745975">
        <w:rPr>
          <w:rStyle w:val="EndnoteReference"/>
        </w:rPr>
        <w:endnoteReference w:id="28"/>
      </w:r>
      <w:r w:rsidR="00745975">
        <w:t xml:space="preserve"> </w:t>
      </w:r>
      <w:r w:rsidR="008A0603">
        <w:t xml:space="preserve">Even more individual cases </w:t>
      </w:r>
      <w:r w:rsidR="004E0C10">
        <w:t xml:space="preserve">were carried out </w:t>
      </w:r>
      <w:r w:rsidR="00D50359">
        <w:t xml:space="preserve">in 2007, by </w:t>
      </w:r>
      <w:proofErr w:type="spellStart"/>
      <w:r w:rsidR="00D50359">
        <w:t>Maracci</w:t>
      </w:r>
      <w:proofErr w:type="spellEnd"/>
      <w:r w:rsidR="00D50359">
        <w:t xml:space="preserve"> et al.</w:t>
      </w:r>
      <w:r w:rsidR="004E0C10">
        <w:t xml:space="preserve">, with less </w:t>
      </w:r>
      <w:r w:rsidR="004E0C10">
        <w:lastRenderedPageBreak/>
        <w:t>promising results. Four patient</w:t>
      </w:r>
      <w:r w:rsidR="00D50359">
        <w:t xml:space="preserve">s were selected with an </w:t>
      </w:r>
      <w:r w:rsidR="004E0C10">
        <w:t>age range of 16 to 41 years. Patients were selected after having more conventional surgical therapies, which failed. Bone marrow stromal cells were isolated by their adherence to plastic, and seeded onto porous ceramic scaffolds. P</w:t>
      </w:r>
      <w:r w:rsidR="00047191">
        <w:t>atients 1 and 3 were</w:t>
      </w:r>
      <w:r w:rsidR="004E0C10">
        <w:t xml:space="preserve"> healed, although a specific time frame is not mentioned. </w:t>
      </w:r>
      <w:r w:rsidR="005F2873">
        <w:t xml:space="preserve">Patient 2 showed complete integration between the implant and host bone after 7 months. </w:t>
      </w:r>
      <w:r w:rsidR="004E0C10">
        <w:t>Patient 4 required a second surgery after 7 months to fit a cortical allograft in order to improve mechanica</w:t>
      </w:r>
      <w:r w:rsidR="005F2873">
        <w:t xml:space="preserve">l stability of the implant. </w:t>
      </w:r>
      <w:r w:rsidR="004E0C10">
        <w:t xml:space="preserve">At 2.5 year follow-up, the integrity of the bone implant was maintained. With time, the implants revealed a progressive appearance of cracks and fissures indicative of some </w:t>
      </w:r>
      <w:proofErr w:type="spellStart"/>
      <w:r w:rsidR="004E0C10">
        <w:t>bioceramic</w:t>
      </w:r>
      <w:proofErr w:type="spellEnd"/>
      <w:r w:rsidR="004E0C10">
        <w:t xml:space="preserve"> disintegration, </w:t>
      </w:r>
      <w:r w:rsidR="00047191">
        <w:t>however,</w:t>
      </w:r>
      <w:r w:rsidR="004E0C10">
        <w:t xml:space="preserve"> the implants were completely integrated with the host bone. There was no control group in the study.</w:t>
      </w:r>
      <w:r w:rsidR="006F70B2">
        <w:t xml:space="preserve"> The scaffold used was a 100% hydroxyapatite</w:t>
      </w:r>
      <w:r w:rsidR="004E0C10">
        <w:t xml:space="preserve"> porous ceramic, which was not resorbed after more than 7 </w:t>
      </w:r>
      <w:r w:rsidR="00CB6F4A">
        <w:t>years post-implantation-</w:t>
      </w:r>
      <w:r w:rsidR="004E0C10">
        <w:t xml:space="preserve"> crucial to note as the lack of resorption could compromise the biomechanics of the new bone. No major adverse effects were </w:t>
      </w:r>
      <w:r w:rsidR="007F3D22">
        <w:t>observed, however what would be defined as a major adverse event was not set out by the paper</w:t>
      </w:r>
      <w:r w:rsidR="00745975">
        <w:t>.</w:t>
      </w:r>
      <w:r w:rsidR="00745975">
        <w:rPr>
          <w:rStyle w:val="EndnoteReference"/>
        </w:rPr>
        <w:endnoteReference w:id="29"/>
      </w:r>
    </w:p>
    <w:p w:rsidR="004F4DFB" w:rsidRPr="00CB5987" w:rsidRDefault="00DE2F24" w:rsidP="0042238A">
      <w:r>
        <w:t>A</w:t>
      </w:r>
      <w:r w:rsidR="005C0DE7">
        <w:t xml:space="preserve"> case series</w:t>
      </w:r>
      <w:r>
        <w:t xml:space="preserve"> by </w:t>
      </w:r>
      <w:proofErr w:type="spellStart"/>
      <w:r>
        <w:t>Jäger</w:t>
      </w:r>
      <w:proofErr w:type="spellEnd"/>
      <w:r>
        <w:t xml:space="preserve"> et al.</w:t>
      </w:r>
      <w:r w:rsidR="005C0DE7">
        <w:t xml:space="preserve"> looked at the clinical outcomes of 10 patients with volumetric bone deficiencies treated with MSCs. The </w:t>
      </w:r>
      <w:r w:rsidR="003B42EB">
        <w:t xml:space="preserve">study involved patients that had bone marrow aspirates harvested and bone marrow concentrate injected into patients with pseudoarthrosis, bone cysts or revision </w:t>
      </w:r>
      <w:proofErr w:type="spellStart"/>
      <w:r w:rsidR="003B42EB">
        <w:t>endoprosthetic</w:t>
      </w:r>
      <w:proofErr w:type="spellEnd"/>
      <w:r w:rsidR="003B42EB">
        <w:t xml:space="preserve"> bone defects. </w:t>
      </w:r>
      <w:r w:rsidR="00672C7E">
        <w:t>Unfortunately the study does not state which patients had which diagnosis, so although some do not meet the inc</w:t>
      </w:r>
      <w:r w:rsidR="00855D36">
        <w:t>l</w:t>
      </w:r>
      <w:r w:rsidR="00672C7E">
        <w:t>usion criteria for this review, they could not be lifted out of the study, which we considered worthy of including</w:t>
      </w:r>
      <w:r w:rsidR="00855D36">
        <w:t xml:space="preserve">. </w:t>
      </w:r>
      <w:r w:rsidR="003B42EB">
        <w:t>Clinical success was defined by reduced or absence in pain combined with new bone formation at the transplantation site</w:t>
      </w:r>
      <w:r w:rsidR="00A16AE4">
        <w:t>.</w:t>
      </w:r>
      <w:r w:rsidR="003B42EB">
        <w:t xml:space="preserve"> The paper shows that the harvesting procedure for MSCs does not significantly increase operative time and that it is not associated with significant complications or side effects</w:t>
      </w:r>
      <w:r w:rsidR="003B42EB" w:rsidRPr="002C50AA">
        <w:t xml:space="preserve">. All 10 patients showed </w:t>
      </w:r>
      <w:proofErr w:type="spellStart"/>
      <w:r w:rsidR="003B42EB" w:rsidRPr="002C50AA">
        <w:t>roentgenological</w:t>
      </w:r>
      <w:proofErr w:type="spellEnd"/>
      <w:r w:rsidR="003B42EB" w:rsidRPr="002C50AA">
        <w:t xml:space="preserve"> bone formation</w:t>
      </w:r>
      <w:r w:rsidR="002C50AA" w:rsidRPr="002C50AA">
        <w:t xml:space="preserve"> within follow up</w:t>
      </w:r>
      <w:r w:rsidR="003B42EB" w:rsidRPr="002C50AA">
        <w:t>. 70% of patie</w:t>
      </w:r>
      <w:r w:rsidR="006C614D" w:rsidRPr="002C50AA">
        <w:t xml:space="preserve">nts showed </w:t>
      </w:r>
      <w:r w:rsidR="002C50AA" w:rsidRPr="002C50AA">
        <w:t xml:space="preserve">complete </w:t>
      </w:r>
      <w:r w:rsidR="006C614D" w:rsidRPr="002C50AA">
        <w:t>bone healing.</w:t>
      </w:r>
      <w:r w:rsidR="006C614D" w:rsidRPr="002C50AA">
        <w:rPr>
          <w:rStyle w:val="EndnoteReference"/>
        </w:rPr>
        <w:endnoteReference w:id="30"/>
      </w:r>
      <w:r w:rsidR="00855D36" w:rsidRPr="002C50AA">
        <w:t>.</w:t>
      </w:r>
      <w:r w:rsidR="00AB7139">
        <w:t xml:space="preserve"> </w:t>
      </w:r>
      <w:r w:rsidR="00236263">
        <w:t xml:space="preserve">The study was limited by a small sample size, and variation in the presenting diagnosis. </w:t>
      </w:r>
      <w:r w:rsidR="005E6DB2">
        <w:t xml:space="preserve">Conversely, Quarto et al. reported the use of cultured BM MSCs combined with hydroxyapatite blocks to fill large bone defects (4-7cms). Three patients were selected for this study and had </w:t>
      </w:r>
      <w:proofErr w:type="spellStart"/>
      <w:r w:rsidR="005E6DB2">
        <w:t>osteoprognitor</w:t>
      </w:r>
      <w:proofErr w:type="spellEnd"/>
      <w:r w:rsidR="005E6DB2">
        <w:t xml:space="preserve"> cells placed on </w:t>
      </w:r>
      <w:proofErr w:type="spellStart"/>
      <w:r w:rsidR="005E6DB2">
        <w:t>macroporous</w:t>
      </w:r>
      <w:proofErr w:type="spellEnd"/>
      <w:r w:rsidR="005E6DB2">
        <w:t xml:space="preserve"> hydroxyapatite scaffolds. External fixation was provided for mechanical stability for a mean of 8.5 months (6-13). All patients recovered limb function and reported no problems with the implants at a year follow-up. Radiographs and CT revealed callus formation and integration at the surfaces </w:t>
      </w:r>
      <w:r w:rsidR="005D6E6C">
        <w:t>with the host bone</w:t>
      </w:r>
      <w:r w:rsidR="005E6DB2">
        <w:rPr>
          <w:rStyle w:val="EndnoteReference"/>
        </w:rPr>
        <w:endnoteReference w:id="31"/>
      </w:r>
      <w:r w:rsidR="005D6E6C">
        <w:t xml:space="preserve">. </w:t>
      </w:r>
    </w:p>
    <w:p w:rsidR="00F05029" w:rsidRPr="001B58C4" w:rsidRDefault="00F05029" w:rsidP="00F05029">
      <w:pPr>
        <w:pStyle w:val="Heading2"/>
      </w:pPr>
      <w:r>
        <w:t xml:space="preserve">Randomised Controlled Trials </w:t>
      </w:r>
    </w:p>
    <w:p w:rsidR="0003059C" w:rsidRDefault="00E21019" w:rsidP="00CF1DAD">
      <w:r>
        <w:t xml:space="preserve">An RCT by </w:t>
      </w:r>
      <w:proofErr w:type="spellStart"/>
      <w:r>
        <w:t>Dallari</w:t>
      </w:r>
      <w:proofErr w:type="spellEnd"/>
      <w:r>
        <w:t xml:space="preserve"> et al.</w:t>
      </w:r>
      <w:r w:rsidR="00EE4EAE">
        <w:t xml:space="preserve"> looked at the effect of platelet gel, or platelet gel and bone marrow stromal cell</w:t>
      </w:r>
      <w:r w:rsidR="000563D6">
        <w:t xml:space="preserve"> (BMSC)</w:t>
      </w:r>
      <w:r w:rsidR="00EE4EAE">
        <w:t xml:space="preserve"> supplementation with bone grafts. </w:t>
      </w:r>
      <w:r w:rsidR="00737C7C">
        <w:t xml:space="preserve">Patients were selected as they were undergoing high tibial osteotomy to treat genu </w:t>
      </w:r>
      <w:proofErr w:type="spellStart"/>
      <w:r w:rsidR="00737C7C">
        <w:t>varum</w:t>
      </w:r>
      <w:proofErr w:type="spellEnd"/>
      <w:r w:rsidR="00737C7C">
        <w:t xml:space="preserve">, with an opening defect of &gt;1cm on the medial side. </w:t>
      </w:r>
      <w:r w:rsidR="00EE4EAE">
        <w:t>Patients were randomised into group A (lyophilised bone chips and platelet gel), group B (lyophilised bone chips</w:t>
      </w:r>
      <w:r w:rsidR="009F0E44">
        <w:t xml:space="preserve"> </w:t>
      </w:r>
      <w:r w:rsidR="00EE4EAE">
        <w:t xml:space="preserve">and platelet gel and BMSCs) and group C (lyophilised bone chips). </w:t>
      </w:r>
      <w:r w:rsidR="00AC444C">
        <w:t xml:space="preserve">Six weeks after surgery, the </w:t>
      </w:r>
      <w:proofErr w:type="spellStart"/>
      <w:r w:rsidR="00AC444C">
        <w:t>osseointegration</w:t>
      </w:r>
      <w:proofErr w:type="spellEnd"/>
      <w:r w:rsidR="00AC444C">
        <w:t xml:space="preserve"> process was increased in the treatment groups (A+B) compared to the control group (C). In addition, the </w:t>
      </w:r>
      <w:proofErr w:type="spellStart"/>
      <w:r w:rsidR="00AC444C">
        <w:t>osseointegration</w:t>
      </w:r>
      <w:proofErr w:type="spellEnd"/>
      <w:r w:rsidR="00AC444C">
        <w:t xml:space="preserve"> process was </w:t>
      </w:r>
      <w:r w:rsidR="00FB3639">
        <w:t xml:space="preserve">significantly </w:t>
      </w:r>
      <w:r w:rsidR="00AC444C">
        <w:t>better in Group B than in Group A</w:t>
      </w:r>
      <w:r w:rsidR="00DD3F94">
        <w:t>, showing the beneficial effect of BMSCs alone</w:t>
      </w:r>
      <w:r w:rsidR="00AC444C">
        <w:t xml:space="preserve">. </w:t>
      </w:r>
      <w:r w:rsidR="009F0E44">
        <w:t xml:space="preserve">At 6 weeks, group A had extensive bone formation throughout the defect. Group B had more active bone remodelling </w:t>
      </w:r>
      <w:r w:rsidR="008B13F9">
        <w:t xml:space="preserve">than group </w:t>
      </w:r>
      <w:r w:rsidR="00DD3F94">
        <w:t>A. This study, however, was underpowered.</w:t>
      </w:r>
      <w:r w:rsidR="00B579D0">
        <w:rPr>
          <w:rStyle w:val="EndnoteReference"/>
        </w:rPr>
        <w:endnoteReference w:id="32"/>
      </w:r>
    </w:p>
    <w:p w:rsidR="00851795" w:rsidRPr="003672F0" w:rsidRDefault="00B579D0" w:rsidP="00CD20D5">
      <w:proofErr w:type="spellStart"/>
      <w:r w:rsidRPr="00B579D0">
        <w:t>Liebergall</w:t>
      </w:r>
      <w:proofErr w:type="spellEnd"/>
      <w:r>
        <w:t xml:space="preserve"> made a </w:t>
      </w:r>
      <w:r w:rsidR="00492195">
        <w:t xml:space="preserve">paper </w:t>
      </w:r>
      <w:r>
        <w:t xml:space="preserve">that </w:t>
      </w:r>
      <w:r w:rsidR="00492195">
        <w:t xml:space="preserve">is a prospective, single centre randomised controlled clinical study aimed at assessing the safety of implanting human MSCs for the repair of distal tibial fractures, which </w:t>
      </w:r>
      <w:r w:rsidR="003672F0">
        <w:t xml:space="preserve">tend towards delayed or non-union. This study evaluated the safety and efficacy of early minimally invasive intervention (MII) in treating these fractures. 24 patients were </w:t>
      </w:r>
      <w:r w:rsidR="00CC64A4">
        <w:t>split</w:t>
      </w:r>
      <w:r w:rsidR="003672F0">
        <w:t xml:space="preserve"> into</w:t>
      </w:r>
      <w:r w:rsidR="00CC64A4">
        <w:t xml:space="preserve"> randomly selected</w:t>
      </w:r>
      <w:r w:rsidR="003672F0">
        <w:t xml:space="preserve"> intervention and control groups. </w:t>
      </w:r>
      <w:r w:rsidR="00320D64">
        <w:t xml:space="preserve">Bone marrow MSCs were aspirated and mixed with demineralised bone matrix and injected into the fracture site. All fractures healed within 12 </w:t>
      </w:r>
      <w:r w:rsidR="00320D64" w:rsidRPr="002C50AA">
        <w:t xml:space="preserve">months, </w:t>
      </w:r>
      <w:r w:rsidR="00C83C79" w:rsidRPr="002C50AA">
        <w:t xml:space="preserve">but there was a significant decrease in fusion time in the intervention group, with reduction in </w:t>
      </w:r>
      <w:r w:rsidR="00A83997" w:rsidRPr="002C50AA">
        <w:t>median</w:t>
      </w:r>
      <w:r w:rsidR="00F90C47" w:rsidRPr="002C50AA">
        <w:t xml:space="preserve"> time from 3 to 1.5</w:t>
      </w:r>
      <w:r w:rsidR="00A83997" w:rsidRPr="002C50AA">
        <w:t xml:space="preserve"> mon</w:t>
      </w:r>
      <w:r w:rsidR="00F90C47" w:rsidRPr="002C50AA">
        <w:t>ths (blin</w:t>
      </w:r>
      <w:r w:rsidR="00CC64A4">
        <w:t>ded</w:t>
      </w:r>
      <w:r w:rsidR="003C4C29">
        <w:t xml:space="preserve"> and </w:t>
      </w:r>
      <w:proofErr w:type="spellStart"/>
      <w:r w:rsidR="003C4C29">
        <w:t>unblinded</w:t>
      </w:r>
      <w:proofErr w:type="spellEnd"/>
      <w:r w:rsidR="00CC64A4">
        <w:t>) and a mean reduction of 4.0 months – 2.2</w:t>
      </w:r>
      <w:r w:rsidR="00F90C47" w:rsidRPr="002C50AA">
        <w:t xml:space="preserve"> months (</w:t>
      </w:r>
      <w:proofErr w:type="spellStart"/>
      <w:r w:rsidR="00CC64A4">
        <w:t>unblinded</w:t>
      </w:r>
      <w:proofErr w:type="spellEnd"/>
      <w:r w:rsidR="00CC64A4">
        <w:t>, P&lt;0.03</w:t>
      </w:r>
      <w:r w:rsidR="00F90C47" w:rsidRPr="002C50AA">
        <w:t xml:space="preserve">). </w:t>
      </w:r>
      <w:r w:rsidR="003C4C29">
        <w:t>However, when the evaluators were blinded, there was no significant decrease in mean reduction fusion time (P&lt;0.06). In addition, n</w:t>
      </w:r>
      <w:r w:rsidR="00F90C47" w:rsidRPr="002C50AA">
        <w:t xml:space="preserve">either of the clinical </w:t>
      </w:r>
      <w:r w:rsidR="00F90C47" w:rsidRPr="002C50AA">
        <w:lastRenderedPageBreak/>
        <w:t>assessments (short form</w:t>
      </w:r>
      <w:r w:rsidR="00F90C47">
        <w:t xml:space="preserve"> 12</w:t>
      </w:r>
      <w:r w:rsidR="00F3478D">
        <w:t>, visual analogue scale) indi</w:t>
      </w:r>
      <w:r w:rsidR="00E97DF8">
        <w:t>cated a significant difference. Three cases of delayed union occurred in the control group, but</w:t>
      </w:r>
      <w:r w:rsidR="00B31500">
        <w:t xml:space="preserve"> only</w:t>
      </w:r>
      <w:r w:rsidR="00245EE2">
        <w:t xml:space="preserve"> one in the intervention group.</w:t>
      </w:r>
      <w:r w:rsidR="00E97DF8">
        <w:t xml:space="preserve"> </w:t>
      </w:r>
      <w:r>
        <w:rPr>
          <w:rStyle w:val="EndnoteReference"/>
        </w:rPr>
        <w:endnoteReference w:id="33"/>
      </w:r>
    </w:p>
    <w:p w:rsidR="008C34EE" w:rsidRDefault="008C34EE" w:rsidP="008C34EE">
      <w:pPr>
        <w:pStyle w:val="Heading2"/>
      </w:pPr>
      <w:r>
        <w:t xml:space="preserve">The importance of vascularisation + the microenvironment </w:t>
      </w:r>
    </w:p>
    <w:p w:rsidR="00BD09B6" w:rsidRDefault="008C34EE" w:rsidP="005F1307">
      <w:proofErr w:type="spellStart"/>
      <w:r>
        <w:t>Kitoh</w:t>
      </w:r>
      <w:proofErr w:type="spellEnd"/>
      <w:r>
        <w:t xml:space="preserve"> et al. showed that bone transplant is unsuccessful if there isn’t adequate soft tissue and vascularisation.</w:t>
      </w:r>
      <w:r w:rsidR="003359D0">
        <w:rPr>
          <w:rStyle w:val="EndnoteReference"/>
        </w:rPr>
        <w:endnoteReference w:id="34"/>
      </w:r>
      <w:r>
        <w:t xml:space="preserve"> </w:t>
      </w:r>
      <w:r w:rsidR="00024CBC">
        <w:t>Several papers have shown that the microenvironment surrounding the bone defect is of crucial importance</w:t>
      </w:r>
      <w:r w:rsidR="00FB5795">
        <w:rPr>
          <w:rStyle w:val="EndnoteReference"/>
        </w:rPr>
        <w:endnoteReference w:id="35"/>
      </w:r>
      <w:r w:rsidR="00FB5795">
        <w:rPr>
          <w:vertAlign w:val="superscript"/>
        </w:rPr>
        <w:t>,</w:t>
      </w:r>
      <w:r w:rsidR="00FB5795">
        <w:rPr>
          <w:rStyle w:val="EndnoteReference"/>
        </w:rPr>
        <w:endnoteReference w:id="36"/>
      </w:r>
      <w:r w:rsidR="00024CBC">
        <w:t xml:space="preserve"> and so a</w:t>
      </w:r>
      <w:r>
        <w:t xml:space="preserve">n interesting paper by </w:t>
      </w:r>
      <w:proofErr w:type="spellStart"/>
      <w:r>
        <w:t>Warnke</w:t>
      </w:r>
      <w:proofErr w:type="spellEnd"/>
      <w:r>
        <w:t xml:space="preserve"> </w:t>
      </w:r>
      <w:r w:rsidR="00024CBC">
        <w:t xml:space="preserve">et al. addresses </w:t>
      </w:r>
      <w:r w:rsidR="00F14B08">
        <w:t xml:space="preserve">this aspect clinically, looking at </w:t>
      </w:r>
      <w:r w:rsidR="00024CBC">
        <w:t xml:space="preserve">blood supply </w:t>
      </w:r>
      <w:r w:rsidR="00FB5795">
        <w:t xml:space="preserve">in the growth of bone. They </w:t>
      </w:r>
      <w:r>
        <w:t xml:space="preserve">used a 56 year old man as a bioreactor. A titanium mesh was loaded with </w:t>
      </w:r>
      <w:proofErr w:type="spellStart"/>
      <w:r>
        <w:t>hydroxyapatitie</w:t>
      </w:r>
      <w:proofErr w:type="spellEnd"/>
      <w:r>
        <w:t xml:space="preserve"> blocks that were coated in BM MSCs. The latissimus </w:t>
      </w:r>
      <w:proofErr w:type="spellStart"/>
      <w:r>
        <w:t>dorsi</w:t>
      </w:r>
      <w:proofErr w:type="spellEnd"/>
      <w:r>
        <w:t xml:space="preserve"> muscle was used to insert the scaffold, which was nourished by the thoracodorsal artery. The scaffold was removed at 7 weeks and inserted into the mandible, to heal a significant mandibular defect due to a resection for floor of mouth cancer. In the first 6 months he had regained masticatory function and aesthetic form. At 7 – 13 months follow up, bone formation varied between parts of the mandible replacement, with areas or adequate formation surrounded by areas with minor growth. Despite this, stability was provided, allowing for full function of the replacement. Unfortunately, the external titanium scaffold fractured and the titanium mesh was exposed. Infection occurred and biopsy revealed necrotic bone inside the mandible replacement. This area was curetted and filled with bone chips. Infection re-occurred. The patient died 15 months after mandible replacement of MI. His family refused post-mortem. </w:t>
      </w:r>
      <w:r w:rsidR="003359D0">
        <w:rPr>
          <w:rStyle w:val="EndnoteReference"/>
        </w:rPr>
        <w:endnoteReference w:id="37"/>
      </w:r>
    </w:p>
    <w:p w:rsidR="00070DC2" w:rsidRDefault="00070DC2" w:rsidP="005F1307"/>
    <w:tbl>
      <w:tblPr>
        <w:tblStyle w:val="GridTable4"/>
        <w:tblW w:w="9026" w:type="dxa"/>
        <w:tblLayout w:type="fixed"/>
        <w:tblLook w:val="04A0" w:firstRow="1" w:lastRow="0" w:firstColumn="1" w:lastColumn="0" w:noHBand="0" w:noVBand="1"/>
      </w:tblPr>
      <w:tblGrid>
        <w:gridCol w:w="1696"/>
        <w:gridCol w:w="1134"/>
        <w:gridCol w:w="993"/>
        <w:gridCol w:w="1275"/>
        <w:gridCol w:w="1276"/>
        <w:gridCol w:w="1418"/>
        <w:gridCol w:w="1234"/>
      </w:tblGrid>
      <w:tr w:rsidR="00070DC2" w:rsidTr="00265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70DC2" w:rsidRDefault="00070DC2" w:rsidP="002748C0">
            <w:r>
              <w:t xml:space="preserve">Title </w:t>
            </w:r>
          </w:p>
        </w:tc>
        <w:tc>
          <w:tcPr>
            <w:tcW w:w="1134" w:type="dxa"/>
          </w:tcPr>
          <w:p w:rsidR="00070DC2" w:rsidRDefault="00070DC2" w:rsidP="002748C0">
            <w:pPr>
              <w:cnfStyle w:val="100000000000" w:firstRow="1" w:lastRow="0" w:firstColumn="0" w:lastColumn="0" w:oddVBand="0" w:evenVBand="0" w:oddHBand="0" w:evenHBand="0" w:firstRowFirstColumn="0" w:firstRowLastColumn="0" w:lastRowFirstColumn="0" w:lastRowLastColumn="0"/>
            </w:pPr>
            <w:r>
              <w:t>Database searched</w:t>
            </w:r>
          </w:p>
        </w:tc>
        <w:tc>
          <w:tcPr>
            <w:tcW w:w="993" w:type="dxa"/>
          </w:tcPr>
          <w:p w:rsidR="00070DC2" w:rsidRDefault="00070DC2" w:rsidP="002748C0">
            <w:pPr>
              <w:cnfStyle w:val="100000000000" w:firstRow="1" w:lastRow="0" w:firstColumn="0" w:lastColumn="0" w:oddVBand="0" w:evenVBand="0" w:oddHBand="0" w:evenHBand="0" w:firstRowFirstColumn="0" w:firstRowLastColumn="0" w:lastRowFirstColumn="0" w:lastRowLastColumn="0"/>
            </w:pPr>
            <w:r>
              <w:t>Identifier</w:t>
            </w:r>
          </w:p>
        </w:tc>
        <w:tc>
          <w:tcPr>
            <w:tcW w:w="1275" w:type="dxa"/>
          </w:tcPr>
          <w:p w:rsidR="00070DC2" w:rsidRDefault="00070DC2" w:rsidP="002748C0">
            <w:pPr>
              <w:cnfStyle w:val="100000000000" w:firstRow="1" w:lastRow="0" w:firstColumn="0" w:lastColumn="0" w:oddVBand="0" w:evenVBand="0" w:oddHBand="0" w:evenHBand="0" w:firstRowFirstColumn="0" w:firstRowLastColumn="0" w:lastRowFirstColumn="0" w:lastRowLastColumn="0"/>
            </w:pPr>
            <w:r>
              <w:t xml:space="preserve">Sponsor </w:t>
            </w:r>
          </w:p>
        </w:tc>
        <w:tc>
          <w:tcPr>
            <w:tcW w:w="1276" w:type="dxa"/>
          </w:tcPr>
          <w:p w:rsidR="00070DC2" w:rsidRDefault="00070DC2" w:rsidP="002748C0">
            <w:pPr>
              <w:cnfStyle w:val="100000000000" w:firstRow="1" w:lastRow="0" w:firstColumn="0" w:lastColumn="0" w:oddVBand="0" w:evenVBand="0" w:oddHBand="0" w:evenHBand="0" w:firstRowFirstColumn="0" w:firstRowLastColumn="0" w:lastRowFirstColumn="0" w:lastRowLastColumn="0"/>
            </w:pPr>
            <w:r>
              <w:t>Intervention</w:t>
            </w:r>
          </w:p>
        </w:tc>
        <w:tc>
          <w:tcPr>
            <w:tcW w:w="1418" w:type="dxa"/>
          </w:tcPr>
          <w:p w:rsidR="00070DC2" w:rsidRDefault="00070DC2" w:rsidP="002748C0">
            <w:pPr>
              <w:cnfStyle w:val="100000000000" w:firstRow="1" w:lastRow="0" w:firstColumn="0" w:lastColumn="0" w:oddVBand="0" w:evenVBand="0" w:oddHBand="0" w:evenHBand="0" w:firstRowFirstColumn="0" w:firstRowLastColumn="0" w:lastRowFirstColumn="0" w:lastRowLastColumn="0"/>
            </w:pPr>
            <w:r>
              <w:t>Primary Outcome</w:t>
            </w:r>
          </w:p>
        </w:tc>
        <w:tc>
          <w:tcPr>
            <w:tcW w:w="1234" w:type="dxa"/>
          </w:tcPr>
          <w:p w:rsidR="00070DC2" w:rsidRDefault="00070DC2" w:rsidP="002748C0">
            <w:pPr>
              <w:cnfStyle w:val="100000000000" w:firstRow="1" w:lastRow="0" w:firstColumn="0" w:lastColumn="0" w:oddVBand="0" w:evenVBand="0" w:oddHBand="0" w:evenHBand="0" w:firstRowFirstColumn="0" w:firstRowLastColumn="0" w:lastRowFirstColumn="0" w:lastRowLastColumn="0"/>
            </w:pPr>
            <w:r>
              <w:t>Status</w:t>
            </w:r>
          </w:p>
        </w:tc>
      </w:tr>
      <w:tr w:rsidR="00FA1F49" w:rsidTr="002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70DC2" w:rsidRDefault="00070DC2" w:rsidP="002748C0">
            <w:r>
              <w:t>Bone regenerative medicine using allogeneic bone marrow derived mesenchymal stem cells secretome</w:t>
            </w:r>
          </w:p>
        </w:tc>
        <w:tc>
          <w:tcPr>
            <w:tcW w:w="11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ICTRP</w:t>
            </w:r>
          </w:p>
        </w:tc>
        <w:tc>
          <w:tcPr>
            <w:tcW w:w="993"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rsidRPr="006F2770">
              <w:tab/>
              <w:t>JPRN-UMIN000011290</w:t>
            </w:r>
          </w:p>
        </w:tc>
        <w:tc>
          <w:tcPr>
            <w:tcW w:w="1275"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Nagoya University Hospital</w:t>
            </w:r>
          </w:p>
        </w:tc>
        <w:tc>
          <w:tcPr>
            <w:tcW w:w="1276"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MSC-CM Group</w:t>
            </w:r>
          </w:p>
        </w:tc>
        <w:tc>
          <w:tcPr>
            <w:tcW w:w="1418"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 xml:space="preserve">No complications and side effects will be reported throughout the study </w:t>
            </w:r>
          </w:p>
        </w:tc>
        <w:tc>
          <w:tcPr>
            <w:tcW w:w="12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Recruiting participants</w:t>
            </w:r>
          </w:p>
        </w:tc>
      </w:tr>
      <w:tr w:rsidR="00FA1F49" w:rsidTr="00265B72">
        <w:tc>
          <w:tcPr>
            <w:cnfStyle w:val="001000000000" w:firstRow="0" w:lastRow="0" w:firstColumn="1" w:lastColumn="0" w:oddVBand="0" w:evenVBand="0" w:oddHBand="0" w:evenHBand="0" w:firstRowFirstColumn="0" w:firstRowLastColumn="0" w:lastRowFirstColumn="0" w:lastRowLastColumn="0"/>
            <w:tcW w:w="1696" w:type="dxa"/>
          </w:tcPr>
          <w:p w:rsidR="00070DC2" w:rsidRDefault="00070DC2" w:rsidP="002748C0">
            <w:r w:rsidRPr="004F48C6">
              <w:t>Mesenchymal Stem Cells; Donor and Role in Management and Reconstruction of Nonunion Fracture</w:t>
            </w:r>
          </w:p>
        </w:tc>
        <w:tc>
          <w:tcPr>
            <w:tcW w:w="11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Clinical</w:t>
            </w:r>
            <w:r w:rsidR="00FA1F49">
              <w:t xml:space="preserve"> </w:t>
            </w:r>
            <w:r>
              <w:t>Trials.gov</w:t>
            </w:r>
          </w:p>
        </w:tc>
        <w:tc>
          <w:tcPr>
            <w:tcW w:w="993"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rsidRPr="004F48C6">
              <w:t>NCT01626625</w:t>
            </w:r>
          </w:p>
        </w:tc>
        <w:tc>
          <w:tcPr>
            <w:tcW w:w="1275"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rsidRPr="004F48C6">
              <w:t>Indonesia University</w:t>
            </w:r>
          </w:p>
        </w:tc>
        <w:tc>
          <w:tcPr>
            <w:tcW w:w="1276"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 xml:space="preserve">Stem cells and hydroxyapatite </w:t>
            </w:r>
          </w:p>
        </w:tc>
        <w:tc>
          <w:tcPr>
            <w:tcW w:w="1418"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Healing of fracture; radiological union</w:t>
            </w:r>
          </w:p>
        </w:tc>
        <w:tc>
          <w:tcPr>
            <w:tcW w:w="12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Unknown</w:t>
            </w:r>
          </w:p>
        </w:tc>
      </w:tr>
      <w:tr w:rsidR="00FA1F49" w:rsidTr="002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E07518">
              <w:t>Use of Autologous Bone Marrow Derived Mesenchymal Stromal Cells in Combination With Platelet Lysate Product for Human Long Bone Nonunion Treatment, A Phase 2-3 Clinical Trial</w:t>
            </w:r>
          </w:p>
        </w:tc>
        <w:tc>
          <w:tcPr>
            <w:tcW w:w="11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r w:rsidRPr="00E07518">
              <w:t>NCT02448849</w:t>
            </w:r>
          </w:p>
        </w:tc>
        <w:tc>
          <w:tcPr>
            <w:tcW w:w="1275"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proofErr w:type="spellStart"/>
            <w:r w:rsidRPr="00E07518">
              <w:t>Royan</w:t>
            </w:r>
            <w:proofErr w:type="spellEnd"/>
            <w:r w:rsidRPr="00E07518">
              <w:t xml:space="preserve"> Institu</w:t>
            </w:r>
            <w:r w:rsidRPr="00E07518">
              <w:rPr>
                <w:i/>
              </w:rPr>
              <w:t>t</w:t>
            </w:r>
            <w:r w:rsidRPr="00E07518">
              <w:t>e</w:t>
            </w:r>
          </w:p>
        </w:tc>
        <w:tc>
          <w:tcPr>
            <w:tcW w:w="1276"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Percutaneous injection</w:t>
            </w:r>
          </w:p>
        </w:tc>
        <w:tc>
          <w:tcPr>
            <w:tcW w:w="1418"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Clinical union within 3 months</w:t>
            </w:r>
          </w:p>
        </w:tc>
        <w:tc>
          <w:tcPr>
            <w:tcW w:w="12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Recruiting participants</w:t>
            </w:r>
          </w:p>
        </w:tc>
      </w:tr>
      <w:tr w:rsidR="00FA1F49" w:rsidTr="00265B72">
        <w:trPr>
          <w:trHeight w:val="3036"/>
        </w:trPr>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5436BD">
              <w:lastRenderedPageBreak/>
              <w:t>Mononucleotide Autologous Stem Cells and Demineralized Bone Matrix in the Treatment of Non Union/Delayed Fractures</w:t>
            </w:r>
          </w:p>
        </w:tc>
        <w:tc>
          <w:tcPr>
            <w:tcW w:w="11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5436BD">
              <w:t>NCT01435434</w:t>
            </w:r>
          </w:p>
        </w:tc>
        <w:tc>
          <w:tcPr>
            <w:tcW w:w="1275"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5436BD">
              <w:t>Hadassah Medical Organization</w:t>
            </w:r>
          </w:p>
        </w:tc>
        <w:tc>
          <w:tcPr>
            <w:tcW w:w="1276"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proofErr w:type="spellStart"/>
            <w:r w:rsidRPr="005436BD">
              <w:t>Sepax</w:t>
            </w:r>
            <w:proofErr w:type="spellEnd"/>
            <w:r w:rsidRPr="005436BD">
              <w:t xml:space="preserve"> is a tool to standardize adult stem cell. Ignite ®ICS injectable scaffold manufactured by Wright Medical Technology</w:t>
            </w:r>
          </w:p>
        </w:tc>
        <w:tc>
          <w:tcPr>
            <w:tcW w:w="1418"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rsidRPr="005436BD">
              <w:t>clinical and radiological bony union at 3 months and 6 month</w:t>
            </w:r>
          </w:p>
        </w:tc>
        <w:tc>
          <w:tcPr>
            <w:tcW w:w="12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Not yet open to recruit</w:t>
            </w:r>
          </w:p>
        </w:tc>
      </w:tr>
      <w:tr w:rsidR="00FA1F49" w:rsidTr="002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BA15FC">
              <w:t>Allogenic Mesenchymal Stem Cell for Bone Defect or Non Union Fracture (AMSC)</w:t>
            </w:r>
          </w:p>
        </w:tc>
        <w:tc>
          <w:tcPr>
            <w:tcW w:w="11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r w:rsidRPr="00BA15FC">
              <w:t>NCT02307435</w:t>
            </w:r>
          </w:p>
        </w:tc>
        <w:tc>
          <w:tcPr>
            <w:tcW w:w="1275"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r w:rsidRPr="00BA15FC">
              <w:t>Indonesia University</w:t>
            </w:r>
          </w:p>
        </w:tc>
        <w:tc>
          <w:tcPr>
            <w:tcW w:w="1276"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 xml:space="preserve">Mesenchymal stem cells </w:t>
            </w:r>
          </w:p>
        </w:tc>
        <w:tc>
          <w:tcPr>
            <w:tcW w:w="1418"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 xml:space="preserve">Percentage of cell that live divided by total number of cells </w:t>
            </w:r>
          </w:p>
        </w:tc>
        <w:tc>
          <w:tcPr>
            <w:tcW w:w="12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Recruiting participants</w:t>
            </w:r>
          </w:p>
        </w:tc>
      </w:tr>
      <w:tr w:rsidR="00FA1F49" w:rsidTr="00265B72">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BA15FC">
              <w:t xml:space="preserve">Treatment of Atrophic </w:t>
            </w:r>
            <w:proofErr w:type="spellStart"/>
            <w:r w:rsidRPr="00BA15FC">
              <w:t>Nonunion</w:t>
            </w:r>
            <w:proofErr w:type="spellEnd"/>
            <w:r w:rsidRPr="00BA15FC">
              <w:t xml:space="preserve"> Fractures by Autologous Mesenchymal Stem Cell Percutaneous Grafting</w:t>
            </w:r>
          </w:p>
        </w:tc>
        <w:tc>
          <w:tcPr>
            <w:tcW w:w="11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8904FD">
              <w:t>NCT01429012</w:t>
            </w:r>
          </w:p>
        </w:tc>
        <w:tc>
          <w:tcPr>
            <w:tcW w:w="1275"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A624D7">
              <w:t>University Hospital of Liege</w:t>
            </w:r>
          </w:p>
        </w:tc>
        <w:tc>
          <w:tcPr>
            <w:tcW w:w="1276"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 xml:space="preserve">Mesenchymal stem cells </w:t>
            </w:r>
          </w:p>
        </w:tc>
        <w:tc>
          <w:tcPr>
            <w:tcW w:w="1418"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rsidRPr="00A624D7">
              <w:t xml:space="preserve">Safety of Mesenchymal Stem Cells injection in </w:t>
            </w:r>
            <w:proofErr w:type="spellStart"/>
            <w:r w:rsidRPr="00A624D7">
              <w:t>nonunion</w:t>
            </w:r>
            <w:proofErr w:type="spellEnd"/>
            <w:r w:rsidRPr="00A624D7">
              <w:t xml:space="preserve"> fractures</w:t>
            </w:r>
          </w:p>
        </w:tc>
        <w:tc>
          <w:tcPr>
            <w:tcW w:w="12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 xml:space="preserve">Not yet recruiting </w:t>
            </w:r>
          </w:p>
        </w:tc>
      </w:tr>
      <w:tr w:rsidR="00FA1F49" w:rsidTr="002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A624D7">
              <w:t>The Efficacy of Mesenchymal Stem Cells for Stimulate the Union in Treatment of Non-united Tibial and Femoral Fractures in Shahid Kamyab Hospital</w:t>
            </w:r>
          </w:p>
        </w:tc>
        <w:tc>
          <w:tcPr>
            <w:tcW w:w="11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r w:rsidRPr="00A624D7">
              <w:t>NCT01788059</w:t>
            </w:r>
          </w:p>
        </w:tc>
        <w:tc>
          <w:tcPr>
            <w:tcW w:w="1275"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proofErr w:type="spellStart"/>
            <w:r w:rsidRPr="00070DC2">
              <w:t>Emdadi</w:t>
            </w:r>
            <w:proofErr w:type="spellEnd"/>
            <w:r w:rsidRPr="00070DC2">
              <w:t xml:space="preserve"> </w:t>
            </w:r>
            <w:proofErr w:type="spellStart"/>
            <w:r w:rsidRPr="00070DC2">
              <w:t>Kamyab</w:t>
            </w:r>
            <w:proofErr w:type="spellEnd"/>
            <w:r w:rsidRPr="00070DC2">
              <w:t xml:space="preserve"> Hospital</w:t>
            </w:r>
          </w:p>
        </w:tc>
        <w:tc>
          <w:tcPr>
            <w:tcW w:w="1276"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I</w:t>
            </w:r>
            <w:r w:rsidRPr="00A624D7">
              <w:t>njection</w:t>
            </w:r>
            <w:r>
              <w:t xml:space="preserve"> of</w:t>
            </w:r>
            <w:r w:rsidRPr="00A624D7">
              <w:t xml:space="preserve"> t</w:t>
            </w:r>
            <w:r>
              <w:t xml:space="preserve">he mesenchymal stem cell in non- </w:t>
            </w:r>
            <w:r w:rsidRPr="00A624D7">
              <w:t>union site</w:t>
            </w:r>
          </w:p>
        </w:tc>
        <w:tc>
          <w:tcPr>
            <w:tcW w:w="1418"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rsidRPr="00A624D7">
              <w:t>clinical and radiological union at 1 month to 6 months</w:t>
            </w:r>
          </w:p>
        </w:tc>
        <w:tc>
          <w:tcPr>
            <w:tcW w:w="12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Completed</w:t>
            </w:r>
          </w:p>
        </w:tc>
      </w:tr>
      <w:tr w:rsidR="00FA1F49" w:rsidTr="00265B72">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A624D7">
              <w:t>Treatment of Non Union of Long Bone Fractures by Autologous Mesenchymal Stem Cell</w:t>
            </w:r>
          </w:p>
        </w:tc>
        <w:tc>
          <w:tcPr>
            <w:tcW w:w="11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941E3E">
              <w:t>NCT01206179</w:t>
            </w:r>
          </w:p>
        </w:tc>
        <w:tc>
          <w:tcPr>
            <w:tcW w:w="1275"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proofErr w:type="spellStart"/>
            <w:r w:rsidRPr="00941E3E">
              <w:t>Royan</w:t>
            </w:r>
            <w:proofErr w:type="spellEnd"/>
            <w:r w:rsidRPr="00941E3E">
              <w:t xml:space="preserve"> Institute</w:t>
            </w:r>
          </w:p>
        </w:tc>
        <w:tc>
          <w:tcPr>
            <w:tcW w:w="1276"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Cell injection</w:t>
            </w:r>
          </w:p>
        </w:tc>
        <w:tc>
          <w:tcPr>
            <w:tcW w:w="1418"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rsidRPr="00941E3E">
              <w:t>Radiological progression of bone fusion</w:t>
            </w:r>
          </w:p>
        </w:tc>
        <w:tc>
          <w:tcPr>
            <w:tcW w:w="12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 xml:space="preserve">Completed </w:t>
            </w:r>
          </w:p>
        </w:tc>
      </w:tr>
      <w:tr w:rsidR="00FA1F49" w:rsidTr="002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941E3E">
              <w:t xml:space="preserve">Injection of Concentrated Autologous Bone-marrow (IMOCA) and Bone Union of Open Tibial Shaft Fracture: Randomized Study to Assess Efficiency of </w:t>
            </w:r>
            <w:r w:rsidRPr="00941E3E">
              <w:lastRenderedPageBreak/>
              <w:t>IMOCA in Addition to Standard of Care.</w:t>
            </w:r>
          </w:p>
        </w:tc>
        <w:tc>
          <w:tcPr>
            <w:tcW w:w="11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lastRenderedPageBreak/>
              <w:t>Clinical</w:t>
            </w:r>
            <w:r w:rsidR="00FA1F49">
              <w:t xml:space="preserve"> </w:t>
            </w:r>
            <w:r>
              <w:t>Trials.gov</w:t>
            </w:r>
          </w:p>
        </w:tc>
        <w:tc>
          <w:tcPr>
            <w:tcW w:w="993"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r w:rsidRPr="00835664">
              <w:t>NCT00512434</w:t>
            </w:r>
          </w:p>
        </w:tc>
        <w:tc>
          <w:tcPr>
            <w:tcW w:w="1275" w:type="dxa"/>
          </w:tcPr>
          <w:p w:rsidR="00070DC2" w:rsidRPr="004F48C6" w:rsidRDefault="00070DC2" w:rsidP="002748C0">
            <w:pPr>
              <w:cnfStyle w:val="000000100000" w:firstRow="0" w:lastRow="0" w:firstColumn="0" w:lastColumn="0" w:oddVBand="0" w:evenVBand="0" w:oddHBand="1" w:evenHBand="0" w:firstRowFirstColumn="0" w:firstRowLastColumn="0" w:lastRowFirstColumn="0" w:lastRowLastColumn="0"/>
            </w:pPr>
            <w:r w:rsidRPr="00941E3E">
              <w:t>University Hospital, Tours</w:t>
            </w:r>
          </w:p>
        </w:tc>
        <w:tc>
          <w:tcPr>
            <w:tcW w:w="1276"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proofErr w:type="spellStart"/>
            <w:r w:rsidRPr="00941E3E">
              <w:t>Osteosynthesis</w:t>
            </w:r>
            <w:proofErr w:type="spellEnd"/>
          </w:p>
        </w:tc>
        <w:tc>
          <w:tcPr>
            <w:tcW w:w="1418"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rsidRPr="00941E3E">
              <w:t xml:space="preserve">Proportion of patients requiring secondary intervention because of delayed union or </w:t>
            </w:r>
            <w:proofErr w:type="spellStart"/>
            <w:r w:rsidRPr="00941E3E">
              <w:t>nonunion</w:t>
            </w:r>
            <w:proofErr w:type="spellEnd"/>
            <w:r w:rsidRPr="00941E3E">
              <w:t xml:space="preserve"> within twelve month post fracture.</w:t>
            </w:r>
          </w:p>
        </w:tc>
        <w:tc>
          <w:tcPr>
            <w:tcW w:w="1234" w:type="dxa"/>
          </w:tcPr>
          <w:p w:rsidR="00070DC2" w:rsidRDefault="00070DC2" w:rsidP="002748C0">
            <w:pPr>
              <w:cnfStyle w:val="000000100000" w:firstRow="0" w:lastRow="0" w:firstColumn="0" w:lastColumn="0" w:oddVBand="0" w:evenVBand="0" w:oddHBand="1" w:evenHBand="0" w:firstRowFirstColumn="0" w:firstRowLastColumn="0" w:lastRowFirstColumn="0" w:lastRowLastColumn="0"/>
            </w:pPr>
            <w:r>
              <w:t>Completed</w:t>
            </w:r>
          </w:p>
        </w:tc>
      </w:tr>
      <w:tr w:rsidR="00FA1F49" w:rsidTr="00265B72">
        <w:tc>
          <w:tcPr>
            <w:cnfStyle w:val="001000000000" w:firstRow="0" w:lastRow="0" w:firstColumn="1" w:lastColumn="0" w:oddVBand="0" w:evenVBand="0" w:oddHBand="0" w:evenHBand="0" w:firstRowFirstColumn="0" w:firstRowLastColumn="0" w:lastRowFirstColumn="0" w:lastRowLastColumn="0"/>
            <w:tcW w:w="1696" w:type="dxa"/>
          </w:tcPr>
          <w:p w:rsidR="00070DC2" w:rsidRPr="004F48C6" w:rsidRDefault="00070DC2" w:rsidP="002748C0">
            <w:r w:rsidRPr="00941E3E">
              <w:lastRenderedPageBreak/>
              <w:t>Autologous Stem Cell Therapy for Fracture Non-union Healing</w:t>
            </w:r>
          </w:p>
        </w:tc>
        <w:tc>
          <w:tcPr>
            <w:tcW w:w="11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Clinical</w:t>
            </w:r>
            <w:r w:rsidR="00FA1F49">
              <w:t xml:space="preserve"> </w:t>
            </w:r>
            <w:r>
              <w:t>Trials.gov</w:t>
            </w:r>
          </w:p>
        </w:tc>
        <w:tc>
          <w:tcPr>
            <w:tcW w:w="993"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941E3E">
              <w:t>NCT02177565</w:t>
            </w:r>
          </w:p>
        </w:tc>
        <w:tc>
          <w:tcPr>
            <w:tcW w:w="1275" w:type="dxa"/>
          </w:tcPr>
          <w:p w:rsidR="00070DC2" w:rsidRPr="004F48C6" w:rsidRDefault="00070DC2" w:rsidP="002748C0">
            <w:pPr>
              <w:cnfStyle w:val="000000000000" w:firstRow="0" w:lastRow="0" w:firstColumn="0" w:lastColumn="0" w:oddVBand="0" w:evenVBand="0" w:oddHBand="0" w:evenHBand="0" w:firstRowFirstColumn="0" w:firstRowLastColumn="0" w:lastRowFirstColumn="0" w:lastRowLastColumn="0"/>
            </w:pPr>
            <w:r w:rsidRPr="000979BF">
              <w:t>Robert Jones and Agnes Hunt Orthopaedic and District NHS Trust</w:t>
            </w:r>
          </w:p>
        </w:tc>
        <w:tc>
          <w:tcPr>
            <w:tcW w:w="1276" w:type="dxa"/>
          </w:tcPr>
          <w:p w:rsidR="00070DC2" w:rsidRDefault="008904FD" w:rsidP="002748C0">
            <w:pPr>
              <w:cnfStyle w:val="000000000000" w:firstRow="0" w:lastRow="0" w:firstColumn="0" w:lastColumn="0" w:oddVBand="0" w:evenVBand="0" w:oddHBand="0" w:evenHBand="0" w:firstRowFirstColumn="0" w:firstRowLastColumn="0" w:lastRowFirstColumn="0" w:lastRowLastColumn="0"/>
            </w:pPr>
            <w:r>
              <w:t>C</w:t>
            </w:r>
            <w:r w:rsidR="00070DC2" w:rsidRPr="000979BF">
              <w:t>arrier plus in vitro expanded autologous BMSCs</w:t>
            </w:r>
          </w:p>
        </w:tc>
        <w:tc>
          <w:tcPr>
            <w:tcW w:w="1418"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rsidRPr="000979BF">
              <w:t>Radiological assessment of new callus and fracture bridging</w:t>
            </w:r>
          </w:p>
        </w:tc>
        <w:tc>
          <w:tcPr>
            <w:tcW w:w="1234" w:type="dxa"/>
          </w:tcPr>
          <w:p w:rsidR="00070DC2" w:rsidRDefault="00070DC2" w:rsidP="002748C0">
            <w:pPr>
              <w:cnfStyle w:val="000000000000" w:firstRow="0" w:lastRow="0" w:firstColumn="0" w:lastColumn="0" w:oddVBand="0" w:evenVBand="0" w:oddHBand="0" w:evenHBand="0" w:firstRowFirstColumn="0" w:firstRowLastColumn="0" w:lastRowFirstColumn="0" w:lastRowLastColumn="0"/>
            </w:pPr>
            <w:r>
              <w:t xml:space="preserve">Completed </w:t>
            </w:r>
          </w:p>
        </w:tc>
      </w:tr>
    </w:tbl>
    <w:p w:rsidR="00070DC2" w:rsidRDefault="00070DC2" w:rsidP="005F1307"/>
    <w:p w:rsidR="00070DC2" w:rsidRPr="00665E77" w:rsidRDefault="00665E77" w:rsidP="005F1307">
      <w:r>
        <w:rPr>
          <w:b/>
        </w:rPr>
        <w:t>Table 1.</w:t>
      </w:r>
      <w:r>
        <w:t xml:space="preserve"> Clinical trials related to mesenchymal stem cells. Cited in the clinical trials registries searched. </w:t>
      </w:r>
    </w:p>
    <w:p w:rsidR="00070DC2" w:rsidRDefault="00070DC2" w:rsidP="005F1307"/>
    <w:p w:rsidR="00070DC2" w:rsidRDefault="00070DC2" w:rsidP="005F1307"/>
    <w:p w:rsidR="00070DC2" w:rsidRDefault="00070DC2" w:rsidP="005F1307"/>
    <w:p w:rsidR="0099581C" w:rsidRPr="002F06B8" w:rsidRDefault="0099581C" w:rsidP="005F1307"/>
    <w:p w:rsidR="0007148E" w:rsidRDefault="00D000A4" w:rsidP="00D000A4">
      <w:pPr>
        <w:pStyle w:val="Heading1"/>
      </w:pPr>
      <w:r>
        <w:t xml:space="preserve">Discussion </w:t>
      </w:r>
    </w:p>
    <w:p w:rsidR="007860C0" w:rsidRPr="007860C0" w:rsidRDefault="000C455E" w:rsidP="000C455E">
      <w:r>
        <w:t>Bone tissue is able to regenerate more predictably than any other tissue in the body. Bone autograft was the safest and most effective grafting procedure because it uses the patient’s own bone cells. However, bone autograft is limited in quantity and represents an additional surgical intervention,</w:t>
      </w:r>
      <w:r w:rsidR="007860C0">
        <w:t xml:space="preserve"> with associated complications.</w:t>
      </w:r>
      <w:r w:rsidR="007860C0">
        <w:rPr>
          <w:rStyle w:val="EndnoteReference"/>
        </w:rPr>
        <w:endnoteReference w:id="38"/>
      </w:r>
      <w:r w:rsidR="007860C0">
        <w:t xml:space="preserve"> The use of stem cells and tissue engineering is therefore essential in treating these pathologies. </w:t>
      </w:r>
      <w:r w:rsidR="009F61D3">
        <w:t xml:space="preserve">Bone marrow </w:t>
      </w:r>
      <w:r w:rsidR="008F0050">
        <w:t>mesenchymal stem cells</w:t>
      </w:r>
      <w:r w:rsidR="009F61D3">
        <w:t xml:space="preserve"> have a strong osteogenic potential and are easily obtained by culturing iliac crest aspirates. Bone marrow MSCs are taken from the patient, </w:t>
      </w:r>
      <w:r w:rsidR="009F61D3" w:rsidRPr="005803E5">
        <w:t>isolated due to their adherence to plastic</w:t>
      </w:r>
      <w:r w:rsidR="009F61D3">
        <w:t>, cultured and differentiated into a suitable number, applied to a synthetic scaffold and expanded in vitro on this scaffold and then grafted</w:t>
      </w:r>
      <w:r w:rsidR="009F61D3">
        <w:rPr>
          <w:rStyle w:val="EndnoteReference"/>
        </w:rPr>
        <w:endnoteReference w:id="39"/>
      </w:r>
      <w:r w:rsidR="009F61D3">
        <w:t xml:space="preserve">.  </w:t>
      </w:r>
      <w:r w:rsidR="007860C0">
        <w:t xml:space="preserve">The results presented in this review show that the use of mesenchymal stem cells for the treatment of non-union and bone defects is optimistic. Several papers had positive outcomes to report, however, there is a dire need for higher level evidence and more research into the environment in which </w:t>
      </w:r>
      <w:r w:rsidR="00DD28EF">
        <w:t xml:space="preserve">the stem cells are used. </w:t>
      </w:r>
    </w:p>
    <w:p w:rsidR="008F0050" w:rsidRPr="00EC0DA2" w:rsidRDefault="008F0050" w:rsidP="008F0050">
      <w:r>
        <w:t>Literature is sparse, especially high level evidence. A 2008 review of literature revealed that there has been no study providing level 1 evidence regarding tissue engineering, bone marrow aspirates, demineralised bone matrices or gene therapy in humans.</w:t>
      </w:r>
      <w:r>
        <w:rPr>
          <w:rStyle w:val="EndnoteReference"/>
        </w:rPr>
        <w:endnoteReference w:id="40"/>
      </w:r>
      <w:r>
        <w:t xml:space="preserve"> Clinical trials are difficult to conduct as there are significant ethical and regulatory issues. Substantial effort is required to launch clinical trials, supported only by preclinical arguments and data. Cell therapy is considered an advanced therapy by European legislation</w:t>
      </w:r>
      <w:r>
        <w:rPr>
          <w:rStyle w:val="EndnoteReference"/>
        </w:rPr>
        <w:endnoteReference w:id="41"/>
      </w:r>
      <w:r>
        <w:t xml:space="preserve">, where cells are considered ‘engineered’ if they have been subjected to substantial manipulation and are not intended to be used for the same function in the transplanted location as from where they were harvested. At the moment, only autologous MSCs are used for cell therapy. Bone marrow cell concentration of MSCs has been shown as a safe therapy, with no risk of cancer, by </w:t>
      </w:r>
      <w:proofErr w:type="spellStart"/>
      <w:r>
        <w:t>Hernigou</w:t>
      </w:r>
      <w:proofErr w:type="spellEnd"/>
      <w:r>
        <w:t xml:space="preserve"> et al. on 1873 patients.</w:t>
      </w:r>
      <w:r>
        <w:rPr>
          <w:rStyle w:val="EndnoteReference"/>
        </w:rPr>
        <w:endnoteReference w:id="42"/>
      </w:r>
      <w:r>
        <w:t xml:space="preserve"> Tarte et al. also researched the risk of neoplastic changes and found no evidence of harmful or neoplastic changes of cultured MSCs as the result of two national trials.</w:t>
      </w:r>
      <w:r>
        <w:rPr>
          <w:rStyle w:val="EndnoteReference"/>
        </w:rPr>
        <w:endnoteReference w:id="43"/>
      </w:r>
      <w:r>
        <w:t xml:space="preserve"> However, the </w:t>
      </w:r>
      <w:proofErr w:type="spellStart"/>
      <w:r>
        <w:t>immunomodulating</w:t>
      </w:r>
      <w:proofErr w:type="spellEnd"/>
      <w:r>
        <w:t xml:space="preserve"> effects of MSCs and their ability to maintain the survival of associated cells warrants caution and is a barrier to the conduct of clinical trials. </w:t>
      </w:r>
    </w:p>
    <w:p w:rsidR="008F0050" w:rsidRPr="008F0050" w:rsidRDefault="008F0050" w:rsidP="008F0050">
      <w:pPr>
        <w:rPr>
          <w:b/>
        </w:rPr>
      </w:pPr>
      <w:r>
        <w:t>Bone repair may also be influenced by a number of factors – the defect site, vasculature, and patient’s age. The successful use of mesenchymal stem cells for bone repair in clinical studies has excited many. However, a better understanding of the role of stem cells in bone repair is necessary for more consistent success in the application of treating bone defects and fracture non-union.</w:t>
      </w:r>
      <w:r>
        <w:rPr>
          <w:rStyle w:val="EndnoteReference"/>
        </w:rPr>
        <w:endnoteReference w:id="44"/>
      </w:r>
    </w:p>
    <w:p w:rsidR="008F0050" w:rsidRDefault="008F0050" w:rsidP="008F0050">
      <w:r>
        <w:lastRenderedPageBreak/>
        <w:t>Important variations in the number of MSCs are observed in patients and may be a limit of the technique. Tissue engineering is probably the solution to bring a regular number of cells to the patient. It combines MSCS, scaffolds and pro-osteogenic molecules in order to form hybrid constructs.</w:t>
      </w:r>
    </w:p>
    <w:p w:rsidR="00AB79E0" w:rsidRPr="00AB79E0" w:rsidRDefault="00BA3304" w:rsidP="00AB79E0">
      <w:r>
        <w:t xml:space="preserve">The scaffold used to culture MSCs may require more investigation. Research by Bajada et al. has shown that calcium sulphate works as an effective scaffold. Hydroxyapatite showed mixed results. </w:t>
      </w:r>
      <w:proofErr w:type="spellStart"/>
      <w:r>
        <w:t>Maracacci</w:t>
      </w:r>
      <w:proofErr w:type="spellEnd"/>
      <w:r>
        <w:t xml:space="preserve"> showed that hydroxyapatite was not resorbed after more than 7 years post-implantation, which compromised the biomechanics of the new bone. However, </w:t>
      </w:r>
      <w:proofErr w:type="spellStart"/>
      <w:r>
        <w:t>Warnke</w:t>
      </w:r>
      <w:proofErr w:type="spellEnd"/>
      <w:r>
        <w:t xml:space="preserve"> et al. used hydroxyapatite as a scaffold and reported no problems related to this. However, they did report that bone growth was inconsistent throughout the graft, but this was not attributed to the scaffold. F</w:t>
      </w:r>
      <w:r w:rsidR="00692CF2">
        <w:t xml:space="preserve">urther studies may be needed. </w:t>
      </w:r>
    </w:p>
    <w:p w:rsidR="0002300B" w:rsidRDefault="00AB79E0" w:rsidP="00676BBA">
      <w:r>
        <w:t xml:space="preserve">To conclude, </w:t>
      </w:r>
      <w:r w:rsidR="00742860">
        <w:t xml:space="preserve">results from studies about clinical applications of mesenchymal stem cells have been overwhelmingly promising, but further evidence is needed. </w:t>
      </w:r>
      <w:r w:rsidR="00DD28EF">
        <w:t>A strong need of clinical results is required to further progress in cell therapy. Launched trials will hopefully provide this information in the near future. If clinical trials are positive, further development of complex tissue engineering techniques may be developed to treat large bone defects. A cost-benefit analysis and economical evaluation to identify the best indications for bone repair cell therapy as a standard procedure is vital, if MSCs are shown as safe and efficaciou</w:t>
      </w:r>
      <w:r w:rsidR="00CC65C0">
        <w:t>s from current clinical trials.</w:t>
      </w:r>
      <w:r w:rsidR="00DD28EF">
        <w:rPr>
          <w:rStyle w:val="EndnoteReference"/>
        </w:rPr>
        <w:endnoteReference w:id="45"/>
      </w:r>
    </w:p>
    <w:p w:rsidR="007E707C" w:rsidRDefault="007E707C" w:rsidP="007E707C">
      <w:pPr>
        <w:pStyle w:val="Heading2"/>
      </w:pPr>
      <w:r>
        <w:t>future direction</w:t>
      </w:r>
    </w:p>
    <w:p w:rsidR="00DB6DBC" w:rsidRDefault="00530B15" w:rsidP="00676BBA">
      <w:r>
        <w:t xml:space="preserve">Table 1 shows clinical trials that are soon to take place, or have recently been completed. </w:t>
      </w:r>
      <w:r w:rsidR="007A329D">
        <w:t xml:space="preserve">Research is looking at a deeper molecular level to aid the treatment of non-union and bone defects. The results show that bone growth requires more than just stem cells; the support of an </w:t>
      </w:r>
      <w:proofErr w:type="spellStart"/>
      <w:r w:rsidR="007A329D">
        <w:t>osteoinductive</w:t>
      </w:r>
      <w:proofErr w:type="spellEnd"/>
      <w:r w:rsidR="007A329D">
        <w:t xml:space="preserve"> environment is essential.</w:t>
      </w:r>
      <w:r w:rsidR="007E707C">
        <w:rPr>
          <w:rStyle w:val="EndnoteReference"/>
        </w:rPr>
        <w:endnoteReference w:id="46"/>
      </w:r>
      <w:r w:rsidR="007A329D">
        <w:t xml:space="preserve"> </w:t>
      </w:r>
      <w:r w:rsidR="00D70C90">
        <w:t xml:space="preserve">Recent research has shown the importance of isolated factors such as bone </w:t>
      </w:r>
      <w:proofErr w:type="spellStart"/>
      <w:r w:rsidR="00D70C90">
        <w:t>morphogenic</w:t>
      </w:r>
      <w:proofErr w:type="spellEnd"/>
      <w:r w:rsidR="00D70C90">
        <w:t xml:space="preserve"> proteins, which have been used clinically to enhance and accelerate bone repair. </w:t>
      </w:r>
      <w:r w:rsidR="006B01BE">
        <w:t xml:space="preserve">Other growth factors, such as TGF-β and IGF may stimulate fracture repair and </w:t>
      </w:r>
      <w:r w:rsidR="007A329D">
        <w:t>minimise the rate of non-union, and research is being conducted in these areas.</w:t>
      </w:r>
      <w:r w:rsidR="007A329D">
        <w:rPr>
          <w:rStyle w:val="EndnoteReference"/>
        </w:rPr>
        <w:endnoteReference w:id="47"/>
      </w:r>
      <w:r w:rsidR="007A329D">
        <w:t xml:space="preserve"> </w:t>
      </w:r>
      <w:proofErr w:type="spellStart"/>
      <w:r w:rsidR="006B01BE">
        <w:t>Wiesmann</w:t>
      </w:r>
      <w:proofErr w:type="spellEnd"/>
      <w:r w:rsidR="00953EDA">
        <w:t xml:space="preserve"> et al.</w:t>
      </w:r>
      <w:r w:rsidR="006B01BE">
        <w:t xml:space="preserve"> found that mechanical stimulation and other biophysical stimuli appear to be critical factors for the proliferation and differentiation of bone cells and for the formation of bot</w:t>
      </w:r>
      <w:r w:rsidR="00953EDA">
        <w:t>h bone mineral and structure.</w:t>
      </w:r>
      <w:r w:rsidR="00953EDA">
        <w:rPr>
          <w:rStyle w:val="EndnoteReference"/>
        </w:rPr>
        <w:endnoteReference w:id="48"/>
      </w:r>
      <w:r>
        <w:t xml:space="preserve"> </w:t>
      </w:r>
    </w:p>
    <w:p w:rsidR="00DB6DBC" w:rsidRDefault="00DB6DBC" w:rsidP="00676BBA"/>
    <w:p w:rsidR="00EC0DA2" w:rsidRDefault="00EC0DA2"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8062D1" w:rsidRDefault="008062D1" w:rsidP="00676BBA"/>
    <w:p w:rsidR="00472637" w:rsidRPr="001E367B" w:rsidRDefault="000C455E" w:rsidP="00472637">
      <w:pPr>
        <w:pStyle w:val="Heading1"/>
      </w:pPr>
      <w:r>
        <w:t>References</w:t>
      </w:r>
    </w:p>
    <w:sectPr w:rsidR="00472637" w:rsidRPr="001E367B">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8A" w:rsidRDefault="000D1D8A" w:rsidP="00906BE7">
      <w:pPr>
        <w:spacing w:after="0" w:line="240" w:lineRule="auto"/>
      </w:pPr>
      <w:r>
        <w:separator/>
      </w:r>
    </w:p>
  </w:endnote>
  <w:endnote w:type="continuationSeparator" w:id="0">
    <w:p w:rsidR="000D1D8A" w:rsidRDefault="000D1D8A" w:rsidP="00906BE7">
      <w:pPr>
        <w:spacing w:after="0" w:line="240" w:lineRule="auto"/>
      </w:pPr>
      <w:r>
        <w:continuationSeparator/>
      </w:r>
    </w:p>
  </w:endnote>
  <w:endnote w:id="1">
    <w:p w:rsidR="00D36237" w:rsidRDefault="00D36237">
      <w:pPr>
        <w:pStyle w:val="EndnoteText"/>
      </w:pPr>
      <w:r>
        <w:rPr>
          <w:rStyle w:val="EndnoteReference"/>
        </w:rPr>
        <w:endnoteRef/>
      </w:r>
      <w:r>
        <w:t xml:space="preserve"> </w:t>
      </w:r>
      <w:proofErr w:type="spellStart"/>
      <w:r>
        <w:t>Nandra</w:t>
      </w:r>
      <w:proofErr w:type="spellEnd"/>
      <w:r>
        <w:t xml:space="preserve"> et al. Fracture non-un</w:t>
      </w:r>
      <w:r w:rsidR="00A0405F">
        <w:t>ion epidemiology and treatment. Trauma 2016. 18(1); 3-11</w:t>
      </w:r>
    </w:p>
    <w:p w:rsidR="00D36237" w:rsidRDefault="00D36237">
      <w:pPr>
        <w:pStyle w:val="EndnoteText"/>
      </w:pPr>
    </w:p>
  </w:endnote>
  <w:endnote w:id="2">
    <w:p w:rsidR="009864FB" w:rsidRDefault="009864FB" w:rsidP="009864FB">
      <w:pPr>
        <w:pStyle w:val="EndnoteText"/>
      </w:pPr>
      <w:r>
        <w:rPr>
          <w:rStyle w:val="EndnoteReference"/>
        </w:rPr>
        <w:endnoteRef/>
      </w:r>
      <w:r>
        <w:t xml:space="preserve"> </w:t>
      </w:r>
      <w:proofErr w:type="spellStart"/>
      <w:r>
        <w:t>Frölke</w:t>
      </w:r>
      <w:proofErr w:type="spellEnd"/>
      <w:r>
        <w:t xml:space="preserve"> JP and </w:t>
      </w:r>
      <w:proofErr w:type="spellStart"/>
      <w:r>
        <w:t>Patka</w:t>
      </w:r>
      <w:proofErr w:type="spellEnd"/>
      <w:r>
        <w:t xml:space="preserve"> P. Definition and classification of fracture non-unions. Injury 2007; 38: 19–22.</w:t>
      </w:r>
    </w:p>
    <w:p w:rsidR="009864FB" w:rsidRDefault="009864FB" w:rsidP="009864FB">
      <w:pPr>
        <w:pStyle w:val="EndnoteText"/>
      </w:pPr>
    </w:p>
  </w:endnote>
  <w:endnote w:id="3">
    <w:p w:rsidR="009864FB" w:rsidRDefault="009864FB" w:rsidP="009864FB">
      <w:pPr>
        <w:pStyle w:val="EndnoteText"/>
      </w:pPr>
      <w:r>
        <w:rPr>
          <w:rStyle w:val="EndnoteReference"/>
        </w:rPr>
        <w:endnoteRef/>
      </w:r>
      <w:r>
        <w:t xml:space="preserve"> USFDA. Guidance Document for the Preparation of Investigational Device Exemptions and Pre-market Approval Applications for Bone Growth Stimulator Devices. Rockville, MD: United States Food and Drug Administration; 1988.</w:t>
      </w:r>
    </w:p>
    <w:p w:rsidR="009864FB" w:rsidRDefault="009864FB" w:rsidP="009864FB">
      <w:pPr>
        <w:pStyle w:val="EndnoteText"/>
      </w:pPr>
    </w:p>
  </w:endnote>
  <w:endnote w:id="4">
    <w:p w:rsidR="009864FB" w:rsidRDefault="009864FB" w:rsidP="009864FB">
      <w:pPr>
        <w:pStyle w:val="EndnoteText"/>
      </w:pPr>
      <w:r>
        <w:rPr>
          <w:rStyle w:val="EndnoteReference"/>
        </w:rPr>
        <w:endnoteRef/>
      </w:r>
      <w:r>
        <w:t xml:space="preserve"> </w:t>
      </w:r>
      <w:r w:rsidR="00FB5795">
        <w:t xml:space="preserve">H. C. </w:t>
      </w:r>
      <w:proofErr w:type="spellStart"/>
      <w:r w:rsidR="00FB5795">
        <w:t>Fayaz</w:t>
      </w:r>
      <w:proofErr w:type="spellEnd"/>
      <w:r w:rsidR="00FB5795">
        <w:t xml:space="preserve"> et al. The role of stem cells in fracture healing and non-union. </w:t>
      </w:r>
      <w:r w:rsidR="00FB5795" w:rsidRPr="00F10DB6">
        <w:t>International Orthopaedics (SICOT) (2011) 35:1587–1597</w:t>
      </w:r>
      <w:r w:rsidR="00FB5795">
        <w:t>.</w:t>
      </w:r>
    </w:p>
    <w:p w:rsidR="009864FB" w:rsidRDefault="009864FB" w:rsidP="009864FB">
      <w:pPr>
        <w:pStyle w:val="EndnoteText"/>
      </w:pPr>
    </w:p>
  </w:endnote>
  <w:endnote w:id="5">
    <w:p w:rsidR="009864FB" w:rsidRDefault="009864FB" w:rsidP="009864FB">
      <w:pPr>
        <w:pStyle w:val="EndnoteText"/>
      </w:pPr>
      <w:r>
        <w:rPr>
          <w:rStyle w:val="EndnoteReference"/>
        </w:rPr>
        <w:endnoteRef/>
      </w:r>
      <w:r>
        <w:t xml:space="preserve"> Weber BG, </w:t>
      </w:r>
      <w:proofErr w:type="spellStart"/>
      <w:r>
        <w:t>Cech</w:t>
      </w:r>
      <w:proofErr w:type="spellEnd"/>
      <w:r>
        <w:t xml:space="preserve"> O. </w:t>
      </w:r>
      <w:proofErr w:type="spellStart"/>
      <w:r>
        <w:t>Pseudarthrosis</w:t>
      </w:r>
      <w:proofErr w:type="spellEnd"/>
      <w:r>
        <w:t>, Pathology, Biomechanics, Therapy, Results. Bern: Hans Huber; 1976</w:t>
      </w:r>
    </w:p>
    <w:p w:rsidR="009864FB" w:rsidRDefault="009864FB" w:rsidP="009864FB">
      <w:pPr>
        <w:pStyle w:val="EndnoteText"/>
      </w:pPr>
    </w:p>
  </w:endnote>
  <w:endnote w:id="6">
    <w:p w:rsidR="00447302" w:rsidRDefault="00447302" w:rsidP="00447302">
      <w:pPr>
        <w:pStyle w:val="EndnoteText"/>
        <w:rPr>
          <w:rStyle w:val="selectable"/>
        </w:rPr>
      </w:pPr>
      <w:r>
        <w:rPr>
          <w:rStyle w:val="EndnoteReference"/>
        </w:rPr>
        <w:endnoteRef/>
      </w:r>
      <w:r>
        <w:t xml:space="preserve"> </w:t>
      </w:r>
      <w:r>
        <w:rPr>
          <w:rStyle w:val="selectable"/>
        </w:rPr>
        <w:t xml:space="preserve">Donaldson, L. (2008). The epidemiology of fractures in England. </w:t>
      </w:r>
      <w:r>
        <w:rPr>
          <w:rStyle w:val="selectable"/>
          <w:i/>
          <w:iCs/>
        </w:rPr>
        <w:t>Journal of Epidemiology &amp; Community Health</w:t>
      </w:r>
      <w:r>
        <w:rPr>
          <w:rStyle w:val="selectable"/>
        </w:rPr>
        <w:t>, 62(2), pp.174-180.</w:t>
      </w:r>
    </w:p>
    <w:p w:rsidR="00447302" w:rsidRDefault="00447302" w:rsidP="00447302">
      <w:pPr>
        <w:pStyle w:val="EndnoteText"/>
      </w:pPr>
    </w:p>
  </w:endnote>
  <w:endnote w:id="7">
    <w:p w:rsidR="00914337" w:rsidRDefault="00914337">
      <w:pPr>
        <w:pStyle w:val="EndnoteText"/>
      </w:pPr>
      <w:r>
        <w:rPr>
          <w:rStyle w:val="EndnoteReference"/>
        </w:rPr>
        <w:endnoteRef/>
      </w:r>
      <w:r>
        <w:t xml:space="preserve"> Mills LA and Simpson AH. The relative incidence of fracture non-union in the Scottish population (5.17 million): a 5-year epidemiological study. BMJ Open 2013; 3:e002276</w:t>
      </w:r>
    </w:p>
    <w:p w:rsidR="00914337" w:rsidRDefault="00914337">
      <w:pPr>
        <w:pStyle w:val="EndnoteText"/>
      </w:pPr>
    </w:p>
  </w:endnote>
  <w:endnote w:id="8">
    <w:p w:rsidR="00910DD3" w:rsidRDefault="00910DD3">
      <w:pPr>
        <w:pStyle w:val="EndnoteText"/>
      </w:pPr>
      <w:r>
        <w:rPr>
          <w:rStyle w:val="EndnoteReference"/>
        </w:rPr>
        <w:endnoteRef/>
      </w:r>
      <w:r>
        <w:t xml:space="preserve"> Mills LA and Simpson AH. The risk of non-union per fracture in children. J Child </w:t>
      </w:r>
      <w:proofErr w:type="spellStart"/>
      <w:r>
        <w:t>Orthop</w:t>
      </w:r>
      <w:proofErr w:type="spellEnd"/>
      <w:r>
        <w:t xml:space="preserve"> 2013; 7: 317–322</w:t>
      </w:r>
    </w:p>
    <w:p w:rsidR="00910DD3" w:rsidRPr="00235505" w:rsidRDefault="00910DD3">
      <w:pPr>
        <w:pStyle w:val="EndnoteText"/>
      </w:pPr>
    </w:p>
  </w:endnote>
  <w:endnote w:id="9">
    <w:p w:rsidR="00247D8D" w:rsidRDefault="00247D8D">
      <w:pPr>
        <w:pStyle w:val="EndnoteText"/>
        <w:rPr>
          <w:i/>
        </w:rPr>
      </w:pPr>
      <w:r w:rsidRPr="00235505">
        <w:rPr>
          <w:rStyle w:val="EndnoteReference"/>
        </w:rPr>
        <w:endnoteRef/>
      </w:r>
      <w:r w:rsidRPr="00235505">
        <w:t xml:space="preserve"> </w:t>
      </w:r>
      <w:proofErr w:type="spellStart"/>
      <w:r w:rsidRPr="00235505">
        <w:t>Giannoudis</w:t>
      </w:r>
      <w:proofErr w:type="spellEnd"/>
      <w:r w:rsidRPr="00235505">
        <w:t xml:space="preserve"> PV, </w:t>
      </w:r>
      <w:proofErr w:type="spellStart"/>
      <w:r w:rsidRPr="00235505">
        <w:t>Einhorn</w:t>
      </w:r>
      <w:proofErr w:type="spellEnd"/>
      <w:r w:rsidRPr="00235505">
        <w:t xml:space="preserve"> TA, Marsh D (2007) Injury, </w:t>
      </w:r>
      <w:proofErr w:type="spellStart"/>
      <w:r w:rsidRPr="00235505">
        <w:t>Int</w:t>
      </w:r>
      <w:proofErr w:type="spellEnd"/>
      <w:r w:rsidRPr="00235505">
        <w:t xml:space="preserve"> J Care Injured 38S4:S3–S6</w:t>
      </w:r>
    </w:p>
    <w:p w:rsidR="00235505" w:rsidRPr="00235505" w:rsidRDefault="00235505">
      <w:pPr>
        <w:pStyle w:val="EndnoteText"/>
      </w:pPr>
    </w:p>
  </w:endnote>
  <w:endnote w:id="10">
    <w:p w:rsidR="00BB5020" w:rsidRDefault="00BB5020">
      <w:pPr>
        <w:pStyle w:val="EndnoteText"/>
      </w:pPr>
      <w:r>
        <w:rPr>
          <w:rStyle w:val="EndnoteReference"/>
        </w:rPr>
        <w:endnoteRef/>
      </w:r>
      <w:r>
        <w:t xml:space="preserve"> Mills LA and Simpson AH. The relative incidence of fracture non-union in the Scottish population.</w:t>
      </w:r>
    </w:p>
    <w:p w:rsidR="00BB5020" w:rsidRDefault="00BB5020">
      <w:pPr>
        <w:pStyle w:val="EndnoteText"/>
      </w:pPr>
    </w:p>
  </w:endnote>
  <w:endnote w:id="11">
    <w:p w:rsidR="00FF3F56" w:rsidRPr="00FF3F56" w:rsidRDefault="00FF3F56">
      <w:pPr>
        <w:pStyle w:val="EndnoteText"/>
      </w:pPr>
      <w:r>
        <w:rPr>
          <w:rStyle w:val="EndnoteReference"/>
        </w:rPr>
        <w:endnoteRef/>
      </w:r>
      <w:r>
        <w:t xml:space="preserve"> </w:t>
      </w:r>
      <w:r w:rsidRPr="00FF3F56">
        <w:t xml:space="preserve">Damien, C. &amp; Parsons, R. Bone graft and bone graft substitutes: a review of current technology and applications. J. Appl. </w:t>
      </w:r>
      <w:proofErr w:type="spellStart"/>
      <w:r w:rsidRPr="00FF3F56">
        <w:t>Biomat</w:t>
      </w:r>
      <w:proofErr w:type="spellEnd"/>
      <w:r w:rsidRPr="00FF3F56">
        <w:t>. 2, 187–208 (1991).</w:t>
      </w:r>
    </w:p>
    <w:p w:rsidR="00FF3F56" w:rsidRDefault="00FF3F56">
      <w:pPr>
        <w:pStyle w:val="EndnoteText"/>
      </w:pPr>
    </w:p>
  </w:endnote>
  <w:endnote w:id="12">
    <w:p w:rsidR="003F15B2" w:rsidRDefault="003F15B2">
      <w:pPr>
        <w:pStyle w:val="EndnoteText"/>
        <w:rPr>
          <w:i/>
        </w:rPr>
      </w:pPr>
      <w:r>
        <w:rPr>
          <w:rStyle w:val="EndnoteReference"/>
        </w:rPr>
        <w:endnoteRef/>
      </w:r>
      <w:r>
        <w:t xml:space="preserve"> </w:t>
      </w:r>
      <w:r w:rsidRPr="003F15B2">
        <w:t xml:space="preserve">P Spicer et al. Evaluation of bone regeneration using the rat critical size </w:t>
      </w:r>
      <w:proofErr w:type="spellStart"/>
      <w:r w:rsidRPr="003F15B2">
        <w:t>calvarial</w:t>
      </w:r>
      <w:proofErr w:type="spellEnd"/>
      <w:r w:rsidRPr="003F15B2">
        <w:t xml:space="preserve"> defect. Nature Protocols 7, 1918–1929 (2012) doi:10.1038/nprot.2012.113</w:t>
      </w:r>
    </w:p>
    <w:p w:rsidR="003F15B2" w:rsidRPr="003F15B2" w:rsidRDefault="003F15B2">
      <w:pPr>
        <w:pStyle w:val="EndnoteText"/>
      </w:pPr>
    </w:p>
  </w:endnote>
  <w:endnote w:id="13">
    <w:p w:rsidR="00B03477" w:rsidRDefault="00B03477" w:rsidP="00B03477">
      <w:pPr>
        <w:pStyle w:val="EndnoteText"/>
      </w:pPr>
      <w:r>
        <w:rPr>
          <w:rStyle w:val="EndnoteReference"/>
        </w:rPr>
        <w:endnoteRef/>
      </w:r>
      <w:r>
        <w:t xml:space="preserve"> Lindsey RW, </w:t>
      </w:r>
      <w:proofErr w:type="spellStart"/>
      <w:r>
        <w:t>Gugala</w:t>
      </w:r>
      <w:proofErr w:type="spellEnd"/>
      <w:r>
        <w:t xml:space="preserve"> Z, Milne E, Sun M, Gannon FH, </w:t>
      </w:r>
      <w:proofErr w:type="spellStart"/>
      <w:r>
        <w:t>Latta</w:t>
      </w:r>
      <w:proofErr w:type="spellEnd"/>
      <w:r>
        <w:t xml:space="preserve"> LL (2006) The efficacy of cylindrical titanium mesh cage for the reconstruction of a critical-size canine segmental femoral </w:t>
      </w:r>
      <w:proofErr w:type="spellStart"/>
      <w:r>
        <w:t>diaphyseal</w:t>
      </w:r>
      <w:proofErr w:type="spellEnd"/>
      <w:r>
        <w:t xml:space="preserve"> defect. J </w:t>
      </w:r>
      <w:proofErr w:type="spellStart"/>
      <w:r>
        <w:t>Orthop</w:t>
      </w:r>
      <w:proofErr w:type="spellEnd"/>
      <w:r>
        <w:t xml:space="preserve"> Res 24(7):1438–1453</w:t>
      </w:r>
    </w:p>
    <w:p w:rsidR="00B03477" w:rsidRDefault="00B03477" w:rsidP="00B03477">
      <w:pPr>
        <w:pStyle w:val="EndnoteText"/>
      </w:pPr>
    </w:p>
  </w:endnote>
  <w:endnote w:id="14">
    <w:p w:rsidR="006A2326" w:rsidRDefault="006A2326">
      <w:pPr>
        <w:pStyle w:val="EndnoteText"/>
      </w:pPr>
      <w:r>
        <w:rPr>
          <w:rStyle w:val="EndnoteReference"/>
        </w:rPr>
        <w:endnoteRef/>
      </w:r>
      <w:r>
        <w:t xml:space="preserve"> </w:t>
      </w:r>
      <w:r w:rsidR="007C3DFB">
        <w:t>H.</w:t>
      </w:r>
      <w:r w:rsidR="00B53F0E">
        <w:t xml:space="preserve"> C</w:t>
      </w:r>
      <w:r w:rsidR="007C3DFB">
        <w:t>.</w:t>
      </w:r>
      <w:r w:rsidR="00B53F0E">
        <w:t xml:space="preserve"> </w:t>
      </w:r>
      <w:proofErr w:type="spellStart"/>
      <w:r w:rsidR="00B53F0E">
        <w:t>Fayaz</w:t>
      </w:r>
      <w:proofErr w:type="spellEnd"/>
      <w:r w:rsidR="00B53F0E">
        <w:t xml:space="preserve"> et al. </w:t>
      </w:r>
      <w:r w:rsidR="00F10DB6">
        <w:t xml:space="preserve">The role of stem cells in fracture healing and non-union. </w:t>
      </w:r>
      <w:r w:rsidR="00F10DB6" w:rsidRPr="00F10DB6">
        <w:t>International Orthopaedics (SICOT) (2011) 35:1587–1597</w:t>
      </w:r>
      <w:r w:rsidR="00F10DB6">
        <w:t xml:space="preserve">. </w:t>
      </w:r>
    </w:p>
    <w:p w:rsidR="006A2326" w:rsidRDefault="006A2326">
      <w:pPr>
        <w:pStyle w:val="EndnoteText"/>
      </w:pPr>
    </w:p>
  </w:endnote>
  <w:endnote w:id="15">
    <w:p w:rsidR="00F44788" w:rsidRDefault="00F44788">
      <w:pPr>
        <w:pStyle w:val="EndnoteText"/>
      </w:pPr>
      <w:r>
        <w:rPr>
          <w:rStyle w:val="EndnoteReference"/>
        </w:rPr>
        <w:endnoteRef/>
      </w:r>
      <w:r>
        <w:t xml:space="preserve"> J. F. Keating et al. The management of fractures with bone loss. J Bone Joint </w:t>
      </w:r>
      <w:proofErr w:type="spellStart"/>
      <w:r>
        <w:t>Surg</w:t>
      </w:r>
      <w:proofErr w:type="spellEnd"/>
      <w:r>
        <w:t xml:space="preserve"> [Br] 2005</w:t>
      </w:r>
      <w:proofErr w:type="gramStart"/>
      <w:r>
        <w:t>;87</w:t>
      </w:r>
      <w:proofErr w:type="gramEnd"/>
      <w:r>
        <w:t>-B:142-50.</w:t>
      </w:r>
      <w:r w:rsidR="007352FE" w:rsidRPr="007352FE">
        <w:t xml:space="preserve"> </w:t>
      </w:r>
    </w:p>
    <w:p w:rsidR="00F44788" w:rsidRDefault="00F44788">
      <w:pPr>
        <w:pStyle w:val="EndnoteText"/>
      </w:pPr>
    </w:p>
  </w:endnote>
  <w:endnote w:id="16">
    <w:p w:rsidR="000705BC" w:rsidRDefault="000705BC">
      <w:pPr>
        <w:pStyle w:val="EndnoteText"/>
      </w:pPr>
      <w:r>
        <w:rPr>
          <w:rStyle w:val="EndnoteReference"/>
        </w:rPr>
        <w:endnoteRef/>
      </w:r>
      <w:r w:rsidRPr="000705BC">
        <w:t>Bone morphogenetic proteins in critical-size bone defects: what a</w:t>
      </w:r>
      <w:r>
        <w:t>re the options? (injury, 2009)</w:t>
      </w:r>
    </w:p>
    <w:p w:rsidR="000705BC" w:rsidRDefault="000705BC">
      <w:pPr>
        <w:pStyle w:val="EndnoteText"/>
      </w:pPr>
    </w:p>
  </w:endnote>
  <w:endnote w:id="17">
    <w:p w:rsidR="00D10E36" w:rsidRDefault="00D10E36" w:rsidP="00D10E36">
      <w:pPr>
        <w:pStyle w:val="EndnoteText"/>
      </w:pPr>
      <w:r>
        <w:rPr>
          <w:rStyle w:val="EndnoteReference"/>
        </w:rPr>
        <w:endnoteRef/>
      </w:r>
      <w:r>
        <w:t xml:space="preserve"> </w:t>
      </w:r>
      <w:proofErr w:type="spellStart"/>
      <w:r>
        <w:t>Dominici</w:t>
      </w:r>
      <w:proofErr w:type="spellEnd"/>
      <w:r>
        <w:t xml:space="preserve"> M, Le Blanc K, Mueller I, </w:t>
      </w:r>
      <w:proofErr w:type="spellStart"/>
      <w:r>
        <w:t>Slaper-Cortenbach</w:t>
      </w:r>
      <w:proofErr w:type="spellEnd"/>
      <w:r>
        <w:t xml:space="preserve"> I, Marini F, Krause D, Deans R, Keating A, </w:t>
      </w:r>
      <w:proofErr w:type="spellStart"/>
      <w:r>
        <w:t>Dj</w:t>
      </w:r>
      <w:proofErr w:type="spellEnd"/>
      <w:r>
        <w:t xml:space="preserve"> P, Horwitz E (2006) Minimal criteria for defining multipotent mesenchymal stromal cells. The International Society for Cellular Therapy position statement. </w:t>
      </w:r>
      <w:proofErr w:type="spellStart"/>
      <w:r>
        <w:t>Cytotherapy</w:t>
      </w:r>
      <w:proofErr w:type="spellEnd"/>
      <w:r>
        <w:t xml:space="preserve"> 8(4):315–317</w:t>
      </w:r>
    </w:p>
    <w:p w:rsidR="000B7AD6" w:rsidRDefault="000B7AD6" w:rsidP="00D10E36">
      <w:pPr>
        <w:pStyle w:val="EndnoteText"/>
      </w:pPr>
    </w:p>
  </w:endnote>
  <w:endnote w:id="18">
    <w:p w:rsidR="00BB5020" w:rsidRDefault="00BB5020">
      <w:pPr>
        <w:pStyle w:val="EndnoteText"/>
      </w:pPr>
      <w:r>
        <w:rPr>
          <w:rStyle w:val="EndnoteReference"/>
        </w:rPr>
        <w:endnoteRef/>
      </w:r>
      <w:r>
        <w:t xml:space="preserve"> </w:t>
      </w:r>
      <w:r w:rsidRPr="00BB5020">
        <w:t>Chamberlain G, Fox J, Ashton B, Middleton J (2007) Mesenchymal stem cells: their phenotype, differentiation capacity, immunological features, and potential for homing. Stem Cells 25(11):2739–2749</w:t>
      </w:r>
    </w:p>
    <w:p w:rsidR="00BB5020" w:rsidRDefault="00BB5020">
      <w:pPr>
        <w:pStyle w:val="EndnoteText"/>
      </w:pPr>
    </w:p>
  </w:endnote>
  <w:endnote w:id="19">
    <w:p w:rsidR="009465FB" w:rsidRDefault="009465FB">
      <w:pPr>
        <w:pStyle w:val="EndnoteText"/>
      </w:pPr>
      <w:r>
        <w:rPr>
          <w:rStyle w:val="EndnoteReference"/>
        </w:rPr>
        <w:endnoteRef/>
      </w:r>
      <w:r>
        <w:t xml:space="preserve"> Petite H et al. Tissue-engineered bone regeneration. </w:t>
      </w:r>
      <w:r w:rsidR="002F6868" w:rsidRPr="002F6868">
        <w:t xml:space="preserve">Nat </w:t>
      </w:r>
      <w:proofErr w:type="spellStart"/>
      <w:r w:rsidR="002F6868" w:rsidRPr="002F6868">
        <w:t>Biotechnol</w:t>
      </w:r>
      <w:proofErr w:type="spellEnd"/>
      <w:r w:rsidR="002F6868" w:rsidRPr="002F6868">
        <w:t>. 2000 Sep</w:t>
      </w:r>
      <w:proofErr w:type="gramStart"/>
      <w:r w:rsidR="002F6868" w:rsidRPr="002F6868">
        <w:t>;18</w:t>
      </w:r>
      <w:proofErr w:type="gramEnd"/>
      <w:r w:rsidR="002F6868" w:rsidRPr="002F6868">
        <w:t>(9):959-63.</w:t>
      </w:r>
    </w:p>
    <w:p w:rsidR="009465FB" w:rsidRDefault="009465FB">
      <w:pPr>
        <w:pStyle w:val="EndnoteText"/>
      </w:pPr>
    </w:p>
  </w:endnote>
  <w:endnote w:id="20">
    <w:p w:rsidR="006C6DF2" w:rsidRDefault="006C6DF2">
      <w:pPr>
        <w:pStyle w:val="EndnoteText"/>
      </w:pPr>
      <w:r>
        <w:rPr>
          <w:rStyle w:val="EndnoteReference"/>
        </w:rPr>
        <w:endnoteRef/>
      </w:r>
      <w:r>
        <w:t xml:space="preserve"> </w:t>
      </w:r>
      <w:hyperlink r:id="rId1" w:history="1">
        <w:r w:rsidRPr="00F315BB">
          <w:rPr>
            <w:rStyle w:val="Hyperlink"/>
          </w:rPr>
          <w:t>https://clinicaltrials.gov/</w:t>
        </w:r>
      </w:hyperlink>
      <w:r>
        <w:t xml:space="preserve"> Accessed </w:t>
      </w:r>
      <w:r w:rsidR="002F06B8">
        <w:t>10.01.16</w:t>
      </w:r>
    </w:p>
    <w:p w:rsidR="006C6DF2" w:rsidRDefault="006C6DF2">
      <w:pPr>
        <w:pStyle w:val="EndnoteText"/>
      </w:pPr>
    </w:p>
  </w:endnote>
  <w:endnote w:id="21">
    <w:p w:rsidR="002F06B8" w:rsidRDefault="002F06B8">
      <w:pPr>
        <w:pStyle w:val="EndnoteText"/>
      </w:pPr>
      <w:r>
        <w:rPr>
          <w:rStyle w:val="EndnoteReference"/>
        </w:rPr>
        <w:endnoteRef/>
      </w:r>
      <w:r>
        <w:t xml:space="preserve"> WHO International Clinical Trials Registry Platform — ICTRP. Retrieved 12.03.2014, from </w:t>
      </w:r>
      <w:hyperlink r:id="rId2" w:history="1">
        <w:r w:rsidRPr="00F315BB">
          <w:rPr>
            <w:rStyle w:val="Hyperlink"/>
          </w:rPr>
          <w:t>http://www.who.int/ictrp/en/</w:t>
        </w:r>
      </w:hyperlink>
    </w:p>
    <w:p w:rsidR="002F06B8" w:rsidRDefault="002F06B8">
      <w:pPr>
        <w:pStyle w:val="EndnoteText"/>
      </w:pPr>
    </w:p>
  </w:endnote>
  <w:endnote w:id="22">
    <w:p w:rsidR="000B7AD6" w:rsidRDefault="000B7AD6">
      <w:pPr>
        <w:pStyle w:val="EndnoteText"/>
      </w:pPr>
      <w:r>
        <w:rPr>
          <w:rStyle w:val="EndnoteReference"/>
        </w:rPr>
        <w:endnoteRef/>
      </w:r>
      <w:r>
        <w:t xml:space="preserve"> </w:t>
      </w:r>
      <w:r w:rsidRPr="000B7AD6">
        <w:t xml:space="preserve">Healey JH, Zimmerman PA, McDonnell JM, Lane JM (1990) Percutaneous bone marrow grafting of delayed union and non-union in cancer patients. </w:t>
      </w:r>
      <w:proofErr w:type="spellStart"/>
      <w:r w:rsidRPr="000B7AD6">
        <w:t>Clin</w:t>
      </w:r>
      <w:proofErr w:type="spellEnd"/>
      <w:r w:rsidRPr="000B7AD6">
        <w:t xml:space="preserve"> </w:t>
      </w:r>
      <w:proofErr w:type="spellStart"/>
      <w:r w:rsidRPr="000B7AD6">
        <w:t>Orthop</w:t>
      </w:r>
      <w:proofErr w:type="spellEnd"/>
      <w:r w:rsidRPr="000B7AD6">
        <w:t xml:space="preserve"> </w:t>
      </w:r>
      <w:proofErr w:type="spellStart"/>
      <w:r w:rsidRPr="000B7AD6">
        <w:t>Relat</w:t>
      </w:r>
      <w:proofErr w:type="spellEnd"/>
      <w:r w:rsidRPr="000B7AD6">
        <w:t xml:space="preserve"> Res 256:280–285 </w:t>
      </w:r>
    </w:p>
    <w:p w:rsidR="000B7AD6" w:rsidRDefault="000B7AD6">
      <w:pPr>
        <w:pStyle w:val="EndnoteText"/>
      </w:pPr>
    </w:p>
  </w:endnote>
  <w:endnote w:id="23">
    <w:p w:rsidR="000B7AD6" w:rsidRDefault="000B7AD6">
      <w:pPr>
        <w:pStyle w:val="EndnoteText"/>
      </w:pPr>
      <w:r>
        <w:rPr>
          <w:rStyle w:val="EndnoteReference"/>
        </w:rPr>
        <w:endnoteRef/>
      </w:r>
      <w:r>
        <w:t xml:space="preserve"> </w:t>
      </w:r>
      <w:r w:rsidRPr="000B7AD6">
        <w:t xml:space="preserve">Connolly JF (1998) Clinical use of marrow </w:t>
      </w:r>
      <w:proofErr w:type="spellStart"/>
      <w:r w:rsidRPr="000B7AD6">
        <w:t>osteoprogenitor</w:t>
      </w:r>
      <w:proofErr w:type="spellEnd"/>
      <w:r w:rsidRPr="000B7AD6">
        <w:t xml:space="preserve"> cells to stimulate osteogenesis. </w:t>
      </w:r>
      <w:proofErr w:type="spellStart"/>
      <w:r w:rsidRPr="000B7AD6">
        <w:t>Clin</w:t>
      </w:r>
      <w:proofErr w:type="spellEnd"/>
      <w:r w:rsidRPr="000B7AD6">
        <w:t xml:space="preserve"> </w:t>
      </w:r>
      <w:proofErr w:type="spellStart"/>
      <w:r>
        <w:t>Orthop</w:t>
      </w:r>
      <w:proofErr w:type="spellEnd"/>
      <w:r>
        <w:t xml:space="preserve"> </w:t>
      </w:r>
      <w:proofErr w:type="spellStart"/>
      <w:r>
        <w:t>Relat</w:t>
      </w:r>
      <w:proofErr w:type="spellEnd"/>
      <w:r>
        <w:t xml:space="preserve"> Res 355:S257–S266:</w:t>
      </w:r>
    </w:p>
    <w:p w:rsidR="00972AA6" w:rsidRDefault="00972AA6">
      <w:pPr>
        <w:pStyle w:val="EndnoteText"/>
      </w:pPr>
    </w:p>
  </w:endnote>
  <w:endnote w:id="24">
    <w:p w:rsidR="00972AA6" w:rsidRDefault="00972AA6">
      <w:pPr>
        <w:pStyle w:val="EndnoteText"/>
      </w:pPr>
      <w:r>
        <w:rPr>
          <w:rStyle w:val="EndnoteReference"/>
        </w:rPr>
        <w:endnoteRef/>
      </w:r>
      <w:r>
        <w:t xml:space="preserve"> </w:t>
      </w:r>
      <w:r w:rsidRPr="00972AA6">
        <w:t xml:space="preserve">Connolly JF, </w:t>
      </w:r>
      <w:proofErr w:type="spellStart"/>
      <w:r w:rsidRPr="00972AA6">
        <w:t>Shindell</w:t>
      </w:r>
      <w:proofErr w:type="spellEnd"/>
      <w:r w:rsidRPr="00972AA6">
        <w:t xml:space="preserve"> R (1986) Percutaneous marrow injection for an </w:t>
      </w:r>
      <w:proofErr w:type="spellStart"/>
      <w:r w:rsidRPr="00972AA6">
        <w:t>ununited</w:t>
      </w:r>
      <w:proofErr w:type="spellEnd"/>
      <w:r w:rsidRPr="00972AA6">
        <w:t xml:space="preserve"> tibia. The Nebraska Medical Journal 71(4):105–107:</w:t>
      </w:r>
    </w:p>
    <w:p w:rsidR="00972AA6" w:rsidRDefault="00972AA6">
      <w:pPr>
        <w:pStyle w:val="EndnoteText"/>
      </w:pPr>
    </w:p>
  </w:endnote>
  <w:endnote w:id="25">
    <w:p w:rsidR="00972AA6" w:rsidRDefault="00972AA6">
      <w:pPr>
        <w:pStyle w:val="EndnoteText"/>
      </w:pPr>
      <w:r>
        <w:rPr>
          <w:rStyle w:val="EndnoteReference"/>
        </w:rPr>
        <w:endnoteRef/>
      </w:r>
      <w:r>
        <w:t xml:space="preserve"> </w:t>
      </w:r>
      <w:r w:rsidRPr="00972AA6">
        <w:t xml:space="preserve">Bone fracture healing – cell therapy in delayed unions and </w:t>
      </w:r>
      <w:proofErr w:type="spellStart"/>
      <w:r w:rsidRPr="00972AA6">
        <w:t>nonunions</w:t>
      </w:r>
      <w:proofErr w:type="spellEnd"/>
      <w:r w:rsidRPr="00972AA6">
        <w:t>, bone</w:t>
      </w:r>
    </w:p>
    <w:p w:rsidR="00E336BD" w:rsidRDefault="00E336BD">
      <w:pPr>
        <w:pStyle w:val="EndnoteText"/>
      </w:pPr>
    </w:p>
  </w:endnote>
  <w:endnote w:id="26">
    <w:p w:rsidR="00E336BD" w:rsidRDefault="00E336BD">
      <w:pPr>
        <w:pStyle w:val="EndnoteText"/>
      </w:pPr>
      <w:r>
        <w:rPr>
          <w:rStyle w:val="EndnoteReference"/>
        </w:rPr>
        <w:endnoteRef/>
      </w:r>
      <w:r>
        <w:t xml:space="preserve"> </w:t>
      </w:r>
      <w:proofErr w:type="spellStart"/>
      <w:r w:rsidRPr="00E336BD">
        <w:t>Hernigou</w:t>
      </w:r>
      <w:proofErr w:type="spellEnd"/>
      <w:r w:rsidRPr="00E336BD">
        <w:t xml:space="preserve"> PH, </w:t>
      </w:r>
      <w:proofErr w:type="spellStart"/>
      <w:r w:rsidRPr="00E336BD">
        <w:t>Poignard</w:t>
      </w:r>
      <w:proofErr w:type="spellEnd"/>
      <w:r w:rsidRPr="00E336BD">
        <w:t xml:space="preserve"> A, </w:t>
      </w:r>
      <w:proofErr w:type="spellStart"/>
      <w:r w:rsidRPr="00E336BD">
        <w:t>Beaujean</w:t>
      </w:r>
      <w:proofErr w:type="spellEnd"/>
      <w:r w:rsidRPr="00E336BD">
        <w:t xml:space="preserve"> F, </w:t>
      </w:r>
      <w:proofErr w:type="spellStart"/>
      <w:r w:rsidRPr="00E336BD">
        <w:t>Rouard</w:t>
      </w:r>
      <w:proofErr w:type="spellEnd"/>
      <w:r w:rsidRPr="00E336BD">
        <w:t xml:space="preserve"> H (2005) Percutaneous autologous bone-marrow grafting for </w:t>
      </w:r>
      <w:proofErr w:type="spellStart"/>
      <w:r w:rsidRPr="00E336BD">
        <w:t>nonunions</w:t>
      </w:r>
      <w:proofErr w:type="spellEnd"/>
      <w:r w:rsidRPr="00E336BD">
        <w:t xml:space="preserve">: influence of the number and concentration of progenitor cells, Journal of Bone and </w:t>
      </w:r>
      <w:r>
        <w:t>Joint Surgery A 87(7):1430–1437</w:t>
      </w:r>
    </w:p>
    <w:p w:rsidR="00E336BD" w:rsidRDefault="00E336BD">
      <w:pPr>
        <w:pStyle w:val="EndnoteText"/>
      </w:pPr>
    </w:p>
  </w:endnote>
  <w:endnote w:id="27">
    <w:p w:rsidR="00E336BD" w:rsidRDefault="00E336BD">
      <w:pPr>
        <w:pStyle w:val="EndnoteText"/>
      </w:pPr>
      <w:r>
        <w:rPr>
          <w:rStyle w:val="EndnoteReference"/>
        </w:rPr>
        <w:endnoteRef/>
      </w:r>
      <w:r>
        <w:t xml:space="preserve"> </w:t>
      </w:r>
      <w:r w:rsidRPr="00E336BD">
        <w:t xml:space="preserve">Successful treatment of refractory tibial non-union using calcium sulphate and bone marrow stromal </w:t>
      </w:r>
      <w:r>
        <w:t>cell implantation (JBJS, 2007)</w:t>
      </w:r>
    </w:p>
    <w:p w:rsidR="00745975" w:rsidRDefault="00745975">
      <w:pPr>
        <w:pStyle w:val="EndnoteText"/>
      </w:pPr>
    </w:p>
  </w:endnote>
  <w:endnote w:id="28">
    <w:p w:rsidR="00745975" w:rsidRDefault="00745975">
      <w:pPr>
        <w:pStyle w:val="EndnoteText"/>
      </w:pPr>
      <w:r>
        <w:rPr>
          <w:rStyle w:val="EndnoteReference"/>
        </w:rPr>
        <w:endnoteRef/>
      </w:r>
      <w:r>
        <w:t xml:space="preserve"> </w:t>
      </w:r>
      <w:r w:rsidRPr="00745975">
        <w:t xml:space="preserve">Funk JF et al. Promotion of bone healing through clinical application of autologous periosteum derived stem cells in a case of atrophic non-union. Z </w:t>
      </w:r>
      <w:proofErr w:type="spellStart"/>
      <w:r w:rsidRPr="00745975">
        <w:t>Orthop</w:t>
      </w:r>
      <w:proofErr w:type="spellEnd"/>
      <w:r w:rsidRPr="00745975">
        <w:t xml:space="preserve"> </w:t>
      </w:r>
      <w:proofErr w:type="spellStart"/>
      <w:r w:rsidRPr="00745975">
        <w:t>Unf</w:t>
      </w:r>
      <w:r>
        <w:t>all</w:t>
      </w:r>
      <w:proofErr w:type="spellEnd"/>
      <w:r>
        <w:t>. 2007 Nov-Dec</w:t>
      </w:r>
      <w:proofErr w:type="gramStart"/>
      <w:r>
        <w:t>;145</w:t>
      </w:r>
      <w:proofErr w:type="gramEnd"/>
      <w:r>
        <w:t>(6):790-4.</w:t>
      </w:r>
    </w:p>
    <w:p w:rsidR="00745975" w:rsidRDefault="00745975">
      <w:pPr>
        <w:pStyle w:val="EndnoteText"/>
      </w:pPr>
    </w:p>
  </w:endnote>
  <w:endnote w:id="29">
    <w:p w:rsidR="00745975" w:rsidRDefault="00745975">
      <w:pPr>
        <w:pStyle w:val="EndnoteText"/>
      </w:pPr>
      <w:r>
        <w:rPr>
          <w:rStyle w:val="EndnoteReference"/>
        </w:rPr>
        <w:endnoteRef/>
      </w:r>
      <w:r>
        <w:t xml:space="preserve"> </w:t>
      </w:r>
      <w:proofErr w:type="spellStart"/>
      <w:r w:rsidRPr="00745975">
        <w:t>Marcacci</w:t>
      </w:r>
      <w:proofErr w:type="spellEnd"/>
      <w:r w:rsidRPr="00745975">
        <w:t xml:space="preserve"> M, </w:t>
      </w:r>
      <w:proofErr w:type="spellStart"/>
      <w:r w:rsidRPr="00745975">
        <w:t>Kon</w:t>
      </w:r>
      <w:proofErr w:type="spellEnd"/>
      <w:r w:rsidRPr="00745975">
        <w:t xml:space="preserve"> E, </w:t>
      </w:r>
      <w:proofErr w:type="spellStart"/>
      <w:r w:rsidRPr="00745975">
        <w:t>Moukhachev</w:t>
      </w:r>
      <w:proofErr w:type="spellEnd"/>
      <w:r w:rsidRPr="00745975">
        <w:t xml:space="preserve"> V, </w:t>
      </w:r>
      <w:proofErr w:type="spellStart"/>
      <w:r w:rsidRPr="00745975">
        <w:t>Lavroukov</w:t>
      </w:r>
      <w:proofErr w:type="spellEnd"/>
      <w:r w:rsidRPr="00745975">
        <w:t xml:space="preserve"> A, </w:t>
      </w:r>
      <w:proofErr w:type="spellStart"/>
      <w:r w:rsidRPr="00745975">
        <w:t>Kutepov</w:t>
      </w:r>
      <w:proofErr w:type="spellEnd"/>
      <w:r w:rsidRPr="00745975">
        <w:t xml:space="preserve"> S, Quarto R, </w:t>
      </w:r>
      <w:proofErr w:type="spellStart"/>
      <w:r w:rsidRPr="00745975">
        <w:t>Mastrogiacomo</w:t>
      </w:r>
      <w:proofErr w:type="spellEnd"/>
      <w:r w:rsidRPr="00745975">
        <w:t xml:space="preserve"> M, </w:t>
      </w:r>
      <w:proofErr w:type="spellStart"/>
      <w:r w:rsidRPr="00745975">
        <w:t>Cancedda</w:t>
      </w:r>
      <w:proofErr w:type="spellEnd"/>
      <w:r w:rsidRPr="00745975">
        <w:t xml:space="preserve"> R (2007) Stem cells associated with </w:t>
      </w:r>
      <w:proofErr w:type="spellStart"/>
      <w:r w:rsidRPr="00745975">
        <w:t>macroporous</w:t>
      </w:r>
      <w:proofErr w:type="spellEnd"/>
      <w:r w:rsidRPr="00745975">
        <w:t xml:space="preserve"> </w:t>
      </w:r>
      <w:proofErr w:type="spellStart"/>
      <w:r w:rsidRPr="00745975">
        <w:t>bioceramics</w:t>
      </w:r>
      <w:proofErr w:type="spellEnd"/>
      <w:r w:rsidRPr="00745975">
        <w:t xml:space="preserve"> for long bone repair: 6- to 7-year outcome of a pilot clinical study. Tissue </w:t>
      </w:r>
      <w:proofErr w:type="spellStart"/>
      <w:r w:rsidRPr="00745975">
        <w:t>Eng</w:t>
      </w:r>
      <w:proofErr w:type="spellEnd"/>
      <w:r w:rsidRPr="00745975">
        <w:t xml:space="preserve"> 13(5):947–955</w:t>
      </w:r>
    </w:p>
    <w:p w:rsidR="006C614D" w:rsidRDefault="006C614D">
      <w:pPr>
        <w:pStyle w:val="EndnoteText"/>
      </w:pPr>
    </w:p>
  </w:endnote>
  <w:endnote w:id="30">
    <w:p w:rsidR="006C614D" w:rsidRDefault="006C614D">
      <w:pPr>
        <w:pStyle w:val="EndnoteText"/>
      </w:pPr>
      <w:r>
        <w:rPr>
          <w:rStyle w:val="EndnoteReference"/>
        </w:rPr>
        <w:endnoteRef/>
      </w:r>
      <w:r>
        <w:t xml:space="preserve"> </w:t>
      </w:r>
      <w:r w:rsidRPr="006C614D">
        <w:t>Bone marrow concentrate: A novel strategy for bone defect treatment (2009, current stem cell res</w:t>
      </w:r>
      <w:r>
        <w:t>earch and therapy – case series)</w:t>
      </w:r>
    </w:p>
    <w:p w:rsidR="002F6DE6" w:rsidRDefault="002F6DE6">
      <w:pPr>
        <w:pStyle w:val="EndnoteText"/>
      </w:pPr>
    </w:p>
  </w:endnote>
  <w:endnote w:id="31">
    <w:p w:rsidR="005E6DB2" w:rsidRDefault="005E6DB2">
      <w:pPr>
        <w:pStyle w:val="EndnoteText"/>
      </w:pPr>
      <w:r>
        <w:rPr>
          <w:rStyle w:val="EndnoteReference"/>
        </w:rPr>
        <w:endnoteRef/>
      </w:r>
      <w:r>
        <w:t xml:space="preserve"> </w:t>
      </w:r>
      <w:r w:rsidRPr="005E6DB2">
        <w:t xml:space="preserve">Quarto R, </w:t>
      </w:r>
      <w:proofErr w:type="spellStart"/>
      <w:r w:rsidRPr="005E6DB2">
        <w:t>Mastrogiacomo</w:t>
      </w:r>
      <w:proofErr w:type="spellEnd"/>
      <w:r w:rsidRPr="005E6DB2">
        <w:t xml:space="preserve"> M, </w:t>
      </w:r>
      <w:proofErr w:type="spellStart"/>
      <w:r w:rsidRPr="005E6DB2">
        <w:t>Cancedda</w:t>
      </w:r>
      <w:proofErr w:type="spellEnd"/>
      <w:r w:rsidRPr="005E6DB2">
        <w:t xml:space="preserve"> R, </w:t>
      </w:r>
      <w:proofErr w:type="spellStart"/>
      <w:r w:rsidRPr="005E6DB2">
        <w:t>Kutepov</w:t>
      </w:r>
      <w:proofErr w:type="spellEnd"/>
      <w:r w:rsidRPr="005E6DB2">
        <w:t xml:space="preserve"> SM, </w:t>
      </w:r>
      <w:proofErr w:type="spellStart"/>
      <w:r w:rsidRPr="005E6DB2">
        <w:t>Mukhachev</w:t>
      </w:r>
      <w:proofErr w:type="spellEnd"/>
      <w:r w:rsidRPr="005E6DB2">
        <w:t xml:space="preserve"> V, </w:t>
      </w:r>
      <w:proofErr w:type="spellStart"/>
      <w:r w:rsidRPr="005E6DB2">
        <w:t>Lavroukov</w:t>
      </w:r>
      <w:proofErr w:type="spellEnd"/>
      <w:r w:rsidRPr="005E6DB2">
        <w:t xml:space="preserve"> A, </w:t>
      </w:r>
      <w:proofErr w:type="spellStart"/>
      <w:r w:rsidRPr="005E6DB2">
        <w:t>Kon</w:t>
      </w:r>
      <w:proofErr w:type="spellEnd"/>
      <w:r w:rsidRPr="005E6DB2">
        <w:t xml:space="preserve"> E, </w:t>
      </w:r>
      <w:proofErr w:type="spellStart"/>
      <w:r w:rsidRPr="005E6DB2">
        <w:t>Marcacci</w:t>
      </w:r>
      <w:proofErr w:type="spellEnd"/>
      <w:r w:rsidRPr="005E6DB2">
        <w:t xml:space="preserve"> M (2001) Repair of large bone defects with the use of autologous bone marrow stromal cells. N </w:t>
      </w:r>
      <w:proofErr w:type="spellStart"/>
      <w:r w:rsidRPr="005E6DB2">
        <w:t>Engl</w:t>
      </w:r>
      <w:proofErr w:type="spellEnd"/>
      <w:r w:rsidRPr="005E6DB2">
        <w:t xml:space="preserve"> J Med 1; 344(5):385–386</w:t>
      </w:r>
    </w:p>
    <w:p w:rsidR="005E6DB2" w:rsidRDefault="005E6DB2">
      <w:pPr>
        <w:pStyle w:val="EndnoteText"/>
      </w:pPr>
    </w:p>
  </w:endnote>
  <w:endnote w:id="32">
    <w:p w:rsidR="00B579D0" w:rsidRDefault="00B579D0">
      <w:pPr>
        <w:pStyle w:val="EndnoteText"/>
      </w:pPr>
      <w:r>
        <w:rPr>
          <w:rStyle w:val="EndnoteReference"/>
        </w:rPr>
        <w:endnoteRef/>
      </w:r>
      <w:r>
        <w:t xml:space="preserve"> </w:t>
      </w:r>
      <w:proofErr w:type="spellStart"/>
      <w:r w:rsidRPr="00B579D0">
        <w:t>Dallari</w:t>
      </w:r>
      <w:proofErr w:type="spellEnd"/>
      <w:r w:rsidRPr="00B579D0">
        <w:t xml:space="preserve"> D, Savarino L, </w:t>
      </w:r>
      <w:proofErr w:type="spellStart"/>
      <w:r w:rsidRPr="00B579D0">
        <w:t>Stagni</w:t>
      </w:r>
      <w:proofErr w:type="spellEnd"/>
      <w:r w:rsidRPr="00B579D0">
        <w:t xml:space="preserve"> C, </w:t>
      </w:r>
      <w:proofErr w:type="spellStart"/>
      <w:r w:rsidRPr="00B579D0">
        <w:t>Cenni</w:t>
      </w:r>
      <w:proofErr w:type="spellEnd"/>
      <w:r w:rsidRPr="00B579D0">
        <w:t xml:space="preserve"> E, </w:t>
      </w:r>
      <w:proofErr w:type="spellStart"/>
      <w:r w:rsidRPr="00B579D0">
        <w:t>Cenacchi</w:t>
      </w:r>
      <w:proofErr w:type="spellEnd"/>
      <w:r w:rsidRPr="00B579D0">
        <w:t xml:space="preserve"> A, </w:t>
      </w:r>
      <w:proofErr w:type="spellStart"/>
      <w:r w:rsidRPr="00B579D0">
        <w:t>Fornasari</w:t>
      </w:r>
      <w:proofErr w:type="spellEnd"/>
      <w:r w:rsidRPr="00B579D0">
        <w:t xml:space="preserve"> PM, et al. Enhanced tibial osteotomy healing with use of bone grafts supplemented with platelet gel or platelet gel and bone marrow stromal cells. J Bone Joint </w:t>
      </w:r>
      <w:proofErr w:type="spellStart"/>
      <w:r w:rsidRPr="00B579D0">
        <w:t>Surg</w:t>
      </w:r>
      <w:proofErr w:type="spellEnd"/>
      <w:r w:rsidRPr="00B579D0">
        <w:t xml:space="preserve"> Am 2007</w:t>
      </w:r>
      <w:proofErr w:type="gramStart"/>
      <w:r w:rsidRPr="00B579D0">
        <w:t>;89:2413</w:t>
      </w:r>
      <w:proofErr w:type="gramEnd"/>
      <w:r w:rsidRPr="00B579D0">
        <w:t>–20.</w:t>
      </w:r>
    </w:p>
    <w:p w:rsidR="00B579D0" w:rsidRDefault="00B579D0">
      <w:pPr>
        <w:pStyle w:val="EndnoteText"/>
      </w:pPr>
    </w:p>
  </w:endnote>
  <w:endnote w:id="33">
    <w:p w:rsidR="00B579D0" w:rsidRDefault="00B579D0">
      <w:pPr>
        <w:pStyle w:val="EndnoteText"/>
      </w:pPr>
      <w:r>
        <w:rPr>
          <w:rStyle w:val="EndnoteReference"/>
        </w:rPr>
        <w:endnoteRef/>
      </w:r>
      <w:r>
        <w:t xml:space="preserve"> </w:t>
      </w:r>
      <w:proofErr w:type="spellStart"/>
      <w:r w:rsidRPr="00B579D0">
        <w:t>Liebergall</w:t>
      </w:r>
      <w:proofErr w:type="spellEnd"/>
      <w:r w:rsidRPr="00B579D0">
        <w:t xml:space="preserve"> M, Schroeder J, </w:t>
      </w:r>
      <w:proofErr w:type="spellStart"/>
      <w:r w:rsidRPr="00B579D0">
        <w:t>Mosheiff</w:t>
      </w:r>
      <w:proofErr w:type="spellEnd"/>
      <w:r w:rsidRPr="00B579D0">
        <w:t xml:space="preserve"> R, </w:t>
      </w:r>
      <w:proofErr w:type="spellStart"/>
      <w:r w:rsidRPr="00B579D0">
        <w:t>Gazit</w:t>
      </w:r>
      <w:proofErr w:type="spellEnd"/>
      <w:r w:rsidRPr="00B579D0">
        <w:t xml:space="preserve"> Z, </w:t>
      </w:r>
      <w:proofErr w:type="spellStart"/>
      <w:r w:rsidRPr="00B579D0">
        <w:t>Yoram</w:t>
      </w:r>
      <w:proofErr w:type="spellEnd"/>
      <w:r w:rsidRPr="00B579D0">
        <w:t xml:space="preserve"> Z, </w:t>
      </w:r>
      <w:proofErr w:type="spellStart"/>
      <w:r w:rsidRPr="00B579D0">
        <w:t>Rasooly</w:t>
      </w:r>
      <w:proofErr w:type="spellEnd"/>
      <w:r w:rsidRPr="00B579D0">
        <w:t xml:space="preserve"> L, et al. Stem cell based therapy for prevention of delayed fracture union: a randomized and prospective preliminary study. </w:t>
      </w:r>
      <w:proofErr w:type="spellStart"/>
      <w:r w:rsidRPr="00B579D0">
        <w:t>Mol</w:t>
      </w:r>
      <w:proofErr w:type="spellEnd"/>
      <w:r w:rsidRPr="00B579D0">
        <w:t xml:space="preserve"> </w:t>
      </w:r>
      <w:proofErr w:type="spellStart"/>
      <w:r w:rsidRPr="00B579D0">
        <w:t>Ther</w:t>
      </w:r>
      <w:proofErr w:type="spellEnd"/>
      <w:r w:rsidRPr="00B579D0">
        <w:t xml:space="preserve"> 2013;21:1631–8:</w:t>
      </w:r>
    </w:p>
    <w:p w:rsidR="00B579D0" w:rsidRDefault="00B579D0">
      <w:pPr>
        <w:pStyle w:val="EndnoteText"/>
      </w:pPr>
    </w:p>
  </w:endnote>
  <w:endnote w:id="34">
    <w:p w:rsidR="003359D0" w:rsidRDefault="003359D0">
      <w:pPr>
        <w:pStyle w:val="EndnoteText"/>
      </w:pPr>
      <w:r>
        <w:rPr>
          <w:rStyle w:val="EndnoteReference"/>
        </w:rPr>
        <w:endnoteRef/>
      </w:r>
      <w:r>
        <w:t xml:space="preserve"> </w:t>
      </w:r>
      <w:proofErr w:type="spellStart"/>
      <w:r w:rsidRPr="003359D0">
        <w:t>Kitoh</w:t>
      </w:r>
      <w:proofErr w:type="spellEnd"/>
      <w:r w:rsidRPr="003359D0">
        <w:t xml:space="preserve"> H, </w:t>
      </w:r>
      <w:proofErr w:type="spellStart"/>
      <w:r w:rsidRPr="003359D0">
        <w:t>Kawasumi</w:t>
      </w:r>
      <w:proofErr w:type="spellEnd"/>
      <w:r w:rsidRPr="003359D0">
        <w:t xml:space="preserve"> M, Kaneko H, Ishiguro N (2009) Differential Effects of Culture-expanded Bone Marrow Cells on the Regeneration of Bone Between the Femoral and the </w:t>
      </w:r>
      <w:proofErr w:type="spellStart"/>
      <w:r w:rsidRPr="003359D0">
        <w:t>Tibial</w:t>
      </w:r>
      <w:proofErr w:type="spellEnd"/>
      <w:r w:rsidRPr="003359D0">
        <w:t xml:space="preserve"> </w:t>
      </w:r>
      <w:proofErr w:type="spellStart"/>
      <w:r w:rsidRPr="003359D0">
        <w:t>Lengthenings</w:t>
      </w:r>
      <w:proofErr w:type="spellEnd"/>
      <w:r w:rsidRPr="003359D0">
        <w:t xml:space="preserve">. J </w:t>
      </w:r>
      <w:proofErr w:type="spellStart"/>
      <w:r w:rsidRPr="003359D0">
        <w:t>Pediatr</w:t>
      </w:r>
      <w:proofErr w:type="spellEnd"/>
      <w:r w:rsidRPr="003359D0">
        <w:t xml:space="preserve"> </w:t>
      </w:r>
      <w:proofErr w:type="spellStart"/>
      <w:r w:rsidRPr="003359D0">
        <w:t>Orthop</w:t>
      </w:r>
      <w:proofErr w:type="spellEnd"/>
      <w:r w:rsidRPr="003359D0">
        <w:t xml:space="preserve"> 29:643–649</w:t>
      </w:r>
    </w:p>
    <w:p w:rsidR="003359D0" w:rsidRDefault="003359D0">
      <w:pPr>
        <w:pStyle w:val="EndnoteText"/>
      </w:pPr>
    </w:p>
  </w:endnote>
  <w:endnote w:id="35">
    <w:p w:rsidR="00FB5795" w:rsidRDefault="00FB5795" w:rsidP="00FB5795">
      <w:pPr>
        <w:pStyle w:val="EndnoteText"/>
      </w:pPr>
      <w:r>
        <w:rPr>
          <w:rStyle w:val="EndnoteReference"/>
        </w:rPr>
        <w:endnoteRef/>
      </w:r>
      <w:r>
        <w:t xml:space="preserve"> </w:t>
      </w:r>
      <w:proofErr w:type="spellStart"/>
      <w:r>
        <w:t>Maes</w:t>
      </w:r>
      <w:proofErr w:type="spellEnd"/>
      <w:r>
        <w:t xml:space="preserve"> C, Kobayashi T, Selig MK et al (2010) Osteoblast precursors, but not mature osteoblasts, move into developing and fractured bones along with invading blood vessels. Dev Cell 19:329–344</w:t>
      </w:r>
    </w:p>
    <w:p w:rsidR="00FB5795" w:rsidRDefault="00FB5795" w:rsidP="00FB5795">
      <w:pPr>
        <w:pStyle w:val="EndnoteText"/>
      </w:pPr>
    </w:p>
  </w:endnote>
  <w:endnote w:id="36">
    <w:p w:rsidR="00FB5795" w:rsidRDefault="00FB5795" w:rsidP="00FB5795">
      <w:pPr>
        <w:pStyle w:val="EndnoteText"/>
      </w:pPr>
      <w:r>
        <w:rPr>
          <w:rStyle w:val="EndnoteReference"/>
        </w:rPr>
        <w:endnoteRef/>
      </w:r>
      <w:r>
        <w:t xml:space="preserve"> Brandi ML, Collin-</w:t>
      </w:r>
      <w:proofErr w:type="spellStart"/>
      <w:r>
        <w:t>Osdoby</w:t>
      </w:r>
      <w:proofErr w:type="spellEnd"/>
      <w:r>
        <w:t xml:space="preserve"> P (2005) Vascular biology and the skeleton. J Bone Miner Res 21(2):183–192</w:t>
      </w:r>
    </w:p>
    <w:p w:rsidR="00FB5795" w:rsidRDefault="00FB5795" w:rsidP="00FB5795">
      <w:pPr>
        <w:pStyle w:val="EndnoteText"/>
      </w:pPr>
    </w:p>
  </w:endnote>
  <w:endnote w:id="37">
    <w:p w:rsidR="003359D0" w:rsidRDefault="003359D0">
      <w:pPr>
        <w:pStyle w:val="EndnoteText"/>
      </w:pPr>
      <w:r>
        <w:rPr>
          <w:rStyle w:val="EndnoteReference"/>
        </w:rPr>
        <w:endnoteRef/>
      </w:r>
      <w:r>
        <w:t xml:space="preserve"> </w:t>
      </w:r>
      <w:proofErr w:type="spellStart"/>
      <w:r w:rsidRPr="003359D0">
        <w:t>Warnke</w:t>
      </w:r>
      <w:proofErr w:type="spellEnd"/>
      <w:r w:rsidRPr="003359D0">
        <w:t xml:space="preserve"> PH, </w:t>
      </w:r>
      <w:proofErr w:type="spellStart"/>
      <w:r w:rsidRPr="003359D0">
        <w:t>Wiltfang</w:t>
      </w:r>
      <w:proofErr w:type="spellEnd"/>
      <w:r w:rsidRPr="003359D0">
        <w:t xml:space="preserve"> J, Springer I, </w:t>
      </w:r>
      <w:proofErr w:type="spellStart"/>
      <w:r w:rsidRPr="003359D0">
        <w:t>Acil</w:t>
      </w:r>
      <w:proofErr w:type="spellEnd"/>
      <w:r w:rsidRPr="003359D0">
        <w:t xml:space="preserve"> Y, </w:t>
      </w:r>
      <w:proofErr w:type="spellStart"/>
      <w:r w:rsidRPr="003359D0">
        <w:t>Bolte</w:t>
      </w:r>
      <w:proofErr w:type="spellEnd"/>
      <w:r w:rsidRPr="003359D0">
        <w:t xml:space="preserve"> H, </w:t>
      </w:r>
      <w:proofErr w:type="spellStart"/>
      <w:r w:rsidRPr="003359D0">
        <w:t>Kosmahl</w:t>
      </w:r>
      <w:proofErr w:type="spellEnd"/>
      <w:r w:rsidRPr="003359D0">
        <w:t xml:space="preserve"> M, et al. Man as living bioreactor: fate of an exogenously prepared customized tissue-engineered mandible. Biomaterials 2006</w:t>
      </w:r>
      <w:proofErr w:type="gramStart"/>
      <w:r w:rsidRPr="003359D0">
        <w:t>;27:3163</w:t>
      </w:r>
      <w:proofErr w:type="gramEnd"/>
      <w:r w:rsidRPr="003359D0">
        <w:t>–7.</w:t>
      </w:r>
    </w:p>
    <w:p w:rsidR="003359D0" w:rsidRDefault="003359D0">
      <w:pPr>
        <w:pStyle w:val="EndnoteText"/>
      </w:pPr>
    </w:p>
  </w:endnote>
  <w:endnote w:id="38">
    <w:p w:rsidR="007860C0" w:rsidRDefault="007860C0">
      <w:pPr>
        <w:pStyle w:val="EndnoteText"/>
      </w:pPr>
      <w:r>
        <w:rPr>
          <w:rStyle w:val="EndnoteReference"/>
        </w:rPr>
        <w:endnoteRef/>
      </w:r>
      <w:r>
        <w:t xml:space="preserve"> </w:t>
      </w:r>
      <w:r w:rsidRPr="007860C0">
        <w:t>Cellular therapies for the treatment of non-union: the past, pr</w:t>
      </w:r>
      <w:r>
        <w:t>esent and future (injury, 2013)</w:t>
      </w:r>
    </w:p>
    <w:p w:rsidR="007860C0" w:rsidRDefault="007860C0">
      <w:pPr>
        <w:pStyle w:val="EndnoteText"/>
      </w:pPr>
    </w:p>
  </w:endnote>
  <w:endnote w:id="39">
    <w:p w:rsidR="009F61D3" w:rsidRDefault="009F61D3" w:rsidP="009F61D3">
      <w:pPr>
        <w:pStyle w:val="EndnoteText"/>
      </w:pPr>
      <w:r>
        <w:rPr>
          <w:rStyle w:val="EndnoteReference"/>
        </w:rPr>
        <w:endnoteRef/>
      </w:r>
      <w:r>
        <w:t xml:space="preserve"> Petite H, </w:t>
      </w:r>
      <w:proofErr w:type="spellStart"/>
      <w:r>
        <w:t>Viateau</w:t>
      </w:r>
      <w:proofErr w:type="spellEnd"/>
      <w:r>
        <w:t xml:space="preserve"> V, </w:t>
      </w:r>
      <w:proofErr w:type="spellStart"/>
      <w:r>
        <w:t>BensaidW</w:t>
      </w:r>
      <w:proofErr w:type="spellEnd"/>
      <w:r>
        <w:t xml:space="preserve">, </w:t>
      </w:r>
      <w:proofErr w:type="spellStart"/>
      <w:r>
        <w:t>Meunier</w:t>
      </w:r>
      <w:proofErr w:type="spellEnd"/>
      <w:r>
        <w:t xml:space="preserve"> A, de </w:t>
      </w:r>
      <w:proofErr w:type="spellStart"/>
      <w:r>
        <w:t>Pollak</w:t>
      </w:r>
      <w:proofErr w:type="spellEnd"/>
      <w:r>
        <w:t xml:space="preserve"> C, Bourguignon M, et al. Tissue-engineered bone regeneration. Nat </w:t>
      </w:r>
      <w:proofErr w:type="spellStart"/>
      <w:r>
        <w:t>Biotechnol</w:t>
      </w:r>
      <w:proofErr w:type="spellEnd"/>
      <w:r>
        <w:t xml:space="preserve"> 2000</w:t>
      </w:r>
      <w:proofErr w:type="gramStart"/>
      <w:r>
        <w:t>;18:959</w:t>
      </w:r>
      <w:proofErr w:type="gramEnd"/>
      <w:r>
        <w:t>–63.</w:t>
      </w:r>
    </w:p>
    <w:p w:rsidR="009F61D3" w:rsidRDefault="009F61D3" w:rsidP="009F61D3">
      <w:pPr>
        <w:pStyle w:val="EndnoteText"/>
      </w:pPr>
    </w:p>
  </w:endnote>
  <w:endnote w:id="40">
    <w:p w:rsidR="008F0050" w:rsidRPr="00DD28EF" w:rsidRDefault="008F0050" w:rsidP="008F0050">
      <w:pPr>
        <w:pStyle w:val="EndnoteText"/>
      </w:pPr>
      <w:r>
        <w:rPr>
          <w:rStyle w:val="EndnoteReference"/>
        </w:rPr>
        <w:endnoteRef/>
      </w:r>
      <w:r>
        <w:t xml:space="preserve"> </w:t>
      </w:r>
      <w:proofErr w:type="spellStart"/>
      <w:r w:rsidRPr="00DD28EF">
        <w:t>Novicoff</w:t>
      </w:r>
      <w:proofErr w:type="spellEnd"/>
      <w:r w:rsidRPr="00DD28EF">
        <w:t xml:space="preserve"> WM, </w:t>
      </w:r>
      <w:proofErr w:type="spellStart"/>
      <w:r w:rsidRPr="00DD28EF">
        <w:t>Manaswi</w:t>
      </w:r>
      <w:proofErr w:type="spellEnd"/>
      <w:r w:rsidRPr="00DD28EF">
        <w:t xml:space="preserve"> A, Hogan MV, Brubaker SM, </w:t>
      </w:r>
      <w:proofErr w:type="spellStart"/>
      <w:r w:rsidRPr="00DD28EF">
        <w:t>Mihalko</w:t>
      </w:r>
      <w:proofErr w:type="spellEnd"/>
      <w:r w:rsidRPr="00DD28EF">
        <w:t xml:space="preserve"> WM, Saleh KJ (2008) Critical analysis of the evidence for current technologies in bone-healing and repair. Journal of Bone and Joint Surgery A 90(1):85–91</w:t>
      </w:r>
    </w:p>
    <w:p w:rsidR="008F0050" w:rsidRDefault="008F0050" w:rsidP="008F0050">
      <w:pPr>
        <w:pStyle w:val="EndnoteText"/>
      </w:pPr>
    </w:p>
  </w:endnote>
  <w:endnote w:id="41">
    <w:p w:rsidR="008F0050" w:rsidRDefault="008F0050" w:rsidP="008F0050">
      <w:pPr>
        <w:pStyle w:val="EndnoteText"/>
      </w:pPr>
      <w:r>
        <w:rPr>
          <w:rStyle w:val="EndnoteReference"/>
        </w:rPr>
        <w:endnoteRef/>
      </w:r>
      <w:r>
        <w:t xml:space="preserve"> Regulation (EC) No 1394/2007 of the European Parliament and of the Council of 13 November 2007 on advanced therapy medicinal products and amending Directive 2001/83/EC and Regulation (EC) No 726/2004. Retrieved 16/01/2016, from </w:t>
      </w:r>
      <w:hyperlink r:id="rId3" w:history="1">
        <w:r w:rsidRPr="00F315BB">
          <w:rPr>
            <w:rStyle w:val="Hyperlink"/>
          </w:rPr>
          <w:t>http://ec.europa.eu/health/documents/eudralex/vol-1/index_en.htm</w:t>
        </w:r>
      </w:hyperlink>
      <w:r>
        <w:t>.</w:t>
      </w:r>
    </w:p>
    <w:p w:rsidR="008F0050" w:rsidRDefault="008F0050" w:rsidP="008F0050">
      <w:pPr>
        <w:pStyle w:val="EndnoteText"/>
      </w:pPr>
    </w:p>
  </w:endnote>
  <w:endnote w:id="42">
    <w:p w:rsidR="008F0050" w:rsidRDefault="008F0050" w:rsidP="008F0050">
      <w:pPr>
        <w:pStyle w:val="EndnoteText"/>
      </w:pPr>
      <w:r>
        <w:rPr>
          <w:rStyle w:val="EndnoteReference"/>
        </w:rPr>
        <w:endnoteRef/>
      </w:r>
      <w:r>
        <w:t xml:space="preserve"> </w:t>
      </w:r>
      <w:proofErr w:type="spellStart"/>
      <w:r>
        <w:t>Hernigou</w:t>
      </w:r>
      <w:proofErr w:type="spellEnd"/>
      <w:r>
        <w:t xml:space="preserve"> P, Homma Y, </w:t>
      </w:r>
      <w:proofErr w:type="spellStart"/>
      <w:r>
        <w:t>Flouzat-Lachaniette</w:t>
      </w:r>
      <w:proofErr w:type="spellEnd"/>
      <w:r>
        <w:t xml:space="preserve"> CH, </w:t>
      </w:r>
      <w:proofErr w:type="spellStart"/>
      <w:r>
        <w:t>Poignard</w:t>
      </w:r>
      <w:proofErr w:type="spellEnd"/>
      <w:r>
        <w:t xml:space="preserve"> A, </w:t>
      </w:r>
      <w:proofErr w:type="spellStart"/>
      <w:r>
        <w:t>Chevallier</w:t>
      </w:r>
      <w:proofErr w:type="spellEnd"/>
      <w:r>
        <w:t xml:space="preserve"> N, </w:t>
      </w:r>
      <w:proofErr w:type="spellStart"/>
      <w:r>
        <w:t>Rouard</w:t>
      </w:r>
      <w:proofErr w:type="spellEnd"/>
      <w:r>
        <w:t xml:space="preserve"> H. Cancer risk is not increased in patients treated for orthopaedic diseases with autologous bone marrow cell concentrate. J Bone Joint </w:t>
      </w:r>
      <w:proofErr w:type="spellStart"/>
      <w:r>
        <w:t>Surg</w:t>
      </w:r>
      <w:proofErr w:type="spellEnd"/>
      <w:r>
        <w:t xml:space="preserve"> Am 2013; 95:2215–21.</w:t>
      </w:r>
    </w:p>
    <w:p w:rsidR="008F0050" w:rsidRDefault="008F0050" w:rsidP="008F0050">
      <w:pPr>
        <w:pStyle w:val="EndnoteText"/>
      </w:pPr>
    </w:p>
  </w:endnote>
  <w:endnote w:id="43">
    <w:p w:rsidR="008F0050" w:rsidRDefault="008F0050" w:rsidP="008F0050">
      <w:pPr>
        <w:pStyle w:val="EndnoteText"/>
      </w:pPr>
      <w:r>
        <w:rPr>
          <w:rStyle w:val="EndnoteReference"/>
        </w:rPr>
        <w:endnoteRef/>
      </w:r>
      <w:r>
        <w:t xml:space="preserve"> Tarte K, Gaillard J, </w:t>
      </w:r>
      <w:proofErr w:type="spellStart"/>
      <w:r>
        <w:t>Lataillade</w:t>
      </w:r>
      <w:proofErr w:type="spellEnd"/>
      <w:r>
        <w:t xml:space="preserve"> JJ, </w:t>
      </w:r>
      <w:proofErr w:type="spellStart"/>
      <w:r>
        <w:t>Fouillard</w:t>
      </w:r>
      <w:proofErr w:type="spellEnd"/>
      <w:r>
        <w:t xml:space="preserve"> L, Becker M, </w:t>
      </w:r>
      <w:proofErr w:type="spellStart"/>
      <w:r>
        <w:t>Mossafa</w:t>
      </w:r>
      <w:proofErr w:type="spellEnd"/>
      <w:r>
        <w:t xml:space="preserve"> H, et al. Clinical-grade production of human mesenchymal stromal cells: occurrence of aneuploidy without transformation. Blood 2010</w:t>
      </w:r>
      <w:proofErr w:type="gramStart"/>
      <w:r>
        <w:t>;115:1549</w:t>
      </w:r>
      <w:proofErr w:type="gramEnd"/>
      <w:r>
        <w:t>–53.</w:t>
      </w:r>
    </w:p>
    <w:p w:rsidR="008F0050" w:rsidRDefault="008F0050" w:rsidP="008F0050">
      <w:pPr>
        <w:pStyle w:val="EndnoteText"/>
      </w:pPr>
    </w:p>
  </w:endnote>
  <w:endnote w:id="44">
    <w:p w:rsidR="008F0050" w:rsidRDefault="008F0050" w:rsidP="008F0050">
      <w:pPr>
        <w:pStyle w:val="EndnoteText"/>
      </w:pPr>
      <w:r>
        <w:rPr>
          <w:rStyle w:val="EndnoteReference"/>
        </w:rPr>
        <w:endnoteRef/>
      </w:r>
      <w:r>
        <w:t xml:space="preserve"> </w:t>
      </w:r>
      <w:r w:rsidRPr="00692CF2">
        <w:t xml:space="preserve">Cuomo AV, Virk M, </w:t>
      </w:r>
      <w:proofErr w:type="spellStart"/>
      <w:r w:rsidRPr="00692CF2">
        <w:t>Petrigliano</w:t>
      </w:r>
      <w:proofErr w:type="spellEnd"/>
      <w:r w:rsidRPr="00692CF2">
        <w:t xml:space="preserve"> F, Morgan EF, Lieberman JR. Mesenchymal stem cell concentration and bone repair: potential pitfalls from bench to bedside. J Bone J</w:t>
      </w:r>
      <w:r>
        <w:t xml:space="preserve">oint </w:t>
      </w:r>
      <w:proofErr w:type="spellStart"/>
      <w:r>
        <w:t>Surg</w:t>
      </w:r>
      <w:proofErr w:type="spellEnd"/>
      <w:r>
        <w:t xml:space="preserve"> Am 2009;91(5):1073–83</w:t>
      </w:r>
    </w:p>
    <w:p w:rsidR="008F0050" w:rsidRDefault="008F0050" w:rsidP="008F0050">
      <w:pPr>
        <w:pStyle w:val="EndnoteText"/>
      </w:pPr>
    </w:p>
  </w:endnote>
  <w:endnote w:id="45">
    <w:p w:rsidR="00DD28EF" w:rsidRDefault="00DD28EF" w:rsidP="00DD28EF">
      <w:pPr>
        <w:pStyle w:val="EndnoteText"/>
      </w:pPr>
      <w:r>
        <w:rPr>
          <w:rStyle w:val="EndnoteReference"/>
        </w:rPr>
        <w:endnoteRef/>
      </w:r>
      <w:r>
        <w:t xml:space="preserve"> </w:t>
      </w:r>
      <w:r w:rsidRPr="0002300B">
        <w:t xml:space="preserve">Bone fracture healing: cell therapy in delayed unions and </w:t>
      </w:r>
      <w:proofErr w:type="spellStart"/>
      <w:r w:rsidRPr="0002300B">
        <w:t>nonunions</w:t>
      </w:r>
      <w:proofErr w:type="spellEnd"/>
      <w:r w:rsidRPr="0002300B">
        <w:t xml:space="preserve"> (review, 2014, bone):    </w:t>
      </w:r>
    </w:p>
  </w:endnote>
  <w:endnote w:id="46">
    <w:p w:rsidR="007E707C" w:rsidRDefault="007E707C" w:rsidP="007E707C">
      <w:r>
        <w:rPr>
          <w:rStyle w:val="EndnoteReference"/>
        </w:rPr>
        <w:endnoteRef/>
      </w:r>
      <w:r>
        <w:t xml:space="preserve"> </w:t>
      </w:r>
      <w:r w:rsidRPr="007E707C">
        <w:t xml:space="preserve">The potential of stem cells in orthopaedic surgery </w:t>
      </w:r>
    </w:p>
  </w:endnote>
  <w:endnote w:id="47">
    <w:p w:rsidR="007A329D" w:rsidRDefault="007A329D">
      <w:pPr>
        <w:pStyle w:val="EndnoteText"/>
      </w:pPr>
      <w:r>
        <w:rPr>
          <w:rStyle w:val="EndnoteReference"/>
        </w:rPr>
        <w:endnoteRef/>
      </w:r>
      <w:r>
        <w:t xml:space="preserve"> </w:t>
      </w:r>
      <w:r w:rsidRPr="007A329D">
        <w:t xml:space="preserve">Young BH, Peng H, Huard J. Muscle-based gene therapy and tissue engineering to improve bone healing. </w:t>
      </w:r>
      <w:proofErr w:type="spellStart"/>
      <w:r w:rsidRPr="007A329D">
        <w:t>Clin</w:t>
      </w:r>
      <w:proofErr w:type="spellEnd"/>
      <w:r w:rsidRPr="007A329D">
        <w:t xml:space="preserve"> </w:t>
      </w:r>
      <w:proofErr w:type="spellStart"/>
      <w:r w:rsidRPr="007A329D">
        <w:t>Orthop</w:t>
      </w:r>
      <w:proofErr w:type="spellEnd"/>
      <w:r w:rsidRPr="007A329D">
        <w:t xml:space="preserve"> 2002</w:t>
      </w:r>
      <w:proofErr w:type="gramStart"/>
      <w:r w:rsidRPr="007A329D">
        <w:t>;403</w:t>
      </w:r>
      <w:proofErr w:type="gramEnd"/>
      <w:r w:rsidRPr="007A329D">
        <w:t>(</w:t>
      </w:r>
      <w:proofErr w:type="spellStart"/>
      <w:r w:rsidRPr="007A329D">
        <w:t>Suppl</w:t>
      </w:r>
      <w:proofErr w:type="spellEnd"/>
      <w:r w:rsidRPr="007A329D">
        <w:t>):243-51.</w:t>
      </w:r>
    </w:p>
    <w:p w:rsidR="00953EDA" w:rsidRDefault="00953EDA">
      <w:pPr>
        <w:pStyle w:val="EndnoteText"/>
      </w:pPr>
    </w:p>
  </w:endnote>
  <w:endnote w:id="48">
    <w:p w:rsidR="00953EDA" w:rsidRDefault="00953EDA">
      <w:pPr>
        <w:pStyle w:val="EndnoteText"/>
      </w:pPr>
      <w:r>
        <w:rPr>
          <w:rStyle w:val="EndnoteReference"/>
        </w:rPr>
        <w:endnoteRef/>
      </w:r>
      <w:r>
        <w:t xml:space="preserve"> </w:t>
      </w:r>
      <w:proofErr w:type="spellStart"/>
      <w:r w:rsidRPr="00953EDA">
        <w:t>Wiesmann</w:t>
      </w:r>
      <w:proofErr w:type="spellEnd"/>
      <w:r w:rsidRPr="00953EDA">
        <w:t xml:space="preserve"> HP, </w:t>
      </w:r>
      <w:proofErr w:type="spellStart"/>
      <w:r w:rsidRPr="00953EDA">
        <w:t>Joos</w:t>
      </w:r>
      <w:proofErr w:type="spellEnd"/>
      <w:r w:rsidRPr="00953EDA">
        <w:t xml:space="preserve"> U, Meyer U. Biological and biophysical principles in </w:t>
      </w:r>
      <w:proofErr w:type="spellStart"/>
      <w:r w:rsidRPr="00953EDA">
        <w:t>extracorporal</w:t>
      </w:r>
      <w:proofErr w:type="spellEnd"/>
      <w:r w:rsidRPr="00953EDA">
        <w:t xml:space="preserve"> bone tissue engineering: part II. </w:t>
      </w:r>
      <w:proofErr w:type="spellStart"/>
      <w:r w:rsidRPr="00953EDA">
        <w:t>Int</w:t>
      </w:r>
      <w:proofErr w:type="spellEnd"/>
      <w:r w:rsidRPr="00953EDA">
        <w:t xml:space="preserve"> J Oral</w:t>
      </w:r>
      <w:r>
        <w:t xml:space="preserve"> </w:t>
      </w:r>
      <w:proofErr w:type="spellStart"/>
      <w:r>
        <w:t>Maxillofac</w:t>
      </w:r>
      <w:proofErr w:type="spellEnd"/>
      <w:r>
        <w:t xml:space="preserve"> </w:t>
      </w:r>
      <w:proofErr w:type="spellStart"/>
      <w:r>
        <w:t>Surg</w:t>
      </w:r>
      <w:proofErr w:type="spellEnd"/>
      <w:r>
        <w:t xml:space="preserve"> 2004;33:523-30</w:t>
      </w:r>
    </w:p>
    <w:p w:rsidR="00EC6AD6" w:rsidRDefault="00EC6A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56330"/>
      <w:docPartObj>
        <w:docPartGallery w:val="Page Numbers (Bottom of Page)"/>
        <w:docPartUnique/>
      </w:docPartObj>
    </w:sdtPr>
    <w:sdtEndPr/>
    <w:sdtContent>
      <w:p w:rsidR="00530B15" w:rsidRDefault="00530B15">
        <w:pPr>
          <w:pStyle w:val="Footer"/>
          <w:jc w:val="right"/>
        </w:pPr>
        <w:r>
          <w:t xml:space="preserve">Page | </w:t>
        </w:r>
        <w:r>
          <w:fldChar w:fldCharType="begin"/>
        </w:r>
        <w:r>
          <w:instrText xml:space="preserve"> PAGE   \* MERGEFORMAT </w:instrText>
        </w:r>
        <w:r>
          <w:fldChar w:fldCharType="separate"/>
        </w:r>
        <w:r w:rsidR="00AD7CCA">
          <w:rPr>
            <w:noProof/>
          </w:rPr>
          <w:t>1</w:t>
        </w:r>
        <w:r>
          <w:rPr>
            <w:noProof/>
          </w:rPr>
          <w:fldChar w:fldCharType="end"/>
        </w:r>
        <w:r>
          <w:t xml:space="preserve"> </w:t>
        </w:r>
      </w:p>
    </w:sdtContent>
  </w:sdt>
  <w:p w:rsidR="00530B15" w:rsidRDefault="0053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8A" w:rsidRDefault="000D1D8A" w:rsidP="00906BE7">
      <w:pPr>
        <w:spacing w:after="0" w:line="240" w:lineRule="auto"/>
      </w:pPr>
      <w:r>
        <w:separator/>
      </w:r>
    </w:p>
  </w:footnote>
  <w:footnote w:type="continuationSeparator" w:id="0">
    <w:p w:rsidR="000D1D8A" w:rsidRDefault="000D1D8A" w:rsidP="0090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0679"/>
    <w:multiLevelType w:val="hybridMultilevel"/>
    <w:tmpl w:val="3F841176"/>
    <w:lvl w:ilvl="0" w:tplc="125A44F0">
      <w:start w:val="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10627"/>
    <w:multiLevelType w:val="hybridMultilevel"/>
    <w:tmpl w:val="9926B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43350"/>
    <w:multiLevelType w:val="hybridMultilevel"/>
    <w:tmpl w:val="5C7EC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7B"/>
    <w:rsid w:val="0000726A"/>
    <w:rsid w:val="000119FB"/>
    <w:rsid w:val="000120B1"/>
    <w:rsid w:val="000128B8"/>
    <w:rsid w:val="00014B5A"/>
    <w:rsid w:val="0002300B"/>
    <w:rsid w:val="00024CBC"/>
    <w:rsid w:val="000256D0"/>
    <w:rsid w:val="0003059C"/>
    <w:rsid w:val="00030B3D"/>
    <w:rsid w:val="00031FD4"/>
    <w:rsid w:val="0004259A"/>
    <w:rsid w:val="00047191"/>
    <w:rsid w:val="000563D6"/>
    <w:rsid w:val="00057A89"/>
    <w:rsid w:val="00060AB8"/>
    <w:rsid w:val="00066729"/>
    <w:rsid w:val="000705BC"/>
    <w:rsid w:val="00070AE2"/>
    <w:rsid w:val="00070DC2"/>
    <w:rsid w:val="0007148E"/>
    <w:rsid w:val="0009042E"/>
    <w:rsid w:val="00090C5B"/>
    <w:rsid w:val="00093AF7"/>
    <w:rsid w:val="000979BF"/>
    <w:rsid w:val="00097B27"/>
    <w:rsid w:val="000A710C"/>
    <w:rsid w:val="000B3787"/>
    <w:rsid w:val="000B57FC"/>
    <w:rsid w:val="000B7AD6"/>
    <w:rsid w:val="000C455E"/>
    <w:rsid w:val="000C47F3"/>
    <w:rsid w:val="000C6062"/>
    <w:rsid w:val="000D1D8A"/>
    <w:rsid w:val="000D4230"/>
    <w:rsid w:val="000D4E32"/>
    <w:rsid w:val="000E1814"/>
    <w:rsid w:val="000E759D"/>
    <w:rsid w:val="000F20AC"/>
    <w:rsid w:val="00101851"/>
    <w:rsid w:val="00102D76"/>
    <w:rsid w:val="00107829"/>
    <w:rsid w:val="00107DF8"/>
    <w:rsid w:val="001102FC"/>
    <w:rsid w:val="00122687"/>
    <w:rsid w:val="00131FB9"/>
    <w:rsid w:val="001326C6"/>
    <w:rsid w:val="00152001"/>
    <w:rsid w:val="00161A82"/>
    <w:rsid w:val="00162136"/>
    <w:rsid w:val="00162E31"/>
    <w:rsid w:val="001655D8"/>
    <w:rsid w:val="00176B75"/>
    <w:rsid w:val="00177416"/>
    <w:rsid w:val="00184B28"/>
    <w:rsid w:val="00187F18"/>
    <w:rsid w:val="00194869"/>
    <w:rsid w:val="001B58C4"/>
    <w:rsid w:val="001C24D8"/>
    <w:rsid w:val="001C6855"/>
    <w:rsid w:val="001D14E0"/>
    <w:rsid w:val="001D2C7F"/>
    <w:rsid w:val="001D4274"/>
    <w:rsid w:val="001E367B"/>
    <w:rsid w:val="001E4DDE"/>
    <w:rsid w:val="001F4BD0"/>
    <w:rsid w:val="001F5DB7"/>
    <w:rsid w:val="0020470F"/>
    <w:rsid w:val="00206148"/>
    <w:rsid w:val="002162A1"/>
    <w:rsid w:val="00216C49"/>
    <w:rsid w:val="00235505"/>
    <w:rsid w:val="00236263"/>
    <w:rsid w:val="00245E78"/>
    <w:rsid w:val="00245EE2"/>
    <w:rsid w:val="00247D8D"/>
    <w:rsid w:val="00253517"/>
    <w:rsid w:val="00253969"/>
    <w:rsid w:val="00254677"/>
    <w:rsid w:val="00255FF7"/>
    <w:rsid w:val="00256747"/>
    <w:rsid w:val="00262654"/>
    <w:rsid w:val="002640AE"/>
    <w:rsid w:val="00265B72"/>
    <w:rsid w:val="00274745"/>
    <w:rsid w:val="002748A9"/>
    <w:rsid w:val="002757EF"/>
    <w:rsid w:val="00280C0F"/>
    <w:rsid w:val="002849FA"/>
    <w:rsid w:val="0028500F"/>
    <w:rsid w:val="002921DF"/>
    <w:rsid w:val="002954D4"/>
    <w:rsid w:val="00295762"/>
    <w:rsid w:val="00295E2A"/>
    <w:rsid w:val="002962E6"/>
    <w:rsid w:val="002965EF"/>
    <w:rsid w:val="00297DF0"/>
    <w:rsid w:val="002A5495"/>
    <w:rsid w:val="002A5BD3"/>
    <w:rsid w:val="002B00B8"/>
    <w:rsid w:val="002B6906"/>
    <w:rsid w:val="002B74DF"/>
    <w:rsid w:val="002C1823"/>
    <w:rsid w:val="002C3F12"/>
    <w:rsid w:val="002C50AA"/>
    <w:rsid w:val="002C58E5"/>
    <w:rsid w:val="002D074B"/>
    <w:rsid w:val="002D097B"/>
    <w:rsid w:val="002D5DB8"/>
    <w:rsid w:val="002E0548"/>
    <w:rsid w:val="002F06B8"/>
    <w:rsid w:val="002F301C"/>
    <w:rsid w:val="002F6868"/>
    <w:rsid w:val="002F6DE6"/>
    <w:rsid w:val="0030288D"/>
    <w:rsid w:val="0030616F"/>
    <w:rsid w:val="003100B5"/>
    <w:rsid w:val="0031183A"/>
    <w:rsid w:val="003162A7"/>
    <w:rsid w:val="00316AAB"/>
    <w:rsid w:val="0031716B"/>
    <w:rsid w:val="00317B80"/>
    <w:rsid w:val="00320D64"/>
    <w:rsid w:val="003351FE"/>
    <w:rsid w:val="003359D0"/>
    <w:rsid w:val="00337D4D"/>
    <w:rsid w:val="0034682E"/>
    <w:rsid w:val="00350845"/>
    <w:rsid w:val="003534C1"/>
    <w:rsid w:val="00353F8E"/>
    <w:rsid w:val="003553B4"/>
    <w:rsid w:val="003672F0"/>
    <w:rsid w:val="00372841"/>
    <w:rsid w:val="00374788"/>
    <w:rsid w:val="0038454F"/>
    <w:rsid w:val="003848B0"/>
    <w:rsid w:val="00394973"/>
    <w:rsid w:val="0039697C"/>
    <w:rsid w:val="003A0C43"/>
    <w:rsid w:val="003A38FB"/>
    <w:rsid w:val="003A4C7A"/>
    <w:rsid w:val="003A6252"/>
    <w:rsid w:val="003A771D"/>
    <w:rsid w:val="003B41BD"/>
    <w:rsid w:val="003B42EB"/>
    <w:rsid w:val="003B497A"/>
    <w:rsid w:val="003C1BC0"/>
    <w:rsid w:val="003C4C29"/>
    <w:rsid w:val="003C55C5"/>
    <w:rsid w:val="003E115A"/>
    <w:rsid w:val="003E2A37"/>
    <w:rsid w:val="003E3849"/>
    <w:rsid w:val="003F15B2"/>
    <w:rsid w:val="003F342E"/>
    <w:rsid w:val="003F36F7"/>
    <w:rsid w:val="003F76E1"/>
    <w:rsid w:val="00411A39"/>
    <w:rsid w:val="004152D3"/>
    <w:rsid w:val="00415D14"/>
    <w:rsid w:val="004176A7"/>
    <w:rsid w:val="0042238A"/>
    <w:rsid w:val="00431EE7"/>
    <w:rsid w:val="00433D3C"/>
    <w:rsid w:val="004342BC"/>
    <w:rsid w:val="00440755"/>
    <w:rsid w:val="00440F81"/>
    <w:rsid w:val="004413AE"/>
    <w:rsid w:val="00443C91"/>
    <w:rsid w:val="00447302"/>
    <w:rsid w:val="00451289"/>
    <w:rsid w:val="0046168E"/>
    <w:rsid w:val="00464E5A"/>
    <w:rsid w:val="00472637"/>
    <w:rsid w:val="00480477"/>
    <w:rsid w:val="00480618"/>
    <w:rsid w:val="0048554B"/>
    <w:rsid w:val="00492195"/>
    <w:rsid w:val="00497EFB"/>
    <w:rsid w:val="004A1671"/>
    <w:rsid w:val="004A2031"/>
    <w:rsid w:val="004A5899"/>
    <w:rsid w:val="004A6D10"/>
    <w:rsid w:val="004B2A64"/>
    <w:rsid w:val="004C7216"/>
    <w:rsid w:val="004C7397"/>
    <w:rsid w:val="004D0F48"/>
    <w:rsid w:val="004D410E"/>
    <w:rsid w:val="004E0C10"/>
    <w:rsid w:val="004F06F0"/>
    <w:rsid w:val="004F48C6"/>
    <w:rsid w:val="004F4DFB"/>
    <w:rsid w:val="004F6998"/>
    <w:rsid w:val="00502047"/>
    <w:rsid w:val="00507835"/>
    <w:rsid w:val="00511BFF"/>
    <w:rsid w:val="0051604C"/>
    <w:rsid w:val="00520F75"/>
    <w:rsid w:val="00523D64"/>
    <w:rsid w:val="00527DC9"/>
    <w:rsid w:val="00530B15"/>
    <w:rsid w:val="00533602"/>
    <w:rsid w:val="00534405"/>
    <w:rsid w:val="00541761"/>
    <w:rsid w:val="005436BD"/>
    <w:rsid w:val="00546F1A"/>
    <w:rsid w:val="00563060"/>
    <w:rsid w:val="005637CD"/>
    <w:rsid w:val="00564DB1"/>
    <w:rsid w:val="00565F20"/>
    <w:rsid w:val="005679D0"/>
    <w:rsid w:val="00575946"/>
    <w:rsid w:val="005803E5"/>
    <w:rsid w:val="005816B4"/>
    <w:rsid w:val="00583694"/>
    <w:rsid w:val="00596D19"/>
    <w:rsid w:val="005A291D"/>
    <w:rsid w:val="005A6CC4"/>
    <w:rsid w:val="005A79A6"/>
    <w:rsid w:val="005B057B"/>
    <w:rsid w:val="005B41E9"/>
    <w:rsid w:val="005B6960"/>
    <w:rsid w:val="005C0DE7"/>
    <w:rsid w:val="005C255C"/>
    <w:rsid w:val="005D1EC0"/>
    <w:rsid w:val="005D2F28"/>
    <w:rsid w:val="005D51FB"/>
    <w:rsid w:val="005D5C2E"/>
    <w:rsid w:val="005D6E6C"/>
    <w:rsid w:val="005D7768"/>
    <w:rsid w:val="005E220B"/>
    <w:rsid w:val="005E6DB2"/>
    <w:rsid w:val="005F1307"/>
    <w:rsid w:val="005F2873"/>
    <w:rsid w:val="005F450F"/>
    <w:rsid w:val="005F6365"/>
    <w:rsid w:val="005F74F3"/>
    <w:rsid w:val="006004A3"/>
    <w:rsid w:val="00605184"/>
    <w:rsid w:val="00614052"/>
    <w:rsid w:val="00616526"/>
    <w:rsid w:val="00626F03"/>
    <w:rsid w:val="0063084F"/>
    <w:rsid w:val="00642D30"/>
    <w:rsid w:val="00662152"/>
    <w:rsid w:val="00665E77"/>
    <w:rsid w:val="006671D5"/>
    <w:rsid w:val="00671274"/>
    <w:rsid w:val="00672C7E"/>
    <w:rsid w:val="00674123"/>
    <w:rsid w:val="00676BBA"/>
    <w:rsid w:val="0067793E"/>
    <w:rsid w:val="00686644"/>
    <w:rsid w:val="00692CF2"/>
    <w:rsid w:val="006974B3"/>
    <w:rsid w:val="006976DE"/>
    <w:rsid w:val="00697E7E"/>
    <w:rsid w:val="006A10FC"/>
    <w:rsid w:val="006A2326"/>
    <w:rsid w:val="006A2364"/>
    <w:rsid w:val="006A2AD8"/>
    <w:rsid w:val="006A30C8"/>
    <w:rsid w:val="006A3B12"/>
    <w:rsid w:val="006B01BE"/>
    <w:rsid w:val="006B1F11"/>
    <w:rsid w:val="006C051B"/>
    <w:rsid w:val="006C116D"/>
    <w:rsid w:val="006C22A5"/>
    <w:rsid w:val="006C614D"/>
    <w:rsid w:val="006C6DF2"/>
    <w:rsid w:val="006D4449"/>
    <w:rsid w:val="006D5CDE"/>
    <w:rsid w:val="006D68DA"/>
    <w:rsid w:val="006E0ED1"/>
    <w:rsid w:val="006E315E"/>
    <w:rsid w:val="006E46AB"/>
    <w:rsid w:val="006E7C94"/>
    <w:rsid w:val="006F17B9"/>
    <w:rsid w:val="006F1EA0"/>
    <w:rsid w:val="006F2770"/>
    <w:rsid w:val="006F2B34"/>
    <w:rsid w:val="006F70B2"/>
    <w:rsid w:val="00702FF8"/>
    <w:rsid w:val="00705EC5"/>
    <w:rsid w:val="00710AEA"/>
    <w:rsid w:val="007148F9"/>
    <w:rsid w:val="0071548D"/>
    <w:rsid w:val="00723C01"/>
    <w:rsid w:val="007352FE"/>
    <w:rsid w:val="00737C7C"/>
    <w:rsid w:val="0074044C"/>
    <w:rsid w:val="00742860"/>
    <w:rsid w:val="007449E9"/>
    <w:rsid w:val="00745975"/>
    <w:rsid w:val="00751BAC"/>
    <w:rsid w:val="0075559D"/>
    <w:rsid w:val="00761748"/>
    <w:rsid w:val="007649D7"/>
    <w:rsid w:val="00765D3C"/>
    <w:rsid w:val="00780B0D"/>
    <w:rsid w:val="007860C0"/>
    <w:rsid w:val="007917EE"/>
    <w:rsid w:val="007A329D"/>
    <w:rsid w:val="007A352A"/>
    <w:rsid w:val="007A58EF"/>
    <w:rsid w:val="007A6099"/>
    <w:rsid w:val="007B3D54"/>
    <w:rsid w:val="007B5ACE"/>
    <w:rsid w:val="007B70D3"/>
    <w:rsid w:val="007C2FAE"/>
    <w:rsid w:val="007C3DFB"/>
    <w:rsid w:val="007C6055"/>
    <w:rsid w:val="007D6594"/>
    <w:rsid w:val="007E19D3"/>
    <w:rsid w:val="007E1F07"/>
    <w:rsid w:val="007E5250"/>
    <w:rsid w:val="007E707C"/>
    <w:rsid w:val="007F344E"/>
    <w:rsid w:val="007F3D22"/>
    <w:rsid w:val="008062D1"/>
    <w:rsid w:val="00806F5D"/>
    <w:rsid w:val="00812F44"/>
    <w:rsid w:val="00821EF3"/>
    <w:rsid w:val="00831B18"/>
    <w:rsid w:val="00832F40"/>
    <w:rsid w:val="00835664"/>
    <w:rsid w:val="00840A21"/>
    <w:rsid w:val="00846464"/>
    <w:rsid w:val="008465CC"/>
    <w:rsid w:val="008508FA"/>
    <w:rsid w:val="00851795"/>
    <w:rsid w:val="008524CB"/>
    <w:rsid w:val="00852CBE"/>
    <w:rsid w:val="00854A64"/>
    <w:rsid w:val="00855D36"/>
    <w:rsid w:val="0085638C"/>
    <w:rsid w:val="00857577"/>
    <w:rsid w:val="00870CE0"/>
    <w:rsid w:val="00881558"/>
    <w:rsid w:val="008825CF"/>
    <w:rsid w:val="00886E5F"/>
    <w:rsid w:val="008904FD"/>
    <w:rsid w:val="0089188B"/>
    <w:rsid w:val="0089238A"/>
    <w:rsid w:val="008930F0"/>
    <w:rsid w:val="0089479A"/>
    <w:rsid w:val="0089496E"/>
    <w:rsid w:val="008A0603"/>
    <w:rsid w:val="008A3ABB"/>
    <w:rsid w:val="008A3B44"/>
    <w:rsid w:val="008A414A"/>
    <w:rsid w:val="008B13F9"/>
    <w:rsid w:val="008C34EE"/>
    <w:rsid w:val="008D04E6"/>
    <w:rsid w:val="008D28F6"/>
    <w:rsid w:val="008D3A3F"/>
    <w:rsid w:val="008E2073"/>
    <w:rsid w:val="008E50C1"/>
    <w:rsid w:val="008F0050"/>
    <w:rsid w:val="008F210F"/>
    <w:rsid w:val="008F58F4"/>
    <w:rsid w:val="009001F8"/>
    <w:rsid w:val="00906BE7"/>
    <w:rsid w:val="00910DD3"/>
    <w:rsid w:val="00914337"/>
    <w:rsid w:val="0091468F"/>
    <w:rsid w:val="00914AD7"/>
    <w:rsid w:val="009229C6"/>
    <w:rsid w:val="00926FB2"/>
    <w:rsid w:val="00936C60"/>
    <w:rsid w:val="00941E3E"/>
    <w:rsid w:val="009465FB"/>
    <w:rsid w:val="00946948"/>
    <w:rsid w:val="00946BAC"/>
    <w:rsid w:val="0095035C"/>
    <w:rsid w:val="0095330A"/>
    <w:rsid w:val="00953EDA"/>
    <w:rsid w:val="00956341"/>
    <w:rsid w:val="00972AA6"/>
    <w:rsid w:val="009808D6"/>
    <w:rsid w:val="0098466D"/>
    <w:rsid w:val="009864FB"/>
    <w:rsid w:val="00991147"/>
    <w:rsid w:val="0099581C"/>
    <w:rsid w:val="009A0C7E"/>
    <w:rsid w:val="009A1708"/>
    <w:rsid w:val="009A3BA6"/>
    <w:rsid w:val="009B05B4"/>
    <w:rsid w:val="009B1798"/>
    <w:rsid w:val="009C041B"/>
    <w:rsid w:val="009C1A5D"/>
    <w:rsid w:val="009D2B40"/>
    <w:rsid w:val="009D7A5B"/>
    <w:rsid w:val="009F0E44"/>
    <w:rsid w:val="009F60C7"/>
    <w:rsid w:val="009F61D3"/>
    <w:rsid w:val="00A0405F"/>
    <w:rsid w:val="00A0634B"/>
    <w:rsid w:val="00A06678"/>
    <w:rsid w:val="00A07291"/>
    <w:rsid w:val="00A12C99"/>
    <w:rsid w:val="00A167B7"/>
    <w:rsid w:val="00A16AE4"/>
    <w:rsid w:val="00A26203"/>
    <w:rsid w:val="00A305E6"/>
    <w:rsid w:val="00A31351"/>
    <w:rsid w:val="00A36072"/>
    <w:rsid w:val="00A51345"/>
    <w:rsid w:val="00A53B27"/>
    <w:rsid w:val="00A6153A"/>
    <w:rsid w:val="00A624D7"/>
    <w:rsid w:val="00A700C3"/>
    <w:rsid w:val="00A82952"/>
    <w:rsid w:val="00A83997"/>
    <w:rsid w:val="00A85746"/>
    <w:rsid w:val="00A86FCC"/>
    <w:rsid w:val="00A91E99"/>
    <w:rsid w:val="00A9438E"/>
    <w:rsid w:val="00AA07D0"/>
    <w:rsid w:val="00AA49AE"/>
    <w:rsid w:val="00AB4B27"/>
    <w:rsid w:val="00AB52B1"/>
    <w:rsid w:val="00AB7139"/>
    <w:rsid w:val="00AB79E0"/>
    <w:rsid w:val="00AC2670"/>
    <w:rsid w:val="00AC444C"/>
    <w:rsid w:val="00AC478C"/>
    <w:rsid w:val="00AD7716"/>
    <w:rsid w:val="00AD7CCA"/>
    <w:rsid w:val="00AE084E"/>
    <w:rsid w:val="00AE2AF9"/>
    <w:rsid w:val="00AE7114"/>
    <w:rsid w:val="00AF2760"/>
    <w:rsid w:val="00AF4178"/>
    <w:rsid w:val="00AF5136"/>
    <w:rsid w:val="00B00569"/>
    <w:rsid w:val="00B03477"/>
    <w:rsid w:val="00B0609E"/>
    <w:rsid w:val="00B1105E"/>
    <w:rsid w:val="00B1159F"/>
    <w:rsid w:val="00B2426A"/>
    <w:rsid w:val="00B258BB"/>
    <w:rsid w:val="00B31500"/>
    <w:rsid w:val="00B322C1"/>
    <w:rsid w:val="00B35575"/>
    <w:rsid w:val="00B35EDA"/>
    <w:rsid w:val="00B37945"/>
    <w:rsid w:val="00B45E69"/>
    <w:rsid w:val="00B50B7B"/>
    <w:rsid w:val="00B512F6"/>
    <w:rsid w:val="00B538B2"/>
    <w:rsid w:val="00B53F0E"/>
    <w:rsid w:val="00B55760"/>
    <w:rsid w:val="00B579D0"/>
    <w:rsid w:val="00B605A3"/>
    <w:rsid w:val="00B73A88"/>
    <w:rsid w:val="00B81229"/>
    <w:rsid w:val="00B82324"/>
    <w:rsid w:val="00B86A77"/>
    <w:rsid w:val="00B92208"/>
    <w:rsid w:val="00B945E3"/>
    <w:rsid w:val="00B97A8E"/>
    <w:rsid w:val="00BA15FC"/>
    <w:rsid w:val="00BA3304"/>
    <w:rsid w:val="00BB1375"/>
    <w:rsid w:val="00BB5020"/>
    <w:rsid w:val="00BB70F8"/>
    <w:rsid w:val="00BC1E49"/>
    <w:rsid w:val="00BC2ECB"/>
    <w:rsid w:val="00BD052C"/>
    <w:rsid w:val="00BD09B6"/>
    <w:rsid w:val="00BD0C59"/>
    <w:rsid w:val="00BD3093"/>
    <w:rsid w:val="00BD6F10"/>
    <w:rsid w:val="00BD7B1C"/>
    <w:rsid w:val="00BE1A32"/>
    <w:rsid w:val="00BE28AC"/>
    <w:rsid w:val="00BE6FE7"/>
    <w:rsid w:val="00BF2186"/>
    <w:rsid w:val="00BF35F6"/>
    <w:rsid w:val="00BF5035"/>
    <w:rsid w:val="00C012BA"/>
    <w:rsid w:val="00C07B4A"/>
    <w:rsid w:val="00C1078F"/>
    <w:rsid w:val="00C13DEF"/>
    <w:rsid w:val="00C24401"/>
    <w:rsid w:val="00C27275"/>
    <w:rsid w:val="00C318A5"/>
    <w:rsid w:val="00C36C98"/>
    <w:rsid w:val="00C45FA5"/>
    <w:rsid w:val="00C46D07"/>
    <w:rsid w:val="00C527DF"/>
    <w:rsid w:val="00C579C1"/>
    <w:rsid w:val="00C63069"/>
    <w:rsid w:val="00C630FF"/>
    <w:rsid w:val="00C754D4"/>
    <w:rsid w:val="00C83C79"/>
    <w:rsid w:val="00C90E83"/>
    <w:rsid w:val="00C939FD"/>
    <w:rsid w:val="00C93FA4"/>
    <w:rsid w:val="00CA02DE"/>
    <w:rsid w:val="00CA069D"/>
    <w:rsid w:val="00CA0B59"/>
    <w:rsid w:val="00CA3EDD"/>
    <w:rsid w:val="00CA4AF1"/>
    <w:rsid w:val="00CA56A3"/>
    <w:rsid w:val="00CB5987"/>
    <w:rsid w:val="00CB6F4A"/>
    <w:rsid w:val="00CC009F"/>
    <w:rsid w:val="00CC1C5D"/>
    <w:rsid w:val="00CC64A4"/>
    <w:rsid w:val="00CC653F"/>
    <w:rsid w:val="00CC65C0"/>
    <w:rsid w:val="00CD0E66"/>
    <w:rsid w:val="00CD0E7E"/>
    <w:rsid w:val="00CD20D5"/>
    <w:rsid w:val="00CD6C49"/>
    <w:rsid w:val="00CE6192"/>
    <w:rsid w:val="00CF05F5"/>
    <w:rsid w:val="00CF08B0"/>
    <w:rsid w:val="00CF1DAD"/>
    <w:rsid w:val="00CF671B"/>
    <w:rsid w:val="00D000A4"/>
    <w:rsid w:val="00D05E8F"/>
    <w:rsid w:val="00D10E36"/>
    <w:rsid w:val="00D13CDF"/>
    <w:rsid w:val="00D14CB7"/>
    <w:rsid w:val="00D156F7"/>
    <w:rsid w:val="00D206A8"/>
    <w:rsid w:val="00D2353D"/>
    <w:rsid w:val="00D23CE5"/>
    <w:rsid w:val="00D25ADA"/>
    <w:rsid w:val="00D264A4"/>
    <w:rsid w:val="00D27B84"/>
    <w:rsid w:val="00D31933"/>
    <w:rsid w:val="00D329CE"/>
    <w:rsid w:val="00D36237"/>
    <w:rsid w:val="00D40581"/>
    <w:rsid w:val="00D4299D"/>
    <w:rsid w:val="00D50359"/>
    <w:rsid w:val="00D5672E"/>
    <w:rsid w:val="00D57795"/>
    <w:rsid w:val="00D57B8A"/>
    <w:rsid w:val="00D60199"/>
    <w:rsid w:val="00D70C90"/>
    <w:rsid w:val="00D76BE8"/>
    <w:rsid w:val="00D809D2"/>
    <w:rsid w:val="00D919F9"/>
    <w:rsid w:val="00D939B5"/>
    <w:rsid w:val="00D93B94"/>
    <w:rsid w:val="00D96B41"/>
    <w:rsid w:val="00DA32E5"/>
    <w:rsid w:val="00DA5768"/>
    <w:rsid w:val="00DB6DBC"/>
    <w:rsid w:val="00DC001E"/>
    <w:rsid w:val="00DC2EFB"/>
    <w:rsid w:val="00DC43BC"/>
    <w:rsid w:val="00DD28EF"/>
    <w:rsid w:val="00DD3F94"/>
    <w:rsid w:val="00DD7963"/>
    <w:rsid w:val="00DE2F24"/>
    <w:rsid w:val="00DF6E3F"/>
    <w:rsid w:val="00E02181"/>
    <w:rsid w:val="00E0296D"/>
    <w:rsid w:val="00E07518"/>
    <w:rsid w:val="00E11799"/>
    <w:rsid w:val="00E16548"/>
    <w:rsid w:val="00E21019"/>
    <w:rsid w:val="00E221B6"/>
    <w:rsid w:val="00E22F0D"/>
    <w:rsid w:val="00E270C0"/>
    <w:rsid w:val="00E31B60"/>
    <w:rsid w:val="00E336BD"/>
    <w:rsid w:val="00E35160"/>
    <w:rsid w:val="00E40D38"/>
    <w:rsid w:val="00E41E9A"/>
    <w:rsid w:val="00E42189"/>
    <w:rsid w:val="00E45806"/>
    <w:rsid w:val="00E479EE"/>
    <w:rsid w:val="00E50DF9"/>
    <w:rsid w:val="00E52E78"/>
    <w:rsid w:val="00E55F4D"/>
    <w:rsid w:val="00E63321"/>
    <w:rsid w:val="00E709FE"/>
    <w:rsid w:val="00E711E5"/>
    <w:rsid w:val="00E768FA"/>
    <w:rsid w:val="00E91782"/>
    <w:rsid w:val="00E96690"/>
    <w:rsid w:val="00E96EE8"/>
    <w:rsid w:val="00E97DF8"/>
    <w:rsid w:val="00EA201E"/>
    <w:rsid w:val="00EA3324"/>
    <w:rsid w:val="00EB001C"/>
    <w:rsid w:val="00EB0EA5"/>
    <w:rsid w:val="00EB1A58"/>
    <w:rsid w:val="00EB3CEE"/>
    <w:rsid w:val="00EB4246"/>
    <w:rsid w:val="00EC0DA2"/>
    <w:rsid w:val="00EC44E8"/>
    <w:rsid w:val="00EC5BE9"/>
    <w:rsid w:val="00EC6AD6"/>
    <w:rsid w:val="00EE4EAE"/>
    <w:rsid w:val="00EE6414"/>
    <w:rsid w:val="00F017FC"/>
    <w:rsid w:val="00F02958"/>
    <w:rsid w:val="00F05029"/>
    <w:rsid w:val="00F10DB6"/>
    <w:rsid w:val="00F14B08"/>
    <w:rsid w:val="00F24120"/>
    <w:rsid w:val="00F26024"/>
    <w:rsid w:val="00F30E20"/>
    <w:rsid w:val="00F32A96"/>
    <w:rsid w:val="00F32CCC"/>
    <w:rsid w:val="00F3478D"/>
    <w:rsid w:val="00F354CB"/>
    <w:rsid w:val="00F357FF"/>
    <w:rsid w:val="00F3649B"/>
    <w:rsid w:val="00F4282C"/>
    <w:rsid w:val="00F43EE7"/>
    <w:rsid w:val="00F44788"/>
    <w:rsid w:val="00F44AB1"/>
    <w:rsid w:val="00F464B4"/>
    <w:rsid w:val="00F4786C"/>
    <w:rsid w:val="00F51A93"/>
    <w:rsid w:val="00F63A1E"/>
    <w:rsid w:val="00F63AB6"/>
    <w:rsid w:val="00F72EF7"/>
    <w:rsid w:val="00F82728"/>
    <w:rsid w:val="00F82938"/>
    <w:rsid w:val="00F83EAE"/>
    <w:rsid w:val="00F876EB"/>
    <w:rsid w:val="00F87FBC"/>
    <w:rsid w:val="00F90AA7"/>
    <w:rsid w:val="00F90C47"/>
    <w:rsid w:val="00F910E2"/>
    <w:rsid w:val="00F97904"/>
    <w:rsid w:val="00FA1F49"/>
    <w:rsid w:val="00FA6A6A"/>
    <w:rsid w:val="00FA6B87"/>
    <w:rsid w:val="00FB1A93"/>
    <w:rsid w:val="00FB21D8"/>
    <w:rsid w:val="00FB2B32"/>
    <w:rsid w:val="00FB3639"/>
    <w:rsid w:val="00FB47EA"/>
    <w:rsid w:val="00FB4E27"/>
    <w:rsid w:val="00FB5795"/>
    <w:rsid w:val="00FB6972"/>
    <w:rsid w:val="00FC0DED"/>
    <w:rsid w:val="00FC10B2"/>
    <w:rsid w:val="00FC3292"/>
    <w:rsid w:val="00FD5E87"/>
    <w:rsid w:val="00FD607A"/>
    <w:rsid w:val="00FE0F70"/>
    <w:rsid w:val="00FE2992"/>
    <w:rsid w:val="00FE5142"/>
    <w:rsid w:val="00FE775D"/>
    <w:rsid w:val="00FF3F56"/>
    <w:rsid w:val="00FF688A"/>
    <w:rsid w:val="00FF7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7B"/>
  </w:style>
  <w:style w:type="paragraph" w:styleId="Heading1">
    <w:name w:val="heading 1"/>
    <w:basedOn w:val="Normal"/>
    <w:next w:val="Normal"/>
    <w:link w:val="Heading1Char"/>
    <w:uiPriority w:val="9"/>
    <w:qFormat/>
    <w:rsid w:val="001E367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E367B"/>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E367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E367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E367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E367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E367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E367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E367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67B"/>
    <w:rPr>
      <w:smallCaps/>
      <w:spacing w:val="5"/>
      <w:sz w:val="32"/>
      <w:szCs w:val="32"/>
    </w:rPr>
  </w:style>
  <w:style w:type="character" w:customStyle="1" w:styleId="Heading2Char">
    <w:name w:val="Heading 2 Char"/>
    <w:basedOn w:val="DefaultParagraphFont"/>
    <w:link w:val="Heading2"/>
    <w:uiPriority w:val="9"/>
    <w:rsid w:val="001E367B"/>
    <w:rPr>
      <w:smallCaps/>
      <w:spacing w:val="5"/>
      <w:sz w:val="28"/>
      <w:szCs w:val="28"/>
    </w:rPr>
  </w:style>
  <w:style w:type="character" w:customStyle="1" w:styleId="Heading3Char">
    <w:name w:val="Heading 3 Char"/>
    <w:basedOn w:val="DefaultParagraphFont"/>
    <w:link w:val="Heading3"/>
    <w:uiPriority w:val="9"/>
    <w:rsid w:val="001E367B"/>
    <w:rPr>
      <w:smallCaps/>
      <w:spacing w:val="5"/>
      <w:sz w:val="24"/>
      <w:szCs w:val="24"/>
    </w:rPr>
  </w:style>
  <w:style w:type="character" w:customStyle="1" w:styleId="Heading4Char">
    <w:name w:val="Heading 4 Char"/>
    <w:basedOn w:val="DefaultParagraphFont"/>
    <w:link w:val="Heading4"/>
    <w:uiPriority w:val="9"/>
    <w:semiHidden/>
    <w:rsid w:val="001E367B"/>
    <w:rPr>
      <w:i/>
      <w:iCs/>
      <w:smallCaps/>
      <w:spacing w:val="10"/>
      <w:sz w:val="22"/>
      <w:szCs w:val="22"/>
    </w:rPr>
  </w:style>
  <w:style w:type="character" w:customStyle="1" w:styleId="Heading5Char">
    <w:name w:val="Heading 5 Char"/>
    <w:basedOn w:val="DefaultParagraphFont"/>
    <w:link w:val="Heading5"/>
    <w:uiPriority w:val="9"/>
    <w:semiHidden/>
    <w:rsid w:val="001E367B"/>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E367B"/>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E367B"/>
    <w:rPr>
      <w:b/>
      <w:bCs/>
      <w:smallCaps/>
      <w:color w:val="70AD47" w:themeColor="accent6"/>
      <w:spacing w:val="10"/>
    </w:rPr>
  </w:style>
  <w:style w:type="character" w:customStyle="1" w:styleId="Heading8Char">
    <w:name w:val="Heading 8 Char"/>
    <w:basedOn w:val="DefaultParagraphFont"/>
    <w:link w:val="Heading8"/>
    <w:uiPriority w:val="9"/>
    <w:semiHidden/>
    <w:rsid w:val="001E367B"/>
    <w:rPr>
      <w:b/>
      <w:bCs/>
      <w:i/>
      <w:iCs/>
      <w:smallCaps/>
      <w:color w:val="538135" w:themeColor="accent6" w:themeShade="BF"/>
    </w:rPr>
  </w:style>
  <w:style w:type="character" w:customStyle="1" w:styleId="Heading9Char">
    <w:name w:val="Heading 9 Char"/>
    <w:basedOn w:val="DefaultParagraphFont"/>
    <w:link w:val="Heading9"/>
    <w:uiPriority w:val="9"/>
    <w:semiHidden/>
    <w:rsid w:val="001E367B"/>
    <w:rPr>
      <w:b/>
      <w:bCs/>
      <w:i/>
      <w:iCs/>
      <w:smallCaps/>
      <w:color w:val="385623" w:themeColor="accent6" w:themeShade="80"/>
    </w:rPr>
  </w:style>
  <w:style w:type="paragraph" w:styleId="Caption">
    <w:name w:val="caption"/>
    <w:basedOn w:val="Normal"/>
    <w:next w:val="Normal"/>
    <w:uiPriority w:val="35"/>
    <w:semiHidden/>
    <w:unhideWhenUsed/>
    <w:qFormat/>
    <w:rsid w:val="001E367B"/>
    <w:rPr>
      <w:b/>
      <w:bCs/>
      <w:caps/>
      <w:sz w:val="16"/>
      <w:szCs w:val="16"/>
    </w:rPr>
  </w:style>
  <w:style w:type="paragraph" w:styleId="Title">
    <w:name w:val="Title"/>
    <w:basedOn w:val="Normal"/>
    <w:next w:val="Normal"/>
    <w:link w:val="TitleChar"/>
    <w:uiPriority w:val="10"/>
    <w:qFormat/>
    <w:rsid w:val="001E367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E367B"/>
    <w:rPr>
      <w:smallCaps/>
      <w:color w:val="262626" w:themeColor="text1" w:themeTint="D9"/>
      <w:sz w:val="52"/>
      <w:szCs w:val="52"/>
    </w:rPr>
  </w:style>
  <w:style w:type="paragraph" w:styleId="Subtitle">
    <w:name w:val="Subtitle"/>
    <w:basedOn w:val="Normal"/>
    <w:next w:val="Normal"/>
    <w:link w:val="SubtitleChar"/>
    <w:uiPriority w:val="11"/>
    <w:qFormat/>
    <w:rsid w:val="001E367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E367B"/>
    <w:rPr>
      <w:rFonts w:asciiTheme="majorHAnsi" w:eastAsiaTheme="majorEastAsia" w:hAnsiTheme="majorHAnsi" w:cstheme="majorBidi"/>
    </w:rPr>
  </w:style>
  <w:style w:type="character" w:styleId="Strong">
    <w:name w:val="Strong"/>
    <w:uiPriority w:val="22"/>
    <w:qFormat/>
    <w:rsid w:val="001E367B"/>
    <w:rPr>
      <w:b/>
      <w:bCs/>
      <w:color w:val="70AD47" w:themeColor="accent6"/>
    </w:rPr>
  </w:style>
  <w:style w:type="character" w:styleId="Emphasis">
    <w:name w:val="Emphasis"/>
    <w:uiPriority w:val="20"/>
    <w:qFormat/>
    <w:rsid w:val="001E367B"/>
    <w:rPr>
      <w:b/>
      <w:bCs/>
      <w:i/>
      <w:iCs/>
      <w:spacing w:val="10"/>
    </w:rPr>
  </w:style>
  <w:style w:type="paragraph" w:styleId="NoSpacing">
    <w:name w:val="No Spacing"/>
    <w:uiPriority w:val="1"/>
    <w:qFormat/>
    <w:rsid w:val="001E367B"/>
    <w:pPr>
      <w:spacing w:after="0" w:line="240" w:lineRule="auto"/>
    </w:pPr>
  </w:style>
  <w:style w:type="paragraph" w:styleId="Quote">
    <w:name w:val="Quote"/>
    <w:basedOn w:val="Normal"/>
    <w:next w:val="Normal"/>
    <w:link w:val="QuoteChar"/>
    <w:uiPriority w:val="29"/>
    <w:qFormat/>
    <w:rsid w:val="001E367B"/>
    <w:rPr>
      <w:i/>
      <w:iCs/>
    </w:rPr>
  </w:style>
  <w:style w:type="character" w:customStyle="1" w:styleId="QuoteChar">
    <w:name w:val="Quote Char"/>
    <w:basedOn w:val="DefaultParagraphFont"/>
    <w:link w:val="Quote"/>
    <w:uiPriority w:val="29"/>
    <w:rsid w:val="001E367B"/>
    <w:rPr>
      <w:i/>
      <w:iCs/>
    </w:rPr>
  </w:style>
  <w:style w:type="paragraph" w:styleId="IntenseQuote">
    <w:name w:val="Intense Quote"/>
    <w:basedOn w:val="Normal"/>
    <w:next w:val="Normal"/>
    <w:link w:val="IntenseQuoteChar"/>
    <w:uiPriority w:val="30"/>
    <w:qFormat/>
    <w:rsid w:val="001E367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E367B"/>
    <w:rPr>
      <w:b/>
      <w:bCs/>
      <w:i/>
      <w:iCs/>
    </w:rPr>
  </w:style>
  <w:style w:type="character" w:styleId="SubtleEmphasis">
    <w:name w:val="Subtle Emphasis"/>
    <w:uiPriority w:val="19"/>
    <w:qFormat/>
    <w:rsid w:val="001E367B"/>
    <w:rPr>
      <w:i/>
      <w:iCs/>
    </w:rPr>
  </w:style>
  <w:style w:type="character" w:styleId="IntenseEmphasis">
    <w:name w:val="Intense Emphasis"/>
    <w:uiPriority w:val="21"/>
    <w:qFormat/>
    <w:rsid w:val="001E367B"/>
    <w:rPr>
      <w:b/>
      <w:bCs/>
      <w:i/>
      <w:iCs/>
      <w:color w:val="70AD47" w:themeColor="accent6"/>
      <w:spacing w:val="10"/>
    </w:rPr>
  </w:style>
  <w:style w:type="character" w:styleId="SubtleReference">
    <w:name w:val="Subtle Reference"/>
    <w:uiPriority w:val="31"/>
    <w:qFormat/>
    <w:rsid w:val="001E367B"/>
    <w:rPr>
      <w:b/>
      <w:bCs/>
    </w:rPr>
  </w:style>
  <w:style w:type="character" w:styleId="IntenseReference">
    <w:name w:val="Intense Reference"/>
    <w:uiPriority w:val="32"/>
    <w:qFormat/>
    <w:rsid w:val="001E367B"/>
    <w:rPr>
      <w:b/>
      <w:bCs/>
      <w:smallCaps/>
      <w:spacing w:val="5"/>
      <w:sz w:val="22"/>
      <w:szCs w:val="22"/>
      <w:u w:val="single"/>
    </w:rPr>
  </w:style>
  <w:style w:type="character" w:styleId="BookTitle">
    <w:name w:val="Book Title"/>
    <w:uiPriority w:val="33"/>
    <w:qFormat/>
    <w:rsid w:val="001E367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E367B"/>
    <w:pPr>
      <w:outlineLvl w:val="9"/>
    </w:pPr>
  </w:style>
  <w:style w:type="paragraph" w:styleId="ListParagraph">
    <w:name w:val="List Paragraph"/>
    <w:basedOn w:val="Normal"/>
    <w:uiPriority w:val="34"/>
    <w:qFormat/>
    <w:rsid w:val="00B00569"/>
    <w:pPr>
      <w:ind w:left="720"/>
      <w:contextualSpacing/>
    </w:pPr>
  </w:style>
  <w:style w:type="character" w:styleId="Hyperlink">
    <w:name w:val="Hyperlink"/>
    <w:basedOn w:val="DefaultParagraphFont"/>
    <w:uiPriority w:val="99"/>
    <w:unhideWhenUsed/>
    <w:rsid w:val="007E5250"/>
    <w:rPr>
      <w:color w:val="0563C1" w:themeColor="hyperlink"/>
      <w:u w:val="single"/>
    </w:rPr>
  </w:style>
  <w:style w:type="paragraph" w:styleId="EndnoteText">
    <w:name w:val="endnote text"/>
    <w:basedOn w:val="Normal"/>
    <w:link w:val="EndnoteTextChar"/>
    <w:uiPriority w:val="99"/>
    <w:unhideWhenUsed/>
    <w:rsid w:val="00906BE7"/>
    <w:pPr>
      <w:spacing w:after="0" w:line="240" w:lineRule="auto"/>
    </w:pPr>
  </w:style>
  <w:style w:type="character" w:customStyle="1" w:styleId="EndnoteTextChar">
    <w:name w:val="Endnote Text Char"/>
    <w:basedOn w:val="DefaultParagraphFont"/>
    <w:link w:val="EndnoteText"/>
    <w:uiPriority w:val="99"/>
    <w:rsid w:val="00906BE7"/>
  </w:style>
  <w:style w:type="character" w:styleId="EndnoteReference">
    <w:name w:val="endnote reference"/>
    <w:basedOn w:val="DefaultParagraphFont"/>
    <w:uiPriority w:val="99"/>
    <w:semiHidden/>
    <w:unhideWhenUsed/>
    <w:rsid w:val="00906BE7"/>
    <w:rPr>
      <w:vertAlign w:val="superscript"/>
    </w:rPr>
  </w:style>
  <w:style w:type="character" w:customStyle="1" w:styleId="selectable">
    <w:name w:val="selectable"/>
    <w:basedOn w:val="DefaultParagraphFont"/>
    <w:rsid w:val="00906BE7"/>
  </w:style>
  <w:style w:type="character" w:styleId="FollowedHyperlink">
    <w:name w:val="FollowedHyperlink"/>
    <w:basedOn w:val="DefaultParagraphFont"/>
    <w:uiPriority w:val="99"/>
    <w:semiHidden/>
    <w:unhideWhenUsed/>
    <w:rsid w:val="00D57795"/>
    <w:rPr>
      <w:color w:val="954F72" w:themeColor="followedHyperlink"/>
      <w:u w:val="single"/>
    </w:rPr>
  </w:style>
  <w:style w:type="paragraph" w:styleId="Header">
    <w:name w:val="header"/>
    <w:basedOn w:val="Normal"/>
    <w:link w:val="HeaderChar"/>
    <w:uiPriority w:val="99"/>
    <w:unhideWhenUsed/>
    <w:rsid w:val="00672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7E"/>
  </w:style>
  <w:style w:type="paragraph" w:styleId="Footer">
    <w:name w:val="footer"/>
    <w:basedOn w:val="Normal"/>
    <w:link w:val="FooterChar"/>
    <w:uiPriority w:val="99"/>
    <w:unhideWhenUsed/>
    <w:rsid w:val="00672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7E"/>
  </w:style>
  <w:style w:type="table" w:styleId="TableGrid">
    <w:name w:val="Table Grid"/>
    <w:basedOn w:val="TableNormal"/>
    <w:uiPriority w:val="39"/>
    <w:rsid w:val="00EB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0979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979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
    <w:name w:val="Grid Table 3"/>
    <w:basedOn w:val="TableNormal"/>
    <w:uiPriority w:val="48"/>
    <w:rsid w:val="00070D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TableNormal"/>
    <w:uiPriority w:val="49"/>
    <w:rsid w:val="00070D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7B"/>
  </w:style>
  <w:style w:type="paragraph" w:styleId="Heading1">
    <w:name w:val="heading 1"/>
    <w:basedOn w:val="Normal"/>
    <w:next w:val="Normal"/>
    <w:link w:val="Heading1Char"/>
    <w:uiPriority w:val="9"/>
    <w:qFormat/>
    <w:rsid w:val="001E367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E367B"/>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E367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E367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E367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E367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E367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E367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E367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67B"/>
    <w:rPr>
      <w:smallCaps/>
      <w:spacing w:val="5"/>
      <w:sz w:val="32"/>
      <w:szCs w:val="32"/>
    </w:rPr>
  </w:style>
  <w:style w:type="character" w:customStyle="1" w:styleId="Heading2Char">
    <w:name w:val="Heading 2 Char"/>
    <w:basedOn w:val="DefaultParagraphFont"/>
    <w:link w:val="Heading2"/>
    <w:uiPriority w:val="9"/>
    <w:rsid w:val="001E367B"/>
    <w:rPr>
      <w:smallCaps/>
      <w:spacing w:val="5"/>
      <w:sz w:val="28"/>
      <w:szCs w:val="28"/>
    </w:rPr>
  </w:style>
  <w:style w:type="character" w:customStyle="1" w:styleId="Heading3Char">
    <w:name w:val="Heading 3 Char"/>
    <w:basedOn w:val="DefaultParagraphFont"/>
    <w:link w:val="Heading3"/>
    <w:uiPriority w:val="9"/>
    <w:rsid w:val="001E367B"/>
    <w:rPr>
      <w:smallCaps/>
      <w:spacing w:val="5"/>
      <w:sz w:val="24"/>
      <w:szCs w:val="24"/>
    </w:rPr>
  </w:style>
  <w:style w:type="character" w:customStyle="1" w:styleId="Heading4Char">
    <w:name w:val="Heading 4 Char"/>
    <w:basedOn w:val="DefaultParagraphFont"/>
    <w:link w:val="Heading4"/>
    <w:uiPriority w:val="9"/>
    <w:semiHidden/>
    <w:rsid w:val="001E367B"/>
    <w:rPr>
      <w:i/>
      <w:iCs/>
      <w:smallCaps/>
      <w:spacing w:val="10"/>
      <w:sz w:val="22"/>
      <w:szCs w:val="22"/>
    </w:rPr>
  </w:style>
  <w:style w:type="character" w:customStyle="1" w:styleId="Heading5Char">
    <w:name w:val="Heading 5 Char"/>
    <w:basedOn w:val="DefaultParagraphFont"/>
    <w:link w:val="Heading5"/>
    <w:uiPriority w:val="9"/>
    <w:semiHidden/>
    <w:rsid w:val="001E367B"/>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E367B"/>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E367B"/>
    <w:rPr>
      <w:b/>
      <w:bCs/>
      <w:smallCaps/>
      <w:color w:val="70AD47" w:themeColor="accent6"/>
      <w:spacing w:val="10"/>
    </w:rPr>
  </w:style>
  <w:style w:type="character" w:customStyle="1" w:styleId="Heading8Char">
    <w:name w:val="Heading 8 Char"/>
    <w:basedOn w:val="DefaultParagraphFont"/>
    <w:link w:val="Heading8"/>
    <w:uiPriority w:val="9"/>
    <w:semiHidden/>
    <w:rsid w:val="001E367B"/>
    <w:rPr>
      <w:b/>
      <w:bCs/>
      <w:i/>
      <w:iCs/>
      <w:smallCaps/>
      <w:color w:val="538135" w:themeColor="accent6" w:themeShade="BF"/>
    </w:rPr>
  </w:style>
  <w:style w:type="character" w:customStyle="1" w:styleId="Heading9Char">
    <w:name w:val="Heading 9 Char"/>
    <w:basedOn w:val="DefaultParagraphFont"/>
    <w:link w:val="Heading9"/>
    <w:uiPriority w:val="9"/>
    <w:semiHidden/>
    <w:rsid w:val="001E367B"/>
    <w:rPr>
      <w:b/>
      <w:bCs/>
      <w:i/>
      <w:iCs/>
      <w:smallCaps/>
      <w:color w:val="385623" w:themeColor="accent6" w:themeShade="80"/>
    </w:rPr>
  </w:style>
  <w:style w:type="paragraph" w:styleId="Caption">
    <w:name w:val="caption"/>
    <w:basedOn w:val="Normal"/>
    <w:next w:val="Normal"/>
    <w:uiPriority w:val="35"/>
    <w:semiHidden/>
    <w:unhideWhenUsed/>
    <w:qFormat/>
    <w:rsid w:val="001E367B"/>
    <w:rPr>
      <w:b/>
      <w:bCs/>
      <w:caps/>
      <w:sz w:val="16"/>
      <w:szCs w:val="16"/>
    </w:rPr>
  </w:style>
  <w:style w:type="paragraph" w:styleId="Title">
    <w:name w:val="Title"/>
    <w:basedOn w:val="Normal"/>
    <w:next w:val="Normal"/>
    <w:link w:val="TitleChar"/>
    <w:uiPriority w:val="10"/>
    <w:qFormat/>
    <w:rsid w:val="001E367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E367B"/>
    <w:rPr>
      <w:smallCaps/>
      <w:color w:val="262626" w:themeColor="text1" w:themeTint="D9"/>
      <w:sz w:val="52"/>
      <w:szCs w:val="52"/>
    </w:rPr>
  </w:style>
  <w:style w:type="paragraph" w:styleId="Subtitle">
    <w:name w:val="Subtitle"/>
    <w:basedOn w:val="Normal"/>
    <w:next w:val="Normal"/>
    <w:link w:val="SubtitleChar"/>
    <w:uiPriority w:val="11"/>
    <w:qFormat/>
    <w:rsid w:val="001E367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E367B"/>
    <w:rPr>
      <w:rFonts w:asciiTheme="majorHAnsi" w:eastAsiaTheme="majorEastAsia" w:hAnsiTheme="majorHAnsi" w:cstheme="majorBidi"/>
    </w:rPr>
  </w:style>
  <w:style w:type="character" w:styleId="Strong">
    <w:name w:val="Strong"/>
    <w:uiPriority w:val="22"/>
    <w:qFormat/>
    <w:rsid w:val="001E367B"/>
    <w:rPr>
      <w:b/>
      <w:bCs/>
      <w:color w:val="70AD47" w:themeColor="accent6"/>
    </w:rPr>
  </w:style>
  <w:style w:type="character" w:styleId="Emphasis">
    <w:name w:val="Emphasis"/>
    <w:uiPriority w:val="20"/>
    <w:qFormat/>
    <w:rsid w:val="001E367B"/>
    <w:rPr>
      <w:b/>
      <w:bCs/>
      <w:i/>
      <w:iCs/>
      <w:spacing w:val="10"/>
    </w:rPr>
  </w:style>
  <w:style w:type="paragraph" w:styleId="NoSpacing">
    <w:name w:val="No Spacing"/>
    <w:uiPriority w:val="1"/>
    <w:qFormat/>
    <w:rsid w:val="001E367B"/>
    <w:pPr>
      <w:spacing w:after="0" w:line="240" w:lineRule="auto"/>
    </w:pPr>
  </w:style>
  <w:style w:type="paragraph" w:styleId="Quote">
    <w:name w:val="Quote"/>
    <w:basedOn w:val="Normal"/>
    <w:next w:val="Normal"/>
    <w:link w:val="QuoteChar"/>
    <w:uiPriority w:val="29"/>
    <w:qFormat/>
    <w:rsid w:val="001E367B"/>
    <w:rPr>
      <w:i/>
      <w:iCs/>
    </w:rPr>
  </w:style>
  <w:style w:type="character" w:customStyle="1" w:styleId="QuoteChar">
    <w:name w:val="Quote Char"/>
    <w:basedOn w:val="DefaultParagraphFont"/>
    <w:link w:val="Quote"/>
    <w:uiPriority w:val="29"/>
    <w:rsid w:val="001E367B"/>
    <w:rPr>
      <w:i/>
      <w:iCs/>
    </w:rPr>
  </w:style>
  <w:style w:type="paragraph" w:styleId="IntenseQuote">
    <w:name w:val="Intense Quote"/>
    <w:basedOn w:val="Normal"/>
    <w:next w:val="Normal"/>
    <w:link w:val="IntenseQuoteChar"/>
    <w:uiPriority w:val="30"/>
    <w:qFormat/>
    <w:rsid w:val="001E367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E367B"/>
    <w:rPr>
      <w:b/>
      <w:bCs/>
      <w:i/>
      <w:iCs/>
    </w:rPr>
  </w:style>
  <w:style w:type="character" w:styleId="SubtleEmphasis">
    <w:name w:val="Subtle Emphasis"/>
    <w:uiPriority w:val="19"/>
    <w:qFormat/>
    <w:rsid w:val="001E367B"/>
    <w:rPr>
      <w:i/>
      <w:iCs/>
    </w:rPr>
  </w:style>
  <w:style w:type="character" w:styleId="IntenseEmphasis">
    <w:name w:val="Intense Emphasis"/>
    <w:uiPriority w:val="21"/>
    <w:qFormat/>
    <w:rsid w:val="001E367B"/>
    <w:rPr>
      <w:b/>
      <w:bCs/>
      <w:i/>
      <w:iCs/>
      <w:color w:val="70AD47" w:themeColor="accent6"/>
      <w:spacing w:val="10"/>
    </w:rPr>
  </w:style>
  <w:style w:type="character" w:styleId="SubtleReference">
    <w:name w:val="Subtle Reference"/>
    <w:uiPriority w:val="31"/>
    <w:qFormat/>
    <w:rsid w:val="001E367B"/>
    <w:rPr>
      <w:b/>
      <w:bCs/>
    </w:rPr>
  </w:style>
  <w:style w:type="character" w:styleId="IntenseReference">
    <w:name w:val="Intense Reference"/>
    <w:uiPriority w:val="32"/>
    <w:qFormat/>
    <w:rsid w:val="001E367B"/>
    <w:rPr>
      <w:b/>
      <w:bCs/>
      <w:smallCaps/>
      <w:spacing w:val="5"/>
      <w:sz w:val="22"/>
      <w:szCs w:val="22"/>
      <w:u w:val="single"/>
    </w:rPr>
  </w:style>
  <w:style w:type="character" w:styleId="BookTitle">
    <w:name w:val="Book Title"/>
    <w:uiPriority w:val="33"/>
    <w:qFormat/>
    <w:rsid w:val="001E367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E367B"/>
    <w:pPr>
      <w:outlineLvl w:val="9"/>
    </w:pPr>
  </w:style>
  <w:style w:type="paragraph" w:styleId="ListParagraph">
    <w:name w:val="List Paragraph"/>
    <w:basedOn w:val="Normal"/>
    <w:uiPriority w:val="34"/>
    <w:qFormat/>
    <w:rsid w:val="00B00569"/>
    <w:pPr>
      <w:ind w:left="720"/>
      <w:contextualSpacing/>
    </w:pPr>
  </w:style>
  <w:style w:type="character" w:styleId="Hyperlink">
    <w:name w:val="Hyperlink"/>
    <w:basedOn w:val="DefaultParagraphFont"/>
    <w:uiPriority w:val="99"/>
    <w:unhideWhenUsed/>
    <w:rsid w:val="007E5250"/>
    <w:rPr>
      <w:color w:val="0563C1" w:themeColor="hyperlink"/>
      <w:u w:val="single"/>
    </w:rPr>
  </w:style>
  <w:style w:type="paragraph" w:styleId="EndnoteText">
    <w:name w:val="endnote text"/>
    <w:basedOn w:val="Normal"/>
    <w:link w:val="EndnoteTextChar"/>
    <w:uiPriority w:val="99"/>
    <w:unhideWhenUsed/>
    <w:rsid w:val="00906BE7"/>
    <w:pPr>
      <w:spacing w:after="0" w:line="240" w:lineRule="auto"/>
    </w:pPr>
  </w:style>
  <w:style w:type="character" w:customStyle="1" w:styleId="EndnoteTextChar">
    <w:name w:val="Endnote Text Char"/>
    <w:basedOn w:val="DefaultParagraphFont"/>
    <w:link w:val="EndnoteText"/>
    <w:uiPriority w:val="99"/>
    <w:rsid w:val="00906BE7"/>
  </w:style>
  <w:style w:type="character" w:styleId="EndnoteReference">
    <w:name w:val="endnote reference"/>
    <w:basedOn w:val="DefaultParagraphFont"/>
    <w:uiPriority w:val="99"/>
    <w:semiHidden/>
    <w:unhideWhenUsed/>
    <w:rsid w:val="00906BE7"/>
    <w:rPr>
      <w:vertAlign w:val="superscript"/>
    </w:rPr>
  </w:style>
  <w:style w:type="character" w:customStyle="1" w:styleId="selectable">
    <w:name w:val="selectable"/>
    <w:basedOn w:val="DefaultParagraphFont"/>
    <w:rsid w:val="00906BE7"/>
  </w:style>
  <w:style w:type="character" w:styleId="FollowedHyperlink">
    <w:name w:val="FollowedHyperlink"/>
    <w:basedOn w:val="DefaultParagraphFont"/>
    <w:uiPriority w:val="99"/>
    <w:semiHidden/>
    <w:unhideWhenUsed/>
    <w:rsid w:val="00D57795"/>
    <w:rPr>
      <w:color w:val="954F72" w:themeColor="followedHyperlink"/>
      <w:u w:val="single"/>
    </w:rPr>
  </w:style>
  <w:style w:type="paragraph" w:styleId="Header">
    <w:name w:val="header"/>
    <w:basedOn w:val="Normal"/>
    <w:link w:val="HeaderChar"/>
    <w:uiPriority w:val="99"/>
    <w:unhideWhenUsed/>
    <w:rsid w:val="00672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7E"/>
  </w:style>
  <w:style w:type="paragraph" w:styleId="Footer">
    <w:name w:val="footer"/>
    <w:basedOn w:val="Normal"/>
    <w:link w:val="FooterChar"/>
    <w:uiPriority w:val="99"/>
    <w:unhideWhenUsed/>
    <w:rsid w:val="00672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7E"/>
  </w:style>
  <w:style w:type="table" w:styleId="TableGrid">
    <w:name w:val="Table Grid"/>
    <w:basedOn w:val="TableNormal"/>
    <w:uiPriority w:val="39"/>
    <w:rsid w:val="00EB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0979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979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
    <w:name w:val="Grid Table 3"/>
    <w:basedOn w:val="TableNormal"/>
    <w:uiPriority w:val="48"/>
    <w:rsid w:val="00070D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TableNormal"/>
    <w:uiPriority w:val="49"/>
    <w:rsid w:val="00070D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1734">
      <w:bodyDiv w:val="1"/>
      <w:marLeft w:val="0"/>
      <w:marRight w:val="0"/>
      <w:marTop w:val="0"/>
      <w:marBottom w:val="0"/>
      <w:divBdr>
        <w:top w:val="none" w:sz="0" w:space="0" w:color="auto"/>
        <w:left w:val="none" w:sz="0" w:space="0" w:color="auto"/>
        <w:bottom w:val="none" w:sz="0" w:space="0" w:color="auto"/>
        <w:right w:val="none" w:sz="0" w:space="0" w:color="auto"/>
      </w:divBdr>
    </w:div>
    <w:div w:id="445194349">
      <w:bodyDiv w:val="1"/>
      <w:marLeft w:val="0"/>
      <w:marRight w:val="0"/>
      <w:marTop w:val="0"/>
      <w:marBottom w:val="0"/>
      <w:divBdr>
        <w:top w:val="none" w:sz="0" w:space="0" w:color="auto"/>
        <w:left w:val="none" w:sz="0" w:space="0" w:color="auto"/>
        <w:bottom w:val="none" w:sz="0" w:space="0" w:color="auto"/>
        <w:right w:val="none" w:sz="0" w:space="0" w:color="auto"/>
      </w:divBdr>
    </w:div>
    <w:div w:id="503129854">
      <w:bodyDiv w:val="1"/>
      <w:marLeft w:val="0"/>
      <w:marRight w:val="0"/>
      <w:marTop w:val="0"/>
      <w:marBottom w:val="0"/>
      <w:divBdr>
        <w:top w:val="none" w:sz="0" w:space="0" w:color="auto"/>
        <w:left w:val="none" w:sz="0" w:space="0" w:color="auto"/>
        <w:bottom w:val="none" w:sz="0" w:space="0" w:color="auto"/>
        <w:right w:val="none" w:sz="0" w:space="0" w:color="auto"/>
      </w:divBdr>
    </w:div>
    <w:div w:id="663749183">
      <w:bodyDiv w:val="1"/>
      <w:marLeft w:val="0"/>
      <w:marRight w:val="0"/>
      <w:marTop w:val="0"/>
      <w:marBottom w:val="0"/>
      <w:divBdr>
        <w:top w:val="none" w:sz="0" w:space="0" w:color="auto"/>
        <w:left w:val="none" w:sz="0" w:space="0" w:color="auto"/>
        <w:bottom w:val="none" w:sz="0" w:space="0" w:color="auto"/>
        <w:right w:val="none" w:sz="0" w:space="0" w:color="auto"/>
      </w:divBdr>
    </w:div>
    <w:div w:id="757942171">
      <w:bodyDiv w:val="1"/>
      <w:marLeft w:val="0"/>
      <w:marRight w:val="0"/>
      <w:marTop w:val="0"/>
      <w:marBottom w:val="0"/>
      <w:divBdr>
        <w:top w:val="none" w:sz="0" w:space="0" w:color="auto"/>
        <w:left w:val="none" w:sz="0" w:space="0" w:color="auto"/>
        <w:bottom w:val="none" w:sz="0" w:space="0" w:color="auto"/>
        <w:right w:val="none" w:sz="0" w:space="0" w:color="auto"/>
      </w:divBdr>
    </w:div>
    <w:div w:id="773330081">
      <w:bodyDiv w:val="1"/>
      <w:marLeft w:val="0"/>
      <w:marRight w:val="0"/>
      <w:marTop w:val="0"/>
      <w:marBottom w:val="0"/>
      <w:divBdr>
        <w:top w:val="none" w:sz="0" w:space="0" w:color="auto"/>
        <w:left w:val="none" w:sz="0" w:space="0" w:color="auto"/>
        <w:bottom w:val="none" w:sz="0" w:space="0" w:color="auto"/>
        <w:right w:val="none" w:sz="0" w:space="0" w:color="auto"/>
      </w:divBdr>
    </w:div>
    <w:div w:id="906526207">
      <w:bodyDiv w:val="1"/>
      <w:marLeft w:val="0"/>
      <w:marRight w:val="0"/>
      <w:marTop w:val="0"/>
      <w:marBottom w:val="0"/>
      <w:divBdr>
        <w:top w:val="none" w:sz="0" w:space="0" w:color="auto"/>
        <w:left w:val="none" w:sz="0" w:space="0" w:color="auto"/>
        <w:bottom w:val="none" w:sz="0" w:space="0" w:color="auto"/>
        <w:right w:val="none" w:sz="0" w:space="0" w:color="auto"/>
      </w:divBdr>
    </w:div>
    <w:div w:id="1104955311">
      <w:bodyDiv w:val="1"/>
      <w:marLeft w:val="0"/>
      <w:marRight w:val="0"/>
      <w:marTop w:val="0"/>
      <w:marBottom w:val="0"/>
      <w:divBdr>
        <w:top w:val="none" w:sz="0" w:space="0" w:color="auto"/>
        <w:left w:val="none" w:sz="0" w:space="0" w:color="auto"/>
        <w:bottom w:val="none" w:sz="0" w:space="0" w:color="auto"/>
        <w:right w:val="none" w:sz="0" w:space="0" w:color="auto"/>
      </w:divBdr>
    </w:div>
    <w:div w:id="1196237195">
      <w:bodyDiv w:val="1"/>
      <w:marLeft w:val="0"/>
      <w:marRight w:val="0"/>
      <w:marTop w:val="0"/>
      <w:marBottom w:val="0"/>
      <w:divBdr>
        <w:top w:val="none" w:sz="0" w:space="0" w:color="auto"/>
        <w:left w:val="none" w:sz="0" w:space="0" w:color="auto"/>
        <w:bottom w:val="none" w:sz="0" w:space="0" w:color="auto"/>
        <w:right w:val="none" w:sz="0" w:space="0" w:color="auto"/>
      </w:divBdr>
    </w:div>
    <w:div w:id="1361007913">
      <w:bodyDiv w:val="1"/>
      <w:marLeft w:val="0"/>
      <w:marRight w:val="0"/>
      <w:marTop w:val="0"/>
      <w:marBottom w:val="0"/>
      <w:divBdr>
        <w:top w:val="none" w:sz="0" w:space="0" w:color="auto"/>
        <w:left w:val="none" w:sz="0" w:space="0" w:color="auto"/>
        <w:bottom w:val="none" w:sz="0" w:space="0" w:color="auto"/>
        <w:right w:val="none" w:sz="0" w:space="0" w:color="auto"/>
      </w:divBdr>
    </w:div>
    <w:div w:id="1484466304">
      <w:bodyDiv w:val="1"/>
      <w:marLeft w:val="0"/>
      <w:marRight w:val="0"/>
      <w:marTop w:val="0"/>
      <w:marBottom w:val="0"/>
      <w:divBdr>
        <w:top w:val="none" w:sz="0" w:space="0" w:color="auto"/>
        <w:left w:val="none" w:sz="0" w:space="0" w:color="auto"/>
        <w:bottom w:val="none" w:sz="0" w:space="0" w:color="auto"/>
        <w:right w:val="none" w:sz="0" w:space="0" w:color="auto"/>
      </w:divBdr>
    </w:div>
    <w:div w:id="1745371351">
      <w:bodyDiv w:val="1"/>
      <w:marLeft w:val="0"/>
      <w:marRight w:val="0"/>
      <w:marTop w:val="0"/>
      <w:marBottom w:val="0"/>
      <w:divBdr>
        <w:top w:val="none" w:sz="0" w:space="0" w:color="auto"/>
        <w:left w:val="none" w:sz="0" w:space="0" w:color="auto"/>
        <w:bottom w:val="none" w:sz="0" w:space="0" w:color="auto"/>
        <w:right w:val="none" w:sz="0" w:space="0" w:color="auto"/>
      </w:divBdr>
    </w:div>
    <w:div w:id="1941720397">
      <w:bodyDiv w:val="1"/>
      <w:marLeft w:val="0"/>
      <w:marRight w:val="0"/>
      <w:marTop w:val="0"/>
      <w:marBottom w:val="0"/>
      <w:divBdr>
        <w:top w:val="none" w:sz="0" w:space="0" w:color="auto"/>
        <w:left w:val="none" w:sz="0" w:space="0" w:color="auto"/>
        <w:bottom w:val="none" w:sz="0" w:space="0" w:color="auto"/>
        <w:right w:val="none" w:sz="0" w:space="0" w:color="auto"/>
      </w:divBdr>
    </w:div>
    <w:div w:id="20504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health/documents/eudralex/vol-1/index_en.htm" TargetMode="External"/><Relationship Id="rId2" Type="http://schemas.openxmlformats.org/officeDocument/2006/relationships/hyperlink" Target="http://www.who.int/ictrp/en/" TargetMode="External"/><Relationship Id="rId1"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C794-A41A-42C7-B673-D3506D38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Killington</dc:creator>
  <cp:lastModifiedBy>User</cp:lastModifiedBy>
  <cp:revision>3</cp:revision>
  <dcterms:created xsi:type="dcterms:W3CDTF">2016-02-12T21:09:00Z</dcterms:created>
  <dcterms:modified xsi:type="dcterms:W3CDTF">2017-09-14T23:51:00Z</dcterms:modified>
</cp:coreProperties>
</file>